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rsidP="00604B2D">
      <w:pPr>
        <w:jc w:val="center"/>
        <w:rPr>
          <w:b/>
          <w:bCs/>
        </w:rPr>
      </w:pPr>
      <w:r>
        <w:rPr>
          <w:b/>
          <w:bCs/>
        </w:rPr>
        <w:t xml:space="preserve">PROGRAM </w:t>
      </w:r>
      <w:r w:rsidR="00A126FA">
        <w:rPr>
          <w:b/>
          <w:bCs/>
        </w:rPr>
        <w:t>INFORMATION DOCUMENT (PID)</w:t>
      </w:r>
    </w:p>
    <w:p w:rsidR="00A126FA" w:rsidRDefault="00A126FA" w:rsidP="00604B2D">
      <w:pPr>
        <w:jc w:val="center"/>
        <w:rPr>
          <w:b/>
          <w:bCs/>
        </w:rPr>
      </w:pPr>
      <w:r>
        <w:rPr>
          <w:b/>
          <w:bCs/>
        </w:rPr>
        <w:t>CONCEPT STAGE</w:t>
      </w:r>
    </w:p>
    <w:p w:rsidR="00283684" w:rsidRDefault="006C6497" w:rsidP="00604B2D">
      <w:pPr>
        <w:jc w:val="right"/>
      </w:pPr>
      <w:r>
        <w:t>&lt;</w:t>
      </w:r>
      <w:r w:rsidR="00CC0C11">
        <w:t xml:space="preserve">March </w:t>
      </w:r>
      <w:r w:rsidR="0086277A">
        <w:t>12</w:t>
      </w:r>
      <w:bookmarkStart w:id="0" w:name="_GoBack"/>
      <w:bookmarkEnd w:id="0"/>
      <w:r w:rsidR="00CC0C11">
        <w:t>, 2014</w:t>
      </w:r>
      <w:r>
        <w:t>&gt;</w:t>
      </w:r>
    </w:p>
    <w:p w:rsidR="001D607D" w:rsidRDefault="00FE30D1" w:rsidP="00FE30D1">
      <w:pPr>
        <w:tabs>
          <w:tab w:val="left" w:pos="1380"/>
          <w:tab w:val="right" w:pos="9360"/>
        </w:tabs>
      </w:pPr>
      <w:r>
        <w:tab/>
      </w:r>
      <w:r>
        <w:tab/>
      </w:r>
      <w:r w:rsidR="001D607D" w:rsidRPr="006C6497">
        <w:t>Report No.:</w:t>
      </w:r>
      <w:r w:rsidR="0086277A">
        <w:t xml:space="preserve"> </w:t>
      </w:r>
      <w:bookmarkStart w:id="1" w:name="ReportNo"/>
      <w:r w:rsidR="0086277A">
        <w:t>AB7542</w:t>
      </w:r>
      <w:bookmarkEnd w:id="1"/>
      <w:r w:rsidR="001D607D">
        <w:t xml:space="preserve"> </w:t>
      </w:r>
    </w:p>
    <w:p w:rsidR="00C67E15" w:rsidRPr="00AA5A30" w:rsidRDefault="00C67E15" w:rsidP="00604B2D">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0"/>
        <w:gridCol w:w="6210"/>
      </w:tblGrid>
      <w:tr w:rsidR="001D607D" w:rsidTr="00E508FA">
        <w:trPr>
          <w:trHeight w:val="593"/>
        </w:trPr>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Operation Name</w:t>
            </w:r>
          </w:p>
        </w:tc>
        <w:tc>
          <w:tcPr>
            <w:tcW w:w="6210" w:type="dxa"/>
            <w:tcBorders>
              <w:top w:val="single" w:sz="4" w:space="0" w:color="auto"/>
              <w:left w:val="single" w:sz="4" w:space="0" w:color="auto"/>
              <w:bottom w:val="single" w:sz="4" w:space="0" w:color="auto"/>
              <w:right w:val="single" w:sz="4" w:space="0" w:color="auto"/>
            </w:tcBorders>
          </w:tcPr>
          <w:p w:rsidR="001D607D" w:rsidRPr="00303DF2" w:rsidRDefault="00E508FA" w:rsidP="00DF2C29">
            <w:pPr>
              <w:pStyle w:val="CM16"/>
            </w:pPr>
            <w:r>
              <w:rPr>
                <w:bCs/>
                <w:iCs/>
              </w:rPr>
              <w:t xml:space="preserve">First Programmatic </w:t>
            </w:r>
            <w:r w:rsidR="00C36FCD">
              <w:rPr>
                <w:bCs/>
                <w:iCs/>
              </w:rPr>
              <w:t>Resilience</w:t>
            </w:r>
            <w:r w:rsidR="00303DF2" w:rsidRPr="00303DF2">
              <w:rPr>
                <w:bCs/>
                <w:iCs/>
              </w:rPr>
              <w:t xml:space="preserve"> </w:t>
            </w:r>
            <w:r w:rsidR="00DF2C29">
              <w:rPr>
                <w:bCs/>
                <w:iCs/>
              </w:rPr>
              <w:t xml:space="preserve">Building </w:t>
            </w:r>
            <w:r>
              <w:rPr>
                <w:bCs/>
                <w:iCs/>
              </w:rPr>
              <w:t>Development Policy Loan</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Region</w:t>
            </w:r>
          </w:p>
        </w:tc>
        <w:tc>
          <w:tcPr>
            <w:tcW w:w="6210" w:type="dxa"/>
            <w:tcBorders>
              <w:top w:val="single" w:sz="4" w:space="0" w:color="auto"/>
              <w:left w:val="single" w:sz="4" w:space="0" w:color="auto"/>
              <w:bottom w:val="single" w:sz="4" w:space="0" w:color="auto"/>
              <w:right w:val="single" w:sz="4" w:space="0" w:color="auto"/>
            </w:tcBorders>
          </w:tcPr>
          <w:p w:rsidR="001D607D" w:rsidRDefault="00E508FA" w:rsidP="00E508FA">
            <w:r>
              <w:t>Latin America and Caribbean</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Country</w:t>
            </w:r>
          </w:p>
        </w:tc>
        <w:tc>
          <w:tcPr>
            <w:tcW w:w="6210" w:type="dxa"/>
            <w:tcBorders>
              <w:top w:val="single" w:sz="4" w:space="0" w:color="auto"/>
              <w:left w:val="single" w:sz="4" w:space="0" w:color="auto"/>
              <w:bottom w:val="single" w:sz="4" w:space="0" w:color="auto"/>
              <w:right w:val="single" w:sz="4" w:space="0" w:color="auto"/>
            </w:tcBorders>
          </w:tcPr>
          <w:p w:rsidR="001D607D" w:rsidRDefault="00E508FA" w:rsidP="00604B2D">
            <w:r>
              <w:t>Grenada</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Sector</w:t>
            </w:r>
          </w:p>
        </w:tc>
        <w:tc>
          <w:tcPr>
            <w:tcW w:w="6210" w:type="dxa"/>
            <w:tcBorders>
              <w:top w:val="single" w:sz="4" w:space="0" w:color="auto"/>
              <w:left w:val="single" w:sz="4" w:space="0" w:color="auto"/>
              <w:bottom w:val="single" w:sz="4" w:space="0" w:color="auto"/>
              <w:right w:val="single" w:sz="4" w:space="0" w:color="auto"/>
            </w:tcBorders>
          </w:tcPr>
          <w:p w:rsidR="001D607D" w:rsidRDefault="001D607D" w:rsidP="00604B2D"/>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Operation ID</w:t>
            </w:r>
          </w:p>
        </w:tc>
        <w:tc>
          <w:tcPr>
            <w:tcW w:w="6210" w:type="dxa"/>
            <w:tcBorders>
              <w:top w:val="single" w:sz="4" w:space="0" w:color="auto"/>
              <w:left w:val="single" w:sz="4" w:space="0" w:color="auto"/>
              <w:bottom w:val="single" w:sz="4" w:space="0" w:color="auto"/>
              <w:right w:val="single" w:sz="4" w:space="0" w:color="auto"/>
            </w:tcBorders>
          </w:tcPr>
          <w:p w:rsidR="001D607D" w:rsidRDefault="00E508FA" w:rsidP="00604B2D">
            <w:r>
              <w:rPr>
                <w:bCs/>
                <w:color w:val="000000"/>
              </w:rPr>
              <w:t>P147152</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Lending Instrument</w:t>
            </w:r>
          </w:p>
        </w:tc>
        <w:tc>
          <w:tcPr>
            <w:tcW w:w="6210" w:type="dxa"/>
            <w:tcBorders>
              <w:top w:val="single" w:sz="4" w:space="0" w:color="auto"/>
              <w:left w:val="single" w:sz="4" w:space="0" w:color="auto"/>
              <w:bottom w:val="single" w:sz="4" w:space="0" w:color="auto"/>
              <w:right w:val="single" w:sz="4" w:space="0" w:color="auto"/>
            </w:tcBorders>
          </w:tcPr>
          <w:p w:rsidR="001D607D" w:rsidRDefault="001A5578" w:rsidP="00604B2D">
            <w:bookmarkStart w:id="2" w:name="INSTR_NAME"/>
            <w:r>
              <w:t>Development Policy Lending</w:t>
            </w:r>
            <w:bookmarkEnd w:id="2"/>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Borrower(s)</w:t>
            </w:r>
          </w:p>
        </w:tc>
        <w:tc>
          <w:tcPr>
            <w:tcW w:w="6210" w:type="dxa"/>
            <w:tcBorders>
              <w:top w:val="single" w:sz="4" w:space="0" w:color="auto"/>
              <w:left w:val="single" w:sz="4" w:space="0" w:color="auto"/>
              <w:bottom w:val="single" w:sz="4" w:space="0" w:color="auto"/>
              <w:right w:val="single" w:sz="4" w:space="0" w:color="auto"/>
            </w:tcBorders>
          </w:tcPr>
          <w:p w:rsidR="001D607D" w:rsidRDefault="009B6C8B" w:rsidP="00303DF2">
            <w:bookmarkStart w:id="3" w:name="BORROWERNAME"/>
            <w:bookmarkEnd w:id="3"/>
            <w:r>
              <w:t xml:space="preserve">Government of </w:t>
            </w:r>
            <w:r w:rsidR="00E508FA">
              <w:t>Grenada</w:t>
            </w:r>
            <w:r w:rsidR="00303DF2">
              <w:t xml:space="preserve"> </w:t>
            </w:r>
          </w:p>
        </w:tc>
      </w:tr>
      <w:tr w:rsidR="001D607D" w:rsidTr="00E508FA">
        <w:trPr>
          <w:trHeight w:val="140"/>
        </w:trPr>
        <w:tc>
          <w:tcPr>
            <w:tcW w:w="3330" w:type="dxa"/>
            <w:tcBorders>
              <w:top w:val="single" w:sz="4" w:space="0" w:color="auto"/>
              <w:left w:val="single" w:sz="4" w:space="0" w:color="auto"/>
              <w:bottom w:val="nil"/>
              <w:right w:val="single" w:sz="4" w:space="0" w:color="auto"/>
            </w:tcBorders>
          </w:tcPr>
          <w:p w:rsidR="001D607D" w:rsidRPr="00A66225" w:rsidRDefault="001D607D" w:rsidP="00604B2D">
            <w:pPr>
              <w:rPr>
                <w:b/>
                <w:bCs/>
              </w:rPr>
            </w:pPr>
            <w:r w:rsidRPr="00A66225">
              <w:rPr>
                <w:b/>
                <w:bCs/>
              </w:rPr>
              <w:t>Implementing Agency</w:t>
            </w:r>
          </w:p>
        </w:tc>
        <w:tc>
          <w:tcPr>
            <w:tcW w:w="6210" w:type="dxa"/>
            <w:tcBorders>
              <w:top w:val="single" w:sz="4" w:space="0" w:color="auto"/>
              <w:left w:val="single" w:sz="4" w:space="0" w:color="auto"/>
              <w:bottom w:val="nil"/>
              <w:right w:val="single" w:sz="4" w:space="0" w:color="auto"/>
            </w:tcBorders>
          </w:tcPr>
          <w:p w:rsidR="00303DF2" w:rsidRPr="00E508FA" w:rsidRDefault="00E508FA" w:rsidP="00604B2D">
            <w:bookmarkStart w:id="4" w:name="ImplementingAgency"/>
            <w:bookmarkEnd w:id="4"/>
            <w:r w:rsidRPr="00E508FA">
              <w:rPr>
                <w:bCs/>
              </w:rPr>
              <w:t>Ministry of Finance, Planning, Economy, Energy and Cooperatives</w:t>
            </w:r>
            <w:r w:rsidR="00A50F15" w:rsidRPr="00E508FA">
              <w:t xml:space="preserve"> </w:t>
            </w:r>
          </w:p>
          <w:p w:rsidR="00303DF2" w:rsidRDefault="00E508FA" w:rsidP="00303DF2">
            <w:r>
              <w:t>Government of Grenada</w:t>
            </w:r>
            <w:r w:rsidR="00303DF2">
              <w:t xml:space="preserve"> </w:t>
            </w:r>
          </w:p>
          <w:p w:rsidR="00303DF2" w:rsidRDefault="00E508FA" w:rsidP="00303DF2">
            <w:r>
              <w:t>St. George’s, Grenada</w:t>
            </w:r>
          </w:p>
          <w:p w:rsidR="001D607D" w:rsidRPr="00A66225" w:rsidRDefault="00172C86" w:rsidP="00E508FA">
            <w:r w:rsidRPr="00A66225">
              <w:t xml:space="preserve">Tel: </w:t>
            </w:r>
            <w:r w:rsidR="00E508FA">
              <w:rPr>
                <w:color w:val="000000"/>
              </w:rPr>
              <w:t>(473) 440-2928</w:t>
            </w:r>
            <w:r w:rsidR="002B7FA9">
              <w:rPr>
                <w:rFonts w:ascii="Calibri" w:hAnsi="Calibri"/>
                <w:color w:val="1F497D"/>
                <w:sz w:val="22"/>
                <w:szCs w:val="22"/>
              </w:rPr>
              <w:t xml:space="preserve"> </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Date PID Prepared</w:t>
            </w:r>
          </w:p>
        </w:tc>
        <w:tc>
          <w:tcPr>
            <w:tcW w:w="6210" w:type="dxa"/>
            <w:tcBorders>
              <w:top w:val="single" w:sz="4" w:space="0" w:color="auto"/>
              <w:left w:val="single" w:sz="4" w:space="0" w:color="auto"/>
              <w:bottom w:val="single" w:sz="4" w:space="0" w:color="auto"/>
              <w:right w:val="single" w:sz="4" w:space="0" w:color="auto"/>
            </w:tcBorders>
          </w:tcPr>
          <w:p w:rsidR="001D607D" w:rsidRDefault="00CC0C11" w:rsidP="002B7FA9">
            <w:r>
              <w:t xml:space="preserve">March </w:t>
            </w:r>
            <w:r w:rsidR="0086277A">
              <w:t>12</w:t>
            </w:r>
            <w:r w:rsidR="00E508FA">
              <w:t>, 201</w:t>
            </w:r>
            <w:r>
              <w:t>4</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sidRPr="00DE739D">
              <w:rPr>
                <w:b/>
                <w:bCs/>
              </w:rPr>
              <w:t>Estimated Date of Appraisal</w:t>
            </w:r>
          </w:p>
        </w:tc>
        <w:tc>
          <w:tcPr>
            <w:tcW w:w="6210" w:type="dxa"/>
            <w:tcBorders>
              <w:top w:val="single" w:sz="4" w:space="0" w:color="auto"/>
              <w:left w:val="single" w:sz="4" w:space="0" w:color="auto"/>
              <w:bottom w:val="single" w:sz="4" w:space="0" w:color="auto"/>
              <w:right w:val="single" w:sz="4" w:space="0" w:color="auto"/>
            </w:tcBorders>
          </w:tcPr>
          <w:p w:rsidR="001D607D" w:rsidRDefault="00D363C3" w:rsidP="00AE77CC">
            <w:r>
              <w:t>April 23</w:t>
            </w:r>
            <w:r w:rsidR="00DF70BB">
              <w:t>, 2014</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Estimated Date of Board Approval</w:t>
            </w:r>
          </w:p>
        </w:tc>
        <w:tc>
          <w:tcPr>
            <w:tcW w:w="6210" w:type="dxa"/>
            <w:tcBorders>
              <w:top w:val="single" w:sz="4" w:space="0" w:color="auto"/>
              <w:left w:val="single" w:sz="4" w:space="0" w:color="auto"/>
              <w:bottom w:val="single" w:sz="4" w:space="0" w:color="auto"/>
              <w:right w:val="single" w:sz="4" w:space="0" w:color="auto"/>
            </w:tcBorders>
          </w:tcPr>
          <w:p w:rsidR="001D607D" w:rsidRDefault="00CC0C11" w:rsidP="002B7FA9">
            <w:r>
              <w:t>June</w:t>
            </w:r>
            <w:r w:rsidR="00E508FA">
              <w:t xml:space="preserve"> </w:t>
            </w:r>
            <w:r w:rsidR="00D363C3">
              <w:t>10</w:t>
            </w:r>
            <w:r w:rsidR="00DF70BB">
              <w:t>, 2014</w:t>
            </w:r>
          </w:p>
        </w:tc>
      </w:tr>
    </w:tbl>
    <w:p w:rsidR="00671A99" w:rsidRDefault="00671A99" w:rsidP="00604B2D"/>
    <w:p w:rsidR="00604B2D" w:rsidRDefault="00604B2D" w:rsidP="00604B2D"/>
    <w:p w:rsidR="00744214" w:rsidRPr="00F123F2" w:rsidRDefault="00671A99" w:rsidP="00F123F2">
      <w:pPr>
        <w:numPr>
          <w:ilvl w:val="0"/>
          <w:numId w:val="24"/>
        </w:numPr>
        <w:spacing w:after="200"/>
        <w:rPr>
          <w:b/>
          <w:i/>
        </w:rPr>
      </w:pPr>
      <w:r w:rsidRPr="00671A99">
        <w:rPr>
          <w:b/>
          <w:sz w:val="23"/>
          <w:szCs w:val="23"/>
        </w:rPr>
        <w:t xml:space="preserve">Key development issues and rationale for Bank involvement </w:t>
      </w:r>
    </w:p>
    <w:p w:rsidR="002B6AA3" w:rsidRDefault="00FF1434" w:rsidP="00D363C3">
      <w:pPr>
        <w:pStyle w:val="Default"/>
        <w:widowControl w:val="0"/>
        <w:spacing w:after="200"/>
        <w:jc w:val="both"/>
        <w:rPr>
          <w:bCs/>
        </w:rPr>
      </w:pPr>
      <w:r>
        <w:rPr>
          <w:b/>
        </w:rPr>
        <w:t xml:space="preserve">As a small, open and highly indebted middle-income island state, Grenada faces significant </w:t>
      </w:r>
      <w:r w:rsidR="00D70861">
        <w:rPr>
          <w:b/>
        </w:rPr>
        <w:t xml:space="preserve">systemic </w:t>
      </w:r>
      <w:r>
        <w:rPr>
          <w:b/>
        </w:rPr>
        <w:t>vulnerabilities and structural challenges.</w:t>
      </w:r>
      <w:r w:rsidR="00001AA5">
        <w:rPr>
          <w:b/>
        </w:rPr>
        <w:t xml:space="preserve"> </w:t>
      </w:r>
      <w:r w:rsidR="0050429E">
        <w:t xml:space="preserve">Between 2009 and 2012, </w:t>
      </w:r>
      <w:r w:rsidR="008566D2">
        <w:t>the country</w:t>
      </w:r>
      <w:r w:rsidR="002B6AA3" w:rsidRPr="002B6AA3">
        <w:t xml:space="preserve"> suffered </w:t>
      </w:r>
      <w:r w:rsidR="008566D2">
        <w:t>a deep</w:t>
      </w:r>
      <w:r w:rsidR="002B6AA3" w:rsidRPr="002B6AA3">
        <w:t xml:space="preserve"> </w:t>
      </w:r>
      <w:r w:rsidR="002B6AA3" w:rsidRPr="0050429E">
        <w:t xml:space="preserve">recession </w:t>
      </w:r>
      <w:r w:rsidR="0050429E" w:rsidRPr="0050429E">
        <w:t>as tourism revenues and foreign direct investment flows collapsed subsequent to the global financial crisis.</w:t>
      </w:r>
      <w:r w:rsidR="0050429E" w:rsidRPr="00053210">
        <w:t xml:space="preserve"> GDP contracted by a cumulative </w:t>
      </w:r>
      <w:r w:rsidR="0050429E">
        <w:t>8.2</w:t>
      </w:r>
      <w:r w:rsidR="0050429E" w:rsidRPr="00053210">
        <w:t xml:space="preserve"> percent </w:t>
      </w:r>
      <w:r w:rsidR="0050429E">
        <w:t>during this period</w:t>
      </w:r>
      <w:r w:rsidR="0050429E" w:rsidRPr="00053210">
        <w:t xml:space="preserve">. </w:t>
      </w:r>
      <w:r w:rsidR="00296396">
        <w:rPr>
          <w:bCs/>
        </w:rPr>
        <w:t>E</w:t>
      </w:r>
      <w:r w:rsidR="0050429E">
        <w:rPr>
          <w:bCs/>
        </w:rPr>
        <w:t>conomic activity</w:t>
      </w:r>
      <w:r w:rsidR="0050429E" w:rsidRPr="00FF1434">
        <w:rPr>
          <w:bCs/>
        </w:rPr>
        <w:t xml:space="preserve"> </w:t>
      </w:r>
      <w:r w:rsidR="0050429E">
        <w:rPr>
          <w:bCs/>
        </w:rPr>
        <w:t xml:space="preserve">finally </w:t>
      </w:r>
      <w:r w:rsidR="0050429E" w:rsidRPr="00FF1434">
        <w:t>started to recover</w:t>
      </w:r>
      <w:r w:rsidR="0050429E">
        <w:t xml:space="preserve"> in 2013, with a </w:t>
      </w:r>
      <w:r w:rsidR="00296396">
        <w:t xml:space="preserve">GDP </w:t>
      </w:r>
      <w:r w:rsidR="0050429E">
        <w:t>growth rate of 1.5 percent, the best performance since 2007</w:t>
      </w:r>
      <w:r w:rsidR="00DE5377">
        <w:t>.</w:t>
      </w:r>
    </w:p>
    <w:p w:rsidR="00177470" w:rsidRPr="00FF1434" w:rsidRDefault="002B6AA3" w:rsidP="00D363C3">
      <w:pPr>
        <w:pStyle w:val="Default"/>
        <w:widowControl w:val="0"/>
        <w:spacing w:after="200"/>
        <w:jc w:val="both"/>
      </w:pPr>
      <w:r w:rsidRPr="0050429E">
        <w:rPr>
          <w:b/>
          <w:bCs/>
        </w:rPr>
        <w:t>Following the global crisis</w:t>
      </w:r>
      <w:r w:rsidR="0050429E">
        <w:rPr>
          <w:b/>
          <w:bCs/>
        </w:rPr>
        <w:t xml:space="preserve"> and deteriorating macroeconomic situation</w:t>
      </w:r>
      <w:r w:rsidRPr="0050429E">
        <w:rPr>
          <w:b/>
          <w:bCs/>
        </w:rPr>
        <w:t xml:space="preserve">, </w:t>
      </w:r>
      <w:r w:rsidR="00177470" w:rsidRPr="0050429E">
        <w:rPr>
          <w:b/>
          <w:bCs/>
        </w:rPr>
        <w:t>Grenada’s public debt increased sharply in 2012 and continued to worsen, culminating in the announcement of a restructuring of the public debt in March 2013.</w:t>
      </w:r>
      <w:r w:rsidR="00177470" w:rsidRPr="00085AC9">
        <w:rPr>
          <w:bCs/>
        </w:rPr>
        <w:t xml:space="preserve"> </w:t>
      </w:r>
      <w:r w:rsidR="00177470" w:rsidRPr="007049E9">
        <w:rPr>
          <w:bCs/>
        </w:rPr>
        <w:t xml:space="preserve">The public debt-to-GDP </w:t>
      </w:r>
      <w:r w:rsidR="00296396">
        <w:rPr>
          <w:bCs/>
        </w:rPr>
        <w:t xml:space="preserve">ratio </w:t>
      </w:r>
      <w:r w:rsidR="00177470" w:rsidRPr="007049E9">
        <w:rPr>
          <w:bCs/>
        </w:rPr>
        <w:t xml:space="preserve">increased from 100.9 percent of GDP </w:t>
      </w:r>
      <w:r w:rsidR="008566D2">
        <w:rPr>
          <w:bCs/>
        </w:rPr>
        <w:t xml:space="preserve">in </w:t>
      </w:r>
      <w:r w:rsidR="008566D2" w:rsidRPr="007049E9">
        <w:rPr>
          <w:bCs/>
        </w:rPr>
        <w:t>2010</w:t>
      </w:r>
      <w:r w:rsidR="00954D6E">
        <w:rPr>
          <w:bCs/>
        </w:rPr>
        <w:t xml:space="preserve"> </w:t>
      </w:r>
      <w:r w:rsidR="00177470" w:rsidRPr="007049E9">
        <w:rPr>
          <w:bCs/>
        </w:rPr>
        <w:t xml:space="preserve">to 113.4 percent of GDP by end-2013. </w:t>
      </w:r>
      <w:r w:rsidR="00177470">
        <w:rPr>
          <w:bCs/>
        </w:rPr>
        <w:t>E</w:t>
      </w:r>
      <w:r w:rsidR="00177470" w:rsidRPr="007049E9">
        <w:rPr>
          <w:bCs/>
        </w:rPr>
        <w:t xml:space="preserve">xternal debt service has significantly picked up, especially to commercial creditors, putting upward pressure on interest rates. The unsustainability of the public debt and </w:t>
      </w:r>
      <w:r w:rsidR="00177470">
        <w:rPr>
          <w:bCs/>
        </w:rPr>
        <w:t xml:space="preserve">a </w:t>
      </w:r>
      <w:r w:rsidR="00177470" w:rsidRPr="007049E9">
        <w:rPr>
          <w:bCs/>
        </w:rPr>
        <w:t xml:space="preserve">solvency crisis led Grenada’s government to announce a “comprehensive and collaborative restructuring of its public debt” in March </w:t>
      </w:r>
      <w:r w:rsidR="00177470">
        <w:rPr>
          <w:bCs/>
        </w:rPr>
        <w:t>2013.</w:t>
      </w:r>
      <w:r w:rsidR="00177470" w:rsidRPr="007049E9">
        <w:rPr>
          <w:bCs/>
        </w:rPr>
        <w:t xml:space="preserve"> </w:t>
      </w:r>
    </w:p>
    <w:p w:rsidR="00085AC9" w:rsidRPr="00177470" w:rsidRDefault="00177470" w:rsidP="00D363C3">
      <w:pPr>
        <w:pStyle w:val="Default"/>
        <w:widowControl w:val="0"/>
        <w:spacing w:after="200"/>
        <w:jc w:val="both"/>
        <w:rPr>
          <w:rFonts w:eastAsiaTheme="minorHAnsi"/>
        </w:rPr>
      </w:pPr>
      <w:r w:rsidRPr="00B6120E">
        <w:rPr>
          <w:b/>
        </w:rPr>
        <w:t xml:space="preserve">While social indicators have historically been strong, poverty has </w:t>
      </w:r>
      <w:r>
        <w:rPr>
          <w:b/>
        </w:rPr>
        <w:t>worsened over the last decade</w:t>
      </w:r>
      <w:r w:rsidRPr="00B6120E">
        <w:rPr>
          <w:b/>
        </w:rPr>
        <w:t>.</w:t>
      </w:r>
      <w:r>
        <w:rPr>
          <w:b/>
        </w:rPr>
        <w:t xml:space="preserve"> </w:t>
      </w:r>
      <w:r w:rsidR="00742CE8" w:rsidRPr="00D441B3">
        <w:t xml:space="preserve">At this stage, </w:t>
      </w:r>
      <w:r w:rsidR="00CD3603" w:rsidRPr="00D441B3">
        <w:t xml:space="preserve">the limited availability of </w:t>
      </w:r>
      <w:r w:rsidRPr="007610AE">
        <w:t>disaggregated poverty and socio-economic data</w:t>
      </w:r>
      <w:r w:rsidR="00742CE8">
        <w:t xml:space="preserve"> </w:t>
      </w:r>
      <w:r w:rsidR="00CD3603">
        <w:t xml:space="preserve">does not </w:t>
      </w:r>
      <w:r w:rsidR="00742CE8">
        <w:t>allow</w:t>
      </w:r>
      <w:r w:rsidR="00CD3603">
        <w:t xml:space="preserve"> to measure</w:t>
      </w:r>
      <w:r w:rsidRPr="007610AE">
        <w:rPr>
          <w:rFonts w:eastAsia="Arial"/>
          <w:color w:val="000000" w:themeColor="text1"/>
          <w:spacing w:val="3"/>
        </w:rPr>
        <w:t xml:space="preserve"> the effectiveness of national and regional policies to reduce poverty and support shared prosperity.</w:t>
      </w:r>
      <w:r>
        <w:rPr>
          <w:rFonts w:eastAsia="Arial"/>
          <w:color w:val="000000" w:themeColor="text1"/>
          <w:spacing w:val="3"/>
        </w:rPr>
        <w:t xml:space="preserve"> </w:t>
      </w:r>
      <w:r>
        <w:rPr>
          <w:rFonts w:eastAsiaTheme="minorHAnsi"/>
        </w:rPr>
        <w:t>The latest Country Poverty A</w:t>
      </w:r>
      <w:r w:rsidRPr="007257E8">
        <w:rPr>
          <w:rFonts w:eastAsiaTheme="minorHAnsi"/>
        </w:rPr>
        <w:t>ssessment</w:t>
      </w:r>
      <w:r>
        <w:rPr>
          <w:rFonts w:eastAsiaTheme="minorHAnsi"/>
        </w:rPr>
        <w:t>,</w:t>
      </w:r>
      <w:r w:rsidRPr="007257E8">
        <w:rPr>
          <w:rFonts w:eastAsiaTheme="minorHAnsi"/>
        </w:rPr>
        <w:t xml:space="preserve"> conducted by the Caribbean Development Bank in 2008</w:t>
      </w:r>
      <w:r>
        <w:rPr>
          <w:rFonts w:eastAsiaTheme="minorHAnsi"/>
        </w:rPr>
        <w:t>,</w:t>
      </w:r>
      <w:r w:rsidRPr="007257E8">
        <w:rPr>
          <w:rFonts w:eastAsiaTheme="minorHAnsi"/>
        </w:rPr>
        <w:t xml:space="preserve"> showed that around 38 percent of the population </w:t>
      </w:r>
      <w:r>
        <w:rPr>
          <w:rFonts w:eastAsiaTheme="minorHAnsi"/>
        </w:rPr>
        <w:t xml:space="preserve">in </w:t>
      </w:r>
      <w:r>
        <w:rPr>
          <w:rFonts w:eastAsiaTheme="minorHAnsi"/>
        </w:rPr>
        <w:lastRenderedPageBreak/>
        <w:t xml:space="preserve">Grenada </w:t>
      </w:r>
      <w:r w:rsidRPr="007257E8">
        <w:rPr>
          <w:rFonts w:eastAsiaTheme="minorHAnsi"/>
        </w:rPr>
        <w:t xml:space="preserve">was poor, 2.4 percent of </w:t>
      </w:r>
      <w:proofErr w:type="gramStart"/>
      <w:r w:rsidRPr="007257E8">
        <w:rPr>
          <w:rFonts w:eastAsiaTheme="minorHAnsi"/>
        </w:rPr>
        <w:t>whom</w:t>
      </w:r>
      <w:proofErr w:type="gramEnd"/>
      <w:r w:rsidRPr="007257E8">
        <w:rPr>
          <w:rFonts w:eastAsiaTheme="minorHAnsi"/>
        </w:rPr>
        <w:t xml:space="preserve"> </w:t>
      </w:r>
      <w:r>
        <w:rPr>
          <w:rFonts w:eastAsiaTheme="minorHAnsi"/>
        </w:rPr>
        <w:t>were indigent or extremely poor.</w:t>
      </w:r>
      <w:r w:rsidRPr="007257E8">
        <w:rPr>
          <w:rFonts w:eastAsiaTheme="minorHAnsi"/>
        </w:rPr>
        <w:t xml:space="preserve"> </w:t>
      </w:r>
      <w:r>
        <w:rPr>
          <w:rFonts w:eastAsiaTheme="minorHAnsi"/>
        </w:rPr>
        <w:t>I</w:t>
      </w:r>
      <w:r w:rsidRPr="007257E8">
        <w:rPr>
          <w:rFonts w:eastAsiaTheme="minorHAnsi"/>
        </w:rPr>
        <w:t xml:space="preserve">nequality in the country was </w:t>
      </w:r>
      <w:r>
        <w:rPr>
          <w:rFonts w:eastAsiaTheme="minorHAnsi"/>
        </w:rPr>
        <w:t xml:space="preserve">low </w:t>
      </w:r>
      <w:r w:rsidRPr="00E47554">
        <w:t xml:space="preserve">relative to </w:t>
      </w:r>
      <w:r>
        <w:t xml:space="preserve">both </w:t>
      </w:r>
      <w:r w:rsidRPr="00E47554">
        <w:t>the</w:t>
      </w:r>
      <w:r>
        <w:t xml:space="preserve"> remaining OECS member states and the</w:t>
      </w:r>
      <w:r w:rsidRPr="00E47554">
        <w:t xml:space="preserve"> LAC</w:t>
      </w:r>
      <w:r>
        <w:t xml:space="preserve"> average</w:t>
      </w:r>
      <w:r w:rsidRPr="007257E8">
        <w:rPr>
          <w:rFonts w:eastAsiaTheme="minorHAnsi"/>
        </w:rPr>
        <w:t xml:space="preserve">, with a </w:t>
      </w:r>
      <w:proofErr w:type="spellStart"/>
      <w:r w:rsidRPr="007257E8">
        <w:rPr>
          <w:rFonts w:eastAsiaTheme="minorHAnsi"/>
        </w:rPr>
        <w:t>Gini</w:t>
      </w:r>
      <w:proofErr w:type="spellEnd"/>
      <w:r w:rsidRPr="007257E8">
        <w:rPr>
          <w:rFonts w:eastAsiaTheme="minorHAnsi"/>
        </w:rPr>
        <w:t xml:space="preserve"> coefficient of 0.37. </w:t>
      </w:r>
      <w:r>
        <w:rPr>
          <w:rFonts w:eastAsiaTheme="minorHAnsi"/>
        </w:rPr>
        <w:t>Compared to t</w:t>
      </w:r>
      <w:r w:rsidRPr="007257E8">
        <w:rPr>
          <w:rFonts w:eastAsiaTheme="minorHAnsi"/>
        </w:rPr>
        <w:t>he prev</w:t>
      </w:r>
      <w:r>
        <w:rPr>
          <w:rFonts w:eastAsiaTheme="minorHAnsi"/>
        </w:rPr>
        <w:t xml:space="preserve">ious analysis conducted in 1998, </w:t>
      </w:r>
      <w:r w:rsidRPr="007257E8">
        <w:rPr>
          <w:rFonts w:eastAsiaTheme="minorHAnsi"/>
        </w:rPr>
        <w:t xml:space="preserve">the poverty rate has increased by around 17 percent, while the indigence level fell by more than 80 percent </w:t>
      </w:r>
      <w:r>
        <w:rPr>
          <w:rFonts w:eastAsiaTheme="minorHAnsi"/>
        </w:rPr>
        <w:t xml:space="preserve">between 1998 and </w:t>
      </w:r>
      <w:r w:rsidRPr="007257E8">
        <w:rPr>
          <w:rFonts w:eastAsiaTheme="minorHAnsi"/>
        </w:rPr>
        <w:t xml:space="preserve">2008. </w:t>
      </w:r>
      <w:r w:rsidRPr="00162A3C">
        <w:rPr>
          <w:rFonts w:eastAsiaTheme="minorHAnsi"/>
        </w:rPr>
        <w:t>Notwithstanding the increase in the poverty rate, Grenada has shown improvement in some social areas</w:t>
      </w:r>
      <w:r>
        <w:rPr>
          <w:rFonts w:eastAsiaTheme="minorHAnsi"/>
        </w:rPr>
        <w:t xml:space="preserve"> such as </w:t>
      </w:r>
      <w:r w:rsidR="00BE1E3B">
        <w:rPr>
          <w:rFonts w:eastAsiaTheme="minorHAnsi"/>
        </w:rPr>
        <w:t xml:space="preserve">the </w:t>
      </w:r>
      <w:r w:rsidR="0034249E">
        <w:rPr>
          <w:rFonts w:eastAsiaTheme="minorHAnsi"/>
        </w:rPr>
        <w:t xml:space="preserve">percentage </w:t>
      </w:r>
      <w:r w:rsidR="00BE1E3B">
        <w:rPr>
          <w:rFonts w:eastAsiaTheme="minorHAnsi"/>
        </w:rPr>
        <w:t xml:space="preserve">of </w:t>
      </w:r>
      <w:r w:rsidR="00296396">
        <w:rPr>
          <w:rFonts w:eastAsiaTheme="minorHAnsi"/>
        </w:rPr>
        <w:t xml:space="preserve">the </w:t>
      </w:r>
      <w:r w:rsidR="00BE1E3B">
        <w:rPr>
          <w:rFonts w:eastAsiaTheme="minorHAnsi"/>
        </w:rPr>
        <w:t>malnourished population</w:t>
      </w:r>
      <w:r w:rsidR="0034249E">
        <w:rPr>
          <w:rFonts w:eastAsiaTheme="minorHAnsi"/>
        </w:rPr>
        <w:t xml:space="preserve"> (decreased from 30.9 percent in 1999 to 17.9 percent in 2011)</w:t>
      </w:r>
      <w:r w:rsidR="00BE1E3B">
        <w:rPr>
          <w:rFonts w:eastAsiaTheme="minorHAnsi"/>
        </w:rPr>
        <w:t xml:space="preserve">, </w:t>
      </w:r>
      <w:r>
        <w:rPr>
          <w:rFonts w:eastAsiaTheme="minorHAnsi"/>
        </w:rPr>
        <w:t xml:space="preserve">the </w:t>
      </w:r>
      <w:r w:rsidR="0034249E">
        <w:rPr>
          <w:rFonts w:eastAsiaTheme="minorHAnsi"/>
        </w:rPr>
        <w:t xml:space="preserve">under-5 </w:t>
      </w:r>
      <w:r>
        <w:rPr>
          <w:rFonts w:eastAsiaTheme="minorHAnsi"/>
        </w:rPr>
        <w:t xml:space="preserve">mortality rate </w:t>
      </w:r>
      <w:r w:rsidR="0034249E">
        <w:rPr>
          <w:rFonts w:eastAsiaTheme="minorHAnsi"/>
        </w:rPr>
        <w:t xml:space="preserve">(decreased slightly from 15.7 </w:t>
      </w:r>
      <w:r w:rsidR="008566D2">
        <w:rPr>
          <w:rFonts w:eastAsiaTheme="minorHAnsi"/>
        </w:rPr>
        <w:t xml:space="preserve">percent </w:t>
      </w:r>
      <w:r w:rsidR="0034249E">
        <w:rPr>
          <w:rFonts w:eastAsiaTheme="minorHAnsi"/>
        </w:rPr>
        <w:t xml:space="preserve">in 2000 to 12.8 </w:t>
      </w:r>
      <w:r w:rsidR="008566D2">
        <w:rPr>
          <w:rFonts w:eastAsiaTheme="minorHAnsi"/>
        </w:rPr>
        <w:t xml:space="preserve">percent </w:t>
      </w:r>
      <w:r w:rsidR="0034249E">
        <w:rPr>
          <w:rFonts w:eastAsiaTheme="minorHAnsi"/>
        </w:rPr>
        <w:t xml:space="preserve">in 2011), </w:t>
      </w:r>
      <w:r w:rsidRPr="007257E8">
        <w:rPr>
          <w:rFonts w:eastAsiaTheme="minorHAnsi"/>
        </w:rPr>
        <w:t>the net enrollment level in primary and secondary education</w:t>
      </w:r>
      <w:r w:rsidR="0034249E">
        <w:rPr>
          <w:rFonts w:eastAsiaTheme="minorHAnsi"/>
        </w:rPr>
        <w:t xml:space="preserve"> (above 90 percent for boys and girls), and the literacy rate (98 percent in 2011 compared to 94 percent in 2002)</w:t>
      </w:r>
      <w:r>
        <w:rPr>
          <w:rFonts w:eastAsiaTheme="minorHAnsi"/>
        </w:rPr>
        <w:t>.</w:t>
      </w:r>
    </w:p>
    <w:p w:rsidR="000D4D3B" w:rsidRPr="0041127A" w:rsidRDefault="002D3C5B" w:rsidP="00D363C3">
      <w:pPr>
        <w:pStyle w:val="Default"/>
        <w:widowControl w:val="0"/>
        <w:spacing w:after="200"/>
        <w:jc w:val="both"/>
        <w:rPr>
          <w:rFonts w:asciiTheme="minorHAnsi" w:eastAsiaTheme="minorEastAsia" w:hAnsiTheme="minorHAnsi" w:cstheme="minorBidi"/>
          <w:color w:val="auto"/>
        </w:rPr>
      </w:pPr>
      <w:r w:rsidRPr="00917CCF">
        <w:rPr>
          <w:b/>
          <w:iCs/>
        </w:rPr>
        <w:t xml:space="preserve">In response to the challenges faced by the country over the past several years, the Government </w:t>
      </w:r>
      <w:r w:rsidR="00AC25FF">
        <w:rPr>
          <w:b/>
          <w:iCs/>
        </w:rPr>
        <w:t>outlined</w:t>
      </w:r>
      <w:r w:rsidRPr="00917CCF">
        <w:rPr>
          <w:b/>
          <w:iCs/>
        </w:rPr>
        <w:t xml:space="preserve"> </w:t>
      </w:r>
      <w:r w:rsidR="00AC25FF">
        <w:rPr>
          <w:b/>
          <w:iCs/>
        </w:rPr>
        <w:t>the New Economy</w:t>
      </w:r>
      <w:r w:rsidR="00505630">
        <w:rPr>
          <w:b/>
          <w:iCs/>
        </w:rPr>
        <w:t xml:space="preserve"> </w:t>
      </w:r>
      <w:r w:rsidR="00CF1246">
        <w:rPr>
          <w:b/>
          <w:iCs/>
        </w:rPr>
        <w:t xml:space="preserve">initiative </w:t>
      </w:r>
      <w:r w:rsidR="00505630">
        <w:rPr>
          <w:b/>
          <w:iCs/>
        </w:rPr>
        <w:t>in the 2013 budget speech</w:t>
      </w:r>
      <w:r w:rsidR="00AC25FF">
        <w:rPr>
          <w:b/>
          <w:iCs/>
        </w:rPr>
        <w:t xml:space="preserve">, which </w:t>
      </w:r>
      <w:r w:rsidR="00BE1E3B">
        <w:rPr>
          <w:b/>
          <w:iCs/>
        </w:rPr>
        <w:t>includes</w:t>
      </w:r>
      <w:r w:rsidR="00AC25FF">
        <w:rPr>
          <w:b/>
          <w:iCs/>
        </w:rPr>
        <w:t xml:space="preserve"> </w:t>
      </w:r>
      <w:r w:rsidRPr="00917CCF">
        <w:rPr>
          <w:b/>
          <w:iCs/>
        </w:rPr>
        <w:t>the strategy for growth,</w:t>
      </w:r>
      <w:r w:rsidR="00AC25FF">
        <w:rPr>
          <w:b/>
          <w:iCs/>
        </w:rPr>
        <w:t xml:space="preserve"> fiscal sustainability</w:t>
      </w:r>
      <w:r w:rsidR="00C669EA">
        <w:rPr>
          <w:b/>
          <w:iCs/>
        </w:rPr>
        <w:t>,</w:t>
      </w:r>
      <w:r w:rsidR="00AC25FF">
        <w:rPr>
          <w:b/>
          <w:iCs/>
        </w:rPr>
        <w:t xml:space="preserve"> social development</w:t>
      </w:r>
      <w:r w:rsidR="00B9081A">
        <w:rPr>
          <w:b/>
          <w:iCs/>
        </w:rPr>
        <w:t xml:space="preserve"> and debt management</w:t>
      </w:r>
      <w:r w:rsidR="00BE1E3B">
        <w:rPr>
          <w:b/>
          <w:iCs/>
        </w:rPr>
        <w:t xml:space="preserve">. </w:t>
      </w:r>
      <w:r w:rsidR="00BE1E3B">
        <w:rPr>
          <w:iCs/>
        </w:rPr>
        <w:t xml:space="preserve">The initiative </w:t>
      </w:r>
      <w:r w:rsidR="00BE1E3B" w:rsidRPr="00AC25FF">
        <w:rPr>
          <w:iCs/>
        </w:rPr>
        <w:t>emphasizes tourism, agriculture and fisheries, energy development, including renewable energies, and a dynamic export sector as drivers of future economic growth</w:t>
      </w:r>
      <w:r w:rsidR="00BE1E3B">
        <w:rPr>
          <w:iCs/>
        </w:rPr>
        <w:t xml:space="preserve">, and address </w:t>
      </w:r>
      <w:r w:rsidR="00AC25FF" w:rsidRPr="00C80602">
        <w:rPr>
          <w:iCs/>
        </w:rPr>
        <w:t>public sector management, vocational training, sustainable development</w:t>
      </w:r>
      <w:r w:rsidR="00B9081A">
        <w:rPr>
          <w:iCs/>
        </w:rPr>
        <w:t>,</w:t>
      </w:r>
      <w:r w:rsidR="00AC25FF" w:rsidRPr="00C80602">
        <w:rPr>
          <w:iCs/>
        </w:rPr>
        <w:t xml:space="preserve"> and private sector </w:t>
      </w:r>
      <w:r w:rsidR="00B9081A">
        <w:rPr>
          <w:iCs/>
        </w:rPr>
        <w:t xml:space="preserve">development, including </w:t>
      </w:r>
      <w:r w:rsidR="00505630">
        <w:rPr>
          <w:iCs/>
        </w:rPr>
        <w:t>p</w:t>
      </w:r>
      <w:r w:rsidR="00AC25FF" w:rsidRPr="00C80602">
        <w:rPr>
          <w:iCs/>
        </w:rPr>
        <w:t xml:space="preserve">romoting micro and small businesses through the </w:t>
      </w:r>
      <w:r w:rsidR="00AC25FF" w:rsidRPr="00B9081A">
        <w:rPr>
          <w:iCs/>
        </w:rPr>
        <w:t xml:space="preserve">development of ICT as well as improving competitiveness </w:t>
      </w:r>
      <w:r w:rsidR="00B9081A" w:rsidRPr="00B9081A">
        <w:rPr>
          <w:iCs/>
        </w:rPr>
        <w:t xml:space="preserve">as </w:t>
      </w:r>
      <w:r w:rsidR="00AC25FF" w:rsidRPr="00B9081A">
        <w:rPr>
          <w:iCs/>
        </w:rPr>
        <w:t xml:space="preserve">a central part of the plan. </w:t>
      </w:r>
      <w:r w:rsidR="0091226B" w:rsidRPr="00D347F3">
        <w:t xml:space="preserve">In order to overhaul the tourism sector, </w:t>
      </w:r>
      <w:r w:rsidR="0041127A">
        <w:t xml:space="preserve">as part of the growth strategy, </w:t>
      </w:r>
      <w:r w:rsidR="0091226B" w:rsidRPr="00D347F3">
        <w:t xml:space="preserve">the </w:t>
      </w:r>
      <w:r w:rsidR="0091226B">
        <w:t>Government</w:t>
      </w:r>
      <w:r w:rsidR="0091226B" w:rsidRPr="00D347F3">
        <w:t xml:space="preserve"> has developed the Touri</w:t>
      </w:r>
      <w:r w:rsidR="0091226B">
        <w:t>sm Strategic Plan for 2011-2014,</w:t>
      </w:r>
      <w:r w:rsidR="0041127A">
        <w:t xml:space="preserve"> </w:t>
      </w:r>
      <w:r w:rsidR="0091226B">
        <w:t xml:space="preserve">which </w:t>
      </w:r>
      <w:r w:rsidR="0091226B" w:rsidRPr="0041127A">
        <w:t>focuses on infrastructure planning, working through national and regional tourism clusters to improve and expand product standards, and include the small enterprises in the overall strategic effort.</w:t>
      </w:r>
      <w:r w:rsidR="0091226B" w:rsidRPr="0041127A">
        <w:rPr>
          <w:rFonts w:eastAsiaTheme="minorEastAsia"/>
          <w:color w:val="auto"/>
        </w:rPr>
        <w:t xml:space="preserve"> </w:t>
      </w:r>
      <w:r w:rsidR="0041127A" w:rsidRPr="0041127A">
        <w:rPr>
          <w:rFonts w:eastAsiaTheme="minorEastAsia"/>
          <w:color w:val="auto"/>
        </w:rPr>
        <w:t xml:space="preserve">In addition, </w:t>
      </w:r>
      <w:r w:rsidR="0041127A">
        <w:rPr>
          <w:iCs/>
        </w:rPr>
        <w:t>t</w:t>
      </w:r>
      <w:r w:rsidR="0041127A" w:rsidRPr="0041127A">
        <w:rPr>
          <w:iCs/>
        </w:rPr>
        <w:t>o improve trade logistics</w:t>
      </w:r>
      <w:r w:rsidR="0041127A">
        <w:rPr>
          <w:iCs/>
        </w:rPr>
        <w:t>,</w:t>
      </w:r>
      <w:r w:rsidR="0041127A" w:rsidRPr="0041127A">
        <w:rPr>
          <w:iCs/>
        </w:rPr>
        <w:t xml:space="preserve"> </w:t>
      </w:r>
      <w:r w:rsidR="000D4D3B" w:rsidRPr="0041127A">
        <w:rPr>
          <w:iCs/>
        </w:rPr>
        <w:t>t</w:t>
      </w:r>
      <w:r w:rsidR="005A604F" w:rsidRPr="0041127A">
        <w:rPr>
          <w:iCs/>
        </w:rPr>
        <w:t xml:space="preserve">he Government </w:t>
      </w:r>
      <w:r w:rsidR="000D4D3B" w:rsidRPr="0041127A">
        <w:rPr>
          <w:iCs/>
        </w:rPr>
        <w:t xml:space="preserve">adopted </w:t>
      </w:r>
      <w:r w:rsidR="000D4D3B" w:rsidRPr="0041127A">
        <w:t xml:space="preserve">a computerized customs management system (ASYCUDA World) </w:t>
      </w:r>
      <w:r w:rsidR="0041127A">
        <w:t>at</w:t>
      </w:r>
      <w:r w:rsidR="000D4D3B" w:rsidRPr="0041127A">
        <w:t xml:space="preserve"> end-2010 that allows a web-based submission of customs declaration</w:t>
      </w:r>
      <w:r w:rsidR="0041127A">
        <w:rPr>
          <w:iCs/>
        </w:rPr>
        <w:t>.</w:t>
      </w:r>
    </w:p>
    <w:p w:rsidR="0022082F" w:rsidRPr="000D4D3B" w:rsidRDefault="00505630" w:rsidP="00D363C3">
      <w:pPr>
        <w:pStyle w:val="Default"/>
        <w:widowControl w:val="0"/>
        <w:spacing w:after="200"/>
        <w:jc w:val="both"/>
        <w:rPr>
          <w:rFonts w:asciiTheme="minorHAnsi" w:eastAsiaTheme="minorEastAsia" w:hAnsiTheme="minorHAnsi" w:cstheme="minorBidi"/>
          <w:color w:val="auto"/>
          <w:sz w:val="22"/>
          <w:szCs w:val="22"/>
        </w:rPr>
      </w:pPr>
      <w:r w:rsidRPr="00416618">
        <w:rPr>
          <w:b/>
          <w:bCs/>
          <w:szCs w:val="26"/>
        </w:rPr>
        <w:t xml:space="preserve">The strategy for fiscal sustainability </w:t>
      </w:r>
      <w:r w:rsidR="00E34E53" w:rsidRPr="00416618">
        <w:rPr>
          <w:b/>
          <w:bCs/>
          <w:szCs w:val="26"/>
        </w:rPr>
        <w:t>focuses</w:t>
      </w:r>
      <w:r w:rsidRPr="00416618">
        <w:rPr>
          <w:b/>
          <w:bCs/>
          <w:szCs w:val="26"/>
        </w:rPr>
        <w:t xml:space="preserve"> on the Government moving </w:t>
      </w:r>
      <w:r w:rsidRPr="00416618">
        <w:rPr>
          <w:b/>
          <w:bCs/>
        </w:rPr>
        <w:t>from a deficit position on its primary balance to a surplus position</w:t>
      </w:r>
      <w:r w:rsidR="008566D2">
        <w:rPr>
          <w:b/>
          <w:bCs/>
        </w:rPr>
        <w:t>, with the</w:t>
      </w:r>
      <w:r w:rsidRPr="00416618">
        <w:rPr>
          <w:b/>
          <w:bCs/>
        </w:rPr>
        <w:t xml:space="preserve"> aim </w:t>
      </w:r>
      <w:r w:rsidR="008566D2">
        <w:rPr>
          <w:b/>
          <w:bCs/>
        </w:rPr>
        <w:t>of</w:t>
      </w:r>
      <w:r w:rsidR="008566D2" w:rsidRPr="00416618">
        <w:rPr>
          <w:b/>
          <w:bCs/>
        </w:rPr>
        <w:t xml:space="preserve"> </w:t>
      </w:r>
      <w:r w:rsidRPr="00416618">
        <w:rPr>
          <w:b/>
          <w:bCs/>
        </w:rPr>
        <w:t>putting the high debt</w:t>
      </w:r>
      <w:r w:rsidR="00B27E87">
        <w:rPr>
          <w:b/>
          <w:bCs/>
        </w:rPr>
        <w:t xml:space="preserve">-to-GDP ratio </w:t>
      </w:r>
      <w:r w:rsidRPr="00416618">
        <w:rPr>
          <w:b/>
          <w:bCs/>
        </w:rPr>
        <w:t>on a downward path.</w:t>
      </w:r>
      <w:r w:rsidRPr="00DF70BB">
        <w:rPr>
          <w:b/>
          <w:bCs/>
        </w:rPr>
        <w:t xml:space="preserve"> </w:t>
      </w:r>
      <w:r w:rsidRPr="00324833">
        <w:rPr>
          <w:bCs/>
        </w:rPr>
        <w:t>This will require an increased tax effort as well as increased efficiency of Government expenditure</w:t>
      </w:r>
      <w:r w:rsidR="00B27E87">
        <w:rPr>
          <w:bCs/>
        </w:rPr>
        <w:t>s,</w:t>
      </w:r>
      <w:r w:rsidRPr="00324833">
        <w:rPr>
          <w:bCs/>
        </w:rPr>
        <w:t xml:space="preserve"> including managing the wage bill and reducing wastage in the </w:t>
      </w:r>
      <w:r w:rsidR="00B27E87">
        <w:rPr>
          <w:bCs/>
        </w:rPr>
        <w:t xml:space="preserve">spending </w:t>
      </w:r>
      <w:r w:rsidRPr="00324833">
        <w:rPr>
          <w:bCs/>
        </w:rPr>
        <w:t>system</w:t>
      </w:r>
      <w:r w:rsidR="00281CBE" w:rsidRPr="00324833">
        <w:rPr>
          <w:bCs/>
        </w:rPr>
        <w:t>.</w:t>
      </w:r>
      <w:r w:rsidR="000E17C1" w:rsidRPr="00324833">
        <w:rPr>
          <w:bCs/>
        </w:rPr>
        <w:t xml:space="preserve"> </w:t>
      </w:r>
      <w:r w:rsidR="00101C62" w:rsidRPr="00324833">
        <w:rPr>
          <w:bCs/>
        </w:rPr>
        <w:t>The Government has</w:t>
      </w:r>
      <w:r w:rsidR="008C2922">
        <w:rPr>
          <w:bCs/>
        </w:rPr>
        <w:t xml:space="preserve"> </w:t>
      </w:r>
      <w:r w:rsidR="00101C62" w:rsidRPr="00324833">
        <w:rPr>
          <w:bCs/>
        </w:rPr>
        <w:t>shown continu</w:t>
      </w:r>
      <w:r w:rsidR="00324833">
        <w:rPr>
          <w:bCs/>
        </w:rPr>
        <w:t>ous</w:t>
      </w:r>
      <w:r w:rsidR="00101C62" w:rsidRPr="00324833">
        <w:rPr>
          <w:bCs/>
        </w:rPr>
        <w:t xml:space="preserve"> efforts</w:t>
      </w:r>
      <w:r w:rsidR="008C2922">
        <w:rPr>
          <w:bCs/>
        </w:rPr>
        <w:t xml:space="preserve"> to improve </w:t>
      </w:r>
      <w:r w:rsidR="00324833" w:rsidRPr="00324833">
        <w:rPr>
          <w:bCs/>
        </w:rPr>
        <w:t>public service</w:t>
      </w:r>
      <w:r w:rsidR="008C2922">
        <w:rPr>
          <w:bCs/>
        </w:rPr>
        <w:t>s</w:t>
      </w:r>
      <w:r w:rsidR="00101C62" w:rsidRPr="00324833">
        <w:rPr>
          <w:bCs/>
        </w:rPr>
        <w:t xml:space="preserve">. </w:t>
      </w:r>
      <w:r w:rsidR="0022082F" w:rsidRPr="00324833">
        <w:t>During 2012-2013, the Government implemented human resource audits in three ministries</w:t>
      </w:r>
      <w:r w:rsidR="0022082F" w:rsidRPr="00F320EF">
        <w:t xml:space="preserve"> and one department, with the objective to align public sector positions and employee skills with the functions and programs for which these organizations are responsible</w:t>
      </w:r>
      <w:r w:rsidR="0022082F">
        <w:t>. In addition, the Department of Public Administration</w:t>
      </w:r>
      <w:r w:rsidR="00101C62">
        <w:t xml:space="preserve"> has been</w:t>
      </w:r>
      <w:r w:rsidR="0022082F">
        <w:t xml:space="preserve"> working to improve the quality of personnel records and align those with the payroll records. </w:t>
      </w:r>
      <w:r w:rsidR="00101C62">
        <w:t>Lastly, t</w:t>
      </w:r>
      <w:r w:rsidR="0022082F">
        <w:t>he Cabinet Office has led a strategic planning initiative and has introduced performance agreements between the government and senior officials</w:t>
      </w:r>
      <w:r w:rsidR="0022082F" w:rsidRPr="000D6893">
        <w:t xml:space="preserve"> </w:t>
      </w:r>
      <w:r w:rsidR="0022082F">
        <w:t>over the recent years.</w:t>
      </w:r>
    </w:p>
    <w:p w:rsidR="00E34E53" w:rsidRDefault="00505630" w:rsidP="00D363C3">
      <w:pPr>
        <w:pStyle w:val="Default"/>
        <w:widowControl w:val="0"/>
        <w:spacing w:after="200"/>
        <w:jc w:val="both"/>
        <w:rPr>
          <w:bCs/>
          <w:szCs w:val="26"/>
        </w:rPr>
      </w:pPr>
      <w:r w:rsidRPr="00416618">
        <w:rPr>
          <w:b/>
          <w:bCs/>
          <w:szCs w:val="26"/>
        </w:rPr>
        <w:t>The strategy for debt management is to first address the debt overhang through a comprehensive and collaborative debt restructuring.</w:t>
      </w:r>
      <w:r w:rsidRPr="00D347F3">
        <w:rPr>
          <w:bCs/>
          <w:szCs w:val="26"/>
        </w:rPr>
        <w:t xml:space="preserve"> </w:t>
      </w:r>
      <w:r w:rsidR="00101C62">
        <w:rPr>
          <w:bCs/>
          <w:szCs w:val="26"/>
        </w:rPr>
        <w:t>The Government expects the debt restructuring talk</w:t>
      </w:r>
      <w:r w:rsidR="00DF70BB">
        <w:rPr>
          <w:bCs/>
          <w:szCs w:val="26"/>
        </w:rPr>
        <w:t>s</w:t>
      </w:r>
      <w:r w:rsidR="00101C62">
        <w:rPr>
          <w:bCs/>
          <w:szCs w:val="26"/>
        </w:rPr>
        <w:t xml:space="preserve"> with private creditors to be launched in March and continued in April 2014. </w:t>
      </w:r>
      <w:r w:rsidR="00101C62" w:rsidRPr="008019A5">
        <w:t xml:space="preserve">On debt-related capacity building, several initiatives have been undertaken with the assistance of the </w:t>
      </w:r>
      <w:r w:rsidR="00B27E87">
        <w:t>Eastern Caribbean Central Bank</w:t>
      </w:r>
      <w:r w:rsidR="00101C62" w:rsidRPr="008019A5">
        <w:t>’s Debt Management Advisory Services</w:t>
      </w:r>
      <w:r w:rsidR="00101C62">
        <w:t>, which</w:t>
      </w:r>
      <w:r w:rsidR="00101C62" w:rsidRPr="008019A5">
        <w:t xml:space="preserve"> include debt record validations, development of guarantee guidelines, setting up of the front- middle- and back-offices and comprehensive training and skill building </w:t>
      </w:r>
      <w:r w:rsidR="00101C62">
        <w:t xml:space="preserve">activities for debt staff. </w:t>
      </w:r>
    </w:p>
    <w:p w:rsidR="007C40DB" w:rsidRPr="007C40DB" w:rsidRDefault="00680FD4" w:rsidP="00D363C3">
      <w:pPr>
        <w:pStyle w:val="Default"/>
        <w:widowControl w:val="0"/>
        <w:spacing w:after="200"/>
        <w:jc w:val="both"/>
        <w:rPr>
          <w:iCs/>
        </w:rPr>
      </w:pPr>
      <w:r w:rsidRPr="00416618">
        <w:rPr>
          <w:b/>
          <w:iCs/>
        </w:rPr>
        <w:t xml:space="preserve">The strategy for social development and </w:t>
      </w:r>
      <w:r w:rsidR="00B27E87" w:rsidRPr="00416618">
        <w:rPr>
          <w:b/>
          <w:iCs/>
        </w:rPr>
        <w:t>empower</w:t>
      </w:r>
      <w:r w:rsidR="00B27E87">
        <w:rPr>
          <w:b/>
          <w:iCs/>
        </w:rPr>
        <w:t>ment of</w:t>
      </w:r>
      <w:r w:rsidR="00B27E87" w:rsidRPr="00416618">
        <w:rPr>
          <w:b/>
          <w:iCs/>
        </w:rPr>
        <w:t xml:space="preserve"> </w:t>
      </w:r>
      <w:r w:rsidRPr="00416618">
        <w:rPr>
          <w:b/>
          <w:iCs/>
        </w:rPr>
        <w:t xml:space="preserve">the population aims to improve </w:t>
      </w:r>
      <w:r w:rsidRPr="00416618">
        <w:rPr>
          <w:b/>
          <w:iCs/>
        </w:rPr>
        <w:lastRenderedPageBreak/>
        <w:t xml:space="preserve">training and employment opportunities for the youth, facilitate better access and quality of education, improve health care services and facilities and provide affordable housing to low income families. </w:t>
      </w:r>
      <w:r w:rsidR="000E17C1">
        <w:rPr>
          <w:iCs/>
        </w:rPr>
        <w:t>The Government recently articulated a Social Safety Net Policy Framework which provides</w:t>
      </w:r>
      <w:r w:rsidR="000E17C1">
        <w:t xml:space="preserve"> </w:t>
      </w:r>
      <w:r w:rsidR="000E17C1" w:rsidRPr="000E17C1">
        <w:t>guidelines for operationalizing the recommendations from the 2009 Social Safety Net Assessment as well as strengthen</w:t>
      </w:r>
      <w:r w:rsidR="000E17C1">
        <w:t>ing social safety nets overall.</w:t>
      </w:r>
      <w:r w:rsidR="000E17C1">
        <w:rPr>
          <w:iCs/>
        </w:rPr>
        <w:t xml:space="preserve"> </w:t>
      </w:r>
      <w:r w:rsidRPr="00C80602">
        <w:rPr>
          <w:iCs/>
        </w:rPr>
        <w:t>A further strengthening of the flagship social safety net program “Support for Education, Empowerment and Development” is envisaged as well to ensure that the benefits provided under the program reach the neediest</w:t>
      </w:r>
      <w:r w:rsidRPr="00B314E0">
        <w:rPr>
          <w:iCs/>
        </w:rPr>
        <w:t>.</w:t>
      </w:r>
      <w:r w:rsidR="00E34E53">
        <w:rPr>
          <w:iCs/>
        </w:rPr>
        <w:t xml:space="preserve"> </w:t>
      </w:r>
    </w:p>
    <w:p w:rsidR="003103C4" w:rsidRDefault="003103C4" w:rsidP="00D363C3">
      <w:pPr>
        <w:numPr>
          <w:ilvl w:val="0"/>
          <w:numId w:val="24"/>
        </w:numPr>
        <w:spacing w:after="200"/>
        <w:jc w:val="both"/>
        <w:rPr>
          <w:b/>
        </w:rPr>
      </w:pPr>
      <w:r w:rsidRPr="008D1059">
        <w:rPr>
          <w:b/>
        </w:rPr>
        <w:t>Proposed</w:t>
      </w:r>
      <w:r>
        <w:rPr>
          <w:b/>
        </w:rPr>
        <w:t xml:space="preserve"> O</w:t>
      </w:r>
      <w:r w:rsidRPr="008D1059">
        <w:rPr>
          <w:b/>
        </w:rPr>
        <w:t>bjective(s)</w:t>
      </w:r>
    </w:p>
    <w:p w:rsidR="00CB0EED" w:rsidRPr="00852ADC" w:rsidRDefault="00852ADC" w:rsidP="00D363C3">
      <w:pPr>
        <w:spacing w:after="200"/>
        <w:jc w:val="both"/>
      </w:pPr>
      <w:r w:rsidRPr="00852ADC">
        <w:rPr>
          <w:bCs/>
        </w:rPr>
        <w:t>The Program Development Objective of the proposed DPL series is to support the Government of Grenada to implement a program of policy and institutional reforms to build resilience against systemic vulnerabilities and lay the foundations for private sector-led growth.</w:t>
      </w:r>
      <w:r w:rsidRPr="00852ADC">
        <w:t xml:space="preserve"> The operation supports four aspects of resilience: fiscal, financial, social and disaster risk management.</w:t>
      </w:r>
    </w:p>
    <w:p w:rsidR="007C442A" w:rsidRDefault="00A126FA" w:rsidP="00D363C3">
      <w:pPr>
        <w:numPr>
          <w:ilvl w:val="0"/>
          <w:numId w:val="24"/>
        </w:numPr>
        <w:spacing w:after="200"/>
        <w:jc w:val="both"/>
        <w:rPr>
          <w:b/>
        </w:rPr>
      </w:pPr>
      <w:r w:rsidRPr="005B0352">
        <w:rPr>
          <w:b/>
        </w:rPr>
        <w:t>Preliminary Description</w:t>
      </w:r>
      <w:r w:rsidR="00CD4543">
        <w:rPr>
          <w:b/>
        </w:rPr>
        <w:t xml:space="preserve"> </w:t>
      </w:r>
    </w:p>
    <w:p w:rsidR="00DF70BB" w:rsidRDefault="00CB2D85" w:rsidP="00D363C3">
      <w:pPr>
        <w:pStyle w:val="Default"/>
        <w:widowControl w:val="0"/>
        <w:spacing w:after="200"/>
        <w:jc w:val="both"/>
      </w:pPr>
      <w:r w:rsidRPr="00416618">
        <w:rPr>
          <w:b/>
        </w:rPr>
        <w:t xml:space="preserve">The proposed DPL </w:t>
      </w:r>
      <w:r w:rsidR="0091026A" w:rsidRPr="00416618">
        <w:rPr>
          <w:b/>
        </w:rPr>
        <w:t xml:space="preserve">is </w:t>
      </w:r>
      <w:r w:rsidRPr="00416618">
        <w:rPr>
          <w:b/>
        </w:rPr>
        <w:t xml:space="preserve">the first </w:t>
      </w:r>
      <w:r w:rsidR="00CF1246" w:rsidRPr="00416618">
        <w:rPr>
          <w:b/>
        </w:rPr>
        <w:t xml:space="preserve">in </w:t>
      </w:r>
      <w:r w:rsidRPr="00416618">
        <w:rPr>
          <w:b/>
        </w:rPr>
        <w:t xml:space="preserve">a programmatic series of </w:t>
      </w:r>
      <w:r w:rsidR="00E508FA" w:rsidRPr="00416618">
        <w:rPr>
          <w:b/>
        </w:rPr>
        <w:t>t</w:t>
      </w:r>
      <w:r w:rsidR="00CB0EED" w:rsidRPr="00416618">
        <w:rPr>
          <w:b/>
        </w:rPr>
        <w:t>hree</w:t>
      </w:r>
      <w:r w:rsidR="00631696" w:rsidRPr="00416618">
        <w:rPr>
          <w:b/>
        </w:rPr>
        <w:t xml:space="preserve"> DPLs</w:t>
      </w:r>
      <w:r w:rsidR="00DE5377">
        <w:rPr>
          <w:b/>
        </w:rPr>
        <w:t>. The operation is</w:t>
      </w:r>
      <w:r w:rsidR="00631696" w:rsidRPr="00416618">
        <w:rPr>
          <w:b/>
        </w:rPr>
        <w:t xml:space="preserve"> </w:t>
      </w:r>
      <w:r w:rsidR="00C36FCD">
        <w:rPr>
          <w:b/>
        </w:rPr>
        <w:t xml:space="preserve">structured around four pillars, namely </w:t>
      </w:r>
      <w:r w:rsidR="00BE49E5">
        <w:t>(1) promoting private sector-</w:t>
      </w:r>
      <w:r w:rsidR="00CB0EED" w:rsidRPr="008A5C7D">
        <w:t>led growth;</w:t>
      </w:r>
      <w:r w:rsidR="00CB0EED" w:rsidRPr="008A5C7D" w:rsidDel="00E84A8B">
        <w:t xml:space="preserve"> </w:t>
      </w:r>
      <w:r w:rsidR="00CB0EED" w:rsidRPr="008A5C7D">
        <w:t xml:space="preserve">(2) </w:t>
      </w:r>
      <w:r w:rsidR="00CF1246">
        <w:t>reducing fiscal, financial, and social vulnerability</w:t>
      </w:r>
      <w:r w:rsidR="00CB0EED" w:rsidRPr="008A5C7D">
        <w:t xml:space="preserve">; (3) building resilience to natural disasters; and (4) </w:t>
      </w:r>
      <w:r w:rsidR="00B27E87">
        <w:t xml:space="preserve">facilitating </w:t>
      </w:r>
      <w:r w:rsidR="00CB0EED" w:rsidRPr="008A5C7D">
        <w:t xml:space="preserve">debt </w:t>
      </w:r>
      <w:r w:rsidR="00B27E87">
        <w:t>portfolio restructuring and enhancing debt management</w:t>
      </w:r>
      <w:r w:rsidR="00CB0EED" w:rsidRPr="008A5C7D">
        <w:t>.</w:t>
      </w:r>
      <w:r w:rsidR="00CF1246">
        <w:t xml:space="preserve"> </w:t>
      </w:r>
    </w:p>
    <w:p w:rsidR="00984508" w:rsidRPr="002130F9" w:rsidRDefault="00CB2D85" w:rsidP="00D363C3">
      <w:pPr>
        <w:pStyle w:val="Default"/>
        <w:widowControl w:val="0"/>
        <w:spacing w:after="200"/>
        <w:jc w:val="both"/>
        <w:rPr>
          <w:iCs/>
        </w:rPr>
      </w:pPr>
      <w:r w:rsidRPr="00721867">
        <w:t xml:space="preserve">The </w:t>
      </w:r>
      <w:r w:rsidRPr="00416618">
        <w:rPr>
          <w:u w:val="single"/>
        </w:rPr>
        <w:t xml:space="preserve">first </w:t>
      </w:r>
      <w:r w:rsidR="00CF1246" w:rsidRPr="00416618">
        <w:rPr>
          <w:u w:val="single"/>
        </w:rPr>
        <w:t>pillar</w:t>
      </w:r>
      <w:r w:rsidRPr="00721867">
        <w:t xml:space="preserve"> </w:t>
      </w:r>
      <w:r w:rsidRPr="004B75DB">
        <w:t>supports</w:t>
      </w:r>
      <w:r w:rsidR="00B13E43">
        <w:t xml:space="preserve"> </w:t>
      </w:r>
      <w:r w:rsidR="00CF1246" w:rsidRPr="00CF1246">
        <w:rPr>
          <w:iCs/>
        </w:rPr>
        <w:t>economy-wide investment climate reforms in the areas of trade</w:t>
      </w:r>
      <w:r w:rsidR="00425525">
        <w:rPr>
          <w:iCs/>
        </w:rPr>
        <w:t xml:space="preserve">, </w:t>
      </w:r>
      <w:r w:rsidR="00CF1246" w:rsidRPr="00CF1246">
        <w:rPr>
          <w:iCs/>
        </w:rPr>
        <w:t>SME development</w:t>
      </w:r>
      <w:r w:rsidR="00BE49E5">
        <w:rPr>
          <w:iCs/>
        </w:rPr>
        <w:t>,</w:t>
      </w:r>
      <w:r w:rsidR="00B13E43">
        <w:rPr>
          <w:iCs/>
        </w:rPr>
        <w:t xml:space="preserve"> and Public-Private Partnerships</w:t>
      </w:r>
      <w:r w:rsidR="00CF1246" w:rsidRPr="00CF1246">
        <w:rPr>
          <w:iCs/>
        </w:rPr>
        <w:t>, along with industry-specific policy interventions in priority sectors</w:t>
      </w:r>
      <w:r w:rsidR="00B13E43">
        <w:rPr>
          <w:iCs/>
        </w:rPr>
        <w:t xml:space="preserve"> such as tourism, agribusiness, and energy sectors</w:t>
      </w:r>
      <w:r w:rsidR="00CF1246">
        <w:rPr>
          <w:iCs/>
        </w:rPr>
        <w:t>. T</w:t>
      </w:r>
      <w:r w:rsidR="00B13E43">
        <w:rPr>
          <w:iCs/>
        </w:rPr>
        <w:t>he</w:t>
      </w:r>
      <w:r w:rsidR="00CF1246">
        <w:rPr>
          <w:iCs/>
        </w:rPr>
        <w:t>se</w:t>
      </w:r>
      <w:r w:rsidR="00B13E43">
        <w:rPr>
          <w:iCs/>
        </w:rPr>
        <w:t xml:space="preserve"> meas</w:t>
      </w:r>
      <w:r w:rsidR="00CF1246">
        <w:rPr>
          <w:iCs/>
        </w:rPr>
        <w:t xml:space="preserve">ures are expected to </w:t>
      </w:r>
      <w:r w:rsidR="00B13E43" w:rsidRPr="00CF1246">
        <w:rPr>
          <w:iCs/>
        </w:rPr>
        <w:t>stimulat</w:t>
      </w:r>
      <w:r w:rsidR="00425525">
        <w:rPr>
          <w:iCs/>
        </w:rPr>
        <w:t>e</w:t>
      </w:r>
      <w:r w:rsidR="00B13E43" w:rsidRPr="00CF1246">
        <w:rPr>
          <w:iCs/>
        </w:rPr>
        <w:t xml:space="preserve"> private sector-led growth and economic diversification</w:t>
      </w:r>
      <w:r w:rsidR="00425525">
        <w:rPr>
          <w:iCs/>
        </w:rPr>
        <w:t>.</w:t>
      </w:r>
    </w:p>
    <w:p w:rsidR="00B13E43" w:rsidRDefault="00B13E43" w:rsidP="00D363C3">
      <w:pPr>
        <w:pStyle w:val="ListParagraph"/>
        <w:spacing w:after="200"/>
        <w:ind w:left="0"/>
        <w:jc w:val="both"/>
      </w:pPr>
      <w:r>
        <w:t xml:space="preserve">The </w:t>
      </w:r>
      <w:r w:rsidRPr="00416618">
        <w:rPr>
          <w:u w:val="single"/>
        </w:rPr>
        <w:t>second pillar</w:t>
      </w:r>
      <w:r w:rsidRPr="00721867">
        <w:t xml:space="preserve"> </w:t>
      </w:r>
      <w:r w:rsidRPr="004B75DB">
        <w:t>supports</w:t>
      </w:r>
      <w:r w:rsidR="00F8025B">
        <w:t xml:space="preserve"> </w:t>
      </w:r>
      <w:r w:rsidR="006606A4">
        <w:t xml:space="preserve">structural reforms in the area of fiscal management, </w:t>
      </w:r>
      <w:r w:rsidR="00BE49E5">
        <w:t xml:space="preserve">the </w:t>
      </w:r>
      <w:r w:rsidR="00BA07E2">
        <w:t>financial</w:t>
      </w:r>
      <w:r w:rsidR="006606A4">
        <w:t xml:space="preserve"> sector a</w:t>
      </w:r>
      <w:r w:rsidR="00BA07E2">
        <w:t>nd social safety nets, which include public</w:t>
      </w:r>
      <w:r w:rsidR="00F8025B">
        <w:t xml:space="preserve"> service modernization, </w:t>
      </w:r>
      <w:r w:rsidR="00BE49E5">
        <w:t>improvements in</w:t>
      </w:r>
      <w:r w:rsidR="00BE49E5" w:rsidRPr="00BE49E5">
        <w:t xml:space="preserve"> </w:t>
      </w:r>
      <w:r w:rsidR="00BE49E5">
        <w:t>the regulation and supervision</w:t>
      </w:r>
      <w:r w:rsidR="00A7469B">
        <w:t xml:space="preserve"> of</w:t>
      </w:r>
      <w:r w:rsidR="00BE49E5">
        <w:t xml:space="preserve"> </w:t>
      </w:r>
      <w:r w:rsidR="00F123F2">
        <w:t xml:space="preserve">the </w:t>
      </w:r>
      <w:r w:rsidR="00F8025B">
        <w:t>financial sector</w:t>
      </w:r>
      <w:r w:rsidR="00A7469B">
        <w:t xml:space="preserve">, and </w:t>
      </w:r>
      <w:r w:rsidR="00BE49E5">
        <w:t xml:space="preserve">better targeting </w:t>
      </w:r>
      <w:r w:rsidR="00A7469B">
        <w:t>mechanisms for</w:t>
      </w:r>
      <w:r w:rsidR="00F123F2">
        <w:t xml:space="preserve"> social safety net </w:t>
      </w:r>
      <w:r w:rsidR="00BE49E5">
        <w:t>programs</w:t>
      </w:r>
      <w:r w:rsidR="00BA07E2">
        <w:t>.</w:t>
      </w:r>
      <w:r w:rsidR="00F8025B">
        <w:t xml:space="preserve"> </w:t>
      </w:r>
      <w:r w:rsidR="00F123F2">
        <w:t xml:space="preserve">These </w:t>
      </w:r>
      <w:r w:rsidR="00A7469B">
        <w:t>reforms</w:t>
      </w:r>
      <w:r w:rsidR="00F123F2">
        <w:t xml:space="preserve"> will help the Government strengthen fiscal management, and lower financial sector risks, and reduce social vulnerability.</w:t>
      </w:r>
    </w:p>
    <w:p w:rsidR="0011085F" w:rsidRDefault="0011085F" w:rsidP="00D363C3">
      <w:pPr>
        <w:pStyle w:val="ListParagraph"/>
        <w:spacing w:after="200"/>
        <w:ind w:left="0"/>
        <w:jc w:val="both"/>
      </w:pPr>
    </w:p>
    <w:p w:rsidR="006F2BB8" w:rsidRDefault="00B13E43" w:rsidP="00D363C3">
      <w:pPr>
        <w:pStyle w:val="ListParagraph"/>
        <w:spacing w:after="200"/>
        <w:ind w:left="0"/>
        <w:jc w:val="both"/>
        <w:rPr>
          <w:bCs/>
          <w:color w:val="000000"/>
        </w:rPr>
      </w:pPr>
      <w:r w:rsidRPr="001A1E04">
        <w:t xml:space="preserve">The </w:t>
      </w:r>
      <w:r w:rsidRPr="00416618">
        <w:rPr>
          <w:u w:val="single"/>
        </w:rPr>
        <w:t>third pillar</w:t>
      </w:r>
      <w:r w:rsidRPr="001A1E04">
        <w:t xml:space="preserve"> supports</w:t>
      </w:r>
      <w:r w:rsidR="001A1E04">
        <w:t xml:space="preserve"> the Government’s efforts to </w:t>
      </w:r>
      <w:r w:rsidR="001A1E04" w:rsidRPr="001A1E04">
        <w:rPr>
          <w:color w:val="000000"/>
        </w:rPr>
        <w:t>reduce both its physical and fiscal vulnerability to natural disasters and better manage its impacts</w:t>
      </w:r>
      <w:r w:rsidR="001A1E04">
        <w:rPr>
          <w:color w:val="000000"/>
        </w:rPr>
        <w:t xml:space="preserve"> through a </w:t>
      </w:r>
      <w:r w:rsidR="001A1E04" w:rsidRPr="001A1E04">
        <w:rPr>
          <w:bCs/>
          <w:color w:val="000000"/>
        </w:rPr>
        <w:t>develop</w:t>
      </w:r>
      <w:r w:rsidR="001A1E04">
        <w:rPr>
          <w:bCs/>
          <w:color w:val="000000"/>
        </w:rPr>
        <w:t>ment of</w:t>
      </w:r>
      <w:r w:rsidR="001A1E04" w:rsidRPr="001A1E04">
        <w:rPr>
          <w:bCs/>
          <w:color w:val="000000"/>
        </w:rPr>
        <w:t xml:space="preserve"> a </w:t>
      </w:r>
      <w:r w:rsidR="006F2BB8">
        <w:rPr>
          <w:bCs/>
          <w:color w:val="000000"/>
        </w:rPr>
        <w:t>national Disaster Risk Financing and I</w:t>
      </w:r>
      <w:r w:rsidR="001A1E04" w:rsidRPr="001A1E04">
        <w:rPr>
          <w:bCs/>
          <w:color w:val="000000"/>
        </w:rPr>
        <w:t>nsurance framework</w:t>
      </w:r>
      <w:r w:rsidR="00230A36">
        <w:rPr>
          <w:bCs/>
          <w:color w:val="000000"/>
        </w:rPr>
        <w:t xml:space="preserve"> </w:t>
      </w:r>
      <w:r w:rsidR="00A7469B">
        <w:rPr>
          <w:bCs/>
          <w:color w:val="000000"/>
        </w:rPr>
        <w:t>with the aim of</w:t>
      </w:r>
      <w:r w:rsidR="0011085F">
        <w:rPr>
          <w:bCs/>
          <w:color w:val="000000"/>
        </w:rPr>
        <w:t xml:space="preserve"> </w:t>
      </w:r>
      <w:r w:rsidR="001A1E04" w:rsidRPr="001A1E04">
        <w:rPr>
          <w:color w:val="000000"/>
        </w:rPr>
        <w:t xml:space="preserve">the improvement of the physical </w:t>
      </w:r>
      <w:r w:rsidR="006F2BB8">
        <w:rPr>
          <w:color w:val="000000"/>
        </w:rPr>
        <w:t>planning regulatory system</w:t>
      </w:r>
      <w:r w:rsidR="0011085F">
        <w:rPr>
          <w:color w:val="000000"/>
        </w:rPr>
        <w:t xml:space="preserve"> and the</w:t>
      </w:r>
      <w:r w:rsidR="006F2BB8">
        <w:rPr>
          <w:color w:val="000000"/>
        </w:rPr>
        <w:t xml:space="preserve"> </w:t>
      </w:r>
      <w:r w:rsidR="001A1E04" w:rsidRPr="001A1E04">
        <w:rPr>
          <w:color w:val="000000"/>
        </w:rPr>
        <w:t xml:space="preserve">development of a comprehensive </w:t>
      </w:r>
      <w:r w:rsidR="006F2BB8">
        <w:rPr>
          <w:color w:val="000000"/>
        </w:rPr>
        <w:t>risk financing strategy.</w:t>
      </w:r>
      <w:r w:rsidR="006F2BB8">
        <w:rPr>
          <w:bCs/>
          <w:color w:val="000000"/>
        </w:rPr>
        <w:t xml:space="preserve"> </w:t>
      </w:r>
      <w:r w:rsidR="001A1E04" w:rsidRPr="001A1E04">
        <w:rPr>
          <w:bCs/>
          <w:color w:val="000000"/>
        </w:rPr>
        <w:t>Th</w:t>
      </w:r>
      <w:r w:rsidR="006F2BB8">
        <w:rPr>
          <w:bCs/>
          <w:color w:val="000000"/>
        </w:rPr>
        <w:t xml:space="preserve">ese measures are expected to </w:t>
      </w:r>
      <w:r w:rsidR="001A1E04" w:rsidRPr="001A1E04">
        <w:rPr>
          <w:bCs/>
          <w:color w:val="000000"/>
        </w:rPr>
        <w:t>improve the government’s fiscal management of natural disasters and capacity to effectively allocate resources and monitor investments following a disaster event</w:t>
      </w:r>
      <w:r w:rsidR="0011085F">
        <w:rPr>
          <w:bCs/>
          <w:color w:val="000000"/>
        </w:rPr>
        <w:t>, by identifying</w:t>
      </w:r>
      <w:r w:rsidR="0011085F" w:rsidRPr="001A1E04">
        <w:rPr>
          <w:bCs/>
          <w:color w:val="000000"/>
        </w:rPr>
        <w:t xml:space="preserve"> cost-effective financial protection measures and insurance instruments</w:t>
      </w:r>
      <w:r w:rsidR="0011085F">
        <w:rPr>
          <w:bCs/>
          <w:color w:val="000000"/>
        </w:rPr>
        <w:t>.</w:t>
      </w:r>
    </w:p>
    <w:p w:rsidR="006F2BB8" w:rsidRDefault="006F2BB8" w:rsidP="00D363C3">
      <w:pPr>
        <w:pStyle w:val="ListParagraph"/>
        <w:spacing w:after="200"/>
        <w:ind w:left="0"/>
        <w:jc w:val="both"/>
        <w:rPr>
          <w:bCs/>
          <w:color w:val="000000"/>
        </w:rPr>
      </w:pPr>
    </w:p>
    <w:p w:rsidR="00416618" w:rsidRPr="002130F9" w:rsidRDefault="00B13E43" w:rsidP="00416618">
      <w:pPr>
        <w:pStyle w:val="ListParagraph"/>
        <w:spacing w:after="200"/>
        <w:ind w:left="0"/>
        <w:jc w:val="both"/>
      </w:pPr>
      <w:r w:rsidRPr="0023464B">
        <w:t xml:space="preserve">The </w:t>
      </w:r>
      <w:r w:rsidRPr="00416618">
        <w:rPr>
          <w:u w:val="single"/>
        </w:rPr>
        <w:t>fourth pillar</w:t>
      </w:r>
      <w:r w:rsidRPr="0023464B">
        <w:t xml:space="preserve"> supports</w:t>
      </w:r>
      <w:r w:rsidR="00B311D7" w:rsidRPr="0023464B">
        <w:t xml:space="preserve"> the Government’s efforts to strengthen institutional </w:t>
      </w:r>
      <w:r w:rsidR="002130F9">
        <w:t xml:space="preserve">capacity on </w:t>
      </w:r>
      <w:r w:rsidR="00B311D7" w:rsidRPr="0023464B">
        <w:t>debt management</w:t>
      </w:r>
      <w:r w:rsidR="00A7469B">
        <w:rPr>
          <w:color w:val="000000"/>
        </w:rPr>
        <w:t xml:space="preserve">, through </w:t>
      </w:r>
      <w:r w:rsidR="00D431FC">
        <w:rPr>
          <w:color w:val="000000"/>
        </w:rPr>
        <w:t>the</w:t>
      </w:r>
      <w:r w:rsidR="00A7469B">
        <w:rPr>
          <w:color w:val="000000"/>
        </w:rPr>
        <w:t xml:space="preserve"> development</w:t>
      </w:r>
      <w:r w:rsidR="00B311D7" w:rsidRPr="00B311D7">
        <w:rPr>
          <w:color w:val="000000"/>
        </w:rPr>
        <w:t xml:space="preserve"> of an in-house detailed Medium-Term Debt Management Strategy, aligned with </w:t>
      </w:r>
      <w:r w:rsidR="00D431FC">
        <w:rPr>
          <w:color w:val="000000"/>
        </w:rPr>
        <w:t>b</w:t>
      </w:r>
      <w:r w:rsidR="00B311D7" w:rsidRPr="00B311D7">
        <w:rPr>
          <w:color w:val="000000"/>
        </w:rPr>
        <w:t xml:space="preserve">udget discussions to give a clear signal to markets and creditors of the country’s medium-term commitment </w:t>
      </w:r>
      <w:r w:rsidR="00D431FC">
        <w:rPr>
          <w:color w:val="000000"/>
        </w:rPr>
        <w:t>to</w:t>
      </w:r>
      <w:r w:rsidR="00B311D7" w:rsidRPr="00B311D7">
        <w:rPr>
          <w:color w:val="000000"/>
        </w:rPr>
        <w:t xml:space="preserve"> its debt </w:t>
      </w:r>
      <w:r w:rsidR="00D431FC">
        <w:rPr>
          <w:color w:val="000000"/>
        </w:rPr>
        <w:t xml:space="preserve">management </w:t>
      </w:r>
      <w:r w:rsidR="00B311D7" w:rsidRPr="00B311D7">
        <w:rPr>
          <w:color w:val="000000"/>
        </w:rPr>
        <w:t xml:space="preserve">strategy. </w:t>
      </w:r>
      <w:r w:rsidR="0023464B" w:rsidRPr="0023464B">
        <w:t>T</w:t>
      </w:r>
      <w:r w:rsidR="00B311D7" w:rsidRPr="0023464B">
        <w:t>h</w:t>
      </w:r>
      <w:r w:rsidR="0023464B" w:rsidRPr="0023464B">
        <w:t>ese</w:t>
      </w:r>
      <w:r w:rsidR="00B311D7" w:rsidRPr="0023464B">
        <w:t xml:space="preserve"> measures are expected to lead to changes in the debt portfolio that will contribute to </w:t>
      </w:r>
      <w:r w:rsidR="00D431FC">
        <w:t xml:space="preserve">the </w:t>
      </w:r>
      <w:r w:rsidR="00B311D7" w:rsidRPr="0023464B">
        <w:t>long-term debt sustainability of Government operations</w:t>
      </w:r>
      <w:r w:rsidR="00B311D7" w:rsidRPr="00B311D7">
        <w:rPr>
          <w:sz w:val="22"/>
          <w:szCs w:val="22"/>
        </w:rPr>
        <w:t>.</w:t>
      </w:r>
    </w:p>
    <w:p w:rsidR="00AA5A30" w:rsidRDefault="00AA5A30" w:rsidP="00D363C3">
      <w:pPr>
        <w:numPr>
          <w:ilvl w:val="0"/>
          <w:numId w:val="24"/>
        </w:numPr>
        <w:spacing w:after="200"/>
        <w:jc w:val="both"/>
        <w:rPr>
          <w:b/>
        </w:rPr>
      </w:pPr>
      <w:r>
        <w:rPr>
          <w:b/>
        </w:rPr>
        <w:lastRenderedPageBreak/>
        <w:t>Poverty and Social Impacts and Environment Aspects</w:t>
      </w:r>
      <w:r w:rsidR="00D067DD">
        <w:rPr>
          <w:b/>
        </w:rPr>
        <w:t xml:space="preserve"> </w:t>
      </w:r>
    </w:p>
    <w:p w:rsidR="001F7E4A" w:rsidRPr="004D7A43" w:rsidRDefault="00AA5A30" w:rsidP="00D363C3">
      <w:pPr>
        <w:pStyle w:val="CM4"/>
        <w:spacing w:after="200"/>
        <w:jc w:val="both"/>
        <w:rPr>
          <w:b/>
          <w:i/>
          <w:iCs/>
          <w:szCs w:val="22"/>
        </w:rPr>
      </w:pPr>
      <w:r w:rsidRPr="004D7A43">
        <w:rPr>
          <w:b/>
          <w:i/>
          <w:iCs/>
          <w:szCs w:val="22"/>
        </w:rPr>
        <w:t xml:space="preserve">Poverty and Social Impacts </w:t>
      </w:r>
    </w:p>
    <w:p w:rsidR="00B40927" w:rsidRPr="004F3D77" w:rsidRDefault="00B40927" w:rsidP="00710888">
      <w:pPr>
        <w:pStyle w:val="CM4"/>
        <w:spacing w:after="200"/>
        <w:jc w:val="both"/>
      </w:pPr>
      <w:r w:rsidRPr="00D901EE">
        <w:rPr>
          <w:b/>
          <w:iCs/>
        </w:rPr>
        <w:t xml:space="preserve">The poverty and social impact of the policy measures supported by this </w:t>
      </w:r>
      <w:r w:rsidR="004D7A43" w:rsidRPr="00235D64">
        <w:rPr>
          <w:b/>
          <w:iCs/>
        </w:rPr>
        <w:t>this DPL series</w:t>
      </w:r>
      <w:r w:rsidR="004D7A43">
        <w:rPr>
          <w:b/>
          <w:iCs/>
        </w:rPr>
        <w:t xml:space="preserve"> </w:t>
      </w:r>
      <w:r w:rsidR="00296396">
        <w:rPr>
          <w:b/>
          <w:iCs/>
        </w:rPr>
        <w:t xml:space="preserve">is </w:t>
      </w:r>
      <w:r w:rsidRPr="00D901EE">
        <w:rPr>
          <w:b/>
          <w:iCs/>
        </w:rPr>
        <w:t>expected to be positive or neutral</w:t>
      </w:r>
      <w:r w:rsidR="00710888">
        <w:rPr>
          <w:b/>
          <w:iCs/>
        </w:rPr>
        <w:t>;</w:t>
      </w:r>
      <w:r w:rsidR="00710888">
        <w:rPr>
          <w:iCs/>
        </w:rPr>
        <w:t xml:space="preserve"> </w:t>
      </w:r>
      <w:r w:rsidR="00710888">
        <w:rPr>
          <w:b/>
        </w:rPr>
        <w:t>t</w:t>
      </w:r>
      <w:r w:rsidRPr="00710888">
        <w:rPr>
          <w:b/>
        </w:rPr>
        <w:t>he policy measures supported under Pillar 1 are expected to have a positive poverty and social impact.</w:t>
      </w:r>
      <w:r>
        <w:t xml:space="preserve"> An improved functioning of the commercial estates is likely to increase employment and possibl</w:t>
      </w:r>
      <w:r w:rsidR="00F76E2C">
        <w:t>y</w:t>
      </w:r>
      <w:r>
        <w:t xml:space="preserve"> the income of the employ</w:t>
      </w:r>
      <w:r w:rsidR="00F76E2C">
        <w:t>ed</w:t>
      </w:r>
      <w:r>
        <w:t xml:space="preserve"> staff. The Tourism Authority Act can be expected to improve linkages between agriculture and tourism, thereby increasing the revenue of agricultural producers, offering new employment possibilities and reducing poverty.</w:t>
      </w:r>
    </w:p>
    <w:p w:rsidR="00B40927" w:rsidRPr="00D72988" w:rsidRDefault="00B40927" w:rsidP="00D363C3">
      <w:pPr>
        <w:pStyle w:val="Default"/>
        <w:widowControl w:val="0"/>
        <w:spacing w:after="200"/>
        <w:jc w:val="both"/>
        <w:rPr>
          <w:iCs/>
        </w:rPr>
      </w:pPr>
      <w:r w:rsidRPr="00D72988">
        <w:rPr>
          <w:b/>
          <w:iCs/>
        </w:rPr>
        <w:t>The impact of the reforms supported under Pillar 2 is expected to be positive in the medium to long term.</w:t>
      </w:r>
      <w:r w:rsidRPr="00D72988">
        <w:rPr>
          <w:iCs/>
        </w:rPr>
        <w:t xml:space="preserve"> While the approval of the Public Sector Modernization Plan and the Social Safety Net</w:t>
      </w:r>
      <w:r>
        <w:rPr>
          <w:iCs/>
        </w:rPr>
        <w:t xml:space="preserve"> Policy Framework</w:t>
      </w:r>
      <w:r w:rsidRPr="00D72988">
        <w:rPr>
          <w:iCs/>
        </w:rPr>
        <w:t xml:space="preserve"> does not have an immediate impact on poverty, their implementation can be expected to have a direct positive impact. Particularly, the implementation of the Social Safety Net</w:t>
      </w:r>
      <w:r>
        <w:rPr>
          <w:iCs/>
        </w:rPr>
        <w:t xml:space="preserve"> Policy Framework</w:t>
      </w:r>
      <w:r w:rsidRPr="00D72988">
        <w:rPr>
          <w:iCs/>
        </w:rPr>
        <w:t xml:space="preserve"> </w:t>
      </w:r>
      <w:r>
        <w:rPr>
          <w:iCs/>
        </w:rPr>
        <w:t>will contribute to an improved approach to the delivery of social safety nets and</w:t>
      </w:r>
      <w:r w:rsidRPr="00D72988">
        <w:rPr>
          <w:iCs/>
        </w:rPr>
        <w:t xml:space="preserve"> is meant to ensure that Grenada’s poor and vulnerable population receives adequate assistance. The expected outputs include, for example, the </w:t>
      </w:r>
      <w:r w:rsidRPr="00D72988">
        <w:t>development of different social protection programs, the consolidation of existing programs, improve</w:t>
      </w:r>
      <w:r>
        <w:t>d</w:t>
      </w:r>
      <w:r w:rsidRPr="00D72988">
        <w:t xml:space="preserve"> access to health care and </w:t>
      </w:r>
      <w:r>
        <w:t xml:space="preserve">an </w:t>
      </w:r>
      <w:r w:rsidRPr="00D72988">
        <w:t>improvement in the delivery of health care programs</w:t>
      </w:r>
      <w:r>
        <w:t>,</w:t>
      </w:r>
      <w:r w:rsidRPr="00D72988">
        <w:t xml:space="preserve"> and increase</w:t>
      </w:r>
      <w:r>
        <w:t>d</w:t>
      </w:r>
      <w:r w:rsidRPr="00D72988">
        <w:t xml:space="preserve"> training and employment initiatives for the youth.</w:t>
      </w:r>
    </w:p>
    <w:p w:rsidR="00B40927" w:rsidRPr="002F3DE5" w:rsidRDefault="00C20035" w:rsidP="00D363C3">
      <w:pPr>
        <w:pStyle w:val="Default"/>
        <w:widowControl w:val="0"/>
        <w:spacing w:after="200"/>
        <w:jc w:val="both"/>
        <w:rPr>
          <w:iCs/>
        </w:rPr>
      </w:pPr>
      <w:r>
        <w:rPr>
          <w:b/>
          <w:iCs/>
        </w:rPr>
        <w:t>T</w:t>
      </w:r>
      <w:r w:rsidR="00B40927" w:rsidRPr="00E12A4B">
        <w:rPr>
          <w:b/>
          <w:iCs/>
        </w:rPr>
        <w:t xml:space="preserve">he </w:t>
      </w:r>
      <w:r>
        <w:rPr>
          <w:b/>
          <w:iCs/>
        </w:rPr>
        <w:t xml:space="preserve">impact of </w:t>
      </w:r>
      <w:r w:rsidR="00B40927" w:rsidRPr="00E12A4B">
        <w:rPr>
          <w:b/>
          <w:iCs/>
        </w:rPr>
        <w:t>reforms supported under Pillar 3 and 4 are expected to be neutral in the short term, but have a positive impact in the long term.</w:t>
      </w:r>
      <w:r w:rsidR="00B40927" w:rsidRPr="00E12A4B">
        <w:rPr>
          <w:iCs/>
        </w:rPr>
        <w:t xml:space="preserve"> A safer construction of roads, bridges and buildings, which is more resilient to natural disasters, will prevent the loss of live</w:t>
      </w:r>
      <w:r w:rsidR="00B40927">
        <w:rPr>
          <w:iCs/>
        </w:rPr>
        <w:t>s and destruction of property, thereby having a positive impact on the livelihood of the population exposed to natural shocks. Building financial resilience to natural disasters will free up fiscal space for spending that could contribute to the reduction of poverty. Similarly, a decreased debt level would reduce interest payments and fiscal pressure on the government budget.</w:t>
      </w:r>
      <w:r w:rsidR="00B40927" w:rsidRPr="00E12A4B">
        <w:rPr>
          <w:iCs/>
        </w:rPr>
        <w:t xml:space="preserve"> </w:t>
      </w:r>
    </w:p>
    <w:p w:rsidR="004D7A43" w:rsidRPr="004D7A43" w:rsidRDefault="004D7A43" w:rsidP="00D363C3">
      <w:pPr>
        <w:pStyle w:val="CM4"/>
        <w:spacing w:after="200"/>
        <w:jc w:val="both"/>
        <w:rPr>
          <w:b/>
          <w:i/>
          <w:iCs/>
        </w:rPr>
      </w:pPr>
      <w:r w:rsidRPr="004D7A43">
        <w:rPr>
          <w:b/>
          <w:i/>
          <w:iCs/>
        </w:rPr>
        <w:t>Environment</w:t>
      </w:r>
      <w:r w:rsidR="00DF70BB">
        <w:rPr>
          <w:b/>
          <w:i/>
          <w:iCs/>
        </w:rPr>
        <w:t>al</w:t>
      </w:r>
      <w:r w:rsidRPr="004D7A43">
        <w:rPr>
          <w:b/>
          <w:i/>
          <w:iCs/>
        </w:rPr>
        <w:t xml:space="preserve"> Aspects</w:t>
      </w:r>
    </w:p>
    <w:p w:rsidR="00710888" w:rsidRDefault="00B40927" w:rsidP="00416618">
      <w:pPr>
        <w:pStyle w:val="Default"/>
        <w:widowControl w:val="0"/>
        <w:spacing w:after="200"/>
        <w:jc w:val="both"/>
      </w:pPr>
      <w:r w:rsidRPr="00235D64">
        <w:rPr>
          <w:b/>
          <w:iCs/>
        </w:rPr>
        <w:t xml:space="preserve">The specific policies supported by this DPL series are not expected to have significant impacts on </w:t>
      </w:r>
      <w:r w:rsidR="001F7E4A">
        <w:rPr>
          <w:b/>
          <w:iCs/>
        </w:rPr>
        <w:t xml:space="preserve">Grenada’s </w:t>
      </w:r>
      <w:r w:rsidRPr="00235D64">
        <w:rPr>
          <w:b/>
          <w:iCs/>
        </w:rPr>
        <w:t>environment, forests, or other natural resources.</w:t>
      </w:r>
      <w:r w:rsidR="00574C41">
        <w:rPr>
          <w:iCs/>
        </w:rPr>
        <w:t xml:space="preserve"> </w:t>
      </w:r>
      <w:r w:rsidRPr="00574C41">
        <w:t>The reforms supported under Pillar 3 will contribute to an improved regulatory framework with a positive impact on environmental management.</w:t>
      </w:r>
      <w:r w:rsidRPr="00606E05">
        <w:rPr>
          <w:b/>
        </w:rPr>
        <w:t xml:space="preserve"> </w:t>
      </w:r>
      <w:r w:rsidRPr="00606E05">
        <w:t>As a result of the regulatory acts adopted and subsequent regulatory enforcement, environmental impact assessments would be required by law before phys</w:t>
      </w:r>
      <w:r w:rsidR="001F7E4A">
        <w:t xml:space="preserve">ical works could commence. This </w:t>
      </w:r>
      <w:r w:rsidRPr="00606E05">
        <w:t>would result in the mitigation of environmental impacts associated with publicly and privately financed civil works projects.</w:t>
      </w:r>
    </w:p>
    <w:p w:rsidR="000F384B" w:rsidRDefault="000F384B" w:rsidP="00416618">
      <w:pPr>
        <w:pStyle w:val="Default"/>
        <w:widowControl w:val="0"/>
        <w:spacing w:after="200"/>
        <w:jc w:val="both"/>
      </w:pPr>
    </w:p>
    <w:p w:rsidR="00C66C0C" w:rsidRDefault="00C66C0C" w:rsidP="00416618">
      <w:pPr>
        <w:pStyle w:val="Default"/>
        <w:widowControl w:val="0"/>
        <w:spacing w:after="200"/>
        <w:jc w:val="both"/>
      </w:pPr>
    </w:p>
    <w:p w:rsidR="00C66C0C" w:rsidRDefault="00C66C0C" w:rsidP="00416618">
      <w:pPr>
        <w:pStyle w:val="Default"/>
        <w:widowControl w:val="0"/>
        <w:spacing w:after="200"/>
        <w:jc w:val="both"/>
      </w:pPr>
    </w:p>
    <w:p w:rsidR="00C66C0C" w:rsidRDefault="00C66C0C" w:rsidP="00416618">
      <w:pPr>
        <w:pStyle w:val="Default"/>
        <w:widowControl w:val="0"/>
        <w:spacing w:after="200"/>
        <w:jc w:val="both"/>
      </w:pPr>
    </w:p>
    <w:p w:rsidR="00A126FA" w:rsidRPr="00B14B1C" w:rsidRDefault="00A126FA" w:rsidP="00604B2D">
      <w:pPr>
        <w:numPr>
          <w:ilvl w:val="0"/>
          <w:numId w:val="24"/>
        </w:numPr>
        <w:spacing w:line="276" w:lineRule="auto"/>
        <w:rPr>
          <w:b/>
        </w:rPr>
      </w:pPr>
      <w:r w:rsidRPr="00B14B1C">
        <w:rPr>
          <w:b/>
        </w:rPr>
        <w:lastRenderedPageBreak/>
        <w:t>Tentative financing</w:t>
      </w:r>
    </w:p>
    <w:p w:rsidR="00F34B6F" w:rsidRDefault="00F34B6F" w:rsidP="00604B2D">
      <w:pPr>
        <w:spacing w:line="276" w:lineRule="auto"/>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604B2D">
            <w:pPr>
              <w:spacing w:line="276" w:lineRule="auto"/>
            </w:pPr>
            <w:r>
              <w:t>Source:</w:t>
            </w:r>
            <w:bookmarkStart w:id="5" w:name="FINANCINGTAB_PID"/>
            <w:bookmarkEnd w:id="5"/>
          </w:p>
        </w:tc>
        <w:tc>
          <w:tcPr>
            <w:tcW w:w="1980" w:type="dxa"/>
          </w:tcPr>
          <w:p w:rsidR="00A126FA" w:rsidRDefault="00A126FA" w:rsidP="00257FFE">
            <w:pPr>
              <w:tabs>
                <w:tab w:val="decimal" w:pos="252"/>
              </w:tabs>
              <w:spacing w:line="276" w:lineRule="auto"/>
              <w:jc w:val="center"/>
            </w:pPr>
            <w:r>
              <w:t>($m</w:t>
            </w:r>
            <w:r w:rsidR="00257FFE">
              <w:t>illion</w:t>
            </w:r>
            <w:r>
              <w:t>)</w:t>
            </w:r>
          </w:p>
        </w:tc>
      </w:tr>
      <w:tr w:rsidR="001A5578" w:rsidTr="00F34B6F">
        <w:tc>
          <w:tcPr>
            <w:tcW w:w="7488" w:type="dxa"/>
          </w:tcPr>
          <w:p w:rsidR="001A5578" w:rsidRDefault="001A5578" w:rsidP="00604B2D">
            <w:pPr>
              <w:tabs>
                <w:tab w:val="right" w:pos="7200"/>
              </w:tabs>
              <w:spacing w:line="276" w:lineRule="auto"/>
            </w:pPr>
            <w:r>
              <w:t>Borrower</w:t>
            </w:r>
          </w:p>
        </w:tc>
        <w:tc>
          <w:tcPr>
            <w:tcW w:w="1980" w:type="dxa"/>
          </w:tcPr>
          <w:p w:rsidR="001A5578" w:rsidRDefault="001A5578" w:rsidP="00604B2D">
            <w:pPr>
              <w:tabs>
                <w:tab w:val="decimal" w:pos="252"/>
              </w:tabs>
              <w:spacing w:line="276" w:lineRule="auto"/>
              <w:jc w:val="center"/>
            </w:pPr>
            <w:r>
              <w:t>0</w:t>
            </w:r>
          </w:p>
        </w:tc>
      </w:tr>
      <w:tr w:rsidR="001A5578" w:rsidTr="00F34B6F">
        <w:tc>
          <w:tcPr>
            <w:tcW w:w="7488" w:type="dxa"/>
          </w:tcPr>
          <w:p w:rsidR="001A5578" w:rsidRPr="00416618" w:rsidRDefault="001A5578" w:rsidP="00693EE3">
            <w:pPr>
              <w:tabs>
                <w:tab w:val="right" w:pos="7200"/>
              </w:tabs>
              <w:spacing w:line="276" w:lineRule="auto"/>
            </w:pPr>
            <w:r w:rsidRPr="00416618">
              <w:t>International Development</w:t>
            </w:r>
            <w:r w:rsidR="00693EE3" w:rsidRPr="00416618">
              <w:t xml:space="preserve"> </w:t>
            </w:r>
            <w:r w:rsidR="00B40927" w:rsidRPr="00416618">
              <w:t>A</w:t>
            </w:r>
            <w:r w:rsidR="00693EE3" w:rsidRPr="00416618">
              <w:t>ssociation</w:t>
            </w:r>
          </w:p>
        </w:tc>
        <w:tc>
          <w:tcPr>
            <w:tcW w:w="1980" w:type="dxa"/>
          </w:tcPr>
          <w:p w:rsidR="001A5578" w:rsidRDefault="00E508FA" w:rsidP="00E508FA">
            <w:pPr>
              <w:tabs>
                <w:tab w:val="decimal" w:pos="252"/>
              </w:tabs>
              <w:spacing w:line="276" w:lineRule="auto"/>
              <w:jc w:val="center"/>
            </w:pPr>
            <w:r w:rsidRPr="00416618">
              <w:t>10</w:t>
            </w:r>
          </w:p>
        </w:tc>
      </w:tr>
      <w:tr w:rsidR="00A126FA" w:rsidTr="00F34B6F">
        <w:tc>
          <w:tcPr>
            <w:tcW w:w="7488" w:type="dxa"/>
          </w:tcPr>
          <w:p w:rsidR="00A126FA" w:rsidRDefault="00A126FA" w:rsidP="00604B2D">
            <w:pPr>
              <w:tabs>
                <w:tab w:val="right" w:pos="7200"/>
              </w:tabs>
              <w:spacing w:line="276" w:lineRule="auto"/>
            </w:pPr>
          </w:p>
        </w:tc>
        <w:tc>
          <w:tcPr>
            <w:tcW w:w="1980" w:type="dxa"/>
          </w:tcPr>
          <w:p w:rsidR="00A126FA" w:rsidRDefault="00A126FA" w:rsidP="00604B2D">
            <w:pPr>
              <w:tabs>
                <w:tab w:val="decimal" w:pos="252"/>
              </w:tabs>
              <w:spacing w:line="276" w:lineRule="auto"/>
              <w:jc w:val="center"/>
            </w:pPr>
          </w:p>
        </w:tc>
      </w:tr>
      <w:tr w:rsidR="00A126FA" w:rsidTr="00F34B6F">
        <w:tc>
          <w:tcPr>
            <w:tcW w:w="7488" w:type="dxa"/>
          </w:tcPr>
          <w:p w:rsidR="00A126FA" w:rsidRDefault="00A126FA" w:rsidP="00604B2D">
            <w:pPr>
              <w:tabs>
                <w:tab w:val="right" w:pos="7200"/>
              </w:tabs>
              <w:spacing w:line="276" w:lineRule="auto"/>
            </w:pPr>
            <w:r>
              <w:tab/>
              <w:t>Total</w:t>
            </w:r>
          </w:p>
        </w:tc>
        <w:tc>
          <w:tcPr>
            <w:tcW w:w="1980" w:type="dxa"/>
          </w:tcPr>
          <w:p w:rsidR="00A126FA" w:rsidRDefault="00E508FA" w:rsidP="00E508FA">
            <w:pPr>
              <w:tabs>
                <w:tab w:val="decimal" w:pos="252"/>
              </w:tabs>
              <w:spacing w:line="276" w:lineRule="auto"/>
              <w:jc w:val="center"/>
            </w:pPr>
            <w:r>
              <w:t>10</w:t>
            </w:r>
          </w:p>
        </w:tc>
      </w:tr>
    </w:tbl>
    <w:p w:rsidR="00F34B6F" w:rsidRDefault="00F34B6F" w:rsidP="00604B2D">
      <w:pPr>
        <w:spacing w:line="276" w:lineRule="auto"/>
        <w:ind w:left="720"/>
        <w:rPr>
          <w:b/>
        </w:rPr>
      </w:pPr>
    </w:p>
    <w:p w:rsidR="00A126FA" w:rsidRPr="003E3D6A" w:rsidRDefault="00A126FA" w:rsidP="00604B2D">
      <w:pPr>
        <w:numPr>
          <w:ilvl w:val="0"/>
          <w:numId w:val="24"/>
        </w:numPr>
        <w:spacing w:line="276" w:lineRule="auto"/>
        <w:rPr>
          <w:b/>
        </w:rPr>
      </w:pPr>
      <w:r w:rsidRPr="00B14B1C">
        <w:rPr>
          <w:b/>
        </w:rPr>
        <w:t>Contact point</w:t>
      </w:r>
    </w:p>
    <w:p w:rsidR="001F53BF" w:rsidRDefault="001F53BF" w:rsidP="00604B2D">
      <w:pPr>
        <w:pStyle w:val="ListParagraph"/>
        <w:spacing w:line="276" w:lineRule="auto"/>
        <w:ind w:left="0"/>
        <w:rPr>
          <w:b/>
        </w:rPr>
      </w:pPr>
    </w:p>
    <w:p w:rsidR="008F0B46" w:rsidRDefault="008F0B46" w:rsidP="00604B2D">
      <w:pPr>
        <w:pStyle w:val="ListParagraph"/>
        <w:spacing w:line="276" w:lineRule="auto"/>
        <w:ind w:left="0"/>
      </w:pPr>
      <w:r w:rsidRPr="00225112">
        <w:rPr>
          <w:b/>
        </w:rPr>
        <w:t>World Bank</w:t>
      </w:r>
      <w:r w:rsidR="00F34B6F">
        <w:rPr>
          <w:b/>
        </w:rPr>
        <w:t xml:space="preserve"> </w:t>
      </w:r>
    </w:p>
    <w:p w:rsidR="001A5578" w:rsidRDefault="001A5578" w:rsidP="00604B2D">
      <w:pPr>
        <w:spacing w:line="276" w:lineRule="auto"/>
      </w:pPr>
      <w:bookmarkStart w:id="6" w:name="ContactInfo"/>
      <w:r>
        <w:t xml:space="preserve">Contact: </w:t>
      </w:r>
      <w:r w:rsidR="00622DD1">
        <w:tab/>
      </w:r>
      <w:proofErr w:type="spellStart"/>
      <w:r w:rsidR="00E508FA">
        <w:t>Rei</w:t>
      </w:r>
      <w:proofErr w:type="spellEnd"/>
      <w:r w:rsidR="00E508FA">
        <w:t xml:space="preserve"> </w:t>
      </w:r>
      <w:proofErr w:type="spellStart"/>
      <w:r w:rsidR="00E508FA">
        <w:t>Odawara</w:t>
      </w:r>
      <w:proofErr w:type="spellEnd"/>
    </w:p>
    <w:p w:rsidR="001A5578" w:rsidRDefault="001A5578" w:rsidP="00604B2D">
      <w:pPr>
        <w:spacing w:line="276" w:lineRule="auto"/>
      </w:pPr>
      <w:r>
        <w:t xml:space="preserve">Title: </w:t>
      </w:r>
      <w:r w:rsidR="00622DD1">
        <w:tab/>
      </w:r>
      <w:r w:rsidR="00622DD1">
        <w:tab/>
      </w:r>
      <w:r>
        <w:t>Economist</w:t>
      </w:r>
    </w:p>
    <w:p w:rsidR="001A5578" w:rsidRDefault="001A5578" w:rsidP="00604B2D">
      <w:pPr>
        <w:spacing w:line="276" w:lineRule="auto"/>
      </w:pPr>
      <w:r>
        <w:t xml:space="preserve">Tel: </w:t>
      </w:r>
      <w:r w:rsidR="00622DD1">
        <w:tab/>
      </w:r>
      <w:r w:rsidR="00622DD1">
        <w:tab/>
      </w:r>
      <w:r>
        <w:t>(202) 458-</w:t>
      </w:r>
      <w:r w:rsidR="00E508FA">
        <w:t>9356</w:t>
      </w:r>
    </w:p>
    <w:p w:rsidR="008F0B46" w:rsidRPr="00FB4A9E" w:rsidRDefault="001A5578" w:rsidP="00604B2D">
      <w:pPr>
        <w:spacing w:line="276" w:lineRule="auto"/>
        <w:rPr>
          <w:lang w:val="fr-BE"/>
        </w:rPr>
      </w:pPr>
      <w:r w:rsidRPr="00FB4A9E">
        <w:rPr>
          <w:lang w:val="fr-BE"/>
        </w:rPr>
        <w:t xml:space="preserve">Email: </w:t>
      </w:r>
      <w:r w:rsidR="00622DD1" w:rsidRPr="00FB4A9E">
        <w:rPr>
          <w:lang w:val="fr-BE"/>
        </w:rPr>
        <w:tab/>
      </w:r>
      <w:r w:rsidR="00622DD1" w:rsidRPr="00FB4A9E">
        <w:rPr>
          <w:lang w:val="fr-BE"/>
        </w:rPr>
        <w:tab/>
      </w:r>
      <w:r w:rsidR="00E508FA">
        <w:rPr>
          <w:lang w:val="fr-BE"/>
        </w:rPr>
        <w:t>rodawara</w:t>
      </w:r>
      <w:r w:rsidRPr="00FB4A9E">
        <w:rPr>
          <w:lang w:val="fr-BE"/>
        </w:rPr>
        <w:t>@worldbank.org</w:t>
      </w:r>
      <w:bookmarkEnd w:id="6"/>
    </w:p>
    <w:p w:rsidR="001125BB" w:rsidRPr="00FB4A9E" w:rsidRDefault="001125BB" w:rsidP="00604B2D">
      <w:pPr>
        <w:spacing w:line="276" w:lineRule="auto"/>
        <w:rPr>
          <w:b/>
          <w:lang w:val="fr-BE"/>
        </w:rPr>
      </w:pPr>
    </w:p>
    <w:p w:rsidR="008F0B46" w:rsidRPr="00FB4A9E" w:rsidRDefault="008F0B46" w:rsidP="00604B2D">
      <w:pPr>
        <w:spacing w:line="276" w:lineRule="auto"/>
        <w:rPr>
          <w:b/>
          <w:lang w:val="fr-BE"/>
        </w:rPr>
      </w:pPr>
      <w:proofErr w:type="spellStart"/>
      <w:r w:rsidRPr="00FB4A9E">
        <w:rPr>
          <w:b/>
          <w:lang w:val="fr-BE"/>
        </w:rPr>
        <w:t>Borrower</w:t>
      </w:r>
      <w:proofErr w:type="spellEnd"/>
    </w:p>
    <w:p w:rsidR="002B7FA9" w:rsidRDefault="008F0B46" w:rsidP="00604B2D">
      <w:pPr>
        <w:spacing w:line="276" w:lineRule="auto"/>
      </w:pPr>
      <w:r w:rsidRPr="00A30F2B">
        <w:t>Contact</w:t>
      </w:r>
      <w:r>
        <w:t>:</w:t>
      </w:r>
      <w:r w:rsidR="00622DD1">
        <w:t xml:space="preserve"> </w:t>
      </w:r>
      <w:r w:rsidR="001E7662">
        <w:tab/>
      </w:r>
      <w:r w:rsidR="00E508FA">
        <w:t>Mr. Timothy Antoine</w:t>
      </w:r>
      <w:r w:rsidR="002B7FA9">
        <w:t xml:space="preserve"> </w:t>
      </w:r>
    </w:p>
    <w:p w:rsidR="002B7FA9" w:rsidRDefault="00622DD1" w:rsidP="00604B2D">
      <w:pPr>
        <w:spacing w:line="276" w:lineRule="auto"/>
      </w:pPr>
      <w:r>
        <w:t xml:space="preserve">Title: </w:t>
      </w:r>
      <w:r>
        <w:tab/>
      </w:r>
      <w:r>
        <w:tab/>
      </w:r>
      <w:r w:rsidR="00E508FA">
        <w:t>Permanent Secretary</w:t>
      </w:r>
      <w:r w:rsidR="002B7FA9">
        <w:t xml:space="preserve">, </w:t>
      </w:r>
      <w:r>
        <w:t>M</w:t>
      </w:r>
      <w:r w:rsidR="001E7662">
        <w:t>inistry of Finance</w:t>
      </w:r>
    </w:p>
    <w:p w:rsidR="002B7FA9" w:rsidRDefault="008F0B46" w:rsidP="00604B2D">
      <w:pPr>
        <w:spacing w:line="276" w:lineRule="auto"/>
      </w:pPr>
      <w:r w:rsidRPr="002653F1">
        <w:t>Tel:</w:t>
      </w:r>
      <w:r w:rsidRPr="002653F1">
        <w:tab/>
      </w:r>
      <w:r w:rsidRPr="002653F1">
        <w:tab/>
      </w:r>
      <w:r w:rsidR="00E508FA">
        <w:rPr>
          <w:color w:val="000000"/>
        </w:rPr>
        <w:t>(473) 440-2928</w:t>
      </w:r>
    </w:p>
    <w:p w:rsidR="0059349F" w:rsidRPr="002B7FA9" w:rsidRDefault="008F0B46" w:rsidP="00604B2D">
      <w:pPr>
        <w:spacing w:line="276" w:lineRule="auto"/>
      </w:pPr>
      <w:r w:rsidRPr="002653F1">
        <w:t>Email:</w:t>
      </w:r>
      <w:r w:rsidRPr="002653F1">
        <w:tab/>
      </w:r>
      <w:r w:rsidRPr="002653F1">
        <w:tab/>
      </w:r>
      <w:r w:rsidR="00E508FA">
        <w:t>timothy.a</w:t>
      </w:r>
      <w:r w:rsidR="00E508FA" w:rsidRPr="00E508FA">
        <w:t>ntoine@gov.gd</w:t>
      </w:r>
    </w:p>
    <w:p w:rsidR="002B7FA9" w:rsidRDefault="002B7FA9" w:rsidP="00604B2D">
      <w:pPr>
        <w:spacing w:line="276" w:lineRule="auto"/>
      </w:pPr>
    </w:p>
    <w:p w:rsidR="0059349F" w:rsidRPr="0059349F" w:rsidRDefault="0059349F" w:rsidP="00604B2D">
      <w:pPr>
        <w:numPr>
          <w:ilvl w:val="0"/>
          <w:numId w:val="24"/>
        </w:numPr>
        <w:spacing w:line="276" w:lineRule="auto"/>
        <w:rPr>
          <w:b/>
        </w:rPr>
      </w:pPr>
      <w:r w:rsidRPr="0059349F">
        <w:rPr>
          <w:b/>
        </w:rPr>
        <w:t>For more information contact:</w:t>
      </w:r>
    </w:p>
    <w:p w:rsidR="001F53BF" w:rsidRDefault="001F53BF" w:rsidP="00604B2D">
      <w:pPr>
        <w:spacing w:line="276" w:lineRule="auto"/>
      </w:pPr>
    </w:p>
    <w:p w:rsidR="0059349F" w:rsidRPr="00C82216" w:rsidRDefault="0059349F" w:rsidP="00604B2D">
      <w:pPr>
        <w:spacing w:line="276" w:lineRule="auto"/>
      </w:pPr>
      <w:r w:rsidRPr="00C82216">
        <w:t xml:space="preserve">The </w:t>
      </w:r>
      <w:r w:rsidR="00C24B52" w:rsidRPr="00C82216">
        <w:t>Info Shop</w:t>
      </w:r>
    </w:p>
    <w:p w:rsidR="0059349F" w:rsidRPr="00C82216" w:rsidRDefault="0059349F" w:rsidP="00604B2D">
      <w:pPr>
        <w:spacing w:line="276" w:lineRule="auto"/>
      </w:pPr>
      <w:r w:rsidRPr="00C82216">
        <w:t>The World Bank</w:t>
      </w:r>
    </w:p>
    <w:p w:rsidR="0059349F" w:rsidRPr="00C82216" w:rsidRDefault="0059349F" w:rsidP="00604B2D">
      <w:pPr>
        <w:spacing w:line="276" w:lineRule="auto"/>
      </w:pPr>
      <w:r w:rsidRPr="00C82216">
        <w:t>1818 H Street, NW</w:t>
      </w:r>
    </w:p>
    <w:p w:rsidR="0059349F" w:rsidRPr="00C82216" w:rsidRDefault="0059349F" w:rsidP="00604B2D">
      <w:pPr>
        <w:spacing w:line="276" w:lineRule="auto"/>
      </w:pPr>
      <w:r w:rsidRPr="00C82216">
        <w:t>Washington, D.C. 20433</w:t>
      </w:r>
    </w:p>
    <w:p w:rsidR="0059349F" w:rsidRPr="00C82216" w:rsidRDefault="0059349F" w:rsidP="00604B2D">
      <w:pPr>
        <w:spacing w:line="276" w:lineRule="auto"/>
      </w:pPr>
      <w:r w:rsidRPr="00C82216">
        <w:t>Telephone:  (202) 458-</w:t>
      </w:r>
      <w:r w:rsidR="00C070C8">
        <w:t>4500</w:t>
      </w:r>
    </w:p>
    <w:p w:rsidR="0059349F" w:rsidRPr="00C82216" w:rsidRDefault="0059349F" w:rsidP="00604B2D">
      <w:pPr>
        <w:spacing w:line="276" w:lineRule="auto"/>
      </w:pPr>
      <w:r w:rsidRPr="00C82216">
        <w:t>Fax:  (202) 522-1500</w:t>
      </w:r>
    </w:p>
    <w:p w:rsidR="0059349F" w:rsidRPr="00C82216" w:rsidRDefault="0059349F" w:rsidP="00604B2D">
      <w:pPr>
        <w:spacing w:line="276" w:lineRule="auto"/>
      </w:pPr>
      <w:r w:rsidRPr="00C82216">
        <w:t>Web: http://www.worldbank.org/infoshop</w:t>
      </w:r>
    </w:p>
    <w:p w:rsidR="0059349F" w:rsidRPr="00A30F2B" w:rsidRDefault="0059349F" w:rsidP="00604B2D">
      <w:pPr>
        <w:spacing w:line="276" w:lineRule="auto"/>
      </w:pPr>
    </w:p>
    <w:sectPr w:rsidR="0059349F" w:rsidRPr="00A30F2B" w:rsidSect="00731B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F0" w:rsidRDefault="009E50F0">
      <w:r>
        <w:separator/>
      </w:r>
    </w:p>
  </w:endnote>
  <w:endnote w:type="continuationSeparator" w:id="0">
    <w:p w:rsidR="009E50F0" w:rsidRDefault="009E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560381"/>
      <w:docPartObj>
        <w:docPartGallery w:val="Page Numbers (Bottom of Page)"/>
        <w:docPartUnique/>
      </w:docPartObj>
    </w:sdtPr>
    <w:sdtEndPr>
      <w:rPr>
        <w:noProof/>
      </w:rPr>
    </w:sdtEndPr>
    <w:sdtContent>
      <w:p w:rsidR="00167FF8" w:rsidRDefault="00731C63">
        <w:pPr>
          <w:pStyle w:val="Footer"/>
          <w:jc w:val="right"/>
        </w:pPr>
        <w:r>
          <w:fldChar w:fldCharType="begin"/>
        </w:r>
        <w:r w:rsidR="001C5EAF">
          <w:instrText xml:space="preserve"> PAGE   \* MERGEFORMAT </w:instrText>
        </w:r>
        <w:r>
          <w:fldChar w:fldCharType="separate"/>
        </w:r>
        <w:r w:rsidR="00DF2C29">
          <w:rPr>
            <w:noProof/>
          </w:rPr>
          <w:t>1</w:t>
        </w:r>
        <w:r>
          <w:rPr>
            <w:noProof/>
          </w:rPr>
          <w:fldChar w:fldCharType="end"/>
        </w:r>
      </w:p>
    </w:sdtContent>
  </w:sdt>
  <w:p w:rsidR="00167FF8" w:rsidRDefault="00167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F0" w:rsidRDefault="009E50F0">
      <w:r>
        <w:separator/>
      </w:r>
    </w:p>
  </w:footnote>
  <w:footnote w:type="continuationSeparator" w:id="0">
    <w:p w:rsidR="009E50F0" w:rsidRDefault="009E5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F1CB9"/>
    <w:multiLevelType w:val="hybridMultilevel"/>
    <w:tmpl w:val="C6540590"/>
    <w:lvl w:ilvl="0" w:tplc="89CE4CD2">
      <w:start w:val="1"/>
      <w:numFmt w:val="decimal"/>
      <w:lvlText w:val="%1."/>
      <w:lvlJc w:val="left"/>
      <w:pPr>
        <w:ind w:left="1080" w:hanging="720"/>
      </w:pPr>
      <w:rPr>
        <w:rFonts w:hint="default"/>
      </w:rPr>
    </w:lvl>
    <w:lvl w:ilvl="1" w:tplc="994EF45E" w:tentative="1">
      <w:start w:val="1"/>
      <w:numFmt w:val="lowerLetter"/>
      <w:lvlText w:val="%2."/>
      <w:lvlJc w:val="left"/>
      <w:pPr>
        <w:ind w:left="1440" w:hanging="360"/>
      </w:pPr>
    </w:lvl>
    <w:lvl w:ilvl="2" w:tplc="75A2588A" w:tentative="1">
      <w:start w:val="1"/>
      <w:numFmt w:val="lowerRoman"/>
      <w:lvlText w:val="%3."/>
      <w:lvlJc w:val="right"/>
      <w:pPr>
        <w:ind w:left="2160" w:hanging="180"/>
      </w:pPr>
    </w:lvl>
    <w:lvl w:ilvl="3" w:tplc="050C0F3A" w:tentative="1">
      <w:start w:val="1"/>
      <w:numFmt w:val="decimal"/>
      <w:lvlText w:val="%4."/>
      <w:lvlJc w:val="left"/>
      <w:pPr>
        <w:ind w:left="2880" w:hanging="360"/>
      </w:pPr>
    </w:lvl>
    <w:lvl w:ilvl="4" w:tplc="70B6784A" w:tentative="1">
      <w:start w:val="1"/>
      <w:numFmt w:val="lowerLetter"/>
      <w:lvlText w:val="%5."/>
      <w:lvlJc w:val="left"/>
      <w:pPr>
        <w:ind w:left="3600" w:hanging="360"/>
      </w:pPr>
    </w:lvl>
    <w:lvl w:ilvl="5" w:tplc="27B835FA" w:tentative="1">
      <w:start w:val="1"/>
      <w:numFmt w:val="lowerRoman"/>
      <w:lvlText w:val="%6."/>
      <w:lvlJc w:val="right"/>
      <w:pPr>
        <w:ind w:left="4320" w:hanging="180"/>
      </w:pPr>
    </w:lvl>
    <w:lvl w:ilvl="6" w:tplc="0E90EB3C" w:tentative="1">
      <w:start w:val="1"/>
      <w:numFmt w:val="decimal"/>
      <w:lvlText w:val="%7."/>
      <w:lvlJc w:val="left"/>
      <w:pPr>
        <w:ind w:left="5040" w:hanging="360"/>
      </w:pPr>
    </w:lvl>
    <w:lvl w:ilvl="7" w:tplc="1252261E" w:tentative="1">
      <w:start w:val="1"/>
      <w:numFmt w:val="lowerLetter"/>
      <w:lvlText w:val="%8."/>
      <w:lvlJc w:val="left"/>
      <w:pPr>
        <w:ind w:left="5760" w:hanging="360"/>
      </w:pPr>
    </w:lvl>
    <w:lvl w:ilvl="8" w:tplc="95C2B022" w:tentative="1">
      <w:start w:val="1"/>
      <w:numFmt w:val="lowerRoman"/>
      <w:lvlText w:val="%9."/>
      <w:lvlJc w:val="right"/>
      <w:pPr>
        <w:ind w:left="6480" w:hanging="180"/>
      </w:pPr>
    </w:lvl>
  </w:abstractNum>
  <w:abstractNum w:abstractNumId="5">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C646CA"/>
    <w:multiLevelType w:val="hybridMultilevel"/>
    <w:tmpl w:val="09D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0E3ED5"/>
    <w:multiLevelType w:val="hybridMultilevel"/>
    <w:tmpl w:val="F55A4848"/>
    <w:lvl w:ilvl="0" w:tplc="7FA439CA">
      <w:start w:val="1"/>
      <w:numFmt w:val="decimal"/>
      <w:lvlText w:val="%1."/>
      <w:lvlJc w:val="left"/>
      <w:pPr>
        <w:ind w:left="0" w:firstLine="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863F48"/>
    <w:multiLevelType w:val="hybridMultilevel"/>
    <w:tmpl w:val="89B686DA"/>
    <w:lvl w:ilvl="0" w:tplc="DB282642">
      <w:start w:val="1"/>
      <w:numFmt w:val="decimal"/>
      <w:lvlText w:val="%1."/>
      <w:lvlJc w:val="left"/>
      <w:pPr>
        <w:ind w:left="360" w:hanging="360"/>
      </w:pPr>
      <w:rPr>
        <w:rFonts w:hint="default"/>
        <w:b w:val="0"/>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3D0F72"/>
    <w:multiLevelType w:val="hybridMultilevel"/>
    <w:tmpl w:val="ECB217BC"/>
    <w:lvl w:ilvl="0" w:tplc="C6CC09D8">
      <w:start w:val="1"/>
      <w:numFmt w:val="upperLetter"/>
      <w:lvlText w:val="%1."/>
      <w:lvlJc w:val="left"/>
      <w:pPr>
        <w:ind w:left="108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651E8730">
      <w:numFmt w:val="bullet"/>
      <w:lvlText w:val="•"/>
      <w:lvlJc w:val="left"/>
      <w:pPr>
        <w:ind w:left="1980" w:hanging="360"/>
      </w:pPr>
      <w:rPr>
        <w:rFonts w:ascii="Times New Roman" w:eastAsia="MS Mincho"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EE3E9D"/>
    <w:multiLevelType w:val="hybridMultilevel"/>
    <w:tmpl w:val="EB826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410AE"/>
    <w:multiLevelType w:val="hybridMultilevel"/>
    <w:tmpl w:val="515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4B08CB"/>
    <w:multiLevelType w:val="hybridMultilevel"/>
    <w:tmpl w:val="E75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0">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32"/>
  </w:num>
  <w:num w:numId="4">
    <w:abstractNumId w:val="1"/>
  </w:num>
  <w:num w:numId="5">
    <w:abstractNumId w:val="17"/>
  </w:num>
  <w:num w:numId="6">
    <w:abstractNumId w:val="0"/>
  </w:num>
  <w:num w:numId="7">
    <w:abstractNumId w:val="26"/>
  </w:num>
  <w:num w:numId="8">
    <w:abstractNumId w:val="9"/>
  </w:num>
  <w:num w:numId="9">
    <w:abstractNumId w:val="20"/>
  </w:num>
  <w:num w:numId="10">
    <w:abstractNumId w:val="2"/>
  </w:num>
  <w:num w:numId="11">
    <w:abstractNumId w:val="13"/>
  </w:num>
  <w:num w:numId="12">
    <w:abstractNumId w:val="19"/>
  </w:num>
  <w:num w:numId="13">
    <w:abstractNumId w:val="12"/>
  </w:num>
  <w:num w:numId="14">
    <w:abstractNumId w:val="29"/>
  </w:num>
  <w:num w:numId="15">
    <w:abstractNumId w:val="33"/>
  </w:num>
  <w:num w:numId="16">
    <w:abstractNumId w:val="10"/>
  </w:num>
  <w:num w:numId="17">
    <w:abstractNumId w:val="14"/>
  </w:num>
  <w:num w:numId="18">
    <w:abstractNumId w:val="31"/>
  </w:num>
  <w:num w:numId="19">
    <w:abstractNumId w:val="21"/>
  </w:num>
  <w:num w:numId="20">
    <w:abstractNumId w:val="3"/>
  </w:num>
  <w:num w:numId="21">
    <w:abstractNumId w:val="28"/>
  </w:num>
  <w:num w:numId="22">
    <w:abstractNumId w:val="24"/>
  </w:num>
  <w:num w:numId="23">
    <w:abstractNumId w:val="6"/>
  </w:num>
  <w:num w:numId="24">
    <w:abstractNumId w:val="30"/>
  </w:num>
  <w:num w:numId="25">
    <w:abstractNumId w:val="25"/>
  </w:num>
  <w:num w:numId="26">
    <w:abstractNumId w:val="5"/>
  </w:num>
  <w:num w:numId="27">
    <w:abstractNumId w:val="4"/>
  </w:num>
  <w:num w:numId="28">
    <w:abstractNumId w:val="11"/>
  </w:num>
  <w:num w:numId="29">
    <w:abstractNumId w:val="18"/>
  </w:num>
  <w:num w:numId="30">
    <w:abstractNumId w:val="16"/>
  </w:num>
  <w:num w:numId="31">
    <w:abstractNumId w:val="22"/>
  </w:num>
  <w:num w:numId="32">
    <w:abstractNumId w:val="8"/>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1AA5"/>
    <w:rsid w:val="00007917"/>
    <w:rsid w:val="00030402"/>
    <w:rsid w:val="0004073C"/>
    <w:rsid w:val="00040ADA"/>
    <w:rsid w:val="00071B65"/>
    <w:rsid w:val="00072717"/>
    <w:rsid w:val="000736A2"/>
    <w:rsid w:val="00085AC9"/>
    <w:rsid w:val="00086692"/>
    <w:rsid w:val="000A1849"/>
    <w:rsid w:val="000B2418"/>
    <w:rsid w:val="000B729A"/>
    <w:rsid w:val="000B7A8F"/>
    <w:rsid w:val="000D2D1B"/>
    <w:rsid w:val="000D4D3B"/>
    <w:rsid w:val="000E17C1"/>
    <w:rsid w:val="000E701A"/>
    <w:rsid w:val="000F384B"/>
    <w:rsid w:val="000F4283"/>
    <w:rsid w:val="00101C42"/>
    <w:rsid w:val="00101C62"/>
    <w:rsid w:val="0011085F"/>
    <w:rsid w:val="001125BB"/>
    <w:rsid w:val="001310B1"/>
    <w:rsid w:val="001463A3"/>
    <w:rsid w:val="0015141F"/>
    <w:rsid w:val="001521E4"/>
    <w:rsid w:val="001527BE"/>
    <w:rsid w:val="00154854"/>
    <w:rsid w:val="00162A3C"/>
    <w:rsid w:val="00167FF8"/>
    <w:rsid w:val="00171E5D"/>
    <w:rsid w:val="00172C86"/>
    <w:rsid w:val="00177470"/>
    <w:rsid w:val="00182A0D"/>
    <w:rsid w:val="001839AC"/>
    <w:rsid w:val="001936A8"/>
    <w:rsid w:val="001A1E04"/>
    <w:rsid w:val="001A4469"/>
    <w:rsid w:val="001A5578"/>
    <w:rsid w:val="001C5EAF"/>
    <w:rsid w:val="001C726D"/>
    <w:rsid w:val="001D544A"/>
    <w:rsid w:val="001D607D"/>
    <w:rsid w:val="001E638A"/>
    <w:rsid w:val="001E7662"/>
    <w:rsid w:val="001F53BF"/>
    <w:rsid w:val="001F7E4A"/>
    <w:rsid w:val="00200C3B"/>
    <w:rsid w:val="00200E4F"/>
    <w:rsid w:val="002100AC"/>
    <w:rsid w:val="002130F9"/>
    <w:rsid w:val="0022082F"/>
    <w:rsid w:val="00227184"/>
    <w:rsid w:val="0022799F"/>
    <w:rsid w:val="00230A36"/>
    <w:rsid w:val="0023464B"/>
    <w:rsid w:val="002428DC"/>
    <w:rsid w:val="00257FFE"/>
    <w:rsid w:val="002653F1"/>
    <w:rsid w:val="00281CBE"/>
    <w:rsid w:val="00283684"/>
    <w:rsid w:val="00296396"/>
    <w:rsid w:val="002B24CD"/>
    <w:rsid w:val="002B3049"/>
    <w:rsid w:val="002B6AA3"/>
    <w:rsid w:val="002B7FA9"/>
    <w:rsid w:val="002D3C5B"/>
    <w:rsid w:val="00300F9D"/>
    <w:rsid w:val="00303DF2"/>
    <w:rsid w:val="003050DC"/>
    <w:rsid w:val="0030543E"/>
    <w:rsid w:val="003103C4"/>
    <w:rsid w:val="00324833"/>
    <w:rsid w:val="00335C23"/>
    <w:rsid w:val="00337CE7"/>
    <w:rsid w:val="0034249E"/>
    <w:rsid w:val="003723D9"/>
    <w:rsid w:val="00383CBB"/>
    <w:rsid w:val="003A2FD2"/>
    <w:rsid w:val="003B3330"/>
    <w:rsid w:val="003C4D7E"/>
    <w:rsid w:val="003D35C6"/>
    <w:rsid w:val="003D63CA"/>
    <w:rsid w:val="003E3E86"/>
    <w:rsid w:val="003F02CA"/>
    <w:rsid w:val="003F0904"/>
    <w:rsid w:val="003F7AA7"/>
    <w:rsid w:val="00405C56"/>
    <w:rsid w:val="0041127A"/>
    <w:rsid w:val="00416618"/>
    <w:rsid w:val="00425525"/>
    <w:rsid w:val="00456910"/>
    <w:rsid w:val="00475BDA"/>
    <w:rsid w:val="004A32CD"/>
    <w:rsid w:val="004B5F5E"/>
    <w:rsid w:val="004B75DB"/>
    <w:rsid w:val="004C6525"/>
    <w:rsid w:val="004D6196"/>
    <w:rsid w:val="004D7A43"/>
    <w:rsid w:val="004F0F64"/>
    <w:rsid w:val="0050369A"/>
    <w:rsid w:val="0050429E"/>
    <w:rsid w:val="00505630"/>
    <w:rsid w:val="00515842"/>
    <w:rsid w:val="00543CA2"/>
    <w:rsid w:val="00563DEF"/>
    <w:rsid w:val="005642D6"/>
    <w:rsid w:val="00574C41"/>
    <w:rsid w:val="00577870"/>
    <w:rsid w:val="00586A53"/>
    <w:rsid w:val="0059349F"/>
    <w:rsid w:val="005A604F"/>
    <w:rsid w:val="005D04C2"/>
    <w:rsid w:val="00604B2D"/>
    <w:rsid w:val="006216D5"/>
    <w:rsid w:val="00622DD1"/>
    <w:rsid w:val="00631696"/>
    <w:rsid w:val="006606A4"/>
    <w:rsid w:val="00671A99"/>
    <w:rsid w:val="00672568"/>
    <w:rsid w:val="00674243"/>
    <w:rsid w:val="006743F5"/>
    <w:rsid w:val="0067697E"/>
    <w:rsid w:val="00680FD4"/>
    <w:rsid w:val="00690F9A"/>
    <w:rsid w:val="00693EE3"/>
    <w:rsid w:val="006C5D18"/>
    <w:rsid w:val="006C6497"/>
    <w:rsid w:val="006E1FFA"/>
    <w:rsid w:val="006F2BB8"/>
    <w:rsid w:val="006F3FC6"/>
    <w:rsid w:val="00701460"/>
    <w:rsid w:val="00710888"/>
    <w:rsid w:val="00713715"/>
    <w:rsid w:val="007150F6"/>
    <w:rsid w:val="00721867"/>
    <w:rsid w:val="00723D3B"/>
    <w:rsid w:val="00731BC4"/>
    <w:rsid w:val="00731C63"/>
    <w:rsid w:val="00731F0A"/>
    <w:rsid w:val="00742CE8"/>
    <w:rsid w:val="00744214"/>
    <w:rsid w:val="00761754"/>
    <w:rsid w:val="00773329"/>
    <w:rsid w:val="0078635A"/>
    <w:rsid w:val="007863D3"/>
    <w:rsid w:val="00787B7C"/>
    <w:rsid w:val="00793D7D"/>
    <w:rsid w:val="007944FE"/>
    <w:rsid w:val="007B7DB3"/>
    <w:rsid w:val="007C40DB"/>
    <w:rsid w:val="007C442A"/>
    <w:rsid w:val="007C4DF3"/>
    <w:rsid w:val="007F5B11"/>
    <w:rsid w:val="00812F1F"/>
    <w:rsid w:val="00842371"/>
    <w:rsid w:val="008451FE"/>
    <w:rsid w:val="0084639A"/>
    <w:rsid w:val="00852ADC"/>
    <w:rsid w:val="008566D2"/>
    <w:rsid w:val="0086277A"/>
    <w:rsid w:val="00862A13"/>
    <w:rsid w:val="00866726"/>
    <w:rsid w:val="00893D80"/>
    <w:rsid w:val="008C23A4"/>
    <w:rsid w:val="008C2922"/>
    <w:rsid w:val="008F0B46"/>
    <w:rsid w:val="008F7B17"/>
    <w:rsid w:val="0091026A"/>
    <w:rsid w:val="0091226B"/>
    <w:rsid w:val="00914E33"/>
    <w:rsid w:val="00915DAE"/>
    <w:rsid w:val="00916CEA"/>
    <w:rsid w:val="00917CCF"/>
    <w:rsid w:val="00921E31"/>
    <w:rsid w:val="00923AC9"/>
    <w:rsid w:val="00936D17"/>
    <w:rsid w:val="00954D6E"/>
    <w:rsid w:val="00956B2D"/>
    <w:rsid w:val="00963593"/>
    <w:rsid w:val="00976ADB"/>
    <w:rsid w:val="00984508"/>
    <w:rsid w:val="0099214C"/>
    <w:rsid w:val="0099344B"/>
    <w:rsid w:val="00996EEB"/>
    <w:rsid w:val="009B1BF2"/>
    <w:rsid w:val="009B6060"/>
    <w:rsid w:val="009B6C8B"/>
    <w:rsid w:val="009E0EC9"/>
    <w:rsid w:val="009E50F0"/>
    <w:rsid w:val="009E6CAF"/>
    <w:rsid w:val="009E6F94"/>
    <w:rsid w:val="009F54D0"/>
    <w:rsid w:val="009F5E4D"/>
    <w:rsid w:val="00A02C3D"/>
    <w:rsid w:val="00A05BC0"/>
    <w:rsid w:val="00A126FA"/>
    <w:rsid w:val="00A23B2D"/>
    <w:rsid w:val="00A25C56"/>
    <w:rsid w:val="00A50F15"/>
    <w:rsid w:val="00A55411"/>
    <w:rsid w:val="00A6122F"/>
    <w:rsid w:val="00A66225"/>
    <w:rsid w:val="00A7469B"/>
    <w:rsid w:val="00A805A4"/>
    <w:rsid w:val="00AA5A30"/>
    <w:rsid w:val="00AB0F65"/>
    <w:rsid w:val="00AB3C53"/>
    <w:rsid w:val="00AB7EE4"/>
    <w:rsid w:val="00AC25FF"/>
    <w:rsid w:val="00AE0254"/>
    <w:rsid w:val="00AE77CC"/>
    <w:rsid w:val="00AF1987"/>
    <w:rsid w:val="00AF5A8B"/>
    <w:rsid w:val="00B01A0D"/>
    <w:rsid w:val="00B13E43"/>
    <w:rsid w:val="00B17C5F"/>
    <w:rsid w:val="00B26B40"/>
    <w:rsid w:val="00B27E87"/>
    <w:rsid w:val="00B311D7"/>
    <w:rsid w:val="00B40927"/>
    <w:rsid w:val="00B5516C"/>
    <w:rsid w:val="00B677C4"/>
    <w:rsid w:val="00B9081A"/>
    <w:rsid w:val="00BA07E2"/>
    <w:rsid w:val="00BB6E0A"/>
    <w:rsid w:val="00BB7D98"/>
    <w:rsid w:val="00BD0F64"/>
    <w:rsid w:val="00BE1E3B"/>
    <w:rsid w:val="00BE49E5"/>
    <w:rsid w:val="00C070C8"/>
    <w:rsid w:val="00C20035"/>
    <w:rsid w:val="00C24B52"/>
    <w:rsid w:val="00C27BB0"/>
    <w:rsid w:val="00C36FCD"/>
    <w:rsid w:val="00C60563"/>
    <w:rsid w:val="00C63E52"/>
    <w:rsid w:val="00C669EA"/>
    <w:rsid w:val="00C66C0C"/>
    <w:rsid w:val="00C67E15"/>
    <w:rsid w:val="00C96CBF"/>
    <w:rsid w:val="00C972EC"/>
    <w:rsid w:val="00CA3F5C"/>
    <w:rsid w:val="00CB0EED"/>
    <w:rsid w:val="00CB2D85"/>
    <w:rsid w:val="00CC0C11"/>
    <w:rsid w:val="00CD3603"/>
    <w:rsid w:val="00CD40C3"/>
    <w:rsid w:val="00CD4543"/>
    <w:rsid w:val="00CF1246"/>
    <w:rsid w:val="00D067DD"/>
    <w:rsid w:val="00D06A32"/>
    <w:rsid w:val="00D11C45"/>
    <w:rsid w:val="00D12D13"/>
    <w:rsid w:val="00D166D9"/>
    <w:rsid w:val="00D200F9"/>
    <w:rsid w:val="00D2365D"/>
    <w:rsid w:val="00D363C3"/>
    <w:rsid w:val="00D431FC"/>
    <w:rsid w:val="00D441B3"/>
    <w:rsid w:val="00D545E4"/>
    <w:rsid w:val="00D62F42"/>
    <w:rsid w:val="00D70861"/>
    <w:rsid w:val="00D7319E"/>
    <w:rsid w:val="00DD287B"/>
    <w:rsid w:val="00DE1951"/>
    <w:rsid w:val="00DE5377"/>
    <w:rsid w:val="00DE739D"/>
    <w:rsid w:val="00DF26C6"/>
    <w:rsid w:val="00DF2C29"/>
    <w:rsid w:val="00DF2CB5"/>
    <w:rsid w:val="00DF70BB"/>
    <w:rsid w:val="00E02F97"/>
    <w:rsid w:val="00E0759C"/>
    <w:rsid w:val="00E27683"/>
    <w:rsid w:val="00E338AE"/>
    <w:rsid w:val="00E34E53"/>
    <w:rsid w:val="00E41CD1"/>
    <w:rsid w:val="00E508FA"/>
    <w:rsid w:val="00E528E0"/>
    <w:rsid w:val="00E64ED6"/>
    <w:rsid w:val="00E8744F"/>
    <w:rsid w:val="00E963E9"/>
    <w:rsid w:val="00EA1BE2"/>
    <w:rsid w:val="00EB462F"/>
    <w:rsid w:val="00EC042A"/>
    <w:rsid w:val="00ED5FBD"/>
    <w:rsid w:val="00EE2B8C"/>
    <w:rsid w:val="00EF616E"/>
    <w:rsid w:val="00F05814"/>
    <w:rsid w:val="00F0622C"/>
    <w:rsid w:val="00F123F2"/>
    <w:rsid w:val="00F17A04"/>
    <w:rsid w:val="00F34A55"/>
    <w:rsid w:val="00F34B6F"/>
    <w:rsid w:val="00F3608A"/>
    <w:rsid w:val="00F41703"/>
    <w:rsid w:val="00F42728"/>
    <w:rsid w:val="00F43FCD"/>
    <w:rsid w:val="00F5666E"/>
    <w:rsid w:val="00F7168A"/>
    <w:rsid w:val="00F76E2C"/>
    <w:rsid w:val="00F8025B"/>
    <w:rsid w:val="00F80516"/>
    <w:rsid w:val="00FA4B4F"/>
    <w:rsid w:val="00FB12E5"/>
    <w:rsid w:val="00FB4A9E"/>
    <w:rsid w:val="00FC3450"/>
    <w:rsid w:val="00FC5B99"/>
    <w:rsid w:val="00FE30D1"/>
    <w:rsid w:val="00FF1434"/>
    <w:rsid w:val="00FF23CF"/>
    <w:rsid w:val="00FF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uiPriority w:val="9"/>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Ref,BVI fnr"/>
    <w:basedOn w:val="DefaultParagraphFont"/>
    <w:uiPriority w:val="99"/>
    <w:rsid w:val="00731BC4"/>
    <w:rPr>
      <w:vertAlign w:val="superscript"/>
    </w:rPr>
  </w:style>
  <w:style w:type="paragraph" w:styleId="FootnoteText">
    <w:name w:val="footnote text"/>
    <w:aliases w:val="FOOTNOTES,fn,single space,footnote text,Footnote Text Char1,Footnote Text Char2 Char,Footnote Text Char1 Char Char,Footnote Text Char2 Char Char Char,Footnote Text Char1 Char Char Char Char,Footnote Text Char2 Char Char Char Char Char,f,ft"/>
    <w:basedOn w:val="Normal"/>
    <w:link w:val="FootnoteTextChar"/>
    <w:uiPriority w:val="99"/>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ootnote Text Char1 Char,Footnote Text Char2 Char Char,Footnote Text Char1 Char Char Char,Footnote Text Char2 Char Char Char Char,Footnote Text Char1 Char Char Char Char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Bullets,Numbered List Paragraph"/>
    <w:basedOn w:val="Normal"/>
    <w:link w:val="ListParagraphChar"/>
    <w:uiPriority w:val="99"/>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7C442A"/>
    <w:pPr>
      <w:autoSpaceDE w:val="0"/>
      <w:autoSpaceDN w:val="0"/>
      <w:adjustRightInd w:val="0"/>
    </w:pPr>
    <w:rPr>
      <w:color w:val="000000"/>
      <w:sz w:val="24"/>
      <w:szCs w:val="24"/>
    </w:rPr>
  </w:style>
  <w:style w:type="paragraph" w:styleId="NoSpacing">
    <w:name w:val="No Spacing"/>
    <w:uiPriority w:val="1"/>
    <w:qFormat/>
    <w:rsid w:val="007C442A"/>
    <w:rPr>
      <w:sz w:val="24"/>
      <w:szCs w:val="24"/>
    </w:rPr>
  </w:style>
  <w:style w:type="paragraph" w:styleId="Header">
    <w:name w:val="header"/>
    <w:basedOn w:val="Normal"/>
    <w:link w:val="HeaderChar"/>
    <w:rsid w:val="00723D3B"/>
    <w:pPr>
      <w:tabs>
        <w:tab w:val="center" w:pos="4680"/>
        <w:tab w:val="right" w:pos="9360"/>
      </w:tabs>
    </w:pPr>
  </w:style>
  <w:style w:type="character" w:customStyle="1" w:styleId="HeaderChar">
    <w:name w:val="Header Char"/>
    <w:basedOn w:val="DefaultParagraphFont"/>
    <w:link w:val="Header"/>
    <w:rsid w:val="00723D3B"/>
    <w:rPr>
      <w:sz w:val="24"/>
      <w:szCs w:val="24"/>
    </w:rPr>
  </w:style>
  <w:style w:type="paragraph" w:styleId="Footer">
    <w:name w:val="footer"/>
    <w:basedOn w:val="Normal"/>
    <w:link w:val="FooterChar"/>
    <w:uiPriority w:val="99"/>
    <w:rsid w:val="00723D3B"/>
    <w:pPr>
      <w:tabs>
        <w:tab w:val="center" w:pos="4680"/>
        <w:tab w:val="right" w:pos="9360"/>
      </w:tabs>
    </w:pPr>
  </w:style>
  <w:style w:type="character" w:customStyle="1" w:styleId="FooterChar">
    <w:name w:val="Footer Char"/>
    <w:basedOn w:val="DefaultParagraphFont"/>
    <w:link w:val="Footer"/>
    <w:uiPriority w:val="99"/>
    <w:rsid w:val="00723D3B"/>
    <w:rPr>
      <w:sz w:val="24"/>
      <w:szCs w:val="24"/>
    </w:rPr>
  </w:style>
  <w:style w:type="character" w:customStyle="1" w:styleId="ListParagraphChar">
    <w:name w:val="List Paragraph Char"/>
    <w:aliases w:val="Bullets Char,Numbered List Paragraph Char"/>
    <w:basedOn w:val="DefaultParagraphFont"/>
    <w:link w:val="ListParagraph"/>
    <w:uiPriority w:val="99"/>
    <w:rsid w:val="008F7B17"/>
    <w:rPr>
      <w:sz w:val="24"/>
      <w:szCs w:val="24"/>
    </w:rPr>
  </w:style>
  <w:style w:type="paragraph" w:styleId="CommentSubject">
    <w:name w:val="annotation subject"/>
    <w:basedOn w:val="CommentText"/>
    <w:next w:val="CommentText"/>
    <w:link w:val="CommentSubjectChar"/>
    <w:rsid w:val="00862A13"/>
    <w:rPr>
      <w:b/>
      <w:bCs/>
    </w:rPr>
  </w:style>
  <w:style w:type="character" w:customStyle="1" w:styleId="CommentTextChar">
    <w:name w:val="Comment Text Char"/>
    <w:basedOn w:val="DefaultParagraphFont"/>
    <w:link w:val="CommentText"/>
    <w:semiHidden/>
    <w:rsid w:val="00862A13"/>
  </w:style>
  <w:style w:type="character" w:customStyle="1" w:styleId="CommentSubjectChar">
    <w:name w:val="Comment Subject Char"/>
    <w:basedOn w:val="CommentTextChar"/>
    <w:link w:val="CommentSubject"/>
    <w:rsid w:val="00862A13"/>
    <w:rPr>
      <w:b/>
      <w:bCs/>
    </w:rPr>
  </w:style>
  <w:style w:type="paragraph" w:customStyle="1" w:styleId="CM16">
    <w:name w:val="CM16"/>
    <w:basedOn w:val="Default"/>
    <w:next w:val="Default"/>
    <w:uiPriority w:val="99"/>
    <w:rsid w:val="00303DF2"/>
    <w:pPr>
      <w:widowControl w:val="0"/>
    </w:pPr>
    <w:rPr>
      <w:color w:val="auto"/>
    </w:rPr>
  </w:style>
  <w:style w:type="character" w:styleId="Strong">
    <w:name w:val="Strong"/>
    <w:basedOn w:val="DefaultParagraphFont"/>
    <w:uiPriority w:val="22"/>
    <w:qFormat/>
    <w:rsid w:val="00E508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uiPriority w:val="9"/>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Ref,BVI fnr"/>
    <w:basedOn w:val="DefaultParagraphFont"/>
    <w:uiPriority w:val="99"/>
    <w:rsid w:val="00731BC4"/>
    <w:rPr>
      <w:vertAlign w:val="superscript"/>
    </w:rPr>
  </w:style>
  <w:style w:type="paragraph" w:styleId="FootnoteText">
    <w:name w:val="footnote text"/>
    <w:aliases w:val="FOOTNOTES,fn,single space,footnote text,Footnote Text Char1,Footnote Text Char2 Char,Footnote Text Char1 Char Char,Footnote Text Char2 Char Char Char,Footnote Text Char1 Char Char Char Char,Footnote Text Char2 Char Char Char Char Char,f,ft"/>
    <w:basedOn w:val="Normal"/>
    <w:link w:val="FootnoteTextChar"/>
    <w:uiPriority w:val="99"/>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ootnote Text Char1 Char,Footnote Text Char2 Char Char,Footnote Text Char1 Char Char Char,Footnote Text Char2 Char Char Char Char,Footnote Text Char1 Char Char Char Char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Bullets,Numbered List Paragraph"/>
    <w:basedOn w:val="Normal"/>
    <w:link w:val="ListParagraphChar"/>
    <w:uiPriority w:val="99"/>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7C442A"/>
    <w:pPr>
      <w:autoSpaceDE w:val="0"/>
      <w:autoSpaceDN w:val="0"/>
      <w:adjustRightInd w:val="0"/>
    </w:pPr>
    <w:rPr>
      <w:color w:val="000000"/>
      <w:sz w:val="24"/>
      <w:szCs w:val="24"/>
    </w:rPr>
  </w:style>
  <w:style w:type="paragraph" w:styleId="NoSpacing">
    <w:name w:val="No Spacing"/>
    <w:uiPriority w:val="1"/>
    <w:qFormat/>
    <w:rsid w:val="007C442A"/>
    <w:rPr>
      <w:sz w:val="24"/>
      <w:szCs w:val="24"/>
    </w:rPr>
  </w:style>
  <w:style w:type="paragraph" w:styleId="Header">
    <w:name w:val="header"/>
    <w:basedOn w:val="Normal"/>
    <w:link w:val="HeaderChar"/>
    <w:rsid w:val="00723D3B"/>
    <w:pPr>
      <w:tabs>
        <w:tab w:val="center" w:pos="4680"/>
        <w:tab w:val="right" w:pos="9360"/>
      </w:tabs>
    </w:pPr>
  </w:style>
  <w:style w:type="character" w:customStyle="1" w:styleId="HeaderChar">
    <w:name w:val="Header Char"/>
    <w:basedOn w:val="DefaultParagraphFont"/>
    <w:link w:val="Header"/>
    <w:rsid w:val="00723D3B"/>
    <w:rPr>
      <w:sz w:val="24"/>
      <w:szCs w:val="24"/>
    </w:rPr>
  </w:style>
  <w:style w:type="paragraph" w:styleId="Footer">
    <w:name w:val="footer"/>
    <w:basedOn w:val="Normal"/>
    <w:link w:val="FooterChar"/>
    <w:uiPriority w:val="99"/>
    <w:rsid w:val="00723D3B"/>
    <w:pPr>
      <w:tabs>
        <w:tab w:val="center" w:pos="4680"/>
        <w:tab w:val="right" w:pos="9360"/>
      </w:tabs>
    </w:pPr>
  </w:style>
  <w:style w:type="character" w:customStyle="1" w:styleId="FooterChar">
    <w:name w:val="Footer Char"/>
    <w:basedOn w:val="DefaultParagraphFont"/>
    <w:link w:val="Footer"/>
    <w:uiPriority w:val="99"/>
    <w:rsid w:val="00723D3B"/>
    <w:rPr>
      <w:sz w:val="24"/>
      <w:szCs w:val="24"/>
    </w:rPr>
  </w:style>
  <w:style w:type="character" w:customStyle="1" w:styleId="ListParagraphChar">
    <w:name w:val="List Paragraph Char"/>
    <w:aliases w:val="Bullets Char,Numbered List Paragraph Char"/>
    <w:basedOn w:val="DefaultParagraphFont"/>
    <w:link w:val="ListParagraph"/>
    <w:uiPriority w:val="99"/>
    <w:rsid w:val="008F7B17"/>
    <w:rPr>
      <w:sz w:val="24"/>
      <w:szCs w:val="24"/>
    </w:rPr>
  </w:style>
  <w:style w:type="paragraph" w:styleId="CommentSubject">
    <w:name w:val="annotation subject"/>
    <w:basedOn w:val="CommentText"/>
    <w:next w:val="CommentText"/>
    <w:link w:val="CommentSubjectChar"/>
    <w:rsid w:val="00862A13"/>
    <w:rPr>
      <w:b/>
      <w:bCs/>
    </w:rPr>
  </w:style>
  <w:style w:type="character" w:customStyle="1" w:styleId="CommentTextChar">
    <w:name w:val="Comment Text Char"/>
    <w:basedOn w:val="DefaultParagraphFont"/>
    <w:link w:val="CommentText"/>
    <w:semiHidden/>
    <w:rsid w:val="00862A13"/>
  </w:style>
  <w:style w:type="character" w:customStyle="1" w:styleId="CommentSubjectChar">
    <w:name w:val="Comment Subject Char"/>
    <w:basedOn w:val="CommentTextChar"/>
    <w:link w:val="CommentSubject"/>
    <w:rsid w:val="00862A13"/>
    <w:rPr>
      <w:b/>
      <w:bCs/>
    </w:rPr>
  </w:style>
  <w:style w:type="paragraph" w:customStyle="1" w:styleId="CM16">
    <w:name w:val="CM16"/>
    <w:basedOn w:val="Default"/>
    <w:next w:val="Default"/>
    <w:uiPriority w:val="99"/>
    <w:rsid w:val="00303DF2"/>
    <w:pPr>
      <w:widowControl w:val="0"/>
    </w:pPr>
    <w:rPr>
      <w:color w:val="auto"/>
    </w:rPr>
  </w:style>
  <w:style w:type="character" w:styleId="Strong">
    <w:name w:val="Strong"/>
    <w:basedOn w:val="DefaultParagraphFont"/>
    <w:uiPriority w:val="22"/>
    <w:qFormat/>
    <w:rsid w:val="00E50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3B59-A428-4DD8-8207-B9370846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1871</Words>
  <Characters>11083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12929</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Rei Odawara</cp:lastModifiedBy>
  <cp:revision>3</cp:revision>
  <cp:lastPrinted>2014-03-05T23:13:00Z</cp:lastPrinted>
  <dcterms:created xsi:type="dcterms:W3CDTF">2014-03-13T16:05:00Z</dcterms:created>
  <dcterms:modified xsi:type="dcterms:W3CDTF">2014-03-14T20:50:00Z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AB7086</vt:lpwstr>
  </property>
  <property fmtid="{D5CDD505-2E9C-101B-9397-08002B2CF9AE}" pid="3" name="TEAMLEADER">
    <vt:lpwstr>Jasmin Chakeri</vt:lpwstr>
  </property>
</Properties>
</file>