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drawings/drawing1.xml" ContentType="application/vnd.openxmlformats-officedocument.drawingml.chartshapes+xml"/>
  <Override PartName="/word/charts/chart26.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41.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charts/chart40.xml" ContentType="application/vnd.openxmlformats-officedocument.drawingml.chart+xml"/>
  <Override PartName="/docProps/core.xml" ContentType="application/vnd.openxmlformats-package.core-properties+xml"/>
  <Default Extension="png" ContentType="image/png"/>
  <Default Extension="bin" ContentType="application/vnd.openxmlformats-officedocument.oleObject"/>
  <Default Extension="emf" ContentType="image/x-emf"/>
  <Default Extension="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28A0" w:rsidRPr="007777E2" w:rsidRDefault="000D28A0" w:rsidP="000D28A0">
      <w:bookmarkStart w:id="0" w:name="_Toc205366505"/>
      <w:bookmarkStart w:id="1" w:name="_Toc205366588"/>
      <w:bookmarkStart w:id="2" w:name="_Toc205716038"/>
      <w:r w:rsidRPr="007777E2">
        <w:t xml:space="preserve">Report No. </w:t>
      </w:r>
      <w:r w:rsidR="00354462">
        <w:t>55015</w:t>
      </w:r>
      <w:r w:rsidRPr="007777E2">
        <w:t>-ECA</w:t>
      </w:r>
    </w:p>
    <w:p w:rsidR="000D28A0" w:rsidRPr="007777E2" w:rsidRDefault="000D28A0" w:rsidP="000D28A0">
      <w:pPr>
        <w:rPr>
          <w:b/>
          <w:iCs/>
        </w:rPr>
      </w:pPr>
    </w:p>
    <w:p w:rsidR="000D28A0" w:rsidRPr="007777E2" w:rsidRDefault="000D28A0" w:rsidP="000D28A0">
      <w:pPr>
        <w:rPr>
          <w:b/>
          <w:iCs/>
        </w:rPr>
      </w:pPr>
    </w:p>
    <w:p w:rsidR="00DB6F88" w:rsidRPr="007777E2" w:rsidRDefault="00DB6F88" w:rsidP="000D28A0">
      <w:pPr>
        <w:rPr>
          <w:b/>
          <w:iCs/>
        </w:rPr>
      </w:pPr>
    </w:p>
    <w:p w:rsidR="00DB6F88" w:rsidRPr="007777E2" w:rsidRDefault="00DB6F88" w:rsidP="000D28A0">
      <w:pPr>
        <w:rPr>
          <w:b/>
          <w:iCs/>
        </w:rPr>
      </w:pPr>
    </w:p>
    <w:p w:rsidR="00DB6F88" w:rsidRPr="007777E2" w:rsidRDefault="00DB6F88" w:rsidP="000D28A0">
      <w:pPr>
        <w:rPr>
          <w:b/>
          <w:iCs/>
        </w:rPr>
      </w:pPr>
    </w:p>
    <w:p w:rsidR="00DB6F88" w:rsidRPr="007777E2" w:rsidRDefault="00DB6F88" w:rsidP="000D28A0">
      <w:pPr>
        <w:rPr>
          <w:b/>
          <w:iCs/>
        </w:rPr>
      </w:pPr>
    </w:p>
    <w:p w:rsidR="00DB6F88" w:rsidRPr="007777E2" w:rsidRDefault="00DB6F88" w:rsidP="000D28A0">
      <w:pPr>
        <w:rPr>
          <w:b/>
          <w:iCs/>
        </w:rPr>
      </w:pPr>
    </w:p>
    <w:p w:rsidR="00DB6F88" w:rsidRPr="007777E2" w:rsidRDefault="00DB6F88" w:rsidP="000D28A0">
      <w:pPr>
        <w:rPr>
          <w:b/>
          <w:iCs/>
        </w:rPr>
      </w:pPr>
    </w:p>
    <w:p w:rsidR="000D28A0" w:rsidRPr="007777E2" w:rsidRDefault="000D28A0" w:rsidP="000D28A0">
      <w:pPr>
        <w:rPr>
          <w:sz w:val="40"/>
          <w:szCs w:val="40"/>
        </w:rPr>
      </w:pPr>
      <w:bookmarkStart w:id="3" w:name="_Toc205366499"/>
      <w:bookmarkStart w:id="4" w:name="_Toc205366582"/>
      <w:bookmarkStart w:id="5" w:name="_Toc205716032"/>
      <w:r w:rsidRPr="007777E2">
        <w:rPr>
          <w:b/>
          <w:iCs/>
          <w:sz w:val="40"/>
          <w:szCs w:val="40"/>
        </w:rPr>
        <w:t xml:space="preserve">Belarus: </w:t>
      </w:r>
      <w:bookmarkStart w:id="6" w:name="_Toc205366500"/>
      <w:bookmarkStart w:id="7" w:name="_Toc205366583"/>
      <w:bookmarkStart w:id="8" w:name="_Toc205716033"/>
      <w:bookmarkEnd w:id="3"/>
      <w:bookmarkEnd w:id="4"/>
      <w:bookmarkEnd w:id="5"/>
      <w:r w:rsidR="00DB6F88" w:rsidRPr="007777E2">
        <w:rPr>
          <w:b/>
          <w:iCs/>
          <w:sz w:val="40"/>
          <w:szCs w:val="40"/>
        </w:rPr>
        <w:t>Transport Sector Policy Note</w:t>
      </w:r>
    </w:p>
    <w:bookmarkEnd w:id="6"/>
    <w:bookmarkEnd w:id="7"/>
    <w:bookmarkEnd w:id="8"/>
    <w:p w:rsidR="000D28A0" w:rsidRPr="007777E2" w:rsidRDefault="000D28A0" w:rsidP="000D28A0">
      <w:pPr>
        <w:rPr>
          <w:b/>
        </w:rPr>
      </w:pPr>
    </w:p>
    <w:p w:rsidR="000D28A0" w:rsidRPr="007777E2" w:rsidRDefault="000D28A0" w:rsidP="000D28A0">
      <w:pPr>
        <w:rPr>
          <w:b/>
        </w:rPr>
      </w:pPr>
    </w:p>
    <w:p w:rsidR="00DB6F88" w:rsidRPr="00C21CE8" w:rsidRDefault="00DB6F88" w:rsidP="000D28A0"/>
    <w:p w:rsidR="00DB6F88" w:rsidRPr="007777E2" w:rsidRDefault="00DB6F88" w:rsidP="000D28A0">
      <w:pPr>
        <w:rPr>
          <w:b/>
        </w:rPr>
      </w:pPr>
    </w:p>
    <w:p w:rsidR="00DB6F88" w:rsidRPr="007777E2" w:rsidRDefault="00DB6F88" w:rsidP="000D28A0">
      <w:pPr>
        <w:rPr>
          <w:b/>
        </w:rPr>
      </w:pPr>
    </w:p>
    <w:p w:rsidR="00DB6F88" w:rsidRPr="007777E2" w:rsidRDefault="00DB6F88" w:rsidP="000D28A0">
      <w:pPr>
        <w:rPr>
          <w:b/>
        </w:rPr>
      </w:pPr>
    </w:p>
    <w:p w:rsidR="00DB6F88" w:rsidRPr="007777E2" w:rsidRDefault="00DB6F88" w:rsidP="000D28A0">
      <w:pPr>
        <w:rPr>
          <w:b/>
        </w:rPr>
      </w:pPr>
    </w:p>
    <w:p w:rsidR="00DB6F88" w:rsidRPr="007777E2" w:rsidRDefault="00DB6F88" w:rsidP="000D28A0">
      <w:pPr>
        <w:rPr>
          <w:b/>
        </w:rPr>
      </w:pPr>
    </w:p>
    <w:p w:rsidR="00DB6F88" w:rsidRPr="007777E2" w:rsidRDefault="00DB6F88" w:rsidP="000D28A0">
      <w:pPr>
        <w:rPr>
          <w:b/>
        </w:rPr>
      </w:pPr>
    </w:p>
    <w:p w:rsidR="00DB6F88" w:rsidRPr="007777E2" w:rsidRDefault="00DB6F88" w:rsidP="000D28A0">
      <w:pPr>
        <w:rPr>
          <w:b/>
        </w:rPr>
      </w:pPr>
    </w:p>
    <w:p w:rsidR="000D28A0" w:rsidRPr="007777E2" w:rsidRDefault="000D28A0" w:rsidP="000D28A0">
      <w:pPr>
        <w:rPr>
          <w:b/>
        </w:rPr>
      </w:pPr>
      <w:bookmarkStart w:id="9" w:name="_Toc205366501"/>
      <w:bookmarkStart w:id="10" w:name="_Toc205366584"/>
      <w:bookmarkStart w:id="11" w:name="_Toc205716034"/>
      <w:r w:rsidRPr="007777E2">
        <w:rPr>
          <w:b/>
        </w:rPr>
        <w:t>Transport Unit, Sustainable Development Department</w:t>
      </w:r>
      <w:bookmarkEnd w:id="9"/>
      <w:bookmarkEnd w:id="10"/>
      <w:bookmarkEnd w:id="11"/>
      <w:r w:rsidRPr="007777E2">
        <w:rPr>
          <w:b/>
        </w:rPr>
        <w:tab/>
      </w:r>
      <w:r w:rsidRPr="007777E2">
        <w:rPr>
          <w:b/>
        </w:rPr>
        <w:tab/>
      </w:r>
      <w:r w:rsidRPr="007777E2">
        <w:rPr>
          <w:b/>
        </w:rPr>
        <w:tab/>
      </w:r>
      <w:r w:rsidRPr="007777E2">
        <w:rPr>
          <w:b/>
        </w:rPr>
        <w:tab/>
      </w:r>
      <w:r w:rsidRPr="007777E2">
        <w:rPr>
          <w:b/>
        </w:rPr>
        <w:tab/>
      </w:r>
    </w:p>
    <w:p w:rsidR="000D28A0" w:rsidRPr="007777E2" w:rsidRDefault="000D28A0" w:rsidP="000D28A0">
      <w:pPr>
        <w:rPr>
          <w:i/>
        </w:rPr>
      </w:pPr>
      <w:bookmarkStart w:id="12" w:name="_Toc205366502"/>
      <w:bookmarkStart w:id="13" w:name="_Toc205366585"/>
      <w:bookmarkStart w:id="14" w:name="_Toc205716035"/>
      <w:r w:rsidRPr="007777E2">
        <w:rPr>
          <w:b/>
        </w:rPr>
        <w:t>Europe and Central Asia Region</w:t>
      </w:r>
      <w:bookmarkEnd w:id="12"/>
      <w:bookmarkEnd w:id="13"/>
      <w:bookmarkEnd w:id="14"/>
    </w:p>
    <w:p w:rsidR="000D28A0" w:rsidRPr="007777E2" w:rsidRDefault="000D28A0" w:rsidP="000D28A0"/>
    <w:p w:rsidR="000D28A0" w:rsidRPr="007777E2" w:rsidRDefault="000D28A0" w:rsidP="000D28A0"/>
    <w:p w:rsidR="000D28A0" w:rsidRDefault="00165EF3" w:rsidP="00975628">
      <w:pPr>
        <w:jc w:val="both"/>
      </w:pPr>
      <w:r>
        <w:t>December 14</w:t>
      </w:r>
      <w:r w:rsidR="007C1D6D">
        <w:t xml:space="preserve">, </w:t>
      </w:r>
      <w:r w:rsidR="00975628">
        <w:t>2010</w:t>
      </w:r>
    </w:p>
    <w:p w:rsidR="00AB5AA1" w:rsidRDefault="00AB5AA1" w:rsidP="000D28A0"/>
    <w:p w:rsidR="00AB5AA1" w:rsidRPr="007777E2" w:rsidRDefault="00AB5AA1" w:rsidP="000D28A0">
      <w:pPr>
        <w:rPr>
          <w:i/>
          <w:iCs/>
          <w:sz w:val="40"/>
        </w:rPr>
      </w:pPr>
    </w:p>
    <w:p w:rsidR="000D28A0" w:rsidRPr="007777E2" w:rsidRDefault="000D28A0" w:rsidP="000D28A0"/>
    <w:p w:rsidR="000D28A0" w:rsidRPr="007777E2" w:rsidRDefault="000D28A0" w:rsidP="000D28A0"/>
    <w:p w:rsidR="000D28A0" w:rsidRPr="007777E2" w:rsidRDefault="000D28A0" w:rsidP="000D28A0"/>
    <w:p w:rsidR="000D28A0" w:rsidRPr="007777E2" w:rsidRDefault="000D28A0" w:rsidP="000D28A0"/>
    <w:p w:rsidR="000D28A0" w:rsidRPr="007777E2" w:rsidRDefault="000D28A0" w:rsidP="000D28A0"/>
    <w:p w:rsidR="000D28A0" w:rsidRPr="007777E2" w:rsidRDefault="000D28A0" w:rsidP="000D28A0"/>
    <w:p w:rsidR="000D28A0" w:rsidRPr="007777E2" w:rsidRDefault="000D28A0" w:rsidP="000D28A0"/>
    <w:p w:rsidR="000D28A0" w:rsidRPr="007777E2" w:rsidRDefault="000D28A0" w:rsidP="000D28A0"/>
    <w:p w:rsidR="000D28A0" w:rsidRPr="007777E2" w:rsidRDefault="000D28A0" w:rsidP="000D28A0"/>
    <w:p w:rsidR="000D28A0" w:rsidRPr="007777E2" w:rsidRDefault="000D28A0" w:rsidP="000D28A0"/>
    <w:p w:rsidR="000D28A0" w:rsidRPr="007777E2" w:rsidRDefault="000D28A0" w:rsidP="000D28A0"/>
    <w:p w:rsidR="000D28A0" w:rsidRPr="007777E2" w:rsidRDefault="000D28A0" w:rsidP="000D28A0"/>
    <w:p w:rsidR="000D28A0" w:rsidRPr="007777E2" w:rsidRDefault="000D28A0" w:rsidP="000D28A0"/>
    <w:p w:rsidR="000D28A0" w:rsidRPr="007777E2" w:rsidRDefault="000D28A0" w:rsidP="000D28A0">
      <w:pPr>
        <w:rPr>
          <w:iCs/>
          <w:sz w:val="40"/>
        </w:rPr>
      </w:pPr>
    </w:p>
    <w:p w:rsidR="000D28A0" w:rsidRPr="007777E2" w:rsidRDefault="000D28A0" w:rsidP="000D28A0">
      <w:pPr>
        <w:rPr>
          <w:b/>
        </w:rPr>
      </w:pPr>
      <w:bookmarkStart w:id="15" w:name="_Toc205366504"/>
      <w:bookmarkStart w:id="16" w:name="_Toc205366587"/>
      <w:bookmarkStart w:id="17" w:name="_Toc205716037"/>
      <w:r w:rsidRPr="007777E2">
        <w:rPr>
          <w:b/>
          <w:u w:val="single"/>
        </w:rPr>
        <w:t>Document of the World Bank</w:t>
      </w:r>
      <w:bookmarkEnd w:id="15"/>
      <w:bookmarkEnd w:id="16"/>
      <w:bookmarkEnd w:id="17"/>
      <w:r w:rsidRPr="007777E2">
        <w:rPr>
          <w:b/>
        </w:rPr>
        <w:tab/>
      </w:r>
    </w:p>
    <w:p w:rsidR="000D28A0" w:rsidRPr="007777E2" w:rsidRDefault="000D28A0" w:rsidP="000D28A0">
      <w:pPr>
        <w:jc w:val="center"/>
        <w:rPr>
          <w:b/>
          <w:u w:val="single"/>
        </w:rPr>
      </w:pPr>
      <w:r w:rsidRPr="007777E2">
        <w:br w:type="page"/>
      </w:r>
      <w:r w:rsidRPr="007777E2">
        <w:rPr>
          <w:b/>
          <w:u w:val="single"/>
        </w:rPr>
        <w:lastRenderedPageBreak/>
        <w:t>CURRENCY EQUIVALENTS</w:t>
      </w:r>
      <w:bookmarkEnd w:id="0"/>
      <w:bookmarkEnd w:id="1"/>
      <w:bookmarkEnd w:id="2"/>
    </w:p>
    <w:p w:rsidR="000D28A0" w:rsidRPr="007777E2" w:rsidRDefault="000D28A0" w:rsidP="000D28A0">
      <w:pPr>
        <w:jc w:val="center"/>
      </w:pPr>
    </w:p>
    <w:p w:rsidR="000D28A0" w:rsidRPr="007777E2" w:rsidRDefault="000D28A0" w:rsidP="000D28A0">
      <w:pPr>
        <w:jc w:val="center"/>
      </w:pPr>
      <w:r w:rsidRPr="007777E2">
        <w:t xml:space="preserve">Exchange Rates as of </w:t>
      </w:r>
      <w:r w:rsidR="00504FBB" w:rsidRPr="007777E2">
        <w:t>March 19, 2010</w:t>
      </w:r>
    </w:p>
    <w:p w:rsidR="000D28A0" w:rsidRPr="007777E2" w:rsidRDefault="000D28A0" w:rsidP="000D28A0">
      <w:pPr>
        <w:jc w:val="center"/>
      </w:pPr>
      <w:bookmarkStart w:id="18" w:name="_Toc205366506"/>
      <w:bookmarkStart w:id="19" w:name="_Toc205366589"/>
      <w:bookmarkStart w:id="20" w:name="_Toc205716039"/>
    </w:p>
    <w:p w:rsidR="000D28A0" w:rsidRPr="007777E2" w:rsidRDefault="000D28A0" w:rsidP="000D28A0">
      <w:pPr>
        <w:jc w:val="center"/>
      </w:pPr>
      <w:r w:rsidRPr="007777E2">
        <w:t xml:space="preserve">Currency Unit – </w:t>
      </w:r>
      <w:bookmarkEnd w:id="18"/>
      <w:bookmarkEnd w:id="19"/>
      <w:bookmarkEnd w:id="20"/>
      <w:r w:rsidR="00A76DDF" w:rsidRPr="007777E2">
        <w:t xml:space="preserve">Belarus </w:t>
      </w:r>
      <w:r w:rsidR="006C69FE" w:rsidRPr="007777E2">
        <w:t>Ruble</w:t>
      </w:r>
      <w:r w:rsidRPr="007777E2">
        <w:t xml:space="preserve"> </w:t>
      </w:r>
    </w:p>
    <w:p w:rsidR="000D28A0" w:rsidRPr="007777E2" w:rsidRDefault="000D28A0" w:rsidP="000D28A0">
      <w:pPr>
        <w:jc w:val="center"/>
      </w:pPr>
      <w:bookmarkStart w:id="21" w:name="_Toc205366507"/>
      <w:bookmarkStart w:id="22" w:name="_Toc205366590"/>
      <w:bookmarkStart w:id="23" w:name="_Toc205716040"/>
      <w:r w:rsidRPr="007777E2">
        <w:t xml:space="preserve">US$1 = </w:t>
      </w:r>
      <w:r w:rsidR="006C69FE" w:rsidRPr="007777E2">
        <w:t>BYR</w:t>
      </w:r>
      <w:r w:rsidRPr="007777E2">
        <w:t xml:space="preserve"> </w:t>
      </w:r>
      <w:bookmarkEnd w:id="21"/>
      <w:bookmarkEnd w:id="22"/>
      <w:bookmarkEnd w:id="23"/>
      <w:r w:rsidR="003202B9" w:rsidRPr="007777E2">
        <w:t>2,968</w:t>
      </w:r>
    </w:p>
    <w:p w:rsidR="006C69FE" w:rsidRPr="007777E2" w:rsidRDefault="006C69FE" w:rsidP="000D28A0">
      <w:pPr>
        <w:jc w:val="center"/>
      </w:pPr>
    </w:p>
    <w:p w:rsidR="006C69FE" w:rsidRPr="007777E2" w:rsidRDefault="006C69FE" w:rsidP="000D28A0">
      <w:pPr>
        <w:jc w:val="center"/>
      </w:pPr>
      <w:r w:rsidRPr="007777E2">
        <w:t>Government Fiscal Year</w:t>
      </w:r>
    </w:p>
    <w:p w:rsidR="006C69FE" w:rsidRPr="007777E2" w:rsidRDefault="006C69FE" w:rsidP="000D28A0">
      <w:pPr>
        <w:jc w:val="center"/>
      </w:pPr>
      <w:r w:rsidRPr="007777E2">
        <w:t>January 1 – December 31</w:t>
      </w:r>
    </w:p>
    <w:p w:rsidR="000D28A0" w:rsidRPr="007777E2" w:rsidRDefault="000D28A0" w:rsidP="000D28A0">
      <w:pPr>
        <w:jc w:val="center"/>
        <w:rPr>
          <w:highlight w:val="yellow"/>
        </w:rPr>
      </w:pPr>
    </w:p>
    <w:p w:rsidR="000D28A0" w:rsidRPr="007777E2" w:rsidRDefault="000D28A0" w:rsidP="000D28A0">
      <w:pPr>
        <w:jc w:val="center"/>
      </w:pPr>
    </w:p>
    <w:p w:rsidR="000D28A0" w:rsidRPr="007777E2" w:rsidRDefault="000D28A0" w:rsidP="000D28A0">
      <w:pPr>
        <w:jc w:val="center"/>
      </w:pPr>
    </w:p>
    <w:p w:rsidR="000D28A0" w:rsidRPr="007777E2" w:rsidRDefault="000D28A0" w:rsidP="000D28A0">
      <w:pPr>
        <w:jc w:val="center"/>
      </w:pPr>
    </w:p>
    <w:p w:rsidR="000D28A0" w:rsidRPr="007777E2" w:rsidRDefault="000D28A0" w:rsidP="000D28A0">
      <w:pPr>
        <w:jc w:val="center"/>
        <w:rPr>
          <w:b/>
          <w:u w:val="single"/>
        </w:rPr>
      </w:pPr>
      <w:bookmarkStart w:id="24" w:name="_Toc100032734"/>
      <w:bookmarkStart w:id="25" w:name="_Toc205366508"/>
      <w:bookmarkStart w:id="26" w:name="_Toc205366591"/>
      <w:bookmarkStart w:id="27" w:name="_Toc205716041"/>
      <w:r w:rsidRPr="007777E2">
        <w:rPr>
          <w:b/>
          <w:u w:val="single"/>
        </w:rPr>
        <w:t>WEIGHTS AND MEASURES</w:t>
      </w:r>
      <w:bookmarkEnd w:id="24"/>
      <w:bookmarkEnd w:id="25"/>
      <w:bookmarkEnd w:id="26"/>
      <w:bookmarkEnd w:id="27"/>
    </w:p>
    <w:p w:rsidR="000D28A0" w:rsidRPr="007777E2" w:rsidRDefault="000D28A0" w:rsidP="000D28A0">
      <w:pPr>
        <w:spacing w:before="120"/>
        <w:jc w:val="center"/>
      </w:pPr>
      <w:bookmarkStart w:id="28" w:name="_Toc100032735"/>
      <w:bookmarkStart w:id="29" w:name="_Toc205366509"/>
      <w:bookmarkStart w:id="30" w:name="_Toc205366592"/>
      <w:bookmarkStart w:id="31" w:name="_Toc205716042"/>
      <w:r w:rsidRPr="007777E2">
        <w:t>Metric System</w:t>
      </w:r>
      <w:bookmarkEnd w:id="28"/>
      <w:bookmarkEnd w:id="29"/>
      <w:bookmarkEnd w:id="30"/>
      <w:bookmarkEnd w:id="31"/>
    </w:p>
    <w:p w:rsidR="000D28A0" w:rsidRPr="007777E2" w:rsidRDefault="000D28A0" w:rsidP="000D28A0">
      <w:pPr>
        <w:jc w:val="center"/>
        <w:rPr>
          <w:szCs w:val="20"/>
        </w:rPr>
      </w:pPr>
    </w:p>
    <w:p w:rsidR="000D28A0" w:rsidRPr="007777E2" w:rsidRDefault="000D28A0" w:rsidP="000D28A0">
      <w:pPr>
        <w:jc w:val="center"/>
        <w:rPr>
          <w:b/>
          <w:u w:val="single"/>
        </w:rPr>
      </w:pPr>
      <w:bookmarkStart w:id="32" w:name="_Toc100032736"/>
      <w:bookmarkStart w:id="33" w:name="_Toc205366510"/>
      <w:bookmarkStart w:id="34" w:name="_Toc205366593"/>
      <w:bookmarkStart w:id="35" w:name="_Toc205716043"/>
      <w:r w:rsidRPr="007777E2">
        <w:rPr>
          <w:b/>
          <w:u w:val="single"/>
        </w:rPr>
        <w:t>FISCAL YEAR</w:t>
      </w:r>
      <w:bookmarkEnd w:id="32"/>
      <w:bookmarkEnd w:id="33"/>
      <w:bookmarkEnd w:id="34"/>
      <w:bookmarkEnd w:id="35"/>
    </w:p>
    <w:p w:rsidR="000D28A0" w:rsidRPr="007777E2" w:rsidRDefault="000D28A0" w:rsidP="000D28A0">
      <w:pPr>
        <w:spacing w:before="120"/>
        <w:jc w:val="center"/>
      </w:pPr>
      <w:bookmarkStart w:id="36" w:name="_Toc100032737"/>
      <w:bookmarkStart w:id="37" w:name="_Toc205366511"/>
      <w:bookmarkStart w:id="38" w:name="_Toc205366594"/>
      <w:bookmarkStart w:id="39" w:name="_Toc205716044"/>
      <w:r w:rsidRPr="007777E2">
        <w:t>January 1</w:t>
      </w:r>
      <w:r w:rsidRPr="007777E2">
        <w:rPr>
          <w:vertAlign w:val="superscript"/>
        </w:rPr>
        <w:t>st</w:t>
      </w:r>
      <w:r w:rsidRPr="007777E2">
        <w:t xml:space="preserve"> – December 31</w:t>
      </w:r>
      <w:bookmarkEnd w:id="36"/>
      <w:bookmarkEnd w:id="37"/>
      <w:bookmarkEnd w:id="38"/>
      <w:bookmarkEnd w:id="39"/>
      <w:r w:rsidRPr="007777E2">
        <w:rPr>
          <w:vertAlign w:val="superscript"/>
        </w:rPr>
        <w:t>st</w:t>
      </w:r>
      <w:r w:rsidR="003202B9" w:rsidRPr="007777E2">
        <w:t xml:space="preserve"> </w:t>
      </w:r>
    </w:p>
    <w:p w:rsidR="000D28A0" w:rsidRPr="007777E2" w:rsidRDefault="000D28A0" w:rsidP="000D28A0">
      <w:pPr>
        <w:jc w:val="center"/>
      </w:pPr>
    </w:p>
    <w:p w:rsidR="000D28A0" w:rsidRPr="007777E2" w:rsidRDefault="000D28A0" w:rsidP="000D28A0"/>
    <w:p w:rsidR="000D28A0" w:rsidRPr="007777E2" w:rsidRDefault="000D28A0" w:rsidP="000D28A0"/>
    <w:p w:rsidR="000D28A0" w:rsidRPr="007777E2" w:rsidRDefault="000D28A0" w:rsidP="000D28A0"/>
    <w:p w:rsidR="000D28A0" w:rsidRPr="007777E2" w:rsidRDefault="000D28A0" w:rsidP="000D28A0"/>
    <w:p w:rsidR="000D28A0" w:rsidRPr="007777E2" w:rsidRDefault="000D28A0" w:rsidP="000D28A0"/>
    <w:p w:rsidR="000D28A0" w:rsidRPr="007777E2" w:rsidRDefault="000D28A0" w:rsidP="000D28A0"/>
    <w:p w:rsidR="000D28A0" w:rsidRPr="007777E2" w:rsidRDefault="000D28A0" w:rsidP="000D28A0"/>
    <w:p w:rsidR="000D28A0" w:rsidRPr="007777E2" w:rsidRDefault="000D28A0" w:rsidP="000D28A0"/>
    <w:p w:rsidR="000D28A0" w:rsidRPr="007777E2" w:rsidRDefault="000D28A0" w:rsidP="000D28A0"/>
    <w:p w:rsidR="000D28A0" w:rsidRPr="007777E2" w:rsidRDefault="000D28A0" w:rsidP="000D28A0"/>
    <w:p w:rsidR="000D28A0" w:rsidRPr="007777E2" w:rsidRDefault="000D28A0" w:rsidP="000D28A0"/>
    <w:p w:rsidR="000D28A0" w:rsidRPr="007777E2" w:rsidRDefault="000D28A0" w:rsidP="000D28A0"/>
    <w:p w:rsidR="000D28A0" w:rsidRPr="007777E2" w:rsidRDefault="000D28A0" w:rsidP="000D28A0"/>
    <w:p w:rsidR="000D28A0" w:rsidRPr="007777E2" w:rsidRDefault="000D28A0" w:rsidP="000D28A0"/>
    <w:p w:rsidR="000D28A0" w:rsidRPr="007777E2" w:rsidRDefault="000D28A0" w:rsidP="000D28A0"/>
    <w:p w:rsidR="000D28A0" w:rsidRPr="007777E2" w:rsidRDefault="000D28A0" w:rsidP="000D28A0"/>
    <w:p w:rsidR="000D28A0" w:rsidRPr="007777E2" w:rsidRDefault="000D28A0" w:rsidP="000D28A0"/>
    <w:p w:rsidR="000D28A0" w:rsidRPr="007777E2" w:rsidRDefault="000D28A0" w:rsidP="000D28A0"/>
    <w:tbl>
      <w:tblPr>
        <w:tblW w:w="0" w:type="auto"/>
        <w:tblBorders>
          <w:top w:val="single" w:sz="4" w:space="0" w:color="auto"/>
          <w:left w:val="single" w:sz="4" w:space="0" w:color="auto"/>
          <w:bottom w:val="single" w:sz="4" w:space="0" w:color="auto"/>
          <w:right w:val="single" w:sz="4" w:space="0" w:color="auto"/>
        </w:tblBorders>
        <w:tblLook w:val="01E0"/>
      </w:tblPr>
      <w:tblGrid>
        <w:gridCol w:w="4422"/>
        <w:gridCol w:w="4434"/>
      </w:tblGrid>
      <w:tr w:rsidR="000D28A0" w:rsidRPr="007777E2" w:rsidTr="008D3A9E">
        <w:trPr>
          <w:trHeight w:hRule="exact" w:val="346"/>
        </w:trPr>
        <w:tc>
          <w:tcPr>
            <w:tcW w:w="4422" w:type="dxa"/>
            <w:tcBorders>
              <w:right w:val="single" w:sz="4" w:space="0" w:color="auto"/>
            </w:tcBorders>
          </w:tcPr>
          <w:p w:rsidR="000D28A0" w:rsidRPr="007777E2" w:rsidRDefault="000D28A0" w:rsidP="008D3A9E">
            <w:pPr>
              <w:tabs>
                <w:tab w:val="left" w:pos="454"/>
              </w:tabs>
              <w:spacing w:before="80" w:line="260" w:lineRule="atLeast"/>
              <w:jc w:val="both"/>
              <w:rPr>
                <w:rFonts w:eastAsia="Cordia New"/>
              </w:rPr>
            </w:pPr>
            <w:bookmarkStart w:id="40" w:name="_Toc205366512"/>
            <w:bookmarkStart w:id="41" w:name="_Toc205366595"/>
            <w:r w:rsidRPr="007777E2">
              <w:rPr>
                <w:rFonts w:eastAsia="Cordia New"/>
              </w:rPr>
              <w:t>Vice President, Europe and Central Asia:</w:t>
            </w:r>
            <w:bookmarkEnd w:id="40"/>
            <w:bookmarkEnd w:id="41"/>
          </w:p>
        </w:tc>
        <w:tc>
          <w:tcPr>
            <w:tcW w:w="4434" w:type="dxa"/>
            <w:tcBorders>
              <w:top w:val="single" w:sz="4" w:space="0" w:color="auto"/>
              <w:left w:val="single" w:sz="4" w:space="0" w:color="auto"/>
              <w:bottom w:val="nil"/>
            </w:tcBorders>
          </w:tcPr>
          <w:p w:rsidR="000D28A0" w:rsidRPr="007777E2" w:rsidRDefault="001E6912" w:rsidP="008D3A9E">
            <w:pPr>
              <w:tabs>
                <w:tab w:val="left" w:pos="454"/>
              </w:tabs>
              <w:spacing w:before="80" w:line="260" w:lineRule="atLeast"/>
              <w:jc w:val="right"/>
              <w:rPr>
                <w:rFonts w:eastAsia="Cordia New"/>
              </w:rPr>
            </w:pPr>
            <w:r w:rsidRPr="007777E2">
              <w:rPr>
                <w:rFonts w:eastAsia="Cordia New"/>
              </w:rPr>
              <w:t>Philippe</w:t>
            </w:r>
            <w:r w:rsidR="000D28A0" w:rsidRPr="007777E2">
              <w:rPr>
                <w:rFonts w:eastAsia="Cordia New"/>
              </w:rPr>
              <w:t xml:space="preserve"> H. Le Houerou</w:t>
            </w:r>
          </w:p>
        </w:tc>
      </w:tr>
      <w:tr w:rsidR="000D28A0" w:rsidRPr="007777E2" w:rsidTr="008D3A9E">
        <w:trPr>
          <w:trHeight w:hRule="exact" w:val="346"/>
        </w:trPr>
        <w:tc>
          <w:tcPr>
            <w:tcW w:w="4422" w:type="dxa"/>
            <w:tcBorders>
              <w:right w:val="single" w:sz="4" w:space="0" w:color="auto"/>
            </w:tcBorders>
          </w:tcPr>
          <w:p w:rsidR="000D28A0" w:rsidRPr="007777E2" w:rsidRDefault="000D28A0" w:rsidP="008D3A9E">
            <w:pPr>
              <w:tabs>
                <w:tab w:val="left" w:pos="454"/>
              </w:tabs>
              <w:spacing w:before="80" w:line="260" w:lineRule="atLeast"/>
              <w:jc w:val="both"/>
              <w:rPr>
                <w:rFonts w:eastAsia="Cordia New"/>
              </w:rPr>
            </w:pPr>
            <w:bookmarkStart w:id="42" w:name="_Toc205366514"/>
            <w:bookmarkStart w:id="43" w:name="_Toc205366597"/>
            <w:r w:rsidRPr="007777E2">
              <w:rPr>
                <w:rFonts w:eastAsia="Cordia New"/>
              </w:rPr>
              <w:t>Country Director, ECCU2:</w:t>
            </w:r>
            <w:bookmarkEnd w:id="42"/>
            <w:bookmarkEnd w:id="43"/>
          </w:p>
        </w:tc>
        <w:tc>
          <w:tcPr>
            <w:tcW w:w="4434" w:type="dxa"/>
            <w:tcBorders>
              <w:top w:val="nil"/>
              <w:left w:val="single" w:sz="4" w:space="0" w:color="auto"/>
              <w:bottom w:val="nil"/>
            </w:tcBorders>
          </w:tcPr>
          <w:p w:rsidR="000D28A0" w:rsidRPr="007777E2" w:rsidRDefault="000D28A0" w:rsidP="008D3A9E">
            <w:pPr>
              <w:tabs>
                <w:tab w:val="left" w:pos="454"/>
              </w:tabs>
              <w:spacing w:before="80" w:line="260" w:lineRule="atLeast"/>
              <w:jc w:val="right"/>
              <w:rPr>
                <w:rFonts w:eastAsia="Cordia New"/>
              </w:rPr>
            </w:pPr>
            <w:r w:rsidRPr="007777E2">
              <w:rPr>
                <w:rFonts w:eastAsia="Cordia New"/>
              </w:rPr>
              <w:t>Martin Raiser</w:t>
            </w:r>
          </w:p>
        </w:tc>
      </w:tr>
      <w:tr w:rsidR="000D28A0" w:rsidRPr="007777E2" w:rsidTr="008D3A9E">
        <w:trPr>
          <w:trHeight w:hRule="exact" w:val="346"/>
        </w:trPr>
        <w:tc>
          <w:tcPr>
            <w:tcW w:w="4422" w:type="dxa"/>
            <w:tcBorders>
              <w:right w:val="single" w:sz="4" w:space="0" w:color="auto"/>
            </w:tcBorders>
          </w:tcPr>
          <w:p w:rsidR="000D28A0" w:rsidRPr="007777E2" w:rsidRDefault="000D28A0" w:rsidP="008D3A9E">
            <w:pPr>
              <w:tabs>
                <w:tab w:val="left" w:pos="454"/>
              </w:tabs>
              <w:spacing w:before="80" w:line="260" w:lineRule="atLeast"/>
              <w:jc w:val="both"/>
              <w:rPr>
                <w:rFonts w:eastAsia="Cordia New"/>
              </w:rPr>
            </w:pPr>
            <w:bookmarkStart w:id="44" w:name="_Toc205366518"/>
            <w:bookmarkStart w:id="45" w:name="_Toc205366601"/>
            <w:r w:rsidRPr="007777E2">
              <w:rPr>
                <w:rFonts w:eastAsia="Cordia New"/>
              </w:rPr>
              <w:t>Sector Manager, Transport ECSSD:</w:t>
            </w:r>
            <w:bookmarkEnd w:id="44"/>
            <w:bookmarkEnd w:id="45"/>
          </w:p>
        </w:tc>
        <w:tc>
          <w:tcPr>
            <w:tcW w:w="4434" w:type="dxa"/>
            <w:tcBorders>
              <w:top w:val="nil"/>
              <w:left w:val="single" w:sz="4" w:space="0" w:color="auto"/>
              <w:bottom w:val="nil"/>
            </w:tcBorders>
            <w:shd w:val="clear" w:color="auto" w:fill="auto"/>
          </w:tcPr>
          <w:p w:rsidR="000D28A0" w:rsidRPr="007777E2" w:rsidRDefault="000D28A0" w:rsidP="008D3A9E">
            <w:pPr>
              <w:tabs>
                <w:tab w:val="left" w:pos="454"/>
              </w:tabs>
              <w:spacing w:before="80" w:line="260" w:lineRule="atLeast"/>
              <w:jc w:val="right"/>
              <w:rPr>
                <w:rFonts w:eastAsia="Cordia New"/>
              </w:rPr>
            </w:pPr>
            <w:bookmarkStart w:id="46" w:name="_Toc205366519"/>
            <w:bookmarkStart w:id="47" w:name="_Toc205366602"/>
            <w:r w:rsidRPr="007777E2">
              <w:rPr>
                <w:rFonts w:eastAsia="Cordia New"/>
              </w:rPr>
              <w:t>Henry Kerali</w:t>
            </w:r>
            <w:bookmarkEnd w:id="46"/>
            <w:bookmarkEnd w:id="47"/>
          </w:p>
        </w:tc>
      </w:tr>
      <w:tr w:rsidR="000D28A0" w:rsidRPr="007777E2" w:rsidTr="008D3A9E">
        <w:trPr>
          <w:trHeight w:hRule="exact" w:val="346"/>
        </w:trPr>
        <w:tc>
          <w:tcPr>
            <w:tcW w:w="4422" w:type="dxa"/>
            <w:tcBorders>
              <w:right w:val="single" w:sz="4" w:space="0" w:color="auto"/>
            </w:tcBorders>
          </w:tcPr>
          <w:p w:rsidR="000D28A0" w:rsidRPr="007777E2" w:rsidRDefault="000D28A0" w:rsidP="008D3A9E">
            <w:pPr>
              <w:tabs>
                <w:tab w:val="left" w:pos="454"/>
              </w:tabs>
              <w:spacing w:before="80" w:line="260" w:lineRule="atLeast"/>
              <w:jc w:val="both"/>
              <w:rPr>
                <w:rFonts w:eastAsia="Cordia New"/>
              </w:rPr>
            </w:pPr>
            <w:bookmarkStart w:id="48" w:name="_Toc205366520"/>
            <w:bookmarkStart w:id="49" w:name="_Toc205366603"/>
            <w:r w:rsidRPr="007777E2">
              <w:rPr>
                <w:rFonts w:eastAsia="Cordia New"/>
              </w:rPr>
              <w:t>Task Team Leader, ECSSD:</w:t>
            </w:r>
            <w:bookmarkEnd w:id="48"/>
            <w:bookmarkEnd w:id="49"/>
          </w:p>
        </w:tc>
        <w:tc>
          <w:tcPr>
            <w:tcW w:w="4434" w:type="dxa"/>
            <w:tcBorders>
              <w:top w:val="nil"/>
              <w:left w:val="single" w:sz="4" w:space="0" w:color="auto"/>
              <w:bottom w:val="single" w:sz="4" w:space="0" w:color="auto"/>
            </w:tcBorders>
          </w:tcPr>
          <w:p w:rsidR="000D28A0" w:rsidRPr="007777E2" w:rsidRDefault="000D28A0" w:rsidP="008D3A9E">
            <w:pPr>
              <w:tabs>
                <w:tab w:val="left" w:pos="454"/>
              </w:tabs>
              <w:spacing w:before="80" w:line="260" w:lineRule="atLeast"/>
              <w:jc w:val="right"/>
              <w:rPr>
                <w:rFonts w:eastAsia="Cordia New"/>
              </w:rPr>
            </w:pPr>
            <w:proofErr w:type="spellStart"/>
            <w:r w:rsidRPr="007777E2">
              <w:rPr>
                <w:rFonts w:eastAsia="Cordia New"/>
              </w:rPr>
              <w:t>Cordula</w:t>
            </w:r>
            <w:proofErr w:type="spellEnd"/>
            <w:r w:rsidRPr="007777E2">
              <w:rPr>
                <w:rFonts w:eastAsia="Cordia New"/>
              </w:rPr>
              <w:t xml:space="preserve"> </w:t>
            </w:r>
            <w:proofErr w:type="spellStart"/>
            <w:r w:rsidRPr="007777E2">
              <w:rPr>
                <w:rFonts w:eastAsia="Cordia New"/>
              </w:rPr>
              <w:t>Rastogi</w:t>
            </w:r>
            <w:proofErr w:type="spellEnd"/>
          </w:p>
        </w:tc>
      </w:tr>
    </w:tbl>
    <w:p w:rsidR="00490F8C" w:rsidRDefault="00490F8C" w:rsidP="00490F8C">
      <w:pPr>
        <w:pStyle w:val="Title"/>
        <w:pBdr>
          <w:bottom w:val="none" w:sz="0" w:space="0" w:color="auto"/>
        </w:pBdr>
        <w:spacing w:before="360" w:after="240"/>
        <w:contextualSpacing w:val="0"/>
        <w:jc w:val="center"/>
        <w:rPr>
          <w:rFonts w:ascii="Times New Roman Bold" w:hAnsi="Times New Roman Bold"/>
          <w:b/>
          <w:smallCaps/>
          <w:color w:val="auto"/>
          <w:sz w:val="32"/>
        </w:rPr>
      </w:pPr>
      <w:bookmarkStart w:id="50" w:name="_Toc181781727"/>
      <w:bookmarkStart w:id="51" w:name="_Toc205716045"/>
      <w:bookmarkStart w:id="52" w:name="_Toc210524322"/>
      <w:bookmarkStart w:id="53" w:name="_Toc244402514"/>
      <w:bookmarkStart w:id="54" w:name="_Toc253998896"/>
    </w:p>
    <w:p w:rsidR="000D28A0" w:rsidRPr="00490F8C" w:rsidRDefault="000D28A0" w:rsidP="00490F8C">
      <w:pPr>
        <w:pStyle w:val="Title"/>
        <w:pBdr>
          <w:bottom w:val="none" w:sz="0" w:space="0" w:color="auto"/>
        </w:pBdr>
        <w:spacing w:before="360" w:after="240"/>
        <w:contextualSpacing w:val="0"/>
        <w:jc w:val="center"/>
        <w:rPr>
          <w:rFonts w:ascii="Times New Roman Bold" w:hAnsi="Times New Roman Bold"/>
          <w:b/>
          <w:smallCaps/>
          <w:color w:val="auto"/>
          <w:sz w:val="32"/>
        </w:rPr>
      </w:pPr>
      <w:r w:rsidRPr="00490F8C">
        <w:rPr>
          <w:rFonts w:ascii="Times New Roman Bold" w:hAnsi="Times New Roman Bold"/>
          <w:b/>
          <w:smallCaps/>
          <w:color w:val="auto"/>
          <w:sz w:val="32"/>
        </w:rPr>
        <w:t>Abbreviations and Acronyms</w:t>
      </w:r>
      <w:bookmarkEnd w:id="50"/>
      <w:bookmarkEnd w:id="51"/>
      <w:bookmarkEnd w:id="52"/>
      <w:bookmarkEnd w:id="53"/>
      <w:bookmarkEnd w:id="54"/>
    </w:p>
    <w:p w:rsidR="004B33E8" w:rsidRPr="007777E2" w:rsidRDefault="004B33E8" w:rsidP="004B33E8"/>
    <w:tbl>
      <w:tblPr>
        <w:tblW w:w="0" w:type="auto"/>
        <w:tblLook w:val="0000"/>
      </w:tblPr>
      <w:tblGrid>
        <w:gridCol w:w="1269"/>
        <w:gridCol w:w="7587"/>
      </w:tblGrid>
      <w:tr w:rsidR="00505A2E" w:rsidRPr="00E00111" w:rsidTr="00ED4F26">
        <w:tc>
          <w:tcPr>
            <w:tcW w:w="1269" w:type="dxa"/>
          </w:tcPr>
          <w:p w:rsidR="00505A2E" w:rsidRPr="00E00111" w:rsidRDefault="00505A2E" w:rsidP="00ED4F26">
            <w:pPr>
              <w:rPr>
                <w:sz w:val="20"/>
                <w:szCs w:val="20"/>
              </w:rPr>
            </w:pPr>
            <w:r w:rsidRPr="00E00111">
              <w:rPr>
                <w:sz w:val="20"/>
                <w:szCs w:val="20"/>
              </w:rPr>
              <w:t>BSR</w:t>
            </w:r>
          </w:p>
        </w:tc>
        <w:tc>
          <w:tcPr>
            <w:tcW w:w="7587" w:type="dxa"/>
          </w:tcPr>
          <w:p w:rsidR="00505A2E" w:rsidRPr="00E00111" w:rsidRDefault="00505A2E" w:rsidP="00ED4F26">
            <w:pPr>
              <w:rPr>
                <w:sz w:val="20"/>
                <w:szCs w:val="20"/>
              </w:rPr>
            </w:pPr>
            <w:r w:rsidRPr="00E00111">
              <w:rPr>
                <w:sz w:val="20"/>
                <w:szCs w:val="20"/>
              </w:rPr>
              <w:t>Baltic Sea Region</w:t>
            </w:r>
          </w:p>
        </w:tc>
      </w:tr>
      <w:tr w:rsidR="00505A2E" w:rsidRPr="00E00111" w:rsidTr="00ED4F26">
        <w:tc>
          <w:tcPr>
            <w:tcW w:w="1269" w:type="dxa"/>
          </w:tcPr>
          <w:p w:rsidR="00505A2E" w:rsidRPr="00E00111" w:rsidRDefault="00505A2E" w:rsidP="00ED4F26">
            <w:pPr>
              <w:rPr>
                <w:sz w:val="20"/>
                <w:szCs w:val="20"/>
              </w:rPr>
            </w:pPr>
            <w:r w:rsidRPr="00E00111">
              <w:rPr>
                <w:sz w:val="20"/>
                <w:szCs w:val="20"/>
              </w:rPr>
              <w:t>CASPR</w:t>
            </w:r>
          </w:p>
        </w:tc>
        <w:tc>
          <w:tcPr>
            <w:tcW w:w="7587" w:type="dxa"/>
          </w:tcPr>
          <w:p w:rsidR="00505A2E" w:rsidRPr="00E00111" w:rsidRDefault="00505A2E" w:rsidP="00ED4F26">
            <w:pPr>
              <w:rPr>
                <w:sz w:val="20"/>
                <w:szCs w:val="20"/>
              </w:rPr>
            </w:pPr>
            <w:r w:rsidRPr="00E00111">
              <w:rPr>
                <w:sz w:val="20"/>
                <w:szCs w:val="20"/>
              </w:rPr>
              <w:t>Country Assistance Strategy Progress Report</w:t>
            </w:r>
          </w:p>
        </w:tc>
      </w:tr>
      <w:tr w:rsidR="00505A2E" w:rsidRPr="00E00111" w:rsidTr="00ED4F26">
        <w:tc>
          <w:tcPr>
            <w:tcW w:w="1269" w:type="dxa"/>
          </w:tcPr>
          <w:p w:rsidR="00505A2E" w:rsidRPr="00E00111" w:rsidRDefault="00505A2E" w:rsidP="00ED4F26">
            <w:pPr>
              <w:rPr>
                <w:sz w:val="20"/>
                <w:szCs w:val="20"/>
              </w:rPr>
            </w:pPr>
            <w:r w:rsidRPr="00E00111">
              <w:rPr>
                <w:sz w:val="20"/>
                <w:szCs w:val="20"/>
              </w:rPr>
              <w:t>CEE</w:t>
            </w:r>
          </w:p>
        </w:tc>
        <w:tc>
          <w:tcPr>
            <w:tcW w:w="7587" w:type="dxa"/>
          </w:tcPr>
          <w:p w:rsidR="00505A2E" w:rsidRPr="00E00111" w:rsidRDefault="00505A2E" w:rsidP="00ED4F26">
            <w:pPr>
              <w:rPr>
                <w:sz w:val="20"/>
                <w:szCs w:val="20"/>
              </w:rPr>
            </w:pPr>
            <w:r w:rsidRPr="00E00111">
              <w:rPr>
                <w:sz w:val="20"/>
                <w:szCs w:val="20"/>
              </w:rPr>
              <w:t>Central and Eastern Europe</w:t>
            </w:r>
          </w:p>
        </w:tc>
      </w:tr>
      <w:tr w:rsidR="00505A2E" w:rsidRPr="00E00111" w:rsidTr="00ED4F26">
        <w:tc>
          <w:tcPr>
            <w:tcW w:w="1269" w:type="dxa"/>
          </w:tcPr>
          <w:p w:rsidR="00505A2E" w:rsidRPr="00E00111" w:rsidRDefault="00505A2E" w:rsidP="00ED4F26">
            <w:pPr>
              <w:rPr>
                <w:sz w:val="20"/>
                <w:szCs w:val="20"/>
              </w:rPr>
            </w:pPr>
            <w:r w:rsidRPr="00E00111">
              <w:rPr>
                <w:sz w:val="20"/>
                <w:szCs w:val="20"/>
              </w:rPr>
              <w:t>CIS</w:t>
            </w:r>
          </w:p>
        </w:tc>
        <w:tc>
          <w:tcPr>
            <w:tcW w:w="7587" w:type="dxa"/>
          </w:tcPr>
          <w:p w:rsidR="00505A2E" w:rsidRPr="00E00111" w:rsidRDefault="00505A2E" w:rsidP="00ED4F26">
            <w:pPr>
              <w:rPr>
                <w:sz w:val="20"/>
                <w:szCs w:val="20"/>
              </w:rPr>
            </w:pPr>
            <w:r w:rsidRPr="00E00111">
              <w:rPr>
                <w:sz w:val="20"/>
                <w:szCs w:val="20"/>
              </w:rPr>
              <w:t>Commonwealth of Independent States</w:t>
            </w:r>
          </w:p>
        </w:tc>
      </w:tr>
      <w:tr w:rsidR="00505A2E" w:rsidRPr="00E00111" w:rsidTr="00ED4F26">
        <w:tc>
          <w:tcPr>
            <w:tcW w:w="1269" w:type="dxa"/>
          </w:tcPr>
          <w:p w:rsidR="00505A2E" w:rsidRPr="00E00111" w:rsidRDefault="00505A2E" w:rsidP="00ED4F26">
            <w:pPr>
              <w:rPr>
                <w:sz w:val="20"/>
                <w:szCs w:val="20"/>
              </w:rPr>
            </w:pPr>
            <w:r w:rsidRPr="00E00111">
              <w:rPr>
                <w:sz w:val="20"/>
                <w:szCs w:val="20"/>
              </w:rPr>
              <w:t>CSCMP</w:t>
            </w:r>
          </w:p>
        </w:tc>
        <w:tc>
          <w:tcPr>
            <w:tcW w:w="7587" w:type="dxa"/>
          </w:tcPr>
          <w:p w:rsidR="00505A2E" w:rsidRPr="00E00111" w:rsidRDefault="00505A2E" w:rsidP="00ED4F26">
            <w:pPr>
              <w:rPr>
                <w:sz w:val="20"/>
                <w:szCs w:val="20"/>
              </w:rPr>
            </w:pPr>
            <w:r w:rsidRPr="00E00111">
              <w:rPr>
                <w:sz w:val="20"/>
                <w:szCs w:val="20"/>
              </w:rPr>
              <w:t>Council of Supply Chain Management Professionals</w:t>
            </w:r>
          </w:p>
        </w:tc>
      </w:tr>
      <w:tr w:rsidR="00505A2E" w:rsidRPr="00E00111" w:rsidTr="00ED4F26">
        <w:tc>
          <w:tcPr>
            <w:tcW w:w="1269" w:type="dxa"/>
          </w:tcPr>
          <w:p w:rsidR="00505A2E" w:rsidRPr="00E00111" w:rsidRDefault="00505A2E" w:rsidP="00ED4F26">
            <w:pPr>
              <w:rPr>
                <w:sz w:val="20"/>
                <w:szCs w:val="20"/>
              </w:rPr>
            </w:pPr>
            <w:r w:rsidRPr="00E00111">
              <w:rPr>
                <w:sz w:val="20"/>
                <w:szCs w:val="20"/>
              </w:rPr>
              <w:t>CTC</w:t>
            </w:r>
          </w:p>
        </w:tc>
        <w:tc>
          <w:tcPr>
            <w:tcW w:w="7587" w:type="dxa"/>
          </w:tcPr>
          <w:p w:rsidR="00505A2E" w:rsidRPr="00E00111" w:rsidRDefault="00505A2E" w:rsidP="00ED4F26">
            <w:pPr>
              <w:rPr>
                <w:sz w:val="20"/>
                <w:szCs w:val="20"/>
              </w:rPr>
            </w:pPr>
            <w:r w:rsidRPr="00E00111">
              <w:rPr>
                <w:sz w:val="20"/>
                <w:szCs w:val="20"/>
              </w:rPr>
              <w:t>Centralized Traffic Control</w:t>
            </w:r>
          </w:p>
        </w:tc>
      </w:tr>
      <w:tr w:rsidR="00505A2E" w:rsidRPr="00E00111" w:rsidTr="00ED4F26">
        <w:tc>
          <w:tcPr>
            <w:tcW w:w="1269" w:type="dxa"/>
          </w:tcPr>
          <w:p w:rsidR="00505A2E" w:rsidRPr="00E00111" w:rsidRDefault="00505A2E" w:rsidP="00ED4F26">
            <w:pPr>
              <w:rPr>
                <w:sz w:val="20"/>
                <w:szCs w:val="20"/>
              </w:rPr>
            </w:pPr>
            <w:r w:rsidRPr="00E00111">
              <w:rPr>
                <w:sz w:val="20"/>
                <w:szCs w:val="20"/>
              </w:rPr>
              <w:t>EBRD</w:t>
            </w:r>
          </w:p>
        </w:tc>
        <w:tc>
          <w:tcPr>
            <w:tcW w:w="7587" w:type="dxa"/>
          </w:tcPr>
          <w:p w:rsidR="00505A2E" w:rsidRPr="00E00111" w:rsidRDefault="00505A2E" w:rsidP="00ED4F26">
            <w:pPr>
              <w:rPr>
                <w:sz w:val="20"/>
                <w:szCs w:val="20"/>
              </w:rPr>
            </w:pPr>
            <w:r w:rsidRPr="00E00111">
              <w:rPr>
                <w:sz w:val="20"/>
                <w:szCs w:val="20"/>
              </w:rPr>
              <w:t>European Bank for Reconstruction and Development</w:t>
            </w:r>
          </w:p>
        </w:tc>
      </w:tr>
      <w:tr w:rsidR="00505A2E" w:rsidRPr="00E00111" w:rsidTr="00ED4F26">
        <w:tc>
          <w:tcPr>
            <w:tcW w:w="1269" w:type="dxa"/>
          </w:tcPr>
          <w:p w:rsidR="00505A2E" w:rsidRPr="00E00111" w:rsidRDefault="00505A2E" w:rsidP="00ED4F26">
            <w:pPr>
              <w:rPr>
                <w:sz w:val="20"/>
                <w:szCs w:val="20"/>
              </w:rPr>
            </w:pPr>
            <w:r w:rsidRPr="00E00111">
              <w:rPr>
                <w:sz w:val="20"/>
                <w:szCs w:val="20"/>
              </w:rPr>
              <w:t xml:space="preserve">ECA </w:t>
            </w:r>
          </w:p>
        </w:tc>
        <w:tc>
          <w:tcPr>
            <w:tcW w:w="7587" w:type="dxa"/>
          </w:tcPr>
          <w:p w:rsidR="00505A2E" w:rsidRPr="00E00111" w:rsidRDefault="00505A2E" w:rsidP="00ED4F26">
            <w:pPr>
              <w:rPr>
                <w:sz w:val="20"/>
                <w:szCs w:val="20"/>
              </w:rPr>
            </w:pPr>
            <w:r w:rsidRPr="00E00111">
              <w:rPr>
                <w:sz w:val="20"/>
                <w:szCs w:val="20"/>
              </w:rPr>
              <w:t>Europe and Central Asia</w:t>
            </w:r>
          </w:p>
        </w:tc>
      </w:tr>
      <w:tr w:rsidR="00505A2E" w:rsidRPr="00E00111" w:rsidTr="00ED4F26">
        <w:tc>
          <w:tcPr>
            <w:tcW w:w="1269" w:type="dxa"/>
          </w:tcPr>
          <w:p w:rsidR="00505A2E" w:rsidRPr="00E00111" w:rsidRDefault="00505A2E" w:rsidP="00ED4F26">
            <w:pPr>
              <w:rPr>
                <w:sz w:val="20"/>
                <w:szCs w:val="20"/>
              </w:rPr>
            </w:pPr>
            <w:r w:rsidRPr="00E00111">
              <w:rPr>
                <w:sz w:val="20"/>
                <w:szCs w:val="20"/>
              </w:rPr>
              <w:t>EECCA</w:t>
            </w:r>
          </w:p>
        </w:tc>
        <w:tc>
          <w:tcPr>
            <w:tcW w:w="7587" w:type="dxa"/>
          </w:tcPr>
          <w:p w:rsidR="00505A2E" w:rsidRPr="00E00111" w:rsidRDefault="00505A2E" w:rsidP="00ED4F26">
            <w:pPr>
              <w:rPr>
                <w:sz w:val="20"/>
                <w:szCs w:val="20"/>
              </w:rPr>
            </w:pPr>
            <w:r w:rsidRPr="00E00111">
              <w:rPr>
                <w:sz w:val="20"/>
                <w:szCs w:val="20"/>
              </w:rPr>
              <w:t>Eastern Europe, Caucasus and Central Asia</w:t>
            </w:r>
          </w:p>
        </w:tc>
      </w:tr>
      <w:tr w:rsidR="00505A2E" w:rsidRPr="00E00111" w:rsidTr="00ED4F26">
        <w:tc>
          <w:tcPr>
            <w:tcW w:w="1269" w:type="dxa"/>
          </w:tcPr>
          <w:p w:rsidR="00505A2E" w:rsidRPr="00E00111" w:rsidRDefault="00505A2E" w:rsidP="00ED4F26">
            <w:pPr>
              <w:rPr>
                <w:sz w:val="20"/>
                <w:szCs w:val="20"/>
              </w:rPr>
            </w:pPr>
            <w:r w:rsidRPr="00E00111">
              <w:rPr>
                <w:sz w:val="20"/>
                <w:szCs w:val="20"/>
              </w:rPr>
              <w:t>EU</w:t>
            </w:r>
          </w:p>
        </w:tc>
        <w:tc>
          <w:tcPr>
            <w:tcW w:w="7587" w:type="dxa"/>
          </w:tcPr>
          <w:p w:rsidR="00505A2E" w:rsidRPr="00E00111" w:rsidRDefault="00505A2E" w:rsidP="00ED4F26">
            <w:pPr>
              <w:rPr>
                <w:sz w:val="20"/>
                <w:szCs w:val="20"/>
              </w:rPr>
            </w:pPr>
            <w:r w:rsidRPr="00E00111">
              <w:rPr>
                <w:sz w:val="20"/>
                <w:szCs w:val="20"/>
              </w:rPr>
              <w:t>European Union</w:t>
            </w:r>
          </w:p>
        </w:tc>
      </w:tr>
      <w:tr w:rsidR="00E80B4A" w:rsidRPr="00E00111" w:rsidTr="00ED4F26">
        <w:tc>
          <w:tcPr>
            <w:tcW w:w="1269" w:type="dxa"/>
          </w:tcPr>
          <w:p w:rsidR="00E80B4A" w:rsidRPr="00E00111" w:rsidRDefault="00E80B4A" w:rsidP="00ED4F26">
            <w:pPr>
              <w:rPr>
                <w:sz w:val="20"/>
                <w:szCs w:val="20"/>
              </w:rPr>
            </w:pPr>
            <w:proofErr w:type="spellStart"/>
            <w:r w:rsidRPr="00E00111">
              <w:rPr>
                <w:sz w:val="20"/>
                <w:szCs w:val="20"/>
              </w:rPr>
              <w:t>EurAsEC</w:t>
            </w:r>
            <w:proofErr w:type="spellEnd"/>
          </w:p>
        </w:tc>
        <w:tc>
          <w:tcPr>
            <w:tcW w:w="7587" w:type="dxa"/>
          </w:tcPr>
          <w:p w:rsidR="00E80B4A" w:rsidRPr="00E00111" w:rsidRDefault="00E80B4A" w:rsidP="00ED4F26">
            <w:pPr>
              <w:rPr>
                <w:sz w:val="20"/>
                <w:szCs w:val="20"/>
              </w:rPr>
            </w:pPr>
            <w:r w:rsidRPr="00E00111">
              <w:rPr>
                <w:sz w:val="20"/>
                <w:szCs w:val="20"/>
              </w:rPr>
              <w:t>Eurasian Economic Cooperation</w:t>
            </w:r>
          </w:p>
        </w:tc>
      </w:tr>
      <w:tr w:rsidR="00505A2E" w:rsidRPr="00E00111" w:rsidTr="00ED4F26">
        <w:tc>
          <w:tcPr>
            <w:tcW w:w="1269" w:type="dxa"/>
          </w:tcPr>
          <w:p w:rsidR="00505A2E" w:rsidRPr="00E00111" w:rsidRDefault="00505A2E" w:rsidP="00ED4F26">
            <w:pPr>
              <w:rPr>
                <w:sz w:val="20"/>
                <w:szCs w:val="20"/>
              </w:rPr>
            </w:pPr>
            <w:r w:rsidRPr="00E00111">
              <w:rPr>
                <w:sz w:val="20"/>
                <w:szCs w:val="20"/>
              </w:rPr>
              <w:t>FDI</w:t>
            </w:r>
          </w:p>
        </w:tc>
        <w:tc>
          <w:tcPr>
            <w:tcW w:w="7587" w:type="dxa"/>
          </w:tcPr>
          <w:p w:rsidR="00505A2E" w:rsidRPr="00E00111" w:rsidRDefault="00505A2E" w:rsidP="00ED4F26">
            <w:pPr>
              <w:rPr>
                <w:sz w:val="20"/>
                <w:szCs w:val="20"/>
              </w:rPr>
            </w:pPr>
            <w:r w:rsidRPr="00E00111">
              <w:rPr>
                <w:sz w:val="20"/>
                <w:szCs w:val="20"/>
              </w:rPr>
              <w:t>Foreign Direct Investment</w:t>
            </w:r>
          </w:p>
        </w:tc>
      </w:tr>
      <w:tr w:rsidR="00505A2E" w:rsidRPr="00E00111" w:rsidTr="00ED4F26">
        <w:tc>
          <w:tcPr>
            <w:tcW w:w="1269" w:type="dxa"/>
          </w:tcPr>
          <w:p w:rsidR="00505A2E" w:rsidRPr="00E00111" w:rsidRDefault="00505A2E" w:rsidP="00ED4F26">
            <w:pPr>
              <w:rPr>
                <w:sz w:val="20"/>
                <w:szCs w:val="20"/>
              </w:rPr>
            </w:pPr>
            <w:r w:rsidRPr="00E00111">
              <w:rPr>
                <w:sz w:val="20"/>
                <w:szCs w:val="20"/>
              </w:rPr>
              <w:t>FTL</w:t>
            </w:r>
          </w:p>
        </w:tc>
        <w:tc>
          <w:tcPr>
            <w:tcW w:w="7587" w:type="dxa"/>
          </w:tcPr>
          <w:p w:rsidR="00505A2E" w:rsidRPr="00E00111" w:rsidRDefault="00505A2E" w:rsidP="00ED4F26">
            <w:pPr>
              <w:rPr>
                <w:sz w:val="20"/>
                <w:szCs w:val="20"/>
              </w:rPr>
            </w:pPr>
            <w:r w:rsidRPr="00E00111">
              <w:rPr>
                <w:sz w:val="20"/>
                <w:szCs w:val="20"/>
              </w:rPr>
              <w:t>Full Truck Load</w:t>
            </w:r>
          </w:p>
        </w:tc>
      </w:tr>
      <w:tr w:rsidR="00505A2E" w:rsidRPr="00E00111" w:rsidTr="00ED4F26">
        <w:tc>
          <w:tcPr>
            <w:tcW w:w="1269" w:type="dxa"/>
          </w:tcPr>
          <w:p w:rsidR="00505A2E" w:rsidRPr="00E00111" w:rsidRDefault="00505A2E" w:rsidP="00ED4F26">
            <w:pPr>
              <w:rPr>
                <w:sz w:val="20"/>
                <w:szCs w:val="20"/>
              </w:rPr>
            </w:pPr>
            <w:r w:rsidRPr="00E00111">
              <w:rPr>
                <w:sz w:val="20"/>
                <w:szCs w:val="20"/>
              </w:rPr>
              <w:t>GDP</w:t>
            </w:r>
          </w:p>
        </w:tc>
        <w:tc>
          <w:tcPr>
            <w:tcW w:w="7587" w:type="dxa"/>
          </w:tcPr>
          <w:p w:rsidR="00505A2E" w:rsidRPr="00E00111" w:rsidRDefault="00505A2E" w:rsidP="00ED4F26">
            <w:pPr>
              <w:rPr>
                <w:sz w:val="20"/>
                <w:szCs w:val="20"/>
              </w:rPr>
            </w:pPr>
            <w:r w:rsidRPr="00E00111">
              <w:rPr>
                <w:sz w:val="20"/>
                <w:szCs w:val="20"/>
              </w:rPr>
              <w:t>Gross Domestic Product</w:t>
            </w:r>
          </w:p>
        </w:tc>
      </w:tr>
      <w:tr w:rsidR="00505A2E" w:rsidRPr="00E00111" w:rsidTr="00ED4F26">
        <w:tc>
          <w:tcPr>
            <w:tcW w:w="1269" w:type="dxa"/>
          </w:tcPr>
          <w:p w:rsidR="00505A2E" w:rsidRPr="00E00111" w:rsidRDefault="00505A2E" w:rsidP="00ED4F26">
            <w:pPr>
              <w:rPr>
                <w:sz w:val="20"/>
                <w:szCs w:val="20"/>
              </w:rPr>
            </w:pPr>
            <w:r w:rsidRPr="00E00111">
              <w:rPr>
                <w:sz w:val="20"/>
                <w:szCs w:val="20"/>
              </w:rPr>
              <w:t>GETI</w:t>
            </w:r>
          </w:p>
        </w:tc>
        <w:tc>
          <w:tcPr>
            <w:tcW w:w="7587" w:type="dxa"/>
          </w:tcPr>
          <w:p w:rsidR="00505A2E" w:rsidRPr="00E00111" w:rsidRDefault="00505A2E" w:rsidP="00ED4F26">
            <w:pPr>
              <w:rPr>
                <w:sz w:val="20"/>
                <w:szCs w:val="20"/>
              </w:rPr>
            </w:pPr>
            <w:r w:rsidRPr="00E00111">
              <w:rPr>
                <w:sz w:val="20"/>
                <w:szCs w:val="20"/>
              </w:rPr>
              <w:t>Global Enabling Trade Index</w:t>
            </w:r>
          </w:p>
        </w:tc>
      </w:tr>
      <w:tr w:rsidR="00505A2E" w:rsidRPr="00E00111" w:rsidTr="00ED4F26">
        <w:tc>
          <w:tcPr>
            <w:tcW w:w="1269" w:type="dxa"/>
          </w:tcPr>
          <w:p w:rsidR="00505A2E" w:rsidRPr="00E00111" w:rsidRDefault="00505A2E" w:rsidP="00ED4F26">
            <w:pPr>
              <w:rPr>
                <w:sz w:val="20"/>
                <w:szCs w:val="20"/>
              </w:rPr>
            </w:pPr>
            <w:r w:rsidRPr="00E00111">
              <w:rPr>
                <w:sz w:val="20"/>
                <w:szCs w:val="20"/>
              </w:rPr>
              <w:t>GRDI</w:t>
            </w:r>
          </w:p>
        </w:tc>
        <w:tc>
          <w:tcPr>
            <w:tcW w:w="7587" w:type="dxa"/>
          </w:tcPr>
          <w:p w:rsidR="00505A2E" w:rsidRPr="00E00111" w:rsidRDefault="00505A2E" w:rsidP="00ED4F26">
            <w:pPr>
              <w:rPr>
                <w:sz w:val="20"/>
                <w:szCs w:val="20"/>
              </w:rPr>
            </w:pPr>
            <w:r w:rsidRPr="00E00111">
              <w:rPr>
                <w:sz w:val="20"/>
                <w:szCs w:val="20"/>
              </w:rPr>
              <w:t>Global Retail Development Index</w:t>
            </w:r>
          </w:p>
        </w:tc>
      </w:tr>
      <w:tr w:rsidR="00505A2E" w:rsidRPr="00E00111" w:rsidTr="00ED4F26">
        <w:tc>
          <w:tcPr>
            <w:tcW w:w="1269" w:type="dxa"/>
          </w:tcPr>
          <w:p w:rsidR="00657725" w:rsidRDefault="00657725" w:rsidP="00ED4F26">
            <w:pPr>
              <w:rPr>
                <w:sz w:val="20"/>
                <w:szCs w:val="20"/>
              </w:rPr>
            </w:pPr>
            <w:r>
              <w:rPr>
                <w:sz w:val="20"/>
                <w:szCs w:val="20"/>
              </w:rPr>
              <w:t>HDM-4</w:t>
            </w:r>
          </w:p>
          <w:p w:rsidR="00505A2E" w:rsidRPr="00E00111" w:rsidRDefault="00505A2E" w:rsidP="00ED4F26">
            <w:pPr>
              <w:rPr>
                <w:sz w:val="20"/>
                <w:szCs w:val="20"/>
              </w:rPr>
            </w:pPr>
            <w:r w:rsidRPr="00E00111">
              <w:rPr>
                <w:sz w:val="20"/>
                <w:szCs w:val="20"/>
              </w:rPr>
              <w:t>IFI</w:t>
            </w:r>
          </w:p>
        </w:tc>
        <w:tc>
          <w:tcPr>
            <w:tcW w:w="7587" w:type="dxa"/>
          </w:tcPr>
          <w:p w:rsidR="00657725" w:rsidRDefault="00657725" w:rsidP="00ED4F26">
            <w:pPr>
              <w:rPr>
                <w:sz w:val="20"/>
                <w:szCs w:val="20"/>
              </w:rPr>
            </w:pPr>
            <w:r>
              <w:rPr>
                <w:sz w:val="20"/>
                <w:szCs w:val="20"/>
              </w:rPr>
              <w:t>Highway Development and Management Model</w:t>
            </w:r>
          </w:p>
          <w:p w:rsidR="00505A2E" w:rsidRPr="00E00111" w:rsidRDefault="00505A2E" w:rsidP="00ED4F26">
            <w:pPr>
              <w:rPr>
                <w:sz w:val="20"/>
                <w:szCs w:val="20"/>
              </w:rPr>
            </w:pPr>
            <w:r w:rsidRPr="00E00111">
              <w:rPr>
                <w:sz w:val="20"/>
                <w:szCs w:val="20"/>
              </w:rPr>
              <w:t>International Financial Institution</w:t>
            </w:r>
          </w:p>
        </w:tc>
      </w:tr>
      <w:tr w:rsidR="00505A2E" w:rsidRPr="00E00111" w:rsidTr="00ED4F26">
        <w:tc>
          <w:tcPr>
            <w:tcW w:w="1269" w:type="dxa"/>
          </w:tcPr>
          <w:p w:rsidR="00505A2E" w:rsidRPr="00E00111" w:rsidRDefault="00505A2E" w:rsidP="00ED4F26">
            <w:pPr>
              <w:rPr>
                <w:sz w:val="20"/>
                <w:szCs w:val="20"/>
              </w:rPr>
            </w:pPr>
            <w:r w:rsidRPr="00E00111">
              <w:rPr>
                <w:sz w:val="20"/>
                <w:szCs w:val="20"/>
              </w:rPr>
              <w:t>IMF</w:t>
            </w:r>
          </w:p>
        </w:tc>
        <w:tc>
          <w:tcPr>
            <w:tcW w:w="7587" w:type="dxa"/>
          </w:tcPr>
          <w:p w:rsidR="00505A2E" w:rsidRPr="00E00111" w:rsidRDefault="00505A2E" w:rsidP="00ED4F26">
            <w:pPr>
              <w:rPr>
                <w:sz w:val="20"/>
                <w:szCs w:val="20"/>
              </w:rPr>
            </w:pPr>
            <w:r w:rsidRPr="00E00111">
              <w:rPr>
                <w:sz w:val="20"/>
                <w:szCs w:val="20"/>
              </w:rPr>
              <w:t>International Monetary Fund</w:t>
            </w:r>
          </w:p>
        </w:tc>
      </w:tr>
      <w:tr w:rsidR="00505A2E" w:rsidRPr="00E00111" w:rsidTr="00ED4F26">
        <w:tc>
          <w:tcPr>
            <w:tcW w:w="1269" w:type="dxa"/>
          </w:tcPr>
          <w:p w:rsidR="00505A2E" w:rsidRPr="00E00111" w:rsidRDefault="00505A2E" w:rsidP="00ED4F26">
            <w:pPr>
              <w:rPr>
                <w:sz w:val="20"/>
                <w:szCs w:val="20"/>
              </w:rPr>
            </w:pPr>
            <w:r w:rsidRPr="00E00111">
              <w:rPr>
                <w:sz w:val="20"/>
                <w:szCs w:val="20"/>
              </w:rPr>
              <w:t>IRU</w:t>
            </w:r>
          </w:p>
        </w:tc>
        <w:tc>
          <w:tcPr>
            <w:tcW w:w="7587" w:type="dxa"/>
          </w:tcPr>
          <w:p w:rsidR="00505A2E" w:rsidRPr="00E00111" w:rsidRDefault="00505A2E" w:rsidP="00ED4F26">
            <w:pPr>
              <w:rPr>
                <w:sz w:val="20"/>
                <w:szCs w:val="20"/>
              </w:rPr>
            </w:pPr>
            <w:r w:rsidRPr="00E00111">
              <w:rPr>
                <w:sz w:val="20"/>
                <w:szCs w:val="20"/>
              </w:rPr>
              <w:t>International Road Transport Union</w:t>
            </w:r>
          </w:p>
        </w:tc>
      </w:tr>
      <w:tr w:rsidR="00505A2E" w:rsidRPr="00E00111" w:rsidTr="00ED4F26">
        <w:tc>
          <w:tcPr>
            <w:tcW w:w="1269" w:type="dxa"/>
          </w:tcPr>
          <w:p w:rsidR="00505A2E" w:rsidRPr="00E00111" w:rsidRDefault="00505A2E" w:rsidP="00ED4F26">
            <w:pPr>
              <w:rPr>
                <w:sz w:val="20"/>
                <w:szCs w:val="20"/>
              </w:rPr>
            </w:pPr>
            <w:r w:rsidRPr="00E00111">
              <w:rPr>
                <w:sz w:val="20"/>
                <w:szCs w:val="20"/>
              </w:rPr>
              <w:t>ITF</w:t>
            </w:r>
          </w:p>
        </w:tc>
        <w:tc>
          <w:tcPr>
            <w:tcW w:w="7587" w:type="dxa"/>
          </w:tcPr>
          <w:p w:rsidR="00505A2E" w:rsidRPr="00E00111" w:rsidRDefault="00505A2E" w:rsidP="00ED4F26">
            <w:pPr>
              <w:rPr>
                <w:sz w:val="20"/>
                <w:szCs w:val="20"/>
              </w:rPr>
            </w:pPr>
            <w:r w:rsidRPr="00E00111">
              <w:rPr>
                <w:sz w:val="20"/>
                <w:szCs w:val="20"/>
              </w:rPr>
              <w:t>International Transport Federation</w:t>
            </w:r>
          </w:p>
        </w:tc>
      </w:tr>
      <w:tr w:rsidR="00505A2E" w:rsidRPr="00E00111" w:rsidTr="00ED4F26">
        <w:tc>
          <w:tcPr>
            <w:tcW w:w="1269" w:type="dxa"/>
          </w:tcPr>
          <w:p w:rsidR="00505A2E" w:rsidRPr="00E00111" w:rsidRDefault="00505A2E" w:rsidP="00ED4F26">
            <w:pPr>
              <w:rPr>
                <w:sz w:val="20"/>
                <w:szCs w:val="20"/>
              </w:rPr>
            </w:pPr>
            <w:r w:rsidRPr="00E00111">
              <w:rPr>
                <w:sz w:val="20"/>
                <w:szCs w:val="20"/>
              </w:rPr>
              <w:t>LPI</w:t>
            </w:r>
          </w:p>
        </w:tc>
        <w:tc>
          <w:tcPr>
            <w:tcW w:w="7587" w:type="dxa"/>
          </w:tcPr>
          <w:p w:rsidR="00505A2E" w:rsidRPr="00E00111" w:rsidRDefault="00505A2E" w:rsidP="00ED4F26">
            <w:pPr>
              <w:rPr>
                <w:sz w:val="20"/>
                <w:szCs w:val="20"/>
              </w:rPr>
            </w:pPr>
            <w:r w:rsidRPr="00E00111">
              <w:rPr>
                <w:sz w:val="20"/>
                <w:szCs w:val="20"/>
              </w:rPr>
              <w:t>Logistics Performance Index</w:t>
            </w:r>
          </w:p>
        </w:tc>
      </w:tr>
      <w:tr w:rsidR="00505A2E" w:rsidRPr="00E00111" w:rsidTr="00ED4F26">
        <w:tc>
          <w:tcPr>
            <w:tcW w:w="1269" w:type="dxa"/>
          </w:tcPr>
          <w:p w:rsidR="00505A2E" w:rsidRPr="00E00111" w:rsidRDefault="00505A2E" w:rsidP="00ED4F26">
            <w:pPr>
              <w:rPr>
                <w:sz w:val="20"/>
                <w:szCs w:val="20"/>
              </w:rPr>
            </w:pPr>
            <w:r w:rsidRPr="00E00111">
              <w:rPr>
                <w:sz w:val="20"/>
                <w:szCs w:val="20"/>
              </w:rPr>
              <w:t>LTL</w:t>
            </w:r>
          </w:p>
        </w:tc>
        <w:tc>
          <w:tcPr>
            <w:tcW w:w="7587" w:type="dxa"/>
          </w:tcPr>
          <w:p w:rsidR="00505A2E" w:rsidRPr="00E00111" w:rsidRDefault="00505A2E" w:rsidP="00ED4F26">
            <w:pPr>
              <w:rPr>
                <w:sz w:val="20"/>
                <w:szCs w:val="20"/>
              </w:rPr>
            </w:pPr>
            <w:r w:rsidRPr="00E00111">
              <w:rPr>
                <w:sz w:val="20"/>
                <w:szCs w:val="20"/>
              </w:rPr>
              <w:t>Less Than Truck Load</w:t>
            </w:r>
          </w:p>
        </w:tc>
      </w:tr>
      <w:tr w:rsidR="00505A2E" w:rsidRPr="00E00111" w:rsidTr="00ED4F26">
        <w:tc>
          <w:tcPr>
            <w:tcW w:w="1269" w:type="dxa"/>
          </w:tcPr>
          <w:p w:rsidR="00505A2E" w:rsidRPr="00E00111" w:rsidRDefault="00505A2E" w:rsidP="00ED4F26">
            <w:pPr>
              <w:rPr>
                <w:sz w:val="20"/>
                <w:szCs w:val="20"/>
              </w:rPr>
            </w:pPr>
            <w:r w:rsidRPr="00E00111">
              <w:rPr>
                <w:sz w:val="20"/>
                <w:szCs w:val="20"/>
              </w:rPr>
              <w:t>MOTC</w:t>
            </w:r>
          </w:p>
        </w:tc>
        <w:tc>
          <w:tcPr>
            <w:tcW w:w="7587" w:type="dxa"/>
          </w:tcPr>
          <w:p w:rsidR="00505A2E" w:rsidRPr="00E00111" w:rsidRDefault="00505A2E" w:rsidP="00ED4F26">
            <w:pPr>
              <w:rPr>
                <w:sz w:val="20"/>
                <w:szCs w:val="20"/>
              </w:rPr>
            </w:pPr>
            <w:r w:rsidRPr="00E00111">
              <w:rPr>
                <w:sz w:val="20"/>
                <w:szCs w:val="20"/>
              </w:rPr>
              <w:t>Ministry of Transport and Communications</w:t>
            </w:r>
          </w:p>
        </w:tc>
      </w:tr>
      <w:tr w:rsidR="00505A2E" w:rsidRPr="00E00111" w:rsidTr="00ED4F26">
        <w:tc>
          <w:tcPr>
            <w:tcW w:w="1269" w:type="dxa"/>
          </w:tcPr>
          <w:p w:rsidR="00505A2E" w:rsidRPr="00E00111" w:rsidRDefault="00505A2E" w:rsidP="00ED4F26">
            <w:pPr>
              <w:rPr>
                <w:sz w:val="20"/>
                <w:szCs w:val="20"/>
              </w:rPr>
            </w:pPr>
            <w:r w:rsidRPr="00E00111">
              <w:rPr>
                <w:sz w:val="20"/>
                <w:szCs w:val="20"/>
              </w:rPr>
              <w:t>NRF</w:t>
            </w:r>
          </w:p>
        </w:tc>
        <w:tc>
          <w:tcPr>
            <w:tcW w:w="7587" w:type="dxa"/>
          </w:tcPr>
          <w:p w:rsidR="00505A2E" w:rsidRPr="00E00111" w:rsidRDefault="00505A2E" w:rsidP="00ED4F26">
            <w:pPr>
              <w:rPr>
                <w:sz w:val="20"/>
                <w:szCs w:val="20"/>
              </w:rPr>
            </w:pPr>
            <w:r w:rsidRPr="00E00111">
              <w:rPr>
                <w:sz w:val="20"/>
                <w:szCs w:val="20"/>
              </w:rPr>
              <w:t>National Road Fund</w:t>
            </w:r>
          </w:p>
        </w:tc>
      </w:tr>
      <w:tr w:rsidR="00505A2E" w:rsidRPr="00E00111" w:rsidTr="00ED4F26">
        <w:tc>
          <w:tcPr>
            <w:tcW w:w="1269" w:type="dxa"/>
          </w:tcPr>
          <w:p w:rsidR="00505A2E" w:rsidRPr="00E00111" w:rsidRDefault="00505A2E" w:rsidP="00ED4F26">
            <w:pPr>
              <w:rPr>
                <w:sz w:val="20"/>
                <w:szCs w:val="20"/>
              </w:rPr>
            </w:pPr>
            <w:r w:rsidRPr="00E00111">
              <w:rPr>
                <w:sz w:val="20"/>
                <w:szCs w:val="20"/>
              </w:rPr>
              <w:t>PPP</w:t>
            </w:r>
          </w:p>
        </w:tc>
        <w:tc>
          <w:tcPr>
            <w:tcW w:w="7587" w:type="dxa"/>
          </w:tcPr>
          <w:p w:rsidR="00505A2E" w:rsidRPr="00E00111" w:rsidRDefault="00505A2E" w:rsidP="00ED4F26">
            <w:pPr>
              <w:rPr>
                <w:sz w:val="20"/>
                <w:szCs w:val="20"/>
              </w:rPr>
            </w:pPr>
            <w:r w:rsidRPr="00E00111">
              <w:rPr>
                <w:sz w:val="20"/>
                <w:szCs w:val="20"/>
              </w:rPr>
              <w:t>Purchasing Power Parity</w:t>
            </w:r>
          </w:p>
        </w:tc>
      </w:tr>
      <w:tr w:rsidR="00505A2E" w:rsidRPr="00E00111" w:rsidTr="00ED4F26">
        <w:tc>
          <w:tcPr>
            <w:tcW w:w="1269" w:type="dxa"/>
          </w:tcPr>
          <w:p w:rsidR="00505A2E" w:rsidRPr="00E00111" w:rsidRDefault="00505A2E" w:rsidP="00ED4F26">
            <w:pPr>
              <w:rPr>
                <w:sz w:val="20"/>
                <w:szCs w:val="20"/>
              </w:rPr>
            </w:pPr>
            <w:r w:rsidRPr="00E00111">
              <w:rPr>
                <w:sz w:val="20"/>
                <w:szCs w:val="20"/>
              </w:rPr>
              <w:t>RMS</w:t>
            </w:r>
          </w:p>
        </w:tc>
        <w:tc>
          <w:tcPr>
            <w:tcW w:w="7587" w:type="dxa"/>
          </w:tcPr>
          <w:p w:rsidR="00505A2E" w:rsidRPr="00E00111" w:rsidRDefault="00505A2E" w:rsidP="00ED4F26">
            <w:pPr>
              <w:rPr>
                <w:sz w:val="20"/>
                <w:szCs w:val="20"/>
              </w:rPr>
            </w:pPr>
            <w:r w:rsidRPr="00E00111">
              <w:rPr>
                <w:sz w:val="20"/>
                <w:szCs w:val="20"/>
              </w:rPr>
              <w:t>Road Asset Management System</w:t>
            </w:r>
          </w:p>
        </w:tc>
      </w:tr>
      <w:tr w:rsidR="00505A2E" w:rsidRPr="00E00111" w:rsidTr="00ED4F26">
        <w:tc>
          <w:tcPr>
            <w:tcW w:w="1269" w:type="dxa"/>
          </w:tcPr>
          <w:p w:rsidR="00505A2E" w:rsidRPr="00E00111" w:rsidRDefault="00505A2E" w:rsidP="00ED4F26">
            <w:pPr>
              <w:rPr>
                <w:sz w:val="20"/>
                <w:szCs w:val="20"/>
              </w:rPr>
            </w:pPr>
            <w:r w:rsidRPr="00E00111">
              <w:rPr>
                <w:sz w:val="20"/>
                <w:szCs w:val="20"/>
              </w:rPr>
              <w:t>TEN-T</w:t>
            </w:r>
          </w:p>
        </w:tc>
        <w:tc>
          <w:tcPr>
            <w:tcW w:w="7587" w:type="dxa"/>
          </w:tcPr>
          <w:p w:rsidR="00505A2E" w:rsidRPr="00E00111" w:rsidRDefault="00505A2E" w:rsidP="00ED4F26">
            <w:pPr>
              <w:rPr>
                <w:sz w:val="20"/>
                <w:szCs w:val="20"/>
              </w:rPr>
            </w:pPr>
            <w:r w:rsidRPr="00E00111">
              <w:rPr>
                <w:sz w:val="20"/>
                <w:szCs w:val="20"/>
              </w:rPr>
              <w:t>Trans-European Transport Network</w:t>
            </w:r>
          </w:p>
        </w:tc>
      </w:tr>
      <w:tr w:rsidR="00505A2E" w:rsidRPr="00E00111" w:rsidTr="00ED4F26">
        <w:tc>
          <w:tcPr>
            <w:tcW w:w="1269" w:type="dxa"/>
          </w:tcPr>
          <w:p w:rsidR="00505A2E" w:rsidRPr="00E00111" w:rsidRDefault="00505A2E" w:rsidP="00ED4F26">
            <w:pPr>
              <w:rPr>
                <w:sz w:val="20"/>
                <w:szCs w:val="20"/>
              </w:rPr>
            </w:pPr>
            <w:r w:rsidRPr="00E00111">
              <w:rPr>
                <w:sz w:val="20"/>
                <w:szCs w:val="20"/>
              </w:rPr>
              <w:t>UNCTAD</w:t>
            </w:r>
          </w:p>
        </w:tc>
        <w:tc>
          <w:tcPr>
            <w:tcW w:w="7587" w:type="dxa"/>
          </w:tcPr>
          <w:p w:rsidR="00505A2E" w:rsidRPr="00E00111" w:rsidRDefault="00505A2E" w:rsidP="00ED4F26">
            <w:pPr>
              <w:rPr>
                <w:sz w:val="20"/>
                <w:szCs w:val="20"/>
              </w:rPr>
            </w:pPr>
            <w:r w:rsidRPr="00E00111">
              <w:rPr>
                <w:sz w:val="20"/>
                <w:szCs w:val="20"/>
              </w:rPr>
              <w:t>United Nations Conference on Trade and Development</w:t>
            </w:r>
          </w:p>
        </w:tc>
      </w:tr>
      <w:tr w:rsidR="00505A2E" w:rsidRPr="00E00111" w:rsidTr="00ED4F26">
        <w:tc>
          <w:tcPr>
            <w:tcW w:w="1269" w:type="dxa"/>
          </w:tcPr>
          <w:p w:rsidR="00505A2E" w:rsidRPr="00E00111" w:rsidRDefault="00505A2E" w:rsidP="00ED4F26">
            <w:pPr>
              <w:rPr>
                <w:sz w:val="20"/>
                <w:szCs w:val="20"/>
              </w:rPr>
            </w:pPr>
            <w:r w:rsidRPr="00E00111">
              <w:rPr>
                <w:sz w:val="20"/>
                <w:szCs w:val="20"/>
              </w:rPr>
              <w:t>UNECE</w:t>
            </w:r>
          </w:p>
        </w:tc>
        <w:tc>
          <w:tcPr>
            <w:tcW w:w="7587" w:type="dxa"/>
          </w:tcPr>
          <w:p w:rsidR="00505A2E" w:rsidRPr="00E00111" w:rsidRDefault="00505A2E" w:rsidP="00ED4F26">
            <w:pPr>
              <w:rPr>
                <w:sz w:val="20"/>
                <w:szCs w:val="20"/>
              </w:rPr>
            </w:pPr>
            <w:r w:rsidRPr="00E00111">
              <w:rPr>
                <w:sz w:val="20"/>
                <w:szCs w:val="20"/>
              </w:rPr>
              <w:t>United Nations Economic Commission for Europe</w:t>
            </w:r>
          </w:p>
        </w:tc>
      </w:tr>
      <w:tr w:rsidR="00505A2E" w:rsidRPr="00E00111" w:rsidTr="00ED4F26">
        <w:tc>
          <w:tcPr>
            <w:tcW w:w="1269" w:type="dxa"/>
          </w:tcPr>
          <w:p w:rsidR="00505A2E" w:rsidRPr="00E00111" w:rsidRDefault="00505A2E" w:rsidP="00ED4F26">
            <w:pPr>
              <w:rPr>
                <w:sz w:val="20"/>
                <w:szCs w:val="20"/>
              </w:rPr>
            </w:pPr>
            <w:r w:rsidRPr="00E00111">
              <w:rPr>
                <w:sz w:val="20"/>
                <w:szCs w:val="20"/>
              </w:rPr>
              <w:t>USA</w:t>
            </w:r>
          </w:p>
        </w:tc>
        <w:tc>
          <w:tcPr>
            <w:tcW w:w="7587" w:type="dxa"/>
          </w:tcPr>
          <w:p w:rsidR="00505A2E" w:rsidRPr="00E00111" w:rsidRDefault="00505A2E" w:rsidP="00ED4F26">
            <w:pPr>
              <w:rPr>
                <w:sz w:val="20"/>
                <w:szCs w:val="20"/>
              </w:rPr>
            </w:pPr>
            <w:r w:rsidRPr="00E00111">
              <w:rPr>
                <w:sz w:val="20"/>
                <w:szCs w:val="20"/>
              </w:rPr>
              <w:t>United States of America</w:t>
            </w:r>
          </w:p>
        </w:tc>
      </w:tr>
      <w:tr w:rsidR="00505A2E" w:rsidRPr="00E00111" w:rsidTr="00ED4F26">
        <w:tc>
          <w:tcPr>
            <w:tcW w:w="1269" w:type="dxa"/>
          </w:tcPr>
          <w:p w:rsidR="00505A2E" w:rsidRPr="00E00111" w:rsidRDefault="00505A2E" w:rsidP="00ED4F26">
            <w:pPr>
              <w:rPr>
                <w:sz w:val="20"/>
                <w:szCs w:val="20"/>
              </w:rPr>
            </w:pPr>
            <w:r w:rsidRPr="00E00111">
              <w:rPr>
                <w:sz w:val="20"/>
                <w:szCs w:val="20"/>
              </w:rPr>
              <w:t>USA</w:t>
            </w:r>
          </w:p>
        </w:tc>
        <w:tc>
          <w:tcPr>
            <w:tcW w:w="7587" w:type="dxa"/>
          </w:tcPr>
          <w:p w:rsidR="00505A2E" w:rsidRPr="00E00111" w:rsidRDefault="00505A2E" w:rsidP="00ED4F26">
            <w:pPr>
              <w:rPr>
                <w:sz w:val="20"/>
                <w:szCs w:val="20"/>
              </w:rPr>
            </w:pPr>
            <w:r w:rsidRPr="00E00111">
              <w:rPr>
                <w:sz w:val="20"/>
                <w:szCs w:val="20"/>
              </w:rPr>
              <w:t>United States of America</w:t>
            </w:r>
          </w:p>
        </w:tc>
      </w:tr>
      <w:tr w:rsidR="00505A2E" w:rsidRPr="00E00111" w:rsidTr="00ED4F26">
        <w:tc>
          <w:tcPr>
            <w:tcW w:w="1269" w:type="dxa"/>
          </w:tcPr>
          <w:p w:rsidR="00505A2E" w:rsidRPr="00E00111" w:rsidRDefault="00505A2E" w:rsidP="00ED4F26">
            <w:pPr>
              <w:rPr>
                <w:sz w:val="20"/>
                <w:szCs w:val="20"/>
              </w:rPr>
            </w:pPr>
            <w:r w:rsidRPr="00E00111">
              <w:rPr>
                <w:sz w:val="20"/>
                <w:szCs w:val="20"/>
              </w:rPr>
              <w:t>USD</w:t>
            </w:r>
          </w:p>
        </w:tc>
        <w:tc>
          <w:tcPr>
            <w:tcW w:w="7587" w:type="dxa"/>
          </w:tcPr>
          <w:p w:rsidR="00505A2E" w:rsidRPr="00E00111" w:rsidRDefault="00505A2E" w:rsidP="00ED4F26">
            <w:pPr>
              <w:rPr>
                <w:sz w:val="20"/>
                <w:szCs w:val="20"/>
              </w:rPr>
            </w:pPr>
            <w:r w:rsidRPr="00E00111">
              <w:rPr>
                <w:sz w:val="20"/>
                <w:szCs w:val="20"/>
              </w:rPr>
              <w:t>United States Dollar</w:t>
            </w:r>
          </w:p>
        </w:tc>
      </w:tr>
      <w:tr w:rsidR="00505A2E" w:rsidRPr="00E00111" w:rsidTr="00ED4F26">
        <w:tc>
          <w:tcPr>
            <w:tcW w:w="1269" w:type="dxa"/>
          </w:tcPr>
          <w:p w:rsidR="00505A2E" w:rsidRPr="00E00111" w:rsidRDefault="00505A2E" w:rsidP="00ED4F26">
            <w:pPr>
              <w:rPr>
                <w:sz w:val="20"/>
                <w:szCs w:val="20"/>
              </w:rPr>
            </w:pPr>
            <w:r w:rsidRPr="00E00111">
              <w:rPr>
                <w:sz w:val="20"/>
                <w:szCs w:val="20"/>
              </w:rPr>
              <w:t>VAT</w:t>
            </w:r>
          </w:p>
        </w:tc>
        <w:tc>
          <w:tcPr>
            <w:tcW w:w="7587" w:type="dxa"/>
          </w:tcPr>
          <w:p w:rsidR="00505A2E" w:rsidRPr="00E00111" w:rsidRDefault="00505A2E" w:rsidP="00ED4F26">
            <w:pPr>
              <w:rPr>
                <w:sz w:val="20"/>
                <w:szCs w:val="20"/>
              </w:rPr>
            </w:pPr>
            <w:r w:rsidRPr="00E00111">
              <w:rPr>
                <w:sz w:val="20"/>
                <w:szCs w:val="20"/>
              </w:rPr>
              <w:t>Value Added Tax</w:t>
            </w:r>
          </w:p>
        </w:tc>
      </w:tr>
    </w:tbl>
    <w:p w:rsidR="000D28A0" w:rsidRDefault="000D28A0" w:rsidP="000D28A0">
      <w:pPr>
        <w:tabs>
          <w:tab w:val="left" w:pos="720"/>
        </w:tabs>
        <w:ind w:right="360"/>
        <w:jc w:val="center"/>
        <w:rPr>
          <w:b/>
          <w:sz w:val="28"/>
          <w:szCs w:val="28"/>
          <w:highlight w:val="yellow"/>
        </w:rPr>
      </w:pPr>
    </w:p>
    <w:p w:rsidR="00423A9A" w:rsidRPr="00423A9A" w:rsidRDefault="00423A9A" w:rsidP="00423A9A">
      <w:pPr>
        <w:tabs>
          <w:tab w:val="left" w:pos="720"/>
        </w:tabs>
        <w:ind w:right="360"/>
        <w:jc w:val="center"/>
        <w:rPr>
          <w:sz w:val="22"/>
          <w:szCs w:val="28"/>
        </w:rPr>
      </w:pPr>
    </w:p>
    <w:p w:rsidR="00423A9A" w:rsidRPr="00423A9A" w:rsidRDefault="00423A9A" w:rsidP="00423A9A">
      <w:pPr>
        <w:spacing w:after="200" w:line="276" w:lineRule="auto"/>
        <w:rPr>
          <w:sz w:val="22"/>
          <w:szCs w:val="28"/>
        </w:rPr>
      </w:pPr>
      <w:r w:rsidRPr="00423A9A">
        <w:rPr>
          <w:sz w:val="22"/>
          <w:szCs w:val="28"/>
        </w:rPr>
        <w:br w:type="page"/>
      </w:r>
    </w:p>
    <w:p w:rsidR="00423A9A" w:rsidRPr="00490F8C" w:rsidRDefault="00423A9A" w:rsidP="00490F8C">
      <w:pPr>
        <w:pStyle w:val="Title"/>
        <w:keepNext/>
        <w:pageBreakBefore/>
        <w:pBdr>
          <w:bottom w:val="none" w:sz="0" w:space="0" w:color="auto"/>
        </w:pBdr>
        <w:spacing w:before="360" w:after="240"/>
        <w:contextualSpacing w:val="0"/>
        <w:jc w:val="center"/>
        <w:rPr>
          <w:rFonts w:ascii="Times New Roman Bold" w:hAnsi="Times New Roman Bold"/>
          <w:b/>
          <w:smallCaps/>
          <w:color w:val="auto"/>
          <w:sz w:val="32"/>
        </w:rPr>
      </w:pPr>
      <w:bookmarkStart w:id="55" w:name="_Toc181781730"/>
      <w:bookmarkStart w:id="56" w:name="_Toc205716048"/>
      <w:bookmarkStart w:id="57" w:name="_Toc210524325"/>
      <w:bookmarkStart w:id="58" w:name="_Toc244402516"/>
      <w:bookmarkStart w:id="59" w:name="_Toc253998898"/>
      <w:r w:rsidRPr="00490F8C">
        <w:rPr>
          <w:rFonts w:ascii="Times New Roman Bold" w:hAnsi="Times New Roman Bold"/>
          <w:b/>
          <w:smallCaps/>
          <w:color w:val="auto"/>
          <w:sz w:val="32"/>
        </w:rPr>
        <w:lastRenderedPageBreak/>
        <w:t>Acknowledgments</w:t>
      </w:r>
      <w:bookmarkEnd w:id="55"/>
      <w:bookmarkEnd w:id="56"/>
      <w:bookmarkEnd w:id="57"/>
      <w:bookmarkEnd w:id="58"/>
      <w:bookmarkEnd w:id="59"/>
    </w:p>
    <w:p w:rsidR="00423A9A" w:rsidRPr="007777E2" w:rsidRDefault="00423A9A" w:rsidP="00423A9A"/>
    <w:p w:rsidR="00423A9A" w:rsidRPr="007777E2" w:rsidRDefault="00423A9A" w:rsidP="00423A9A">
      <w:pPr>
        <w:pStyle w:val="BodyText"/>
        <w:tabs>
          <w:tab w:val="left" w:pos="720"/>
        </w:tabs>
        <w:spacing w:after="0"/>
        <w:ind w:right="360"/>
        <w:jc w:val="both"/>
      </w:pPr>
      <w:r w:rsidRPr="007777E2">
        <w:t xml:space="preserve">This report was prepared by a team comprising of </w:t>
      </w:r>
      <w:proofErr w:type="spellStart"/>
      <w:r w:rsidRPr="007777E2">
        <w:t>Cordula</w:t>
      </w:r>
      <w:proofErr w:type="spellEnd"/>
      <w:r w:rsidRPr="007777E2">
        <w:t xml:space="preserve"> </w:t>
      </w:r>
      <w:proofErr w:type="spellStart"/>
      <w:r w:rsidRPr="007777E2">
        <w:t>Rastogi</w:t>
      </w:r>
      <w:proofErr w:type="spellEnd"/>
      <w:r w:rsidRPr="007777E2">
        <w:t xml:space="preserve"> (Task Team Leader), Elena </w:t>
      </w:r>
      <w:proofErr w:type="spellStart"/>
      <w:r w:rsidRPr="007777E2">
        <w:t>Klochan</w:t>
      </w:r>
      <w:proofErr w:type="spellEnd"/>
      <w:r w:rsidRPr="007777E2">
        <w:t xml:space="preserve"> (Senior Country Program Officer), </w:t>
      </w:r>
      <w:proofErr w:type="spellStart"/>
      <w:r w:rsidRPr="007777E2">
        <w:t>Vasile</w:t>
      </w:r>
      <w:proofErr w:type="spellEnd"/>
      <w:r w:rsidRPr="007777E2">
        <w:t xml:space="preserve"> </w:t>
      </w:r>
      <w:proofErr w:type="spellStart"/>
      <w:r w:rsidRPr="007777E2">
        <w:t>Olievschi</w:t>
      </w:r>
      <w:proofErr w:type="spellEnd"/>
      <w:r w:rsidRPr="007777E2">
        <w:t xml:space="preserve"> (Senior Railways Specialist), </w:t>
      </w:r>
      <w:proofErr w:type="spellStart"/>
      <w:r w:rsidRPr="007777E2">
        <w:t>Romain</w:t>
      </w:r>
      <w:proofErr w:type="spellEnd"/>
      <w:r w:rsidRPr="007777E2">
        <w:t xml:space="preserve"> </w:t>
      </w:r>
      <w:proofErr w:type="spellStart"/>
      <w:r w:rsidRPr="007777E2">
        <w:t>Pison</w:t>
      </w:r>
      <w:proofErr w:type="spellEnd"/>
      <w:r w:rsidRPr="007777E2">
        <w:t xml:space="preserve"> (</w:t>
      </w:r>
      <w:r>
        <w:t>Transport Engineer</w:t>
      </w:r>
      <w:r w:rsidRPr="007777E2">
        <w:t xml:space="preserve">), </w:t>
      </w:r>
      <w:proofErr w:type="spellStart"/>
      <w:r w:rsidRPr="007777E2">
        <w:t>Jukka-Pekka</w:t>
      </w:r>
      <w:proofErr w:type="spellEnd"/>
      <w:r w:rsidRPr="007777E2">
        <w:t xml:space="preserve"> Strand (Financial Analyst) and </w:t>
      </w:r>
      <w:proofErr w:type="spellStart"/>
      <w:r w:rsidRPr="007777E2">
        <w:t>Liljana</w:t>
      </w:r>
      <w:proofErr w:type="spellEnd"/>
      <w:r w:rsidRPr="007777E2">
        <w:t xml:space="preserve"> </w:t>
      </w:r>
      <w:proofErr w:type="spellStart"/>
      <w:r w:rsidRPr="007777E2">
        <w:t>Sekerinska</w:t>
      </w:r>
      <w:proofErr w:type="spellEnd"/>
      <w:r w:rsidRPr="007777E2">
        <w:t xml:space="preserve"> (Transport Specialist) from the Europe and Central Asia Region of the World Bank</w:t>
      </w:r>
      <w:r>
        <w:t xml:space="preserve">, </w:t>
      </w:r>
      <w:r w:rsidRPr="007777E2">
        <w:t xml:space="preserve">in close collaboration with the Belarusian authorities. Irina </w:t>
      </w:r>
      <w:proofErr w:type="spellStart"/>
      <w:r w:rsidRPr="007777E2">
        <w:t>Trukhan</w:t>
      </w:r>
      <w:proofErr w:type="spellEnd"/>
      <w:r w:rsidRPr="007777E2">
        <w:t xml:space="preserve"> (Project Assistant) and Elena </w:t>
      </w:r>
      <w:proofErr w:type="spellStart"/>
      <w:r w:rsidRPr="007777E2">
        <w:t>Lukyanchikova</w:t>
      </w:r>
      <w:proofErr w:type="spellEnd"/>
      <w:r w:rsidRPr="007777E2">
        <w:t xml:space="preserve"> (Program Assistant) kindly assisted the team with administrative matters. Barbara </w:t>
      </w:r>
      <w:proofErr w:type="spellStart"/>
      <w:r w:rsidRPr="007777E2">
        <w:t>Catherwood</w:t>
      </w:r>
      <w:proofErr w:type="spellEnd"/>
      <w:r w:rsidRPr="007777E2">
        <w:t xml:space="preserve"> provided editorial assistance.</w:t>
      </w:r>
    </w:p>
    <w:p w:rsidR="00423A9A" w:rsidRPr="007777E2" w:rsidRDefault="00423A9A" w:rsidP="00423A9A">
      <w:pPr>
        <w:pStyle w:val="BodyText"/>
        <w:tabs>
          <w:tab w:val="left" w:pos="720"/>
        </w:tabs>
        <w:spacing w:after="0"/>
        <w:ind w:right="360"/>
        <w:jc w:val="both"/>
      </w:pPr>
    </w:p>
    <w:p w:rsidR="00423A9A" w:rsidRPr="007777E2" w:rsidRDefault="00423A9A" w:rsidP="00423A9A">
      <w:pPr>
        <w:pStyle w:val="BodyText"/>
        <w:tabs>
          <w:tab w:val="left" w:pos="720"/>
        </w:tabs>
        <w:spacing w:after="0"/>
        <w:ind w:right="360"/>
        <w:jc w:val="both"/>
      </w:pPr>
      <w:r w:rsidRPr="007777E2">
        <w:t xml:space="preserve">The team also included Prof. </w:t>
      </w:r>
      <w:proofErr w:type="spellStart"/>
      <w:r w:rsidRPr="007777E2">
        <w:t>Lauri</w:t>
      </w:r>
      <w:proofErr w:type="spellEnd"/>
      <w:r w:rsidRPr="007777E2">
        <w:t xml:space="preserve"> </w:t>
      </w:r>
      <w:proofErr w:type="spellStart"/>
      <w:r w:rsidRPr="007777E2">
        <w:t>Ojala</w:t>
      </w:r>
      <w:proofErr w:type="spellEnd"/>
      <w:r w:rsidRPr="007777E2">
        <w:t xml:space="preserve"> (Professor at Turku School of Economics, Finland) and Dr. </w:t>
      </w:r>
      <w:proofErr w:type="spellStart"/>
      <w:r w:rsidRPr="007777E2">
        <w:t>Harri</w:t>
      </w:r>
      <w:proofErr w:type="spellEnd"/>
      <w:r w:rsidRPr="007777E2">
        <w:t xml:space="preserve"> Lorentz (Senior Research Associate at Turku School of Economics, Finland). They provided substantive contributions through the Belarus Trade and Transport Facilitation Diagnostic Study, which was </w:t>
      </w:r>
      <w:r>
        <w:t xml:space="preserve">prepared as an input </w:t>
      </w:r>
      <w:r w:rsidRPr="007777E2">
        <w:t>for this report.</w:t>
      </w:r>
    </w:p>
    <w:p w:rsidR="00423A9A" w:rsidRPr="007777E2" w:rsidRDefault="00423A9A" w:rsidP="00423A9A">
      <w:pPr>
        <w:pStyle w:val="BodyText"/>
        <w:tabs>
          <w:tab w:val="left" w:pos="720"/>
        </w:tabs>
        <w:spacing w:after="0"/>
        <w:ind w:right="360"/>
        <w:jc w:val="both"/>
      </w:pPr>
    </w:p>
    <w:p w:rsidR="00423A9A" w:rsidRPr="007777E2" w:rsidRDefault="00423A9A" w:rsidP="00423A9A">
      <w:pPr>
        <w:tabs>
          <w:tab w:val="left" w:pos="720"/>
        </w:tabs>
        <w:ind w:right="360"/>
        <w:jc w:val="both"/>
      </w:pPr>
      <w:r w:rsidRPr="007777E2">
        <w:t>The team gratefully acknowledges the guidance of Martin Raiser (Country Director, Ukraine, Belarus, and Moldova)</w:t>
      </w:r>
      <w:r>
        <w:t xml:space="preserve"> and </w:t>
      </w:r>
      <w:r w:rsidRPr="007777E2">
        <w:t>Henry Kerali (Sector Manager, Transport)</w:t>
      </w:r>
      <w:r>
        <w:t xml:space="preserve">. Andreas </w:t>
      </w:r>
      <w:proofErr w:type="spellStart"/>
      <w:r>
        <w:t>Schliessler</w:t>
      </w:r>
      <w:proofErr w:type="spellEnd"/>
      <w:r>
        <w:t xml:space="preserve"> (Program Team Leader) reviewed the draft versions of the document and provided numerous inputs and suggestions. The team would also like to thank </w:t>
      </w:r>
      <w:r w:rsidRPr="007777E2">
        <w:t xml:space="preserve">peer reviewers </w:t>
      </w:r>
      <w:proofErr w:type="spellStart"/>
      <w:r w:rsidRPr="007777E2">
        <w:t>Moustafa</w:t>
      </w:r>
      <w:proofErr w:type="spellEnd"/>
      <w:r w:rsidRPr="007777E2">
        <w:t xml:space="preserve"> </w:t>
      </w:r>
      <w:proofErr w:type="spellStart"/>
      <w:r w:rsidRPr="007777E2">
        <w:t>Baher</w:t>
      </w:r>
      <w:proofErr w:type="spellEnd"/>
      <w:r w:rsidRPr="007777E2">
        <w:t xml:space="preserve"> El-</w:t>
      </w:r>
      <w:proofErr w:type="spellStart"/>
      <w:r w:rsidRPr="007777E2">
        <w:t>Hefnawy</w:t>
      </w:r>
      <w:proofErr w:type="spellEnd"/>
      <w:r w:rsidRPr="007777E2">
        <w:t xml:space="preserve"> (Lead Transport Economist) and Pablo </w:t>
      </w:r>
      <w:proofErr w:type="spellStart"/>
      <w:r w:rsidRPr="007777E2">
        <w:t>Sa</w:t>
      </w:r>
      <w:r>
        <w:t>a</w:t>
      </w:r>
      <w:r w:rsidRPr="007777E2">
        <w:t>vedra</w:t>
      </w:r>
      <w:proofErr w:type="spellEnd"/>
      <w:r w:rsidRPr="007777E2">
        <w:t xml:space="preserve"> (Senior Country Economist) for their helpful comments on the draft of this report. </w:t>
      </w:r>
    </w:p>
    <w:p w:rsidR="00423A9A" w:rsidRPr="007777E2" w:rsidRDefault="00423A9A" w:rsidP="00423A9A">
      <w:pPr>
        <w:tabs>
          <w:tab w:val="left" w:pos="720"/>
        </w:tabs>
        <w:ind w:right="360"/>
        <w:jc w:val="both"/>
      </w:pPr>
    </w:p>
    <w:p w:rsidR="00423A9A" w:rsidRPr="007777E2" w:rsidRDefault="00423A9A" w:rsidP="00423A9A">
      <w:pPr>
        <w:tabs>
          <w:tab w:val="left" w:pos="720"/>
        </w:tabs>
        <w:ind w:right="360"/>
        <w:jc w:val="both"/>
      </w:pPr>
      <w:r w:rsidRPr="007777E2">
        <w:t xml:space="preserve">The team also gratefully acknowledges the many formal and informal contributions of representatives </w:t>
      </w:r>
      <w:r>
        <w:t xml:space="preserve">of numerous </w:t>
      </w:r>
      <w:r w:rsidRPr="007777E2">
        <w:t>Government</w:t>
      </w:r>
      <w:r>
        <w:t xml:space="preserve"> and non-Government institutions in</w:t>
      </w:r>
      <w:r w:rsidRPr="007777E2">
        <w:t xml:space="preserve"> Belarus who assisted during the course of the study</w:t>
      </w:r>
      <w:r>
        <w:t xml:space="preserve"> and provided comments on draft versions</w:t>
      </w:r>
      <w:r w:rsidRPr="007777E2">
        <w:t>.</w:t>
      </w:r>
    </w:p>
    <w:p w:rsidR="00423A9A" w:rsidRPr="007777E2" w:rsidRDefault="00423A9A" w:rsidP="00423A9A">
      <w:pPr>
        <w:tabs>
          <w:tab w:val="left" w:pos="720"/>
        </w:tabs>
        <w:ind w:right="360"/>
        <w:jc w:val="center"/>
        <w:rPr>
          <w:b/>
          <w:sz w:val="28"/>
          <w:szCs w:val="28"/>
        </w:rPr>
      </w:pPr>
    </w:p>
    <w:p w:rsidR="00423A9A" w:rsidRPr="007777E2" w:rsidRDefault="00423A9A" w:rsidP="000D28A0">
      <w:pPr>
        <w:tabs>
          <w:tab w:val="left" w:pos="720"/>
        </w:tabs>
        <w:ind w:right="360"/>
        <w:jc w:val="center"/>
        <w:rPr>
          <w:b/>
          <w:sz w:val="28"/>
          <w:szCs w:val="28"/>
          <w:highlight w:val="yellow"/>
        </w:rPr>
      </w:pPr>
    </w:p>
    <w:p w:rsidR="000D28A0" w:rsidRPr="007777E2" w:rsidRDefault="000D28A0" w:rsidP="00FD70EE">
      <w:pPr>
        <w:rPr>
          <w:b/>
          <w:sz w:val="28"/>
          <w:szCs w:val="28"/>
        </w:rPr>
      </w:pPr>
      <w:r w:rsidRPr="007777E2">
        <w:rPr>
          <w:b/>
          <w:sz w:val="28"/>
          <w:szCs w:val="28"/>
        </w:rPr>
        <w:br w:type="page"/>
      </w:r>
    </w:p>
    <w:sdt>
      <w:sdtPr>
        <w:rPr>
          <w:rFonts w:ascii="Times New Roman Bold" w:eastAsia="Times New Roman" w:hAnsi="Times New Roman Bold" w:cs="Times New Roman"/>
          <w:b/>
          <w:smallCaps/>
          <w:color w:val="auto"/>
          <w:spacing w:val="0"/>
          <w:kern w:val="0"/>
          <w:sz w:val="32"/>
          <w:szCs w:val="24"/>
        </w:rPr>
        <w:id w:val="27558981"/>
        <w:docPartObj>
          <w:docPartGallery w:val="Table of Contents"/>
          <w:docPartUnique/>
        </w:docPartObj>
      </w:sdtPr>
      <w:sdtEndPr>
        <w:rPr>
          <w:rFonts w:ascii="Times New Roman" w:hAnsi="Times New Roman"/>
          <w:b w:val="0"/>
          <w:smallCaps w:val="0"/>
          <w:sz w:val="20"/>
          <w:szCs w:val="20"/>
        </w:rPr>
      </w:sdtEndPr>
      <w:sdtContent>
        <w:p w:rsidR="00FD70EE" w:rsidRPr="00490F8C" w:rsidRDefault="00FD70EE" w:rsidP="00490F8C">
          <w:pPr>
            <w:pStyle w:val="Title"/>
            <w:keepNext/>
            <w:pageBreakBefore/>
            <w:pBdr>
              <w:bottom w:val="none" w:sz="0" w:space="0" w:color="auto"/>
            </w:pBdr>
            <w:spacing w:before="360" w:after="240"/>
            <w:contextualSpacing w:val="0"/>
            <w:jc w:val="center"/>
            <w:rPr>
              <w:rFonts w:ascii="Times New Roman Bold" w:hAnsi="Times New Roman Bold"/>
              <w:b/>
              <w:smallCaps/>
              <w:color w:val="auto"/>
              <w:sz w:val="32"/>
            </w:rPr>
          </w:pPr>
          <w:r w:rsidRPr="00490F8C">
            <w:rPr>
              <w:rFonts w:ascii="Times New Roman Bold" w:hAnsi="Times New Roman Bold"/>
              <w:b/>
              <w:smallCaps/>
              <w:color w:val="auto"/>
              <w:sz w:val="32"/>
            </w:rPr>
            <w:t>C</w:t>
          </w:r>
          <w:r w:rsidR="00BE38CB" w:rsidRPr="00490F8C">
            <w:rPr>
              <w:rFonts w:ascii="Times New Roman Bold" w:hAnsi="Times New Roman Bold"/>
              <w:b/>
              <w:smallCaps/>
              <w:color w:val="auto"/>
              <w:sz w:val="32"/>
            </w:rPr>
            <w:t>ONTENTS</w:t>
          </w:r>
        </w:p>
        <w:p w:rsidR="00FD70EE" w:rsidRPr="000D66B6" w:rsidRDefault="00FD70EE" w:rsidP="00FD70EE">
          <w:pPr>
            <w:rPr>
              <w:sz w:val="20"/>
              <w:szCs w:val="20"/>
            </w:rPr>
          </w:pPr>
        </w:p>
        <w:p w:rsidR="002D6DF3" w:rsidRDefault="006B40AE">
          <w:pPr>
            <w:pStyle w:val="TOC1"/>
            <w:rPr>
              <w:rFonts w:asciiTheme="minorHAnsi" w:eastAsiaTheme="minorEastAsia" w:hAnsiTheme="minorHAnsi" w:cstheme="minorBidi"/>
              <w:b w:val="0"/>
              <w:sz w:val="22"/>
              <w:szCs w:val="22"/>
            </w:rPr>
          </w:pPr>
          <w:r w:rsidRPr="006B40AE">
            <w:rPr>
              <w:sz w:val="20"/>
              <w:szCs w:val="20"/>
            </w:rPr>
            <w:fldChar w:fldCharType="begin"/>
          </w:r>
          <w:r w:rsidR="00FD70EE" w:rsidRPr="00975628">
            <w:rPr>
              <w:sz w:val="20"/>
              <w:szCs w:val="20"/>
            </w:rPr>
            <w:instrText xml:space="preserve"> TOC \o "1-3" \h \z \u </w:instrText>
          </w:r>
          <w:r w:rsidRPr="006B40AE">
            <w:rPr>
              <w:sz w:val="20"/>
              <w:szCs w:val="20"/>
            </w:rPr>
            <w:fldChar w:fldCharType="separate"/>
          </w:r>
          <w:hyperlink w:anchor="_Toc282029929" w:history="1">
            <w:r w:rsidR="002D6DF3" w:rsidRPr="00451385">
              <w:rPr>
                <w:rStyle w:val="Hyperlink"/>
              </w:rPr>
              <w:t>Executive Summary</w:t>
            </w:r>
            <w:r w:rsidR="002D6DF3">
              <w:rPr>
                <w:webHidden/>
              </w:rPr>
              <w:tab/>
            </w:r>
            <w:r>
              <w:rPr>
                <w:webHidden/>
              </w:rPr>
              <w:fldChar w:fldCharType="begin"/>
            </w:r>
            <w:r w:rsidR="002D6DF3">
              <w:rPr>
                <w:webHidden/>
              </w:rPr>
              <w:instrText xml:space="preserve"> PAGEREF _Toc282029929 \h </w:instrText>
            </w:r>
            <w:r>
              <w:rPr>
                <w:webHidden/>
              </w:rPr>
            </w:r>
            <w:r>
              <w:rPr>
                <w:webHidden/>
              </w:rPr>
              <w:fldChar w:fldCharType="separate"/>
            </w:r>
            <w:r w:rsidR="002D6DF3">
              <w:rPr>
                <w:webHidden/>
              </w:rPr>
              <w:t>1</w:t>
            </w:r>
            <w:r>
              <w:rPr>
                <w:webHidden/>
              </w:rPr>
              <w:fldChar w:fldCharType="end"/>
            </w:r>
          </w:hyperlink>
        </w:p>
        <w:p w:rsidR="002D6DF3" w:rsidRDefault="006B40AE">
          <w:pPr>
            <w:pStyle w:val="TOC3"/>
            <w:tabs>
              <w:tab w:val="right" w:leader="dot" w:pos="9350"/>
            </w:tabs>
            <w:rPr>
              <w:rFonts w:asciiTheme="minorHAnsi" w:eastAsiaTheme="minorEastAsia" w:hAnsiTheme="minorHAnsi" w:cstheme="minorBidi"/>
              <w:noProof/>
              <w:sz w:val="22"/>
              <w:szCs w:val="22"/>
            </w:rPr>
          </w:pPr>
          <w:hyperlink w:anchor="_Toc282029930" w:history="1">
            <w:r w:rsidR="002D6DF3" w:rsidRPr="00451385">
              <w:rPr>
                <w:rStyle w:val="Hyperlink"/>
                <w:rFonts w:eastAsia="MS Mincho"/>
                <w:noProof/>
                <w:lang w:eastAsia="en-AU"/>
              </w:rPr>
              <w:t>Main Findings</w:t>
            </w:r>
            <w:r w:rsidR="002D6DF3">
              <w:rPr>
                <w:noProof/>
                <w:webHidden/>
              </w:rPr>
              <w:tab/>
            </w:r>
            <w:r>
              <w:rPr>
                <w:noProof/>
                <w:webHidden/>
              </w:rPr>
              <w:fldChar w:fldCharType="begin"/>
            </w:r>
            <w:r w:rsidR="002D6DF3">
              <w:rPr>
                <w:noProof/>
                <w:webHidden/>
              </w:rPr>
              <w:instrText xml:space="preserve"> PAGEREF _Toc282029930 \h </w:instrText>
            </w:r>
            <w:r>
              <w:rPr>
                <w:noProof/>
                <w:webHidden/>
              </w:rPr>
            </w:r>
            <w:r>
              <w:rPr>
                <w:noProof/>
                <w:webHidden/>
              </w:rPr>
              <w:fldChar w:fldCharType="separate"/>
            </w:r>
            <w:r w:rsidR="002D6DF3">
              <w:rPr>
                <w:noProof/>
                <w:webHidden/>
              </w:rPr>
              <w:t>1</w:t>
            </w:r>
            <w:r>
              <w:rPr>
                <w:noProof/>
                <w:webHidden/>
              </w:rPr>
              <w:fldChar w:fldCharType="end"/>
            </w:r>
          </w:hyperlink>
        </w:p>
        <w:p w:rsidR="002D6DF3" w:rsidRDefault="006B40AE">
          <w:pPr>
            <w:pStyle w:val="TOC3"/>
            <w:tabs>
              <w:tab w:val="right" w:leader="dot" w:pos="9350"/>
            </w:tabs>
            <w:rPr>
              <w:rFonts w:asciiTheme="minorHAnsi" w:eastAsiaTheme="minorEastAsia" w:hAnsiTheme="minorHAnsi" w:cstheme="minorBidi"/>
              <w:noProof/>
              <w:sz w:val="22"/>
              <w:szCs w:val="22"/>
            </w:rPr>
          </w:pPr>
          <w:hyperlink w:anchor="_Toc282029931" w:history="1">
            <w:r w:rsidR="002D6DF3" w:rsidRPr="00451385">
              <w:rPr>
                <w:rStyle w:val="Hyperlink"/>
                <w:rFonts w:eastAsia="MS Mincho"/>
                <w:noProof/>
                <w:lang w:eastAsia="en-AU"/>
              </w:rPr>
              <w:t>Recommendations</w:t>
            </w:r>
            <w:r w:rsidR="002D6DF3">
              <w:rPr>
                <w:noProof/>
                <w:webHidden/>
              </w:rPr>
              <w:tab/>
            </w:r>
            <w:r>
              <w:rPr>
                <w:noProof/>
                <w:webHidden/>
              </w:rPr>
              <w:fldChar w:fldCharType="begin"/>
            </w:r>
            <w:r w:rsidR="002D6DF3">
              <w:rPr>
                <w:noProof/>
                <w:webHidden/>
              </w:rPr>
              <w:instrText xml:space="preserve"> PAGEREF _Toc282029931 \h </w:instrText>
            </w:r>
            <w:r>
              <w:rPr>
                <w:noProof/>
                <w:webHidden/>
              </w:rPr>
            </w:r>
            <w:r>
              <w:rPr>
                <w:noProof/>
                <w:webHidden/>
              </w:rPr>
              <w:fldChar w:fldCharType="separate"/>
            </w:r>
            <w:r w:rsidR="002D6DF3">
              <w:rPr>
                <w:noProof/>
                <w:webHidden/>
              </w:rPr>
              <w:t>3</w:t>
            </w:r>
            <w:r>
              <w:rPr>
                <w:noProof/>
                <w:webHidden/>
              </w:rPr>
              <w:fldChar w:fldCharType="end"/>
            </w:r>
          </w:hyperlink>
        </w:p>
        <w:p w:rsidR="002D6DF3" w:rsidRDefault="006B40AE">
          <w:pPr>
            <w:pStyle w:val="TOC1"/>
            <w:rPr>
              <w:rFonts w:asciiTheme="minorHAnsi" w:eastAsiaTheme="minorEastAsia" w:hAnsiTheme="minorHAnsi" w:cstheme="minorBidi"/>
              <w:b w:val="0"/>
              <w:sz w:val="22"/>
              <w:szCs w:val="22"/>
            </w:rPr>
          </w:pPr>
          <w:hyperlink w:anchor="_Toc282029932" w:history="1">
            <w:r w:rsidR="002D6DF3" w:rsidRPr="00451385">
              <w:rPr>
                <w:rStyle w:val="Hyperlink"/>
              </w:rPr>
              <w:t>1.</w:t>
            </w:r>
            <w:r w:rsidR="002D6DF3">
              <w:rPr>
                <w:rFonts w:asciiTheme="minorHAnsi" w:eastAsiaTheme="minorEastAsia" w:hAnsiTheme="minorHAnsi" w:cstheme="minorBidi"/>
                <w:b w:val="0"/>
                <w:sz w:val="22"/>
                <w:szCs w:val="22"/>
              </w:rPr>
              <w:tab/>
            </w:r>
            <w:r w:rsidR="002D6DF3" w:rsidRPr="00451385">
              <w:rPr>
                <w:rStyle w:val="Hyperlink"/>
              </w:rPr>
              <w:t>Introduction</w:t>
            </w:r>
            <w:r w:rsidR="002D6DF3">
              <w:rPr>
                <w:webHidden/>
              </w:rPr>
              <w:tab/>
            </w:r>
            <w:r>
              <w:rPr>
                <w:webHidden/>
              </w:rPr>
              <w:fldChar w:fldCharType="begin"/>
            </w:r>
            <w:r w:rsidR="002D6DF3">
              <w:rPr>
                <w:webHidden/>
              </w:rPr>
              <w:instrText xml:space="preserve"> PAGEREF _Toc282029932 \h </w:instrText>
            </w:r>
            <w:r>
              <w:rPr>
                <w:webHidden/>
              </w:rPr>
            </w:r>
            <w:r>
              <w:rPr>
                <w:webHidden/>
              </w:rPr>
              <w:fldChar w:fldCharType="separate"/>
            </w:r>
            <w:r w:rsidR="002D6DF3">
              <w:rPr>
                <w:webHidden/>
              </w:rPr>
              <w:t>5</w:t>
            </w:r>
            <w:r>
              <w:rPr>
                <w:webHidden/>
              </w:rPr>
              <w:fldChar w:fldCharType="end"/>
            </w:r>
          </w:hyperlink>
        </w:p>
        <w:p w:rsidR="002D6DF3" w:rsidRDefault="006B40AE">
          <w:pPr>
            <w:pStyle w:val="TOC3"/>
            <w:tabs>
              <w:tab w:val="right" w:leader="dot" w:pos="9350"/>
            </w:tabs>
            <w:rPr>
              <w:rFonts w:asciiTheme="minorHAnsi" w:eastAsiaTheme="minorEastAsia" w:hAnsiTheme="minorHAnsi" w:cstheme="minorBidi"/>
              <w:noProof/>
              <w:sz w:val="22"/>
              <w:szCs w:val="22"/>
            </w:rPr>
          </w:pPr>
          <w:hyperlink w:anchor="_Toc282029933" w:history="1">
            <w:r w:rsidR="002D6DF3" w:rsidRPr="00451385">
              <w:rPr>
                <w:rStyle w:val="Hyperlink"/>
                <w:rFonts w:eastAsia="MS Mincho"/>
                <w:noProof/>
                <w:lang w:eastAsia="en-AU"/>
              </w:rPr>
              <w:t>Background</w:t>
            </w:r>
            <w:r w:rsidR="002D6DF3">
              <w:rPr>
                <w:noProof/>
                <w:webHidden/>
              </w:rPr>
              <w:tab/>
            </w:r>
            <w:r>
              <w:rPr>
                <w:noProof/>
                <w:webHidden/>
              </w:rPr>
              <w:fldChar w:fldCharType="begin"/>
            </w:r>
            <w:r w:rsidR="002D6DF3">
              <w:rPr>
                <w:noProof/>
                <w:webHidden/>
              </w:rPr>
              <w:instrText xml:space="preserve"> PAGEREF _Toc282029933 \h </w:instrText>
            </w:r>
            <w:r>
              <w:rPr>
                <w:noProof/>
                <w:webHidden/>
              </w:rPr>
            </w:r>
            <w:r>
              <w:rPr>
                <w:noProof/>
                <w:webHidden/>
              </w:rPr>
              <w:fldChar w:fldCharType="separate"/>
            </w:r>
            <w:r w:rsidR="002D6DF3">
              <w:rPr>
                <w:noProof/>
                <w:webHidden/>
              </w:rPr>
              <w:t>5</w:t>
            </w:r>
            <w:r>
              <w:rPr>
                <w:noProof/>
                <w:webHidden/>
              </w:rPr>
              <w:fldChar w:fldCharType="end"/>
            </w:r>
          </w:hyperlink>
        </w:p>
        <w:p w:rsidR="002D6DF3" w:rsidRDefault="006B40AE">
          <w:pPr>
            <w:pStyle w:val="TOC3"/>
            <w:tabs>
              <w:tab w:val="right" w:leader="dot" w:pos="9350"/>
            </w:tabs>
            <w:rPr>
              <w:rFonts w:asciiTheme="minorHAnsi" w:eastAsiaTheme="minorEastAsia" w:hAnsiTheme="minorHAnsi" w:cstheme="minorBidi"/>
              <w:noProof/>
              <w:sz w:val="22"/>
              <w:szCs w:val="22"/>
            </w:rPr>
          </w:pPr>
          <w:hyperlink w:anchor="_Toc282029934" w:history="1">
            <w:r w:rsidR="002D6DF3" w:rsidRPr="00451385">
              <w:rPr>
                <w:rStyle w:val="Hyperlink"/>
                <w:rFonts w:eastAsia="MS Mincho"/>
                <w:noProof/>
                <w:lang w:eastAsia="en-AU"/>
              </w:rPr>
              <w:t>Report Objectives</w:t>
            </w:r>
            <w:r w:rsidR="002D6DF3">
              <w:rPr>
                <w:noProof/>
                <w:webHidden/>
              </w:rPr>
              <w:tab/>
            </w:r>
            <w:r>
              <w:rPr>
                <w:noProof/>
                <w:webHidden/>
              </w:rPr>
              <w:fldChar w:fldCharType="begin"/>
            </w:r>
            <w:r w:rsidR="002D6DF3">
              <w:rPr>
                <w:noProof/>
                <w:webHidden/>
              </w:rPr>
              <w:instrText xml:space="preserve"> PAGEREF _Toc282029934 \h </w:instrText>
            </w:r>
            <w:r>
              <w:rPr>
                <w:noProof/>
                <w:webHidden/>
              </w:rPr>
            </w:r>
            <w:r>
              <w:rPr>
                <w:noProof/>
                <w:webHidden/>
              </w:rPr>
              <w:fldChar w:fldCharType="separate"/>
            </w:r>
            <w:r w:rsidR="002D6DF3">
              <w:rPr>
                <w:noProof/>
                <w:webHidden/>
              </w:rPr>
              <w:t>5</w:t>
            </w:r>
            <w:r>
              <w:rPr>
                <w:noProof/>
                <w:webHidden/>
              </w:rPr>
              <w:fldChar w:fldCharType="end"/>
            </w:r>
          </w:hyperlink>
        </w:p>
        <w:p w:rsidR="002D6DF3" w:rsidRDefault="006B40AE">
          <w:pPr>
            <w:pStyle w:val="TOC3"/>
            <w:tabs>
              <w:tab w:val="right" w:leader="dot" w:pos="9350"/>
            </w:tabs>
            <w:rPr>
              <w:rFonts w:asciiTheme="minorHAnsi" w:eastAsiaTheme="minorEastAsia" w:hAnsiTheme="minorHAnsi" w:cstheme="minorBidi"/>
              <w:noProof/>
              <w:sz w:val="22"/>
              <w:szCs w:val="22"/>
            </w:rPr>
          </w:pPr>
          <w:hyperlink w:anchor="_Toc282029935" w:history="1">
            <w:r w:rsidR="002D6DF3" w:rsidRPr="00451385">
              <w:rPr>
                <w:rStyle w:val="Hyperlink"/>
                <w:rFonts w:eastAsia="MS Mincho"/>
                <w:noProof/>
                <w:lang w:eastAsia="en-AU"/>
              </w:rPr>
              <w:t>Report Scope</w:t>
            </w:r>
            <w:r w:rsidR="002D6DF3">
              <w:rPr>
                <w:noProof/>
                <w:webHidden/>
              </w:rPr>
              <w:tab/>
            </w:r>
            <w:r>
              <w:rPr>
                <w:noProof/>
                <w:webHidden/>
              </w:rPr>
              <w:fldChar w:fldCharType="begin"/>
            </w:r>
            <w:r w:rsidR="002D6DF3">
              <w:rPr>
                <w:noProof/>
                <w:webHidden/>
              </w:rPr>
              <w:instrText xml:space="preserve"> PAGEREF _Toc282029935 \h </w:instrText>
            </w:r>
            <w:r>
              <w:rPr>
                <w:noProof/>
                <w:webHidden/>
              </w:rPr>
            </w:r>
            <w:r>
              <w:rPr>
                <w:noProof/>
                <w:webHidden/>
              </w:rPr>
              <w:fldChar w:fldCharType="separate"/>
            </w:r>
            <w:r w:rsidR="002D6DF3">
              <w:rPr>
                <w:noProof/>
                <w:webHidden/>
              </w:rPr>
              <w:t>6</w:t>
            </w:r>
            <w:r>
              <w:rPr>
                <w:noProof/>
                <w:webHidden/>
              </w:rPr>
              <w:fldChar w:fldCharType="end"/>
            </w:r>
          </w:hyperlink>
        </w:p>
        <w:p w:rsidR="002D6DF3" w:rsidRDefault="006B40AE">
          <w:pPr>
            <w:pStyle w:val="TOC1"/>
            <w:rPr>
              <w:rFonts w:asciiTheme="minorHAnsi" w:eastAsiaTheme="minorEastAsia" w:hAnsiTheme="minorHAnsi" w:cstheme="minorBidi"/>
              <w:b w:val="0"/>
              <w:sz w:val="22"/>
              <w:szCs w:val="22"/>
            </w:rPr>
          </w:pPr>
          <w:hyperlink w:anchor="_Toc282029936" w:history="1">
            <w:r w:rsidR="002D6DF3" w:rsidRPr="00451385">
              <w:rPr>
                <w:rStyle w:val="Hyperlink"/>
              </w:rPr>
              <w:t>2.</w:t>
            </w:r>
            <w:r w:rsidR="002D6DF3">
              <w:rPr>
                <w:rFonts w:asciiTheme="minorHAnsi" w:eastAsiaTheme="minorEastAsia" w:hAnsiTheme="minorHAnsi" w:cstheme="minorBidi"/>
                <w:b w:val="0"/>
                <w:sz w:val="22"/>
                <w:szCs w:val="22"/>
              </w:rPr>
              <w:tab/>
            </w:r>
            <w:r w:rsidR="002D6DF3" w:rsidRPr="00451385">
              <w:rPr>
                <w:rStyle w:val="Hyperlink"/>
              </w:rPr>
              <w:t>Demand for Transport and Logistics Services</w:t>
            </w:r>
            <w:r w:rsidR="002D6DF3">
              <w:rPr>
                <w:webHidden/>
              </w:rPr>
              <w:tab/>
            </w:r>
            <w:r>
              <w:rPr>
                <w:webHidden/>
              </w:rPr>
              <w:fldChar w:fldCharType="begin"/>
            </w:r>
            <w:r w:rsidR="002D6DF3">
              <w:rPr>
                <w:webHidden/>
              </w:rPr>
              <w:instrText xml:space="preserve"> PAGEREF _Toc282029936 \h </w:instrText>
            </w:r>
            <w:r>
              <w:rPr>
                <w:webHidden/>
              </w:rPr>
            </w:r>
            <w:r>
              <w:rPr>
                <w:webHidden/>
              </w:rPr>
              <w:fldChar w:fldCharType="separate"/>
            </w:r>
            <w:r w:rsidR="002D6DF3">
              <w:rPr>
                <w:webHidden/>
              </w:rPr>
              <w:t>7</w:t>
            </w:r>
            <w:r>
              <w:rPr>
                <w:webHidden/>
              </w:rPr>
              <w:fldChar w:fldCharType="end"/>
            </w:r>
          </w:hyperlink>
        </w:p>
        <w:p w:rsidR="002D6DF3" w:rsidRDefault="006B40AE">
          <w:pPr>
            <w:pStyle w:val="TOC3"/>
            <w:tabs>
              <w:tab w:val="right" w:leader="dot" w:pos="9350"/>
            </w:tabs>
            <w:rPr>
              <w:rFonts w:asciiTheme="minorHAnsi" w:eastAsiaTheme="minorEastAsia" w:hAnsiTheme="minorHAnsi" w:cstheme="minorBidi"/>
              <w:noProof/>
              <w:sz w:val="22"/>
              <w:szCs w:val="22"/>
            </w:rPr>
          </w:pPr>
          <w:hyperlink w:anchor="_Toc282029937" w:history="1">
            <w:r w:rsidR="002D6DF3" w:rsidRPr="00451385">
              <w:rPr>
                <w:rStyle w:val="Hyperlink"/>
                <w:noProof/>
              </w:rPr>
              <w:t>Role of the Transport Sector in the Economy</w:t>
            </w:r>
            <w:r w:rsidR="002D6DF3">
              <w:rPr>
                <w:noProof/>
                <w:webHidden/>
              </w:rPr>
              <w:tab/>
            </w:r>
            <w:r>
              <w:rPr>
                <w:noProof/>
                <w:webHidden/>
              </w:rPr>
              <w:fldChar w:fldCharType="begin"/>
            </w:r>
            <w:r w:rsidR="002D6DF3">
              <w:rPr>
                <w:noProof/>
                <w:webHidden/>
              </w:rPr>
              <w:instrText xml:space="preserve"> PAGEREF _Toc282029937 \h </w:instrText>
            </w:r>
            <w:r>
              <w:rPr>
                <w:noProof/>
                <w:webHidden/>
              </w:rPr>
            </w:r>
            <w:r>
              <w:rPr>
                <w:noProof/>
                <w:webHidden/>
              </w:rPr>
              <w:fldChar w:fldCharType="separate"/>
            </w:r>
            <w:r w:rsidR="002D6DF3">
              <w:rPr>
                <w:noProof/>
                <w:webHidden/>
              </w:rPr>
              <w:t>7</w:t>
            </w:r>
            <w:r>
              <w:rPr>
                <w:noProof/>
                <w:webHidden/>
              </w:rPr>
              <w:fldChar w:fldCharType="end"/>
            </w:r>
          </w:hyperlink>
        </w:p>
        <w:p w:rsidR="002D6DF3" w:rsidRDefault="006B40AE">
          <w:pPr>
            <w:pStyle w:val="TOC3"/>
            <w:tabs>
              <w:tab w:val="right" w:leader="dot" w:pos="9350"/>
            </w:tabs>
            <w:rPr>
              <w:rFonts w:asciiTheme="minorHAnsi" w:eastAsiaTheme="minorEastAsia" w:hAnsiTheme="minorHAnsi" w:cstheme="minorBidi"/>
              <w:noProof/>
              <w:sz w:val="22"/>
              <w:szCs w:val="22"/>
            </w:rPr>
          </w:pPr>
          <w:hyperlink w:anchor="_Toc282029938" w:history="1">
            <w:r w:rsidR="002D6DF3" w:rsidRPr="00451385">
              <w:rPr>
                <w:rStyle w:val="Hyperlink"/>
                <w:noProof/>
              </w:rPr>
              <w:t>Trade Logistics Environment</w:t>
            </w:r>
            <w:r w:rsidR="002D6DF3">
              <w:rPr>
                <w:noProof/>
                <w:webHidden/>
              </w:rPr>
              <w:tab/>
            </w:r>
            <w:r>
              <w:rPr>
                <w:noProof/>
                <w:webHidden/>
              </w:rPr>
              <w:fldChar w:fldCharType="begin"/>
            </w:r>
            <w:r w:rsidR="002D6DF3">
              <w:rPr>
                <w:noProof/>
                <w:webHidden/>
              </w:rPr>
              <w:instrText xml:space="preserve"> PAGEREF _Toc282029938 \h </w:instrText>
            </w:r>
            <w:r>
              <w:rPr>
                <w:noProof/>
                <w:webHidden/>
              </w:rPr>
            </w:r>
            <w:r>
              <w:rPr>
                <w:noProof/>
                <w:webHidden/>
              </w:rPr>
              <w:fldChar w:fldCharType="separate"/>
            </w:r>
            <w:r w:rsidR="002D6DF3">
              <w:rPr>
                <w:noProof/>
                <w:webHidden/>
              </w:rPr>
              <w:t>13</w:t>
            </w:r>
            <w:r>
              <w:rPr>
                <w:noProof/>
                <w:webHidden/>
              </w:rPr>
              <w:fldChar w:fldCharType="end"/>
            </w:r>
          </w:hyperlink>
        </w:p>
        <w:p w:rsidR="002D6DF3" w:rsidRDefault="006B40AE">
          <w:pPr>
            <w:pStyle w:val="TOC3"/>
            <w:tabs>
              <w:tab w:val="right" w:leader="dot" w:pos="9350"/>
            </w:tabs>
            <w:rPr>
              <w:rFonts w:asciiTheme="minorHAnsi" w:eastAsiaTheme="minorEastAsia" w:hAnsiTheme="minorHAnsi" w:cstheme="minorBidi"/>
              <w:noProof/>
              <w:sz w:val="22"/>
              <w:szCs w:val="22"/>
            </w:rPr>
          </w:pPr>
          <w:hyperlink w:anchor="_Toc282029939" w:history="1">
            <w:r w:rsidR="002D6DF3" w:rsidRPr="00451385">
              <w:rPr>
                <w:rStyle w:val="Hyperlink"/>
                <w:noProof/>
              </w:rPr>
              <w:t>Evolution of Freight and Passenger Transport Markets</w:t>
            </w:r>
            <w:r w:rsidR="002D6DF3">
              <w:rPr>
                <w:noProof/>
                <w:webHidden/>
              </w:rPr>
              <w:tab/>
            </w:r>
            <w:r>
              <w:rPr>
                <w:noProof/>
                <w:webHidden/>
              </w:rPr>
              <w:fldChar w:fldCharType="begin"/>
            </w:r>
            <w:r w:rsidR="002D6DF3">
              <w:rPr>
                <w:noProof/>
                <w:webHidden/>
              </w:rPr>
              <w:instrText xml:space="preserve"> PAGEREF _Toc282029939 \h </w:instrText>
            </w:r>
            <w:r>
              <w:rPr>
                <w:noProof/>
                <w:webHidden/>
              </w:rPr>
            </w:r>
            <w:r>
              <w:rPr>
                <w:noProof/>
                <w:webHidden/>
              </w:rPr>
              <w:fldChar w:fldCharType="separate"/>
            </w:r>
            <w:r w:rsidR="002D6DF3">
              <w:rPr>
                <w:noProof/>
                <w:webHidden/>
              </w:rPr>
              <w:t>17</w:t>
            </w:r>
            <w:r>
              <w:rPr>
                <w:noProof/>
                <w:webHidden/>
              </w:rPr>
              <w:fldChar w:fldCharType="end"/>
            </w:r>
          </w:hyperlink>
        </w:p>
        <w:p w:rsidR="002D6DF3" w:rsidRDefault="006B40AE">
          <w:pPr>
            <w:pStyle w:val="TOC3"/>
            <w:tabs>
              <w:tab w:val="right" w:leader="dot" w:pos="9350"/>
            </w:tabs>
            <w:rPr>
              <w:rFonts w:asciiTheme="minorHAnsi" w:eastAsiaTheme="minorEastAsia" w:hAnsiTheme="minorHAnsi" w:cstheme="minorBidi"/>
              <w:noProof/>
              <w:sz w:val="22"/>
              <w:szCs w:val="22"/>
            </w:rPr>
          </w:pPr>
          <w:hyperlink w:anchor="_Toc282029940" w:history="1">
            <w:r w:rsidR="002D6DF3" w:rsidRPr="00451385">
              <w:rPr>
                <w:rStyle w:val="Hyperlink"/>
                <w:noProof/>
              </w:rPr>
              <w:t>Freight Traffic Forecast (estimates)</w:t>
            </w:r>
            <w:r w:rsidR="002D6DF3">
              <w:rPr>
                <w:noProof/>
                <w:webHidden/>
              </w:rPr>
              <w:tab/>
            </w:r>
            <w:r>
              <w:rPr>
                <w:noProof/>
                <w:webHidden/>
              </w:rPr>
              <w:fldChar w:fldCharType="begin"/>
            </w:r>
            <w:r w:rsidR="002D6DF3">
              <w:rPr>
                <w:noProof/>
                <w:webHidden/>
              </w:rPr>
              <w:instrText xml:space="preserve"> PAGEREF _Toc282029940 \h </w:instrText>
            </w:r>
            <w:r>
              <w:rPr>
                <w:noProof/>
                <w:webHidden/>
              </w:rPr>
            </w:r>
            <w:r>
              <w:rPr>
                <w:noProof/>
                <w:webHidden/>
              </w:rPr>
              <w:fldChar w:fldCharType="separate"/>
            </w:r>
            <w:r w:rsidR="002D6DF3">
              <w:rPr>
                <w:noProof/>
                <w:webHidden/>
              </w:rPr>
              <w:t>21</w:t>
            </w:r>
            <w:r>
              <w:rPr>
                <w:noProof/>
                <w:webHidden/>
              </w:rPr>
              <w:fldChar w:fldCharType="end"/>
            </w:r>
          </w:hyperlink>
        </w:p>
        <w:p w:rsidR="002D6DF3" w:rsidRDefault="006B40AE">
          <w:pPr>
            <w:pStyle w:val="TOC3"/>
            <w:tabs>
              <w:tab w:val="right" w:leader="dot" w:pos="9350"/>
            </w:tabs>
            <w:rPr>
              <w:rFonts w:asciiTheme="minorHAnsi" w:eastAsiaTheme="minorEastAsia" w:hAnsiTheme="minorHAnsi" w:cstheme="minorBidi"/>
              <w:noProof/>
              <w:sz w:val="22"/>
              <w:szCs w:val="22"/>
            </w:rPr>
          </w:pPr>
          <w:hyperlink w:anchor="_Toc282029941" w:history="1">
            <w:r w:rsidR="002D6DF3" w:rsidRPr="00451385">
              <w:rPr>
                <w:rStyle w:val="Hyperlink"/>
                <w:noProof/>
              </w:rPr>
              <w:t>State of the Market for Transport Services</w:t>
            </w:r>
            <w:r w:rsidR="002D6DF3">
              <w:rPr>
                <w:noProof/>
                <w:webHidden/>
              </w:rPr>
              <w:tab/>
            </w:r>
            <w:r>
              <w:rPr>
                <w:noProof/>
                <w:webHidden/>
              </w:rPr>
              <w:fldChar w:fldCharType="begin"/>
            </w:r>
            <w:r w:rsidR="002D6DF3">
              <w:rPr>
                <w:noProof/>
                <w:webHidden/>
              </w:rPr>
              <w:instrText xml:space="preserve"> PAGEREF _Toc282029941 \h </w:instrText>
            </w:r>
            <w:r>
              <w:rPr>
                <w:noProof/>
                <w:webHidden/>
              </w:rPr>
            </w:r>
            <w:r>
              <w:rPr>
                <w:noProof/>
                <w:webHidden/>
              </w:rPr>
              <w:fldChar w:fldCharType="separate"/>
            </w:r>
            <w:r w:rsidR="002D6DF3">
              <w:rPr>
                <w:noProof/>
                <w:webHidden/>
              </w:rPr>
              <w:t>21</w:t>
            </w:r>
            <w:r>
              <w:rPr>
                <w:noProof/>
                <w:webHidden/>
              </w:rPr>
              <w:fldChar w:fldCharType="end"/>
            </w:r>
          </w:hyperlink>
        </w:p>
        <w:p w:rsidR="002D6DF3" w:rsidRDefault="006B40AE">
          <w:pPr>
            <w:pStyle w:val="TOC1"/>
            <w:rPr>
              <w:rFonts w:asciiTheme="minorHAnsi" w:eastAsiaTheme="minorEastAsia" w:hAnsiTheme="minorHAnsi" w:cstheme="minorBidi"/>
              <w:b w:val="0"/>
              <w:sz w:val="22"/>
              <w:szCs w:val="22"/>
            </w:rPr>
          </w:pPr>
          <w:hyperlink w:anchor="_Toc282029942" w:history="1">
            <w:r w:rsidR="002D6DF3" w:rsidRPr="00451385">
              <w:rPr>
                <w:rStyle w:val="Hyperlink"/>
              </w:rPr>
              <w:t>3.</w:t>
            </w:r>
            <w:r w:rsidR="002D6DF3">
              <w:rPr>
                <w:rFonts w:asciiTheme="minorHAnsi" w:eastAsiaTheme="minorEastAsia" w:hAnsiTheme="minorHAnsi" w:cstheme="minorBidi"/>
                <w:b w:val="0"/>
                <w:sz w:val="22"/>
                <w:szCs w:val="22"/>
              </w:rPr>
              <w:tab/>
            </w:r>
            <w:r w:rsidR="002D6DF3" w:rsidRPr="00451385">
              <w:rPr>
                <w:rStyle w:val="Hyperlink"/>
              </w:rPr>
              <w:t>Transport Sector Strategies and Freight Transport Forecast</w:t>
            </w:r>
            <w:r w:rsidR="002D6DF3">
              <w:rPr>
                <w:webHidden/>
              </w:rPr>
              <w:tab/>
            </w:r>
            <w:r>
              <w:rPr>
                <w:webHidden/>
              </w:rPr>
              <w:fldChar w:fldCharType="begin"/>
            </w:r>
            <w:r w:rsidR="002D6DF3">
              <w:rPr>
                <w:webHidden/>
              </w:rPr>
              <w:instrText xml:space="preserve"> PAGEREF _Toc282029942 \h </w:instrText>
            </w:r>
            <w:r>
              <w:rPr>
                <w:webHidden/>
              </w:rPr>
            </w:r>
            <w:r>
              <w:rPr>
                <w:webHidden/>
              </w:rPr>
              <w:fldChar w:fldCharType="separate"/>
            </w:r>
            <w:r w:rsidR="002D6DF3">
              <w:rPr>
                <w:webHidden/>
              </w:rPr>
              <w:t>23</w:t>
            </w:r>
            <w:r>
              <w:rPr>
                <w:webHidden/>
              </w:rPr>
              <w:fldChar w:fldCharType="end"/>
            </w:r>
          </w:hyperlink>
        </w:p>
        <w:p w:rsidR="002D6DF3" w:rsidRDefault="006B40AE">
          <w:pPr>
            <w:pStyle w:val="TOC3"/>
            <w:tabs>
              <w:tab w:val="right" w:leader="dot" w:pos="9350"/>
            </w:tabs>
            <w:rPr>
              <w:rFonts w:asciiTheme="minorHAnsi" w:eastAsiaTheme="minorEastAsia" w:hAnsiTheme="minorHAnsi" w:cstheme="minorBidi"/>
              <w:noProof/>
              <w:sz w:val="22"/>
              <w:szCs w:val="22"/>
            </w:rPr>
          </w:pPr>
          <w:hyperlink w:anchor="_Toc282029943" w:history="1">
            <w:r w:rsidR="002D6DF3" w:rsidRPr="00451385">
              <w:rPr>
                <w:rStyle w:val="Hyperlink"/>
                <w:noProof/>
              </w:rPr>
              <w:t>Main Sector Objectives, Programs and Plans</w:t>
            </w:r>
            <w:r w:rsidR="002D6DF3">
              <w:rPr>
                <w:noProof/>
                <w:webHidden/>
              </w:rPr>
              <w:tab/>
            </w:r>
            <w:r>
              <w:rPr>
                <w:noProof/>
                <w:webHidden/>
              </w:rPr>
              <w:fldChar w:fldCharType="begin"/>
            </w:r>
            <w:r w:rsidR="002D6DF3">
              <w:rPr>
                <w:noProof/>
                <w:webHidden/>
              </w:rPr>
              <w:instrText xml:space="preserve"> PAGEREF _Toc282029943 \h </w:instrText>
            </w:r>
            <w:r>
              <w:rPr>
                <w:noProof/>
                <w:webHidden/>
              </w:rPr>
            </w:r>
            <w:r>
              <w:rPr>
                <w:noProof/>
                <w:webHidden/>
              </w:rPr>
              <w:fldChar w:fldCharType="separate"/>
            </w:r>
            <w:r w:rsidR="002D6DF3">
              <w:rPr>
                <w:noProof/>
                <w:webHidden/>
              </w:rPr>
              <w:t>23</w:t>
            </w:r>
            <w:r>
              <w:rPr>
                <w:noProof/>
                <w:webHidden/>
              </w:rPr>
              <w:fldChar w:fldCharType="end"/>
            </w:r>
          </w:hyperlink>
        </w:p>
        <w:p w:rsidR="002D6DF3" w:rsidRDefault="006B40AE">
          <w:pPr>
            <w:pStyle w:val="TOC3"/>
            <w:tabs>
              <w:tab w:val="right" w:leader="dot" w:pos="9350"/>
            </w:tabs>
            <w:rPr>
              <w:rFonts w:asciiTheme="minorHAnsi" w:eastAsiaTheme="minorEastAsia" w:hAnsiTheme="minorHAnsi" w:cstheme="minorBidi"/>
              <w:noProof/>
              <w:sz w:val="22"/>
              <w:szCs w:val="22"/>
            </w:rPr>
          </w:pPr>
          <w:hyperlink w:anchor="_Toc282029944" w:history="1">
            <w:r w:rsidR="002D6DF3" w:rsidRPr="00451385">
              <w:rPr>
                <w:rStyle w:val="Hyperlink"/>
                <w:noProof/>
              </w:rPr>
              <w:t>Transport Sector Organization Structure</w:t>
            </w:r>
            <w:r w:rsidR="002D6DF3">
              <w:rPr>
                <w:noProof/>
                <w:webHidden/>
              </w:rPr>
              <w:tab/>
            </w:r>
            <w:r>
              <w:rPr>
                <w:noProof/>
                <w:webHidden/>
              </w:rPr>
              <w:fldChar w:fldCharType="begin"/>
            </w:r>
            <w:r w:rsidR="002D6DF3">
              <w:rPr>
                <w:noProof/>
                <w:webHidden/>
              </w:rPr>
              <w:instrText xml:space="preserve"> PAGEREF _Toc282029944 \h </w:instrText>
            </w:r>
            <w:r>
              <w:rPr>
                <w:noProof/>
                <w:webHidden/>
              </w:rPr>
            </w:r>
            <w:r>
              <w:rPr>
                <w:noProof/>
                <w:webHidden/>
              </w:rPr>
              <w:fldChar w:fldCharType="separate"/>
            </w:r>
            <w:r w:rsidR="002D6DF3">
              <w:rPr>
                <w:noProof/>
                <w:webHidden/>
              </w:rPr>
              <w:t>25</w:t>
            </w:r>
            <w:r>
              <w:rPr>
                <w:noProof/>
                <w:webHidden/>
              </w:rPr>
              <w:fldChar w:fldCharType="end"/>
            </w:r>
          </w:hyperlink>
        </w:p>
        <w:p w:rsidR="002D6DF3" w:rsidRDefault="006B40AE">
          <w:pPr>
            <w:pStyle w:val="TOC3"/>
            <w:tabs>
              <w:tab w:val="right" w:leader="dot" w:pos="9350"/>
            </w:tabs>
            <w:rPr>
              <w:rFonts w:asciiTheme="minorHAnsi" w:eastAsiaTheme="minorEastAsia" w:hAnsiTheme="minorHAnsi" w:cstheme="minorBidi"/>
              <w:noProof/>
              <w:sz w:val="22"/>
              <w:szCs w:val="22"/>
            </w:rPr>
          </w:pPr>
          <w:hyperlink w:anchor="_Toc282029945" w:history="1">
            <w:r w:rsidR="002D6DF3" w:rsidRPr="00451385">
              <w:rPr>
                <w:rStyle w:val="Hyperlink"/>
                <w:noProof/>
              </w:rPr>
              <w:t>Transport Policy, Climate Change and Road Safety</w:t>
            </w:r>
            <w:r w:rsidR="002D6DF3">
              <w:rPr>
                <w:noProof/>
                <w:webHidden/>
              </w:rPr>
              <w:tab/>
            </w:r>
            <w:r>
              <w:rPr>
                <w:noProof/>
                <w:webHidden/>
              </w:rPr>
              <w:fldChar w:fldCharType="begin"/>
            </w:r>
            <w:r w:rsidR="002D6DF3">
              <w:rPr>
                <w:noProof/>
                <w:webHidden/>
              </w:rPr>
              <w:instrText xml:space="preserve"> PAGEREF _Toc282029945 \h </w:instrText>
            </w:r>
            <w:r>
              <w:rPr>
                <w:noProof/>
                <w:webHidden/>
              </w:rPr>
            </w:r>
            <w:r>
              <w:rPr>
                <w:noProof/>
                <w:webHidden/>
              </w:rPr>
              <w:fldChar w:fldCharType="separate"/>
            </w:r>
            <w:r w:rsidR="002D6DF3">
              <w:rPr>
                <w:noProof/>
                <w:webHidden/>
              </w:rPr>
              <w:t>26</w:t>
            </w:r>
            <w:r>
              <w:rPr>
                <w:noProof/>
                <w:webHidden/>
              </w:rPr>
              <w:fldChar w:fldCharType="end"/>
            </w:r>
          </w:hyperlink>
        </w:p>
        <w:p w:rsidR="002D6DF3" w:rsidRDefault="006B40AE">
          <w:pPr>
            <w:pStyle w:val="TOC1"/>
            <w:rPr>
              <w:rFonts w:asciiTheme="minorHAnsi" w:eastAsiaTheme="minorEastAsia" w:hAnsiTheme="minorHAnsi" w:cstheme="minorBidi"/>
              <w:b w:val="0"/>
              <w:sz w:val="22"/>
              <w:szCs w:val="22"/>
            </w:rPr>
          </w:pPr>
          <w:hyperlink w:anchor="_Toc282029946" w:history="1">
            <w:r w:rsidR="002D6DF3" w:rsidRPr="00451385">
              <w:rPr>
                <w:rStyle w:val="Hyperlink"/>
              </w:rPr>
              <w:t>4.</w:t>
            </w:r>
            <w:r w:rsidR="002D6DF3">
              <w:rPr>
                <w:rFonts w:asciiTheme="minorHAnsi" w:eastAsiaTheme="minorEastAsia" w:hAnsiTheme="minorHAnsi" w:cstheme="minorBidi"/>
                <w:b w:val="0"/>
                <w:sz w:val="22"/>
                <w:szCs w:val="22"/>
              </w:rPr>
              <w:tab/>
            </w:r>
            <w:r w:rsidR="002D6DF3" w:rsidRPr="00451385">
              <w:rPr>
                <w:rStyle w:val="Hyperlink"/>
              </w:rPr>
              <w:t>The Road Sector</w:t>
            </w:r>
            <w:r w:rsidR="002D6DF3">
              <w:rPr>
                <w:webHidden/>
              </w:rPr>
              <w:tab/>
            </w:r>
            <w:r>
              <w:rPr>
                <w:webHidden/>
              </w:rPr>
              <w:fldChar w:fldCharType="begin"/>
            </w:r>
            <w:r w:rsidR="002D6DF3">
              <w:rPr>
                <w:webHidden/>
              </w:rPr>
              <w:instrText xml:space="preserve"> PAGEREF _Toc282029946 \h </w:instrText>
            </w:r>
            <w:r>
              <w:rPr>
                <w:webHidden/>
              </w:rPr>
            </w:r>
            <w:r>
              <w:rPr>
                <w:webHidden/>
              </w:rPr>
              <w:fldChar w:fldCharType="separate"/>
            </w:r>
            <w:r w:rsidR="002D6DF3">
              <w:rPr>
                <w:webHidden/>
              </w:rPr>
              <w:t>30</w:t>
            </w:r>
            <w:r>
              <w:rPr>
                <w:webHidden/>
              </w:rPr>
              <w:fldChar w:fldCharType="end"/>
            </w:r>
          </w:hyperlink>
        </w:p>
        <w:p w:rsidR="002D6DF3" w:rsidRDefault="006B40AE">
          <w:pPr>
            <w:pStyle w:val="TOC3"/>
            <w:tabs>
              <w:tab w:val="right" w:leader="dot" w:pos="9350"/>
            </w:tabs>
            <w:rPr>
              <w:rFonts w:asciiTheme="minorHAnsi" w:eastAsiaTheme="minorEastAsia" w:hAnsiTheme="minorHAnsi" w:cstheme="minorBidi"/>
              <w:noProof/>
              <w:sz w:val="22"/>
              <w:szCs w:val="22"/>
            </w:rPr>
          </w:pPr>
          <w:hyperlink w:anchor="_Toc282029947" w:history="1">
            <w:r w:rsidR="002D6DF3" w:rsidRPr="00451385">
              <w:rPr>
                <w:rStyle w:val="Hyperlink"/>
                <w:noProof/>
              </w:rPr>
              <w:t>Road Infrastructure and Service Provision</w:t>
            </w:r>
            <w:r w:rsidR="002D6DF3">
              <w:rPr>
                <w:noProof/>
                <w:webHidden/>
              </w:rPr>
              <w:tab/>
            </w:r>
            <w:r>
              <w:rPr>
                <w:noProof/>
                <w:webHidden/>
              </w:rPr>
              <w:fldChar w:fldCharType="begin"/>
            </w:r>
            <w:r w:rsidR="002D6DF3">
              <w:rPr>
                <w:noProof/>
                <w:webHidden/>
              </w:rPr>
              <w:instrText xml:space="preserve"> PAGEREF _Toc282029947 \h </w:instrText>
            </w:r>
            <w:r>
              <w:rPr>
                <w:noProof/>
                <w:webHidden/>
              </w:rPr>
            </w:r>
            <w:r>
              <w:rPr>
                <w:noProof/>
                <w:webHidden/>
              </w:rPr>
              <w:fldChar w:fldCharType="separate"/>
            </w:r>
            <w:r w:rsidR="002D6DF3">
              <w:rPr>
                <w:noProof/>
                <w:webHidden/>
              </w:rPr>
              <w:t>30</w:t>
            </w:r>
            <w:r>
              <w:rPr>
                <w:noProof/>
                <w:webHidden/>
              </w:rPr>
              <w:fldChar w:fldCharType="end"/>
            </w:r>
          </w:hyperlink>
        </w:p>
        <w:p w:rsidR="002D6DF3" w:rsidRDefault="006B40AE">
          <w:pPr>
            <w:pStyle w:val="TOC3"/>
            <w:tabs>
              <w:tab w:val="right" w:leader="dot" w:pos="9350"/>
            </w:tabs>
            <w:rPr>
              <w:rFonts w:asciiTheme="minorHAnsi" w:eastAsiaTheme="minorEastAsia" w:hAnsiTheme="minorHAnsi" w:cstheme="minorBidi"/>
              <w:noProof/>
              <w:sz w:val="22"/>
              <w:szCs w:val="22"/>
            </w:rPr>
          </w:pPr>
          <w:hyperlink w:anchor="_Toc282029948" w:history="1">
            <w:r w:rsidR="002D6DF3" w:rsidRPr="00451385">
              <w:rPr>
                <w:rStyle w:val="Hyperlink"/>
                <w:noProof/>
              </w:rPr>
              <w:t>Organizational Structure of the Roads Sector</w:t>
            </w:r>
            <w:r w:rsidR="002D6DF3">
              <w:rPr>
                <w:noProof/>
                <w:webHidden/>
              </w:rPr>
              <w:tab/>
            </w:r>
            <w:r>
              <w:rPr>
                <w:noProof/>
                <w:webHidden/>
              </w:rPr>
              <w:fldChar w:fldCharType="begin"/>
            </w:r>
            <w:r w:rsidR="002D6DF3">
              <w:rPr>
                <w:noProof/>
                <w:webHidden/>
              </w:rPr>
              <w:instrText xml:space="preserve"> PAGEREF _Toc282029948 \h </w:instrText>
            </w:r>
            <w:r>
              <w:rPr>
                <w:noProof/>
                <w:webHidden/>
              </w:rPr>
            </w:r>
            <w:r>
              <w:rPr>
                <w:noProof/>
                <w:webHidden/>
              </w:rPr>
              <w:fldChar w:fldCharType="separate"/>
            </w:r>
            <w:r w:rsidR="002D6DF3">
              <w:rPr>
                <w:noProof/>
                <w:webHidden/>
              </w:rPr>
              <w:t>32</w:t>
            </w:r>
            <w:r>
              <w:rPr>
                <w:noProof/>
                <w:webHidden/>
              </w:rPr>
              <w:fldChar w:fldCharType="end"/>
            </w:r>
          </w:hyperlink>
        </w:p>
        <w:p w:rsidR="002D6DF3" w:rsidRDefault="006B40AE">
          <w:pPr>
            <w:pStyle w:val="TOC3"/>
            <w:tabs>
              <w:tab w:val="right" w:leader="dot" w:pos="9350"/>
            </w:tabs>
            <w:rPr>
              <w:rFonts w:asciiTheme="minorHAnsi" w:eastAsiaTheme="minorEastAsia" w:hAnsiTheme="minorHAnsi" w:cstheme="minorBidi"/>
              <w:noProof/>
              <w:sz w:val="22"/>
              <w:szCs w:val="22"/>
            </w:rPr>
          </w:pPr>
          <w:hyperlink w:anchor="_Toc282029949" w:history="1">
            <w:r w:rsidR="002D6DF3" w:rsidRPr="00451385">
              <w:rPr>
                <w:rStyle w:val="Hyperlink"/>
                <w:noProof/>
              </w:rPr>
              <w:t>Sources of Finance and Road Sector Spending</w:t>
            </w:r>
            <w:r w:rsidR="002D6DF3">
              <w:rPr>
                <w:noProof/>
                <w:webHidden/>
              </w:rPr>
              <w:tab/>
            </w:r>
            <w:r>
              <w:rPr>
                <w:noProof/>
                <w:webHidden/>
              </w:rPr>
              <w:fldChar w:fldCharType="begin"/>
            </w:r>
            <w:r w:rsidR="002D6DF3">
              <w:rPr>
                <w:noProof/>
                <w:webHidden/>
              </w:rPr>
              <w:instrText xml:space="preserve"> PAGEREF _Toc282029949 \h </w:instrText>
            </w:r>
            <w:r>
              <w:rPr>
                <w:noProof/>
                <w:webHidden/>
              </w:rPr>
            </w:r>
            <w:r>
              <w:rPr>
                <w:noProof/>
                <w:webHidden/>
              </w:rPr>
              <w:fldChar w:fldCharType="separate"/>
            </w:r>
            <w:r w:rsidR="002D6DF3">
              <w:rPr>
                <w:noProof/>
                <w:webHidden/>
              </w:rPr>
              <w:t>33</w:t>
            </w:r>
            <w:r>
              <w:rPr>
                <w:noProof/>
                <w:webHidden/>
              </w:rPr>
              <w:fldChar w:fldCharType="end"/>
            </w:r>
          </w:hyperlink>
        </w:p>
        <w:p w:rsidR="002D6DF3" w:rsidRDefault="006B40AE">
          <w:pPr>
            <w:pStyle w:val="TOC3"/>
            <w:tabs>
              <w:tab w:val="right" w:leader="dot" w:pos="9350"/>
            </w:tabs>
            <w:rPr>
              <w:rFonts w:asciiTheme="minorHAnsi" w:eastAsiaTheme="minorEastAsia" w:hAnsiTheme="minorHAnsi" w:cstheme="minorBidi"/>
              <w:noProof/>
              <w:sz w:val="22"/>
              <w:szCs w:val="22"/>
            </w:rPr>
          </w:pPr>
          <w:hyperlink w:anchor="_Toc282029950" w:history="1">
            <w:r w:rsidR="002D6DF3" w:rsidRPr="00451385">
              <w:rPr>
                <w:rStyle w:val="Hyperlink"/>
                <w:noProof/>
              </w:rPr>
              <w:t>Estimated Financing Requirements for Road Infrastructure</w:t>
            </w:r>
            <w:r w:rsidR="002D6DF3">
              <w:rPr>
                <w:noProof/>
                <w:webHidden/>
              </w:rPr>
              <w:tab/>
            </w:r>
            <w:r>
              <w:rPr>
                <w:noProof/>
                <w:webHidden/>
              </w:rPr>
              <w:fldChar w:fldCharType="begin"/>
            </w:r>
            <w:r w:rsidR="002D6DF3">
              <w:rPr>
                <w:noProof/>
                <w:webHidden/>
              </w:rPr>
              <w:instrText xml:space="preserve"> PAGEREF _Toc282029950 \h </w:instrText>
            </w:r>
            <w:r>
              <w:rPr>
                <w:noProof/>
                <w:webHidden/>
              </w:rPr>
            </w:r>
            <w:r>
              <w:rPr>
                <w:noProof/>
                <w:webHidden/>
              </w:rPr>
              <w:fldChar w:fldCharType="separate"/>
            </w:r>
            <w:r w:rsidR="002D6DF3">
              <w:rPr>
                <w:noProof/>
                <w:webHidden/>
              </w:rPr>
              <w:t>38</w:t>
            </w:r>
            <w:r>
              <w:rPr>
                <w:noProof/>
                <w:webHidden/>
              </w:rPr>
              <w:fldChar w:fldCharType="end"/>
            </w:r>
          </w:hyperlink>
        </w:p>
        <w:p w:rsidR="002D6DF3" w:rsidRDefault="006B40AE">
          <w:pPr>
            <w:pStyle w:val="TOC1"/>
            <w:rPr>
              <w:rFonts w:asciiTheme="minorHAnsi" w:eastAsiaTheme="minorEastAsia" w:hAnsiTheme="minorHAnsi" w:cstheme="minorBidi"/>
              <w:b w:val="0"/>
              <w:sz w:val="22"/>
              <w:szCs w:val="22"/>
            </w:rPr>
          </w:pPr>
          <w:hyperlink w:anchor="_Toc282029951" w:history="1">
            <w:r w:rsidR="002D6DF3" w:rsidRPr="00451385">
              <w:rPr>
                <w:rStyle w:val="Hyperlink"/>
              </w:rPr>
              <w:t>5.  The Railway Sector</w:t>
            </w:r>
            <w:r w:rsidR="002D6DF3">
              <w:rPr>
                <w:webHidden/>
              </w:rPr>
              <w:tab/>
            </w:r>
            <w:r>
              <w:rPr>
                <w:webHidden/>
              </w:rPr>
              <w:fldChar w:fldCharType="begin"/>
            </w:r>
            <w:r w:rsidR="002D6DF3">
              <w:rPr>
                <w:webHidden/>
              </w:rPr>
              <w:instrText xml:space="preserve"> PAGEREF _Toc282029951 \h </w:instrText>
            </w:r>
            <w:r>
              <w:rPr>
                <w:webHidden/>
              </w:rPr>
            </w:r>
            <w:r>
              <w:rPr>
                <w:webHidden/>
              </w:rPr>
              <w:fldChar w:fldCharType="separate"/>
            </w:r>
            <w:r w:rsidR="002D6DF3">
              <w:rPr>
                <w:webHidden/>
              </w:rPr>
              <w:t>42</w:t>
            </w:r>
            <w:r>
              <w:rPr>
                <w:webHidden/>
              </w:rPr>
              <w:fldChar w:fldCharType="end"/>
            </w:r>
          </w:hyperlink>
        </w:p>
        <w:p w:rsidR="002D6DF3" w:rsidRDefault="006B40AE">
          <w:pPr>
            <w:pStyle w:val="TOC3"/>
            <w:tabs>
              <w:tab w:val="right" w:leader="dot" w:pos="9350"/>
            </w:tabs>
            <w:rPr>
              <w:rFonts w:asciiTheme="minorHAnsi" w:eastAsiaTheme="minorEastAsia" w:hAnsiTheme="minorHAnsi" w:cstheme="minorBidi"/>
              <w:noProof/>
              <w:sz w:val="22"/>
              <w:szCs w:val="22"/>
            </w:rPr>
          </w:pPr>
          <w:hyperlink w:anchor="_Toc282029952" w:history="1">
            <w:r w:rsidR="002D6DF3" w:rsidRPr="00451385">
              <w:rPr>
                <w:rStyle w:val="Hyperlink"/>
                <w:noProof/>
              </w:rPr>
              <w:t>Railway Infrastructure and Service Provision</w:t>
            </w:r>
            <w:r w:rsidR="002D6DF3">
              <w:rPr>
                <w:noProof/>
                <w:webHidden/>
              </w:rPr>
              <w:tab/>
            </w:r>
            <w:r>
              <w:rPr>
                <w:noProof/>
                <w:webHidden/>
              </w:rPr>
              <w:fldChar w:fldCharType="begin"/>
            </w:r>
            <w:r w:rsidR="002D6DF3">
              <w:rPr>
                <w:noProof/>
                <w:webHidden/>
              </w:rPr>
              <w:instrText xml:space="preserve"> PAGEREF _Toc282029952 \h </w:instrText>
            </w:r>
            <w:r>
              <w:rPr>
                <w:noProof/>
                <w:webHidden/>
              </w:rPr>
            </w:r>
            <w:r>
              <w:rPr>
                <w:noProof/>
                <w:webHidden/>
              </w:rPr>
              <w:fldChar w:fldCharType="separate"/>
            </w:r>
            <w:r w:rsidR="002D6DF3">
              <w:rPr>
                <w:noProof/>
                <w:webHidden/>
              </w:rPr>
              <w:t>42</w:t>
            </w:r>
            <w:r>
              <w:rPr>
                <w:noProof/>
                <w:webHidden/>
              </w:rPr>
              <w:fldChar w:fldCharType="end"/>
            </w:r>
          </w:hyperlink>
        </w:p>
        <w:p w:rsidR="002D6DF3" w:rsidRDefault="006B40AE">
          <w:pPr>
            <w:pStyle w:val="TOC3"/>
            <w:tabs>
              <w:tab w:val="right" w:leader="dot" w:pos="9350"/>
            </w:tabs>
            <w:rPr>
              <w:rFonts w:asciiTheme="minorHAnsi" w:eastAsiaTheme="minorEastAsia" w:hAnsiTheme="minorHAnsi" w:cstheme="minorBidi"/>
              <w:noProof/>
              <w:sz w:val="22"/>
              <w:szCs w:val="22"/>
            </w:rPr>
          </w:pPr>
          <w:hyperlink w:anchor="_Toc282029953" w:history="1">
            <w:r w:rsidR="002D6DF3" w:rsidRPr="00451385">
              <w:rPr>
                <w:rStyle w:val="Hyperlink"/>
                <w:noProof/>
              </w:rPr>
              <w:t>Organizational Structure of the Railway Transportation System</w:t>
            </w:r>
            <w:r w:rsidR="002D6DF3">
              <w:rPr>
                <w:noProof/>
                <w:webHidden/>
              </w:rPr>
              <w:tab/>
            </w:r>
            <w:r>
              <w:rPr>
                <w:noProof/>
                <w:webHidden/>
              </w:rPr>
              <w:fldChar w:fldCharType="begin"/>
            </w:r>
            <w:r w:rsidR="002D6DF3">
              <w:rPr>
                <w:noProof/>
                <w:webHidden/>
              </w:rPr>
              <w:instrText xml:space="preserve"> PAGEREF _Toc282029953 \h </w:instrText>
            </w:r>
            <w:r>
              <w:rPr>
                <w:noProof/>
                <w:webHidden/>
              </w:rPr>
            </w:r>
            <w:r>
              <w:rPr>
                <w:noProof/>
                <w:webHidden/>
              </w:rPr>
              <w:fldChar w:fldCharType="separate"/>
            </w:r>
            <w:r w:rsidR="002D6DF3">
              <w:rPr>
                <w:noProof/>
                <w:webHidden/>
              </w:rPr>
              <w:t>45</w:t>
            </w:r>
            <w:r>
              <w:rPr>
                <w:noProof/>
                <w:webHidden/>
              </w:rPr>
              <w:fldChar w:fldCharType="end"/>
            </w:r>
          </w:hyperlink>
        </w:p>
        <w:p w:rsidR="002D6DF3" w:rsidRDefault="006B40AE">
          <w:pPr>
            <w:pStyle w:val="TOC3"/>
            <w:tabs>
              <w:tab w:val="right" w:leader="dot" w:pos="9350"/>
            </w:tabs>
            <w:rPr>
              <w:rFonts w:asciiTheme="minorHAnsi" w:eastAsiaTheme="minorEastAsia" w:hAnsiTheme="minorHAnsi" w:cstheme="minorBidi"/>
              <w:noProof/>
              <w:sz w:val="22"/>
              <w:szCs w:val="22"/>
            </w:rPr>
          </w:pPr>
          <w:hyperlink w:anchor="_Toc282029954" w:history="1">
            <w:r w:rsidR="002D6DF3" w:rsidRPr="00451385">
              <w:rPr>
                <w:rStyle w:val="Hyperlink"/>
                <w:noProof/>
              </w:rPr>
              <w:t>Operational Performance of Belarusian Railways</w:t>
            </w:r>
            <w:r w:rsidR="002D6DF3">
              <w:rPr>
                <w:noProof/>
                <w:webHidden/>
              </w:rPr>
              <w:tab/>
            </w:r>
            <w:r>
              <w:rPr>
                <w:noProof/>
                <w:webHidden/>
              </w:rPr>
              <w:fldChar w:fldCharType="begin"/>
            </w:r>
            <w:r w:rsidR="002D6DF3">
              <w:rPr>
                <w:noProof/>
                <w:webHidden/>
              </w:rPr>
              <w:instrText xml:space="preserve"> PAGEREF _Toc282029954 \h </w:instrText>
            </w:r>
            <w:r>
              <w:rPr>
                <w:noProof/>
                <w:webHidden/>
              </w:rPr>
            </w:r>
            <w:r>
              <w:rPr>
                <w:noProof/>
                <w:webHidden/>
              </w:rPr>
              <w:fldChar w:fldCharType="separate"/>
            </w:r>
            <w:r w:rsidR="002D6DF3">
              <w:rPr>
                <w:noProof/>
                <w:webHidden/>
              </w:rPr>
              <w:t>47</w:t>
            </w:r>
            <w:r>
              <w:rPr>
                <w:noProof/>
                <w:webHidden/>
              </w:rPr>
              <w:fldChar w:fldCharType="end"/>
            </w:r>
          </w:hyperlink>
        </w:p>
        <w:p w:rsidR="002D6DF3" w:rsidRDefault="006B40AE">
          <w:pPr>
            <w:pStyle w:val="TOC3"/>
            <w:tabs>
              <w:tab w:val="right" w:leader="dot" w:pos="9350"/>
            </w:tabs>
            <w:rPr>
              <w:rFonts w:asciiTheme="minorHAnsi" w:eastAsiaTheme="minorEastAsia" w:hAnsiTheme="minorHAnsi" w:cstheme="minorBidi"/>
              <w:noProof/>
              <w:sz w:val="22"/>
              <w:szCs w:val="22"/>
            </w:rPr>
          </w:pPr>
          <w:hyperlink w:anchor="_Toc282029955" w:history="1">
            <w:r w:rsidR="002D6DF3" w:rsidRPr="00451385">
              <w:rPr>
                <w:rStyle w:val="Hyperlink"/>
                <w:noProof/>
              </w:rPr>
              <w:t>Financial Performance of Railway Operations</w:t>
            </w:r>
            <w:r w:rsidR="002D6DF3">
              <w:rPr>
                <w:noProof/>
                <w:webHidden/>
              </w:rPr>
              <w:tab/>
            </w:r>
            <w:r>
              <w:rPr>
                <w:noProof/>
                <w:webHidden/>
              </w:rPr>
              <w:fldChar w:fldCharType="begin"/>
            </w:r>
            <w:r w:rsidR="002D6DF3">
              <w:rPr>
                <w:noProof/>
                <w:webHidden/>
              </w:rPr>
              <w:instrText xml:space="preserve"> PAGEREF _Toc282029955 \h </w:instrText>
            </w:r>
            <w:r>
              <w:rPr>
                <w:noProof/>
                <w:webHidden/>
              </w:rPr>
            </w:r>
            <w:r>
              <w:rPr>
                <w:noProof/>
                <w:webHidden/>
              </w:rPr>
              <w:fldChar w:fldCharType="separate"/>
            </w:r>
            <w:r w:rsidR="002D6DF3">
              <w:rPr>
                <w:noProof/>
                <w:webHidden/>
              </w:rPr>
              <w:t>49</w:t>
            </w:r>
            <w:r>
              <w:rPr>
                <w:noProof/>
                <w:webHidden/>
              </w:rPr>
              <w:fldChar w:fldCharType="end"/>
            </w:r>
          </w:hyperlink>
        </w:p>
        <w:p w:rsidR="002D6DF3" w:rsidRDefault="006B40AE">
          <w:pPr>
            <w:pStyle w:val="TOC3"/>
            <w:tabs>
              <w:tab w:val="right" w:leader="dot" w:pos="9350"/>
            </w:tabs>
            <w:rPr>
              <w:rFonts w:asciiTheme="minorHAnsi" w:eastAsiaTheme="minorEastAsia" w:hAnsiTheme="minorHAnsi" w:cstheme="minorBidi"/>
              <w:noProof/>
              <w:sz w:val="22"/>
              <w:szCs w:val="22"/>
            </w:rPr>
          </w:pPr>
          <w:hyperlink w:anchor="_Toc282029956" w:history="1">
            <w:r w:rsidR="002D6DF3" w:rsidRPr="00451385">
              <w:rPr>
                <w:rStyle w:val="Hyperlink"/>
                <w:noProof/>
              </w:rPr>
              <w:t>Financing Requirements for the Railway Sector</w:t>
            </w:r>
            <w:r w:rsidR="002D6DF3">
              <w:rPr>
                <w:noProof/>
                <w:webHidden/>
              </w:rPr>
              <w:tab/>
            </w:r>
            <w:r>
              <w:rPr>
                <w:noProof/>
                <w:webHidden/>
              </w:rPr>
              <w:fldChar w:fldCharType="begin"/>
            </w:r>
            <w:r w:rsidR="002D6DF3">
              <w:rPr>
                <w:noProof/>
                <w:webHidden/>
              </w:rPr>
              <w:instrText xml:space="preserve"> PAGEREF _Toc282029956 \h </w:instrText>
            </w:r>
            <w:r>
              <w:rPr>
                <w:noProof/>
                <w:webHidden/>
              </w:rPr>
            </w:r>
            <w:r>
              <w:rPr>
                <w:noProof/>
                <w:webHidden/>
              </w:rPr>
              <w:fldChar w:fldCharType="separate"/>
            </w:r>
            <w:r w:rsidR="002D6DF3">
              <w:rPr>
                <w:noProof/>
                <w:webHidden/>
              </w:rPr>
              <w:t>55</w:t>
            </w:r>
            <w:r>
              <w:rPr>
                <w:noProof/>
                <w:webHidden/>
              </w:rPr>
              <w:fldChar w:fldCharType="end"/>
            </w:r>
          </w:hyperlink>
        </w:p>
        <w:p w:rsidR="002D6DF3" w:rsidRDefault="006B40AE">
          <w:pPr>
            <w:pStyle w:val="TOC1"/>
            <w:rPr>
              <w:rFonts w:asciiTheme="minorHAnsi" w:eastAsiaTheme="minorEastAsia" w:hAnsiTheme="minorHAnsi" w:cstheme="minorBidi"/>
              <w:b w:val="0"/>
              <w:sz w:val="22"/>
              <w:szCs w:val="22"/>
            </w:rPr>
          </w:pPr>
          <w:hyperlink w:anchor="_Toc282029957" w:history="1">
            <w:r w:rsidR="002D6DF3" w:rsidRPr="00451385">
              <w:rPr>
                <w:rStyle w:val="Hyperlink"/>
              </w:rPr>
              <w:t>6.</w:t>
            </w:r>
            <w:r w:rsidR="002D6DF3">
              <w:rPr>
                <w:rFonts w:asciiTheme="minorHAnsi" w:eastAsiaTheme="minorEastAsia" w:hAnsiTheme="minorHAnsi" w:cstheme="minorBidi"/>
                <w:b w:val="0"/>
                <w:sz w:val="22"/>
                <w:szCs w:val="22"/>
              </w:rPr>
              <w:tab/>
            </w:r>
            <w:r w:rsidR="002D6DF3" w:rsidRPr="00451385">
              <w:rPr>
                <w:rStyle w:val="Hyperlink"/>
              </w:rPr>
              <w:t>Recommendations for Improving Transport Sector Performance</w:t>
            </w:r>
            <w:r w:rsidR="002D6DF3">
              <w:rPr>
                <w:webHidden/>
              </w:rPr>
              <w:tab/>
            </w:r>
            <w:r>
              <w:rPr>
                <w:webHidden/>
              </w:rPr>
              <w:fldChar w:fldCharType="begin"/>
            </w:r>
            <w:r w:rsidR="002D6DF3">
              <w:rPr>
                <w:webHidden/>
              </w:rPr>
              <w:instrText xml:space="preserve"> PAGEREF _Toc282029957 \h </w:instrText>
            </w:r>
            <w:r>
              <w:rPr>
                <w:webHidden/>
              </w:rPr>
            </w:r>
            <w:r>
              <w:rPr>
                <w:webHidden/>
              </w:rPr>
              <w:fldChar w:fldCharType="separate"/>
            </w:r>
            <w:r w:rsidR="002D6DF3">
              <w:rPr>
                <w:webHidden/>
              </w:rPr>
              <w:t>60</w:t>
            </w:r>
            <w:r>
              <w:rPr>
                <w:webHidden/>
              </w:rPr>
              <w:fldChar w:fldCharType="end"/>
            </w:r>
          </w:hyperlink>
        </w:p>
        <w:p w:rsidR="002D6DF3" w:rsidRDefault="006B40AE">
          <w:pPr>
            <w:pStyle w:val="TOC3"/>
            <w:tabs>
              <w:tab w:val="right" w:leader="dot" w:pos="9350"/>
            </w:tabs>
            <w:rPr>
              <w:rFonts w:asciiTheme="minorHAnsi" w:eastAsiaTheme="minorEastAsia" w:hAnsiTheme="minorHAnsi" w:cstheme="minorBidi"/>
              <w:noProof/>
              <w:sz w:val="22"/>
              <w:szCs w:val="22"/>
            </w:rPr>
          </w:pPr>
          <w:hyperlink w:anchor="_Toc282029958" w:history="1">
            <w:r w:rsidR="002D6DF3" w:rsidRPr="00451385">
              <w:rPr>
                <w:rStyle w:val="Hyperlink"/>
                <w:noProof/>
              </w:rPr>
              <w:t>Take Steps to Increase Logistics Performance</w:t>
            </w:r>
            <w:r w:rsidR="002D6DF3">
              <w:rPr>
                <w:noProof/>
                <w:webHidden/>
              </w:rPr>
              <w:tab/>
            </w:r>
            <w:r>
              <w:rPr>
                <w:noProof/>
                <w:webHidden/>
              </w:rPr>
              <w:fldChar w:fldCharType="begin"/>
            </w:r>
            <w:r w:rsidR="002D6DF3">
              <w:rPr>
                <w:noProof/>
                <w:webHidden/>
              </w:rPr>
              <w:instrText xml:space="preserve"> PAGEREF _Toc282029958 \h </w:instrText>
            </w:r>
            <w:r>
              <w:rPr>
                <w:noProof/>
                <w:webHidden/>
              </w:rPr>
            </w:r>
            <w:r>
              <w:rPr>
                <w:noProof/>
                <w:webHidden/>
              </w:rPr>
              <w:fldChar w:fldCharType="separate"/>
            </w:r>
            <w:r w:rsidR="002D6DF3">
              <w:rPr>
                <w:noProof/>
                <w:webHidden/>
              </w:rPr>
              <w:t>60</w:t>
            </w:r>
            <w:r>
              <w:rPr>
                <w:noProof/>
                <w:webHidden/>
              </w:rPr>
              <w:fldChar w:fldCharType="end"/>
            </w:r>
          </w:hyperlink>
        </w:p>
        <w:p w:rsidR="002D6DF3" w:rsidRDefault="006B40AE">
          <w:pPr>
            <w:pStyle w:val="TOC3"/>
            <w:tabs>
              <w:tab w:val="right" w:leader="dot" w:pos="9350"/>
            </w:tabs>
            <w:rPr>
              <w:rFonts w:asciiTheme="minorHAnsi" w:eastAsiaTheme="minorEastAsia" w:hAnsiTheme="minorHAnsi" w:cstheme="minorBidi"/>
              <w:noProof/>
              <w:sz w:val="22"/>
              <w:szCs w:val="22"/>
            </w:rPr>
          </w:pPr>
          <w:hyperlink w:anchor="_Toc282029959" w:history="1">
            <w:r w:rsidR="002D6DF3" w:rsidRPr="00451385">
              <w:rPr>
                <w:rStyle w:val="Hyperlink"/>
                <w:noProof/>
              </w:rPr>
              <w:t>Improve the Institutional Framework of the Belarus Transport Sector</w:t>
            </w:r>
            <w:r w:rsidR="002D6DF3">
              <w:rPr>
                <w:noProof/>
                <w:webHidden/>
              </w:rPr>
              <w:tab/>
            </w:r>
            <w:r>
              <w:rPr>
                <w:noProof/>
                <w:webHidden/>
              </w:rPr>
              <w:fldChar w:fldCharType="begin"/>
            </w:r>
            <w:r w:rsidR="002D6DF3">
              <w:rPr>
                <w:noProof/>
                <w:webHidden/>
              </w:rPr>
              <w:instrText xml:space="preserve"> PAGEREF _Toc282029959 \h </w:instrText>
            </w:r>
            <w:r>
              <w:rPr>
                <w:noProof/>
                <w:webHidden/>
              </w:rPr>
            </w:r>
            <w:r>
              <w:rPr>
                <w:noProof/>
                <w:webHidden/>
              </w:rPr>
              <w:fldChar w:fldCharType="separate"/>
            </w:r>
            <w:r w:rsidR="002D6DF3">
              <w:rPr>
                <w:noProof/>
                <w:webHidden/>
              </w:rPr>
              <w:t>62</w:t>
            </w:r>
            <w:r>
              <w:rPr>
                <w:noProof/>
                <w:webHidden/>
              </w:rPr>
              <w:fldChar w:fldCharType="end"/>
            </w:r>
          </w:hyperlink>
        </w:p>
        <w:p w:rsidR="002D6DF3" w:rsidRDefault="006B40AE">
          <w:pPr>
            <w:pStyle w:val="TOC3"/>
            <w:tabs>
              <w:tab w:val="right" w:leader="dot" w:pos="9350"/>
            </w:tabs>
            <w:rPr>
              <w:rFonts w:asciiTheme="minorHAnsi" w:eastAsiaTheme="minorEastAsia" w:hAnsiTheme="minorHAnsi" w:cstheme="minorBidi"/>
              <w:noProof/>
              <w:sz w:val="22"/>
              <w:szCs w:val="22"/>
            </w:rPr>
          </w:pPr>
          <w:hyperlink w:anchor="_Toc282029960" w:history="1">
            <w:r w:rsidR="002D6DF3" w:rsidRPr="00451385">
              <w:rPr>
                <w:rStyle w:val="Hyperlink"/>
                <w:noProof/>
              </w:rPr>
              <w:t>Improve Transport Sector Sustainability</w:t>
            </w:r>
            <w:r w:rsidR="002D6DF3">
              <w:rPr>
                <w:noProof/>
                <w:webHidden/>
              </w:rPr>
              <w:tab/>
            </w:r>
            <w:r>
              <w:rPr>
                <w:noProof/>
                <w:webHidden/>
              </w:rPr>
              <w:fldChar w:fldCharType="begin"/>
            </w:r>
            <w:r w:rsidR="002D6DF3">
              <w:rPr>
                <w:noProof/>
                <w:webHidden/>
              </w:rPr>
              <w:instrText xml:space="preserve"> PAGEREF _Toc282029960 \h </w:instrText>
            </w:r>
            <w:r>
              <w:rPr>
                <w:noProof/>
                <w:webHidden/>
              </w:rPr>
            </w:r>
            <w:r>
              <w:rPr>
                <w:noProof/>
                <w:webHidden/>
              </w:rPr>
              <w:fldChar w:fldCharType="separate"/>
            </w:r>
            <w:r w:rsidR="002D6DF3">
              <w:rPr>
                <w:noProof/>
                <w:webHidden/>
              </w:rPr>
              <w:t>64</w:t>
            </w:r>
            <w:r>
              <w:rPr>
                <w:noProof/>
                <w:webHidden/>
              </w:rPr>
              <w:fldChar w:fldCharType="end"/>
            </w:r>
          </w:hyperlink>
        </w:p>
        <w:p w:rsidR="002D6DF3" w:rsidRDefault="006B40AE">
          <w:pPr>
            <w:pStyle w:val="TOC1"/>
            <w:rPr>
              <w:rFonts w:asciiTheme="minorHAnsi" w:eastAsiaTheme="minorEastAsia" w:hAnsiTheme="minorHAnsi" w:cstheme="minorBidi"/>
              <w:b w:val="0"/>
              <w:sz w:val="22"/>
              <w:szCs w:val="22"/>
            </w:rPr>
          </w:pPr>
          <w:hyperlink w:anchor="_Toc282029961" w:history="1">
            <w:r w:rsidR="002D6DF3" w:rsidRPr="00451385">
              <w:rPr>
                <w:rStyle w:val="Hyperlink"/>
              </w:rPr>
              <w:t>Annex 1: The concept of logistics costs and international reference data</w:t>
            </w:r>
            <w:r w:rsidR="002D6DF3">
              <w:rPr>
                <w:webHidden/>
              </w:rPr>
              <w:tab/>
            </w:r>
            <w:r>
              <w:rPr>
                <w:webHidden/>
              </w:rPr>
              <w:fldChar w:fldCharType="begin"/>
            </w:r>
            <w:r w:rsidR="002D6DF3">
              <w:rPr>
                <w:webHidden/>
              </w:rPr>
              <w:instrText xml:space="preserve"> PAGEREF _Toc282029961 \h </w:instrText>
            </w:r>
            <w:r>
              <w:rPr>
                <w:webHidden/>
              </w:rPr>
            </w:r>
            <w:r>
              <w:rPr>
                <w:webHidden/>
              </w:rPr>
              <w:fldChar w:fldCharType="separate"/>
            </w:r>
            <w:r w:rsidR="002D6DF3">
              <w:rPr>
                <w:webHidden/>
              </w:rPr>
              <w:t>68</w:t>
            </w:r>
            <w:r>
              <w:rPr>
                <w:webHidden/>
              </w:rPr>
              <w:fldChar w:fldCharType="end"/>
            </w:r>
          </w:hyperlink>
        </w:p>
        <w:p w:rsidR="002D6DF3" w:rsidRDefault="006B40AE">
          <w:pPr>
            <w:pStyle w:val="TOC1"/>
            <w:rPr>
              <w:rFonts w:asciiTheme="minorHAnsi" w:eastAsiaTheme="minorEastAsia" w:hAnsiTheme="minorHAnsi" w:cstheme="minorBidi"/>
              <w:b w:val="0"/>
              <w:sz w:val="22"/>
              <w:szCs w:val="22"/>
            </w:rPr>
          </w:pPr>
          <w:hyperlink w:anchor="_Toc282029962" w:history="1">
            <w:r w:rsidR="002D6DF3" w:rsidRPr="00451385">
              <w:rPr>
                <w:rStyle w:val="Hyperlink"/>
              </w:rPr>
              <w:t>Annex 2: Belarus Freight Transport Forecast until 2020</w:t>
            </w:r>
            <w:r w:rsidR="002D6DF3">
              <w:rPr>
                <w:webHidden/>
              </w:rPr>
              <w:tab/>
            </w:r>
            <w:r>
              <w:rPr>
                <w:webHidden/>
              </w:rPr>
              <w:fldChar w:fldCharType="begin"/>
            </w:r>
            <w:r w:rsidR="002D6DF3">
              <w:rPr>
                <w:webHidden/>
              </w:rPr>
              <w:instrText xml:space="preserve"> PAGEREF _Toc282029962 \h </w:instrText>
            </w:r>
            <w:r>
              <w:rPr>
                <w:webHidden/>
              </w:rPr>
            </w:r>
            <w:r>
              <w:rPr>
                <w:webHidden/>
              </w:rPr>
              <w:fldChar w:fldCharType="separate"/>
            </w:r>
            <w:r w:rsidR="002D6DF3">
              <w:rPr>
                <w:webHidden/>
              </w:rPr>
              <w:t>73</w:t>
            </w:r>
            <w:r>
              <w:rPr>
                <w:webHidden/>
              </w:rPr>
              <w:fldChar w:fldCharType="end"/>
            </w:r>
          </w:hyperlink>
        </w:p>
        <w:p w:rsidR="000D28A0" w:rsidRPr="00A04BBD" w:rsidRDefault="006B40AE" w:rsidP="00C51818">
          <w:pPr>
            <w:rPr>
              <w:sz w:val="20"/>
              <w:szCs w:val="20"/>
            </w:rPr>
          </w:pPr>
          <w:r w:rsidRPr="00975628">
            <w:rPr>
              <w:sz w:val="20"/>
              <w:szCs w:val="20"/>
            </w:rPr>
            <w:fldChar w:fldCharType="end"/>
          </w:r>
        </w:p>
      </w:sdtContent>
    </w:sdt>
    <w:p w:rsidR="00FA2F03" w:rsidRPr="00490F8C" w:rsidRDefault="00FA2F03" w:rsidP="00490F8C">
      <w:pPr>
        <w:pStyle w:val="Title"/>
        <w:keepNext/>
        <w:pageBreakBefore/>
        <w:pBdr>
          <w:bottom w:val="none" w:sz="0" w:space="0" w:color="auto"/>
        </w:pBdr>
        <w:spacing w:before="360" w:after="240"/>
        <w:contextualSpacing w:val="0"/>
        <w:jc w:val="center"/>
        <w:rPr>
          <w:rFonts w:ascii="Times New Roman Bold" w:hAnsi="Times New Roman Bold"/>
          <w:b/>
          <w:smallCaps/>
          <w:color w:val="auto"/>
          <w:sz w:val="32"/>
        </w:rPr>
      </w:pPr>
      <w:r w:rsidRPr="00490F8C">
        <w:rPr>
          <w:rFonts w:ascii="Times New Roman Bold" w:hAnsi="Times New Roman Bold"/>
          <w:b/>
          <w:smallCaps/>
          <w:color w:val="auto"/>
          <w:sz w:val="32"/>
        </w:rPr>
        <w:lastRenderedPageBreak/>
        <w:t>List of Figur</w:t>
      </w:r>
      <w:r w:rsidR="00796155" w:rsidRPr="00490F8C">
        <w:rPr>
          <w:rFonts w:ascii="Times New Roman Bold" w:hAnsi="Times New Roman Bold"/>
          <w:b/>
          <w:smallCaps/>
          <w:color w:val="auto"/>
          <w:sz w:val="32"/>
        </w:rPr>
        <w:t>es</w:t>
      </w:r>
    </w:p>
    <w:p w:rsidR="00AC1BE0" w:rsidRPr="00AC1BE0" w:rsidRDefault="006B40AE" w:rsidP="00E94154">
      <w:pPr>
        <w:pStyle w:val="TableofFigures"/>
        <w:tabs>
          <w:tab w:val="right" w:leader="dot" w:pos="10080"/>
        </w:tabs>
        <w:ind w:left="-270" w:right="-720"/>
        <w:rPr>
          <w:rFonts w:asciiTheme="minorHAnsi" w:eastAsiaTheme="minorEastAsia" w:hAnsiTheme="minorHAnsi" w:cstheme="minorBidi"/>
          <w:noProof/>
          <w:sz w:val="20"/>
          <w:szCs w:val="20"/>
        </w:rPr>
      </w:pPr>
      <w:r w:rsidRPr="00AC1BE0">
        <w:rPr>
          <w:sz w:val="20"/>
          <w:szCs w:val="20"/>
        </w:rPr>
        <w:fldChar w:fldCharType="begin"/>
      </w:r>
      <w:r w:rsidR="00FA4DAC" w:rsidRPr="00AC1BE0">
        <w:rPr>
          <w:sz w:val="20"/>
          <w:szCs w:val="20"/>
        </w:rPr>
        <w:instrText xml:space="preserve"> TOC \h \z \c "Figure" </w:instrText>
      </w:r>
      <w:r w:rsidRPr="00AC1BE0">
        <w:rPr>
          <w:sz w:val="20"/>
          <w:szCs w:val="20"/>
        </w:rPr>
        <w:fldChar w:fldCharType="separate"/>
      </w:r>
      <w:hyperlink w:anchor="_Toc264226758" w:history="1">
        <w:r w:rsidR="00AC1BE0" w:rsidRPr="00AC1BE0">
          <w:rPr>
            <w:rStyle w:val="Hyperlink"/>
            <w:noProof/>
            <w:sz w:val="20"/>
            <w:szCs w:val="20"/>
          </w:rPr>
          <w:t>Figure 1. Belarus Trade in Transport Services 2003-2008: Exports (in million US$)</w:t>
        </w:r>
        <w:r w:rsidR="00AC1BE0" w:rsidRPr="00AC1BE0">
          <w:rPr>
            <w:noProof/>
            <w:webHidden/>
            <w:sz w:val="20"/>
            <w:szCs w:val="20"/>
          </w:rPr>
          <w:tab/>
        </w:r>
        <w:r w:rsidRPr="00AC1BE0">
          <w:rPr>
            <w:noProof/>
            <w:webHidden/>
            <w:sz w:val="20"/>
            <w:szCs w:val="20"/>
          </w:rPr>
          <w:fldChar w:fldCharType="begin"/>
        </w:r>
        <w:r w:rsidR="00AC1BE0" w:rsidRPr="00AC1BE0">
          <w:rPr>
            <w:noProof/>
            <w:webHidden/>
            <w:sz w:val="20"/>
            <w:szCs w:val="20"/>
          </w:rPr>
          <w:instrText xml:space="preserve"> PAGEREF _Toc264226758 \h </w:instrText>
        </w:r>
        <w:r w:rsidRPr="00AC1BE0">
          <w:rPr>
            <w:noProof/>
            <w:webHidden/>
            <w:sz w:val="20"/>
            <w:szCs w:val="20"/>
          </w:rPr>
        </w:r>
        <w:r w:rsidRPr="00AC1BE0">
          <w:rPr>
            <w:noProof/>
            <w:webHidden/>
            <w:sz w:val="20"/>
            <w:szCs w:val="20"/>
          </w:rPr>
          <w:fldChar w:fldCharType="separate"/>
        </w:r>
        <w:r w:rsidR="005314A4">
          <w:rPr>
            <w:noProof/>
            <w:webHidden/>
            <w:sz w:val="20"/>
            <w:szCs w:val="20"/>
          </w:rPr>
          <w:t>8</w:t>
        </w:r>
        <w:r w:rsidRPr="00AC1BE0">
          <w:rPr>
            <w:noProof/>
            <w:webHidden/>
            <w:sz w:val="20"/>
            <w:szCs w:val="20"/>
          </w:rPr>
          <w:fldChar w:fldCharType="end"/>
        </w:r>
      </w:hyperlink>
    </w:p>
    <w:p w:rsidR="00AC1BE0" w:rsidRPr="00AC1BE0" w:rsidRDefault="006B40AE" w:rsidP="00E94154">
      <w:pPr>
        <w:pStyle w:val="TableofFigures"/>
        <w:tabs>
          <w:tab w:val="right" w:leader="dot" w:pos="10080"/>
        </w:tabs>
        <w:ind w:left="-270" w:right="-720"/>
        <w:rPr>
          <w:rFonts w:asciiTheme="minorHAnsi" w:eastAsiaTheme="minorEastAsia" w:hAnsiTheme="minorHAnsi" w:cstheme="minorBidi"/>
          <w:noProof/>
          <w:sz w:val="20"/>
          <w:szCs w:val="20"/>
        </w:rPr>
      </w:pPr>
      <w:hyperlink w:anchor="_Toc264226759" w:history="1">
        <w:r w:rsidR="00AC1BE0" w:rsidRPr="00AC1BE0">
          <w:rPr>
            <w:rStyle w:val="Hyperlink"/>
            <w:noProof/>
            <w:sz w:val="20"/>
            <w:szCs w:val="20"/>
          </w:rPr>
          <w:t>Figure 2. Belarus Trade in Transport Services 2003-2008: Imports (in million US$)</w:t>
        </w:r>
        <w:r w:rsidR="00AC1BE0" w:rsidRPr="00AC1BE0">
          <w:rPr>
            <w:noProof/>
            <w:webHidden/>
            <w:sz w:val="20"/>
            <w:szCs w:val="20"/>
          </w:rPr>
          <w:tab/>
        </w:r>
        <w:r w:rsidRPr="00AC1BE0">
          <w:rPr>
            <w:noProof/>
            <w:webHidden/>
            <w:sz w:val="20"/>
            <w:szCs w:val="20"/>
          </w:rPr>
          <w:fldChar w:fldCharType="begin"/>
        </w:r>
        <w:r w:rsidR="00AC1BE0" w:rsidRPr="00AC1BE0">
          <w:rPr>
            <w:noProof/>
            <w:webHidden/>
            <w:sz w:val="20"/>
            <w:szCs w:val="20"/>
          </w:rPr>
          <w:instrText xml:space="preserve"> PAGEREF _Toc264226759 \h </w:instrText>
        </w:r>
        <w:r w:rsidRPr="00AC1BE0">
          <w:rPr>
            <w:noProof/>
            <w:webHidden/>
            <w:sz w:val="20"/>
            <w:szCs w:val="20"/>
          </w:rPr>
        </w:r>
        <w:r w:rsidRPr="00AC1BE0">
          <w:rPr>
            <w:noProof/>
            <w:webHidden/>
            <w:sz w:val="20"/>
            <w:szCs w:val="20"/>
          </w:rPr>
          <w:fldChar w:fldCharType="separate"/>
        </w:r>
        <w:r w:rsidR="005314A4">
          <w:rPr>
            <w:noProof/>
            <w:webHidden/>
            <w:sz w:val="20"/>
            <w:szCs w:val="20"/>
          </w:rPr>
          <w:t>8</w:t>
        </w:r>
        <w:r w:rsidRPr="00AC1BE0">
          <w:rPr>
            <w:noProof/>
            <w:webHidden/>
            <w:sz w:val="20"/>
            <w:szCs w:val="20"/>
          </w:rPr>
          <w:fldChar w:fldCharType="end"/>
        </w:r>
      </w:hyperlink>
    </w:p>
    <w:p w:rsidR="00AC1BE0" w:rsidRPr="00AC1BE0" w:rsidRDefault="006B40AE" w:rsidP="00E94154">
      <w:pPr>
        <w:pStyle w:val="TableofFigures"/>
        <w:tabs>
          <w:tab w:val="right" w:leader="dot" w:pos="10080"/>
        </w:tabs>
        <w:ind w:left="-270" w:right="-720"/>
        <w:rPr>
          <w:rFonts w:asciiTheme="minorHAnsi" w:eastAsiaTheme="minorEastAsia" w:hAnsiTheme="minorHAnsi" w:cstheme="minorBidi"/>
          <w:noProof/>
          <w:sz w:val="20"/>
          <w:szCs w:val="20"/>
        </w:rPr>
      </w:pPr>
      <w:hyperlink w:anchor="_Toc264226760" w:history="1">
        <w:r w:rsidR="00AC1BE0" w:rsidRPr="00AC1BE0">
          <w:rPr>
            <w:rStyle w:val="Hyperlink"/>
            <w:noProof/>
            <w:sz w:val="20"/>
            <w:szCs w:val="20"/>
          </w:rPr>
          <w:t>Figure 3. Belarus Services Trade Balance (exports-imports) by Type of Transport Service 2006-2008 (in million US$)</w:t>
        </w:r>
        <w:r w:rsidR="00AC1BE0" w:rsidRPr="00AC1BE0">
          <w:rPr>
            <w:noProof/>
            <w:webHidden/>
            <w:sz w:val="20"/>
            <w:szCs w:val="20"/>
          </w:rPr>
          <w:tab/>
        </w:r>
        <w:r w:rsidRPr="00AC1BE0">
          <w:rPr>
            <w:noProof/>
            <w:webHidden/>
            <w:sz w:val="20"/>
            <w:szCs w:val="20"/>
          </w:rPr>
          <w:fldChar w:fldCharType="begin"/>
        </w:r>
        <w:r w:rsidR="00AC1BE0" w:rsidRPr="00AC1BE0">
          <w:rPr>
            <w:noProof/>
            <w:webHidden/>
            <w:sz w:val="20"/>
            <w:szCs w:val="20"/>
          </w:rPr>
          <w:instrText xml:space="preserve"> PAGEREF _Toc264226760 \h </w:instrText>
        </w:r>
        <w:r w:rsidRPr="00AC1BE0">
          <w:rPr>
            <w:noProof/>
            <w:webHidden/>
            <w:sz w:val="20"/>
            <w:szCs w:val="20"/>
          </w:rPr>
        </w:r>
        <w:r w:rsidRPr="00AC1BE0">
          <w:rPr>
            <w:noProof/>
            <w:webHidden/>
            <w:sz w:val="20"/>
            <w:szCs w:val="20"/>
          </w:rPr>
          <w:fldChar w:fldCharType="separate"/>
        </w:r>
        <w:r w:rsidR="005314A4">
          <w:rPr>
            <w:noProof/>
            <w:webHidden/>
            <w:sz w:val="20"/>
            <w:szCs w:val="20"/>
          </w:rPr>
          <w:t>8</w:t>
        </w:r>
        <w:r w:rsidRPr="00AC1BE0">
          <w:rPr>
            <w:noProof/>
            <w:webHidden/>
            <w:sz w:val="20"/>
            <w:szCs w:val="20"/>
          </w:rPr>
          <w:fldChar w:fldCharType="end"/>
        </w:r>
      </w:hyperlink>
    </w:p>
    <w:p w:rsidR="00AC1BE0" w:rsidRPr="00AC1BE0" w:rsidRDefault="006B40AE" w:rsidP="00E94154">
      <w:pPr>
        <w:pStyle w:val="TableofFigures"/>
        <w:tabs>
          <w:tab w:val="right" w:leader="dot" w:pos="10080"/>
        </w:tabs>
        <w:ind w:left="-270" w:right="-720"/>
        <w:rPr>
          <w:rFonts w:asciiTheme="minorHAnsi" w:eastAsiaTheme="minorEastAsia" w:hAnsiTheme="minorHAnsi" w:cstheme="minorBidi"/>
          <w:noProof/>
          <w:sz w:val="20"/>
          <w:szCs w:val="20"/>
        </w:rPr>
      </w:pPr>
      <w:hyperlink w:anchor="_Toc264226761" w:history="1">
        <w:r w:rsidR="00AC1BE0" w:rsidRPr="00AC1BE0">
          <w:rPr>
            <w:rStyle w:val="Hyperlink"/>
            <w:noProof/>
            <w:sz w:val="20"/>
            <w:szCs w:val="20"/>
          </w:rPr>
          <w:t>Figure 4. Pan-European Corridors</w:t>
        </w:r>
        <w:r w:rsidR="00AC1BE0" w:rsidRPr="00AC1BE0">
          <w:rPr>
            <w:noProof/>
            <w:webHidden/>
            <w:sz w:val="20"/>
            <w:szCs w:val="20"/>
          </w:rPr>
          <w:tab/>
        </w:r>
        <w:r w:rsidRPr="00AC1BE0">
          <w:rPr>
            <w:noProof/>
            <w:webHidden/>
            <w:sz w:val="20"/>
            <w:szCs w:val="20"/>
          </w:rPr>
          <w:fldChar w:fldCharType="begin"/>
        </w:r>
        <w:r w:rsidR="00AC1BE0" w:rsidRPr="00AC1BE0">
          <w:rPr>
            <w:noProof/>
            <w:webHidden/>
            <w:sz w:val="20"/>
            <w:szCs w:val="20"/>
          </w:rPr>
          <w:instrText xml:space="preserve"> PAGEREF _Toc264226761 \h </w:instrText>
        </w:r>
        <w:r w:rsidRPr="00AC1BE0">
          <w:rPr>
            <w:noProof/>
            <w:webHidden/>
            <w:sz w:val="20"/>
            <w:szCs w:val="20"/>
          </w:rPr>
        </w:r>
        <w:r w:rsidRPr="00AC1BE0">
          <w:rPr>
            <w:noProof/>
            <w:webHidden/>
            <w:sz w:val="20"/>
            <w:szCs w:val="20"/>
          </w:rPr>
          <w:fldChar w:fldCharType="separate"/>
        </w:r>
        <w:r w:rsidR="005314A4">
          <w:rPr>
            <w:noProof/>
            <w:webHidden/>
            <w:sz w:val="20"/>
            <w:szCs w:val="20"/>
          </w:rPr>
          <w:t>9</w:t>
        </w:r>
        <w:r w:rsidRPr="00AC1BE0">
          <w:rPr>
            <w:noProof/>
            <w:webHidden/>
            <w:sz w:val="20"/>
            <w:szCs w:val="20"/>
          </w:rPr>
          <w:fldChar w:fldCharType="end"/>
        </w:r>
      </w:hyperlink>
    </w:p>
    <w:p w:rsidR="00AC1BE0" w:rsidRPr="00AC1BE0" w:rsidRDefault="006B40AE" w:rsidP="00E94154">
      <w:pPr>
        <w:pStyle w:val="TableofFigures"/>
        <w:tabs>
          <w:tab w:val="right" w:leader="dot" w:pos="10080"/>
        </w:tabs>
        <w:ind w:left="-270" w:right="-720"/>
        <w:rPr>
          <w:rFonts w:asciiTheme="minorHAnsi" w:eastAsiaTheme="minorEastAsia" w:hAnsiTheme="minorHAnsi" w:cstheme="minorBidi"/>
          <w:noProof/>
          <w:sz w:val="20"/>
          <w:szCs w:val="20"/>
        </w:rPr>
      </w:pPr>
      <w:hyperlink w:anchor="_Toc264226762" w:history="1">
        <w:r w:rsidR="00AC1BE0" w:rsidRPr="00AC1BE0">
          <w:rPr>
            <w:rStyle w:val="Hyperlink"/>
            <w:noProof/>
            <w:sz w:val="20"/>
            <w:szCs w:val="20"/>
          </w:rPr>
          <w:t>Figure 5. Structure of Belarus Industrial Output 2008 (in percentage of total output)</w:t>
        </w:r>
        <w:r w:rsidR="00AC1BE0" w:rsidRPr="00AC1BE0">
          <w:rPr>
            <w:noProof/>
            <w:webHidden/>
            <w:sz w:val="20"/>
            <w:szCs w:val="20"/>
          </w:rPr>
          <w:tab/>
        </w:r>
        <w:r w:rsidRPr="00AC1BE0">
          <w:rPr>
            <w:noProof/>
            <w:webHidden/>
            <w:sz w:val="20"/>
            <w:szCs w:val="20"/>
          </w:rPr>
          <w:fldChar w:fldCharType="begin"/>
        </w:r>
        <w:r w:rsidR="00AC1BE0" w:rsidRPr="00AC1BE0">
          <w:rPr>
            <w:noProof/>
            <w:webHidden/>
            <w:sz w:val="20"/>
            <w:szCs w:val="20"/>
          </w:rPr>
          <w:instrText xml:space="preserve"> PAGEREF _Toc264226762 \h </w:instrText>
        </w:r>
        <w:r w:rsidRPr="00AC1BE0">
          <w:rPr>
            <w:noProof/>
            <w:webHidden/>
            <w:sz w:val="20"/>
            <w:szCs w:val="20"/>
          </w:rPr>
        </w:r>
        <w:r w:rsidRPr="00AC1BE0">
          <w:rPr>
            <w:noProof/>
            <w:webHidden/>
            <w:sz w:val="20"/>
            <w:szCs w:val="20"/>
          </w:rPr>
          <w:fldChar w:fldCharType="separate"/>
        </w:r>
        <w:r w:rsidR="005314A4">
          <w:rPr>
            <w:noProof/>
            <w:webHidden/>
            <w:sz w:val="20"/>
            <w:szCs w:val="20"/>
          </w:rPr>
          <w:t>10</w:t>
        </w:r>
        <w:r w:rsidRPr="00AC1BE0">
          <w:rPr>
            <w:noProof/>
            <w:webHidden/>
            <w:sz w:val="20"/>
            <w:szCs w:val="20"/>
          </w:rPr>
          <w:fldChar w:fldCharType="end"/>
        </w:r>
      </w:hyperlink>
    </w:p>
    <w:p w:rsidR="00AC1BE0" w:rsidRPr="00AC1BE0" w:rsidRDefault="006B40AE" w:rsidP="00E94154">
      <w:pPr>
        <w:pStyle w:val="TableofFigures"/>
        <w:tabs>
          <w:tab w:val="right" w:leader="dot" w:pos="10080"/>
        </w:tabs>
        <w:ind w:left="-270" w:right="-720"/>
        <w:rPr>
          <w:rFonts w:asciiTheme="minorHAnsi" w:eastAsiaTheme="minorEastAsia" w:hAnsiTheme="minorHAnsi" w:cstheme="minorBidi"/>
          <w:noProof/>
          <w:sz w:val="20"/>
          <w:szCs w:val="20"/>
        </w:rPr>
      </w:pPr>
      <w:hyperlink w:anchor="_Toc264226763" w:history="1">
        <w:r w:rsidR="00AC1BE0" w:rsidRPr="00AC1BE0">
          <w:rPr>
            <w:rStyle w:val="Hyperlink"/>
            <w:noProof/>
            <w:sz w:val="20"/>
            <w:szCs w:val="20"/>
          </w:rPr>
          <w:t>Figure 6. Distribution of Retail Turnover by Ownership Types in Belarus 1995-2008 (in share of retail turnover)</w:t>
        </w:r>
        <w:r w:rsidR="00AC1BE0" w:rsidRPr="00AC1BE0">
          <w:rPr>
            <w:noProof/>
            <w:webHidden/>
            <w:sz w:val="20"/>
            <w:szCs w:val="20"/>
          </w:rPr>
          <w:tab/>
        </w:r>
        <w:r w:rsidRPr="00AC1BE0">
          <w:rPr>
            <w:noProof/>
            <w:webHidden/>
            <w:sz w:val="20"/>
            <w:szCs w:val="20"/>
          </w:rPr>
          <w:fldChar w:fldCharType="begin"/>
        </w:r>
        <w:r w:rsidR="00AC1BE0" w:rsidRPr="00AC1BE0">
          <w:rPr>
            <w:noProof/>
            <w:webHidden/>
            <w:sz w:val="20"/>
            <w:szCs w:val="20"/>
          </w:rPr>
          <w:instrText xml:space="preserve"> PAGEREF _Toc264226763 \h </w:instrText>
        </w:r>
        <w:r w:rsidRPr="00AC1BE0">
          <w:rPr>
            <w:noProof/>
            <w:webHidden/>
            <w:sz w:val="20"/>
            <w:szCs w:val="20"/>
          </w:rPr>
        </w:r>
        <w:r w:rsidRPr="00AC1BE0">
          <w:rPr>
            <w:noProof/>
            <w:webHidden/>
            <w:sz w:val="20"/>
            <w:szCs w:val="20"/>
          </w:rPr>
          <w:fldChar w:fldCharType="separate"/>
        </w:r>
        <w:r w:rsidR="005314A4">
          <w:rPr>
            <w:noProof/>
            <w:webHidden/>
            <w:sz w:val="20"/>
            <w:szCs w:val="20"/>
          </w:rPr>
          <w:t>11</w:t>
        </w:r>
        <w:r w:rsidRPr="00AC1BE0">
          <w:rPr>
            <w:noProof/>
            <w:webHidden/>
            <w:sz w:val="20"/>
            <w:szCs w:val="20"/>
          </w:rPr>
          <w:fldChar w:fldCharType="end"/>
        </w:r>
      </w:hyperlink>
    </w:p>
    <w:p w:rsidR="00AC1BE0" w:rsidRPr="00AC1BE0" w:rsidRDefault="006B40AE" w:rsidP="00E94154">
      <w:pPr>
        <w:pStyle w:val="TableofFigures"/>
        <w:tabs>
          <w:tab w:val="right" w:leader="dot" w:pos="10080"/>
        </w:tabs>
        <w:ind w:left="-270" w:right="-720"/>
        <w:rPr>
          <w:rFonts w:asciiTheme="minorHAnsi" w:eastAsiaTheme="minorEastAsia" w:hAnsiTheme="minorHAnsi" w:cstheme="minorBidi"/>
          <w:noProof/>
          <w:sz w:val="20"/>
          <w:szCs w:val="20"/>
        </w:rPr>
      </w:pPr>
      <w:hyperlink w:anchor="_Toc264226764" w:history="1">
        <w:r w:rsidR="00AC1BE0" w:rsidRPr="00AC1BE0">
          <w:rPr>
            <w:rStyle w:val="Hyperlink"/>
            <w:noProof/>
            <w:sz w:val="20"/>
            <w:szCs w:val="20"/>
          </w:rPr>
          <w:t>Figure 7. Floor Space for Modern Retailing in Selected CEE Capital Cities 2007 (per 1,000 people)</w:t>
        </w:r>
        <w:r w:rsidR="00AC1BE0" w:rsidRPr="00AC1BE0">
          <w:rPr>
            <w:noProof/>
            <w:webHidden/>
            <w:sz w:val="20"/>
            <w:szCs w:val="20"/>
          </w:rPr>
          <w:tab/>
        </w:r>
        <w:r w:rsidRPr="00AC1BE0">
          <w:rPr>
            <w:noProof/>
            <w:webHidden/>
            <w:sz w:val="20"/>
            <w:szCs w:val="20"/>
          </w:rPr>
          <w:fldChar w:fldCharType="begin"/>
        </w:r>
        <w:r w:rsidR="00AC1BE0" w:rsidRPr="00AC1BE0">
          <w:rPr>
            <w:noProof/>
            <w:webHidden/>
            <w:sz w:val="20"/>
            <w:szCs w:val="20"/>
          </w:rPr>
          <w:instrText xml:space="preserve"> PAGEREF _Toc264226764 \h </w:instrText>
        </w:r>
        <w:r w:rsidRPr="00AC1BE0">
          <w:rPr>
            <w:noProof/>
            <w:webHidden/>
            <w:sz w:val="20"/>
            <w:szCs w:val="20"/>
          </w:rPr>
        </w:r>
        <w:r w:rsidRPr="00AC1BE0">
          <w:rPr>
            <w:noProof/>
            <w:webHidden/>
            <w:sz w:val="20"/>
            <w:szCs w:val="20"/>
          </w:rPr>
          <w:fldChar w:fldCharType="separate"/>
        </w:r>
        <w:r w:rsidR="005314A4">
          <w:rPr>
            <w:noProof/>
            <w:webHidden/>
            <w:sz w:val="20"/>
            <w:szCs w:val="20"/>
          </w:rPr>
          <w:t>11</w:t>
        </w:r>
        <w:r w:rsidRPr="00AC1BE0">
          <w:rPr>
            <w:noProof/>
            <w:webHidden/>
            <w:sz w:val="20"/>
            <w:szCs w:val="20"/>
          </w:rPr>
          <w:fldChar w:fldCharType="end"/>
        </w:r>
      </w:hyperlink>
    </w:p>
    <w:p w:rsidR="00AC1BE0" w:rsidRPr="00AC1BE0" w:rsidRDefault="006B40AE" w:rsidP="00E94154">
      <w:pPr>
        <w:pStyle w:val="TableofFigures"/>
        <w:tabs>
          <w:tab w:val="right" w:leader="dot" w:pos="10080"/>
        </w:tabs>
        <w:ind w:left="-270" w:right="-720"/>
        <w:rPr>
          <w:rFonts w:asciiTheme="minorHAnsi" w:eastAsiaTheme="minorEastAsia" w:hAnsiTheme="minorHAnsi" w:cstheme="minorBidi"/>
          <w:noProof/>
          <w:sz w:val="20"/>
          <w:szCs w:val="20"/>
        </w:rPr>
      </w:pPr>
      <w:hyperlink w:anchor="_Toc264226765" w:history="1">
        <w:r w:rsidR="00AC1BE0" w:rsidRPr="00AC1BE0">
          <w:rPr>
            <w:rStyle w:val="Hyperlink"/>
            <w:noProof/>
            <w:sz w:val="20"/>
            <w:szCs w:val="20"/>
          </w:rPr>
          <w:t xml:space="preserve">Figure 8. FDI Inflow to Belarus, Lithuania and CIS Countries </w:t>
        </w:r>
        <w:r w:rsidR="00AC1BE0" w:rsidRPr="00AC1BE0">
          <w:rPr>
            <w:noProof/>
            <w:webHidden/>
            <w:sz w:val="20"/>
            <w:szCs w:val="20"/>
          </w:rPr>
          <w:tab/>
        </w:r>
        <w:r w:rsidRPr="00AC1BE0">
          <w:rPr>
            <w:noProof/>
            <w:webHidden/>
            <w:sz w:val="20"/>
            <w:szCs w:val="20"/>
          </w:rPr>
          <w:fldChar w:fldCharType="begin"/>
        </w:r>
        <w:r w:rsidR="00AC1BE0" w:rsidRPr="00AC1BE0">
          <w:rPr>
            <w:noProof/>
            <w:webHidden/>
            <w:sz w:val="20"/>
            <w:szCs w:val="20"/>
          </w:rPr>
          <w:instrText xml:space="preserve"> PAGEREF _Toc264226765 \h </w:instrText>
        </w:r>
        <w:r w:rsidRPr="00AC1BE0">
          <w:rPr>
            <w:noProof/>
            <w:webHidden/>
            <w:sz w:val="20"/>
            <w:szCs w:val="20"/>
          </w:rPr>
        </w:r>
        <w:r w:rsidRPr="00AC1BE0">
          <w:rPr>
            <w:noProof/>
            <w:webHidden/>
            <w:sz w:val="20"/>
            <w:szCs w:val="20"/>
          </w:rPr>
          <w:fldChar w:fldCharType="separate"/>
        </w:r>
        <w:r w:rsidR="005314A4">
          <w:rPr>
            <w:noProof/>
            <w:webHidden/>
            <w:sz w:val="20"/>
            <w:szCs w:val="20"/>
          </w:rPr>
          <w:t>13</w:t>
        </w:r>
        <w:r w:rsidRPr="00AC1BE0">
          <w:rPr>
            <w:noProof/>
            <w:webHidden/>
            <w:sz w:val="20"/>
            <w:szCs w:val="20"/>
          </w:rPr>
          <w:fldChar w:fldCharType="end"/>
        </w:r>
      </w:hyperlink>
    </w:p>
    <w:p w:rsidR="00AC1BE0" w:rsidRPr="00AC1BE0" w:rsidRDefault="006B40AE" w:rsidP="00E94154">
      <w:pPr>
        <w:pStyle w:val="TableofFigures"/>
        <w:tabs>
          <w:tab w:val="right" w:leader="dot" w:pos="10080"/>
        </w:tabs>
        <w:ind w:left="-270" w:right="-720"/>
        <w:rPr>
          <w:rFonts w:asciiTheme="minorHAnsi" w:eastAsiaTheme="minorEastAsia" w:hAnsiTheme="minorHAnsi" w:cstheme="minorBidi"/>
          <w:noProof/>
          <w:sz w:val="20"/>
          <w:szCs w:val="20"/>
        </w:rPr>
      </w:pPr>
      <w:hyperlink w:anchor="_Toc264226766" w:history="1">
        <w:r w:rsidR="00AC1BE0" w:rsidRPr="00AC1BE0">
          <w:rPr>
            <w:rStyle w:val="Hyperlink"/>
            <w:noProof/>
            <w:sz w:val="20"/>
            <w:szCs w:val="20"/>
          </w:rPr>
          <w:t>Figure 9. Logistics Performance Index: Performance of Belarus and Selected CIS Countries (2007)</w:t>
        </w:r>
        <w:r w:rsidR="00AC1BE0" w:rsidRPr="00AC1BE0">
          <w:rPr>
            <w:noProof/>
            <w:webHidden/>
            <w:sz w:val="20"/>
            <w:szCs w:val="20"/>
          </w:rPr>
          <w:tab/>
        </w:r>
        <w:r w:rsidRPr="00AC1BE0">
          <w:rPr>
            <w:noProof/>
            <w:webHidden/>
            <w:sz w:val="20"/>
            <w:szCs w:val="20"/>
          </w:rPr>
          <w:fldChar w:fldCharType="begin"/>
        </w:r>
        <w:r w:rsidR="00AC1BE0" w:rsidRPr="00AC1BE0">
          <w:rPr>
            <w:noProof/>
            <w:webHidden/>
            <w:sz w:val="20"/>
            <w:szCs w:val="20"/>
          </w:rPr>
          <w:instrText xml:space="preserve"> PAGEREF _Toc264226766 \h </w:instrText>
        </w:r>
        <w:r w:rsidRPr="00AC1BE0">
          <w:rPr>
            <w:noProof/>
            <w:webHidden/>
            <w:sz w:val="20"/>
            <w:szCs w:val="20"/>
          </w:rPr>
        </w:r>
        <w:r w:rsidRPr="00AC1BE0">
          <w:rPr>
            <w:noProof/>
            <w:webHidden/>
            <w:sz w:val="20"/>
            <w:szCs w:val="20"/>
          </w:rPr>
          <w:fldChar w:fldCharType="separate"/>
        </w:r>
        <w:r w:rsidR="005314A4">
          <w:rPr>
            <w:noProof/>
            <w:webHidden/>
            <w:sz w:val="20"/>
            <w:szCs w:val="20"/>
          </w:rPr>
          <w:t>15</w:t>
        </w:r>
        <w:r w:rsidRPr="00AC1BE0">
          <w:rPr>
            <w:noProof/>
            <w:webHidden/>
            <w:sz w:val="20"/>
            <w:szCs w:val="20"/>
          </w:rPr>
          <w:fldChar w:fldCharType="end"/>
        </w:r>
      </w:hyperlink>
    </w:p>
    <w:p w:rsidR="00AC1BE0" w:rsidRPr="00AC1BE0" w:rsidRDefault="006B40AE" w:rsidP="00E94154">
      <w:pPr>
        <w:pStyle w:val="TableofFigures"/>
        <w:tabs>
          <w:tab w:val="right" w:leader="dot" w:pos="10080"/>
        </w:tabs>
        <w:ind w:left="-270" w:right="-720"/>
        <w:rPr>
          <w:rFonts w:asciiTheme="minorHAnsi" w:eastAsiaTheme="minorEastAsia" w:hAnsiTheme="minorHAnsi" w:cstheme="minorBidi"/>
          <w:noProof/>
          <w:sz w:val="20"/>
          <w:szCs w:val="20"/>
        </w:rPr>
      </w:pPr>
      <w:hyperlink w:anchor="_Toc264226767" w:history="1">
        <w:r w:rsidR="00AC1BE0" w:rsidRPr="00AC1BE0">
          <w:rPr>
            <w:rStyle w:val="Hyperlink"/>
            <w:noProof/>
            <w:sz w:val="20"/>
            <w:szCs w:val="20"/>
          </w:rPr>
          <w:t>Figure 10. Logistics Performance Index: Performance of Belarus and Neighbouring EU Countries in the Logistics Performance Index 2007</w:t>
        </w:r>
        <w:r w:rsidR="00AC1BE0" w:rsidRPr="00AC1BE0">
          <w:rPr>
            <w:noProof/>
            <w:webHidden/>
            <w:sz w:val="20"/>
            <w:szCs w:val="20"/>
          </w:rPr>
          <w:tab/>
        </w:r>
        <w:r w:rsidRPr="00AC1BE0">
          <w:rPr>
            <w:noProof/>
            <w:webHidden/>
            <w:sz w:val="20"/>
            <w:szCs w:val="20"/>
          </w:rPr>
          <w:fldChar w:fldCharType="begin"/>
        </w:r>
        <w:r w:rsidR="00AC1BE0" w:rsidRPr="00AC1BE0">
          <w:rPr>
            <w:noProof/>
            <w:webHidden/>
            <w:sz w:val="20"/>
            <w:szCs w:val="20"/>
          </w:rPr>
          <w:instrText xml:space="preserve"> PAGEREF _Toc264226767 \h </w:instrText>
        </w:r>
        <w:r w:rsidRPr="00AC1BE0">
          <w:rPr>
            <w:noProof/>
            <w:webHidden/>
            <w:sz w:val="20"/>
            <w:szCs w:val="20"/>
          </w:rPr>
        </w:r>
        <w:r w:rsidRPr="00AC1BE0">
          <w:rPr>
            <w:noProof/>
            <w:webHidden/>
            <w:sz w:val="20"/>
            <w:szCs w:val="20"/>
          </w:rPr>
          <w:fldChar w:fldCharType="separate"/>
        </w:r>
        <w:r w:rsidR="005314A4">
          <w:rPr>
            <w:noProof/>
            <w:webHidden/>
            <w:sz w:val="20"/>
            <w:szCs w:val="20"/>
          </w:rPr>
          <w:t>16</w:t>
        </w:r>
        <w:r w:rsidRPr="00AC1BE0">
          <w:rPr>
            <w:noProof/>
            <w:webHidden/>
            <w:sz w:val="20"/>
            <w:szCs w:val="20"/>
          </w:rPr>
          <w:fldChar w:fldCharType="end"/>
        </w:r>
      </w:hyperlink>
    </w:p>
    <w:p w:rsidR="00AC1BE0" w:rsidRPr="00AC1BE0" w:rsidRDefault="006B40AE" w:rsidP="00E94154">
      <w:pPr>
        <w:pStyle w:val="TableofFigures"/>
        <w:tabs>
          <w:tab w:val="right" w:leader="dot" w:pos="10080"/>
        </w:tabs>
        <w:ind w:left="-270" w:right="-720"/>
        <w:rPr>
          <w:rFonts w:asciiTheme="minorHAnsi" w:eastAsiaTheme="minorEastAsia" w:hAnsiTheme="minorHAnsi" w:cstheme="minorBidi"/>
          <w:noProof/>
          <w:sz w:val="20"/>
          <w:szCs w:val="20"/>
        </w:rPr>
      </w:pPr>
      <w:hyperlink w:anchor="_Toc264226768" w:history="1">
        <w:r w:rsidR="00AC1BE0" w:rsidRPr="00AC1BE0">
          <w:rPr>
            <w:rStyle w:val="Hyperlink"/>
            <w:noProof/>
            <w:sz w:val="20"/>
            <w:szCs w:val="20"/>
          </w:rPr>
          <w:t>Figure 11. Over and Underachievers in the LPI in 2007 and 2010: Belarus and Selected Countries</w:t>
        </w:r>
        <w:r w:rsidR="00AC1BE0" w:rsidRPr="00AC1BE0">
          <w:rPr>
            <w:noProof/>
            <w:webHidden/>
            <w:sz w:val="20"/>
            <w:szCs w:val="20"/>
          </w:rPr>
          <w:tab/>
        </w:r>
        <w:r w:rsidRPr="00AC1BE0">
          <w:rPr>
            <w:noProof/>
            <w:webHidden/>
            <w:sz w:val="20"/>
            <w:szCs w:val="20"/>
          </w:rPr>
          <w:fldChar w:fldCharType="begin"/>
        </w:r>
        <w:r w:rsidR="00AC1BE0" w:rsidRPr="00AC1BE0">
          <w:rPr>
            <w:noProof/>
            <w:webHidden/>
            <w:sz w:val="20"/>
            <w:szCs w:val="20"/>
          </w:rPr>
          <w:instrText xml:space="preserve"> PAGEREF _Toc264226768 \h </w:instrText>
        </w:r>
        <w:r w:rsidRPr="00AC1BE0">
          <w:rPr>
            <w:noProof/>
            <w:webHidden/>
            <w:sz w:val="20"/>
            <w:szCs w:val="20"/>
          </w:rPr>
        </w:r>
        <w:r w:rsidRPr="00AC1BE0">
          <w:rPr>
            <w:noProof/>
            <w:webHidden/>
            <w:sz w:val="20"/>
            <w:szCs w:val="20"/>
          </w:rPr>
          <w:fldChar w:fldCharType="separate"/>
        </w:r>
        <w:r w:rsidR="005314A4">
          <w:rPr>
            <w:noProof/>
            <w:webHidden/>
            <w:sz w:val="20"/>
            <w:szCs w:val="20"/>
          </w:rPr>
          <w:t>17</w:t>
        </w:r>
        <w:r w:rsidRPr="00AC1BE0">
          <w:rPr>
            <w:noProof/>
            <w:webHidden/>
            <w:sz w:val="20"/>
            <w:szCs w:val="20"/>
          </w:rPr>
          <w:fldChar w:fldCharType="end"/>
        </w:r>
      </w:hyperlink>
    </w:p>
    <w:p w:rsidR="00AC1BE0" w:rsidRPr="00AC1BE0" w:rsidRDefault="006B40AE" w:rsidP="00E94154">
      <w:pPr>
        <w:pStyle w:val="TableofFigures"/>
        <w:tabs>
          <w:tab w:val="right" w:leader="dot" w:pos="10080"/>
        </w:tabs>
        <w:ind w:left="-270" w:right="-720"/>
        <w:rPr>
          <w:rFonts w:asciiTheme="minorHAnsi" w:eastAsiaTheme="minorEastAsia" w:hAnsiTheme="minorHAnsi" w:cstheme="minorBidi"/>
          <w:noProof/>
          <w:sz w:val="20"/>
          <w:szCs w:val="20"/>
        </w:rPr>
      </w:pPr>
      <w:hyperlink w:anchor="_Toc264226769" w:history="1">
        <w:r w:rsidR="00AC1BE0" w:rsidRPr="00AC1BE0">
          <w:rPr>
            <w:rStyle w:val="Hyperlink"/>
            <w:noProof/>
            <w:sz w:val="20"/>
            <w:szCs w:val="20"/>
          </w:rPr>
          <w:t>Figure 12. Transport Sector: Modal Split in Belarus 2008</w:t>
        </w:r>
        <w:r w:rsidR="00AC1BE0" w:rsidRPr="00AC1BE0">
          <w:rPr>
            <w:noProof/>
            <w:webHidden/>
            <w:sz w:val="20"/>
            <w:szCs w:val="20"/>
          </w:rPr>
          <w:tab/>
        </w:r>
        <w:r w:rsidRPr="00AC1BE0">
          <w:rPr>
            <w:noProof/>
            <w:webHidden/>
            <w:sz w:val="20"/>
            <w:szCs w:val="20"/>
          </w:rPr>
          <w:fldChar w:fldCharType="begin"/>
        </w:r>
        <w:r w:rsidR="00AC1BE0" w:rsidRPr="00AC1BE0">
          <w:rPr>
            <w:noProof/>
            <w:webHidden/>
            <w:sz w:val="20"/>
            <w:szCs w:val="20"/>
          </w:rPr>
          <w:instrText xml:space="preserve"> PAGEREF _Toc264226769 \h </w:instrText>
        </w:r>
        <w:r w:rsidRPr="00AC1BE0">
          <w:rPr>
            <w:noProof/>
            <w:webHidden/>
            <w:sz w:val="20"/>
            <w:szCs w:val="20"/>
          </w:rPr>
        </w:r>
        <w:r w:rsidRPr="00AC1BE0">
          <w:rPr>
            <w:noProof/>
            <w:webHidden/>
            <w:sz w:val="20"/>
            <w:szCs w:val="20"/>
          </w:rPr>
          <w:fldChar w:fldCharType="separate"/>
        </w:r>
        <w:r w:rsidR="005314A4">
          <w:rPr>
            <w:noProof/>
            <w:webHidden/>
            <w:sz w:val="20"/>
            <w:szCs w:val="20"/>
          </w:rPr>
          <w:t>18</w:t>
        </w:r>
        <w:r w:rsidRPr="00AC1BE0">
          <w:rPr>
            <w:noProof/>
            <w:webHidden/>
            <w:sz w:val="20"/>
            <w:szCs w:val="20"/>
          </w:rPr>
          <w:fldChar w:fldCharType="end"/>
        </w:r>
      </w:hyperlink>
    </w:p>
    <w:p w:rsidR="00AC1BE0" w:rsidRPr="00AC1BE0" w:rsidRDefault="006B40AE" w:rsidP="00E94154">
      <w:pPr>
        <w:pStyle w:val="TableofFigures"/>
        <w:tabs>
          <w:tab w:val="right" w:leader="dot" w:pos="10080"/>
        </w:tabs>
        <w:ind w:left="-270" w:right="-720"/>
        <w:rPr>
          <w:rFonts w:asciiTheme="minorHAnsi" w:eastAsiaTheme="minorEastAsia" w:hAnsiTheme="minorHAnsi" w:cstheme="minorBidi"/>
          <w:noProof/>
          <w:sz w:val="20"/>
          <w:szCs w:val="20"/>
        </w:rPr>
      </w:pPr>
      <w:hyperlink w:anchor="_Toc264226770" w:history="1">
        <w:r w:rsidR="00AC1BE0" w:rsidRPr="00AC1BE0">
          <w:rPr>
            <w:rStyle w:val="Hyperlink"/>
            <w:noProof/>
            <w:sz w:val="20"/>
            <w:szCs w:val="20"/>
          </w:rPr>
          <w:t xml:space="preserve">Figure 13. Belarusian Railways: Structure of Freight Traffic 2000-2008 (million ton-km) </w:t>
        </w:r>
        <w:r w:rsidR="00AC1BE0" w:rsidRPr="00AC1BE0">
          <w:rPr>
            <w:noProof/>
            <w:webHidden/>
            <w:sz w:val="20"/>
            <w:szCs w:val="20"/>
          </w:rPr>
          <w:tab/>
        </w:r>
        <w:r w:rsidRPr="00AC1BE0">
          <w:rPr>
            <w:noProof/>
            <w:webHidden/>
            <w:sz w:val="20"/>
            <w:szCs w:val="20"/>
          </w:rPr>
          <w:fldChar w:fldCharType="begin"/>
        </w:r>
        <w:r w:rsidR="00AC1BE0" w:rsidRPr="00AC1BE0">
          <w:rPr>
            <w:noProof/>
            <w:webHidden/>
            <w:sz w:val="20"/>
            <w:szCs w:val="20"/>
          </w:rPr>
          <w:instrText xml:space="preserve"> PAGEREF _Toc264226770 \h </w:instrText>
        </w:r>
        <w:r w:rsidRPr="00AC1BE0">
          <w:rPr>
            <w:noProof/>
            <w:webHidden/>
            <w:sz w:val="20"/>
            <w:szCs w:val="20"/>
          </w:rPr>
        </w:r>
        <w:r w:rsidRPr="00AC1BE0">
          <w:rPr>
            <w:noProof/>
            <w:webHidden/>
            <w:sz w:val="20"/>
            <w:szCs w:val="20"/>
          </w:rPr>
          <w:fldChar w:fldCharType="separate"/>
        </w:r>
        <w:r w:rsidR="005314A4">
          <w:rPr>
            <w:noProof/>
            <w:webHidden/>
            <w:sz w:val="20"/>
            <w:szCs w:val="20"/>
          </w:rPr>
          <w:t>19</w:t>
        </w:r>
        <w:r w:rsidRPr="00AC1BE0">
          <w:rPr>
            <w:noProof/>
            <w:webHidden/>
            <w:sz w:val="20"/>
            <w:szCs w:val="20"/>
          </w:rPr>
          <w:fldChar w:fldCharType="end"/>
        </w:r>
      </w:hyperlink>
    </w:p>
    <w:p w:rsidR="00AC1BE0" w:rsidRPr="00AC1BE0" w:rsidRDefault="006B40AE" w:rsidP="00E94154">
      <w:pPr>
        <w:pStyle w:val="TableofFigures"/>
        <w:tabs>
          <w:tab w:val="right" w:leader="dot" w:pos="10080"/>
        </w:tabs>
        <w:ind w:left="-270" w:right="-720"/>
        <w:rPr>
          <w:rFonts w:asciiTheme="minorHAnsi" w:eastAsiaTheme="minorEastAsia" w:hAnsiTheme="minorHAnsi" w:cstheme="minorBidi"/>
          <w:noProof/>
          <w:sz w:val="20"/>
          <w:szCs w:val="20"/>
        </w:rPr>
      </w:pPr>
      <w:hyperlink w:anchor="_Toc264226771" w:history="1">
        <w:r w:rsidR="00AC1BE0" w:rsidRPr="00AC1BE0">
          <w:rPr>
            <w:rStyle w:val="Hyperlink"/>
            <w:noProof/>
            <w:sz w:val="20"/>
            <w:szCs w:val="20"/>
          </w:rPr>
          <w:t>Figure 14. Evolution of Transport by Rail and Road 2000-2008 (volumes and market share)</w:t>
        </w:r>
        <w:r w:rsidR="00AC1BE0" w:rsidRPr="00AC1BE0">
          <w:rPr>
            <w:noProof/>
            <w:webHidden/>
            <w:sz w:val="20"/>
            <w:szCs w:val="20"/>
          </w:rPr>
          <w:tab/>
        </w:r>
        <w:r w:rsidRPr="00AC1BE0">
          <w:rPr>
            <w:noProof/>
            <w:webHidden/>
            <w:sz w:val="20"/>
            <w:szCs w:val="20"/>
          </w:rPr>
          <w:fldChar w:fldCharType="begin"/>
        </w:r>
        <w:r w:rsidR="00AC1BE0" w:rsidRPr="00AC1BE0">
          <w:rPr>
            <w:noProof/>
            <w:webHidden/>
            <w:sz w:val="20"/>
            <w:szCs w:val="20"/>
          </w:rPr>
          <w:instrText xml:space="preserve"> PAGEREF _Toc264226771 \h </w:instrText>
        </w:r>
        <w:r w:rsidRPr="00AC1BE0">
          <w:rPr>
            <w:noProof/>
            <w:webHidden/>
            <w:sz w:val="20"/>
            <w:szCs w:val="20"/>
          </w:rPr>
        </w:r>
        <w:r w:rsidRPr="00AC1BE0">
          <w:rPr>
            <w:noProof/>
            <w:webHidden/>
            <w:sz w:val="20"/>
            <w:szCs w:val="20"/>
          </w:rPr>
          <w:fldChar w:fldCharType="separate"/>
        </w:r>
        <w:r w:rsidR="005314A4">
          <w:rPr>
            <w:noProof/>
            <w:webHidden/>
            <w:sz w:val="20"/>
            <w:szCs w:val="20"/>
          </w:rPr>
          <w:t>19</w:t>
        </w:r>
        <w:r w:rsidRPr="00AC1BE0">
          <w:rPr>
            <w:noProof/>
            <w:webHidden/>
            <w:sz w:val="20"/>
            <w:szCs w:val="20"/>
          </w:rPr>
          <w:fldChar w:fldCharType="end"/>
        </w:r>
      </w:hyperlink>
    </w:p>
    <w:p w:rsidR="00AC1BE0" w:rsidRPr="00AC1BE0" w:rsidRDefault="006B40AE" w:rsidP="00E94154">
      <w:pPr>
        <w:pStyle w:val="TableofFigures"/>
        <w:tabs>
          <w:tab w:val="right" w:leader="dot" w:pos="10080"/>
        </w:tabs>
        <w:ind w:left="-270" w:right="-720"/>
        <w:rPr>
          <w:rFonts w:asciiTheme="minorHAnsi" w:eastAsiaTheme="minorEastAsia" w:hAnsiTheme="minorHAnsi" w:cstheme="minorBidi"/>
          <w:noProof/>
          <w:sz w:val="20"/>
          <w:szCs w:val="20"/>
        </w:rPr>
      </w:pPr>
      <w:hyperlink w:anchor="_Toc264226772" w:history="1">
        <w:r w:rsidR="00AC1BE0" w:rsidRPr="00AC1BE0">
          <w:rPr>
            <w:rStyle w:val="Hyperlink"/>
            <w:noProof/>
            <w:sz w:val="20"/>
            <w:szCs w:val="20"/>
          </w:rPr>
          <w:t xml:space="preserve">Figure 15. Belarusian Railways: Evolution of Passenger Transport Services 2000-2008 (million passenger-km) </w:t>
        </w:r>
        <w:r w:rsidR="00AC1BE0" w:rsidRPr="00AC1BE0">
          <w:rPr>
            <w:noProof/>
            <w:webHidden/>
            <w:sz w:val="20"/>
            <w:szCs w:val="20"/>
          </w:rPr>
          <w:tab/>
        </w:r>
        <w:r w:rsidRPr="00AC1BE0">
          <w:rPr>
            <w:noProof/>
            <w:webHidden/>
            <w:sz w:val="20"/>
            <w:szCs w:val="20"/>
          </w:rPr>
          <w:fldChar w:fldCharType="begin"/>
        </w:r>
        <w:r w:rsidR="00AC1BE0" w:rsidRPr="00AC1BE0">
          <w:rPr>
            <w:noProof/>
            <w:webHidden/>
            <w:sz w:val="20"/>
            <w:szCs w:val="20"/>
          </w:rPr>
          <w:instrText xml:space="preserve"> PAGEREF _Toc264226772 \h </w:instrText>
        </w:r>
        <w:r w:rsidRPr="00AC1BE0">
          <w:rPr>
            <w:noProof/>
            <w:webHidden/>
            <w:sz w:val="20"/>
            <w:szCs w:val="20"/>
          </w:rPr>
        </w:r>
        <w:r w:rsidRPr="00AC1BE0">
          <w:rPr>
            <w:noProof/>
            <w:webHidden/>
            <w:sz w:val="20"/>
            <w:szCs w:val="20"/>
          </w:rPr>
          <w:fldChar w:fldCharType="separate"/>
        </w:r>
        <w:r w:rsidR="005314A4">
          <w:rPr>
            <w:noProof/>
            <w:webHidden/>
            <w:sz w:val="20"/>
            <w:szCs w:val="20"/>
          </w:rPr>
          <w:t>20</w:t>
        </w:r>
        <w:r w:rsidRPr="00AC1BE0">
          <w:rPr>
            <w:noProof/>
            <w:webHidden/>
            <w:sz w:val="20"/>
            <w:szCs w:val="20"/>
          </w:rPr>
          <w:fldChar w:fldCharType="end"/>
        </w:r>
      </w:hyperlink>
    </w:p>
    <w:p w:rsidR="00AC1BE0" w:rsidRPr="00AC1BE0" w:rsidRDefault="006B40AE" w:rsidP="00E94154">
      <w:pPr>
        <w:pStyle w:val="TableofFigures"/>
        <w:tabs>
          <w:tab w:val="right" w:leader="dot" w:pos="10080"/>
        </w:tabs>
        <w:ind w:left="-270" w:right="-720"/>
        <w:rPr>
          <w:rFonts w:asciiTheme="minorHAnsi" w:eastAsiaTheme="minorEastAsia" w:hAnsiTheme="minorHAnsi" w:cstheme="minorBidi"/>
          <w:noProof/>
          <w:sz w:val="20"/>
          <w:szCs w:val="20"/>
        </w:rPr>
      </w:pPr>
      <w:hyperlink w:anchor="_Toc264226773" w:history="1">
        <w:r w:rsidR="00AC1BE0" w:rsidRPr="00AC1BE0">
          <w:rPr>
            <w:rStyle w:val="Hyperlink"/>
            <w:noProof/>
            <w:sz w:val="20"/>
            <w:szCs w:val="20"/>
          </w:rPr>
          <w:t>Figure 16. Evolution of volumes of railways passenger traffic (2000-2009)</w:t>
        </w:r>
        <w:r w:rsidR="00AC1BE0" w:rsidRPr="00AC1BE0">
          <w:rPr>
            <w:noProof/>
            <w:webHidden/>
            <w:sz w:val="20"/>
            <w:szCs w:val="20"/>
          </w:rPr>
          <w:tab/>
        </w:r>
        <w:r w:rsidRPr="00AC1BE0">
          <w:rPr>
            <w:noProof/>
            <w:webHidden/>
            <w:sz w:val="20"/>
            <w:szCs w:val="20"/>
          </w:rPr>
          <w:fldChar w:fldCharType="begin"/>
        </w:r>
        <w:r w:rsidR="00AC1BE0" w:rsidRPr="00AC1BE0">
          <w:rPr>
            <w:noProof/>
            <w:webHidden/>
            <w:sz w:val="20"/>
            <w:szCs w:val="20"/>
          </w:rPr>
          <w:instrText xml:space="preserve"> PAGEREF _Toc264226773 \h </w:instrText>
        </w:r>
        <w:r w:rsidRPr="00AC1BE0">
          <w:rPr>
            <w:noProof/>
            <w:webHidden/>
            <w:sz w:val="20"/>
            <w:szCs w:val="20"/>
          </w:rPr>
        </w:r>
        <w:r w:rsidRPr="00AC1BE0">
          <w:rPr>
            <w:noProof/>
            <w:webHidden/>
            <w:sz w:val="20"/>
            <w:szCs w:val="20"/>
          </w:rPr>
          <w:fldChar w:fldCharType="separate"/>
        </w:r>
        <w:r w:rsidR="005314A4">
          <w:rPr>
            <w:noProof/>
            <w:webHidden/>
            <w:sz w:val="20"/>
            <w:szCs w:val="20"/>
          </w:rPr>
          <w:t>20</w:t>
        </w:r>
        <w:r w:rsidRPr="00AC1BE0">
          <w:rPr>
            <w:noProof/>
            <w:webHidden/>
            <w:sz w:val="20"/>
            <w:szCs w:val="20"/>
          </w:rPr>
          <w:fldChar w:fldCharType="end"/>
        </w:r>
      </w:hyperlink>
    </w:p>
    <w:p w:rsidR="00AC1BE0" w:rsidRPr="00AC1BE0" w:rsidRDefault="006B40AE" w:rsidP="00E94154">
      <w:pPr>
        <w:pStyle w:val="TableofFigures"/>
        <w:tabs>
          <w:tab w:val="right" w:leader="dot" w:pos="10080"/>
        </w:tabs>
        <w:ind w:left="-270" w:right="-720"/>
        <w:rPr>
          <w:rFonts w:asciiTheme="minorHAnsi" w:eastAsiaTheme="minorEastAsia" w:hAnsiTheme="minorHAnsi" w:cstheme="minorBidi"/>
          <w:noProof/>
          <w:sz w:val="20"/>
          <w:szCs w:val="20"/>
        </w:rPr>
      </w:pPr>
      <w:hyperlink w:anchor="_Toc264226774" w:history="1">
        <w:r w:rsidR="00AC1BE0" w:rsidRPr="00AC1BE0">
          <w:rPr>
            <w:rStyle w:val="Hyperlink"/>
            <w:noProof/>
            <w:sz w:val="20"/>
            <w:szCs w:val="20"/>
          </w:rPr>
          <w:t>Figure 17. Evolution of volumes of railways freight traffic (2000-2009)</w:t>
        </w:r>
        <w:r w:rsidR="00AC1BE0" w:rsidRPr="00AC1BE0">
          <w:rPr>
            <w:noProof/>
            <w:webHidden/>
            <w:sz w:val="20"/>
            <w:szCs w:val="20"/>
          </w:rPr>
          <w:tab/>
        </w:r>
        <w:r w:rsidRPr="00AC1BE0">
          <w:rPr>
            <w:noProof/>
            <w:webHidden/>
            <w:sz w:val="20"/>
            <w:szCs w:val="20"/>
          </w:rPr>
          <w:fldChar w:fldCharType="begin"/>
        </w:r>
        <w:r w:rsidR="00AC1BE0" w:rsidRPr="00AC1BE0">
          <w:rPr>
            <w:noProof/>
            <w:webHidden/>
            <w:sz w:val="20"/>
            <w:szCs w:val="20"/>
          </w:rPr>
          <w:instrText xml:space="preserve"> PAGEREF _Toc264226774 \h </w:instrText>
        </w:r>
        <w:r w:rsidRPr="00AC1BE0">
          <w:rPr>
            <w:noProof/>
            <w:webHidden/>
            <w:sz w:val="20"/>
            <w:szCs w:val="20"/>
          </w:rPr>
        </w:r>
        <w:r w:rsidRPr="00AC1BE0">
          <w:rPr>
            <w:noProof/>
            <w:webHidden/>
            <w:sz w:val="20"/>
            <w:szCs w:val="20"/>
          </w:rPr>
          <w:fldChar w:fldCharType="separate"/>
        </w:r>
        <w:r w:rsidR="005314A4">
          <w:rPr>
            <w:noProof/>
            <w:webHidden/>
            <w:sz w:val="20"/>
            <w:szCs w:val="20"/>
          </w:rPr>
          <w:t>20</w:t>
        </w:r>
        <w:r w:rsidRPr="00AC1BE0">
          <w:rPr>
            <w:noProof/>
            <w:webHidden/>
            <w:sz w:val="20"/>
            <w:szCs w:val="20"/>
          </w:rPr>
          <w:fldChar w:fldCharType="end"/>
        </w:r>
      </w:hyperlink>
    </w:p>
    <w:p w:rsidR="00AC1BE0" w:rsidRPr="00AC1BE0" w:rsidRDefault="006B40AE" w:rsidP="00E94154">
      <w:pPr>
        <w:pStyle w:val="TableofFigures"/>
        <w:tabs>
          <w:tab w:val="right" w:leader="dot" w:pos="10080"/>
        </w:tabs>
        <w:ind w:left="-270" w:right="-720"/>
        <w:rPr>
          <w:rFonts w:asciiTheme="minorHAnsi" w:eastAsiaTheme="minorEastAsia" w:hAnsiTheme="minorHAnsi" w:cstheme="minorBidi"/>
          <w:noProof/>
          <w:sz w:val="20"/>
          <w:szCs w:val="20"/>
        </w:rPr>
      </w:pPr>
      <w:hyperlink w:anchor="_Toc264226775" w:history="1">
        <w:r w:rsidR="00AC1BE0" w:rsidRPr="00AC1BE0">
          <w:rPr>
            <w:rStyle w:val="Hyperlink"/>
            <w:noProof/>
            <w:sz w:val="20"/>
            <w:szCs w:val="20"/>
          </w:rPr>
          <w:t>Figure 18. Five Main Roads and Three Axes in Belarus 2009</w:t>
        </w:r>
        <w:r w:rsidR="00AC1BE0" w:rsidRPr="00AC1BE0">
          <w:rPr>
            <w:noProof/>
            <w:webHidden/>
            <w:sz w:val="20"/>
            <w:szCs w:val="20"/>
          </w:rPr>
          <w:tab/>
        </w:r>
        <w:r w:rsidRPr="00AC1BE0">
          <w:rPr>
            <w:noProof/>
            <w:webHidden/>
            <w:sz w:val="20"/>
            <w:szCs w:val="20"/>
          </w:rPr>
          <w:fldChar w:fldCharType="begin"/>
        </w:r>
        <w:r w:rsidR="00AC1BE0" w:rsidRPr="00AC1BE0">
          <w:rPr>
            <w:noProof/>
            <w:webHidden/>
            <w:sz w:val="20"/>
            <w:szCs w:val="20"/>
          </w:rPr>
          <w:instrText xml:space="preserve"> PAGEREF _Toc264226775 \h </w:instrText>
        </w:r>
        <w:r w:rsidRPr="00AC1BE0">
          <w:rPr>
            <w:noProof/>
            <w:webHidden/>
            <w:sz w:val="20"/>
            <w:szCs w:val="20"/>
          </w:rPr>
        </w:r>
        <w:r w:rsidRPr="00AC1BE0">
          <w:rPr>
            <w:noProof/>
            <w:webHidden/>
            <w:sz w:val="20"/>
            <w:szCs w:val="20"/>
          </w:rPr>
          <w:fldChar w:fldCharType="separate"/>
        </w:r>
        <w:r w:rsidR="005314A4">
          <w:rPr>
            <w:noProof/>
            <w:webHidden/>
            <w:sz w:val="20"/>
            <w:szCs w:val="20"/>
          </w:rPr>
          <w:t>25</w:t>
        </w:r>
        <w:r w:rsidRPr="00AC1BE0">
          <w:rPr>
            <w:noProof/>
            <w:webHidden/>
            <w:sz w:val="20"/>
            <w:szCs w:val="20"/>
          </w:rPr>
          <w:fldChar w:fldCharType="end"/>
        </w:r>
      </w:hyperlink>
    </w:p>
    <w:p w:rsidR="00AC1BE0" w:rsidRPr="00AC1BE0" w:rsidRDefault="006B40AE" w:rsidP="00E94154">
      <w:pPr>
        <w:pStyle w:val="TableofFigures"/>
        <w:tabs>
          <w:tab w:val="right" w:leader="dot" w:pos="10080"/>
        </w:tabs>
        <w:ind w:left="-270" w:right="-720"/>
        <w:rPr>
          <w:rFonts w:asciiTheme="minorHAnsi" w:eastAsiaTheme="minorEastAsia" w:hAnsiTheme="minorHAnsi" w:cstheme="minorBidi"/>
          <w:noProof/>
          <w:sz w:val="20"/>
          <w:szCs w:val="20"/>
        </w:rPr>
      </w:pPr>
      <w:hyperlink w:anchor="_Toc264226776" w:history="1">
        <w:r w:rsidR="00AC1BE0" w:rsidRPr="00AC1BE0">
          <w:rPr>
            <w:rStyle w:val="Hyperlink"/>
            <w:noProof/>
            <w:sz w:val="20"/>
            <w:szCs w:val="20"/>
          </w:rPr>
          <w:t>Figure 19. Motorway Network Density of Belarus and EU-15 Countries 2009 (km per one million people)</w:t>
        </w:r>
        <w:r w:rsidR="00AC1BE0" w:rsidRPr="00AC1BE0">
          <w:rPr>
            <w:noProof/>
            <w:webHidden/>
            <w:sz w:val="20"/>
            <w:szCs w:val="20"/>
          </w:rPr>
          <w:tab/>
        </w:r>
        <w:r w:rsidRPr="00AC1BE0">
          <w:rPr>
            <w:noProof/>
            <w:webHidden/>
            <w:sz w:val="20"/>
            <w:szCs w:val="20"/>
          </w:rPr>
          <w:fldChar w:fldCharType="begin"/>
        </w:r>
        <w:r w:rsidR="00AC1BE0" w:rsidRPr="00AC1BE0">
          <w:rPr>
            <w:noProof/>
            <w:webHidden/>
            <w:sz w:val="20"/>
            <w:szCs w:val="20"/>
          </w:rPr>
          <w:instrText xml:space="preserve"> PAGEREF _Toc264226776 \h </w:instrText>
        </w:r>
        <w:r w:rsidRPr="00AC1BE0">
          <w:rPr>
            <w:noProof/>
            <w:webHidden/>
            <w:sz w:val="20"/>
            <w:szCs w:val="20"/>
          </w:rPr>
        </w:r>
        <w:r w:rsidRPr="00AC1BE0">
          <w:rPr>
            <w:noProof/>
            <w:webHidden/>
            <w:sz w:val="20"/>
            <w:szCs w:val="20"/>
          </w:rPr>
          <w:fldChar w:fldCharType="separate"/>
        </w:r>
        <w:r w:rsidR="005314A4">
          <w:rPr>
            <w:noProof/>
            <w:webHidden/>
            <w:sz w:val="20"/>
            <w:szCs w:val="20"/>
          </w:rPr>
          <w:t>30</w:t>
        </w:r>
        <w:r w:rsidRPr="00AC1BE0">
          <w:rPr>
            <w:noProof/>
            <w:webHidden/>
            <w:sz w:val="20"/>
            <w:szCs w:val="20"/>
          </w:rPr>
          <w:fldChar w:fldCharType="end"/>
        </w:r>
      </w:hyperlink>
    </w:p>
    <w:p w:rsidR="00AC1BE0" w:rsidRPr="00AC1BE0" w:rsidRDefault="006B40AE" w:rsidP="00E94154">
      <w:pPr>
        <w:pStyle w:val="TableofFigures"/>
        <w:tabs>
          <w:tab w:val="right" w:leader="dot" w:pos="10080"/>
        </w:tabs>
        <w:ind w:left="-270" w:right="-720"/>
        <w:rPr>
          <w:rFonts w:asciiTheme="minorHAnsi" w:eastAsiaTheme="minorEastAsia" w:hAnsiTheme="minorHAnsi" w:cstheme="minorBidi"/>
          <w:noProof/>
          <w:sz w:val="20"/>
          <w:szCs w:val="20"/>
        </w:rPr>
      </w:pPr>
      <w:hyperlink w:anchor="_Toc264226777" w:history="1">
        <w:r w:rsidR="00AC1BE0" w:rsidRPr="00AC1BE0">
          <w:rPr>
            <w:rStyle w:val="Hyperlink"/>
            <w:noProof/>
            <w:sz w:val="20"/>
            <w:szCs w:val="20"/>
          </w:rPr>
          <w:t>Figure 20. Condition of the Road Network in Belarus 2008 (based on IRI)</w:t>
        </w:r>
        <w:r w:rsidR="00AC1BE0" w:rsidRPr="00AC1BE0">
          <w:rPr>
            <w:noProof/>
            <w:webHidden/>
            <w:sz w:val="20"/>
            <w:szCs w:val="20"/>
          </w:rPr>
          <w:tab/>
        </w:r>
        <w:r w:rsidRPr="00AC1BE0">
          <w:rPr>
            <w:noProof/>
            <w:webHidden/>
            <w:sz w:val="20"/>
            <w:szCs w:val="20"/>
          </w:rPr>
          <w:fldChar w:fldCharType="begin"/>
        </w:r>
        <w:r w:rsidR="00AC1BE0" w:rsidRPr="00AC1BE0">
          <w:rPr>
            <w:noProof/>
            <w:webHidden/>
            <w:sz w:val="20"/>
            <w:szCs w:val="20"/>
          </w:rPr>
          <w:instrText xml:space="preserve"> PAGEREF _Toc264226777 \h </w:instrText>
        </w:r>
        <w:r w:rsidRPr="00AC1BE0">
          <w:rPr>
            <w:noProof/>
            <w:webHidden/>
            <w:sz w:val="20"/>
            <w:szCs w:val="20"/>
          </w:rPr>
        </w:r>
        <w:r w:rsidRPr="00AC1BE0">
          <w:rPr>
            <w:noProof/>
            <w:webHidden/>
            <w:sz w:val="20"/>
            <w:szCs w:val="20"/>
          </w:rPr>
          <w:fldChar w:fldCharType="separate"/>
        </w:r>
        <w:r w:rsidR="005314A4">
          <w:rPr>
            <w:noProof/>
            <w:webHidden/>
            <w:sz w:val="20"/>
            <w:szCs w:val="20"/>
          </w:rPr>
          <w:t>30</w:t>
        </w:r>
        <w:r w:rsidRPr="00AC1BE0">
          <w:rPr>
            <w:noProof/>
            <w:webHidden/>
            <w:sz w:val="20"/>
            <w:szCs w:val="20"/>
          </w:rPr>
          <w:fldChar w:fldCharType="end"/>
        </w:r>
      </w:hyperlink>
    </w:p>
    <w:p w:rsidR="00AC1BE0" w:rsidRPr="00AC1BE0" w:rsidRDefault="006B40AE" w:rsidP="00E94154">
      <w:pPr>
        <w:pStyle w:val="TableofFigures"/>
        <w:tabs>
          <w:tab w:val="right" w:leader="dot" w:pos="10080"/>
        </w:tabs>
        <w:ind w:left="-270" w:right="-720"/>
        <w:rPr>
          <w:rFonts w:asciiTheme="minorHAnsi" w:eastAsiaTheme="minorEastAsia" w:hAnsiTheme="minorHAnsi" w:cstheme="minorBidi"/>
          <w:noProof/>
          <w:sz w:val="20"/>
          <w:szCs w:val="20"/>
        </w:rPr>
      </w:pPr>
      <w:hyperlink w:anchor="_Toc264226778" w:history="1">
        <w:r w:rsidR="00AC1BE0" w:rsidRPr="00AC1BE0">
          <w:rPr>
            <w:rStyle w:val="Hyperlink"/>
            <w:noProof/>
            <w:sz w:val="20"/>
            <w:szCs w:val="20"/>
          </w:rPr>
          <w:t xml:space="preserve">Figure 21. Load Carrying Capacity (axle load) on Republican and Local Roads (kms) in Belarus (2010) </w:t>
        </w:r>
        <w:r w:rsidR="00AC1BE0" w:rsidRPr="00AC1BE0">
          <w:rPr>
            <w:noProof/>
            <w:webHidden/>
            <w:sz w:val="20"/>
            <w:szCs w:val="20"/>
          </w:rPr>
          <w:tab/>
        </w:r>
        <w:r w:rsidRPr="00AC1BE0">
          <w:rPr>
            <w:noProof/>
            <w:webHidden/>
            <w:sz w:val="20"/>
            <w:szCs w:val="20"/>
          </w:rPr>
          <w:fldChar w:fldCharType="begin"/>
        </w:r>
        <w:r w:rsidR="00AC1BE0" w:rsidRPr="00AC1BE0">
          <w:rPr>
            <w:noProof/>
            <w:webHidden/>
            <w:sz w:val="20"/>
            <w:szCs w:val="20"/>
          </w:rPr>
          <w:instrText xml:space="preserve"> PAGEREF _Toc264226778 \h </w:instrText>
        </w:r>
        <w:r w:rsidRPr="00AC1BE0">
          <w:rPr>
            <w:noProof/>
            <w:webHidden/>
            <w:sz w:val="20"/>
            <w:szCs w:val="20"/>
          </w:rPr>
        </w:r>
        <w:r w:rsidRPr="00AC1BE0">
          <w:rPr>
            <w:noProof/>
            <w:webHidden/>
            <w:sz w:val="20"/>
            <w:szCs w:val="20"/>
          </w:rPr>
          <w:fldChar w:fldCharType="separate"/>
        </w:r>
        <w:r w:rsidR="005314A4">
          <w:rPr>
            <w:noProof/>
            <w:webHidden/>
            <w:sz w:val="20"/>
            <w:szCs w:val="20"/>
          </w:rPr>
          <w:t>31</w:t>
        </w:r>
        <w:r w:rsidRPr="00AC1BE0">
          <w:rPr>
            <w:noProof/>
            <w:webHidden/>
            <w:sz w:val="20"/>
            <w:szCs w:val="20"/>
          </w:rPr>
          <w:fldChar w:fldCharType="end"/>
        </w:r>
      </w:hyperlink>
    </w:p>
    <w:p w:rsidR="00AC1BE0" w:rsidRPr="00AC1BE0" w:rsidRDefault="006B40AE" w:rsidP="00E94154">
      <w:pPr>
        <w:pStyle w:val="TableofFigures"/>
        <w:tabs>
          <w:tab w:val="right" w:leader="dot" w:pos="10080"/>
        </w:tabs>
        <w:ind w:left="-270" w:right="-720"/>
        <w:rPr>
          <w:rFonts w:asciiTheme="minorHAnsi" w:eastAsiaTheme="minorEastAsia" w:hAnsiTheme="minorHAnsi" w:cstheme="minorBidi"/>
          <w:noProof/>
          <w:sz w:val="20"/>
          <w:szCs w:val="20"/>
        </w:rPr>
      </w:pPr>
      <w:hyperlink w:anchor="_Toc264226779" w:history="1">
        <w:r w:rsidR="00AC1BE0" w:rsidRPr="00AC1BE0">
          <w:rPr>
            <w:rStyle w:val="Hyperlink"/>
            <w:noProof/>
            <w:sz w:val="20"/>
            <w:szCs w:val="20"/>
          </w:rPr>
          <w:t>Figure 22. Heavy Goods Vehicles Registered for International Freight Transportation in 2006-2009 (number of vehicles)</w:t>
        </w:r>
        <w:r w:rsidR="00AC1BE0" w:rsidRPr="00AC1BE0">
          <w:rPr>
            <w:noProof/>
            <w:webHidden/>
            <w:sz w:val="20"/>
            <w:szCs w:val="20"/>
          </w:rPr>
          <w:tab/>
        </w:r>
        <w:r w:rsidRPr="00AC1BE0">
          <w:rPr>
            <w:noProof/>
            <w:webHidden/>
            <w:sz w:val="20"/>
            <w:szCs w:val="20"/>
          </w:rPr>
          <w:fldChar w:fldCharType="begin"/>
        </w:r>
        <w:r w:rsidR="00AC1BE0" w:rsidRPr="00AC1BE0">
          <w:rPr>
            <w:noProof/>
            <w:webHidden/>
            <w:sz w:val="20"/>
            <w:szCs w:val="20"/>
          </w:rPr>
          <w:instrText xml:space="preserve"> PAGEREF _Toc264226779 \h </w:instrText>
        </w:r>
        <w:r w:rsidRPr="00AC1BE0">
          <w:rPr>
            <w:noProof/>
            <w:webHidden/>
            <w:sz w:val="20"/>
            <w:szCs w:val="20"/>
          </w:rPr>
        </w:r>
        <w:r w:rsidRPr="00AC1BE0">
          <w:rPr>
            <w:noProof/>
            <w:webHidden/>
            <w:sz w:val="20"/>
            <w:szCs w:val="20"/>
          </w:rPr>
          <w:fldChar w:fldCharType="separate"/>
        </w:r>
        <w:r w:rsidR="005314A4">
          <w:rPr>
            <w:noProof/>
            <w:webHidden/>
            <w:sz w:val="20"/>
            <w:szCs w:val="20"/>
          </w:rPr>
          <w:t>32</w:t>
        </w:r>
        <w:r w:rsidRPr="00AC1BE0">
          <w:rPr>
            <w:noProof/>
            <w:webHidden/>
            <w:sz w:val="20"/>
            <w:szCs w:val="20"/>
          </w:rPr>
          <w:fldChar w:fldCharType="end"/>
        </w:r>
      </w:hyperlink>
    </w:p>
    <w:p w:rsidR="00AC1BE0" w:rsidRPr="00AC1BE0" w:rsidRDefault="006B40AE" w:rsidP="00E94154">
      <w:pPr>
        <w:pStyle w:val="TableofFigures"/>
        <w:tabs>
          <w:tab w:val="right" w:leader="dot" w:pos="10080"/>
        </w:tabs>
        <w:ind w:left="-270" w:right="-720"/>
        <w:rPr>
          <w:rFonts w:asciiTheme="minorHAnsi" w:eastAsiaTheme="minorEastAsia" w:hAnsiTheme="minorHAnsi" w:cstheme="minorBidi"/>
          <w:noProof/>
          <w:sz w:val="20"/>
          <w:szCs w:val="20"/>
        </w:rPr>
      </w:pPr>
      <w:hyperlink w:anchor="_Toc264226780" w:history="1">
        <w:r w:rsidR="00AC1BE0" w:rsidRPr="00AC1BE0">
          <w:rPr>
            <w:rStyle w:val="Hyperlink"/>
            <w:noProof/>
            <w:sz w:val="20"/>
            <w:szCs w:val="20"/>
          </w:rPr>
          <w:t>Figure 23. Road Sector: Sources of Funds in 2005-2010 (in billion BYR)</w:t>
        </w:r>
        <w:r w:rsidR="00AC1BE0" w:rsidRPr="00AC1BE0">
          <w:rPr>
            <w:noProof/>
            <w:webHidden/>
            <w:sz w:val="20"/>
            <w:szCs w:val="20"/>
          </w:rPr>
          <w:tab/>
        </w:r>
        <w:r w:rsidRPr="00AC1BE0">
          <w:rPr>
            <w:noProof/>
            <w:webHidden/>
            <w:sz w:val="20"/>
            <w:szCs w:val="20"/>
          </w:rPr>
          <w:fldChar w:fldCharType="begin"/>
        </w:r>
        <w:r w:rsidR="00AC1BE0" w:rsidRPr="00AC1BE0">
          <w:rPr>
            <w:noProof/>
            <w:webHidden/>
            <w:sz w:val="20"/>
            <w:szCs w:val="20"/>
          </w:rPr>
          <w:instrText xml:space="preserve"> PAGEREF _Toc264226780 \h </w:instrText>
        </w:r>
        <w:r w:rsidRPr="00AC1BE0">
          <w:rPr>
            <w:noProof/>
            <w:webHidden/>
            <w:sz w:val="20"/>
            <w:szCs w:val="20"/>
          </w:rPr>
        </w:r>
        <w:r w:rsidRPr="00AC1BE0">
          <w:rPr>
            <w:noProof/>
            <w:webHidden/>
            <w:sz w:val="20"/>
            <w:szCs w:val="20"/>
          </w:rPr>
          <w:fldChar w:fldCharType="separate"/>
        </w:r>
        <w:r w:rsidR="005314A4">
          <w:rPr>
            <w:noProof/>
            <w:webHidden/>
            <w:sz w:val="20"/>
            <w:szCs w:val="20"/>
          </w:rPr>
          <w:t>34</w:t>
        </w:r>
        <w:r w:rsidRPr="00AC1BE0">
          <w:rPr>
            <w:noProof/>
            <w:webHidden/>
            <w:sz w:val="20"/>
            <w:szCs w:val="20"/>
          </w:rPr>
          <w:fldChar w:fldCharType="end"/>
        </w:r>
      </w:hyperlink>
    </w:p>
    <w:p w:rsidR="00AC1BE0" w:rsidRPr="00AC1BE0" w:rsidRDefault="006B40AE" w:rsidP="00E94154">
      <w:pPr>
        <w:pStyle w:val="TableofFigures"/>
        <w:tabs>
          <w:tab w:val="right" w:leader="dot" w:pos="10080"/>
        </w:tabs>
        <w:ind w:left="-270" w:right="-720"/>
        <w:rPr>
          <w:rFonts w:asciiTheme="minorHAnsi" w:eastAsiaTheme="minorEastAsia" w:hAnsiTheme="minorHAnsi" w:cstheme="minorBidi"/>
          <w:noProof/>
          <w:sz w:val="20"/>
          <w:szCs w:val="20"/>
        </w:rPr>
      </w:pPr>
      <w:hyperlink w:anchor="_Toc264226781" w:history="1">
        <w:r w:rsidR="00AC1BE0" w:rsidRPr="00AC1BE0">
          <w:rPr>
            <w:rStyle w:val="Hyperlink"/>
            <w:noProof/>
            <w:sz w:val="20"/>
            <w:szCs w:val="20"/>
          </w:rPr>
          <w:t>Figure 24. Road Sector: Capital Expenditure and Maintenance Spending 2005-2010 (in billion BYR)</w:t>
        </w:r>
        <w:r w:rsidR="00AC1BE0" w:rsidRPr="00AC1BE0">
          <w:rPr>
            <w:noProof/>
            <w:webHidden/>
            <w:sz w:val="20"/>
            <w:szCs w:val="20"/>
          </w:rPr>
          <w:tab/>
        </w:r>
        <w:r w:rsidRPr="00AC1BE0">
          <w:rPr>
            <w:noProof/>
            <w:webHidden/>
            <w:sz w:val="20"/>
            <w:szCs w:val="20"/>
          </w:rPr>
          <w:fldChar w:fldCharType="begin"/>
        </w:r>
        <w:r w:rsidR="00AC1BE0" w:rsidRPr="00AC1BE0">
          <w:rPr>
            <w:noProof/>
            <w:webHidden/>
            <w:sz w:val="20"/>
            <w:szCs w:val="20"/>
          </w:rPr>
          <w:instrText xml:space="preserve"> PAGEREF _Toc264226781 \h </w:instrText>
        </w:r>
        <w:r w:rsidRPr="00AC1BE0">
          <w:rPr>
            <w:noProof/>
            <w:webHidden/>
            <w:sz w:val="20"/>
            <w:szCs w:val="20"/>
          </w:rPr>
        </w:r>
        <w:r w:rsidRPr="00AC1BE0">
          <w:rPr>
            <w:noProof/>
            <w:webHidden/>
            <w:sz w:val="20"/>
            <w:szCs w:val="20"/>
          </w:rPr>
          <w:fldChar w:fldCharType="separate"/>
        </w:r>
        <w:r w:rsidR="005314A4">
          <w:rPr>
            <w:noProof/>
            <w:webHidden/>
            <w:sz w:val="20"/>
            <w:szCs w:val="20"/>
          </w:rPr>
          <w:t>34</w:t>
        </w:r>
        <w:r w:rsidRPr="00AC1BE0">
          <w:rPr>
            <w:noProof/>
            <w:webHidden/>
            <w:sz w:val="20"/>
            <w:szCs w:val="20"/>
          </w:rPr>
          <w:fldChar w:fldCharType="end"/>
        </w:r>
      </w:hyperlink>
    </w:p>
    <w:p w:rsidR="00AC1BE0" w:rsidRPr="00AC1BE0" w:rsidRDefault="006B40AE" w:rsidP="00E94154">
      <w:pPr>
        <w:pStyle w:val="TableofFigures"/>
        <w:tabs>
          <w:tab w:val="right" w:leader="dot" w:pos="10080"/>
        </w:tabs>
        <w:ind w:left="-270" w:right="-720"/>
        <w:rPr>
          <w:rFonts w:asciiTheme="minorHAnsi" w:eastAsiaTheme="minorEastAsia" w:hAnsiTheme="minorHAnsi" w:cstheme="minorBidi"/>
          <w:noProof/>
          <w:sz w:val="20"/>
          <w:szCs w:val="20"/>
        </w:rPr>
      </w:pPr>
      <w:hyperlink w:anchor="_Toc264226782" w:history="1">
        <w:r w:rsidR="00AC1BE0" w:rsidRPr="00AC1BE0">
          <w:rPr>
            <w:rStyle w:val="Hyperlink"/>
            <w:noProof/>
            <w:sz w:val="20"/>
            <w:szCs w:val="20"/>
          </w:rPr>
          <w:t>Figure 25. Planned versus Budgeted Road Expenditures 2006-2010 (BYR billion)</w:t>
        </w:r>
        <w:r w:rsidR="00AC1BE0" w:rsidRPr="00AC1BE0">
          <w:rPr>
            <w:noProof/>
            <w:webHidden/>
            <w:sz w:val="20"/>
            <w:szCs w:val="20"/>
          </w:rPr>
          <w:tab/>
        </w:r>
        <w:r w:rsidRPr="00AC1BE0">
          <w:rPr>
            <w:noProof/>
            <w:webHidden/>
            <w:sz w:val="20"/>
            <w:szCs w:val="20"/>
          </w:rPr>
          <w:fldChar w:fldCharType="begin"/>
        </w:r>
        <w:r w:rsidR="00AC1BE0" w:rsidRPr="00AC1BE0">
          <w:rPr>
            <w:noProof/>
            <w:webHidden/>
            <w:sz w:val="20"/>
            <w:szCs w:val="20"/>
          </w:rPr>
          <w:instrText xml:space="preserve"> PAGEREF _Toc264226782 \h </w:instrText>
        </w:r>
        <w:r w:rsidRPr="00AC1BE0">
          <w:rPr>
            <w:noProof/>
            <w:webHidden/>
            <w:sz w:val="20"/>
            <w:szCs w:val="20"/>
          </w:rPr>
        </w:r>
        <w:r w:rsidRPr="00AC1BE0">
          <w:rPr>
            <w:noProof/>
            <w:webHidden/>
            <w:sz w:val="20"/>
            <w:szCs w:val="20"/>
          </w:rPr>
          <w:fldChar w:fldCharType="separate"/>
        </w:r>
        <w:r w:rsidR="005314A4">
          <w:rPr>
            <w:noProof/>
            <w:webHidden/>
            <w:sz w:val="20"/>
            <w:szCs w:val="20"/>
          </w:rPr>
          <w:t>36</w:t>
        </w:r>
        <w:r w:rsidRPr="00AC1BE0">
          <w:rPr>
            <w:noProof/>
            <w:webHidden/>
            <w:sz w:val="20"/>
            <w:szCs w:val="20"/>
          </w:rPr>
          <w:fldChar w:fldCharType="end"/>
        </w:r>
      </w:hyperlink>
    </w:p>
    <w:p w:rsidR="00AC1BE0" w:rsidRPr="00AC1BE0" w:rsidRDefault="006B40AE" w:rsidP="00E94154">
      <w:pPr>
        <w:pStyle w:val="TableofFigures"/>
        <w:tabs>
          <w:tab w:val="right" w:leader="dot" w:pos="10080"/>
        </w:tabs>
        <w:ind w:left="-270" w:right="-720"/>
        <w:rPr>
          <w:rFonts w:asciiTheme="minorHAnsi" w:eastAsiaTheme="minorEastAsia" w:hAnsiTheme="minorHAnsi" w:cstheme="minorBidi"/>
          <w:noProof/>
          <w:sz w:val="20"/>
          <w:szCs w:val="20"/>
        </w:rPr>
      </w:pPr>
      <w:hyperlink w:anchor="_Toc264226783" w:history="1">
        <w:r w:rsidR="00AC1BE0" w:rsidRPr="00AC1BE0">
          <w:rPr>
            <w:rStyle w:val="Hyperlink"/>
            <w:noProof/>
            <w:sz w:val="20"/>
            <w:szCs w:val="20"/>
          </w:rPr>
          <w:t>Figure 26. Belarusian Railways: Age Structure of Railway Infrastructure Systems 2009</w:t>
        </w:r>
        <w:r w:rsidR="00AC1BE0" w:rsidRPr="00AC1BE0">
          <w:rPr>
            <w:noProof/>
            <w:webHidden/>
            <w:sz w:val="20"/>
            <w:szCs w:val="20"/>
          </w:rPr>
          <w:tab/>
        </w:r>
        <w:r w:rsidRPr="00AC1BE0">
          <w:rPr>
            <w:noProof/>
            <w:webHidden/>
            <w:sz w:val="20"/>
            <w:szCs w:val="20"/>
          </w:rPr>
          <w:fldChar w:fldCharType="begin"/>
        </w:r>
        <w:r w:rsidR="00AC1BE0" w:rsidRPr="00AC1BE0">
          <w:rPr>
            <w:noProof/>
            <w:webHidden/>
            <w:sz w:val="20"/>
            <w:szCs w:val="20"/>
          </w:rPr>
          <w:instrText xml:space="preserve"> PAGEREF _Toc264226783 \h </w:instrText>
        </w:r>
        <w:r w:rsidRPr="00AC1BE0">
          <w:rPr>
            <w:noProof/>
            <w:webHidden/>
            <w:sz w:val="20"/>
            <w:szCs w:val="20"/>
          </w:rPr>
        </w:r>
        <w:r w:rsidRPr="00AC1BE0">
          <w:rPr>
            <w:noProof/>
            <w:webHidden/>
            <w:sz w:val="20"/>
            <w:szCs w:val="20"/>
          </w:rPr>
          <w:fldChar w:fldCharType="separate"/>
        </w:r>
        <w:r w:rsidR="005314A4">
          <w:rPr>
            <w:noProof/>
            <w:webHidden/>
            <w:sz w:val="20"/>
            <w:szCs w:val="20"/>
          </w:rPr>
          <w:t>43</w:t>
        </w:r>
        <w:r w:rsidRPr="00AC1BE0">
          <w:rPr>
            <w:noProof/>
            <w:webHidden/>
            <w:sz w:val="20"/>
            <w:szCs w:val="20"/>
          </w:rPr>
          <w:fldChar w:fldCharType="end"/>
        </w:r>
      </w:hyperlink>
    </w:p>
    <w:p w:rsidR="00AC1BE0" w:rsidRPr="00AC1BE0" w:rsidRDefault="006B40AE" w:rsidP="00E94154">
      <w:pPr>
        <w:pStyle w:val="TableofFigures"/>
        <w:tabs>
          <w:tab w:val="right" w:leader="dot" w:pos="10080"/>
        </w:tabs>
        <w:ind w:left="-270" w:right="-720"/>
        <w:rPr>
          <w:rFonts w:asciiTheme="minorHAnsi" w:eastAsiaTheme="minorEastAsia" w:hAnsiTheme="minorHAnsi" w:cstheme="minorBidi"/>
          <w:noProof/>
          <w:sz w:val="20"/>
          <w:szCs w:val="20"/>
        </w:rPr>
      </w:pPr>
      <w:hyperlink w:anchor="_Toc264226784" w:history="1">
        <w:r w:rsidR="00AC1BE0" w:rsidRPr="00AC1BE0">
          <w:rPr>
            <w:rStyle w:val="Hyperlink"/>
            <w:noProof/>
            <w:sz w:val="20"/>
            <w:szCs w:val="20"/>
          </w:rPr>
          <w:t>Figure 27. Belarusian Railways: Staff Productivity Compared to Selected EU countries in 2008 (million traffic units/staff)</w:t>
        </w:r>
        <w:r w:rsidR="00AC1BE0" w:rsidRPr="00AC1BE0">
          <w:rPr>
            <w:noProof/>
            <w:webHidden/>
            <w:sz w:val="20"/>
            <w:szCs w:val="20"/>
          </w:rPr>
          <w:tab/>
        </w:r>
        <w:r w:rsidRPr="00AC1BE0">
          <w:rPr>
            <w:noProof/>
            <w:webHidden/>
            <w:sz w:val="20"/>
            <w:szCs w:val="20"/>
          </w:rPr>
          <w:fldChar w:fldCharType="begin"/>
        </w:r>
        <w:r w:rsidR="00AC1BE0" w:rsidRPr="00AC1BE0">
          <w:rPr>
            <w:noProof/>
            <w:webHidden/>
            <w:sz w:val="20"/>
            <w:szCs w:val="20"/>
          </w:rPr>
          <w:instrText xml:space="preserve"> PAGEREF _Toc264226784 \h </w:instrText>
        </w:r>
        <w:r w:rsidRPr="00AC1BE0">
          <w:rPr>
            <w:noProof/>
            <w:webHidden/>
            <w:sz w:val="20"/>
            <w:szCs w:val="20"/>
          </w:rPr>
        </w:r>
        <w:r w:rsidRPr="00AC1BE0">
          <w:rPr>
            <w:noProof/>
            <w:webHidden/>
            <w:sz w:val="20"/>
            <w:szCs w:val="20"/>
          </w:rPr>
          <w:fldChar w:fldCharType="separate"/>
        </w:r>
        <w:r w:rsidR="005314A4">
          <w:rPr>
            <w:noProof/>
            <w:webHidden/>
            <w:sz w:val="20"/>
            <w:szCs w:val="20"/>
          </w:rPr>
          <w:t>44</w:t>
        </w:r>
        <w:r w:rsidRPr="00AC1BE0">
          <w:rPr>
            <w:noProof/>
            <w:webHidden/>
            <w:sz w:val="20"/>
            <w:szCs w:val="20"/>
          </w:rPr>
          <w:fldChar w:fldCharType="end"/>
        </w:r>
      </w:hyperlink>
    </w:p>
    <w:p w:rsidR="00AC1BE0" w:rsidRPr="00AC1BE0" w:rsidRDefault="006B40AE" w:rsidP="00E94154">
      <w:pPr>
        <w:pStyle w:val="TableofFigures"/>
        <w:tabs>
          <w:tab w:val="right" w:leader="dot" w:pos="10080"/>
        </w:tabs>
        <w:ind w:left="-270" w:right="-720"/>
        <w:rPr>
          <w:rFonts w:asciiTheme="minorHAnsi" w:eastAsiaTheme="minorEastAsia" w:hAnsiTheme="minorHAnsi" w:cstheme="minorBidi"/>
          <w:noProof/>
          <w:sz w:val="20"/>
          <w:szCs w:val="20"/>
        </w:rPr>
      </w:pPr>
      <w:hyperlink w:anchor="_Toc264226785" w:history="1">
        <w:r w:rsidR="00AC1BE0" w:rsidRPr="00AC1BE0">
          <w:rPr>
            <w:rStyle w:val="Hyperlink"/>
            <w:noProof/>
            <w:sz w:val="20"/>
            <w:szCs w:val="20"/>
          </w:rPr>
          <w:t>Figure 28. Belarusian Railways: Asset Utilization - Locomotives in 2008 (ton-km/locomotive)</w:t>
        </w:r>
        <w:r w:rsidR="00AC1BE0" w:rsidRPr="00AC1BE0">
          <w:rPr>
            <w:noProof/>
            <w:webHidden/>
            <w:sz w:val="20"/>
            <w:szCs w:val="20"/>
          </w:rPr>
          <w:tab/>
        </w:r>
        <w:r w:rsidRPr="00AC1BE0">
          <w:rPr>
            <w:noProof/>
            <w:webHidden/>
            <w:sz w:val="20"/>
            <w:szCs w:val="20"/>
          </w:rPr>
          <w:fldChar w:fldCharType="begin"/>
        </w:r>
        <w:r w:rsidR="00AC1BE0" w:rsidRPr="00AC1BE0">
          <w:rPr>
            <w:noProof/>
            <w:webHidden/>
            <w:sz w:val="20"/>
            <w:szCs w:val="20"/>
          </w:rPr>
          <w:instrText xml:space="preserve"> PAGEREF _Toc264226785 \h </w:instrText>
        </w:r>
        <w:r w:rsidRPr="00AC1BE0">
          <w:rPr>
            <w:noProof/>
            <w:webHidden/>
            <w:sz w:val="20"/>
            <w:szCs w:val="20"/>
          </w:rPr>
        </w:r>
        <w:r w:rsidRPr="00AC1BE0">
          <w:rPr>
            <w:noProof/>
            <w:webHidden/>
            <w:sz w:val="20"/>
            <w:szCs w:val="20"/>
          </w:rPr>
          <w:fldChar w:fldCharType="separate"/>
        </w:r>
        <w:r w:rsidR="005314A4">
          <w:rPr>
            <w:noProof/>
            <w:webHidden/>
            <w:sz w:val="20"/>
            <w:szCs w:val="20"/>
          </w:rPr>
          <w:t>44</w:t>
        </w:r>
        <w:r w:rsidRPr="00AC1BE0">
          <w:rPr>
            <w:noProof/>
            <w:webHidden/>
            <w:sz w:val="20"/>
            <w:szCs w:val="20"/>
          </w:rPr>
          <w:fldChar w:fldCharType="end"/>
        </w:r>
      </w:hyperlink>
    </w:p>
    <w:p w:rsidR="00AC1BE0" w:rsidRPr="00AC1BE0" w:rsidRDefault="006B40AE" w:rsidP="00E94154">
      <w:pPr>
        <w:pStyle w:val="TableofFigures"/>
        <w:tabs>
          <w:tab w:val="right" w:leader="dot" w:pos="10080"/>
        </w:tabs>
        <w:ind w:left="-270" w:right="-720"/>
        <w:rPr>
          <w:rFonts w:asciiTheme="minorHAnsi" w:eastAsiaTheme="minorEastAsia" w:hAnsiTheme="minorHAnsi" w:cstheme="minorBidi"/>
          <w:noProof/>
          <w:sz w:val="20"/>
          <w:szCs w:val="20"/>
        </w:rPr>
      </w:pPr>
      <w:hyperlink w:anchor="_Toc264226786" w:history="1">
        <w:r w:rsidR="00AC1BE0" w:rsidRPr="00AC1BE0">
          <w:rPr>
            <w:rStyle w:val="Hyperlink"/>
            <w:noProof/>
            <w:sz w:val="20"/>
            <w:szCs w:val="20"/>
          </w:rPr>
          <w:t>Figure 29. Belarusian Railways: Asset Utilization – Coaches in 2008 (passenger-km/coach)</w:t>
        </w:r>
        <w:r w:rsidR="00AC1BE0" w:rsidRPr="00AC1BE0">
          <w:rPr>
            <w:noProof/>
            <w:webHidden/>
            <w:sz w:val="20"/>
            <w:szCs w:val="20"/>
          </w:rPr>
          <w:tab/>
        </w:r>
        <w:r w:rsidRPr="00AC1BE0">
          <w:rPr>
            <w:noProof/>
            <w:webHidden/>
            <w:sz w:val="20"/>
            <w:szCs w:val="20"/>
          </w:rPr>
          <w:fldChar w:fldCharType="begin"/>
        </w:r>
        <w:r w:rsidR="00AC1BE0" w:rsidRPr="00AC1BE0">
          <w:rPr>
            <w:noProof/>
            <w:webHidden/>
            <w:sz w:val="20"/>
            <w:szCs w:val="20"/>
          </w:rPr>
          <w:instrText xml:space="preserve"> PAGEREF _Toc264226786 \h </w:instrText>
        </w:r>
        <w:r w:rsidRPr="00AC1BE0">
          <w:rPr>
            <w:noProof/>
            <w:webHidden/>
            <w:sz w:val="20"/>
            <w:szCs w:val="20"/>
          </w:rPr>
        </w:r>
        <w:r w:rsidRPr="00AC1BE0">
          <w:rPr>
            <w:noProof/>
            <w:webHidden/>
            <w:sz w:val="20"/>
            <w:szCs w:val="20"/>
          </w:rPr>
          <w:fldChar w:fldCharType="separate"/>
        </w:r>
        <w:r w:rsidR="005314A4">
          <w:rPr>
            <w:noProof/>
            <w:webHidden/>
            <w:sz w:val="20"/>
            <w:szCs w:val="20"/>
          </w:rPr>
          <w:t>44</w:t>
        </w:r>
        <w:r w:rsidRPr="00AC1BE0">
          <w:rPr>
            <w:noProof/>
            <w:webHidden/>
            <w:sz w:val="20"/>
            <w:szCs w:val="20"/>
          </w:rPr>
          <w:fldChar w:fldCharType="end"/>
        </w:r>
      </w:hyperlink>
    </w:p>
    <w:p w:rsidR="00AC1BE0" w:rsidRPr="00AC1BE0" w:rsidRDefault="006B40AE" w:rsidP="00E94154">
      <w:pPr>
        <w:pStyle w:val="TableofFigures"/>
        <w:tabs>
          <w:tab w:val="right" w:leader="dot" w:pos="10080"/>
        </w:tabs>
        <w:ind w:left="-270" w:right="-720"/>
        <w:rPr>
          <w:rFonts w:asciiTheme="minorHAnsi" w:eastAsiaTheme="minorEastAsia" w:hAnsiTheme="minorHAnsi" w:cstheme="minorBidi"/>
          <w:noProof/>
          <w:sz w:val="20"/>
          <w:szCs w:val="20"/>
        </w:rPr>
      </w:pPr>
      <w:hyperlink w:anchor="_Toc264226787" w:history="1">
        <w:r w:rsidR="00AC1BE0" w:rsidRPr="00AC1BE0">
          <w:rPr>
            <w:rStyle w:val="Hyperlink"/>
            <w:noProof/>
            <w:sz w:val="20"/>
            <w:szCs w:val="20"/>
          </w:rPr>
          <w:t>Figure 30. Belarusian Railways: Asset Utilization – Wagons in 2008 (traffic unit/wagon)</w:t>
        </w:r>
        <w:r w:rsidR="00AC1BE0" w:rsidRPr="00AC1BE0">
          <w:rPr>
            <w:noProof/>
            <w:webHidden/>
            <w:sz w:val="20"/>
            <w:szCs w:val="20"/>
          </w:rPr>
          <w:tab/>
        </w:r>
        <w:r w:rsidRPr="00AC1BE0">
          <w:rPr>
            <w:noProof/>
            <w:webHidden/>
            <w:sz w:val="20"/>
            <w:szCs w:val="20"/>
          </w:rPr>
          <w:fldChar w:fldCharType="begin"/>
        </w:r>
        <w:r w:rsidR="00AC1BE0" w:rsidRPr="00AC1BE0">
          <w:rPr>
            <w:noProof/>
            <w:webHidden/>
            <w:sz w:val="20"/>
            <w:szCs w:val="20"/>
          </w:rPr>
          <w:instrText xml:space="preserve"> PAGEREF _Toc264226787 \h </w:instrText>
        </w:r>
        <w:r w:rsidRPr="00AC1BE0">
          <w:rPr>
            <w:noProof/>
            <w:webHidden/>
            <w:sz w:val="20"/>
            <w:szCs w:val="20"/>
          </w:rPr>
        </w:r>
        <w:r w:rsidRPr="00AC1BE0">
          <w:rPr>
            <w:noProof/>
            <w:webHidden/>
            <w:sz w:val="20"/>
            <w:szCs w:val="20"/>
          </w:rPr>
          <w:fldChar w:fldCharType="separate"/>
        </w:r>
        <w:r w:rsidR="005314A4">
          <w:rPr>
            <w:noProof/>
            <w:webHidden/>
            <w:sz w:val="20"/>
            <w:szCs w:val="20"/>
          </w:rPr>
          <w:t>44</w:t>
        </w:r>
        <w:r w:rsidRPr="00AC1BE0">
          <w:rPr>
            <w:noProof/>
            <w:webHidden/>
            <w:sz w:val="20"/>
            <w:szCs w:val="20"/>
          </w:rPr>
          <w:fldChar w:fldCharType="end"/>
        </w:r>
      </w:hyperlink>
    </w:p>
    <w:p w:rsidR="00AC1BE0" w:rsidRPr="00AC1BE0" w:rsidRDefault="006B40AE" w:rsidP="00E94154">
      <w:pPr>
        <w:pStyle w:val="TableofFigures"/>
        <w:tabs>
          <w:tab w:val="right" w:leader="dot" w:pos="10080"/>
        </w:tabs>
        <w:ind w:left="-270" w:right="-720"/>
        <w:rPr>
          <w:rFonts w:asciiTheme="minorHAnsi" w:eastAsiaTheme="minorEastAsia" w:hAnsiTheme="minorHAnsi" w:cstheme="minorBidi"/>
          <w:noProof/>
          <w:sz w:val="20"/>
          <w:szCs w:val="20"/>
        </w:rPr>
      </w:pPr>
      <w:hyperlink w:anchor="_Toc264226788" w:history="1">
        <w:r w:rsidR="00AC1BE0" w:rsidRPr="00AC1BE0">
          <w:rPr>
            <w:rStyle w:val="Hyperlink"/>
            <w:noProof/>
            <w:sz w:val="20"/>
            <w:szCs w:val="20"/>
          </w:rPr>
          <w:t>Figure 31. Railways Traffic Intensity (million traffic units/rail route km)</w:t>
        </w:r>
        <w:r w:rsidR="00AC1BE0" w:rsidRPr="00AC1BE0">
          <w:rPr>
            <w:noProof/>
            <w:webHidden/>
            <w:sz w:val="20"/>
            <w:szCs w:val="20"/>
          </w:rPr>
          <w:tab/>
        </w:r>
        <w:r w:rsidRPr="00AC1BE0">
          <w:rPr>
            <w:noProof/>
            <w:webHidden/>
            <w:sz w:val="20"/>
            <w:szCs w:val="20"/>
          </w:rPr>
          <w:fldChar w:fldCharType="begin"/>
        </w:r>
        <w:r w:rsidR="00AC1BE0" w:rsidRPr="00AC1BE0">
          <w:rPr>
            <w:noProof/>
            <w:webHidden/>
            <w:sz w:val="20"/>
            <w:szCs w:val="20"/>
          </w:rPr>
          <w:instrText xml:space="preserve"> PAGEREF _Toc264226788 \h </w:instrText>
        </w:r>
        <w:r w:rsidRPr="00AC1BE0">
          <w:rPr>
            <w:noProof/>
            <w:webHidden/>
            <w:sz w:val="20"/>
            <w:szCs w:val="20"/>
          </w:rPr>
        </w:r>
        <w:r w:rsidRPr="00AC1BE0">
          <w:rPr>
            <w:noProof/>
            <w:webHidden/>
            <w:sz w:val="20"/>
            <w:szCs w:val="20"/>
          </w:rPr>
          <w:fldChar w:fldCharType="separate"/>
        </w:r>
        <w:r w:rsidR="005314A4">
          <w:rPr>
            <w:noProof/>
            <w:webHidden/>
            <w:sz w:val="20"/>
            <w:szCs w:val="20"/>
          </w:rPr>
          <w:t>47</w:t>
        </w:r>
        <w:r w:rsidRPr="00AC1BE0">
          <w:rPr>
            <w:noProof/>
            <w:webHidden/>
            <w:sz w:val="20"/>
            <w:szCs w:val="20"/>
          </w:rPr>
          <w:fldChar w:fldCharType="end"/>
        </w:r>
      </w:hyperlink>
    </w:p>
    <w:p w:rsidR="00AC1BE0" w:rsidRPr="00AC1BE0" w:rsidRDefault="006B40AE" w:rsidP="00E94154">
      <w:pPr>
        <w:pStyle w:val="TableofFigures"/>
        <w:tabs>
          <w:tab w:val="right" w:leader="dot" w:pos="10080"/>
        </w:tabs>
        <w:ind w:left="-270" w:right="-720"/>
        <w:rPr>
          <w:rFonts w:asciiTheme="minorHAnsi" w:eastAsiaTheme="minorEastAsia" w:hAnsiTheme="minorHAnsi" w:cstheme="minorBidi"/>
          <w:noProof/>
          <w:sz w:val="20"/>
          <w:szCs w:val="20"/>
        </w:rPr>
      </w:pPr>
      <w:hyperlink w:anchor="_Toc264226789" w:history="1">
        <w:r w:rsidR="00AC1BE0" w:rsidRPr="00AC1BE0">
          <w:rPr>
            <w:rStyle w:val="Hyperlink"/>
            <w:noProof/>
            <w:sz w:val="20"/>
            <w:szCs w:val="20"/>
          </w:rPr>
          <w:t>Figure 32. Average Number of Staff per km of Track in various EU Railways</w:t>
        </w:r>
        <w:r w:rsidR="00AC1BE0" w:rsidRPr="00AC1BE0">
          <w:rPr>
            <w:noProof/>
            <w:webHidden/>
            <w:sz w:val="20"/>
            <w:szCs w:val="20"/>
          </w:rPr>
          <w:tab/>
        </w:r>
        <w:r w:rsidRPr="00AC1BE0">
          <w:rPr>
            <w:noProof/>
            <w:webHidden/>
            <w:sz w:val="20"/>
            <w:szCs w:val="20"/>
          </w:rPr>
          <w:fldChar w:fldCharType="begin"/>
        </w:r>
        <w:r w:rsidR="00AC1BE0" w:rsidRPr="00AC1BE0">
          <w:rPr>
            <w:noProof/>
            <w:webHidden/>
            <w:sz w:val="20"/>
            <w:szCs w:val="20"/>
          </w:rPr>
          <w:instrText xml:space="preserve"> PAGEREF _Toc264226789 \h </w:instrText>
        </w:r>
        <w:r w:rsidRPr="00AC1BE0">
          <w:rPr>
            <w:noProof/>
            <w:webHidden/>
            <w:sz w:val="20"/>
            <w:szCs w:val="20"/>
          </w:rPr>
        </w:r>
        <w:r w:rsidRPr="00AC1BE0">
          <w:rPr>
            <w:noProof/>
            <w:webHidden/>
            <w:sz w:val="20"/>
            <w:szCs w:val="20"/>
          </w:rPr>
          <w:fldChar w:fldCharType="separate"/>
        </w:r>
        <w:r w:rsidR="005314A4">
          <w:rPr>
            <w:noProof/>
            <w:webHidden/>
            <w:sz w:val="20"/>
            <w:szCs w:val="20"/>
          </w:rPr>
          <w:t>47</w:t>
        </w:r>
        <w:r w:rsidRPr="00AC1BE0">
          <w:rPr>
            <w:noProof/>
            <w:webHidden/>
            <w:sz w:val="20"/>
            <w:szCs w:val="20"/>
          </w:rPr>
          <w:fldChar w:fldCharType="end"/>
        </w:r>
      </w:hyperlink>
    </w:p>
    <w:p w:rsidR="00AC1BE0" w:rsidRPr="00AC1BE0" w:rsidRDefault="006B40AE" w:rsidP="00E94154">
      <w:pPr>
        <w:pStyle w:val="TableofFigures"/>
        <w:tabs>
          <w:tab w:val="right" w:leader="dot" w:pos="10080"/>
        </w:tabs>
        <w:ind w:left="-270" w:right="-720"/>
        <w:rPr>
          <w:rFonts w:asciiTheme="minorHAnsi" w:eastAsiaTheme="minorEastAsia" w:hAnsiTheme="minorHAnsi" w:cstheme="minorBidi"/>
          <w:noProof/>
          <w:sz w:val="20"/>
          <w:szCs w:val="20"/>
        </w:rPr>
      </w:pPr>
      <w:hyperlink w:anchor="_Toc264226790" w:history="1">
        <w:r w:rsidR="00AC1BE0" w:rsidRPr="00AC1BE0">
          <w:rPr>
            <w:rStyle w:val="Hyperlink"/>
            <w:noProof/>
            <w:sz w:val="20"/>
            <w:szCs w:val="20"/>
          </w:rPr>
          <w:t>Figure 33. Belarusian Railways: Structure of Traffic and Revenue Distribution 2008</w:t>
        </w:r>
        <w:r w:rsidR="00AC1BE0" w:rsidRPr="00AC1BE0">
          <w:rPr>
            <w:noProof/>
            <w:webHidden/>
            <w:sz w:val="20"/>
            <w:szCs w:val="20"/>
          </w:rPr>
          <w:tab/>
        </w:r>
        <w:r w:rsidRPr="00AC1BE0">
          <w:rPr>
            <w:noProof/>
            <w:webHidden/>
            <w:sz w:val="20"/>
            <w:szCs w:val="20"/>
          </w:rPr>
          <w:fldChar w:fldCharType="begin"/>
        </w:r>
        <w:r w:rsidR="00AC1BE0" w:rsidRPr="00AC1BE0">
          <w:rPr>
            <w:noProof/>
            <w:webHidden/>
            <w:sz w:val="20"/>
            <w:szCs w:val="20"/>
          </w:rPr>
          <w:instrText xml:space="preserve"> PAGEREF _Toc264226790 \h </w:instrText>
        </w:r>
        <w:r w:rsidRPr="00AC1BE0">
          <w:rPr>
            <w:noProof/>
            <w:webHidden/>
            <w:sz w:val="20"/>
            <w:szCs w:val="20"/>
          </w:rPr>
        </w:r>
        <w:r w:rsidRPr="00AC1BE0">
          <w:rPr>
            <w:noProof/>
            <w:webHidden/>
            <w:sz w:val="20"/>
            <w:szCs w:val="20"/>
          </w:rPr>
          <w:fldChar w:fldCharType="separate"/>
        </w:r>
        <w:r w:rsidR="005314A4">
          <w:rPr>
            <w:noProof/>
            <w:webHidden/>
            <w:sz w:val="20"/>
            <w:szCs w:val="20"/>
          </w:rPr>
          <w:t>49</w:t>
        </w:r>
        <w:r w:rsidRPr="00AC1BE0">
          <w:rPr>
            <w:noProof/>
            <w:webHidden/>
            <w:sz w:val="20"/>
            <w:szCs w:val="20"/>
          </w:rPr>
          <w:fldChar w:fldCharType="end"/>
        </w:r>
      </w:hyperlink>
    </w:p>
    <w:p w:rsidR="00AC1BE0" w:rsidRPr="00AC1BE0" w:rsidRDefault="006B40AE" w:rsidP="00E94154">
      <w:pPr>
        <w:pStyle w:val="TableofFigures"/>
        <w:tabs>
          <w:tab w:val="right" w:leader="dot" w:pos="10080"/>
        </w:tabs>
        <w:ind w:left="-270" w:right="-720"/>
        <w:rPr>
          <w:rFonts w:asciiTheme="minorHAnsi" w:eastAsiaTheme="minorEastAsia" w:hAnsiTheme="minorHAnsi" w:cstheme="minorBidi"/>
          <w:noProof/>
          <w:sz w:val="20"/>
          <w:szCs w:val="20"/>
        </w:rPr>
      </w:pPr>
      <w:hyperlink w:anchor="_Toc264226791" w:history="1">
        <w:r w:rsidR="00AC1BE0" w:rsidRPr="00AC1BE0">
          <w:rPr>
            <w:rStyle w:val="Hyperlink"/>
            <w:noProof/>
            <w:sz w:val="20"/>
            <w:szCs w:val="20"/>
          </w:rPr>
          <w:t>Figure 34. Profits of Belarusian Railways (million BYR)Source: Data reported by Belarusian Railway.</w:t>
        </w:r>
        <w:r w:rsidR="00AC1BE0" w:rsidRPr="00AC1BE0">
          <w:rPr>
            <w:noProof/>
            <w:webHidden/>
            <w:sz w:val="20"/>
            <w:szCs w:val="20"/>
          </w:rPr>
          <w:tab/>
        </w:r>
        <w:r w:rsidRPr="00AC1BE0">
          <w:rPr>
            <w:noProof/>
            <w:webHidden/>
            <w:sz w:val="20"/>
            <w:szCs w:val="20"/>
          </w:rPr>
          <w:fldChar w:fldCharType="begin"/>
        </w:r>
        <w:r w:rsidR="00AC1BE0" w:rsidRPr="00AC1BE0">
          <w:rPr>
            <w:noProof/>
            <w:webHidden/>
            <w:sz w:val="20"/>
            <w:szCs w:val="20"/>
          </w:rPr>
          <w:instrText xml:space="preserve"> PAGEREF _Toc264226791 \h </w:instrText>
        </w:r>
        <w:r w:rsidRPr="00AC1BE0">
          <w:rPr>
            <w:noProof/>
            <w:webHidden/>
            <w:sz w:val="20"/>
            <w:szCs w:val="20"/>
          </w:rPr>
        </w:r>
        <w:r w:rsidRPr="00AC1BE0">
          <w:rPr>
            <w:noProof/>
            <w:webHidden/>
            <w:sz w:val="20"/>
            <w:szCs w:val="20"/>
          </w:rPr>
          <w:fldChar w:fldCharType="separate"/>
        </w:r>
        <w:r w:rsidR="005314A4">
          <w:rPr>
            <w:noProof/>
            <w:webHidden/>
            <w:sz w:val="20"/>
            <w:szCs w:val="20"/>
          </w:rPr>
          <w:t>50</w:t>
        </w:r>
        <w:r w:rsidRPr="00AC1BE0">
          <w:rPr>
            <w:noProof/>
            <w:webHidden/>
            <w:sz w:val="20"/>
            <w:szCs w:val="20"/>
          </w:rPr>
          <w:fldChar w:fldCharType="end"/>
        </w:r>
      </w:hyperlink>
    </w:p>
    <w:p w:rsidR="00AC1BE0" w:rsidRPr="00AC1BE0" w:rsidRDefault="006B40AE" w:rsidP="00E94154">
      <w:pPr>
        <w:pStyle w:val="TableofFigures"/>
        <w:tabs>
          <w:tab w:val="right" w:leader="dot" w:pos="10080"/>
        </w:tabs>
        <w:ind w:left="-270" w:right="-720"/>
        <w:rPr>
          <w:rFonts w:asciiTheme="minorHAnsi" w:eastAsiaTheme="minorEastAsia" w:hAnsiTheme="minorHAnsi" w:cstheme="minorBidi"/>
          <w:noProof/>
          <w:sz w:val="20"/>
          <w:szCs w:val="20"/>
        </w:rPr>
      </w:pPr>
      <w:hyperlink w:anchor="_Toc264226792" w:history="1">
        <w:r w:rsidR="00AC1BE0" w:rsidRPr="00AC1BE0">
          <w:rPr>
            <w:rStyle w:val="Hyperlink"/>
            <w:noProof/>
            <w:sz w:val="20"/>
            <w:szCs w:val="20"/>
          </w:rPr>
          <w:t>Figure 35. Financial Performance of Belarusian Railways 2005-2008 (percentage)</w:t>
        </w:r>
        <w:r w:rsidR="00AC1BE0" w:rsidRPr="00AC1BE0">
          <w:rPr>
            <w:noProof/>
            <w:webHidden/>
            <w:sz w:val="20"/>
            <w:szCs w:val="20"/>
          </w:rPr>
          <w:tab/>
        </w:r>
        <w:r w:rsidRPr="00AC1BE0">
          <w:rPr>
            <w:noProof/>
            <w:webHidden/>
            <w:sz w:val="20"/>
            <w:szCs w:val="20"/>
          </w:rPr>
          <w:fldChar w:fldCharType="begin"/>
        </w:r>
        <w:r w:rsidR="00AC1BE0" w:rsidRPr="00AC1BE0">
          <w:rPr>
            <w:noProof/>
            <w:webHidden/>
            <w:sz w:val="20"/>
            <w:szCs w:val="20"/>
          </w:rPr>
          <w:instrText xml:space="preserve"> PAGEREF _Toc264226792 \h </w:instrText>
        </w:r>
        <w:r w:rsidRPr="00AC1BE0">
          <w:rPr>
            <w:noProof/>
            <w:webHidden/>
            <w:sz w:val="20"/>
            <w:szCs w:val="20"/>
          </w:rPr>
        </w:r>
        <w:r w:rsidRPr="00AC1BE0">
          <w:rPr>
            <w:noProof/>
            <w:webHidden/>
            <w:sz w:val="20"/>
            <w:szCs w:val="20"/>
          </w:rPr>
          <w:fldChar w:fldCharType="separate"/>
        </w:r>
        <w:r w:rsidR="005314A4">
          <w:rPr>
            <w:noProof/>
            <w:webHidden/>
            <w:sz w:val="20"/>
            <w:szCs w:val="20"/>
          </w:rPr>
          <w:t>51</w:t>
        </w:r>
        <w:r w:rsidRPr="00AC1BE0">
          <w:rPr>
            <w:noProof/>
            <w:webHidden/>
            <w:sz w:val="20"/>
            <w:szCs w:val="20"/>
          </w:rPr>
          <w:fldChar w:fldCharType="end"/>
        </w:r>
      </w:hyperlink>
    </w:p>
    <w:p w:rsidR="00AC1BE0" w:rsidRPr="00AC1BE0" w:rsidRDefault="006B40AE" w:rsidP="00E94154">
      <w:pPr>
        <w:pStyle w:val="TableofFigures"/>
        <w:tabs>
          <w:tab w:val="right" w:leader="dot" w:pos="10080"/>
        </w:tabs>
        <w:ind w:left="-270" w:right="-720"/>
        <w:rPr>
          <w:rFonts w:asciiTheme="minorHAnsi" w:eastAsiaTheme="minorEastAsia" w:hAnsiTheme="minorHAnsi" w:cstheme="minorBidi"/>
          <w:noProof/>
          <w:sz w:val="20"/>
          <w:szCs w:val="20"/>
        </w:rPr>
      </w:pPr>
      <w:hyperlink w:anchor="_Toc264226793" w:history="1">
        <w:r w:rsidR="00AC1BE0" w:rsidRPr="00AC1BE0">
          <w:rPr>
            <w:rStyle w:val="Hyperlink"/>
            <w:noProof/>
            <w:sz w:val="20"/>
            <w:szCs w:val="20"/>
          </w:rPr>
          <w:t>Figure 36. Traffic Unit Revenue for Domestic and International Freight Market 2005-2008 (in Euros)</w:t>
        </w:r>
        <w:r w:rsidR="00AC1BE0" w:rsidRPr="00AC1BE0">
          <w:rPr>
            <w:noProof/>
            <w:webHidden/>
            <w:sz w:val="20"/>
            <w:szCs w:val="20"/>
          </w:rPr>
          <w:tab/>
        </w:r>
        <w:r w:rsidRPr="00AC1BE0">
          <w:rPr>
            <w:noProof/>
            <w:webHidden/>
            <w:sz w:val="20"/>
            <w:szCs w:val="20"/>
          </w:rPr>
          <w:fldChar w:fldCharType="begin"/>
        </w:r>
        <w:r w:rsidR="00AC1BE0" w:rsidRPr="00AC1BE0">
          <w:rPr>
            <w:noProof/>
            <w:webHidden/>
            <w:sz w:val="20"/>
            <w:szCs w:val="20"/>
          </w:rPr>
          <w:instrText xml:space="preserve"> PAGEREF _Toc264226793 \h </w:instrText>
        </w:r>
        <w:r w:rsidRPr="00AC1BE0">
          <w:rPr>
            <w:noProof/>
            <w:webHidden/>
            <w:sz w:val="20"/>
            <w:szCs w:val="20"/>
          </w:rPr>
        </w:r>
        <w:r w:rsidRPr="00AC1BE0">
          <w:rPr>
            <w:noProof/>
            <w:webHidden/>
            <w:sz w:val="20"/>
            <w:szCs w:val="20"/>
          </w:rPr>
          <w:fldChar w:fldCharType="separate"/>
        </w:r>
        <w:r w:rsidR="005314A4">
          <w:rPr>
            <w:noProof/>
            <w:webHidden/>
            <w:sz w:val="20"/>
            <w:szCs w:val="20"/>
          </w:rPr>
          <w:t>51</w:t>
        </w:r>
        <w:r w:rsidRPr="00AC1BE0">
          <w:rPr>
            <w:noProof/>
            <w:webHidden/>
            <w:sz w:val="20"/>
            <w:szCs w:val="20"/>
          </w:rPr>
          <w:fldChar w:fldCharType="end"/>
        </w:r>
      </w:hyperlink>
    </w:p>
    <w:p w:rsidR="00AC1BE0" w:rsidRPr="00AC1BE0" w:rsidRDefault="006B40AE" w:rsidP="00E94154">
      <w:pPr>
        <w:pStyle w:val="TableofFigures"/>
        <w:tabs>
          <w:tab w:val="right" w:leader="dot" w:pos="10080"/>
        </w:tabs>
        <w:ind w:left="-270" w:right="-720"/>
        <w:rPr>
          <w:rFonts w:asciiTheme="minorHAnsi" w:eastAsiaTheme="minorEastAsia" w:hAnsiTheme="minorHAnsi" w:cstheme="minorBidi"/>
          <w:noProof/>
          <w:sz w:val="20"/>
          <w:szCs w:val="20"/>
        </w:rPr>
      </w:pPr>
      <w:hyperlink w:anchor="_Toc264226794" w:history="1">
        <w:r w:rsidR="00AC1BE0" w:rsidRPr="00AC1BE0">
          <w:rPr>
            <w:rStyle w:val="Hyperlink"/>
            <w:noProof/>
            <w:sz w:val="20"/>
            <w:szCs w:val="20"/>
          </w:rPr>
          <w:t>Figure 37. Structure of Traffic and Revenues at Belarusian Railway (2008)</w:t>
        </w:r>
        <w:r w:rsidR="00AC1BE0" w:rsidRPr="00AC1BE0">
          <w:rPr>
            <w:noProof/>
            <w:webHidden/>
            <w:sz w:val="20"/>
            <w:szCs w:val="20"/>
          </w:rPr>
          <w:tab/>
        </w:r>
        <w:r w:rsidRPr="00AC1BE0">
          <w:rPr>
            <w:noProof/>
            <w:webHidden/>
            <w:sz w:val="20"/>
            <w:szCs w:val="20"/>
          </w:rPr>
          <w:fldChar w:fldCharType="begin"/>
        </w:r>
        <w:r w:rsidR="00AC1BE0" w:rsidRPr="00AC1BE0">
          <w:rPr>
            <w:noProof/>
            <w:webHidden/>
            <w:sz w:val="20"/>
            <w:szCs w:val="20"/>
          </w:rPr>
          <w:instrText xml:space="preserve"> PAGEREF _Toc264226794 \h </w:instrText>
        </w:r>
        <w:r w:rsidRPr="00AC1BE0">
          <w:rPr>
            <w:noProof/>
            <w:webHidden/>
            <w:sz w:val="20"/>
            <w:szCs w:val="20"/>
          </w:rPr>
        </w:r>
        <w:r w:rsidRPr="00AC1BE0">
          <w:rPr>
            <w:noProof/>
            <w:webHidden/>
            <w:sz w:val="20"/>
            <w:szCs w:val="20"/>
          </w:rPr>
          <w:fldChar w:fldCharType="separate"/>
        </w:r>
        <w:r w:rsidR="005314A4">
          <w:rPr>
            <w:noProof/>
            <w:webHidden/>
            <w:sz w:val="20"/>
            <w:szCs w:val="20"/>
          </w:rPr>
          <w:t>52</w:t>
        </w:r>
        <w:r w:rsidRPr="00AC1BE0">
          <w:rPr>
            <w:noProof/>
            <w:webHidden/>
            <w:sz w:val="20"/>
            <w:szCs w:val="20"/>
          </w:rPr>
          <w:fldChar w:fldCharType="end"/>
        </w:r>
      </w:hyperlink>
    </w:p>
    <w:p w:rsidR="00AC1BE0" w:rsidRPr="00AC1BE0" w:rsidRDefault="006B40AE" w:rsidP="00E94154">
      <w:pPr>
        <w:pStyle w:val="TableofFigures"/>
        <w:tabs>
          <w:tab w:val="right" w:leader="dot" w:pos="10080"/>
        </w:tabs>
        <w:ind w:left="-270" w:right="-720"/>
        <w:rPr>
          <w:rFonts w:asciiTheme="minorHAnsi" w:eastAsiaTheme="minorEastAsia" w:hAnsiTheme="minorHAnsi" w:cstheme="minorBidi"/>
          <w:noProof/>
          <w:sz w:val="20"/>
          <w:szCs w:val="20"/>
        </w:rPr>
      </w:pPr>
      <w:hyperlink w:anchor="_Toc264226795" w:history="1">
        <w:r w:rsidR="00AC1BE0" w:rsidRPr="00AC1BE0">
          <w:rPr>
            <w:rStyle w:val="Hyperlink"/>
            <w:noProof/>
            <w:sz w:val="20"/>
            <w:szCs w:val="20"/>
          </w:rPr>
          <w:t>Figure 38. Passenger Unit Revenue and Cost of Services 2005-2008 (Euros)</w:t>
        </w:r>
        <w:r w:rsidR="00AC1BE0" w:rsidRPr="00AC1BE0">
          <w:rPr>
            <w:noProof/>
            <w:webHidden/>
            <w:sz w:val="20"/>
            <w:szCs w:val="20"/>
          </w:rPr>
          <w:tab/>
        </w:r>
        <w:r w:rsidRPr="00AC1BE0">
          <w:rPr>
            <w:noProof/>
            <w:webHidden/>
            <w:sz w:val="20"/>
            <w:szCs w:val="20"/>
          </w:rPr>
          <w:fldChar w:fldCharType="begin"/>
        </w:r>
        <w:r w:rsidR="00AC1BE0" w:rsidRPr="00AC1BE0">
          <w:rPr>
            <w:noProof/>
            <w:webHidden/>
            <w:sz w:val="20"/>
            <w:szCs w:val="20"/>
          </w:rPr>
          <w:instrText xml:space="preserve"> PAGEREF _Toc264226795 \h </w:instrText>
        </w:r>
        <w:r w:rsidRPr="00AC1BE0">
          <w:rPr>
            <w:noProof/>
            <w:webHidden/>
            <w:sz w:val="20"/>
            <w:szCs w:val="20"/>
          </w:rPr>
        </w:r>
        <w:r w:rsidRPr="00AC1BE0">
          <w:rPr>
            <w:noProof/>
            <w:webHidden/>
            <w:sz w:val="20"/>
            <w:szCs w:val="20"/>
          </w:rPr>
          <w:fldChar w:fldCharType="separate"/>
        </w:r>
        <w:r w:rsidR="005314A4">
          <w:rPr>
            <w:noProof/>
            <w:webHidden/>
            <w:sz w:val="20"/>
            <w:szCs w:val="20"/>
          </w:rPr>
          <w:t>55</w:t>
        </w:r>
        <w:r w:rsidRPr="00AC1BE0">
          <w:rPr>
            <w:noProof/>
            <w:webHidden/>
            <w:sz w:val="20"/>
            <w:szCs w:val="20"/>
          </w:rPr>
          <w:fldChar w:fldCharType="end"/>
        </w:r>
      </w:hyperlink>
    </w:p>
    <w:p w:rsidR="00AC1BE0" w:rsidRPr="00AC1BE0" w:rsidRDefault="006B40AE" w:rsidP="00E94154">
      <w:pPr>
        <w:pStyle w:val="TableofFigures"/>
        <w:tabs>
          <w:tab w:val="right" w:leader="dot" w:pos="10080"/>
        </w:tabs>
        <w:ind w:left="-270" w:right="-720"/>
        <w:rPr>
          <w:rFonts w:asciiTheme="minorHAnsi" w:eastAsiaTheme="minorEastAsia" w:hAnsiTheme="minorHAnsi" w:cstheme="minorBidi"/>
          <w:noProof/>
          <w:sz w:val="20"/>
          <w:szCs w:val="20"/>
        </w:rPr>
      </w:pPr>
      <w:hyperlink w:anchor="_Toc264226796" w:history="1">
        <w:r w:rsidR="00AC1BE0" w:rsidRPr="00AC1BE0">
          <w:rPr>
            <w:rStyle w:val="Hyperlink"/>
            <w:noProof/>
            <w:sz w:val="20"/>
            <w:szCs w:val="20"/>
          </w:rPr>
          <w:t>Figure 39. Allocation of Funds for Track Renewal in Selected Countries 1992-1997 (million Euro per km of network)</w:t>
        </w:r>
        <w:r w:rsidR="00AC1BE0" w:rsidRPr="00AC1BE0">
          <w:rPr>
            <w:noProof/>
            <w:webHidden/>
            <w:sz w:val="20"/>
            <w:szCs w:val="20"/>
          </w:rPr>
          <w:tab/>
        </w:r>
        <w:r w:rsidRPr="00AC1BE0">
          <w:rPr>
            <w:noProof/>
            <w:webHidden/>
            <w:sz w:val="20"/>
            <w:szCs w:val="20"/>
          </w:rPr>
          <w:fldChar w:fldCharType="begin"/>
        </w:r>
        <w:r w:rsidR="00AC1BE0" w:rsidRPr="00AC1BE0">
          <w:rPr>
            <w:noProof/>
            <w:webHidden/>
            <w:sz w:val="20"/>
            <w:szCs w:val="20"/>
          </w:rPr>
          <w:instrText xml:space="preserve"> PAGEREF _Toc264226796 \h </w:instrText>
        </w:r>
        <w:r w:rsidRPr="00AC1BE0">
          <w:rPr>
            <w:noProof/>
            <w:webHidden/>
            <w:sz w:val="20"/>
            <w:szCs w:val="20"/>
          </w:rPr>
        </w:r>
        <w:r w:rsidRPr="00AC1BE0">
          <w:rPr>
            <w:noProof/>
            <w:webHidden/>
            <w:sz w:val="20"/>
            <w:szCs w:val="20"/>
          </w:rPr>
          <w:fldChar w:fldCharType="separate"/>
        </w:r>
        <w:r w:rsidR="005314A4">
          <w:rPr>
            <w:noProof/>
            <w:webHidden/>
            <w:sz w:val="20"/>
            <w:szCs w:val="20"/>
          </w:rPr>
          <w:t>56</w:t>
        </w:r>
        <w:r w:rsidRPr="00AC1BE0">
          <w:rPr>
            <w:noProof/>
            <w:webHidden/>
            <w:sz w:val="20"/>
            <w:szCs w:val="20"/>
          </w:rPr>
          <w:fldChar w:fldCharType="end"/>
        </w:r>
      </w:hyperlink>
    </w:p>
    <w:p w:rsidR="00AC1BE0" w:rsidRPr="00AC1BE0" w:rsidRDefault="006B40AE" w:rsidP="00E94154">
      <w:pPr>
        <w:pStyle w:val="TableofFigures"/>
        <w:tabs>
          <w:tab w:val="right" w:leader="dot" w:pos="10080"/>
        </w:tabs>
        <w:ind w:left="-270" w:right="-720"/>
        <w:rPr>
          <w:rFonts w:asciiTheme="minorHAnsi" w:eastAsiaTheme="minorEastAsia" w:hAnsiTheme="minorHAnsi" w:cstheme="minorBidi"/>
          <w:noProof/>
          <w:sz w:val="20"/>
          <w:szCs w:val="20"/>
        </w:rPr>
      </w:pPr>
      <w:hyperlink w:anchor="_Toc264226797" w:history="1">
        <w:r w:rsidR="00AC1BE0" w:rsidRPr="00AC1BE0">
          <w:rPr>
            <w:rStyle w:val="Hyperlink"/>
            <w:noProof/>
            <w:sz w:val="20"/>
            <w:szCs w:val="20"/>
          </w:rPr>
          <w:t>Figure 40. Available Transport Routes from Germany (2nd largest import origin) to Russia</w:t>
        </w:r>
        <w:r w:rsidR="00AC1BE0" w:rsidRPr="00AC1BE0">
          <w:rPr>
            <w:noProof/>
            <w:webHidden/>
            <w:sz w:val="20"/>
            <w:szCs w:val="20"/>
          </w:rPr>
          <w:tab/>
        </w:r>
        <w:r w:rsidRPr="00AC1BE0">
          <w:rPr>
            <w:noProof/>
            <w:webHidden/>
            <w:sz w:val="20"/>
            <w:szCs w:val="20"/>
          </w:rPr>
          <w:fldChar w:fldCharType="begin"/>
        </w:r>
        <w:r w:rsidR="00AC1BE0" w:rsidRPr="00AC1BE0">
          <w:rPr>
            <w:noProof/>
            <w:webHidden/>
            <w:sz w:val="20"/>
            <w:szCs w:val="20"/>
          </w:rPr>
          <w:instrText xml:space="preserve"> PAGEREF _Toc264226797 \h </w:instrText>
        </w:r>
        <w:r w:rsidRPr="00AC1BE0">
          <w:rPr>
            <w:noProof/>
            <w:webHidden/>
            <w:sz w:val="20"/>
            <w:szCs w:val="20"/>
          </w:rPr>
        </w:r>
        <w:r w:rsidRPr="00AC1BE0">
          <w:rPr>
            <w:noProof/>
            <w:webHidden/>
            <w:sz w:val="20"/>
            <w:szCs w:val="20"/>
          </w:rPr>
          <w:fldChar w:fldCharType="separate"/>
        </w:r>
        <w:r w:rsidR="005314A4">
          <w:rPr>
            <w:noProof/>
            <w:webHidden/>
            <w:sz w:val="20"/>
            <w:szCs w:val="20"/>
          </w:rPr>
          <w:t>62</w:t>
        </w:r>
        <w:r w:rsidRPr="00AC1BE0">
          <w:rPr>
            <w:noProof/>
            <w:webHidden/>
            <w:sz w:val="20"/>
            <w:szCs w:val="20"/>
          </w:rPr>
          <w:fldChar w:fldCharType="end"/>
        </w:r>
      </w:hyperlink>
    </w:p>
    <w:p w:rsidR="00AC1BE0" w:rsidRPr="00AC1BE0" w:rsidRDefault="006B40AE" w:rsidP="00E94154">
      <w:pPr>
        <w:pStyle w:val="TableofFigures"/>
        <w:tabs>
          <w:tab w:val="right" w:leader="dot" w:pos="10080"/>
        </w:tabs>
        <w:ind w:left="-270" w:right="-720"/>
        <w:rPr>
          <w:rFonts w:asciiTheme="minorHAnsi" w:eastAsiaTheme="minorEastAsia" w:hAnsiTheme="minorHAnsi" w:cstheme="minorBidi"/>
          <w:noProof/>
          <w:sz w:val="20"/>
          <w:szCs w:val="20"/>
        </w:rPr>
      </w:pPr>
      <w:hyperlink w:anchor="_Toc264226798" w:history="1">
        <w:r w:rsidR="00AC1BE0" w:rsidRPr="00AC1BE0">
          <w:rPr>
            <w:rStyle w:val="Hyperlink"/>
            <w:noProof/>
            <w:sz w:val="20"/>
            <w:szCs w:val="20"/>
          </w:rPr>
          <w:t>Figure 41. Belarusian Railways: Operating Performance in 2008 Compared with 2004</w:t>
        </w:r>
        <w:r w:rsidR="00AC1BE0" w:rsidRPr="00AC1BE0">
          <w:rPr>
            <w:noProof/>
            <w:webHidden/>
            <w:sz w:val="20"/>
            <w:szCs w:val="20"/>
          </w:rPr>
          <w:tab/>
        </w:r>
        <w:r w:rsidRPr="00AC1BE0">
          <w:rPr>
            <w:noProof/>
            <w:webHidden/>
            <w:sz w:val="20"/>
            <w:szCs w:val="20"/>
          </w:rPr>
          <w:fldChar w:fldCharType="begin"/>
        </w:r>
        <w:r w:rsidR="00AC1BE0" w:rsidRPr="00AC1BE0">
          <w:rPr>
            <w:noProof/>
            <w:webHidden/>
            <w:sz w:val="20"/>
            <w:szCs w:val="20"/>
          </w:rPr>
          <w:instrText xml:space="preserve"> PAGEREF _Toc264226798 \h </w:instrText>
        </w:r>
        <w:r w:rsidRPr="00AC1BE0">
          <w:rPr>
            <w:noProof/>
            <w:webHidden/>
            <w:sz w:val="20"/>
            <w:szCs w:val="20"/>
          </w:rPr>
        </w:r>
        <w:r w:rsidRPr="00AC1BE0">
          <w:rPr>
            <w:noProof/>
            <w:webHidden/>
            <w:sz w:val="20"/>
            <w:szCs w:val="20"/>
          </w:rPr>
          <w:fldChar w:fldCharType="separate"/>
        </w:r>
        <w:r w:rsidR="005314A4">
          <w:rPr>
            <w:noProof/>
            <w:webHidden/>
            <w:sz w:val="20"/>
            <w:szCs w:val="20"/>
          </w:rPr>
          <w:t>67</w:t>
        </w:r>
        <w:r w:rsidRPr="00AC1BE0">
          <w:rPr>
            <w:noProof/>
            <w:webHidden/>
            <w:sz w:val="20"/>
            <w:szCs w:val="20"/>
          </w:rPr>
          <w:fldChar w:fldCharType="end"/>
        </w:r>
      </w:hyperlink>
    </w:p>
    <w:p w:rsidR="00AC1BE0" w:rsidRPr="00AC1BE0" w:rsidRDefault="006B40AE" w:rsidP="00E94154">
      <w:pPr>
        <w:pStyle w:val="TableofFigures"/>
        <w:tabs>
          <w:tab w:val="right" w:leader="dot" w:pos="10080"/>
        </w:tabs>
        <w:ind w:left="-270" w:right="-720"/>
        <w:rPr>
          <w:rFonts w:asciiTheme="minorHAnsi" w:eastAsiaTheme="minorEastAsia" w:hAnsiTheme="minorHAnsi" w:cstheme="minorBidi"/>
          <w:noProof/>
          <w:sz w:val="20"/>
          <w:szCs w:val="20"/>
        </w:rPr>
      </w:pPr>
      <w:hyperlink w:anchor="_Toc264226799" w:history="1">
        <w:r w:rsidR="00AC1BE0" w:rsidRPr="00AC1BE0">
          <w:rPr>
            <w:rStyle w:val="Hyperlink"/>
            <w:noProof/>
            <w:sz w:val="20"/>
            <w:szCs w:val="20"/>
          </w:rPr>
          <w:t>Figure 42. Typology of Logistics Costs</w:t>
        </w:r>
        <w:r w:rsidR="00AC1BE0" w:rsidRPr="00AC1BE0">
          <w:rPr>
            <w:noProof/>
            <w:webHidden/>
            <w:sz w:val="20"/>
            <w:szCs w:val="20"/>
          </w:rPr>
          <w:tab/>
        </w:r>
        <w:r w:rsidRPr="00AC1BE0">
          <w:rPr>
            <w:noProof/>
            <w:webHidden/>
            <w:sz w:val="20"/>
            <w:szCs w:val="20"/>
          </w:rPr>
          <w:fldChar w:fldCharType="begin"/>
        </w:r>
        <w:r w:rsidR="00AC1BE0" w:rsidRPr="00AC1BE0">
          <w:rPr>
            <w:noProof/>
            <w:webHidden/>
            <w:sz w:val="20"/>
            <w:szCs w:val="20"/>
          </w:rPr>
          <w:instrText xml:space="preserve"> PAGEREF _Toc264226799 \h </w:instrText>
        </w:r>
        <w:r w:rsidRPr="00AC1BE0">
          <w:rPr>
            <w:noProof/>
            <w:webHidden/>
            <w:sz w:val="20"/>
            <w:szCs w:val="20"/>
          </w:rPr>
        </w:r>
        <w:r w:rsidRPr="00AC1BE0">
          <w:rPr>
            <w:noProof/>
            <w:webHidden/>
            <w:sz w:val="20"/>
            <w:szCs w:val="20"/>
          </w:rPr>
          <w:fldChar w:fldCharType="separate"/>
        </w:r>
        <w:r w:rsidR="005314A4">
          <w:rPr>
            <w:noProof/>
            <w:webHidden/>
            <w:sz w:val="20"/>
            <w:szCs w:val="20"/>
          </w:rPr>
          <w:t>68</w:t>
        </w:r>
        <w:r w:rsidRPr="00AC1BE0">
          <w:rPr>
            <w:noProof/>
            <w:webHidden/>
            <w:sz w:val="20"/>
            <w:szCs w:val="20"/>
          </w:rPr>
          <w:fldChar w:fldCharType="end"/>
        </w:r>
      </w:hyperlink>
    </w:p>
    <w:p w:rsidR="00AC1BE0" w:rsidRPr="00AC1BE0" w:rsidRDefault="006B40AE" w:rsidP="00E94154">
      <w:pPr>
        <w:pStyle w:val="TableofFigures"/>
        <w:tabs>
          <w:tab w:val="right" w:leader="dot" w:pos="10080"/>
        </w:tabs>
        <w:ind w:left="-270" w:right="-720"/>
        <w:rPr>
          <w:rFonts w:asciiTheme="minorHAnsi" w:eastAsiaTheme="minorEastAsia" w:hAnsiTheme="minorHAnsi" w:cstheme="minorBidi"/>
          <w:noProof/>
          <w:sz w:val="20"/>
          <w:szCs w:val="20"/>
        </w:rPr>
      </w:pPr>
      <w:hyperlink w:anchor="_Toc264226800" w:history="1">
        <w:r w:rsidR="00AC1BE0" w:rsidRPr="00AC1BE0">
          <w:rPr>
            <w:rStyle w:val="Hyperlink"/>
            <w:noProof/>
            <w:sz w:val="20"/>
            <w:szCs w:val="20"/>
          </w:rPr>
          <w:t>Figure 43. Logistics Costs of Manufacturing Firms in Selected Baltic Sea Region Countries, Regions and Cities in 2006-2007</w:t>
        </w:r>
        <w:r w:rsidR="00AC1BE0" w:rsidRPr="00AC1BE0">
          <w:rPr>
            <w:noProof/>
            <w:webHidden/>
            <w:sz w:val="20"/>
            <w:szCs w:val="20"/>
          </w:rPr>
          <w:tab/>
        </w:r>
        <w:r w:rsidRPr="00AC1BE0">
          <w:rPr>
            <w:noProof/>
            <w:webHidden/>
            <w:sz w:val="20"/>
            <w:szCs w:val="20"/>
          </w:rPr>
          <w:fldChar w:fldCharType="begin"/>
        </w:r>
        <w:r w:rsidR="00AC1BE0" w:rsidRPr="00AC1BE0">
          <w:rPr>
            <w:noProof/>
            <w:webHidden/>
            <w:sz w:val="20"/>
            <w:szCs w:val="20"/>
          </w:rPr>
          <w:instrText xml:space="preserve"> PAGEREF _Toc264226800 \h </w:instrText>
        </w:r>
        <w:r w:rsidRPr="00AC1BE0">
          <w:rPr>
            <w:noProof/>
            <w:webHidden/>
            <w:sz w:val="20"/>
            <w:szCs w:val="20"/>
          </w:rPr>
        </w:r>
        <w:r w:rsidRPr="00AC1BE0">
          <w:rPr>
            <w:noProof/>
            <w:webHidden/>
            <w:sz w:val="20"/>
            <w:szCs w:val="20"/>
          </w:rPr>
          <w:fldChar w:fldCharType="separate"/>
        </w:r>
        <w:r w:rsidR="005314A4">
          <w:rPr>
            <w:noProof/>
            <w:webHidden/>
            <w:sz w:val="20"/>
            <w:szCs w:val="20"/>
          </w:rPr>
          <w:t>70</w:t>
        </w:r>
        <w:r w:rsidRPr="00AC1BE0">
          <w:rPr>
            <w:noProof/>
            <w:webHidden/>
            <w:sz w:val="20"/>
            <w:szCs w:val="20"/>
          </w:rPr>
          <w:fldChar w:fldCharType="end"/>
        </w:r>
      </w:hyperlink>
    </w:p>
    <w:p w:rsidR="00AC1BE0" w:rsidRPr="00AC1BE0" w:rsidRDefault="006B40AE" w:rsidP="00E94154">
      <w:pPr>
        <w:pStyle w:val="TableofFigures"/>
        <w:tabs>
          <w:tab w:val="right" w:leader="dot" w:pos="10080"/>
        </w:tabs>
        <w:ind w:left="-270" w:right="-720"/>
        <w:rPr>
          <w:rFonts w:asciiTheme="minorHAnsi" w:eastAsiaTheme="minorEastAsia" w:hAnsiTheme="minorHAnsi" w:cstheme="minorBidi"/>
          <w:noProof/>
          <w:sz w:val="20"/>
          <w:szCs w:val="20"/>
        </w:rPr>
      </w:pPr>
      <w:hyperlink w:anchor="_Toc264226801" w:history="1">
        <w:r w:rsidR="00AC1BE0" w:rsidRPr="00AC1BE0">
          <w:rPr>
            <w:rStyle w:val="Hyperlink"/>
            <w:noProof/>
            <w:sz w:val="20"/>
            <w:szCs w:val="20"/>
          </w:rPr>
          <w:t>Figure 44. Logistics Costs of Trading Firms in Selected Baltic Sea Region Countries, Regions and Cities in 2006-2007</w:t>
        </w:r>
        <w:r w:rsidR="00AC1BE0" w:rsidRPr="00AC1BE0">
          <w:rPr>
            <w:noProof/>
            <w:webHidden/>
            <w:sz w:val="20"/>
            <w:szCs w:val="20"/>
          </w:rPr>
          <w:tab/>
        </w:r>
        <w:r w:rsidRPr="00AC1BE0">
          <w:rPr>
            <w:noProof/>
            <w:webHidden/>
            <w:sz w:val="20"/>
            <w:szCs w:val="20"/>
          </w:rPr>
          <w:fldChar w:fldCharType="begin"/>
        </w:r>
        <w:r w:rsidR="00AC1BE0" w:rsidRPr="00AC1BE0">
          <w:rPr>
            <w:noProof/>
            <w:webHidden/>
            <w:sz w:val="20"/>
            <w:szCs w:val="20"/>
          </w:rPr>
          <w:instrText xml:space="preserve"> PAGEREF _Toc264226801 \h </w:instrText>
        </w:r>
        <w:r w:rsidRPr="00AC1BE0">
          <w:rPr>
            <w:noProof/>
            <w:webHidden/>
            <w:sz w:val="20"/>
            <w:szCs w:val="20"/>
          </w:rPr>
        </w:r>
        <w:r w:rsidRPr="00AC1BE0">
          <w:rPr>
            <w:noProof/>
            <w:webHidden/>
            <w:sz w:val="20"/>
            <w:szCs w:val="20"/>
          </w:rPr>
          <w:fldChar w:fldCharType="separate"/>
        </w:r>
        <w:r w:rsidR="005314A4">
          <w:rPr>
            <w:noProof/>
            <w:webHidden/>
            <w:sz w:val="20"/>
            <w:szCs w:val="20"/>
          </w:rPr>
          <w:t>71</w:t>
        </w:r>
        <w:r w:rsidRPr="00AC1BE0">
          <w:rPr>
            <w:noProof/>
            <w:webHidden/>
            <w:sz w:val="20"/>
            <w:szCs w:val="20"/>
          </w:rPr>
          <w:fldChar w:fldCharType="end"/>
        </w:r>
      </w:hyperlink>
    </w:p>
    <w:p w:rsidR="00FA2F03" w:rsidRPr="00E00111" w:rsidRDefault="006B40AE" w:rsidP="00E94154">
      <w:pPr>
        <w:tabs>
          <w:tab w:val="right" w:leader="dot" w:pos="10080"/>
        </w:tabs>
        <w:ind w:left="-270" w:right="-720"/>
        <w:rPr>
          <w:sz w:val="20"/>
          <w:szCs w:val="20"/>
        </w:rPr>
      </w:pPr>
      <w:r w:rsidRPr="00AC1BE0">
        <w:rPr>
          <w:sz w:val="20"/>
          <w:szCs w:val="20"/>
        </w:rPr>
        <w:fldChar w:fldCharType="end"/>
      </w:r>
      <w:r w:rsidR="00BA1610" w:rsidRPr="00E00111">
        <w:rPr>
          <w:sz w:val="20"/>
          <w:szCs w:val="20"/>
        </w:rPr>
        <w:t xml:space="preserve"> </w:t>
      </w:r>
    </w:p>
    <w:p w:rsidR="00BE38CB" w:rsidRPr="00490F8C" w:rsidRDefault="00BE38CB" w:rsidP="00490F8C">
      <w:pPr>
        <w:pStyle w:val="Title"/>
        <w:keepNext/>
        <w:pageBreakBefore/>
        <w:pBdr>
          <w:bottom w:val="none" w:sz="0" w:space="0" w:color="auto"/>
        </w:pBdr>
        <w:spacing w:before="360" w:after="240"/>
        <w:contextualSpacing w:val="0"/>
        <w:jc w:val="center"/>
        <w:rPr>
          <w:rFonts w:ascii="Times New Roman Bold" w:hAnsi="Times New Roman Bold"/>
          <w:b/>
          <w:smallCaps/>
          <w:color w:val="auto"/>
          <w:sz w:val="32"/>
        </w:rPr>
      </w:pPr>
      <w:r w:rsidRPr="00490F8C">
        <w:rPr>
          <w:rFonts w:ascii="Times New Roman Bold" w:hAnsi="Times New Roman Bold"/>
          <w:b/>
          <w:smallCaps/>
          <w:color w:val="auto"/>
          <w:sz w:val="32"/>
        </w:rPr>
        <w:lastRenderedPageBreak/>
        <w:t>L</w:t>
      </w:r>
      <w:r w:rsidR="00D5363E" w:rsidRPr="00490F8C">
        <w:rPr>
          <w:rFonts w:ascii="Times New Roman Bold" w:hAnsi="Times New Roman Bold"/>
          <w:b/>
          <w:smallCaps/>
          <w:color w:val="auto"/>
          <w:sz w:val="32"/>
        </w:rPr>
        <w:t>ist of Tabl</w:t>
      </w:r>
      <w:r w:rsidR="00796155" w:rsidRPr="00490F8C">
        <w:rPr>
          <w:rFonts w:ascii="Times New Roman Bold" w:hAnsi="Times New Roman Bold"/>
          <w:b/>
          <w:smallCaps/>
          <w:color w:val="auto"/>
          <w:sz w:val="32"/>
        </w:rPr>
        <w:t>es</w:t>
      </w:r>
    </w:p>
    <w:p w:rsidR="0079134C" w:rsidRPr="00A04BBD" w:rsidRDefault="0079134C" w:rsidP="0079134C">
      <w:pPr>
        <w:rPr>
          <w:sz w:val="20"/>
          <w:szCs w:val="20"/>
        </w:rPr>
      </w:pPr>
    </w:p>
    <w:p w:rsidR="00975628" w:rsidRPr="00975628" w:rsidRDefault="006B40AE">
      <w:pPr>
        <w:pStyle w:val="TableofFigures"/>
        <w:tabs>
          <w:tab w:val="right" w:leader="dot" w:pos="9350"/>
        </w:tabs>
        <w:rPr>
          <w:rFonts w:eastAsiaTheme="minorEastAsia"/>
          <w:noProof/>
          <w:sz w:val="20"/>
          <w:szCs w:val="20"/>
        </w:rPr>
      </w:pPr>
      <w:r w:rsidRPr="00975628">
        <w:rPr>
          <w:sz w:val="20"/>
          <w:szCs w:val="20"/>
        </w:rPr>
        <w:fldChar w:fldCharType="begin"/>
      </w:r>
      <w:r w:rsidR="00FA4DAC" w:rsidRPr="00975628">
        <w:rPr>
          <w:sz w:val="20"/>
          <w:szCs w:val="20"/>
        </w:rPr>
        <w:instrText xml:space="preserve"> TOC \h \z \c "Table" </w:instrText>
      </w:r>
      <w:r w:rsidRPr="00975628">
        <w:rPr>
          <w:sz w:val="20"/>
          <w:szCs w:val="20"/>
        </w:rPr>
        <w:fldChar w:fldCharType="separate"/>
      </w:r>
      <w:hyperlink w:anchor="_Toc264227128" w:history="1">
        <w:r w:rsidR="00975628" w:rsidRPr="00975628">
          <w:rPr>
            <w:rStyle w:val="Hyperlink"/>
            <w:noProof/>
            <w:sz w:val="20"/>
            <w:szCs w:val="20"/>
          </w:rPr>
          <w:t>Table 1. Sectoral Structure of Belarus GDP 2000-2008</w:t>
        </w:r>
        <w:r w:rsidR="00975628" w:rsidRPr="00975628">
          <w:rPr>
            <w:noProof/>
            <w:webHidden/>
            <w:sz w:val="20"/>
            <w:szCs w:val="20"/>
          </w:rPr>
          <w:tab/>
        </w:r>
        <w:r w:rsidRPr="00975628">
          <w:rPr>
            <w:noProof/>
            <w:webHidden/>
            <w:sz w:val="20"/>
            <w:szCs w:val="20"/>
          </w:rPr>
          <w:fldChar w:fldCharType="begin"/>
        </w:r>
        <w:r w:rsidR="00975628" w:rsidRPr="00975628">
          <w:rPr>
            <w:noProof/>
            <w:webHidden/>
            <w:sz w:val="20"/>
            <w:szCs w:val="20"/>
          </w:rPr>
          <w:instrText xml:space="preserve"> PAGEREF _Toc264227128 \h </w:instrText>
        </w:r>
        <w:r w:rsidRPr="00975628">
          <w:rPr>
            <w:noProof/>
            <w:webHidden/>
            <w:sz w:val="20"/>
            <w:szCs w:val="20"/>
          </w:rPr>
        </w:r>
        <w:r w:rsidRPr="00975628">
          <w:rPr>
            <w:noProof/>
            <w:webHidden/>
            <w:sz w:val="20"/>
            <w:szCs w:val="20"/>
          </w:rPr>
          <w:fldChar w:fldCharType="separate"/>
        </w:r>
        <w:r w:rsidR="005314A4">
          <w:rPr>
            <w:noProof/>
            <w:webHidden/>
            <w:sz w:val="20"/>
            <w:szCs w:val="20"/>
          </w:rPr>
          <w:t>7</w:t>
        </w:r>
        <w:r w:rsidRPr="00975628">
          <w:rPr>
            <w:noProof/>
            <w:webHidden/>
            <w:sz w:val="20"/>
            <w:szCs w:val="20"/>
          </w:rPr>
          <w:fldChar w:fldCharType="end"/>
        </w:r>
      </w:hyperlink>
    </w:p>
    <w:p w:rsidR="00975628" w:rsidRPr="00975628" w:rsidRDefault="006B40AE">
      <w:pPr>
        <w:pStyle w:val="TableofFigures"/>
        <w:tabs>
          <w:tab w:val="right" w:leader="dot" w:pos="9350"/>
        </w:tabs>
        <w:rPr>
          <w:rFonts w:eastAsiaTheme="minorEastAsia"/>
          <w:noProof/>
          <w:sz w:val="20"/>
          <w:szCs w:val="20"/>
        </w:rPr>
      </w:pPr>
      <w:hyperlink w:anchor="_Toc264227129" w:history="1">
        <w:r w:rsidR="00975628" w:rsidRPr="00975628">
          <w:rPr>
            <w:rStyle w:val="Hyperlink"/>
            <w:noProof/>
            <w:sz w:val="20"/>
            <w:szCs w:val="20"/>
          </w:rPr>
          <w:t>Table 2. Employees in the Transport Sector in Belarus 2000-2008 (in thousands of persons)</w:t>
        </w:r>
        <w:r w:rsidR="00975628" w:rsidRPr="00975628">
          <w:rPr>
            <w:noProof/>
            <w:webHidden/>
            <w:sz w:val="20"/>
            <w:szCs w:val="20"/>
          </w:rPr>
          <w:tab/>
        </w:r>
        <w:r w:rsidRPr="00975628">
          <w:rPr>
            <w:noProof/>
            <w:webHidden/>
            <w:sz w:val="20"/>
            <w:szCs w:val="20"/>
          </w:rPr>
          <w:fldChar w:fldCharType="begin"/>
        </w:r>
        <w:r w:rsidR="00975628" w:rsidRPr="00975628">
          <w:rPr>
            <w:noProof/>
            <w:webHidden/>
            <w:sz w:val="20"/>
            <w:szCs w:val="20"/>
          </w:rPr>
          <w:instrText xml:space="preserve"> PAGEREF _Toc264227129 \h </w:instrText>
        </w:r>
        <w:r w:rsidRPr="00975628">
          <w:rPr>
            <w:noProof/>
            <w:webHidden/>
            <w:sz w:val="20"/>
            <w:szCs w:val="20"/>
          </w:rPr>
        </w:r>
        <w:r w:rsidRPr="00975628">
          <w:rPr>
            <w:noProof/>
            <w:webHidden/>
            <w:sz w:val="20"/>
            <w:szCs w:val="20"/>
          </w:rPr>
          <w:fldChar w:fldCharType="separate"/>
        </w:r>
        <w:r w:rsidR="005314A4">
          <w:rPr>
            <w:noProof/>
            <w:webHidden/>
            <w:sz w:val="20"/>
            <w:szCs w:val="20"/>
          </w:rPr>
          <w:t>7</w:t>
        </w:r>
        <w:r w:rsidRPr="00975628">
          <w:rPr>
            <w:noProof/>
            <w:webHidden/>
            <w:sz w:val="20"/>
            <w:szCs w:val="20"/>
          </w:rPr>
          <w:fldChar w:fldCharType="end"/>
        </w:r>
      </w:hyperlink>
    </w:p>
    <w:p w:rsidR="00975628" w:rsidRPr="00975628" w:rsidRDefault="006B40AE">
      <w:pPr>
        <w:pStyle w:val="TableofFigures"/>
        <w:tabs>
          <w:tab w:val="right" w:leader="dot" w:pos="9350"/>
        </w:tabs>
        <w:rPr>
          <w:rFonts w:eastAsiaTheme="minorEastAsia"/>
          <w:noProof/>
          <w:sz w:val="20"/>
          <w:szCs w:val="20"/>
        </w:rPr>
      </w:pPr>
      <w:hyperlink w:anchor="_Toc264227130" w:history="1">
        <w:r w:rsidR="00975628" w:rsidRPr="00975628">
          <w:rPr>
            <w:rStyle w:val="Hyperlink"/>
            <w:noProof/>
            <w:sz w:val="20"/>
            <w:szCs w:val="20"/>
          </w:rPr>
          <w:t>Table 3. Operational Risk Ratings of Selected CIS Countries (2009)</w:t>
        </w:r>
        <w:r w:rsidR="00975628" w:rsidRPr="00975628">
          <w:rPr>
            <w:noProof/>
            <w:webHidden/>
            <w:sz w:val="20"/>
            <w:szCs w:val="20"/>
          </w:rPr>
          <w:tab/>
        </w:r>
        <w:r w:rsidRPr="00975628">
          <w:rPr>
            <w:noProof/>
            <w:webHidden/>
            <w:sz w:val="20"/>
            <w:szCs w:val="20"/>
          </w:rPr>
          <w:fldChar w:fldCharType="begin"/>
        </w:r>
        <w:r w:rsidR="00975628" w:rsidRPr="00975628">
          <w:rPr>
            <w:noProof/>
            <w:webHidden/>
            <w:sz w:val="20"/>
            <w:szCs w:val="20"/>
          </w:rPr>
          <w:instrText xml:space="preserve"> PAGEREF _Toc264227130 \h </w:instrText>
        </w:r>
        <w:r w:rsidRPr="00975628">
          <w:rPr>
            <w:noProof/>
            <w:webHidden/>
            <w:sz w:val="20"/>
            <w:szCs w:val="20"/>
          </w:rPr>
        </w:r>
        <w:r w:rsidRPr="00975628">
          <w:rPr>
            <w:noProof/>
            <w:webHidden/>
            <w:sz w:val="20"/>
            <w:szCs w:val="20"/>
          </w:rPr>
          <w:fldChar w:fldCharType="separate"/>
        </w:r>
        <w:r w:rsidR="005314A4">
          <w:rPr>
            <w:noProof/>
            <w:webHidden/>
            <w:sz w:val="20"/>
            <w:szCs w:val="20"/>
          </w:rPr>
          <w:t>13</w:t>
        </w:r>
        <w:r w:rsidRPr="00975628">
          <w:rPr>
            <w:noProof/>
            <w:webHidden/>
            <w:sz w:val="20"/>
            <w:szCs w:val="20"/>
          </w:rPr>
          <w:fldChar w:fldCharType="end"/>
        </w:r>
      </w:hyperlink>
    </w:p>
    <w:p w:rsidR="00975628" w:rsidRPr="00975628" w:rsidRDefault="006B40AE">
      <w:pPr>
        <w:pStyle w:val="TableofFigures"/>
        <w:tabs>
          <w:tab w:val="right" w:leader="dot" w:pos="9350"/>
        </w:tabs>
        <w:rPr>
          <w:rFonts w:eastAsiaTheme="minorEastAsia"/>
          <w:noProof/>
          <w:sz w:val="20"/>
          <w:szCs w:val="20"/>
        </w:rPr>
      </w:pPr>
      <w:hyperlink w:anchor="_Toc264227131" w:history="1">
        <w:r w:rsidR="00975628" w:rsidRPr="00975628">
          <w:rPr>
            <w:rStyle w:val="Hyperlink"/>
            <w:noProof/>
            <w:sz w:val="20"/>
            <w:szCs w:val="20"/>
          </w:rPr>
          <w:t>Table 4. International Comparison of Rank Changes in the Doing Business Index (2009-2010)</w:t>
        </w:r>
        <w:r w:rsidR="00975628" w:rsidRPr="00975628">
          <w:rPr>
            <w:noProof/>
            <w:webHidden/>
            <w:sz w:val="20"/>
            <w:szCs w:val="20"/>
          </w:rPr>
          <w:tab/>
        </w:r>
        <w:r w:rsidRPr="00975628">
          <w:rPr>
            <w:noProof/>
            <w:webHidden/>
            <w:sz w:val="20"/>
            <w:szCs w:val="20"/>
          </w:rPr>
          <w:fldChar w:fldCharType="begin"/>
        </w:r>
        <w:r w:rsidR="00975628" w:rsidRPr="00975628">
          <w:rPr>
            <w:noProof/>
            <w:webHidden/>
            <w:sz w:val="20"/>
            <w:szCs w:val="20"/>
          </w:rPr>
          <w:instrText xml:space="preserve"> PAGEREF _Toc264227131 \h </w:instrText>
        </w:r>
        <w:r w:rsidRPr="00975628">
          <w:rPr>
            <w:noProof/>
            <w:webHidden/>
            <w:sz w:val="20"/>
            <w:szCs w:val="20"/>
          </w:rPr>
        </w:r>
        <w:r w:rsidRPr="00975628">
          <w:rPr>
            <w:noProof/>
            <w:webHidden/>
            <w:sz w:val="20"/>
            <w:szCs w:val="20"/>
          </w:rPr>
          <w:fldChar w:fldCharType="separate"/>
        </w:r>
        <w:r w:rsidR="005314A4">
          <w:rPr>
            <w:noProof/>
            <w:webHidden/>
            <w:sz w:val="20"/>
            <w:szCs w:val="20"/>
          </w:rPr>
          <w:t>14</w:t>
        </w:r>
        <w:r w:rsidRPr="00975628">
          <w:rPr>
            <w:noProof/>
            <w:webHidden/>
            <w:sz w:val="20"/>
            <w:szCs w:val="20"/>
          </w:rPr>
          <w:fldChar w:fldCharType="end"/>
        </w:r>
      </w:hyperlink>
    </w:p>
    <w:p w:rsidR="00975628" w:rsidRPr="00975628" w:rsidRDefault="006B40AE">
      <w:pPr>
        <w:pStyle w:val="TableofFigures"/>
        <w:tabs>
          <w:tab w:val="right" w:leader="dot" w:pos="9350"/>
        </w:tabs>
        <w:rPr>
          <w:rFonts w:eastAsiaTheme="minorEastAsia"/>
          <w:noProof/>
          <w:sz w:val="20"/>
          <w:szCs w:val="20"/>
        </w:rPr>
      </w:pPr>
      <w:hyperlink w:anchor="_Toc264227132" w:history="1">
        <w:r w:rsidR="00975628" w:rsidRPr="00975628">
          <w:rPr>
            <w:rStyle w:val="Hyperlink"/>
            <w:noProof/>
            <w:sz w:val="20"/>
            <w:szCs w:val="20"/>
          </w:rPr>
          <w:t>Table 5. Rank Changes in the Components of the Doing Business Index for Belarus (2009-2010)</w:t>
        </w:r>
        <w:r w:rsidR="00975628" w:rsidRPr="00975628">
          <w:rPr>
            <w:noProof/>
            <w:webHidden/>
            <w:sz w:val="20"/>
            <w:szCs w:val="20"/>
          </w:rPr>
          <w:tab/>
        </w:r>
        <w:r w:rsidRPr="00975628">
          <w:rPr>
            <w:noProof/>
            <w:webHidden/>
            <w:sz w:val="20"/>
            <w:szCs w:val="20"/>
          </w:rPr>
          <w:fldChar w:fldCharType="begin"/>
        </w:r>
        <w:r w:rsidR="00975628" w:rsidRPr="00975628">
          <w:rPr>
            <w:noProof/>
            <w:webHidden/>
            <w:sz w:val="20"/>
            <w:szCs w:val="20"/>
          </w:rPr>
          <w:instrText xml:space="preserve"> PAGEREF _Toc264227132 \h </w:instrText>
        </w:r>
        <w:r w:rsidRPr="00975628">
          <w:rPr>
            <w:noProof/>
            <w:webHidden/>
            <w:sz w:val="20"/>
            <w:szCs w:val="20"/>
          </w:rPr>
        </w:r>
        <w:r w:rsidRPr="00975628">
          <w:rPr>
            <w:noProof/>
            <w:webHidden/>
            <w:sz w:val="20"/>
            <w:szCs w:val="20"/>
          </w:rPr>
          <w:fldChar w:fldCharType="separate"/>
        </w:r>
        <w:r w:rsidR="005314A4">
          <w:rPr>
            <w:noProof/>
            <w:webHidden/>
            <w:sz w:val="20"/>
            <w:szCs w:val="20"/>
          </w:rPr>
          <w:t>14</w:t>
        </w:r>
        <w:r w:rsidRPr="00975628">
          <w:rPr>
            <w:noProof/>
            <w:webHidden/>
            <w:sz w:val="20"/>
            <w:szCs w:val="20"/>
          </w:rPr>
          <w:fldChar w:fldCharType="end"/>
        </w:r>
      </w:hyperlink>
    </w:p>
    <w:p w:rsidR="00975628" w:rsidRPr="00975628" w:rsidRDefault="006B40AE">
      <w:pPr>
        <w:pStyle w:val="TableofFigures"/>
        <w:tabs>
          <w:tab w:val="right" w:leader="dot" w:pos="9350"/>
        </w:tabs>
        <w:rPr>
          <w:rFonts w:eastAsiaTheme="minorEastAsia"/>
          <w:noProof/>
          <w:sz w:val="20"/>
          <w:szCs w:val="20"/>
        </w:rPr>
      </w:pPr>
      <w:hyperlink w:anchor="_Toc264227133" w:history="1">
        <w:r w:rsidR="00975628" w:rsidRPr="00975628">
          <w:rPr>
            <w:rStyle w:val="Hyperlink"/>
            <w:noProof/>
            <w:sz w:val="20"/>
            <w:szCs w:val="20"/>
          </w:rPr>
          <w:t>Table 6. Total Transport Share of Pollutants Emissions in Belarus 2002-2007</w:t>
        </w:r>
        <w:r w:rsidR="00975628" w:rsidRPr="00975628">
          <w:rPr>
            <w:noProof/>
            <w:webHidden/>
            <w:sz w:val="20"/>
            <w:szCs w:val="20"/>
          </w:rPr>
          <w:tab/>
        </w:r>
        <w:r w:rsidRPr="00975628">
          <w:rPr>
            <w:noProof/>
            <w:webHidden/>
            <w:sz w:val="20"/>
            <w:szCs w:val="20"/>
          </w:rPr>
          <w:fldChar w:fldCharType="begin"/>
        </w:r>
        <w:r w:rsidR="00975628" w:rsidRPr="00975628">
          <w:rPr>
            <w:noProof/>
            <w:webHidden/>
            <w:sz w:val="20"/>
            <w:szCs w:val="20"/>
          </w:rPr>
          <w:instrText xml:space="preserve"> PAGEREF _Toc264227133 \h </w:instrText>
        </w:r>
        <w:r w:rsidRPr="00975628">
          <w:rPr>
            <w:noProof/>
            <w:webHidden/>
            <w:sz w:val="20"/>
            <w:szCs w:val="20"/>
          </w:rPr>
        </w:r>
        <w:r w:rsidRPr="00975628">
          <w:rPr>
            <w:noProof/>
            <w:webHidden/>
            <w:sz w:val="20"/>
            <w:szCs w:val="20"/>
          </w:rPr>
          <w:fldChar w:fldCharType="separate"/>
        </w:r>
        <w:r w:rsidR="005314A4">
          <w:rPr>
            <w:noProof/>
            <w:webHidden/>
            <w:sz w:val="20"/>
            <w:szCs w:val="20"/>
          </w:rPr>
          <w:t>26</w:t>
        </w:r>
        <w:r w:rsidRPr="00975628">
          <w:rPr>
            <w:noProof/>
            <w:webHidden/>
            <w:sz w:val="20"/>
            <w:szCs w:val="20"/>
          </w:rPr>
          <w:fldChar w:fldCharType="end"/>
        </w:r>
      </w:hyperlink>
    </w:p>
    <w:p w:rsidR="00975628" w:rsidRPr="00975628" w:rsidRDefault="006B40AE">
      <w:pPr>
        <w:pStyle w:val="TableofFigures"/>
        <w:tabs>
          <w:tab w:val="right" w:leader="dot" w:pos="9350"/>
        </w:tabs>
        <w:rPr>
          <w:rFonts w:eastAsiaTheme="minorEastAsia"/>
          <w:noProof/>
          <w:sz w:val="20"/>
          <w:szCs w:val="20"/>
        </w:rPr>
      </w:pPr>
      <w:hyperlink w:anchor="_Toc264227134" w:history="1">
        <w:r w:rsidR="00975628" w:rsidRPr="00975628">
          <w:rPr>
            <w:rStyle w:val="Hyperlink"/>
            <w:noProof/>
            <w:sz w:val="20"/>
            <w:szCs w:val="20"/>
          </w:rPr>
          <w:t>Table 7. Road Transport in Belarus: Number of Registered Vehicles by age 2003-2007</w:t>
        </w:r>
        <w:r w:rsidR="00975628" w:rsidRPr="00975628">
          <w:rPr>
            <w:noProof/>
            <w:webHidden/>
            <w:sz w:val="20"/>
            <w:szCs w:val="20"/>
          </w:rPr>
          <w:tab/>
        </w:r>
        <w:r w:rsidRPr="00975628">
          <w:rPr>
            <w:noProof/>
            <w:webHidden/>
            <w:sz w:val="20"/>
            <w:szCs w:val="20"/>
          </w:rPr>
          <w:fldChar w:fldCharType="begin"/>
        </w:r>
        <w:r w:rsidR="00975628" w:rsidRPr="00975628">
          <w:rPr>
            <w:noProof/>
            <w:webHidden/>
            <w:sz w:val="20"/>
            <w:szCs w:val="20"/>
          </w:rPr>
          <w:instrText xml:space="preserve"> PAGEREF _Toc264227134 \h </w:instrText>
        </w:r>
        <w:r w:rsidRPr="00975628">
          <w:rPr>
            <w:noProof/>
            <w:webHidden/>
            <w:sz w:val="20"/>
            <w:szCs w:val="20"/>
          </w:rPr>
        </w:r>
        <w:r w:rsidRPr="00975628">
          <w:rPr>
            <w:noProof/>
            <w:webHidden/>
            <w:sz w:val="20"/>
            <w:szCs w:val="20"/>
          </w:rPr>
          <w:fldChar w:fldCharType="separate"/>
        </w:r>
        <w:r w:rsidR="005314A4">
          <w:rPr>
            <w:noProof/>
            <w:webHidden/>
            <w:sz w:val="20"/>
            <w:szCs w:val="20"/>
          </w:rPr>
          <w:t>27</w:t>
        </w:r>
        <w:r w:rsidRPr="00975628">
          <w:rPr>
            <w:noProof/>
            <w:webHidden/>
            <w:sz w:val="20"/>
            <w:szCs w:val="20"/>
          </w:rPr>
          <w:fldChar w:fldCharType="end"/>
        </w:r>
      </w:hyperlink>
    </w:p>
    <w:p w:rsidR="00975628" w:rsidRPr="00975628" w:rsidRDefault="006B40AE">
      <w:pPr>
        <w:pStyle w:val="TableofFigures"/>
        <w:tabs>
          <w:tab w:val="right" w:leader="dot" w:pos="9350"/>
        </w:tabs>
        <w:rPr>
          <w:rFonts w:eastAsiaTheme="minorEastAsia"/>
          <w:noProof/>
          <w:sz w:val="20"/>
          <w:szCs w:val="20"/>
        </w:rPr>
      </w:pPr>
      <w:hyperlink w:anchor="_Toc264227135" w:history="1">
        <w:r w:rsidR="00975628" w:rsidRPr="00975628">
          <w:rPr>
            <w:rStyle w:val="Hyperlink"/>
            <w:noProof/>
            <w:sz w:val="20"/>
            <w:szCs w:val="20"/>
          </w:rPr>
          <w:t>Table 8. CO</w:t>
        </w:r>
        <w:r w:rsidR="00975628" w:rsidRPr="00975628">
          <w:rPr>
            <w:rStyle w:val="Hyperlink"/>
            <w:noProof/>
            <w:sz w:val="20"/>
            <w:szCs w:val="20"/>
            <w:vertAlign w:val="superscript"/>
          </w:rPr>
          <w:t>2</w:t>
        </w:r>
        <w:r w:rsidR="00975628" w:rsidRPr="00975628">
          <w:rPr>
            <w:rStyle w:val="Hyperlink"/>
            <w:noProof/>
            <w:sz w:val="20"/>
            <w:szCs w:val="20"/>
          </w:rPr>
          <w:t xml:space="preserve"> Per Capita Emissions in Belarus and CIS countries 2007</w:t>
        </w:r>
        <w:r w:rsidR="00975628" w:rsidRPr="00975628">
          <w:rPr>
            <w:noProof/>
            <w:webHidden/>
            <w:sz w:val="20"/>
            <w:szCs w:val="20"/>
          </w:rPr>
          <w:tab/>
        </w:r>
        <w:r w:rsidRPr="00975628">
          <w:rPr>
            <w:noProof/>
            <w:webHidden/>
            <w:sz w:val="20"/>
            <w:szCs w:val="20"/>
          </w:rPr>
          <w:fldChar w:fldCharType="begin"/>
        </w:r>
        <w:r w:rsidR="00975628" w:rsidRPr="00975628">
          <w:rPr>
            <w:noProof/>
            <w:webHidden/>
            <w:sz w:val="20"/>
            <w:szCs w:val="20"/>
          </w:rPr>
          <w:instrText xml:space="preserve"> PAGEREF _Toc264227135 \h </w:instrText>
        </w:r>
        <w:r w:rsidRPr="00975628">
          <w:rPr>
            <w:noProof/>
            <w:webHidden/>
            <w:sz w:val="20"/>
            <w:szCs w:val="20"/>
          </w:rPr>
        </w:r>
        <w:r w:rsidRPr="00975628">
          <w:rPr>
            <w:noProof/>
            <w:webHidden/>
            <w:sz w:val="20"/>
            <w:szCs w:val="20"/>
          </w:rPr>
          <w:fldChar w:fldCharType="separate"/>
        </w:r>
        <w:r w:rsidR="005314A4">
          <w:rPr>
            <w:noProof/>
            <w:webHidden/>
            <w:sz w:val="20"/>
            <w:szCs w:val="20"/>
          </w:rPr>
          <w:t>28</w:t>
        </w:r>
        <w:r w:rsidRPr="00975628">
          <w:rPr>
            <w:noProof/>
            <w:webHidden/>
            <w:sz w:val="20"/>
            <w:szCs w:val="20"/>
          </w:rPr>
          <w:fldChar w:fldCharType="end"/>
        </w:r>
      </w:hyperlink>
    </w:p>
    <w:p w:rsidR="00975628" w:rsidRPr="00975628" w:rsidRDefault="006B40AE">
      <w:pPr>
        <w:pStyle w:val="TableofFigures"/>
        <w:tabs>
          <w:tab w:val="right" w:leader="dot" w:pos="9350"/>
        </w:tabs>
        <w:rPr>
          <w:rFonts w:eastAsiaTheme="minorEastAsia"/>
          <w:noProof/>
          <w:sz w:val="20"/>
          <w:szCs w:val="20"/>
        </w:rPr>
      </w:pPr>
      <w:hyperlink w:anchor="_Toc264227136" w:history="1">
        <w:r w:rsidR="00975628" w:rsidRPr="00975628">
          <w:rPr>
            <w:rStyle w:val="Hyperlink"/>
            <w:noProof/>
            <w:sz w:val="20"/>
            <w:szCs w:val="20"/>
          </w:rPr>
          <w:t>Table 9. Government of Belarus “Black Spot Program” in 2008</w:t>
        </w:r>
        <w:r w:rsidR="00975628" w:rsidRPr="00975628">
          <w:rPr>
            <w:noProof/>
            <w:webHidden/>
            <w:sz w:val="20"/>
            <w:szCs w:val="20"/>
          </w:rPr>
          <w:tab/>
        </w:r>
        <w:r w:rsidRPr="00975628">
          <w:rPr>
            <w:noProof/>
            <w:webHidden/>
            <w:sz w:val="20"/>
            <w:szCs w:val="20"/>
          </w:rPr>
          <w:fldChar w:fldCharType="begin"/>
        </w:r>
        <w:r w:rsidR="00975628" w:rsidRPr="00975628">
          <w:rPr>
            <w:noProof/>
            <w:webHidden/>
            <w:sz w:val="20"/>
            <w:szCs w:val="20"/>
          </w:rPr>
          <w:instrText xml:space="preserve"> PAGEREF _Toc264227136 \h </w:instrText>
        </w:r>
        <w:r w:rsidRPr="00975628">
          <w:rPr>
            <w:noProof/>
            <w:webHidden/>
            <w:sz w:val="20"/>
            <w:szCs w:val="20"/>
          </w:rPr>
        </w:r>
        <w:r w:rsidRPr="00975628">
          <w:rPr>
            <w:noProof/>
            <w:webHidden/>
            <w:sz w:val="20"/>
            <w:szCs w:val="20"/>
          </w:rPr>
          <w:fldChar w:fldCharType="separate"/>
        </w:r>
        <w:r w:rsidR="005314A4">
          <w:rPr>
            <w:noProof/>
            <w:webHidden/>
            <w:sz w:val="20"/>
            <w:szCs w:val="20"/>
          </w:rPr>
          <w:t>29</w:t>
        </w:r>
        <w:r w:rsidRPr="00975628">
          <w:rPr>
            <w:noProof/>
            <w:webHidden/>
            <w:sz w:val="20"/>
            <w:szCs w:val="20"/>
          </w:rPr>
          <w:fldChar w:fldCharType="end"/>
        </w:r>
      </w:hyperlink>
    </w:p>
    <w:p w:rsidR="00975628" w:rsidRPr="00975628" w:rsidRDefault="006B40AE">
      <w:pPr>
        <w:pStyle w:val="TableofFigures"/>
        <w:tabs>
          <w:tab w:val="right" w:leader="dot" w:pos="9350"/>
        </w:tabs>
        <w:rPr>
          <w:rFonts w:eastAsiaTheme="minorEastAsia"/>
          <w:noProof/>
          <w:sz w:val="20"/>
          <w:szCs w:val="20"/>
        </w:rPr>
      </w:pPr>
      <w:hyperlink w:anchor="_Toc264227137" w:history="1">
        <w:r w:rsidR="00975628" w:rsidRPr="00975628">
          <w:rPr>
            <w:rStyle w:val="Hyperlink"/>
            <w:noProof/>
            <w:sz w:val="20"/>
            <w:szCs w:val="20"/>
          </w:rPr>
          <w:t>Table 10. Organization Structure of the Roads Sector</w:t>
        </w:r>
        <w:r w:rsidR="00975628" w:rsidRPr="00975628">
          <w:rPr>
            <w:noProof/>
            <w:webHidden/>
            <w:sz w:val="20"/>
            <w:szCs w:val="20"/>
          </w:rPr>
          <w:tab/>
        </w:r>
        <w:r w:rsidRPr="00975628">
          <w:rPr>
            <w:noProof/>
            <w:webHidden/>
            <w:sz w:val="20"/>
            <w:szCs w:val="20"/>
          </w:rPr>
          <w:fldChar w:fldCharType="begin"/>
        </w:r>
        <w:r w:rsidR="00975628" w:rsidRPr="00975628">
          <w:rPr>
            <w:noProof/>
            <w:webHidden/>
            <w:sz w:val="20"/>
            <w:szCs w:val="20"/>
          </w:rPr>
          <w:instrText xml:space="preserve"> PAGEREF _Toc264227137 \h </w:instrText>
        </w:r>
        <w:r w:rsidRPr="00975628">
          <w:rPr>
            <w:noProof/>
            <w:webHidden/>
            <w:sz w:val="20"/>
            <w:szCs w:val="20"/>
          </w:rPr>
        </w:r>
        <w:r w:rsidRPr="00975628">
          <w:rPr>
            <w:noProof/>
            <w:webHidden/>
            <w:sz w:val="20"/>
            <w:szCs w:val="20"/>
          </w:rPr>
          <w:fldChar w:fldCharType="separate"/>
        </w:r>
        <w:r w:rsidR="005314A4">
          <w:rPr>
            <w:noProof/>
            <w:webHidden/>
            <w:sz w:val="20"/>
            <w:szCs w:val="20"/>
          </w:rPr>
          <w:t>33</w:t>
        </w:r>
        <w:r w:rsidRPr="00975628">
          <w:rPr>
            <w:noProof/>
            <w:webHidden/>
            <w:sz w:val="20"/>
            <w:szCs w:val="20"/>
          </w:rPr>
          <w:fldChar w:fldCharType="end"/>
        </w:r>
      </w:hyperlink>
    </w:p>
    <w:p w:rsidR="00975628" w:rsidRPr="00975628" w:rsidRDefault="006B40AE">
      <w:pPr>
        <w:pStyle w:val="TableofFigures"/>
        <w:tabs>
          <w:tab w:val="right" w:leader="dot" w:pos="9350"/>
        </w:tabs>
        <w:rPr>
          <w:rFonts w:eastAsiaTheme="minorEastAsia"/>
          <w:noProof/>
          <w:sz w:val="20"/>
          <w:szCs w:val="20"/>
        </w:rPr>
      </w:pPr>
      <w:hyperlink w:anchor="_Toc264227138" w:history="1">
        <w:r w:rsidR="00975628" w:rsidRPr="00975628">
          <w:rPr>
            <w:rStyle w:val="Hyperlink"/>
            <w:noProof/>
            <w:sz w:val="20"/>
            <w:szCs w:val="20"/>
          </w:rPr>
          <w:t>Table 11. Road Sector in Belarus: Priority Investment Projects (as of January 2010)</w:t>
        </w:r>
        <w:r w:rsidR="00975628" w:rsidRPr="00975628">
          <w:rPr>
            <w:noProof/>
            <w:webHidden/>
            <w:sz w:val="20"/>
            <w:szCs w:val="20"/>
          </w:rPr>
          <w:tab/>
        </w:r>
        <w:r w:rsidRPr="00975628">
          <w:rPr>
            <w:noProof/>
            <w:webHidden/>
            <w:sz w:val="20"/>
            <w:szCs w:val="20"/>
          </w:rPr>
          <w:fldChar w:fldCharType="begin"/>
        </w:r>
        <w:r w:rsidR="00975628" w:rsidRPr="00975628">
          <w:rPr>
            <w:noProof/>
            <w:webHidden/>
            <w:sz w:val="20"/>
            <w:szCs w:val="20"/>
          </w:rPr>
          <w:instrText xml:space="preserve"> PAGEREF _Toc264227138 \h </w:instrText>
        </w:r>
        <w:r w:rsidRPr="00975628">
          <w:rPr>
            <w:noProof/>
            <w:webHidden/>
            <w:sz w:val="20"/>
            <w:szCs w:val="20"/>
          </w:rPr>
        </w:r>
        <w:r w:rsidRPr="00975628">
          <w:rPr>
            <w:noProof/>
            <w:webHidden/>
            <w:sz w:val="20"/>
            <w:szCs w:val="20"/>
          </w:rPr>
          <w:fldChar w:fldCharType="separate"/>
        </w:r>
        <w:r w:rsidR="005314A4">
          <w:rPr>
            <w:noProof/>
            <w:webHidden/>
            <w:sz w:val="20"/>
            <w:szCs w:val="20"/>
          </w:rPr>
          <w:t>37</w:t>
        </w:r>
        <w:r w:rsidRPr="00975628">
          <w:rPr>
            <w:noProof/>
            <w:webHidden/>
            <w:sz w:val="20"/>
            <w:szCs w:val="20"/>
          </w:rPr>
          <w:fldChar w:fldCharType="end"/>
        </w:r>
      </w:hyperlink>
    </w:p>
    <w:p w:rsidR="00975628" w:rsidRPr="00975628" w:rsidRDefault="006B40AE">
      <w:pPr>
        <w:pStyle w:val="TableofFigures"/>
        <w:tabs>
          <w:tab w:val="right" w:leader="dot" w:pos="9350"/>
        </w:tabs>
        <w:rPr>
          <w:rFonts w:eastAsiaTheme="minorEastAsia"/>
          <w:noProof/>
          <w:sz w:val="20"/>
          <w:szCs w:val="20"/>
        </w:rPr>
      </w:pPr>
      <w:hyperlink w:anchor="_Toc264227139" w:history="1">
        <w:r w:rsidR="00975628" w:rsidRPr="00975628">
          <w:rPr>
            <w:rStyle w:val="Hyperlink"/>
            <w:noProof/>
            <w:sz w:val="20"/>
            <w:szCs w:val="20"/>
          </w:rPr>
          <w:t>Table 12. Estimated Road Maintenance Needs 2010-2020 (US$ million)</w:t>
        </w:r>
        <w:r w:rsidR="00975628" w:rsidRPr="00975628">
          <w:rPr>
            <w:noProof/>
            <w:webHidden/>
            <w:sz w:val="20"/>
            <w:szCs w:val="20"/>
          </w:rPr>
          <w:tab/>
        </w:r>
        <w:r w:rsidRPr="00975628">
          <w:rPr>
            <w:noProof/>
            <w:webHidden/>
            <w:sz w:val="20"/>
            <w:szCs w:val="20"/>
          </w:rPr>
          <w:fldChar w:fldCharType="begin"/>
        </w:r>
        <w:r w:rsidR="00975628" w:rsidRPr="00975628">
          <w:rPr>
            <w:noProof/>
            <w:webHidden/>
            <w:sz w:val="20"/>
            <w:szCs w:val="20"/>
          </w:rPr>
          <w:instrText xml:space="preserve"> PAGEREF _Toc264227139 \h </w:instrText>
        </w:r>
        <w:r w:rsidRPr="00975628">
          <w:rPr>
            <w:noProof/>
            <w:webHidden/>
            <w:sz w:val="20"/>
            <w:szCs w:val="20"/>
          </w:rPr>
        </w:r>
        <w:r w:rsidRPr="00975628">
          <w:rPr>
            <w:noProof/>
            <w:webHidden/>
            <w:sz w:val="20"/>
            <w:szCs w:val="20"/>
          </w:rPr>
          <w:fldChar w:fldCharType="separate"/>
        </w:r>
        <w:r w:rsidR="005314A4">
          <w:rPr>
            <w:noProof/>
            <w:webHidden/>
            <w:sz w:val="20"/>
            <w:szCs w:val="20"/>
          </w:rPr>
          <w:t>39</w:t>
        </w:r>
        <w:r w:rsidRPr="00975628">
          <w:rPr>
            <w:noProof/>
            <w:webHidden/>
            <w:sz w:val="20"/>
            <w:szCs w:val="20"/>
          </w:rPr>
          <w:fldChar w:fldCharType="end"/>
        </w:r>
      </w:hyperlink>
    </w:p>
    <w:p w:rsidR="00975628" w:rsidRPr="00975628" w:rsidRDefault="006B40AE">
      <w:pPr>
        <w:pStyle w:val="TableofFigures"/>
        <w:tabs>
          <w:tab w:val="right" w:leader="dot" w:pos="9350"/>
        </w:tabs>
        <w:rPr>
          <w:rFonts w:eastAsiaTheme="minorEastAsia"/>
          <w:noProof/>
          <w:sz w:val="20"/>
          <w:szCs w:val="20"/>
        </w:rPr>
      </w:pPr>
      <w:hyperlink w:anchor="_Toc264227140" w:history="1">
        <w:r w:rsidR="00975628" w:rsidRPr="00975628">
          <w:rPr>
            <w:rStyle w:val="Hyperlink"/>
            <w:noProof/>
            <w:sz w:val="20"/>
            <w:szCs w:val="20"/>
          </w:rPr>
          <w:t>Table 13. Standard Unit Costs of Maintenance for National Roads, Belarus and France in 2010 (US$)</w:t>
        </w:r>
        <w:r w:rsidR="00975628" w:rsidRPr="00975628">
          <w:rPr>
            <w:noProof/>
            <w:webHidden/>
            <w:sz w:val="20"/>
            <w:szCs w:val="20"/>
          </w:rPr>
          <w:tab/>
        </w:r>
        <w:r w:rsidRPr="00975628">
          <w:rPr>
            <w:noProof/>
            <w:webHidden/>
            <w:sz w:val="20"/>
            <w:szCs w:val="20"/>
          </w:rPr>
          <w:fldChar w:fldCharType="begin"/>
        </w:r>
        <w:r w:rsidR="00975628" w:rsidRPr="00975628">
          <w:rPr>
            <w:noProof/>
            <w:webHidden/>
            <w:sz w:val="20"/>
            <w:szCs w:val="20"/>
          </w:rPr>
          <w:instrText xml:space="preserve"> PAGEREF _Toc264227140 \h </w:instrText>
        </w:r>
        <w:r w:rsidRPr="00975628">
          <w:rPr>
            <w:noProof/>
            <w:webHidden/>
            <w:sz w:val="20"/>
            <w:szCs w:val="20"/>
          </w:rPr>
        </w:r>
        <w:r w:rsidRPr="00975628">
          <w:rPr>
            <w:noProof/>
            <w:webHidden/>
            <w:sz w:val="20"/>
            <w:szCs w:val="20"/>
          </w:rPr>
          <w:fldChar w:fldCharType="separate"/>
        </w:r>
        <w:r w:rsidR="005314A4">
          <w:rPr>
            <w:noProof/>
            <w:webHidden/>
            <w:sz w:val="20"/>
            <w:szCs w:val="20"/>
          </w:rPr>
          <w:t>40</w:t>
        </w:r>
        <w:r w:rsidRPr="00975628">
          <w:rPr>
            <w:noProof/>
            <w:webHidden/>
            <w:sz w:val="20"/>
            <w:szCs w:val="20"/>
          </w:rPr>
          <w:fldChar w:fldCharType="end"/>
        </w:r>
      </w:hyperlink>
    </w:p>
    <w:p w:rsidR="00975628" w:rsidRPr="00975628" w:rsidRDefault="006B40AE">
      <w:pPr>
        <w:pStyle w:val="TableofFigures"/>
        <w:tabs>
          <w:tab w:val="right" w:leader="dot" w:pos="9350"/>
        </w:tabs>
        <w:rPr>
          <w:rFonts w:eastAsiaTheme="minorEastAsia"/>
          <w:noProof/>
          <w:sz w:val="20"/>
          <w:szCs w:val="20"/>
        </w:rPr>
      </w:pPr>
      <w:hyperlink w:anchor="_Toc264227141" w:history="1">
        <w:r w:rsidR="00975628" w:rsidRPr="00975628">
          <w:rPr>
            <w:rStyle w:val="Hyperlink"/>
            <w:noProof/>
            <w:sz w:val="20"/>
            <w:szCs w:val="20"/>
          </w:rPr>
          <w:t>Table 14. Belarusian Railways: Annual Track Renewal Works 2004-2008 (kms)</w:t>
        </w:r>
        <w:r w:rsidR="00975628" w:rsidRPr="00975628">
          <w:rPr>
            <w:noProof/>
            <w:webHidden/>
            <w:sz w:val="20"/>
            <w:szCs w:val="20"/>
          </w:rPr>
          <w:tab/>
        </w:r>
        <w:r w:rsidRPr="00975628">
          <w:rPr>
            <w:noProof/>
            <w:webHidden/>
            <w:sz w:val="20"/>
            <w:szCs w:val="20"/>
          </w:rPr>
          <w:fldChar w:fldCharType="begin"/>
        </w:r>
        <w:r w:rsidR="00975628" w:rsidRPr="00975628">
          <w:rPr>
            <w:noProof/>
            <w:webHidden/>
            <w:sz w:val="20"/>
            <w:szCs w:val="20"/>
          </w:rPr>
          <w:instrText xml:space="preserve"> PAGEREF _Toc264227141 \h </w:instrText>
        </w:r>
        <w:r w:rsidRPr="00975628">
          <w:rPr>
            <w:noProof/>
            <w:webHidden/>
            <w:sz w:val="20"/>
            <w:szCs w:val="20"/>
          </w:rPr>
        </w:r>
        <w:r w:rsidRPr="00975628">
          <w:rPr>
            <w:noProof/>
            <w:webHidden/>
            <w:sz w:val="20"/>
            <w:szCs w:val="20"/>
          </w:rPr>
          <w:fldChar w:fldCharType="separate"/>
        </w:r>
        <w:r w:rsidR="005314A4">
          <w:rPr>
            <w:noProof/>
            <w:webHidden/>
            <w:sz w:val="20"/>
            <w:szCs w:val="20"/>
          </w:rPr>
          <w:t>43</w:t>
        </w:r>
        <w:r w:rsidRPr="00975628">
          <w:rPr>
            <w:noProof/>
            <w:webHidden/>
            <w:sz w:val="20"/>
            <w:szCs w:val="20"/>
          </w:rPr>
          <w:fldChar w:fldCharType="end"/>
        </w:r>
      </w:hyperlink>
    </w:p>
    <w:p w:rsidR="00975628" w:rsidRPr="00975628" w:rsidRDefault="006B40AE">
      <w:pPr>
        <w:pStyle w:val="TableofFigures"/>
        <w:tabs>
          <w:tab w:val="right" w:leader="dot" w:pos="9350"/>
        </w:tabs>
        <w:rPr>
          <w:rFonts w:eastAsiaTheme="minorEastAsia"/>
          <w:noProof/>
          <w:sz w:val="20"/>
          <w:szCs w:val="20"/>
        </w:rPr>
      </w:pPr>
      <w:hyperlink w:anchor="_Toc264227142" w:history="1">
        <w:r w:rsidR="00975628" w:rsidRPr="00975628">
          <w:rPr>
            <w:rStyle w:val="Hyperlink"/>
            <w:noProof/>
            <w:sz w:val="20"/>
            <w:szCs w:val="20"/>
          </w:rPr>
          <w:t>Table 15. Estimated Average Annual Investment Needs for the Modernization of Rolling Stock (US$ million and thousands)</w:t>
        </w:r>
        <w:r w:rsidR="00975628" w:rsidRPr="00975628">
          <w:rPr>
            <w:noProof/>
            <w:webHidden/>
            <w:sz w:val="20"/>
            <w:szCs w:val="20"/>
          </w:rPr>
          <w:tab/>
        </w:r>
        <w:r w:rsidRPr="00975628">
          <w:rPr>
            <w:noProof/>
            <w:webHidden/>
            <w:sz w:val="20"/>
            <w:szCs w:val="20"/>
          </w:rPr>
          <w:fldChar w:fldCharType="begin"/>
        </w:r>
        <w:r w:rsidR="00975628" w:rsidRPr="00975628">
          <w:rPr>
            <w:noProof/>
            <w:webHidden/>
            <w:sz w:val="20"/>
            <w:szCs w:val="20"/>
          </w:rPr>
          <w:instrText xml:space="preserve"> PAGEREF _Toc264227142 \h </w:instrText>
        </w:r>
        <w:r w:rsidRPr="00975628">
          <w:rPr>
            <w:noProof/>
            <w:webHidden/>
            <w:sz w:val="20"/>
            <w:szCs w:val="20"/>
          </w:rPr>
        </w:r>
        <w:r w:rsidRPr="00975628">
          <w:rPr>
            <w:noProof/>
            <w:webHidden/>
            <w:sz w:val="20"/>
            <w:szCs w:val="20"/>
          </w:rPr>
          <w:fldChar w:fldCharType="separate"/>
        </w:r>
        <w:r w:rsidR="005314A4">
          <w:rPr>
            <w:noProof/>
            <w:webHidden/>
            <w:sz w:val="20"/>
            <w:szCs w:val="20"/>
          </w:rPr>
          <w:t>45</w:t>
        </w:r>
        <w:r w:rsidRPr="00975628">
          <w:rPr>
            <w:noProof/>
            <w:webHidden/>
            <w:sz w:val="20"/>
            <w:szCs w:val="20"/>
          </w:rPr>
          <w:fldChar w:fldCharType="end"/>
        </w:r>
      </w:hyperlink>
    </w:p>
    <w:p w:rsidR="00975628" w:rsidRPr="00975628" w:rsidRDefault="006B40AE">
      <w:pPr>
        <w:pStyle w:val="TableofFigures"/>
        <w:tabs>
          <w:tab w:val="right" w:leader="dot" w:pos="9350"/>
        </w:tabs>
        <w:rPr>
          <w:rFonts w:eastAsiaTheme="minorEastAsia"/>
          <w:noProof/>
          <w:sz w:val="20"/>
          <w:szCs w:val="20"/>
        </w:rPr>
      </w:pPr>
      <w:hyperlink w:anchor="_Toc264227143" w:history="1">
        <w:r w:rsidR="00975628" w:rsidRPr="00975628">
          <w:rPr>
            <w:rStyle w:val="Hyperlink"/>
            <w:noProof/>
            <w:sz w:val="20"/>
            <w:szCs w:val="20"/>
          </w:rPr>
          <w:t>Table 16. Belarusian Railways: Evolution of operational and financial performance 2005-2008</w:t>
        </w:r>
        <w:r w:rsidR="00975628" w:rsidRPr="00975628">
          <w:rPr>
            <w:noProof/>
            <w:webHidden/>
            <w:sz w:val="20"/>
            <w:szCs w:val="20"/>
          </w:rPr>
          <w:tab/>
        </w:r>
        <w:r w:rsidRPr="00975628">
          <w:rPr>
            <w:noProof/>
            <w:webHidden/>
            <w:sz w:val="20"/>
            <w:szCs w:val="20"/>
          </w:rPr>
          <w:fldChar w:fldCharType="begin"/>
        </w:r>
        <w:r w:rsidR="00975628" w:rsidRPr="00975628">
          <w:rPr>
            <w:noProof/>
            <w:webHidden/>
            <w:sz w:val="20"/>
            <w:szCs w:val="20"/>
          </w:rPr>
          <w:instrText xml:space="preserve"> PAGEREF _Toc264227143 \h </w:instrText>
        </w:r>
        <w:r w:rsidRPr="00975628">
          <w:rPr>
            <w:noProof/>
            <w:webHidden/>
            <w:sz w:val="20"/>
            <w:szCs w:val="20"/>
          </w:rPr>
        </w:r>
        <w:r w:rsidRPr="00975628">
          <w:rPr>
            <w:noProof/>
            <w:webHidden/>
            <w:sz w:val="20"/>
            <w:szCs w:val="20"/>
          </w:rPr>
          <w:fldChar w:fldCharType="separate"/>
        </w:r>
        <w:r w:rsidR="005314A4">
          <w:rPr>
            <w:noProof/>
            <w:webHidden/>
            <w:sz w:val="20"/>
            <w:szCs w:val="20"/>
          </w:rPr>
          <w:t>51</w:t>
        </w:r>
        <w:r w:rsidRPr="00975628">
          <w:rPr>
            <w:noProof/>
            <w:webHidden/>
            <w:sz w:val="20"/>
            <w:szCs w:val="20"/>
          </w:rPr>
          <w:fldChar w:fldCharType="end"/>
        </w:r>
      </w:hyperlink>
    </w:p>
    <w:p w:rsidR="00975628" w:rsidRPr="00975628" w:rsidRDefault="006B40AE">
      <w:pPr>
        <w:pStyle w:val="TableofFigures"/>
        <w:tabs>
          <w:tab w:val="right" w:leader="dot" w:pos="9350"/>
        </w:tabs>
        <w:rPr>
          <w:rFonts w:eastAsiaTheme="minorEastAsia"/>
          <w:noProof/>
          <w:sz w:val="20"/>
          <w:szCs w:val="20"/>
        </w:rPr>
      </w:pPr>
      <w:hyperlink w:anchor="_Toc264227144" w:history="1">
        <w:r w:rsidR="00975628" w:rsidRPr="00975628">
          <w:rPr>
            <w:rStyle w:val="Hyperlink"/>
            <w:noProof/>
            <w:sz w:val="20"/>
            <w:szCs w:val="20"/>
          </w:rPr>
          <w:t>Table 17. Evolution of Operational and Financial Performance of Operating Freight Services 2005-2008</w:t>
        </w:r>
        <w:r w:rsidR="00975628" w:rsidRPr="00975628">
          <w:rPr>
            <w:noProof/>
            <w:webHidden/>
            <w:sz w:val="20"/>
            <w:szCs w:val="20"/>
          </w:rPr>
          <w:tab/>
        </w:r>
        <w:r w:rsidRPr="00975628">
          <w:rPr>
            <w:noProof/>
            <w:webHidden/>
            <w:sz w:val="20"/>
            <w:szCs w:val="20"/>
          </w:rPr>
          <w:fldChar w:fldCharType="begin"/>
        </w:r>
        <w:r w:rsidR="00975628" w:rsidRPr="00975628">
          <w:rPr>
            <w:noProof/>
            <w:webHidden/>
            <w:sz w:val="20"/>
            <w:szCs w:val="20"/>
          </w:rPr>
          <w:instrText xml:space="preserve"> PAGEREF _Toc264227144 \h </w:instrText>
        </w:r>
        <w:r w:rsidRPr="00975628">
          <w:rPr>
            <w:noProof/>
            <w:webHidden/>
            <w:sz w:val="20"/>
            <w:szCs w:val="20"/>
          </w:rPr>
        </w:r>
        <w:r w:rsidRPr="00975628">
          <w:rPr>
            <w:noProof/>
            <w:webHidden/>
            <w:sz w:val="20"/>
            <w:szCs w:val="20"/>
          </w:rPr>
          <w:fldChar w:fldCharType="separate"/>
        </w:r>
        <w:r w:rsidR="005314A4">
          <w:rPr>
            <w:noProof/>
            <w:webHidden/>
            <w:sz w:val="20"/>
            <w:szCs w:val="20"/>
          </w:rPr>
          <w:t>53</w:t>
        </w:r>
        <w:r w:rsidRPr="00975628">
          <w:rPr>
            <w:noProof/>
            <w:webHidden/>
            <w:sz w:val="20"/>
            <w:szCs w:val="20"/>
          </w:rPr>
          <w:fldChar w:fldCharType="end"/>
        </w:r>
      </w:hyperlink>
    </w:p>
    <w:p w:rsidR="00975628" w:rsidRPr="00975628" w:rsidRDefault="006B40AE">
      <w:pPr>
        <w:pStyle w:val="TableofFigures"/>
        <w:tabs>
          <w:tab w:val="right" w:leader="dot" w:pos="9350"/>
        </w:tabs>
        <w:rPr>
          <w:rFonts w:eastAsiaTheme="minorEastAsia"/>
          <w:noProof/>
          <w:sz w:val="20"/>
          <w:szCs w:val="20"/>
        </w:rPr>
      </w:pPr>
      <w:hyperlink w:anchor="_Toc264227145" w:history="1">
        <w:r w:rsidR="00975628" w:rsidRPr="00975628">
          <w:rPr>
            <w:rStyle w:val="Hyperlink"/>
            <w:noProof/>
            <w:sz w:val="20"/>
            <w:szCs w:val="20"/>
          </w:rPr>
          <w:t>Table 18. Evolution of Operational and Financial Performance of Operating Passenger Services 2005-2008</w:t>
        </w:r>
        <w:r w:rsidR="00975628" w:rsidRPr="00975628">
          <w:rPr>
            <w:noProof/>
            <w:webHidden/>
            <w:sz w:val="20"/>
            <w:szCs w:val="20"/>
          </w:rPr>
          <w:tab/>
        </w:r>
        <w:r w:rsidRPr="00975628">
          <w:rPr>
            <w:noProof/>
            <w:webHidden/>
            <w:sz w:val="20"/>
            <w:szCs w:val="20"/>
          </w:rPr>
          <w:fldChar w:fldCharType="begin"/>
        </w:r>
        <w:r w:rsidR="00975628" w:rsidRPr="00975628">
          <w:rPr>
            <w:noProof/>
            <w:webHidden/>
            <w:sz w:val="20"/>
            <w:szCs w:val="20"/>
          </w:rPr>
          <w:instrText xml:space="preserve"> PAGEREF _Toc264227145 \h </w:instrText>
        </w:r>
        <w:r w:rsidRPr="00975628">
          <w:rPr>
            <w:noProof/>
            <w:webHidden/>
            <w:sz w:val="20"/>
            <w:szCs w:val="20"/>
          </w:rPr>
        </w:r>
        <w:r w:rsidRPr="00975628">
          <w:rPr>
            <w:noProof/>
            <w:webHidden/>
            <w:sz w:val="20"/>
            <w:szCs w:val="20"/>
          </w:rPr>
          <w:fldChar w:fldCharType="separate"/>
        </w:r>
        <w:r w:rsidR="005314A4">
          <w:rPr>
            <w:noProof/>
            <w:webHidden/>
            <w:sz w:val="20"/>
            <w:szCs w:val="20"/>
          </w:rPr>
          <w:t>54</w:t>
        </w:r>
        <w:r w:rsidRPr="00975628">
          <w:rPr>
            <w:noProof/>
            <w:webHidden/>
            <w:sz w:val="20"/>
            <w:szCs w:val="20"/>
          </w:rPr>
          <w:fldChar w:fldCharType="end"/>
        </w:r>
      </w:hyperlink>
    </w:p>
    <w:p w:rsidR="00975628" w:rsidRPr="00975628" w:rsidRDefault="006B40AE">
      <w:pPr>
        <w:pStyle w:val="TableofFigures"/>
        <w:tabs>
          <w:tab w:val="right" w:leader="dot" w:pos="9350"/>
        </w:tabs>
        <w:rPr>
          <w:rFonts w:eastAsiaTheme="minorEastAsia"/>
          <w:noProof/>
          <w:sz w:val="20"/>
          <w:szCs w:val="20"/>
        </w:rPr>
      </w:pPr>
      <w:hyperlink w:anchor="_Toc264227146" w:history="1">
        <w:r w:rsidR="00975628" w:rsidRPr="00975628">
          <w:rPr>
            <w:rStyle w:val="Hyperlink"/>
            <w:noProof/>
            <w:sz w:val="20"/>
            <w:szCs w:val="20"/>
          </w:rPr>
          <w:t>Table 19. Estimated Average Annual Railway Maintenance Needs (US$ million)</w:t>
        </w:r>
        <w:r w:rsidR="00975628" w:rsidRPr="00975628">
          <w:rPr>
            <w:noProof/>
            <w:webHidden/>
            <w:sz w:val="20"/>
            <w:szCs w:val="20"/>
          </w:rPr>
          <w:tab/>
        </w:r>
        <w:r w:rsidRPr="00975628">
          <w:rPr>
            <w:noProof/>
            <w:webHidden/>
            <w:sz w:val="20"/>
            <w:szCs w:val="20"/>
          </w:rPr>
          <w:fldChar w:fldCharType="begin"/>
        </w:r>
        <w:r w:rsidR="00975628" w:rsidRPr="00975628">
          <w:rPr>
            <w:noProof/>
            <w:webHidden/>
            <w:sz w:val="20"/>
            <w:szCs w:val="20"/>
          </w:rPr>
          <w:instrText xml:space="preserve"> PAGEREF _Toc264227146 \h </w:instrText>
        </w:r>
        <w:r w:rsidRPr="00975628">
          <w:rPr>
            <w:noProof/>
            <w:webHidden/>
            <w:sz w:val="20"/>
            <w:szCs w:val="20"/>
          </w:rPr>
        </w:r>
        <w:r w:rsidRPr="00975628">
          <w:rPr>
            <w:noProof/>
            <w:webHidden/>
            <w:sz w:val="20"/>
            <w:szCs w:val="20"/>
          </w:rPr>
          <w:fldChar w:fldCharType="separate"/>
        </w:r>
        <w:r w:rsidR="005314A4">
          <w:rPr>
            <w:noProof/>
            <w:webHidden/>
            <w:sz w:val="20"/>
            <w:szCs w:val="20"/>
          </w:rPr>
          <w:t>57</w:t>
        </w:r>
        <w:r w:rsidRPr="00975628">
          <w:rPr>
            <w:noProof/>
            <w:webHidden/>
            <w:sz w:val="20"/>
            <w:szCs w:val="20"/>
          </w:rPr>
          <w:fldChar w:fldCharType="end"/>
        </w:r>
      </w:hyperlink>
    </w:p>
    <w:p w:rsidR="00975628" w:rsidRPr="00975628" w:rsidRDefault="006B40AE">
      <w:pPr>
        <w:pStyle w:val="TableofFigures"/>
        <w:tabs>
          <w:tab w:val="right" w:leader="dot" w:pos="9350"/>
        </w:tabs>
        <w:rPr>
          <w:rFonts w:eastAsiaTheme="minorEastAsia"/>
          <w:noProof/>
          <w:sz w:val="20"/>
          <w:szCs w:val="20"/>
        </w:rPr>
      </w:pPr>
      <w:hyperlink w:anchor="_Toc264227147" w:history="1">
        <w:r w:rsidR="00975628" w:rsidRPr="00975628">
          <w:rPr>
            <w:rStyle w:val="Hyperlink"/>
            <w:noProof/>
            <w:sz w:val="20"/>
            <w:szCs w:val="20"/>
          </w:rPr>
          <w:t>Table 20. Estimated Investment Needs for the Modernization of Railway Corridor II and IX in Belarus (US$ million)</w:t>
        </w:r>
        <w:r w:rsidR="00975628" w:rsidRPr="00975628">
          <w:rPr>
            <w:noProof/>
            <w:webHidden/>
            <w:sz w:val="20"/>
            <w:szCs w:val="20"/>
          </w:rPr>
          <w:tab/>
        </w:r>
        <w:r w:rsidRPr="00975628">
          <w:rPr>
            <w:noProof/>
            <w:webHidden/>
            <w:sz w:val="20"/>
            <w:szCs w:val="20"/>
          </w:rPr>
          <w:fldChar w:fldCharType="begin"/>
        </w:r>
        <w:r w:rsidR="00975628" w:rsidRPr="00975628">
          <w:rPr>
            <w:noProof/>
            <w:webHidden/>
            <w:sz w:val="20"/>
            <w:szCs w:val="20"/>
          </w:rPr>
          <w:instrText xml:space="preserve"> PAGEREF _Toc264227147 \h </w:instrText>
        </w:r>
        <w:r w:rsidRPr="00975628">
          <w:rPr>
            <w:noProof/>
            <w:webHidden/>
            <w:sz w:val="20"/>
            <w:szCs w:val="20"/>
          </w:rPr>
        </w:r>
        <w:r w:rsidRPr="00975628">
          <w:rPr>
            <w:noProof/>
            <w:webHidden/>
            <w:sz w:val="20"/>
            <w:szCs w:val="20"/>
          </w:rPr>
          <w:fldChar w:fldCharType="separate"/>
        </w:r>
        <w:r w:rsidR="005314A4">
          <w:rPr>
            <w:noProof/>
            <w:webHidden/>
            <w:sz w:val="20"/>
            <w:szCs w:val="20"/>
          </w:rPr>
          <w:t>58</w:t>
        </w:r>
        <w:r w:rsidRPr="00975628">
          <w:rPr>
            <w:noProof/>
            <w:webHidden/>
            <w:sz w:val="20"/>
            <w:szCs w:val="20"/>
          </w:rPr>
          <w:fldChar w:fldCharType="end"/>
        </w:r>
      </w:hyperlink>
    </w:p>
    <w:p w:rsidR="00975628" w:rsidRPr="00975628" w:rsidRDefault="006B40AE">
      <w:pPr>
        <w:pStyle w:val="TableofFigures"/>
        <w:tabs>
          <w:tab w:val="right" w:leader="dot" w:pos="9350"/>
        </w:tabs>
        <w:rPr>
          <w:rFonts w:eastAsiaTheme="minorEastAsia"/>
          <w:noProof/>
          <w:sz w:val="20"/>
          <w:szCs w:val="20"/>
        </w:rPr>
      </w:pPr>
      <w:hyperlink w:anchor="_Toc264227148" w:history="1">
        <w:r w:rsidR="00975628" w:rsidRPr="00975628">
          <w:rPr>
            <w:rStyle w:val="Hyperlink"/>
            <w:noProof/>
            <w:sz w:val="20"/>
            <w:szCs w:val="20"/>
          </w:rPr>
          <w:t>Table 21. Scenarios for the Development of the Belarusian Railways system</w:t>
        </w:r>
        <w:r w:rsidR="00975628" w:rsidRPr="00975628">
          <w:rPr>
            <w:noProof/>
            <w:webHidden/>
            <w:sz w:val="20"/>
            <w:szCs w:val="20"/>
          </w:rPr>
          <w:tab/>
        </w:r>
        <w:r w:rsidRPr="00975628">
          <w:rPr>
            <w:noProof/>
            <w:webHidden/>
            <w:sz w:val="20"/>
            <w:szCs w:val="20"/>
          </w:rPr>
          <w:fldChar w:fldCharType="begin"/>
        </w:r>
        <w:r w:rsidR="00975628" w:rsidRPr="00975628">
          <w:rPr>
            <w:noProof/>
            <w:webHidden/>
            <w:sz w:val="20"/>
            <w:szCs w:val="20"/>
          </w:rPr>
          <w:instrText xml:space="preserve"> PAGEREF _Toc264227148 \h </w:instrText>
        </w:r>
        <w:r w:rsidRPr="00975628">
          <w:rPr>
            <w:noProof/>
            <w:webHidden/>
            <w:sz w:val="20"/>
            <w:szCs w:val="20"/>
          </w:rPr>
        </w:r>
        <w:r w:rsidRPr="00975628">
          <w:rPr>
            <w:noProof/>
            <w:webHidden/>
            <w:sz w:val="20"/>
            <w:szCs w:val="20"/>
          </w:rPr>
          <w:fldChar w:fldCharType="separate"/>
        </w:r>
        <w:r w:rsidR="005314A4">
          <w:rPr>
            <w:noProof/>
            <w:webHidden/>
            <w:sz w:val="20"/>
            <w:szCs w:val="20"/>
          </w:rPr>
          <w:t>59</w:t>
        </w:r>
        <w:r w:rsidRPr="00975628">
          <w:rPr>
            <w:noProof/>
            <w:webHidden/>
            <w:sz w:val="20"/>
            <w:szCs w:val="20"/>
          </w:rPr>
          <w:fldChar w:fldCharType="end"/>
        </w:r>
      </w:hyperlink>
    </w:p>
    <w:p w:rsidR="00975628" w:rsidRPr="00975628" w:rsidRDefault="006B40AE">
      <w:pPr>
        <w:pStyle w:val="TableofFigures"/>
        <w:tabs>
          <w:tab w:val="right" w:leader="dot" w:pos="9350"/>
        </w:tabs>
        <w:rPr>
          <w:rFonts w:eastAsiaTheme="minorEastAsia"/>
          <w:noProof/>
          <w:sz w:val="20"/>
          <w:szCs w:val="20"/>
        </w:rPr>
      </w:pPr>
      <w:hyperlink w:anchor="_Toc264227149" w:history="1">
        <w:r w:rsidR="00975628" w:rsidRPr="00975628">
          <w:rPr>
            <w:rStyle w:val="Hyperlink"/>
            <w:noProof/>
            <w:sz w:val="20"/>
            <w:szCs w:val="20"/>
          </w:rPr>
          <w:t>Table 22. Belarus Impediments of Logistics Performance</w:t>
        </w:r>
        <w:r w:rsidR="00975628" w:rsidRPr="00975628">
          <w:rPr>
            <w:noProof/>
            <w:webHidden/>
            <w:sz w:val="20"/>
            <w:szCs w:val="20"/>
          </w:rPr>
          <w:tab/>
        </w:r>
        <w:r w:rsidRPr="00975628">
          <w:rPr>
            <w:noProof/>
            <w:webHidden/>
            <w:sz w:val="20"/>
            <w:szCs w:val="20"/>
          </w:rPr>
          <w:fldChar w:fldCharType="begin"/>
        </w:r>
        <w:r w:rsidR="00975628" w:rsidRPr="00975628">
          <w:rPr>
            <w:noProof/>
            <w:webHidden/>
            <w:sz w:val="20"/>
            <w:szCs w:val="20"/>
          </w:rPr>
          <w:instrText xml:space="preserve"> PAGEREF _Toc264227149 \h </w:instrText>
        </w:r>
        <w:r w:rsidRPr="00975628">
          <w:rPr>
            <w:noProof/>
            <w:webHidden/>
            <w:sz w:val="20"/>
            <w:szCs w:val="20"/>
          </w:rPr>
        </w:r>
        <w:r w:rsidRPr="00975628">
          <w:rPr>
            <w:noProof/>
            <w:webHidden/>
            <w:sz w:val="20"/>
            <w:szCs w:val="20"/>
          </w:rPr>
          <w:fldChar w:fldCharType="separate"/>
        </w:r>
        <w:r w:rsidR="005314A4">
          <w:rPr>
            <w:noProof/>
            <w:webHidden/>
            <w:sz w:val="20"/>
            <w:szCs w:val="20"/>
          </w:rPr>
          <w:t>60</w:t>
        </w:r>
        <w:r w:rsidRPr="00975628">
          <w:rPr>
            <w:noProof/>
            <w:webHidden/>
            <w:sz w:val="20"/>
            <w:szCs w:val="20"/>
          </w:rPr>
          <w:fldChar w:fldCharType="end"/>
        </w:r>
      </w:hyperlink>
    </w:p>
    <w:p w:rsidR="00975628" w:rsidRPr="00975628" w:rsidRDefault="006B40AE">
      <w:pPr>
        <w:pStyle w:val="TableofFigures"/>
        <w:tabs>
          <w:tab w:val="right" w:leader="dot" w:pos="9350"/>
        </w:tabs>
        <w:rPr>
          <w:rFonts w:eastAsiaTheme="minorEastAsia"/>
          <w:noProof/>
          <w:sz w:val="20"/>
          <w:szCs w:val="20"/>
        </w:rPr>
      </w:pPr>
      <w:hyperlink w:anchor="_Toc264227150" w:history="1">
        <w:r w:rsidR="00975628" w:rsidRPr="00975628">
          <w:rPr>
            <w:rStyle w:val="Hyperlink"/>
            <w:noProof/>
            <w:sz w:val="20"/>
            <w:szCs w:val="20"/>
          </w:rPr>
          <w:t>Table 23. Global Logistics Costs in Selected Areas of the World</w:t>
        </w:r>
        <w:r w:rsidR="00975628" w:rsidRPr="00975628">
          <w:rPr>
            <w:noProof/>
            <w:webHidden/>
            <w:sz w:val="20"/>
            <w:szCs w:val="20"/>
          </w:rPr>
          <w:tab/>
        </w:r>
        <w:r w:rsidRPr="00975628">
          <w:rPr>
            <w:noProof/>
            <w:webHidden/>
            <w:sz w:val="20"/>
            <w:szCs w:val="20"/>
          </w:rPr>
          <w:fldChar w:fldCharType="begin"/>
        </w:r>
        <w:r w:rsidR="00975628" w:rsidRPr="00975628">
          <w:rPr>
            <w:noProof/>
            <w:webHidden/>
            <w:sz w:val="20"/>
            <w:szCs w:val="20"/>
          </w:rPr>
          <w:instrText xml:space="preserve"> PAGEREF _Toc264227150 \h </w:instrText>
        </w:r>
        <w:r w:rsidRPr="00975628">
          <w:rPr>
            <w:noProof/>
            <w:webHidden/>
            <w:sz w:val="20"/>
            <w:szCs w:val="20"/>
          </w:rPr>
        </w:r>
        <w:r w:rsidRPr="00975628">
          <w:rPr>
            <w:noProof/>
            <w:webHidden/>
            <w:sz w:val="20"/>
            <w:szCs w:val="20"/>
          </w:rPr>
          <w:fldChar w:fldCharType="separate"/>
        </w:r>
        <w:r w:rsidR="005314A4">
          <w:rPr>
            <w:noProof/>
            <w:webHidden/>
            <w:sz w:val="20"/>
            <w:szCs w:val="20"/>
          </w:rPr>
          <w:t>69</w:t>
        </w:r>
        <w:r w:rsidRPr="00975628">
          <w:rPr>
            <w:noProof/>
            <w:webHidden/>
            <w:sz w:val="20"/>
            <w:szCs w:val="20"/>
          </w:rPr>
          <w:fldChar w:fldCharType="end"/>
        </w:r>
      </w:hyperlink>
    </w:p>
    <w:p w:rsidR="00975628" w:rsidRPr="00975628" w:rsidRDefault="006B40AE">
      <w:pPr>
        <w:pStyle w:val="TableofFigures"/>
        <w:tabs>
          <w:tab w:val="right" w:leader="dot" w:pos="9350"/>
        </w:tabs>
        <w:rPr>
          <w:rFonts w:eastAsiaTheme="minorEastAsia"/>
          <w:noProof/>
          <w:sz w:val="20"/>
          <w:szCs w:val="20"/>
        </w:rPr>
      </w:pPr>
      <w:hyperlink w:anchor="_Toc264227151" w:history="1">
        <w:r w:rsidR="00975628" w:rsidRPr="00975628">
          <w:rPr>
            <w:rStyle w:val="Hyperlink"/>
            <w:noProof/>
            <w:sz w:val="20"/>
            <w:szCs w:val="20"/>
          </w:rPr>
          <w:t>Table 24. Comparison of Logistics Costs in Selected European Union Countries</w:t>
        </w:r>
        <w:r w:rsidR="00975628" w:rsidRPr="00975628">
          <w:rPr>
            <w:noProof/>
            <w:webHidden/>
            <w:sz w:val="20"/>
            <w:szCs w:val="20"/>
          </w:rPr>
          <w:tab/>
        </w:r>
        <w:r w:rsidRPr="00975628">
          <w:rPr>
            <w:noProof/>
            <w:webHidden/>
            <w:sz w:val="20"/>
            <w:szCs w:val="20"/>
          </w:rPr>
          <w:fldChar w:fldCharType="begin"/>
        </w:r>
        <w:r w:rsidR="00975628" w:rsidRPr="00975628">
          <w:rPr>
            <w:noProof/>
            <w:webHidden/>
            <w:sz w:val="20"/>
            <w:szCs w:val="20"/>
          </w:rPr>
          <w:instrText xml:space="preserve"> PAGEREF _Toc264227151 \h </w:instrText>
        </w:r>
        <w:r w:rsidRPr="00975628">
          <w:rPr>
            <w:noProof/>
            <w:webHidden/>
            <w:sz w:val="20"/>
            <w:szCs w:val="20"/>
          </w:rPr>
        </w:r>
        <w:r w:rsidRPr="00975628">
          <w:rPr>
            <w:noProof/>
            <w:webHidden/>
            <w:sz w:val="20"/>
            <w:szCs w:val="20"/>
          </w:rPr>
          <w:fldChar w:fldCharType="separate"/>
        </w:r>
        <w:r w:rsidR="005314A4">
          <w:rPr>
            <w:noProof/>
            <w:webHidden/>
            <w:sz w:val="20"/>
            <w:szCs w:val="20"/>
          </w:rPr>
          <w:t>69</w:t>
        </w:r>
        <w:r w:rsidRPr="00975628">
          <w:rPr>
            <w:noProof/>
            <w:webHidden/>
            <w:sz w:val="20"/>
            <w:szCs w:val="20"/>
          </w:rPr>
          <w:fldChar w:fldCharType="end"/>
        </w:r>
      </w:hyperlink>
    </w:p>
    <w:p w:rsidR="00BE38CB" w:rsidRDefault="006B40AE" w:rsidP="000D28A0">
      <w:pPr>
        <w:tabs>
          <w:tab w:val="left" w:pos="720"/>
        </w:tabs>
        <w:ind w:right="360"/>
        <w:jc w:val="center"/>
        <w:rPr>
          <w:sz w:val="20"/>
          <w:szCs w:val="20"/>
        </w:rPr>
      </w:pPr>
      <w:r w:rsidRPr="00975628">
        <w:rPr>
          <w:sz w:val="20"/>
          <w:szCs w:val="20"/>
        </w:rPr>
        <w:fldChar w:fldCharType="end"/>
      </w:r>
    </w:p>
    <w:p w:rsidR="00E80F94" w:rsidRDefault="00E80F94">
      <w:pPr>
        <w:spacing w:after="200" w:line="276" w:lineRule="auto"/>
      </w:pPr>
    </w:p>
    <w:p w:rsidR="00490F8C" w:rsidRPr="007777E2" w:rsidRDefault="00490F8C">
      <w:pPr>
        <w:spacing w:after="200" w:line="276" w:lineRule="auto"/>
        <w:sectPr w:rsidR="00490F8C" w:rsidRPr="007777E2" w:rsidSect="00DE274C">
          <w:headerReference w:type="even" r:id="rId8"/>
          <w:headerReference w:type="default" r:id="rId9"/>
          <w:footerReference w:type="even" r:id="rId10"/>
          <w:footerReference w:type="default" r:id="rId11"/>
          <w:headerReference w:type="first" r:id="rId12"/>
          <w:footerReference w:type="first" r:id="rId13"/>
          <w:pgSz w:w="12240" w:h="15840"/>
          <w:pgMar w:top="2070" w:right="1440" w:bottom="1440" w:left="1440" w:header="720" w:footer="720" w:gutter="0"/>
          <w:pgNumType w:fmt="lowerRoman"/>
          <w:cols w:space="720"/>
          <w:titlePg/>
          <w:docGrid w:linePitch="360"/>
        </w:sectPr>
      </w:pPr>
    </w:p>
    <w:p w:rsidR="00963581" w:rsidRPr="007777E2" w:rsidRDefault="00963581" w:rsidP="00963581">
      <w:pPr>
        <w:pStyle w:val="Heading1a"/>
      </w:pPr>
      <w:bookmarkStart w:id="60" w:name="_Toc282029929"/>
      <w:bookmarkStart w:id="61" w:name="_Toc244402518"/>
      <w:bookmarkStart w:id="62" w:name="_Toc253998899"/>
      <w:r>
        <w:lastRenderedPageBreak/>
        <w:t>Executive Summary</w:t>
      </w:r>
      <w:bookmarkEnd w:id="60"/>
    </w:p>
    <w:p w:rsidR="00963581" w:rsidRPr="007777E2" w:rsidRDefault="00963581" w:rsidP="00963581">
      <w:pPr>
        <w:pStyle w:val="Heading3"/>
        <w:spacing w:after="120"/>
        <w:rPr>
          <w:rStyle w:val="Heading2CharCharChar"/>
          <w:rFonts w:ascii="Times New Roman" w:hAnsi="Times New Roman" w:cs="Times New Roman"/>
          <w:b/>
          <w:bCs/>
          <w:sz w:val="24"/>
          <w:szCs w:val="24"/>
        </w:rPr>
      </w:pPr>
      <w:bookmarkStart w:id="63" w:name="_Toc282029930"/>
      <w:r>
        <w:rPr>
          <w:rStyle w:val="Heading2CharCharChar"/>
          <w:rFonts w:ascii="Times New Roman" w:hAnsi="Times New Roman" w:cs="Times New Roman"/>
          <w:b/>
          <w:bCs/>
          <w:sz w:val="24"/>
          <w:szCs w:val="24"/>
        </w:rPr>
        <w:t>Main Findings</w:t>
      </w:r>
      <w:bookmarkEnd w:id="63"/>
      <w:r w:rsidRPr="007777E2">
        <w:rPr>
          <w:rStyle w:val="Heading2CharCharChar"/>
          <w:rFonts w:ascii="Times New Roman" w:hAnsi="Times New Roman" w:cs="Times New Roman"/>
          <w:b/>
          <w:bCs/>
          <w:sz w:val="24"/>
          <w:szCs w:val="24"/>
        </w:rPr>
        <w:t xml:space="preserve">  </w:t>
      </w:r>
    </w:p>
    <w:p w:rsidR="00963581" w:rsidRPr="007777E2" w:rsidRDefault="00963581" w:rsidP="00963581">
      <w:pPr>
        <w:autoSpaceDE w:val="0"/>
        <w:autoSpaceDN w:val="0"/>
        <w:adjustRightInd w:val="0"/>
        <w:spacing w:after="120"/>
        <w:jc w:val="both"/>
      </w:pPr>
      <w:r w:rsidRPr="00657725">
        <w:rPr>
          <w:b/>
        </w:rPr>
        <w:t xml:space="preserve">The </w:t>
      </w:r>
      <w:r w:rsidRPr="00D655D2">
        <w:rPr>
          <w:b/>
        </w:rPr>
        <w:t>transport sector is an important economic sector in Belarus</w:t>
      </w:r>
      <w:r>
        <w:rPr>
          <w:b/>
        </w:rPr>
        <w:t>,</w:t>
      </w:r>
      <w:r w:rsidRPr="00D655D2">
        <w:rPr>
          <w:b/>
        </w:rPr>
        <w:t xml:space="preserve"> </w:t>
      </w:r>
      <w:r w:rsidRPr="00657725">
        <w:rPr>
          <w:b/>
        </w:rPr>
        <w:t xml:space="preserve">contributing </w:t>
      </w:r>
      <w:r>
        <w:rPr>
          <w:b/>
        </w:rPr>
        <w:t>6.7</w:t>
      </w:r>
      <w:r w:rsidRPr="00657725">
        <w:rPr>
          <w:b/>
        </w:rPr>
        <w:t xml:space="preserve"> percent of GDP in 2008</w:t>
      </w:r>
      <w:r>
        <w:rPr>
          <w:b/>
        </w:rPr>
        <w:t xml:space="preserve"> </w:t>
      </w:r>
      <w:r w:rsidR="005F4D28">
        <w:rPr>
          <w:b/>
        </w:rPr>
        <w:t>and 6.6 percent in 2009</w:t>
      </w:r>
      <w:r>
        <w:rPr>
          <w:b/>
        </w:rPr>
        <w:t>. Belarus</w:t>
      </w:r>
      <w:r w:rsidRPr="00657725">
        <w:rPr>
          <w:b/>
        </w:rPr>
        <w:t xml:space="preserve"> has been a net exporter of practically all modes of transport services.</w:t>
      </w:r>
      <w:r>
        <w:t xml:space="preserve"> The country serves as a transit transport corridor between the </w:t>
      </w:r>
      <w:r w:rsidR="00F97DAC">
        <w:t>European Union (</w:t>
      </w:r>
      <w:r>
        <w:t>EU</w:t>
      </w:r>
      <w:r w:rsidR="00F97DAC">
        <w:t>)</w:t>
      </w:r>
      <w:r>
        <w:t xml:space="preserve"> and Russia and potentially between the EU and Asia; thus, the strategic geographical location of Belarus places the country on two of the Pan-European corridors that the EU has committed to promote</w:t>
      </w:r>
      <w:r w:rsidR="005F4D28">
        <w:t>.</w:t>
      </w:r>
      <w:r w:rsidRPr="00015A67">
        <w:rPr>
          <w:rStyle w:val="FootnoteReference"/>
        </w:rPr>
        <w:footnoteReference w:id="1"/>
      </w:r>
      <w:r>
        <w:t xml:space="preserve"> In addition to a high geographical concentration of international trade, the trade patterns for specific commodity groups are also concentrated in Belarus. A relatively small number of industrial producers and main export companies dominate the market and generate </w:t>
      </w:r>
      <w:r w:rsidR="00CD7D02">
        <w:t>a</w:t>
      </w:r>
      <w:r>
        <w:t xml:space="preserve"> corresponding transport demand.</w:t>
      </w:r>
    </w:p>
    <w:p w:rsidR="00963581" w:rsidRPr="007777E2" w:rsidRDefault="00963581" w:rsidP="00963581">
      <w:pPr>
        <w:autoSpaceDE w:val="0"/>
        <w:autoSpaceDN w:val="0"/>
        <w:adjustRightInd w:val="0"/>
        <w:spacing w:after="120"/>
        <w:jc w:val="both"/>
      </w:pPr>
      <w:r w:rsidRPr="007777E2">
        <w:rPr>
          <w:b/>
        </w:rPr>
        <w:t>The</w:t>
      </w:r>
      <w:r>
        <w:rPr>
          <w:b/>
        </w:rPr>
        <w:t xml:space="preserve"> trade logistics environment in Belarus has been improving in many areas</w:t>
      </w:r>
      <w:r w:rsidRPr="007777E2">
        <w:rPr>
          <w:b/>
        </w:rPr>
        <w:t>.</w:t>
      </w:r>
      <w:r>
        <w:rPr>
          <w:b/>
        </w:rPr>
        <w:t xml:space="preserve"> </w:t>
      </w:r>
      <w:r w:rsidRPr="002A36FA">
        <w:t xml:space="preserve">The </w:t>
      </w:r>
      <w:r w:rsidRPr="002A36FA">
        <w:rPr>
          <w:i/>
        </w:rPr>
        <w:t>Doing Business</w:t>
      </w:r>
      <w:r w:rsidRPr="001F28DC">
        <w:t xml:space="preserve"> Index of 2010 ranks Belarus as </w:t>
      </w:r>
      <w:r>
        <w:t xml:space="preserve">having </w:t>
      </w:r>
      <w:r w:rsidRPr="001F28DC">
        <w:t>the 58</w:t>
      </w:r>
      <w:r w:rsidRPr="001F28DC">
        <w:rPr>
          <w:vertAlign w:val="superscript"/>
        </w:rPr>
        <w:t>th</w:t>
      </w:r>
      <w:r w:rsidRPr="001F28DC">
        <w:t xml:space="preserve"> most conducive environment to the operation of business.</w:t>
      </w:r>
      <w:r>
        <w:t xml:space="preserve"> While significant improvements have been achieved, some basic fundamentals for business remain very constrained. According to the Logistics Performance Index 2007 (LPI), Belarus outperformed its </w:t>
      </w:r>
      <w:r w:rsidR="00CA1A08">
        <w:t>Commonwealth of Independent States (</w:t>
      </w:r>
      <w:r>
        <w:t>CIS</w:t>
      </w:r>
      <w:r w:rsidR="00CA1A08">
        <w:t>)</w:t>
      </w:r>
      <w:r>
        <w:t xml:space="preserve"> peers in three </w:t>
      </w:r>
      <w:r w:rsidR="00CD7D02">
        <w:t>areas</w:t>
      </w:r>
      <w:r>
        <w:t>: efficiency of customs clearance process, transport infrastructure, and shipment tracking and tracing</w:t>
      </w:r>
      <w:r w:rsidR="00CD7D02">
        <w:t>.  However</w:t>
      </w:r>
      <w:r>
        <w:t xml:space="preserve">, </w:t>
      </w:r>
      <w:r w:rsidR="00CD7D02">
        <w:t>Belarus</w:t>
      </w:r>
      <w:r>
        <w:t xml:space="preserve"> seems to underperform in the affordability of arranging international shipments, as well as in the level of competence of the local logistics industry. </w:t>
      </w:r>
    </w:p>
    <w:p w:rsidR="00963581" w:rsidRPr="007777E2" w:rsidRDefault="00963581" w:rsidP="00963581">
      <w:pPr>
        <w:autoSpaceDE w:val="0"/>
        <w:autoSpaceDN w:val="0"/>
        <w:adjustRightInd w:val="0"/>
        <w:spacing w:after="120"/>
        <w:jc w:val="both"/>
      </w:pPr>
      <w:r>
        <w:rPr>
          <w:b/>
        </w:rPr>
        <w:t>The evolution of freight and passenger transport markets shows that freight traffic movements have grown in line with GDP</w:t>
      </w:r>
      <w:r w:rsidRPr="007777E2">
        <w:rPr>
          <w:b/>
        </w:rPr>
        <w:t>.</w:t>
      </w:r>
      <w:r w:rsidRPr="003937E1">
        <w:t xml:space="preserve"> </w:t>
      </w:r>
      <w:r w:rsidR="003937E1" w:rsidRPr="003937E1">
        <w:t xml:space="preserve">The </w:t>
      </w:r>
      <w:r>
        <w:t>Belarusian railway predominantly operates international freight services and railway transport has a strong position in the transportation market in Belarus, compared to EU-25 countries</w:t>
      </w:r>
      <w:r w:rsidR="003937E1">
        <w:t>.</w:t>
      </w:r>
      <w:r w:rsidRPr="00015A67">
        <w:rPr>
          <w:rStyle w:val="FootnoteReference"/>
        </w:rPr>
        <w:footnoteReference w:id="2"/>
      </w:r>
      <w:r>
        <w:t xml:space="preserve"> </w:t>
      </w:r>
      <w:r w:rsidR="003937E1">
        <w:t xml:space="preserve"> </w:t>
      </w:r>
      <w:r>
        <w:t xml:space="preserve">The market demand for railway passenger transport services is consistently decreasing, losing market share particularly to roads, affected also by the global economic crisis that had a serious impact on railway transport volumes. The market for advanced logistics services is not highly developed in Belarus due to constraints in both supply and demand, and the supply of scheduled international and domestic </w:t>
      </w:r>
      <w:proofErr w:type="spellStart"/>
      <w:r>
        <w:t>groupage</w:t>
      </w:r>
      <w:proofErr w:type="spellEnd"/>
      <w:r w:rsidR="00F97DAC" w:rsidRPr="00015A67">
        <w:rPr>
          <w:rStyle w:val="FootnoteReference"/>
        </w:rPr>
        <w:footnoteReference w:id="3"/>
      </w:r>
      <w:r>
        <w:t xml:space="preserve">  cargo services is scarce. </w:t>
      </w:r>
    </w:p>
    <w:p w:rsidR="00963581" w:rsidRDefault="00963581" w:rsidP="00963581">
      <w:pPr>
        <w:autoSpaceDE w:val="0"/>
        <w:autoSpaceDN w:val="0"/>
        <w:adjustRightInd w:val="0"/>
        <w:spacing w:after="120"/>
        <w:jc w:val="both"/>
      </w:pPr>
      <w:r w:rsidRPr="002E62C0">
        <w:rPr>
          <w:b/>
        </w:rPr>
        <w:t xml:space="preserve">Belarus does have </w:t>
      </w:r>
      <w:r>
        <w:rPr>
          <w:b/>
        </w:rPr>
        <w:t>the equivalent of a</w:t>
      </w:r>
      <w:r w:rsidRPr="002E62C0">
        <w:rPr>
          <w:b/>
        </w:rPr>
        <w:t xml:space="preserve"> National Transport Strategy and Action Plan</w:t>
      </w:r>
      <w:r w:rsidRPr="00D74ABC">
        <w:t xml:space="preserve">. The </w:t>
      </w:r>
      <w:r w:rsidRPr="001023E2">
        <w:rPr>
          <w:i/>
        </w:rPr>
        <w:t>Program for Ensuring Efficient Use of Transit Potential of the Republic of Belarus for 2006 – 2010</w:t>
      </w:r>
      <w:r>
        <w:t xml:space="preserve">, the draft </w:t>
      </w:r>
      <w:r w:rsidRPr="001023E2">
        <w:rPr>
          <w:i/>
        </w:rPr>
        <w:t>Program of the Development of Transit Potential of the Republic of Belarus for 2011 – 2015</w:t>
      </w:r>
      <w:r>
        <w:t xml:space="preserve">, and the </w:t>
      </w:r>
      <w:r w:rsidRPr="001023E2">
        <w:rPr>
          <w:i/>
        </w:rPr>
        <w:t>Roads of Belarus</w:t>
      </w:r>
      <w:r>
        <w:t xml:space="preserve"> Program constitute the </w:t>
      </w:r>
      <w:r w:rsidR="00F97DAC">
        <w:t>three</w:t>
      </w:r>
      <w:r>
        <w:t xml:space="preserve"> key pillars of such a national transport strategy.  In addition, the </w:t>
      </w:r>
      <w:r w:rsidRPr="001023E2">
        <w:rPr>
          <w:i/>
        </w:rPr>
        <w:t>Strategy for the Development of Transit Potential of the Republic of Belarus for 2011 – 2015</w:t>
      </w:r>
      <w:r>
        <w:t xml:space="preserve"> and the </w:t>
      </w:r>
      <w:r w:rsidRPr="001023E2">
        <w:rPr>
          <w:i/>
        </w:rPr>
        <w:t>Concept of Belarus’ Transport System Development until 2025</w:t>
      </w:r>
      <w:r>
        <w:t xml:space="preserve"> have recently </w:t>
      </w:r>
      <w:r w:rsidR="00F97DAC">
        <w:t xml:space="preserve">been </w:t>
      </w:r>
      <w:r>
        <w:t xml:space="preserve">approved by the Government. </w:t>
      </w:r>
      <w:r w:rsidRPr="00370BDE">
        <w:rPr>
          <w:iCs/>
          <w:color w:val="000000"/>
        </w:rPr>
        <w:t>The Concept defines the goal</w:t>
      </w:r>
      <w:r w:rsidR="00F97DAC">
        <w:rPr>
          <w:iCs/>
          <w:color w:val="000000"/>
        </w:rPr>
        <w:t>s</w:t>
      </w:r>
      <w:r w:rsidRPr="00370BDE">
        <w:rPr>
          <w:iCs/>
          <w:color w:val="000000"/>
        </w:rPr>
        <w:t xml:space="preserve">, priorities, tasks, key focuses and parameters of Belarus’ transport system development until </w:t>
      </w:r>
      <w:r w:rsidRPr="00370BDE">
        <w:rPr>
          <w:color w:val="000000"/>
        </w:rPr>
        <w:t xml:space="preserve">2025 </w:t>
      </w:r>
      <w:r w:rsidRPr="00370BDE">
        <w:rPr>
          <w:color w:val="000000"/>
        </w:rPr>
        <w:lastRenderedPageBreak/>
        <w:t>including mitigation of impacts generated by СО and СН</w:t>
      </w:r>
      <w:r w:rsidRPr="00370BDE">
        <w:rPr>
          <w:color w:val="000000"/>
          <w:vertAlign w:val="superscript"/>
        </w:rPr>
        <w:t xml:space="preserve">2 </w:t>
      </w:r>
      <w:r w:rsidRPr="00370BDE">
        <w:rPr>
          <w:color w:val="000000"/>
        </w:rPr>
        <w:t>emissions.</w:t>
      </w:r>
      <w:r>
        <w:rPr>
          <w:color w:val="000000"/>
        </w:rPr>
        <w:t xml:space="preserve"> </w:t>
      </w:r>
      <w:r>
        <w:t xml:space="preserve">Finally, he Government’s </w:t>
      </w:r>
      <w:r w:rsidRPr="00F673B9">
        <w:rPr>
          <w:i/>
        </w:rPr>
        <w:t>Program of Social and Economic Development</w:t>
      </w:r>
      <w:r>
        <w:t xml:space="preserve"> (2006-2010) presently guides the development of the transport sector and aims at the “formation of a competitive transport system, further development of transport services, and associated infrastructure”. Even though the Government of Belarus has established the key elements of a transport sector strategy, the detailed analytical work on which such strategy </w:t>
      </w:r>
      <w:r w:rsidR="000C3F9F">
        <w:t>should</w:t>
      </w:r>
      <w:r>
        <w:t xml:space="preserve"> be based is not available. T</w:t>
      </w:r>
      <w:r w:rsidRPr="00872D9E">
        <w:t xml:space="preserve">he World Bank believes that a combined and consolidated Transport Sector Strategy </w:t>
      </w:r>
      <w:r>
        <w:t xml:space="preserve">for Belarus, based on comprehensive analytical work, </w:t>
      </w:r>
      <w:r w:rsidRPr="00872D9E">
        <w:t xml:space="preserve">would be beneficial. </w:t>
      </w:r>
      <w:r w:rsidR="000C3F9F">
        <w:t xml:space="preserve">The </w:t>
      </w:r>
      <w:r>
        <w:t>MOTC is the central institution in the transport sector, although policy development is shared with the Presidential Administration. Climate change is an important element in formulating transport policy in Belarus, considering that transportation emissions comprise about 70 percent of total air pollutants and 9 percent of CO</w:t>
      </w:r>
      <w:r w:rsidRPr="00751839">
        <w:rPr>
          <w:vertAlign w:val="superscript"/>
        </w:rPr>
        <w:t>2</w:t>
      </w:r>
      <w:r>
        <w:t xml:space="preserve"> emissions, in part because the majority of vehicles in use are old. Due to various Government initiatives, the overall trend for environmental protection in the road sector is improving. Like climate change, road safety is increasingly a social and economic issue, requiring a coordinated effort at all levels, and the Government of Belarus is aware that more is needs to be done to improve road safety in Belarus.</w:t>
      </w:r>
    </w:p>
    <w:p w:rsidR="00963581" w:rsidRDefault="00963581" w:rsidP="00963581">
      <w:pPr>
        <w:autoSpaceDE w:val="0"/>
        <w:autoSpaceDN w:val="0"/>
        <w:adjustRightInd w:val="0"/>
        <w:spacing w:after="120"/>
        <w:jc w:val="both"/>
      </w:pPr>
      <w:r w:rsidRPr="006D5FBD">
        <w:rPr>
          <w:b/>
        </w:rPr>
        <w:t>Belarus has a public road network length that is mostly adequate for current traffic levels.</w:t>
      </w:r>
      <w:r>
        <w:t xml:space="preserve"> </w:t>
      </w:r>
      <w:r w:rsidRPr="003C5773">
        <w:t>Overall, only 35 percent of the network of Republican roads is in good to satisfactory condition</w:t>
      </w:r>
      <w:r>
        <w:t>.  T</w:t>
      </w:r>
      <w:r w:rsidRPr="003C5773">
        <w:t xml:space="preserve">he Government is </w:t>
      </w:r>
      <w:r>
        <w:t xml:space="preserve">therefore </w:t>
      </w:r>
      <w:r w:rsidRPr="003C5773">
        <w:t>implementing a program to improve the overall condition of the road network and expand the capacity of parts of the Republican roads.</w:t>
      </w:r>
      <w:r>
        <w:t xml:space="preserve">  Belarus has adopted a detailed road classification system and has initiated general revisions of its technical norms and standards in line with European standards and directives. Over the period 2005-2009, Belarus earned more revenues from fuel taxes and road user charges than was actually spent on road maintenance and investment. Despite the abolishment of the National Road Fund (NRF) in 2008, expenditures geared to</w:t>
      </w:r>
      <w:r w:rsidR="000C3F9F">
        <w:t>wards Republican and Local road</w:t>
      </w:r>
      <w:r>
        <w:t xml:space="preserve"> networks have been modestly increasing in recent years, but additional resources are urgently needed to address the maintenance backlog. While general taxation and budget allocations may provide a steady stream of funding for the normal operation and maintenance of roads, it seems unlikely that it will provide sufficient funding to finance the full cost of rehabilitation or upgrading of roads. Given fiscal space considerations, the Government has identified priority road investment projects on the basis of strategic assessments. With the transfer of management of the Local road network to the oblasts in 2010, recurrent and capital expenditures for Local roads will be the responsibility of the regions; they will receive central government support by covering any financial shortfall for expected expenditures on Local roads.</w:t>
      </w:r>
    </w:p>
    <w:p w:rsidR="00963581" w:rsidRDefault="00963581" w:rsidP="00963581">
      <w:pPr>
        <w:autoSpaceDE w:val="0"/>
        <w:autoSpaceDN w:val="0"/>
        <w:adjustRightInd w:val="0"/>
        <w:spacing w:after="120"/>
        <w:jc w:val="both"/>
      </w:pPr>
      <w:r w:rsidRPr="00F60FF5">
        <w:rPr>
          <w:b/>
        </w:rPr>
        <w:t xml:space="preserve">The World Bank estimates that the level of recurrent expenditures required to maintain the Republican and Local road networks (without eliminating the backlog) is BYR1,060 </w:t>
      </w:r>
      <w:r w:rsidR="0008767B">
        <w:rPr>
          <w:b/>
        </w:rPr>
        <w:t xml:space="preserve">billion </w:t>
      </w:r>
      <w:r w:rsidRPr="00F60FF5">
        <w:rPr>
          <w:b/>
        </w:rPr>
        <w:t>(US$360 million) on average per year.</w:t>
      </w:r>
      <w:r>
        <w:t xml:space="preserve"> The capital expenditures necessary to address the backlog of maintenance for the Republican road network has been estimated at BYR588 billion (US$200 million) on average per year. According to the Government’s </w:t>
      </w:r>
      <w:r w:rsidRPr="001023E2">
        <w:rPr>
          <w:i/>
        </w:rPr>
        <w:t>Roads of Belarus</w:t>
      </w:r>
      <w:r>
        <w:t xml:space="preserve"> program, the development needs of the network entail spending additional BYR2,243 billion (US$766 million) on Republican roads over the period of 2011-2016. A significant financing gap exists in the area of road infrastructure.  The World Bank believes that the quality of spending could also be improved through the systematic use of a road asset management system which should lead to a better prioritization of road sector interventions (investment, rehabilitation and maintenance). The Government plans to close part of the financing gap in the road sector through the expansion of road tolling; the World Bank fully supports this approach.</w:t>
      </w:r>
    </w:p>
    <w:p w:rsidR="00963581" w:rsidRDefault="00963581" w:rsidP="00963581">
      <w:pPr>
        <w:autoSpaceDE w:val="0"/>
        <w:autoSpaceDN w:val="0"/>
        <w:adjustRightInd w:val="0"/>
        <w:spacing w:after="120"/>
        <w:jc w:val="both"/>
      </w:pPr>
      <w:r w:rsidRPr="00B422D2">
        <w:rPr>
          <w:b/>
        </w:rPr>
        <w:lastRenderedPageBreak/>
        <w:t>The density and accessibility of the railway network in Belarus is compar</w:t>
      </w:r>
      <w:r w:rsidR="0008767B">
        <w:rPr>
          <w:b/>
        </w:rPr>
        <w:t>able to other Central European c</w:t>
      </w:r>
      <w:r w:rsidRPr="00B422D2">
        <w:rPr>
          <w:b/>
        </w:rPr>
        <w:t xml:space="preserve">ountries, and the technical condition of railway infrastructure is </w:t>
      </w:r>
      <w:r w:rsidRPr="00C10E0C">
        <w:rPr>
          <w:b/>
        </w:rPr>
        <w:t xml:space="preserve">satisfactory, </w:t>
      </w:r>
      <w:r w:rsidR="002B4486">
        <w:rPr>
          <w:b/>
        </w:rPr>
        <w:t>however</w:t>
      </w:r>
      <w:r w:rsidRPr="00C10E0C">
        <w:rPr>
          <w:b/>
        </w:rPr>
        <w:t xml:space="preserve"> the railway infrastructure are rather old and r</w:t>
      </w:r>
      <w:r w:rsidR="002B4486">
        <w:rPr>
          <w:b/>
        </w:rPr>
        <w:t>equire medium</w:t>
      </w:r>
      <w:r w:rsidRPr="00C10E0C">
        <w:rPr>
          <w:b/>
        </w:rPr>
        <w:t xml:space="preserve"> and long-term modernization.</w:t>
      </w:r>
      <w:r>
        <w:t xml:space="preserve"> Belarusian Railways has excellent operational performanc</w:t>
      </w:r>
      <w:r w:rsidR="0008767B">
        <w:t>e results and is very efficient –</w:t>
      </w:r>
      <w:r>
        <w:t xml:space="preserve"> the asset utilization compares well with EU countries. In order to maintain high-quality transport services and offer new freight and passenger transportation services, Belarusian Railways needs to accelerate the renewal of its rolling stock. The vital element for the good operational performance of Belarusian Railways is the high traffic intensity on the network. In order to counter the negative trends in the market share of railway transport, </w:t>
      </w:r>
      <w:r w:rsidRPr="001B51C2">
        <w:t>adjustments</w:t>
      </w:r>
      <w:r>
        <w:t xml:space="preserve"> is needed. The World Bank proposes that the cost of operating railway infrastructure in Belarus should be clearly identified and the State should take the lead role in setting unbiased rules for financing road and railway infrastructure.</w:t>
      </w:r>
    </w:p>
    <w:p w:rsidR="00963581" w:rsidRPr="00663CED" w:rsidRDefault="00963581" w:rsidP="00963581">
      <w:pPr>
        <w:autoSpaceDE w:val="0"/>
        <w:autoSpaceDN w:val="0"/>
        <w:adjustRightInd w:val="0"/>
        <w:spacing w:after="120"/>
        <w:jc w:val="both"/>
      </w:pPr>
      <w:r w:rsidRPr="00663CED">
        <w:rPr>
          <w:b/>
        </w:rPr>
        <w:t xml:space="preserve">The various types of transport services performed by Belarusian Railways are not </w:t>
      </w:r>
      <w:r>
        <w:rPr>
          <w:b/>
        </w:rPr>
        <w:t>equally profitable. International transport services are cross-subsidizing domestic transport, which makes the railway very dependent on an evolving international freight transport market that is an element beyond its control.</w:t>
      </w:r>
      <w:r>
        <w:t xml:space="preserve">  Passenger </w:t>
      </w:r>
      <w:r w:rsidR="004F7EC8">
        <w:t xml:space="preserve">rail </w:t>
      </w:r>
      <w:r>
        <w:t xml:space="preserve">transport services in Belarus are not financially self-sustaining, thus, Belarusian Railways should consider separating commercially viable services from non-commercial services in terms of cost and revenue accounting. The World Bank estimates that recurrent annual expenditures required to keep the railway network (infrastructure) at its current capacity amount to BYR292 billion (US$98.4 million) on average. According to the Government’s strategy for the railway sector, the development needs of the network entail spending additional BYR997 billion (US$340 million). Belarus Railways is </w:t>
      </w:r>
      <w:r w:rsidR="004F7EC8">
        <w:t xml:space="preserve">currently able to </w:t>
      </w:r>
      <w:r>
        <w:t>fully financ</w:t>
      </w:r>
      <w:r w:rsidR="004F7EC8">
        <w:t>e</w:t>
      </w:r>
      <w:r>
        <w:t xml:space="preserve"> all expenditures related to maintenance, repair and new investment, but this situation may not last much longer. At present, there is no backlog in railway maintenance works; however, the current </w:t>
      </w:r>
      <w:r w:rsidR="004F7EC8">
        <w:t>pace</w:t>
      </w:r>
      <w:r>
        <w:t xml:space="preserve"> of investments is not sufficient for sustaining the long term development of Belarusian Railways.</w:t>
      </w:r>
    </w:p>
    <w:p w:rsidR="00963581" w:rsidRPr="007777E2" w:rsidRDefault="00963581" w:rsidP="00963581">
      <w:pPr>
        <w:pStyle w:val="Heading3"/>
        <w:spacing w:after="120"/>
        <w:rPr>
          <w:rStyle w:val="Heading2CharCharChar"/>
          <w:rFonts w:ascii="Times New Roman" w:hAnsi="Times New Roman" w:cs="Times New Roman"/>
          <w:b/>
          <w:bCs/>
          <w:sz w:val="24"/>
          <w:szCs w:val="24"/>
        </w:rPr>
      </w:pPr>
      <w:bookmarkStart w:id="64" w:name="_Toc282029931"/>
      <w:r>
        <w:rPr>
          <w:rStyle w:val="Heading2CharCharChar"/>
          <w:rFonts w:ascii="Times New Roman" w:hAnsi="Times New Roman" w:cs="Times New Roman"/>
          <w:b/>
          <w:bCs/>
          <w:sz w:val="24"/>
          <w:szCs w:val="24"/>
        </w:rPr>
        <w:t>Recommendations</w:t>
      </w:r>
      <w:bookmarkEnd w:id="64"/>
      <w:r w:rsidRPr="007777E2">
        <w:rPr>
          <w:rStyle w:val="Heading2CharCharChar"/>
          <w:rFonts w:ascii="Times New Roman" w:hAnsi="Times New Roman" w:cs="Times New Roman"/>
          <w:b/>
          <w:bCs/>
          <w:sz w:val="24"/>
          <w:szCs w:val="24"/>
        </w:rPr>
        <w:t xml:space="preserve">  </w:t>
      </w:r>
    </w:p>
    <w:p w:rsidR="00963581" w:rsidRDefault="00CE69C6" w:rsidP="00963581">
      <w:pPr>
        <w:autoSpaceDE w:val="0"/>
        <w:autoSpaceDN w:val="0"/>
        <w:adjustRightInd w:val="0"/>
        <w:spacing w:after="120"/>
        <w:jc w:val="both"/>
      </w:pPr>
      <w:r>
        <w:rPr>
          <w:b/>
        </w:rPr>
        <w:t xml:space="preserve">A - </w:t>
      </w:r>
      <w:r w:rsidRPr="00CE4780">
        <w:rPr>
          <w:b/>
        </w:rPr>
        <w:t xml:space="preserve">Increase </w:t>
      </w:r>
      <w:r w:rsidR="00963581" w:rsidRPr="00CE4780">
        <w:rPr>
          <w:b/>
        </w:rPr>
        <w:t>logistics performance</w:t>
      </w:r>
      <w:r>
        <w:rPr>
          <w:b/>
        </w:rPr>
        <w:t>:</w:t>
      </w:r>
      <w:r w:rsidR="00963581" w:rsidRPr="00CE4780">
        <w:rPr>
          <w:b/>
        </w:rPr>
        <w:t xml:space="preserve"> </w:t>
      </w:r>
      <w:r w:rsidR="00963581">
        <w:t xml:space="preserve">There is an apparent lack of class A and B warehouse space in Belarus; this results in relatively high rental prices for such premises. Further market research on logistics services demand should be conducted from the point of view of international shippers and logistics operators. That approach will offer a better understanding of the nature of demand and of the rationale for stopping and transshipment of cargo in Belarus. Additionally, the Government should address perceived issues in customs (zero-tolerance attitude and problems with certification) to facilitate shippers using the Poland – Belarus route to Russia. </w:t>
      </w:r>
    </w:p>
    <w:p w:rsidR="00963581" w:rsidRDefault="00CE69C6" w:rsidP="00963581">
      <w:pPr>
        <w:autoSpaceDE w:val="0"/>
        <w:autoSpaceDN w:val="0"/>
        <w:adjustRightInd w:val="0"/>
        <w:spacing w:after="120"/>
        <w:jc w:val="both"/>
      </w:pPr>
      <w:r>
        <w:rPr>
          <w:b/>
        </w:rPr>
        <w:t xml:space="preserve">B - </w:t>
      </w:r>
      <w:r w:rsidR="00963581">
        <w:rPr>
          <w:b/>
        </w:rPr>
        <w:t>Improve the institutional framework of the Belarus transport sector</w:t>
      </w:r>
      <w:r>
        <w:rPr>
          <w:b/>
        </w:rPr>
        <w:t xml:space="preserve">: </w:t>
      </w:r>
      <w:r w:rsidRPr="00CE69C6">
        <w:t>This will require</w:t>
      </w:r>
      <w:r w:rsidR="00963581" w:rsidRPr="00CE69C6">
        <w:t xml:space="preserve"> (</w:t>
      </w:r>
      <w:proofErr w:type="spellStart"/>
      <w:r w:rsidR="00963581" w:rsidRPr="00CE69C6">
        <w:t>i</w:t>
      </w:r>
      <w:proofErr w:type="spellEnd"/>
      <w:r w:rsidR="00963581" w:rsidRPr="00CE69C6">
        <w:t>) preparing a consolidated National Transport Strategy and business plan based on detailed analytical work</w:t>
      </w:r>
      <w:r>
        <w:t>;</w:t>
      </w:r>
      <w:r w:rsidR="00963581" w:rsidRPr="00CE69C6">
        <w:t xml:space="preserve"> (ii) improving road transport management, planning and budgeting</w:t>
      </w:r>
      <w:r>
        <w:t>;</w:t>
      </w:r>
      <w:r w:rsidR="00963581" w:rsidRPr="00CE69C6">
        <w:t xml:space="preserve"> and (iii) re-assessing the legal and institutional framework of Belarusian Railways. </w:t>
      </w:r>
      <w:r w:rsidR="00963581">
        <w:t xml:space="preserve">The Government should prepare a </w:t>
      </w:r>
      <w:r>
        <w:t xml:space="preserve">consolidated </w:t>
      </w:r>
      <w:r w:rsidR="00963581">
        <w:t xml:space="preserve">Transport Sector Strategy, including a prioritized investment and expenditure plan for the transport sector, in which maintenance and upgrading of transport infrastructure for all modes of transport should be a central part. The MOTC should lead the development of the Transport Sector Strategy, which should be based on technical and analytical work and should also be linked to the multi-annual business plans to be developed by </w:t>
      </w:r>
      <w:proofErr w:type="spellStart"/>
      <w:r w:rsidR="00963581">
        <w:t>Belavtodor</w:t>
      </w:r>
      <w:proofErr w:type="spellEnd"/>
      <w:r w:rsidR="00963581">
        <w:t xml:space="preserve"> </w:t>
      </w:r>
      <w:r w:rsidR="00963581">
        <w:lastRenderedPageBreak/>
        <w:t xml:space="preserve">and Belarusian Railways. To support the development of a sound road sector investment and expenditure plan, </w:t>
      </w:r>
      <w:proofErr w:type="spellStart"/>
      <w:r w:rsidR="00963581">
        <w:t>Belavtodor</w:t>
      </w:r>
      <w:proofErr w:type="spellEnd"/>
      <w:r w:rsidR="00963581">
        <w:t xml:space="preserve"> would need a road asset management system. To improve transport sector management, transport statistics kept in Belarus should be harmonized to conform to international standards. Considering the increased market pressure on Belarusian Railways, it is advisable to set up internal business units. These units would help the management of Belarusian Railways to have a clear understanding of the profitability of each line of business and to take appropriate corrective measures. The Government should also assess the best tariff policies to ensure a balance between affordable fares for railways users, and financial sustainability of Belarusian Railways.</w:t>
      </w:r>
    </w:p>
    <w:p w:rsidR="00963581" w:rsidRDefault="00CE69C6" w:rsidP="00963581">
      <w:pPr>
        <w:autoSpaceDE w:val="0"/>
        <w:autoSpaceDN w:val="0"/>
        <w:adjustRightInd w:val="0"/>
        <w:spacing w:after="120"/>
        <w:jc w:val="both"/>
      </w:pPr>
      <w:r>
        <w:rPr>
          <w:b/>
        </w:rPr>
        <w:t xml:space="preserve">C - </w:t>
      </w:r>
      <w:r w:rsidR="00963581" w:rsidRPr="005D51EB">
        <w:rPr>
          <w:b/>
        </w:rPr>
        <w:t>Improve transport sector sustainability</w:t>
      </w:r>
      <w:r>
        <w:rPr>
          <w:b/>
        </w:rPr>
        <w:t xml:space="preserve">: </w:t>
      </w:r>
      <w:r w:rsidRPr="00CE69C6">
        <w:t>This requires</w:t>
      </w:r>
      <w:r w:rsidR="00963581" w:rsidRPr="00CE69C6">
        <w:t xml:space="preserve"> (</w:t>
      </w:r>
      <w:proofErr w:type="spellStart"/>
      <w:r w:rsidR="00963581" w:rsidRPr="00CE69C6">
        <w:t>i</w:t>
      </w:r>
      <w:proofErr w:type="spellEnd"/>
      <w:r w:rsidR="00963581" w:rsidRPr="00CE69C6">
        <w:t>) placing greater emphasis on maintaining assets and specifically addressing the backlog in the maintenance of the road network</w:t>
      </w:r>
      <w:r>
        <w:t>;</w:t>
      </w:r>
      <w:r w:rsidR="00963581" w:rsidRPr="00CE69C6">
        <w:t xml:space="preserve"> (ii) strengthening financing of the road sector through tolling</w:t>
      </w:r>
      <w:r w:rsidR="0012013F">
        <w:t xml:space="preserve"> of the major highways</w:t>
      </w:r>
      <w:r>
        <w:t>;</w:t>
      </w:r>
      <w:r w:rsidR="00963581" w:rsidRPr="00CE69C6">
        <w:t xml:space="preserve"> (iii) investing strategically in the railway sector and assessing the possibility of introducing public service contracts</w:t>
      </w:r>
      <w:r>
        <w:t>;</w:t>
      </w:r>
      <w:r w:rsidR="00963581" w:rsidRPr="00CE69C6">
        <w:t xml:space="preserve"> and (iv) further </w:t>
      </w:r>
      <w:r w:rsidR="0012013F">
        <w:t xml:space="preserve">improving </w:t>
      </w:r>
      <w:r w:rsidR="00963581" w:rsidRPr="00CE69C6">
        <w:t>the operational and financial performance of the railways.</w:t>
      </w:r>
      <w:r w:rsidR="00963581">
        <w:t xml:space="preserve"> The current level of maintenance spending on Republican Roads is close to sufficient to keep the condition of those roads in a “steady state”.  For Local roads, however, the maintenance spending is clearly insufficient to </w:t>
      </w:r>
      <w:r w:rsidR="0012013F">
        <w:t>sustain</w:t>
      </w:r>
      <w:r w:rsidR="00963581">
        <w:t xml:space="preserve"> their present condition. The sustainability of road sector financing could be improved by increasing </w:t>
      </w:r>
      <w:r w:rsidR="0012013F">
        <w:t xml:space="preserve">direct </w:t>
      </w:r>
      <w:r w:rsidR="00963581">
        <w:t xml:space="preserve">cost recovery from road users through the expansion of road tolling to all main motorways. Belarusian Railways has so far been able to cover all railway infrastructure investments from its own resources, but the further upgrading and modernization of railway infrastructure in Belarus may require Stare support in the medium and long term. Based on the current situation of Belarusian Railways, Public Service Contracts for passenger transport services should be introduced gradually on selected major railway routes. The implementation of Public Service Contracts must be transparent and based on the principle that the Government has full control of the utilization of State funds provided to Belarusian Railways. </w:t>
      </w:r>
    </w:p>
    <w:p w:rsidR="00963581" w:rsidRPr="007777E2" w:rsidRDefault="00963581" w:rsidP="00963581">
      <w:pPr>
        <w:autoSpaceDE w:val="0"/>
        <w:autoSpaceDN w:val="0"/>
        <w:adjustRightInd w:val="0"/>
        <w:spacing w:after="120"/>
        <w:jc w:val="both"/>
      </w:pPr>
    </w:p>
    <w:p w:rsidR="000D28A0" w:rsidRPr="007777E2" w:rsidRDefault="000D28A0" w:rsidP="00963581">
      <w:pPr>
        <w:pStyle w:val="Heading1a"/>
        <w:numPr>
          <w:ilvl w:val="0"/>
          <w:numId w:val="22"/>
        </w:numPr>
      </w:pPr>
      <w:bookmarkStart w:id="65" w:name="_Toc282029932"/>
      <w:r w:rsidRPr="007777E2">
        <w:lastRenderedPageBreak/>
        <w:t>Introduction</w:t>
      </w:r>
      <w:bookmarkEnd w:id="61"/>
      <w:bookmarkEnd w:id="62"/>
      <w:bookmarkEnd w:id="65"/>
      <w:r w:rsidRPr="007777E2">
        <w:t xml:space="preserve"> </w:t>
      </w:r>
    </w:p>
    <w:p w:rsidR="000D28A0" w:rsidRPr="007777E2" w:rsidRDefault="003202B9" w:rsidP="000D28A0">
      <w:pPr>
        <w:pStyle w:val="Heading3"/>
        <w:spacing w:after="120"/>
        <w:rPr>
          <w:rStyle w:val="Heading2CharCharChar"/>
          <w:rFonts w:ascii="Times New Roman" w:hAnsi="Times New Roman" w:cs="Times New Roman"/>
          <w:b/>
          <w:bCs/>
          <w:sz w:val="24"/>
          <w:szCs w:val="24"/>
        </w:rPr>
      </w:pPr>
      <w:bookmarkStart w:id="66" w:name="_Toc282029933"/>
      <w:r w:rsidRPr="007777E2">
        <w:rPr>
          <w:rStyle w:val="Heading2CharCharChar"/>
          <w:rFonts w:ascii="Times New Roman" w:hAnsi="Times New Roman" w:cs="Times New Roman"/>
          <w:b/>
          <w:bCs/>
          <w:sz w:val="24"/>
          <w:szCs w:val="24"/>
        </w:rPr>
        <w:t>Background</w:t>
      </w:r>
      <w:bookmarkEnd w:id="66"/>
      <w:r w:rsidR="005B2B59" w:rsidRPr="007777E2">
        <w:rPr>
          <w:rStyle w:val="Heading2CharCharChar"/>
          <w:rFonts w:ascii="Times New Roman" w:hAnsi="Times New Roman" w:cs="Times New Roman"/>
          <w:b/>
          <w:bCs/>
          <w:sz w:val="24"/>
          <w:szCs w:val="24"/>
        </w:rPr>
        <w:t xml:space="preserve"> </w:t>
      </w:r>
    </w:p>
    <w:p w:rsidR="003202B9" w:rsidRPr="007777E2" w:rsidRDefault="003202B9" w:rsidP="00963581">
      <w:pPr>
        <w:numPr>
          <w:ilvl w:val="0"/>
          <w:numId w:val="1"/>
        </w:numPr>
        <w:autoSpaceDE w:val="0"/>
        <w:autoSpaceDN w:val="0"/>
        <w:adjustRightInd w:val="0"/>
        <w:spacing w:after="120"/>
        <w:ind w:left="0" w:firstLine="0"/>
        <w:jc w:val="both"/>
      </w:pPr>
      <w:r w:rsidRPr="007777E2">
        <w:rPr>
          <w:b/>
        </w:rPr>
        <w:t xml:space="preserve">The Republic of Belarus achieved </w:t>
      </w:r>
      <w:r w:rsidR="001E6912" w:rsidRPr="007777E2">
        <w:rPr>
          <w:b/>
        </w:rPr>
        <w:t xml:space="preserve">an average </w:t>
      </w:r>
      <w:r w:rsidR="00C21AB2" w:rsidRPr="007777E2">
        <w:rPr>
          <w:b/>
        </w:rPr>
        <w:t xml:space="preserve">annual growth of </w:t>
      </w:r>
      <w:r w:rsidRPr="007777E2">
        <w:rPr>
          <w:b/>
        </w:rPr>
        <w:t xml:space="preserve">7.5 percent in the ten years </w:t>
      </w:r>
      <w:r w:rsidR="001E6912" w:rsidRPr="007777E2">
        <w:rPr>
          <w:b/>
        </w:rPr>
        <w:t xml:space="preserve">from 1999 </w:t>
      </w:r>
      <w:r w:rsidRPr="007777E2">
        <w:rPr>
          <w:b/>
        </w:rPr>
        <w:t>to 2008</w:t>
      </w:r>
      <w:r w:rsidRPr="007777E2">
        <w:t>. It benefit</w:t>
      </w:r>
      <w:r w:rsidR="006F0F97">
        <w:t>ted</w:t>
      </w:r>
      <w:r w:rsidRPr="007777E2">
        <w:t xml:space="preserve"> from inherent economic strengths and favorable external conditions. High investment-to-GDP ratios and productivity gains from a well-educated and disciplined labor force were the main contributors to growth. The favorable external environment—including strong growth in Russia and the rest of the world, easy access to the Russian market, and low-cost energy imports from Russia—also encouraged rapid growth. </w:t>
      </w:r>
    </w:p>
    <w:p w:rsidR="003202B9" w:rsidRPr="007777E2" w:rsidRDefault="003202B9" w:rsidP="00963581">
      <w:pPr>
        <w:numPr>
          <w:ilvl w:val="0"/>
          <w:numId w:val="1"/>
        </w:numPr>
        <w:autoSpaceDE w:val="0"/>
        <w:autoSpaceDN w:val="0"/>
        <w:adjustRightInd w:val="0"/>
        <w:spacing w:after="120"/>
        <w:ind w:left="0" w:firstLine="0"/>
        <w:jc w:val="both"/>
      </w:pPr>
      <w:r w:rsidRPr="007777E2">
        <w:rPr>
          <w:b/>
        </w:rPr>
        <w:t>The global economic crisis</w:t>
      </w:r>
      <w:r w:rsidR="00D859B7" w:rsidRPr="007777E2">
        <w:rPr>
          <w:b/>
        </w:rPr>
        <w:t xml:space="preserve"> of 2009</w:t>
      </w:r>
      <w:r w:rsidRPr="007777E2">
        <w:rPr>
          <w:b/>
        </w:rPr>
        <w:t xml:space="preserve">, however, exposed the economy’s vulnerability, in particular through </w:t>
      </w:r>
      <w:r w:rsidR="008F6DEF">
        <w:rPr>
          <w:b/>
        </w:rPr>
        <w:t xml:space="preserve">the </w:t>
      </w:r>
      <w:r w:rsidRPr="007777E2">
        <w:rPr>
          <w:b/>
        </w:rPr>
        <w:t>downward pressure on the Government’s fiscal space</w:t>
      </w:r>
      <w:r w:rsidRPr="007777E2">
        <w:t xml:space="preserve">. The external current account registered a sizable deficit for most of the past decade, as savings fell short of investment, leading to precariously low international reserves. </w:t>
      </w:r>
      <w:r w:rsidR="001E6912" w:rsidRPr="007777E2">
        <w:t>Belarus’</w:t>
      </w:r>
      <w:r w:rsidRPr="007777E2">
        <w:t xml:space="preserve"> exports, destined mainly to the Western European market for oil products and the Russian market for non-energy products, were hit hard when demand in both markets </w:t>
      </w:r>
      <w:r w:rsidR="00F807C2">
        <w:t xml:space="preserve">fell </w:t>
      </w:r>
      <w:r w:rsidRPr="007777E2">
        <w:t xml:space="preserve">drastically as a result of the crisis. </w:t>
      </w:r>
    </w:p>
    <w:p w:rsidR="003202B9" w:rsidRPr="007777E2" w:rsidRDefault="001E6912" w:rsidP="00963581">
      <w:pPr>
        <w:numPr>
          <w:ilvl w:val="0"/>
          <w:numId w:val="1"/>
        </w:numPr>
        <w:autoSpaceDE w:val="0"/>
        <w:autoSpaceDN w:val="0"/>
        <w:adjustRightInd w:val="0"/>
        <w:spacing w:after="120"/>
        <w:ind w:left="0" w:firstLine="0"/>
        <w:jc w:val="both"/>
      </w:pPr>
      <w:r w:rsidRPr="007777E2">
        <w:rPr>
          <w:b/>
        </w:rPr>
        <w:t>The Government recognizes the</w:t>
      </w:r>
      <w:r w:rsidR="003202B9" w:rsidRPr="007777E2">
        <w:rPr>
          <w:b/>
        </w:rPr>
        <w:t xml:space="preserve"> transport sector’s role </w:t>
      </w:r>
      <w:r w:rsidRPr="007777E2">
        <w:rPr>
          <w:b/>
        </w:rPr>
        <w:t>as an important pillar of t</w:t>
      </w:r>
      <w:r w:rsidR="003202B9" w:rsidRPr="007777E2">
        <w:rPr>
          <w:b/>
        </w:rPr>
        <w:t>he economy.</w:t>
      </w:r>
      <w:r w:rsidR="003202B9" w:rsidRPr="007777E2">
        <w:t xml:space="preserve"> According to proposals in the Government’s Program of Social and Economic Development (2006-2010), </w:t>
      </w:r>
      <w:r w:rsidRPr="007777E2">
        <w:t>the transport sector is to be further strengthened through various</w:t>
      </w:r>
      <w:r w:rsidR="003202B9" w:rsidRPr="007777E2">
        <w:t xml:space="preserve"> sector reforms and specific targeted investments in trade-</w:t>
      </w:r>
      <w:r w:rsidR="00C21AB2" w:rsidRPr="007777E2">
        <w:t>related</w:t>
      </w:r>
      <w:r w:rsidR="003202B9" w:rsidRPr="007777E2">
        <w:t xml:space="preserve"> infrastructure</w:t>
      </w:r>
      <w:r w:rsidRPr="007777E2">
        <w:t>, thus providing economic</w:t>
      </w:r>
      <w:r w:rsidR="003202B9" w:rsidRPr="007777E2">
        <w:t xml:space="preserve"> stimulus in the short term and improved competitiveness</w:t>
      </w:r>
      <w:r w:rsidRPr="007777E2">
        <w:t xml:space="preserve"> for the national economy</w:t>
      </w:r>
      <w:r w:rsidR="003202B9" w:rsidRPr="007777E2">
        <w:t xml:space="preserve"> in the long term. </w:t>
      </w:r>
    </w:p>
    <w:p w:rsidR="006D7C30" w:rsidRPr="007777E2" w:rsidRDefault="006D7C30" w:rsidP="006D7C30">
      <w:pPr>
        <w:pStyle w:val="Heading3"/>
        <w:spacing w:after="120"/>
        <w:rPr>
          <w:rStyle w:val="Heading2CharCharChar"/>
          <w:rFonts w:ascii="Times New Roman" w:hAnsi="Times New Roman" w:cs="Times New Roman"/>
          <w:b/>
          <w:bCs/>
          <w:sz w:val="24"/>
          <w:szCs w:val="24"/>
        </w:rPr>
      </w:pPr>
      <w:bookmarkStart w:id="67" w:name="_Toc282029934"/>
      <w:r w:rsidRPr="007777E2">
        <w:rPr>
          <w:rStyle w:val="Heading2CharCharChar"/>
          <w:rFonts w:ascii="Times New Roman" w:hAnsi="Times New Roman" w:cs="Times New Roman"/>
          <w:b/>
          <w:bCs/>
          <w:sz w:val="24"/>
          <w:szCs w:val="24"/>
        </w:rPr>
        <w:t xml:space="preserve">Report </w:t>
      </w:r>
      <w:r>
        <w:rPr>
          <w:rStyle w:val="Heading2CharCharChar"/>
          <w:rFonts w:ascii="Times New Roman" w:hAnsi="Times New Roman" w:cs="Times New Roman"/>
          <w:b/>
          <w:bCs/>
          <w:sz w:val="24"/>
          <w:szCs w:val="24"/>
        </w:rPr>
        <w:t>Objectives</w:t>
      </w:r>
      <w:bookmarkEnd w:id="67"/>
      <w:r w:rsidRPr="007777E2">
        <w:rPr>
          <w:rStyle w:val="Heading2CharCharChar"/>
          <w:rFonts w:ascii="Times New Roman" w:hAnsi="Times New Roman" w:cs="Times New Roman"/>
          <w:b/>
          <w:bCs/>
          <w:sz w:val="24"/>
          <w:szCs w:val="24"/>
        </w:rPr>
        <w:t xml:space="preserve"> </w:t>
      </w:r>
    </w:p>
    <w:p w:rsidR="006D7C30" w:rsidRPr="007777E2" w:rsidRDefault="006D7C30" w:rsidP="00963581">
      <w:pPr>
        <w:numPr>
          <w:ilvl w:val="0"/>
          <w:numId w:val="1"/>
        </w:numPr>
        <w:autoSpaceDE w:val="0"/>
        <w:autoSpaceDN w:val="0"/>
        <w:adjustRightInd w:val="0"/>
        <w:spacing w:after="120"/>
        <w:ind w:left="0" w:firstLine="0"/>
        <w:jc w:val="both"/>
      </w:pPr>
      <w:r w:rsidRPr="007777E2">
        <w:rPr>
          <w:b/>
        </w:rPr>
        <w:t xml:space="preserve">This report aims to contribute to the reflection and dialogue about </w:t>
      </w:r>
      <w:r>
        <w:rPr>
          <w:b/>
        </w:rPr>
        <w:t>policy</w:t>
      </w:r>
      <w:r w:rsidRPr="007777E2">
        <w:rPr>
          <w:b/>
        </w:rPr>
        <w:t xml:space="preserve"> and investment options in the transport sector</w:t>
      </w:r>
      <w:r>
        <w:rPr>
          <w:b/>
        </w:rPr>
        <w:t>,</w:t>
      </w:r>
      <w:r w:rsidRPr="007777E2">
        <w:rPr>
          <w:b/>
        </w:rPr>
        <w:t xml:space="preserve"> particularly in light of the present significant constraints </w:t>
      </w:r>
      <w:r>
        <w:rPr>
          <w:b/>
        </w:rPr>
        <w:t>i</w:t>
      </w:r>
      <w:r w:rsidRPr="007777E2">
        <w:rPr>
          <w:b/>
        </w:rPr>
        <w:t>n the Government’s fiscal space</w:t>
      </w:r>
      <w:r w:rsidRPr="007777E2">
        <w:t xml:space="preserve">. </w:t>
      </w:r>
      <w:r>
        <w:t xml:space="preserve">The report was commissioned to establish an analytical underpinning for the World Bank’s support to the transport sector in Belarus during the coming years. It provides the Government of Belarus with the World Bank’s policy recommendations for the transport sector. </w:t>
      </w:r>
      <w:r w:rsidRPr="007777E2">
        <w:t xml:space="preserve">It reviews the main transport modes (rail and road) </w:t>
      </w:r>
      <w:r>
        <w:t>and suggests options for strategic directions and priorities which in the Bank’s view may help to further develop the transport sector in Belarus</w:t>
      </w:r>
      <w:r w:rsidRPr="007777E2">
        <w:t xml:space="preserve">. </w:t>
      </w:r>
      <w:r>
        <w:t>The report does not substitute for a full transport sector strategy which needs to be developed and updated from time to time by the Government of Belarus.</w:t>
      </w:r>
    </w:p>
    <w:p w:rsidR="003202B9" w:rsidRPr="007777E2" w:rsidRDefault="003202B9" w:rsidP="00963581">
      <w:pPr>
        <w:numPr>
          <w:ilvl w:val="0"/>
          <w:numId w:val="1"/>
        </w:numPr>
        <w:autoSpaceDE w:val="0"/>
        <w:autoSpaceDN w:val="0"/>
        <w:adjustRightInd w:val="0"/>
        <w:spacing w:after="120"/>
        <w:ind w:left="0" w:firstLine="0"/>
        <w:jc w:val="both"/>
      </w:pPr>
      <w:r w:rsidRPr="007777E2">
        <w:rPr>
          <w:b/>
        </w:rPr>
        <w:t xml:space="preserve">The </w:t>
      </w:r>
      <w:r w:rsidR="006C29F3">
        <w:rPr>
          <w:b/>
        </w:rPr>
        <w:t>Transport Sector Policy Note is targeted at stakeholders in Bela</w:t>
      </w:r>
      <w:r w:rsidR="00F807C2">
        <w:rPr>
          <w:b/>
        </w:rPr>
        <w:t>r</w:t>
      </w:r>
      <w:r w:rsidR="006C29F3">
        <w:rPr>
          <w:b/>
        </w:rPr>
        <w:t>us who are</w:t>
      </w:r>
      <w:r w:rsidRPr="007777E2">
        <w:rPr>
          <w:b/>
        </w:rPr>
        <w:t xml:space="preserve"> interested in </w:t>
      </w:r>
      <w:r w:rsidR="001E6912" w:rsidRPr="007777E2">
        <w:rPr>
          <w:b/>
        </w:rPr>
        <w:t xml:space="preserve">the role </w:t>
      </w:r>
      <w:r w:rsidR="008F6DEF">
        <w:rPr>
          <w:b/>
        </w:rPr>
        <w:t>that</w:t>
      </w:r>
      <w:r w:rsidR="001E6912" w:rsidRPr="007777E2">
        <w:rPr>
          <w:b/>
        </w:rPr>
        <w:t xml:space="preserve"> the transport sector </w:t>
      </w:r>
      <w:r w:rsidR="008F6DEF">
        <w:rPr>
          <w:b/>
        </w:rPr>
        <w:t xml:space="preserve">plays </w:t>
      </w:r>
      <w:r w:rsidR="001E6912" w:rsidRPr="007777E2">
        <w:rPr>
          <w:b/>
        </w:rPr>
        <w:t xml:space="preserve">in </w:t>
      </w:r>
      <w:r w:rsidRPr="007777E2">
        <w:rPr>
          <w:b/>
        </w:rPr>
        <w:t xml:space="preserve">the development of </w:t>
      </w:r>
      <w:r w:rsidR="006C29F3">
        <w:rPr>
          <w:b/>
        </w:rPr>
        <w:t>the country</w:t>
      </w:r>
      <w:r w:rsidR="001E6912" w:rsidRPr="007777E2">
        <w:rPr>
          <w:b/>
        </w:rPr>
        <w:t>.</w:t>
      </w:r>
      <w:r w:rsidR="001E6912" w:rsidRPr="007777E2">
        <w:t xml:space="preserve"> These are</w:t>
      </w:r>
      <w:r w:rsidRPr="007777E2">
        <w:t xml:space="preserve"> in particular the Ministry of Transport and Communications</w:t>
      </w:r>
      <w:r w:rsidR="008F6DEF">
        <w:t xml:space="preserve"> (MOTC)</w:t>
      </w:r>
      <w:r w:rsidRPr="007777E2">
        <w:t xml:space="preserve">, </w:t>
      </w:r>
      <w:proofErr w:type="spellStart"/>
      <w:r w:rsidR="006C29F3">
        <w:t>Belavtodor</w:t>
      </w:r>
      <w:proofErr w:type="spellEnd"/>
      <w:r w:rsidR="006C29F3">
        <w:t>, Belarusian Railways</w:t>
      </w:r>
      <w:r w:rsidRPr="007777E2">
        <w:t xml:space="preserve">, the Ministry of Finance, </w:t>
      </w:r>
      <w:r w:rsidR="006C29F3">
        <w:t xml:space="preserve">the Ministry of Economy </w:t>
      </w:r>
      <w:r w:rsidR="001E6912" w:rsidRPr="007777E2">
        <w:t>and other stakeholders within the transport sector and the broader economy</w:t>
      </w:r>
      <w:r w:rsidRPr="007777E2">
        <w:t xml:space="preserve">. The secondary audience of this </w:t>
      </w:r>
      <w:r w:rsidR="001E6912" w:rsidRPr="007777E2">
        <w:t>report</w:t>
      </w:r>
      <w:r w:rsidRPr="007777E2">
        <w:t xml:space="preserve"> includes World Bank </w:t>
      </w:r>
      <w:r w:rsidR="00F807C2">
        <w:t xml:space="preserve">staff </w:t>
      </w:r>
      <w:r w:rsidRPr="007777E2">
        <w:t xml:space="preserve">and other </w:t>
      </w:r>
      <w:r w:rsidR="001E6912" w:rsidRPr="007777E2">
        <w:t xml:space="preserve">external </w:t>
      </w:r>
      <w:r w:rsidRPr="007777E2">
        <w:t xml:space="preserve">stakeholders, such as the Eurasian Development Bank, the European Commission, and other international </w:t>
      </w:r>
      <w:r w:rsidR="00F807C2">
        <w:t xml:space="preserve">and bilateral </w:t>
      </w:r>
      <w:r w:rsidRPr="007777E2">
        <w:t>financial institutions.</w:t>
      </w:r>
    </w:p>
    <w:p w:rsidR="006D7C30" w:rsidRDefault="006D7C30" w:rsidP="006D7C30">
      <w:pPr>
        <w:pStyle w:val="Heading3"/>
        <w:spacing w:after="120"/>
        <w:rPr>
          <w:b w:val="0"/>
        </w:rPr>
      </w:pPr>
      <w:bookmarkStart w:id="68" w:name="_Toc282029935"/>
      <w:r w:rsidRPr="007777E2">
        <w:rPr>
          <w:rStyle w:val="Heading2CharCharChar"/>
          <w:rFonts w:ascii="Times New Roman" w:hAnsi="Times New Roman" w:cs="Times New Roman"/>
          <w:b/>
          <w:bCs/>
          <w:sz w:val="24"/>
          <w:szCs w:val="24"/>
        </w:rPr>
        <w:lastRenderedPageBreak/>
        <w:t xml:space="preserve">Report </w:t>
      </w:r>
      <w:r>
        <w:rPr>
          <w:rStyle w:val="Heading2CharCharChar"/>
          <w:rFonts w:ascii="Times New Roman" w:hAnsi="Times New Roman" w:cs="Times New Roman"/>
          <w:b/>
          <w:bCs/>
          <w:sz w:val="24"/>
          <w:szCs w:val="24"/>
        </w:rPr>
        <w:t>Scope</w:t>
      </w:r>
      <w:bookmarkEnd w:id="68"/>
    </w:p>
    <w:p w:rsidR="003202B9" w:rsidRPr="007777E2" w:rsidRDefault="003202B9" w:rsidP="00963581">
      <w:pPr>
        <w:numPr>
          <w:ilvl w:val="0"/>
          <w:numId w:val="1"/>
        </w:numPr>
        <w:autoSpaceDE w:val="0"/>
        <w:autoSpaceDN w:val="0"/>
        <w:adjustRightInd w:val="0"/>
        <w:spacing w:after="120"/>
        <w:ind w:left="0" w:firstLine="0"/>
        <w:jc w:val="both"/>
      </w:pPr>
      <w:r w:rsidRPr="007777E2">
        <w:rPr>
          <w:b/>
        </w:rPr>
        <w:t>The report focus</w:t>
      </w:r>
      <w:r w:rsidR="001E6912" w:rsidRPr="007777E2">
        <w:rPr>
          <w:b/>
        </w:rPr>
        <w:t>es</w:t>
      </w:r>
      <w:r w:rsidRPr="007777E2">
        <w:rPr>
          <w:b/>
        </w:rPr>
        <w:t xml:space="preserve"> on land transport (road and rail subsector) given its dominant role in serving transportation demand</w:t>
      </w:r>
      <w:r w:rsidR="008F6DEF">
        <w:rPr>
          <w:b/>
        </w:rPr>
        <w:t xml:space="preserve"> in Belarus</w:t>
      </w:r>
      <w:r w:rsidRPr="007777E2">
        <w:t xml:space="preserve">. </w:t>
      </w:r>
      <w:r w:rsidR="001E6912" w:rsidRPr="007777E2">
        <w:t xml:space="preserve">It also covers freight logistics as an underlying activity of road and rail transport. </w:t>
      </w:r>
      <w:r w:rsidRPr="007777E2">
        <w:t xml:space="preserve">The </w:t>
      </w:r>
      <w:r w:rsidR="001E6912" w:rsidRPr="007777E2">
        <w:t xml:space="preserve">World Bank’s </w:t>
      </w:r>
      <w:r w:rsidR="001023E2" w:rsidRPr="001023E2">
        <w:rPr>
          <w:i/>
        </w:rPr>
        <w:t>Country Assistance Strategy Progress Report</w:t>
      </w:r>
      <w:r w:rsidRPr="007777E2">
        <w:t xml:space="preserve"> (CASPR)</w:t>
      </w:r>
      <w:r w:rsidR="008F6DEF" w:rsidRPr="00015A67">
        <w:rPr>
          <w:rStyle w:val="FootnoteReference"/>
          <w:sz w:val="24"/>
        </w:rPr>
        <w:footnoteReference w:id="4"/>
      </w:r>
      <w:r w:rsidRPr="007777E2">
        <w:t xml:space="preserve"> </w:t>
      </w:r>
      <w:r w:rsidR="008F6DEF" w:rsidRPr="007777E2">
        <w:t xml:space="preserve">for Belarus </w:t>
      </w:r>
      <w:r w:rsidRPr="007777E2">
        <w:t xml:space="preserve">identified the transport </w:t>
      </w:r>
      <w:r w:rsidR="001E6912" w:rsidRPr="007777E2">
        <w:t xml:space="preserve">and logistics </w:t>
      </w:r>
      <w:r w:rsidRPr="007777E2">
        <w:t xml:space="preserve">sector as a bottleneck for </w:t>
      </w:r>
      <w:r w:rsidR="001E6912" w:rsidRPr="007777E2">
        <w:t xml:space="preserve">the country’s </w:t>
      </w:r>
      <w:r w:rsidRPr="007777E2">
        <w:t xml:space="preserve">trade integration and competitiveness. </w:t>
      </w:r>
      <w:r w:rsidR="001E6912" w:rsidRPr="007777E2">
        <w:t xml:space="preserve">It </w:t>
      </w:r>
      <w:r w:rsidRPr="007777E2">
        <w:t xml:space="preserve">indicates that large investments are needed to increase the capacity of parts of the road network, to improve road safety and to increase energy efficiency of train operations. </w:t>
      </w:r>
    </w:p>
    <w:p w:rsidR="003202B9" w:rsidRPr="007777E2" w:rsidRDefault="003202B9" w:rsidP="00963581">
      <w:pPr>
        <w:numPr>
          <w:ilvl w:val="0"/>
          <w:numId w:val="1"/>
        </w:numPr>
        <w:autoSpaceDE w:val="0"/>
        <w:autoSpaceDN w:val="0"/>
        <w:adjustRightInd w:val="0"/>
        <w:spacing w:after="120"/>
        <w:ind w:left="0" w:firstLine="0"/>
        <w:jc w:val="both"/>
      </w:pPr>
      <w:r w:rsidRPr="007777E2">
        <w:rPr>
          <w:b/>
        </w:rPr>
        <w:t>The objective</w:t>
      </w:r>
      <w:r w:rsidR="001E6912" w:rsidRPr="007777E2">
        <w:rPr>
          <w:b/>
        </w:rPr>
        <w:t xml:space="preserve"> of the report</w:t>
      </w:r>
      <w:r w:rsidRPr="007777E2">
        <w:rPr>
          <w:b/>
        </w:rPr>
        <w:t xml:space="preserve"> is consistent with two pillars of the CASPR.</w:t>
      </w:r>
      <w:r w:rsidRPr="007777E2">
        <w:t xml:space="preserve"> First, </w:t>
      </w:r>
      <w:r w:rsidR="00D859B7" w:rsidRPr="007777E2">
        <w:t>in line with</w:t>
      </w:r>
      <w:r w:rsidRPr="007777E2">
        <w:t xml:space="preserve"> the pillar on “Entry, Regulatory Reform, and Competitiveness,” the report </w:t>
      </w:r>
      <w:r w:rsidR="001E6912" w:rsidRPr="007777E2">
        <w:t>identifies</w:t>
      </w:r>
      <w:r w:rsidRPr="007777E2">
        <w:t xml:space="preserve"> policy options</w:t>
      </w:r>
      <w:r w:rsidR="001E6912" w:rsidRPr="007777E2">
        <w:t xml:space="preserve"> and reforms</w:t>
      </w:r>
      <w:r w:rsidRPr="007777E2">
        <w:t xml:space="preserve"> in the transport sector that </w:t>
      </w:r>
      <w:r w:rsidR="001E6912" w:rsidRPr="007777E2">
        <w:t>are likely to improve the sector’s functional efficiency</w:t>
      </w:r>
      <w:r w:rsidRPr="007777E2">
        <w:t xml:space="preserve"> and promote investments.  Second</w:t>
      </w:r>
      <w:r w:rsidR="00D859B7" w:rsidRPr="007777E2">
        <w:t>, in line with</w:t>
      </w:r>
      <w:r w:rsidRPr="007777E2">
        <w:t xml:space="preserve"> the pillar on “Public Sector Efficiency and Fiscal Discipline,” the report</w:t>
      </w:r>
      <w:r w:rsidR="001E6912" w:rsidRPr="007777E2">
        <w:t xml:space="preserve"> identifies actions and measures that could help</w:t>
      </w:r>
      <w:r w:rsidRPr="007777E2">
        <w:t xml:space="preserve"> the Government to put the transport sector on a fiscally sustainable basis and ensure </w:t>
      </w:r>
      <w:r w:rsidR="00F807C2">
        <w:t xml:space="preserve">the </w:t>
      </w:r>
      <w:r w:rsidRPr="007777E2">
        <w:t>efficient use of scar</w:t>
      </w:r>
      <w:r w:rsidR="00381F0B" w:rsidRPr="007777E2">
        <w:t>c</w:t>
      </w:r>
      <w:r w:rsidRPr="007777E2">
        <w:t xml:space="preserve">e resources. </w:t>
      </w:r>
      <w:r w:rsidR="001E6912" w:rsidRPr="007777E2">
        <w:t>The report’s findings are based on an objective assessment of the current status of the transport sector, including its financial and fiscal sustainability. It also seeks to benchmark the sector against international performance</w:t>
      </w:r>
      <w:r w:rsidR="00F807C2">
        <w:t xml:space="preserve"> indicators</w:t>
      </w:r>
      <w:r w:rsidR="001E6912" w:rsidRPr="007777E2">
        <w:t xml:space="preserve"> and to present policy and investment options for consideration by the Government. </w:t>
      </w:r>
    </w:p>
    <w:p w:rsidR="003202B9" w:rsidRDefault="001E6912" w:rsidP="00963581">
      <w:pPr>
        <w:numPr>
          <w:ilvl w:val="0"/>
          <w:numId w:val="1"/>
        </w:numPr>
        <w:autoSpaceDE w:val="0"/>
        <w:autoSpaceDN w:val="0"/>
        <w:adjustRightInd w:val="0"/>
        <w:spacing w:after="120"/>
        <w:ind w:left="0" w:firstLine="0"/>
        <w:jc w:val="both"/>
      </w:pPr>
      <w:bookmarkStart w:id="69" w:name="_Toc244402522"/>
      <w:bookmarkStart w:id="70" w:name="_Toc253998903"/>
      <w:r w:rsidRPr="007777E2">
        <w:rPr>
          <w:b/>
        </w:rPr>
        <w:t xml:space="preserve">This report is the World Bank’s second review of </w:t>
      </w:r>
      <w:r w:rsidR="00015A67">
        <w:rPr>
          <w:b/>
        </w:rPr>
        <w:t xml:space="preserve">the </w:t>
      </w:r>
      <w:r w:rsidRPr="007777E2">
        <w:rPr>
          <w:b/>
        </w:rPr>
        <w:t>transport sector</w:t>
      </w:r>
      <w:r w:rsidR="00015A67">
        <w:rPr>
          <w:b/>
        </w:rPr>
        <w:t xml:space="preserve"> in Belarus</w:t>
      </w:r>
      <w:r w:rsidR="003202B9" w:rsidRPr="007777E2">
        <w:rPr>
          <w:b/>
        </w:rPr>
        <w:t xml:space="preserve">. </w:t>
      </w:r>
      <w:r w:rsidR="003202B9" w:rsidRPr="007777E2">
        <w:t>The</w:t>
      </w:r>
      <w:r w:rsidRPr="007777E2">
        <w:t xml:space="preserve"> World</w:t>
      </w:r>
      <w:r w:rsidR="003202B9" w:rsidRPr="007777E2">
        <w:t xml:space="preserve"> Bank undertook a comprehensive Transport Sector Review in 1995</w:t>
      </w:r>
      <w:r w:rsidR="00015A67">
        <w:t>,</w:t>
      </w:r>
      <w:r w:rsidR="00504B81">
        <w:t xml:space="preserve"> which was however not followed by World Bank funded investments in the transport sector</w:t>
      </w:r>
      <w:r w:rsidR="003202B9" w:rsidRPr="007777E2">
        <w:t>. Th</w:t>
      </w:r>
      <w:r w:rsidR="00504B81">
        <w:t>is new Transport Sector Review</w:t>
      </w:r>
      <w:r w:rsidR="003202B9" w:rsidRPr="007777E2">
        <w:t xml:space="preserve"> </w:t>
      </w:r>
      <w:r w:rsidR="00504B81">
        <w:t xml:space="preserve">presents new analytical work which is meant to </w:t>
      </w:r>
      <w:r w:rsidR="006D7C30">
        <w:t>underpin</w:t>
      </w:r>
      <w:r w:rsidR="00504B81">
        <w:t xml:space="preserve"> </w:t>
      </w:r>
      <w:r w:rsidRPr="007777E2">
        <w:t xml:space="preserve">future World Bank </w:t>
      </w:r>
      <w:r w:rsidR="00381F0B" w:rsidRPr="007777E2">
        <w:t xml:space="preserve">support </w:t>
      </w:r>
      <w:r w:rsidRPr="007777E2">
        <w:t>to</w:t>
      </w:r>
      <w:r w:rsidR="003202B9" w:rsidRPr="007777E2">
        <w:t xml:space="preserve"> Belarus</w:t>
      </w:r>
      <w:r w:rsidRPr="007777E2">
        <w:t xml:space="preserve"> in the</w:t>
      </w:r>
      <w:r w:rsidR="003202B9" w:rsidRPr="007777E2">
        <w:t xml:space="preserve"> transport sector. </w:t>
      </w:r>
      <w:r w:rsidR="00D655D2">
        <w:t>T</w:t>
      </w:r>
      <w:r w:rsidR="003202B9" w:rsidRPr="007777E2">
        <w:t>he World Bank</w:t>
      </w:r>
      <w:r w:rsidR="00D655D2">
        <w:t>’s Board of Directors has recently approved</w:t>
      </w:r>
      <w:r w:rsidR="003202B9" w:rsidRPr="007777E2">
        <w:t xml:space="preserve"> </w:t>
      </w:r>
      <w:r w:rsidRPr="007777E2">
        <w:t xml:space="preserve">a loan </w:t>
      </w:r>
      <w:r w:rsidR="00D655D2">
        <w:t xml:space="preserve">of US$ 150 million </w:t>
      </w:r>
      <w:r w:rsidRPr="007777E2">
        <w:t>to</w:t>
      </w:r>
      <w:r w:rsidR="003202B9" w:rsidRPr="007777E2">
        <w:t xml:space="preserve"> support </w:t>
      </w:r>
      <w:r w:rsidRPr="007777E2">
        <w:t xml:space="preserve">the </w:t>
      </w:r>
      <w:r w:rsidRPr="007777E2">
        <w:rPr>
          <w:i/>
        </w:rPr>
        <w:t>Road Upgrading and Modernization Project</w:t>
      </w:r>
      <w:r w:rsidRPr="007777E2">
        <w:t xml:space="preserve">. The </w:t>
      </w:r>
      <w:r w:rsidR="000A7901">
        <w:t xml:space="preserve">World </w:t>
      </w:r>
      <w:r w:rsidRPr="007777E2">
        <w:t xml:space="preserve">Bank has also indicated its willingness in principle to provide future </w:t>
      </w:r>
      <w:r w:rsidR="00381F0B" w:rsidRPr="007777E2">
        <w:t xml:space="preserve">financing </w:t>
      </w:r>
      <w:r w:rsidR="00D655D2">
        <w:t>for</w:t>
      </w:r>
      <w:r w:rsidRPr="007777E2">
        <w:t xml:space="preserve"> </w:t>
      </w:r>
      <w:r w:rsidR="00D655D2">
        <w:t xml:space="preserve">other transport sector investments. </w:t>
      </w:r>
      <w:r w:rsidR="003202B9" w:rsidRPr="007777E2">
        <w:t xml:space="preserve"> </w:t>
      </w:r>
    </w:p>
    <w:p w:rsidR="005F00D9" w:rsidRPr="007777E2" w:rsidRDefault="005F00D9" w:rsidP="005F00D9">
      <w:pPr>
        <w:autoSpaceDE w:val="0"/>
        <w:autoSpaceDN w:val="0"/>
        <w:adjustRightInd w:val="0"/>
        <w:spacing w:after="120"/>
        <w:jc w:val="both"/>
      </w:pPr>
    </w:p>
    <w:p w:rsidR="00096ADF" w:rsidRPr="007777E2" w:rsidRDefault="00096ADF" w:rsidP="00963581">
      <w:pPr>
        <w:pStyle w:val="Heading1a"/>
      </w:pPr>
      <w:bookmarkStart w:id="71" w:name="_Toc282029936"/>
      <w:r w:rsidRPr="007777E2">
        <w:lastRenderedPageBreak/>
        <w:t>2.</w:t>
      </w:r>
      <w:r w:rsidRPr="007777E2">
        <w:tab/>
      </w:r>
      <w:bookmarkEnd w:id="69"/>
      <w:bookmarkEnd w:id="70"/>
      <w:r w:rsidR="00621857">
        <w:t>Demand for Transport and Logistics Services</w:t>
      </w:r>
      <w:bookmarkEnd w:id="71"/>
    </w:p>
    <w:p w:rsidR="00F71C7D" w:rsidRPr="007777E2" w:rsidRDefault="00DA6188" w:rsidP="00096ADF">
      <w:pPr>
        <w:pStyle w:val="Heading3"/>
        <w:spacing w:after="240"/>
        <w:rPr>
          <w:rFonts w:ascii="Times New Roman" w:hAnsi="Times New Roman" w:cs="Times New Roman"/>
          <w:sz w:val="24"/>
          <w:szCs w:val="24"/>
        </w:rPr>
      </w:pPr>
      <w:bookmarkStart w:id="72" w:name="_Toc282029937"/>
      <w:r>
        <w:rPr>
          <w:rFonts w:ascii="Times New Roman" w:hAnsi="Times New Roman" w:cs="Times New Roman"/>
          <w:sz w:val="24"/>
          <w:szCs w:val="24"/>
        </w:rPr>
        <w:t xml:space="preserve">Role of the </w:t>
      </w:r>
      <w:r w:rsidR="001E6912" w:rsidRPr="007777E2">
        <w:rPr>
          <w:rFonts w:ascii="Times New Roman" w:hAnsi="Times New Roman" w:cs="Times New Roman"/>
          <w:sz w:val="24"/>
          <w:szCs w:val="24"/>
        </w:rPr>
        <w:t xml:space="preserve">Transport </w:t>
      </w:r>
      <w:r w:rsidR="003202B9" w:rsidRPr="007777E2">
        <w:rPr>
          <w:rFonts w:ascii="Times New Roman" w:hAnsi="Times New Roman" w:cs="Times New Roman"/>
          <w:sz w:val="24"/>
          <w:szCs w:val="24"/>
        </w:rPr>
        <w:t xml:space="preserve">Sector </w:t>
      </w:r>
      <w:r w:rsidR="001E6912" w:rsidRPr="007777E2">
        <w:rPr>
          <w:rFonts w:ascii="Times New Roman" w:hAnsi="Times New Roman" w:cs="Times New Roman"/>
          <w:sz w:val="24"/>
          <w:szCs w:val="24"/>
        </w:rPr>
        <w:t>in the Economy</w:t>
      </w:r>
      <w:bookmarkEnd w:id="72"/>
      <w:r w:rsidR="001E6912" w:rsidRPr="007777E2">
        <w:rPr>
          <w:rFonts w:ascii="Times New Roman" w:hAnsi="Times New Roman" w:cs="Times New Roman"/>
          <w:sz w:val="24"/>
          <w:szCs w:val="24"/>
        </w:rPr>
        <w:t xml:space="preserve"> </w:t>
      </w:r>
    </w:p>
    <w:p w:rsidR="00BE5AC4" w:rsidRPr="007777E2" w:rsidRDefault="003202B9" w:rsidP="00BE35AE">
      <w:pPr>
        <w:numPr>
          <w:ilvl w:val="0"/>
          <w:numId w:val="2"/>
        </w:numPr>
        <w:tabs>
          <w:tab w:val="num" w:pos="3420"/>
        </w:tabs>
        <w:spacing w:after="120"/>
        <w:ind w:left="0" w:firstLine="0"/>
        <w:jc w:val="both"/>
      </w:pPr>
      <w:r w:rsidRPr="007777E2">
        <w:rPr>
          <w:b/>
        </w:rPr>
        <w:t xml:space="preserve">Contributing about </w:t>
      </w:r>
      <w:r w:rsidR="00DC7826">
        <w:rPr>
          <w:b/>
        </w:rPr>
        <w:t>7</w:t>
      </w:r>
      <w:r w:rsidRPr="007777E2">
        <w:rPr>
          <w:b/>
        </w:rPr>
        <w:t xml:space="preserve"> percent </w:t>
      </w:r>
      <w:r w:rsidR="00504B81">
        <w:rPr>
          <w:b/>
        </w:rPr>
        <w:t>to</w:t>
      </w:r>
      <w:r w:rsidRPr="007777E2">
        <w:rPr>
          <w:b/>
        </w:rPr>
        <w:t xml:space="preserve"> GDP in 2008, transport is an important economic sector in Belarus. </w:t>
      </w:r>
      <w:r w:rsidRPr="007777E2">
        <w:t xml:space="preserve">The sector generates </w:t>
      </w:r>
      <w:r w:rsidR="001E6912" w:rsidRPr="007777E2">
        <w:t xml:space="preserve">large </w:t>
      </w:r>
      <w:r w:rsidRPr="007777E2">
        <w:t xml:space="preserve">revenues from transit services, facilitates </w:t>
      </w:r>
      <w:r w:rsidR="001E6912" w:rsidRPr="007777E2">
        <w:t xml:space="preserve">internal and external </w:t>
      </w:r>
      <w:r w:rsidRPr="007777E2">
        <w:t>trade, and contributes to the country’s balance of payments. In addition, the transport sector account</w:t>
      </w:r>
      <w:r w:rsidR="001E6912" w:rsidRPr="007777E2">
        <w:t>s</w:t>
      </w:r>
      <w:r w:rsidRPr="007777E2">
        <w:t xml:space="preserve"> for about 6 percent of total employment in Belarus</w:t>
      </w:r>
      <w:r w:rsidR="00015A67">
        <w:t>.</w:t>
      </w:r>
      <w:r w:rsidR="00DC7826" w:rsidRPr="00015A67">
        <w:rPr>
          <w:rStyle w:val="FootnoteReference"/>
          <w:sz w:val="24"/>
        </w:rPr>
        <w:footnoteReference w:id="5"/>
      </w:r>
      <w:r w:rsidR="00015A67">
        <w:t xml:space="preserve"> </w:t>
      </w:r>
      <w:r w:rsidRPr="007777E2">
        <w:t xml:space="preserve"> In 2008, the largest proportion of transport</w:t>
      </w:r>
      <w:r w:rsidR="001E6912" w:rsidRPr="007777E2">
        <w:t>-related</w:t>
      </w:r>
      <w:r w:rsidRPr="007777E2">
        <w:t xml:space="preserve"> employment was in roads (</w:t>
      </w:r>
      <w:r w:rsidR="00DC7826">
        <w:t xml:space="preserve">about </w:t>
      </w:r>
      <w:r w:rsidRPr="007777E2">
        <w:t>117,100 persons), followed by rail (</w:t>
      </w:r>
      <w:r w:rsidR="00DC7826">
        <w:t xml:space="preserve">about </w:t>
      </w:r>
      <w:r w:rsidRPr="007777E2">
        <w:t>70,400 persons)</w:t>
      </w:r>
      <w:r w:rsidR="0063478F" w:rsidRPr="007777E2">
        <w:t xml:space="preserve"> as presented in </w:t>
      </w:r>
      <w:fldSimple w:instr=" REF _Ref257039143 \h  \* MERGEFORMAT ">
        <w:r w:rsidR="00E85C5F" w:rsidRPr="00E85C5F">
          <w:t xml:space="preserve">Table </w:t>
        </w:r>
        <w:r w:rsidR="00E85C5F" w:rsidRPr="00E85C5F">
          <w:rPr>
            <w:noProof/>
          </w:rPr>
          <w:t>1</w:t>
        </w:r>
      </w:fldSimple>
      <w:r w:rsidR="0063478F" w:rsidRPr="007777E2">
        <w:t xml:space="preserve"> and </w:t>
      </w:r>
      <w:fldSimple w:instr=" REF _Ref257039147 \h  \* MERGEFORMAT ">
        <w:r w:rsidR="00E85C5F" w:rsidRPr="00E85C5F">
          <w:t xml:space="preserve">Table </w:t>
        </w:r>
        <w:r w:rsidR="00E85C5F" w:rsidRPr="00E85C5F">
          <w:rPr>
            <w:noProof/>
          </w:rPr>
          <w:t>2</w:t>
        </w:r>
      </w:fldSimple>
      <w:r w:rsidR="00BE5AC4" w:rsidRPr="007777E2">
        <w:t xml:space="preserve">.  </w:t>
      </w:r>
    </w:p>
    <w:p w:rsidR="00D826A4" w:rsidRPr="007777E2" w:rsidRDefault="00D826A4" w:rsidP="00D826A4">
      <w:pPr>
        <w:tabs>
          <w:tab w:val="num" w:pos="3420"/>
        </w:tabs>
        <w:spacing w:after="120"/>
        <w:jc w:val="both"/>
      </w:pPr>
    </w:p>
    <w:tbl>
      <w:tblPr>
        <w:tblStyle w:val="TableGrid"/>
        <w:tblW w:w="0" w:type="auto"/>
        <w:tblLayout w:type="fixed"/>
        <w:tblLook w:val="04A0"/>
      </w:tblPr>
      <w:tblGrid>
        <w:gridCol w:w="4788"/>
        <w:gridCol w:w="4680"/>
      </w:tblGrid>
      <w:tr w:rsidR="00647C1B" w:rsidRPr="007777E2" w:rsidTr="008709CD">
        <w:trPr>
          <w:trHeight w:val="4490"/>
        </w:trPr>
        <w:tc>
          <w:tcPr>
            <w:tcW w:w="4788" w:type="dxa"/>
          </w:tcPr>
          <w:p w:rsidR="00647C1B" w:rsidRPr="007777E2" w:rsidRDefault="00647C1B" w:rsidP="00647C1B">
            <w:pPr>
              <w:pStyle w:val="Caption"/>
              <w:rPr>
                <w:color w:val="auto"/>
                <w:sz w:val="22"/>
                <w:szCs w:val="22"/>
              </w:rPr>
            </w:pPr>
            <w:bookmarkStart w:id="73" w:name="_Ref257039143"/>
            <w:bookmarkStart w:id="74" w:name="_Toc264227128"/>
            <w:r w:rsidRPr="007777E2">
              <w:rPr>
                <w:color w:val="auto"/>
                <w:sz w:val="22"/>
                <w:szCs w:val="22"/>
              </w:rPr>
              <w:t xml:space="preserve">Table </w:t>
            </w:r>
            <w:r w:rsidR="006B40AE" w:rsidRPr="007777E2">
              <w:rPr>
                <w:color w:val="auto"/>
                <w:sz w:val="22"/>
                <w:szCs w:val="22"/>
              </w:rPr>
              <w:fldChar w:fldCharType="begin"/>
            </w:r>
            <w:r w:rsidRPr="007777E2">
              <w:rPr>
                <w:color w:val="auto"/>
                <w:sz w:val="22"/>
                <w:szCs w:val="22"/>
              </w:rPr>
              <w:instrText xml:space="preserve"> SEQ Table \* ARABIC </w:instrText>
            </w:r>
            <w:r w:rsidR="006B40AE" w:rsidRPr="007777E2">
              <w:rPr>
                <w:color w:val="auto"/>
                <w:sz w:val="22"/>
                <w:szCs w:val="22"/>
              </w:rPr>
              <w:fldChar w:fldCharType="separate"/>
            </w:r>
            <w:r w:rsidR="009E2C86">
              <w:rPr>
                <w:noProof/>
                <w:color w:val="auto"/>
                <w:sz w:val="22"/>
                <w:szCs w:val="22"/>
              </w:rPr>
              <w:t>1</w:t>
            </w:r>
            <w:r w:rsidR="006B40AE" w:rsidRPr="007777E2">
              <w:rPr>
                <w:color w:val="auto"/>
                <w:sz w:val="22"/>
                <w:szCs w:val="22"/>
              </w:rPr>
              <w:fldChar w:fldCharType="end"/>
            </w:r>
            <w:bookmarkEnd w:id="73"/>
            <w:r w:rsidRPr="007777E2">
              <w:rPr>
                <w:color w:val="auto"/>
                <w:sz w:val="22"/>
                <w:szCs w:val="22"/>
              </w:rPr>
              <w:t>.  Belarus GDP 2000-2008</w:t>
            </w:r>
            <w:bookmarkEnd w:id="74"/>
            <w:r w:rsidR="00513C89">
              <w:rPr>
                <w:color w:val="auto"/>
                <w:sz w:val="22"/>
                <w:szCs w:val="22"/>
              </w:rPr>
              <w:t xml:space="preserve"> </w:t>
            </w:r>
            <w:proofErr w:type="spellStart"/>
            <w:r w:rsidR="00513C89" w:rsidRPr="007777E2">
              <w:rPr>
                <w:color w:val="auto"/>
                <w:sz w:val="22"/>
                <w:szCs w:val="22"/>
              </w:rPr>
              <w:t>Sectoral</w:t>
            </w:r>
            <w:proofErr w:type="spellEnd"/>
            <w:r w:rsidR="00513C89" w:rsidRPr="007777E2">
              <w:rPr>
                <w:color w:val="auto"/>
                <w:sz w:val="22"/>
                <w:szCs w:val="22"/>
              </w:rPr>
              <w:t xml:space="preserve"> Structure</w:t>
            </w:r>
          </w:p>
          <w:p w:rsidR="00647C1B" w:rsidRPr="007777E2" w:rsidRDefault="00647C1B" w:rsidP="00647C1B"/>
          <w:p w:rsidR="00647C1B" w:rsidRPr="007777E2" w:rsidRDefault="00647C1B" w:rsidP="00647C1B">
            <w:pPr>
              <w:tabs>
                <w:tab w:val="num" w:pos="3420"/>
              </w:tabs>
              <w:spacing w:after="120"/>
              <w:jc w:val="both"/>
            </w:pPr>
            <w:r w:rsidRPr="007777E2">
              <w:rPr>
                <w:noProof/>
              </w:rPr>
              <w:drawing>
                <wp:inline distT="0" distB="0" distL="0" distR="0">
                  <wp:extent cx="2838450" cy="2181225"/>
                  <wp:effectExtent l="19050" t="0" r="19050" b="0"/>
                  <wp:docPr id="4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47C1B" w:rsidRPr="007777E2" w:rsidRDefault="00647C1B" w:rsidP="00647C1B">
            <w:pPr>
              <w:tabs>
                <w:tab w:val="num" w:pos="3420"/>
              </w:tabs>
              <w:spacing w:after="120"/>
              <w:jc w:val="both"/>
              <w:rPr>
                <w:sz w:val="18"/>
                <w:szCs w:val="18"/>
              </w:rPr>
            </w:pPr>
            <w:r w:rsidRPr="007777E2">
              <w:rPr>
                <w:sz w:val="18"/>
                <w:szCs w:val="18"/>
              </w:rPr>
              <w:t>Source: Transport Statistical Yearbook of Belarus. 2009.</w:t>
            </w:r>
          </w:p>
        </w:tc>
        <w:tc>
          <w:tcPr>
            <w:tcW w:w="4680" w:type="dxa"/>
          </w:tcPr>
          <w:p w:rsidR="00647C1B" w:rsidRPr="007777E2" w:rsidRDefault="00647C1B" w:rsidP="00647C1B">
            <w:pPr>
              <w:pStyle w:val="Caption"/>
              <w:rPr>
                <w:color w:val="auto"/>
                <w:sz w:val="22"/>
                <w:szCs w:val="22"/>
              </w:rPr>
            </w:pPr>
            <w:bookmarkStart w:id="75" w:name="_Ref257039147"/>
            <w:bookmarkStart w:id="76" w:name="_Toc264227129"/>
            <w:r w:rsidRPr="007777E2">
              <w:rPr>
                <w:color w:val="auto"/>
                <w:sz w:val="22"/>
                <w:szCs w:val="22"/>
              </w:rPr>
              <w:t xml:space="preserve">Table </w:t>
            </w:r>
            <w:r w:rsidR="006B40AE" w:rsidRPr="007777E2">
              <w:rPr>
                <w:color w:val="auto"/>
                <w:sz w:val="22"/>
                <w:szCs w:val="22"/>
              </w:rPr>
              <w:fldChar w:fldCharType="begin"/>
            </w:r>
            <w:r w:rsidRPr="007777E2">
              <w:rPr>
                <w:color w:val="auto"/>
                <w:sz w:val="22"/>
                <w:szCs w:val="22"/>
              </w:rPr>
              <w:instrText xml:space="preserve"> SEQ Table \* ARABIC </w:instrText>
            </w:r>
            <w:r w:rsidR="006B40AE" w:rsidRPr="007777E2">
              <w:rPr>
                <w:color w:val="auto"/>
                <w:sz w:val="22"/>
                <w:szCs w:val="22"/>
              </w:rPr>
              <w:fldChar w:fldCharType="separate"/>
            </w:r>
            <w:r w:rsidR="009E2C86">
              <w:rPr>
                <w:noProof/>
                <w:color w:val="auto"/>
                <w:sz w:val="22"/>
                <w:szCs w:val="22"/>
              </w:rPr>
              <w:t>2</w:t>
            </w:r>
            <w:r w:rsidR="006B40AE" w:rsidRPr="007777E2">
              <w:rPr>
                <w:color w:val="auto"/>
                <w:sz w:val="22"/>
                <w:szCs w:val="22"/>
              </w:rPr>
              <w:fldChar w:fldCharType="end"/>
            </w:r>
            <w:bookmarkEnd w:id="75"/>
            <w:r w:rsidRPr="007777E2">
              <w:rPr>
                <w:color w:val="auto"/>
                <w:sz w:val="22"/>
                <w:szCs w:val="22"/>
              </w:rPr>
              <w:t xml:space="preserve">. </w:t>
            </w:r>
            <w:r w:rsidR="00DC7826">
              <w:rPr>
                <w:color w:val="auto"/>
                <w:sz w:val="22"/>
                <w:szCs w:val="22"/>
              </w:rPr>
              <w:t>Number of e</w:t>
            </w:r>
            <w:r w:rsidRPr="007777E2">
              <w:rPr>
                <w:color w:val="auto"/>
                <w:sz w:val="22"/>
                <w:szCs w:val="22"/>
              </w:rPr>
              <w:t>mployees in the Transport Sector in Belarus 2000-2008 (in thousands of persons)</w:t>
            </w:r>
            <w:bookmarkEnd w:id="76"/>
          </w:p>
          <w:tbl>
            <w:tblPr>
              <w:tblStyle w:val="LightShading1"/>
              <w:tblW w:w="4180" w:type="dxa"/>
              <w:tblInd w:w="72" w:type="dxa"/>
              <w:shd w:val="clear" w:color="auto" w:fill="FFFFFF" w:themeFill="background1"/>
              <w:tblLayout w:type="fixed"/>
              <w:tblLook w:val="04A0"/>
            </w:tblPr>
            <w:tblGrid>
              <w:gridCol w:w="2260"/>
              <w:gridCol w:w="960"/>
              <w:gridCol w:w="960"/>
            </w:tblGrid>
            <w:tr w:rsidR="00647C1B" w:rsidRPr="00434074" w:rsidTr="00647C1B">
              <w:trPr>
                <w:cnfStyle w:val="100000000000"/>
                <w:trHeight w:val="300"/>
              </w:trPr>
              <w:tc>
                <w:tcPr>
                  <w:cnfStyle w:val="001000000000"/>
                  <w:tcW w:w="2260" w:type="dxa"/>
                  <w:shd w:val="clear" w:color="auto" w:fill="FFFFFF" w:themeFill="background1"/>
                  <w:hideMark/>
                </w:tcPr>
                <w:p w:rsidR="00647C1B" w:rsidRPr="00513C89" w:rsidRDefault="00647C1B" w:rsidP="00647C1B">
                  <w:pPr>
                    <w:ind w:left="319"/>
                    <w:jc w:val="center"/>
                    <w:rPr>
                      <w:rFonts w:asciiTheme="minorHAnsi" w:hAnsiTheme="minorHAnsi"/>
                      <w:b w:val="0"/>
                      <w:color w:val="000000"/>
                      <w:sz w:val="20"/>
                      <w:szCs w:val="14"/>
                    </w:rPr>
                  </w:pPr>
                  <w:r w:rsidRPr="00513C89">
                    <w:rPr>
                      <w:rFonts w:asciiTheme="minorHAnsi" w:hAnsiTheme="minorHAnsi"/>
                      <w:b w:val="0"/>
                      <w:color w:val="000000"/>
                      <w:sz w:val="20"/>
                      <w:szCs w:val="14"/>
                    </w:rPr>
                    <w:t> </w:t>
                  </w:r>
                </w:p>
              </w:tc>
              <w:tc>
                <w:tcPr>
                  <w:tcW w:w="960" w:type="dxa"/>
                  <w:shd w:val="clear" w:color="auto" w:fill="FFFFFF" w:themeFill="background1"/>
                  <w:hideMark/>
                </w:tcPr>
                <w:p w:rsidR="00647C1B" w:rsidRPr="00513C89" w:rsidRDefault="00647C1B" w:rsidP="00647C1B">
                  <w:pPr>
                    <w:jc w:val="center"/>
                    <w:cnfStyle w:val="100000000000"/>
                    <w:rPr>
                      <w:rFonts w:asciiTheme="minorHAnsi" w:hAnsiTheme="minorHAnsi"/>
                      <w:b w:val="0"/>
                      <w:color w:val="000000"/>
                      <w:sz w:val="20"/>
                      <w:szCs w:val="14"/>
                    </w:rPr>
                  </w:pPr>
                  <w:r w:rsidRPr="00513C89">
                    <w:rPr>
                      <w:rFonts w:asciiTheme="minorHAnsi" w:hAnsiTheme="minorHAnsi"/>
                      <w:b w:val="0"/>
                      <w:color w:val="000000"/>
                      <w:sz w:val="20"/>
                      <w:szCs w:val="14"/>
                    </w:rPr>
                    <w:t>2000</w:t>
                  </w:r>
                </w:p>
              </w:tc>
              <w:tc>
                <w:tcPr>
                  <w:tcW w:w="960" w:type="dxa"/>
                  <w:shd w:val="clear" w:color="auto" w:fill="FFFFFF" w:themeFill="background1"/>
                  <w:hideMark/>
                </w:tcPr>
                <w:p w:rsidR="00647C1B" w:rsidRPr="00513C89" w:rsidRDefault="00647C1B" w:rsidP="00647C1B">
                  <w:pPr>
                    <w:jc w:val="center"/>
                    <w:cnfStyle w:val="100000000000"/>
                    <w:rPr>
                      <w:rFonts w:asciiTheme="minorHAnsi" w:hAnsiTheme="minorHAnsi"/>
                      <w:b w:val="0"/>
                      <w:color w:val="000000"/>
                      <w:sz w:val="20"/>
                      <w:szCs w:val="14"/>
                    </w:rPr>
                  </w:pPr>
                  <w:r w:rsidRPr="00513C89">
                    <w:rPr>
                      <w:rFonts w:asciiTheme="minorHAnsi" w:hAnsiTheme="minorHAnsi"/>
                      <w:b w:val="0"/>
                      <w:color w:val="000000"/>
                      <w:sz w:val="20"/>
                      <w:szCs w:val="14"/>
                    </w:rPr>
                    <w:t>2008</w:t>
                  </w:r>
                </w:p>
              </w:tc>
            </w:tr>
            <w:tr w:rsidR="00647C1B" w:rsidRPr="00434074" w:rsidTr="00647C1B">
              <w:trPr>
                <w:cnfStyle w:val="000000100000"/>
                <w:trHeight w:val="450"/>
              </w:trPr>
              <w:tc>
                <w:tcPr>
                  <w:cnfStyle w:val="001000000000"/>
                  <w:tcW w:w="2260" w:type="dxa"/>
                  <w:shd w:val="clear" w:color="auto" w:fill="FFFFFF" w:themeFill="background1"/>
                  <w:hideMark/>
                </w:tcPr>
                <w:p w:rsidR="00647C1B" w:rsidRPr="00513C89" w:rsidRDefault="00647C1B" w:rsidP="00647C1B">
                  <w:pPr>
                    <w:rPr>
                      <w:rFonts w:asciiTheme="minorHAnsi" w:hAnsiTheme="minorHAnsi"/>
                      <w:b w:val="0"/>
                      <w:color w:val="000000"/>
                      <w:sz w:val="20"/>
                      <w:szCs w:val="14"/>
                    </w:rPr>
                  </w:pPr>
                  <w:r w:rsidRPr="00513C89">
                    <w:rPr>
                      <w:rFonts w:asciiTheme="minorHAnsi" w:hAnsiTheme="minorHAnsi"/>
                      <w:color w:val="000000"/>
                      <w:sz w:val="20"/>
                      <w:szCs w:val="14"/>
                    </w:rPr>
                    <w:t>Transport sector (total)</w:t>
                  </w:r>
                </w:p>
              </w:tc>
              <w:tc>
                <w:tcPr>
                  <w:tcW w:w="960" w:type="dxa"/>
                  <w:shd w:val="clear" w:color="auto" w:fill="FFFFFF" w:themeFill="background1"/>
                  <w:hideMark/>
                </w:tcPr>
                <w:p w:rsidR="00647C1B" w:rsidRPr="00513C89" w:rsidRDefault="00647C1B" w:rsidP="00647C1B">
                  <w:pPr>
                    <w:jc w:val="center"/>
                    <w:cnfStyle w:val="000000100000"/>
                    <w:rPr>
                      <w:rFonts w:asciiTheme="minorHAnsi" w:hAnsiTheme="minorHAnsi"/>
                      <w:color w:val="000000"/>
                      <w:sz w:val="20"/>
                      <w:szCs w:val="14"/>
                    </w:rPr>
                  </w:pPr>
                  <w:r w:rsidRPr="00513C89">
                    <w:rPr>
                      <w:rFonts w:asciiTheme="minorHAnsi" w:hAnsiTheme="minorHAnsi"/>
                      <w:color w:val="000000"/>
                      <w:sz w:val="20"/>
                      <w:szCs w:val="14"/>
                    </w:rPr>
                    <w:t>250.4</w:t>
                  </w:r>
                </w:p>
              </w:tc>
              <w:tc>
                <w:tcPr>
                  <w:tcW w:w="960" w:type="dxa"/>
                  <w:shd w:val="clear" w:color="auto" w:fill="FFFFFF" w:themeFill="background1"/>
                  <w:hideMark/>
                </w:tcPr>
                <w:p w:rsidR="00647C1B" w:rsidRPr="00513C89" w:rsidRDefault="00647C1B" w:rsidP="00647C1B">
                  <w:pPr>
                    <w:jc w:val="center"/>
                    <w:cnfStyle w:val="000000100000"/>
                    <w:rPr>
                      <w:rFonts w:asciiTheme="minorHAnsi" w:hAnsiTheme="minorHAnsi"/>
                      <w:color w:val="000000"/>
                      <w:sz w:val="20"/>
                      <w:szCs w:val="14"/>
                    </w:rPr>
                  </w:pPr>
                  <w:r w:rsidRPr="00513C89">
                    <w:rPr>
                      <w:rFonts w:asciiTheme="minorHAnsi" w:hAnsiTheme="minorHAnsi"/>
                      <w:color w:val="000000"/>
                      <w:sz w:val="20"/>
                      <w:szCs w:val="14"/>
                    </w:rPr>
                    <w:t>254.9</w:t>
                  </w:r>
                </w:p>
              </w:tc>
            </w:tr>
            <w:tr w:rsidR="00647C1B" w:rsidRPr="00434074" w:rsidTr="00647C1B">
              <w:trPr>
                <w:trHeight w:val="300"/>
              </w:trPr>
              <w:tc>
                <w:tcPr>
                  <w:cnfStyle w:val="001000000000"/>
                  <w:tcW w:w="2260" w:type="dxa"/>
                  <w:shd w:val="clear" w:color="auto" w:fill="FFFFFF" w:themeFill="background1"/>
                  <w:hideMark/>
                </w:tcPr>
                <w:p w:rsidR="00647C1B" w:rsidRPr="00513C89" w:rsidRDefault="002F51F1" w:rsidP="00513C89">
                  <w:pPr>
                    <w:ind w:firstLineChars="114" w:firstLine="228"/>
                    <w:rPr>
                      <w:rFonts w:asciiTheme="minorHAnsi" w:hAnsiTheme="minorHAnsi"/>
                      <w:b w:val="0"/>
                      <w:color w:val="000000"/>
                      <w:sz w:val="20"/>
                      <w:szCs w:val="14"/>
                    </w:rPr>
                  </w:pPr>
                  <w:r>
                    <w:rPr>
                      <w:rFonts w:asciiTheme="minorHAnsi" w:hAnsiTheme="minorHAnsi"/>
                      <w:b w:val="0"/>
                      <w:color w:val="000000"/>
                      <w:sz w:val="20"/>
                      <w:szCs w:val="14"/>
                    </w:rPr>
                    <w:t>O</w:t>
                  </w:r>
                  <w:r w:rsidR="00647C1B" w:rsidRPr="00513C89">
                    <w:rPr>
                      <w:rFonts w:asciiTheme="minorHAnsi" w:hAnsiTheme="minorHAnsi"/>
                      <w:b w:val="0"/>
                      <w:color w:val="000000"/>
                      <w:sz w:val="20"/>
                      <w:szCs w:val="14"/>
                    </w:rPr>
                    <w:t>f which:</w:t>
                  </w:r>
                </w:p>
              </w:tc>
              <w:tc>
                <w:tcPr>
                  <w:tcW w:w="960" w:type="dxa"/>
                  <w:shd w:val="clear" w:color="auto" w:fill="FFFFFF" w:themeFill="background1"/>
                  <w:hideMark/>
                </w:tcPr>
                <w:p w:rsidR="00647C1B" w:rsidRPr="00513C89" w:rsidRDefault="00647C1B" w:rsidP="00647C1B">
                  <w:pPr>
                    <w:jc w:val="center"/>
                    <w:cnfStyle w:val="000000000000"/>
                    <w:rPr>
                      <w:rFonts w:asciiTheme="minorHAnsi" w:hAnsiTheme="minorHAnsi"/>
                      <w:color w:val="000000"/>
                      <w:sz w:val="20"/>
                      <w:szCs w:val="14"/>
                    </w:rPr>
                  </w:pPr>
                  <w:r w:rsidRPr="00513C89">
                    <w:rPr>
                      <w:rFonts w:asciiTheme="minorHAnsi" w:hAnsiTheme="minorHAnsi"/>
                      <w:color w:val="000000"/>
                      <w:sz w:val="20"/>
                      <w:szCs w:val="14"/>
                    </w:rPr>
                    <w:t> </w:t>
                  </w:r>
                </w:p>
              </w:tc>
              <w:tc>
                <w:tcPr>
                  <w:tcW w:w="960" w:type="dxa"/>
                  <w:shd w:val="clear" w:color="auto" w:fill="FFFFFF" w:themeFill="background1"/>
                  <w:hideMark/>
                </w:tcPr>
                <w:p w:rsidR="00647C1B" w:rsidRPr="00513C89" w:rsidRDefault="00647C1B" w:rsidP="00647C1B">
                  <w:pPr>
                    <w:jc w:val="center"/>
                    <w:cnfStyle w:val="000000000000"/>
                    <w:rPr>
                      <w:rFonts w:asciiTheme="minorHAnsi" w:hAnsiTheme="minorHAnsi"/>
                      <w:color w:val="000000"/>
                      <w:sz w:val="20"/>
                      <w:szCs w:val="14"/>
                    </w:rPr>
                  </w:pPr>
                  <w:r w:rsidRPr="00513C89">
                    <w:rPr>
                      <w:rFonts w:asciiTheme="minorHAnsi" w:hAnsiTheme="minorHAnsi"/>
                      <w:color w:val="000000"/>
                      <w:sz w:val="20"/>
                      <w:szCs w:val="14"/>
                    </w:rPr>
                    <w:t> </w:t>
                  </w:r>
                </w:p>
              </w:tc>
            </w:tr>
            <w:tr w:rsidR="00647C1B" w:rsidRPr="00434074" w:rsidTr="00647C1B">
              <w:trPr>
                <w:cnfStyle w:val="000000100000"/>
                <w:trHeight w:val="300"/>
              </w:trPr>
              <w:tc>
                <w:tcPr>
                  <w:cnfStyle w:val="001000000000"/>
                  <w:tcW w:w="2260" w:type="dxa"/>
                  <w:shd w:val="clear" w:color="auto" w:fill="FFFFFF" w:themeFill="background1"/>
                  <w:hideMark/>
                </w:tcPr>
                <w:p w:rsidR="00647C1B" w:rsidRPr="00513C89" w:rsidRDefault="00647C1B" w:rsidP="00513C89">
                  <w:pPr>
                    <w:ind w:firstLineChars="200" w:firstLine="400"/>
                    <w:rPr>
                      <w:rFonts w:asciiTheme="minorHAnsi" w:hAnsiTheme="minorHAnsi"/>
                      <w:b w:val="0"/>
                      <w:color w:val="000000"/>
                      <w:sz w:val="20"/>
                      <w:szCs w:val="14"/>
                    </w:rPr>
                  </w:pPr>
                  <w:r w:rsidRPr="00513C89">
                    <w:rPr>
                      <w:rFonts w:asciiTheme="minorHAnsi" w:hAnsiTheme="minorHAnsi"/>
                      <w:b w:val="0"/>
                      <w:color w:val="000000"/>
                      <w:sz w:val="20"/>
                      <w:szCs w:val="14"/>
                    </w:rPr>
                    <w:t xml:space="preserve">Roads </w:t>
                  </w:r>
                </w:p>
              </w:tc>
              <w:tc>
                <w:tcPr>
                  <w:tcW w:w="960" w:type="dxa"/>
                  <w:shd w:val="clear" w:color="auto" w:fill="FFFFFF" w:themeFill="background1"/>
                  <w:hideMark/>
                </w:tcPr>
                <w:p w:rsidR="00647C1B" w:rsidRPr="00513C89" w:rsidRDefault="00647C1B" w:rsidP="00647C1B">
                  <w:pPr>
                    <w:jc w:val="center"/>
                    <w:cnfStyle w:val="000000100000"/>
                    <w:rPr>
                      <w:rFonts w:asciiTheme="minorHAnsi" w:hAnsiTheme="minorHAnsi"/>
                      <w:color w:val="000000"/>
                      <w:sz w:val="20"/>
                      <w:szCs w:val="14"/>
                    </w:rPr>
                  </w:pPr>
                  <w:r w:rsidRPr="00513C89">
                    <w:rPr>
                      <w:rFonts w:asciiTheme="minorHAnsi" w:hAnsiTheme="minorHAnsi"/>
                      <w:color w:val="000000"/>
                      <w:sz w:val="20"/>
                      <w:szCs w:val="14"/>
                    </w:rPr>
                    <w:t>113.4</w:t>
                  </w:r>
                </w:p>
              </w:tc>
              <w:tc>
                <w:tcPr>
                  <w:tcW w:w="960" w:type="dxa"/>
                  <w:shd w:val="clear" w:color="auto" w:fill="FFFFFF" w:themeFill="background1"/>
                  <w:hideMark/>
                </w:tcPr>
                <w:p w:rsidR="00647C1B" w:rsidRPr="00513C89" w:rsidRDefault="00647C1B" w:rsidP="00647C1B">
                  <w:pPr>
                    <w:jc w:val="center"/>
                    <w:cnfStyle w:val="000000100000"/>
                    <w:rPr>
                      <w:rFonts w:asciiTheme="minorHAnsi" w:hAnsiTheme="minorHAnsi"/>
                      <w:color w:val="000000"/>
                      <w:sz w:val="20"/>
                      <w:szCs w:val="14"/>
                    </w:rPr>
                  </w:pPr>
                  <w:r w:rsidRPr="00513C89">
                    <w:rPr>
                      <w:rFonts w:asciiTheme="minorHAnsi" w:hAnsiTheme="minorHAnsi"/>
                      <w:color w:val="000000"/>
                      <w:sz w:val="20"/>
                      <w:szCs w:val="14"/>
                    </w:rPr>
                    <w:t>117.1</w:t>
                  </w:r>
                </w:p>
              </w:tc>
            </w:tr>
            <w:tr w:rsidR="00647C1B" w:rsidRPr="00434074" w:rsidTr="00647C1B">
              <w:trPr>
                <w:trHeight w:val="300"/>
              </w:trPr>
              <w:tc>
                <w:tcPr>
                  <w:cnfStyle w:val="001000000000"/>
                  <w:tcW w:w="2260" w:type="dxa"/>
                  <w:shd w:val="clear" w:color="auto" w:fill="FFFFFF" w:themeFill="background1"/>
                  <w:hideMark/>
                </w:tcPr>
                <w:p w:rsidR="00647C1B" w:rsidRPr="00513C89" w:rsidRDefault="00647C1B" w:rsidP="00513C89">
                  <w:pPr>
                    <w:ind w:firstLineChars="200" w:firstLine="400"/>
                    <w:rPr>
                      <w:rFonts w:asciiTheme="minorHAnsi" w:hAnsiTheme="minorHAnsi"/>
                      <w:b w:val="0"/>
                      <w:color w:val="000000"/>
                      <w:sz w:val="20"/>
                      <w:szCs w:val="14"/>
                    </w:rPr>
                  </w:pPr>
                  <w:r w:rsidRPr="00513C89">
                    <w:rPr>
                      <w:rFonts w:asciiTheme="minorHAnsi" w:hAnsiTheme="minorHAnsi"/>
                      <w:b w:val="0"/>
                      <w:color w:val="000000"/>
                      <w:sz w:val="20"/>
                      <w:szCs w:val="14"/>
                    </w:rPr>
                    <w:t xml:space="preserve">Rail </w:t>
                  </w:r>
                </w:p>
              </w:tc>
              <w:tc>
                <w:tcPr>
                  <w:tcW w:w="960" w:type="dxa"/>
                  <w:shd w:val="clear" w:color="auto" w:fill="FFFFFF" w:themeFill="background1"/>
                  <w:hideMark/>
                </w:tcPr>
                <w:p w:rsidR="00647C1B" w:rsidRPr="00513C89" w:rsidRDefault="00647C1B" w:rsidP="00647C1B">
                  <w:pPr>
                    <w:jc w:val="center"/>
                    <w:cnfStyle w:val="000000000000"/>
                    <w:rPr>
                      <w:rFonts w:asciiTheme="minorHAnsi" w:hAnsiTheme="minorHAnsi"/>
                      <w:color w:val="000000"/>
                      <w:sz w:val="20"/>
                      <w:szCs w:val="14"/>
                    </w:rPr>
                  </w:pPr>
                  <w:r w:rsidRPr="00513C89">
                    <w:rPr>
                      <w:rFonts w:asciiTheme="minorHAnsi" w:hAnsiTheme="minorHAnsi"/>
                      <w:color w:val="000000"/>
                      <w:sz w:val="20"/>
                      <w:szCs w:val="14"/>
                    </w:rPr>
                    <w:t>75.3</w:t>
                  </w:r>
                </w:p>
              </w:tc>
              <w:tc>
                <w:tcPr>
                  <w:tcW w:w="960" w:type="dxa"/>
                  <w:shd w:val="clear" w:color="auto" w:fill="FFFFFF" w:themeFill="background1"/>
                  <w:hideMark/>
                </w:tcPr>
                <w:p w:rsidR="00647C1B" w:rsidRPr="00513C89" w:rsidRDefault="00647C1B" w:rsidP="00647C1B">
                  <w:pPr>
                    <w:jc w:val="center"/>
                    <w:cnfStyle w:val="000000000000"/>
                    <w:rPr>
                      <w:rFonts w:asciiTheme="minorHAnsi" w:hAnsiTheme="minorHAnsi"/>
                      <w:color w:val="000000"/>
                      <w:sz w:val="20"/>
                      <w:szCs w:val="14"/>
                    </w:rPr>
                  </w:pPr>
                  <w:r w:rsidRPr="00513C89">
                    <w:rPr>
                      <w:rFonts w:asciiTheme="minorHAnsi" w:hAnsiTheme="minorHAnsi"/>
                      <w:color w:val="000000"/>
                      <w:sz w:val="20"/>
                      <w:szCs w:val="14"/>
                    </w:rPr>
                    <w:t>70.4</w:t>
                  </w:r>
                </w:p>
              </w:tc>
            </w:tr>
            <w:tr w:rsidR="00647C1B" w:rsidRPr="00434074" w:rsidTr="00647C1B">
              <w:trPr>
                <w:cnfStyle w:val="000000100000"/>
                <w:trHeight w:val="300"/>
              </w:trPr>
              <w:tc>
                <w:tcPr>
                  <w:cnfStyle w:val="001000000000"/>
                  <w:tcW w:w="2260" w:type="dxa"/>
                  <w:shd w:val="clear" w:color="auto" w:fill="FFFFFF" w:themeFill="background1"/>
                  <w:hideMark/>
                </w:tcPr>
                <w:p w:rsidR="00647C1B" w:rsidRPr="00513C89" w:rsidRDefault="00647C1B" w:rsidP="00513C89">
                  <w:pPr>
                    <w:ind w:firstLineChars="200" w:firstLine="400"/>
                    <w:rPr>
                      <w:rFonts w:asciiTheme="minorHAnsi" w:hAnsiTheme="minorHAnsi"/>
                      <w:b w:val="0"/>
                      <w:color w:val="000000"/>
                      <w:sz w:val="20"/>
                      <w:szCs w:val="14"/>
                    </w:rPr>
                  </w:pPr>
                  <w:r w:rsidRPr="00513C89">
                    <w:rPr>
                      <w:rFonts w:asciiTheme="minorHAnsi" w:hAnsiTheme="minorHAnsi"/>
                      <w:b w:val="0"/>
                      <w:color w:val="000000"/>
                      <w:sz w:val="20"/>
                      <w:szCs w:val="14"/>
                    </w:rPr>
                    <w:t>Tram and trolleybus</w:t>
                  </w:r>
                </w:p>
              </w:tc>
              <w:tc>
                <w:tcPr>
                  <w:tcW w:w="960" w:type="dxa"/>
                  <w:shd w:val="clear" w:color="auto" w:fill="FFFFFF" w:themeFill="background1"/>
                  <w:hideMark/>
                </w:tcPr>
                <w:p w:rsidR="00647C1B" w:rsidRPr="00513C89" w:rsidRDefault="00647C1B" w:rsidP="00647C1B">
                  <w:pPr>
                    <w:jc w:val="center"/>
                    <w:cnfStyle w:val="000000100000"/>
                    <w:rPr>
                      <w:rFonts w:asciiTheme="minorHAnsi" w:hAnsiTheme="minorHAnsi"/>
                      <w:color w:val="000000"/>
                      <w:sz w:val="20"/>
                      <w:szCs w:val="14"/>
                    </w:rPr>
                  </w:pPr>
                  <w:r w:rsidRPr="00513C89">
                    <w:rPr>
                      <w:rFonts w:asciiTheme="minorHAnsi" w:hAnsiTheme="minorHAnsi"/>
                      <w:color w:val="000000"/>
                      <w:sz w:val="20"/>
                      <w:szCs w:val="14"/>
                    </w:rPr>
                    <w:t>10.6</w:t>
                  </w:r>
                </w:p>
              </w:tc>
              <w:tc>
                <w:tcPr>
                  <w:tcW w:w="960" w:type="dxa"/>
                  <w:shd w:val="clear" w:color="auto" w:fill="FFFFFF" w:themeFill="background1"/>
                  <w:hideMark/>
                </w:tcPr>
                <w:p w:rsidR="00647C1B" w:rsidRPr="00513C89" w:rsidRDefault="00647C1B" w:rsidP="00647C1B">
                  <w:pPr>
                    <w:jc w:val="center"/>
                    <w:cnfStyle w:val="000000100000"/>
                    <w:rPr>
                      <w:rFonts w:asciiTheme="minorHAnsi" w:hAnsiTheme="minorHAnsi"/>
                      <w:color w:val="000000"/>
                      <w:sz w:val="20"/>
                      <w:szCs w:val="14"/>
                    </w:rPr>
                  </w:pPr>
                  <w:r w:rsidRPr="00513C89">
                    <w:rPr>
                      <w:rFonts w:asciiTheme="minorHAnsi" w:hAnsiTheme="minorHAnsi"/>
                      <w:color w:val="000000"/>
                      <w:sz w:val="20"/>
                      <w:szCs w:val="14"/>
                    </w:rPr>
                    <w:t>10.9</w:t>
                  </w:r>
                </w:p>
              </w:tc>
            </w:tr>
            <w:tr w:rsidR="00647C1B" w:rsidRPr="00434074" w:rsidTr="00647C1B">
              <w:trPr>
                <w:trHeight w:val="300"/>
              </w:trPr>
              <w:tc>
                <w:tcPr>
                  <w:cnfStyle w:val="001000000000"/>
                  <w:tcW w:w="2260" w:type="dxa"/>
                  <w:shd w:val="clear" w:color="auto" w:fill="FFFFFF" w:themeFill="background1"/>
                  <w:hideMark/>
                </w:tcPr>
                <w:p w:rsidR="00647C1B" w:rsidRPr="00513C89" w:rsidRDefault="00647C1B" w:rsidP="00513C89">
                  <w:pPr>
                    <w:ind w:firstLineChars="200" w:firstLine="400"/>
                    <w:rPr>
                      <w:rFonts w:asciiTheme="minorHAnsi" w:hAnsiTheme="minorHAnsi"/>
                      <w:b w:val="0"/>
                      <w:color w:val="000000"/>
                      <w:sz w:val="20"/>
                      <w:szCs w:val="14"/>
                    </w:rPr>
                  </w:pPr>
                  <w:r w:rsidRPr="00513C89">
                    <w:rPr>
                      <w:rFonts w:asciiTheme="minorHAnsi" w:hAnsiTheme="minorHAnsi"/>
                      <w:b w:val="0"/>
                      <w:color w:val="000000"/>
                      <w:sz w:val="20"/>
                      <w:szCs w:val="14"/>
                    </w:rPr>
                    <w:t>Pipeline</w:t>
                  </w:r>
                </w:p>
              </w:tc>
              <w:tc>
                <w:tcPr>
                  <w:tcW w:w="960" w:type="dxa"/>
                  <w:shd w:val="clear" w:color="auto" w:fill="FFFFFF" w:themeFill="background1"/>
                  <w:hideMark/>
                </w:tcPr>
                <w:p w:rsidR="00647C1B" w:rsidRPr="00513C89" w:rsidRDefault="00647C1B" w:rsidP="00647C1B">
                  <w:pPr>
                    <w:jc w:val="center"/>
                    <w:cnfStyle w:val="000000000000"/>
                    <w:rPr>
                      <w:rFonts w:asciiTheme="minorHAnsi" w:hAnsiTheme="minorHAnsi"/>
                      <w:color w:val="000000"/>
                      <w:sz w:val="20"/>
                      <w:szCs w:val="14"/>
                    </w:rPr>
                  </w:pPr>
                  <w:r w:rsidRPr="00513C89">
                    <w:rPr>
                      <w:rFonts w:asciiTheme="minorHAnsi" w:hAnsiTheme="minorHAnsi"/>
                      <w:color w:val="000000"/>
                      <w:sz w:val="20"/>
                      <w:szCs w:val="14"/>
                    </w:rPr>
                    <w:t>6</w:t>
                  </w:r>
                </w:p>
              </w:tc>
              <w:tc>
                <w:tcPr>
                  <w:tcW w:w="960" w:type="dxa"/>
                  <w:shd w:val="clear" w:color="auto" w:fill="FFFFFF" w:themeFill="background1"/>
                  <w:hideMark/>
                </w:tcPr>
                <w:p w:rsidR="00647C1B" w:rsidRPr="00513C89" w:rsidRDefault="00647C1B" w:rsidP="00647C1B">
                  <w:pPr>
                    <w:jc w:val="center"/>
                    <w:cnfStyle w:val="000000000000"/>
                    <w:rPr>
                      <w:rFonts w:asciiTheme="minorHAnsi" w:hAnsiTheme="minorHAnsi"/>
                      <w:color w:val="000000"/>
                      <w:sz w:val="20"/>
                      <w:szCs w:val="14"/>
                    </w:rPr>
                  </w:pPr>
                  <w:r w:rsidRPr="00513C89">
                    <w:rPr>
                      <w:rFonts w:asciiTheme="minorHAnsi" w:hAnsiTheme="minorHAnsi"/>
                      <w:color w:val="000000"/>
                      <w:sz w:val="20"/>
                      <w:szCs w:val="14"/>
                    </w:rPr>
                    <w:t>7.5</w:t>
                  </w:r>
                </w:p>
              </w:tc>
            </w:tr>
            <w:tr w:rsidR="00647C1B" w:rsidRPr="00434074" w:rsidTr="00647C1B">
              <w:trPr>
                <w:cnfStyle w:val="000000100000"/>
                <w:trHeight w:val="300"/>
              </w:trPr>
              <w:tc>
                <w:tcPr>
                  <w:cnfStyle w:val="001000000000"/>
                  <w:tcW w:w="2260" w:type="dxa"/>
                  <w:shd w:val="clear" w:color="auto" w:fill="FFFFFF" w:themeFill="background1"/>
                  <w:hideMark/>
                </w:tcPr>
                <w:p w:rsidR="00647C1B" w:rsidRPr="00513C89" w:rsidRDefault="00647C1B" w:rsidP="00513C89">
                  <w:pPr>
                    <w:ind w:firstLineChars="200" w:firstLine="400"/>
                    <w:rPr>
                      <w:rFonts w:asciiTheme="minorHAnsi" w:hAnsiTheme="minorHAnsi"/>
                      <w:b w:val="0"/>
                      <w:color w:val="000000"/>
                      <w:sz w:val="20"/>
                      <w:szCs w:val="14"/>
                    </w:rPr>
                  </w:pPr>
                  <w:r w:rsidRPr="00513C89">
                    <w:rPr>
                      <w:rFonts w:asciiTheme="minorHAnsi" w:hAnsiTheme="minorHAnsi"/>
                      <w:b w:val="0"/>
                      <w:color w:val="000000"/>
                      <w:sz w:val="20"/>
                      <w:szCs w:val="14"/>
                    </w:rPr>
                    <w:t>Air</w:t>
                  </w:r>
                </w:p>
              </w:tc>
              <w:tc>
                <w:tcPr>
                  <w:tcW w:w="960" w:type="dxa"/>
                  <w:shd w:val="clear" w:color="auto" w:fill="FFFFFF" w:themeFill="background1"/>
                  <w:hideMark/>
                </w:tcPr>
                <w:p w:rsidR="00647C1B" w:rsidRPr="00513C89" w:rsidRDefault="00647C1B" w:rsidP="00647C1B">
                  <w:pPr>
                    <w:jc w:val="center"/>
                    <w:cnfStyle w:val="000000100000"/>
                    <w:rPr>
                      <w:rFonts w:asciiTheme="minorHAnsi" w:hAnsiTheme="minorHAnsi"/>
                      <w:color w:val="000000"/>
                      <w:sz w:val="20"/>
                      <w:szCs w:val="14"/>
                    </w:rPr>
                  </w:pPr>
                  <w:r w:rsidRPr="00513C89">
                    <w:rPr>
                      <w:rFonts w:asciiTheme="minorHAnsi" w:hAnsiTheme="minorHAnsi"/>
                      <w:color w:val="000000"/>
                      <w:sz w:val="20"/>
                      <w:szCs w:val="14"/>
                    </w:rPr>
                    <w:t>6.1</w:t>
                  </w:r>
                </w:p>
              </w:tc>
              <w:tc>
                <w:tcPr>
                  <w:tcW w:w="960" w:type="dxa"/>
                  <w:shd w:val="clear" w:color="auto" w:fill="FFFFFF" w:themeFill="background1"/>
                  <w:hideMark/>
                </w:tcPr>
                <w:p w:rsidR="00647C1B" w:rsidRPr="00513C89" w:rsidRDefault="00647C1B" w:rsidP="00647C1B">
                  <w:pPr>
                    <w:jc w:val="center"/>
                    <w:cnfStyle w:val="000000100000"/>
                    <w:rPr>
                      <w:rFonts w:asciiTheme="minorHAnsi" w:hAnsiTheme="minorHAnsi"/>
                      <w:color w:val="000000"/>
                      <w:sz w:val="20"/>
                      <w:szCs w:val="14"/>
                    </w:rPr>
                  </w:pPr>
                  <w:r w:rsidRPr="00513C89">
                    <w:rPr>
                      <w:rFonts w:asciiTheme="minorHAnsi" w:hAnsiTheme="minorHAnsi"/>
                      <w:color w:val="000000"/>
                      <w:sz w:val="20"/>
                      <w:szCs w:val="14"/>
                    </w:rPr>
                    <w:t>5.6</w:t>
                  </w:r>
                </w:p>
              </w:tc>
            </w:tr>
            <w:tr w:rsidR="00647C1B" w:rsidRPr="00434074" w:rsidTr="00647C1B">
              <w:trPr>
                <w:trHeight w:val="300"/>
              </w:trPr>
              <w:tc>
                <w:tcPr>
                  <w:cnfStyle w:val="001000000000"/>
                  <w:tcW w:w="2260" w:type="dxa"/>
                  <w:shd w:val="clear" w:color="auto" w:fill="FFFFFF" w:themeFill="background1"/>
                  <w:hideMark/>
                </w:tcPr>
                <w:p w:rsidR="00647C1B" w:rsidRPr="00513C89" w:rsidRDefault="00647C1B" w:rsidP="00513C89">
                  <w:pPr>
                    <w:ind w:firstLineChars="200" w:firstLine="400"/>
                    <w:rPr>
                      <w:rFonts w:asciiTheme="minorHAnsi" w:hAnsiTheme="minorHAnsi"/>
                      <w:b w:val="0"/>
                      <w:color w:val="000000"/>
                      <w:sz w:val="20"/>
                      <w:szCs w:val="14"/>
                    </w:rPr>
                  </w:pPr>
                  <w:r w:rsidRPr="00513C89">
                    <w:rPr>
                      <w:rFonts w:asciiTheme="minorHAnsi" w:hAnsiTheme="minorHAnsi"/>
                      <w:b w:val="0"/>
                      <w:color w:val="000000"/>
                      <w:sz w:val="20"/>
                      <w:szCs w:val="14"/>
                    </w:rPr>
                    <w:t>Inland water</w:t>
                  </w:r>
                </w:p>
              </w:tc>
              <w:tc>
                <w:tcPr>
                  <w:tcW w:w="960" w:type="dxa"/>
                  <w:shd w:val="clear" w:color="auto" w:fill="FFFFFF" w:themeFill="background1"/>
                  <w:hideMark/>
                </w:tcPr>
                <w:p w:rsidR="00647C1B" w:rsidRPr="00513C89" w:rsidRDefault="00647C1B" w:rsidP="00647C1B">
                  <w:pPr>
                    <w:jc w:val="center"/>
                    <w:cnfStyle w:val="000000000000"/>
                    <w:rPr>
                      <w:rFonts w:asciiTheme="minorHAnsi" w:hAnsiTheme="minorHAnsi"/>
                      <w:color w:val="000000"/>
                      <w:sz w:val="20"/>
                      <w:szCs w:val="14"/>
                    </w:rPr>
                  </w:pPr>
                  <w:r w:rsidRPr="00513C89">
                    <w:rPr>
                      <w:rFonts w:asciiTheme="minorHAnsi" w:hAnsiTheme="minorHAnsi"/>
                      <w:color w:val="000000"/>
                      <w:sz w:val="20"/>
                      <w:szCs w:val="14"/>
                    </w:rPr>
                    <w:t>2</w:t>
                  </w:r>
                </w:p>
              </w:tc>
              <w:tc>
                <w:tcPr>
                  <w:tcW w:w="960" w:type="dxa"/>
                  <w:shd w:val="clear" w:color="auto" w:fill="FFFFFF" w:themeFill="background1"/>
                  <w:hideMark/>
                </w:tcPr>
                <w:p w:rsidR="00647C1B" w:rsidRPr="00513C89" w:rsidRDefault="00647C1B" w:rsidP="00647C1B">
                  <w:pPr>
                    <w:jc w:val="center"/>
                    <w:cnfStyle w:val="000000000000"/>
                    <w:rPr>
                      <w:rFonts w:asciiTheme="minorHAnsi" w:hAnsiTheme="minorHAnsi"/>
                      <w:color w:val="000000"/>
                      <w:sz w:val="20"/>
                      <w:szCs w:val="14"/>
                    </w:rPr>
                  </w:pPr>
                  <w:r w:rsidRPr="00513C89">
                    <w:rPr>
                      <w:rFonts w:asciiTheme="minorHAnsi" w:hAnsiTheme="minorHAnsi"/>
                      <w:color w:val="000000"/>
                      <w:sz w:val="20"/>
                      <w:szCs w:val="14"/>
                    </w:rPr>
                    <w:t>1.5</w:t>
                  </w:r>
                </w:p>
              </w:tc>
            </w:tr>
            <w:tr w:rsidR="00647C1B" w:rsidRPr="00434074" w:rsidTr="00647C1B">
              <w:trPr>
                <w:cnfStyle w:val="000000100000"/>
                <w:trHeight w:val="300"/>
              </w:trPr>
              <w:tc>
                <w:tcPr>
                  <w:cnfStyle w:val="001000000000"/>
                  <w:tcW w:w="4180" w:type="dxa"/>
                  <w:gridSpan w:val="3"/>
                  <w:shd w:val="clear" w:color="auto" w:fill="FFFFFF" w:themeFill="background1"/>
                  <w:hideMark/>
                </w:tcPr>
                <w:p w:rsidR="00647C1B" w:rsidRPr="00513C89" w:rsidRDefault="00647C1B" w:rsidP="00647C1B">
                  <w:pPr>
                    <w:rPr>
                      <w:rFonts w:asciiTheme="minorHAnsi" w:hAnsiTheme="minorHAnsi"/>
                      <w:b w:val="0"/>
                      <w:color w:val="000000"/>
                      <w:sz w:val="20"/>
                      <w:szCs w:val="14"/>
                    </w:rPr>
                  </w:pPr>
                  <w:r w:rsidRPr="00513C89">
                    <w:rPr>
                      <w:rFonts w:asciiTheme="minorHAnsi" w:hAnsiTheme="minorHAnsi"/>
                      <w:color w:val="000000"/>
                      <w:sz w:val="20"/>
                      <w:szCs w:val="14"/>
                    </w:rPr>
                    <w:t>% of the total number of employees</w:t>
                  </w:r>
                </w:p>
              </w:tc>
            </w:tr>
            <w:tr w:rsidR="00647C1B" w:rsidRPr="00434074" w:rsidTr="00647C1B">
              <w:trPr>
                <w:trHeight w:val="450"/>
              </w:trPr>
              <w:tc>
                <w:tcPr>
                  <w:cnfStyle w:val="001000000000"/>
                  <w:tcW w:w="2260" w:type="dxa"/>
                  <w:tcBorders>
                    <w:bottom w:val="single" w:sz="8" w:space="0" w:color="000000" w:themeColor="text1"/>
                  </w:tcBorders>
                  <w:shd w:val="clear" w:color="auto" w:fill="FFFFFF" w:themeFill="background1"/>
                  <w:hideMark/>
                </w:tcPr>
                <w:p w:rsidR="00647C1B" w:rsidRPr="00513C89" w:rsidRDefault="00647C1B" w:rsidP="00513C89">
                  <w:pPr>
                    <w:ind w:firstLineChars="100" w:firstLine="200"/>
                    <w:rPr>
                      <w:rFonts w:asciiTheme="minorHAnsi" w:hAnsiTheme="minorHAnsi"/>
                      <w:b w:val="0"/>
                      <w:color w:val="000000"/>
                      <w:sz w:val="20"/>
                      <w:szCs w:val="14"/>
                    </w:rPr>
                  </w:pPr>
                  <w:r w:rsidRPr="00513C89">
                    <w:rPr>
                      <w:rFonts w:asciiTheme="minorHAnsi" w:hAnsiTheme="minorHAnsi"/>
                      <w:b w:val="0"/>
                      <w:color w:val="000000"/>
                      <w:sz w:val="20"/>
                      <w:szCs w:val="14"/>
                    </w:rPr>
                    <w:t xml:space="preserve">Transport </w:t>
                  </w:r>
                </w:p>
              </w:tc>
              <w:tc>
                <w:tcPr>
                  <w:tcW w:w="960" w:type="dxa"/>
                  <w:tcBorders>
                    <w:bottom w:val="single" w:sz="8" w:space="0" w:color="000000" w:themeColor="text1"/>
                  </w:tcBorders>
                  <w:shd w:val="clear" w:color="auto" w:fill="FFFFFF" w:themeFill="background1"/>
                  <w:hideMark/>
                </w:tcPr>
                <w:p w:rsidR="00647C1B" w:rsidRPr="00513C89" w:rsidRDefault="00647C1B" w:rsidP="00647C1B">
                  <w:pPr>
                    <w:jc w:val="center"/>
                    <w:cnfStyle w:val="000000000000"/>
                    <w:rPr>
                      <w:rFonts w:asciiTheme="minorHAnsi" w:hAnsiTheme="minorHAnsi"/>
                      <w:color w:val="000000"/>
                      <w:sz w:val="20"/>
                      <w:szCs w:val="14"/>
                    </w:rPr>
                  </w:pPr>
                  <w:r w:rsidRPr="00513C89">
                    <w:rPr>
                      <w:rFonts w:asciiTheme="minorHAnsi" w:hAnsiTheme="minorHAnsi"/>
                      <w:color w:val="000000"/>
                      <w:sz w:val="20"/>
                      <w:szCs w:val="14"/>
                    </w:rPr>
                    <w:t>5.9</w:t>
                  </w:r>
                </w:p>
              </w:tc>
              <w:tc>
                <w:tcPr>
                  <w:tcW w:w="960" w:type="dxa"/>
                  <w:tcBorders>
                    <w:bottom w:val="single" w:sz="8" w:space="0" w:color="000000" w:themeColor="text1"/>
                  </w:tcBorders>
                  <w:shd w:val="clear" w:color="auto" w:fill="FFFFFF" w:themeFill="background1"/>
                  <w:hideMark/>
                </w:tcPr>
                <w:p w:rsidR="00647C1B" w:rsidRPr="00513C89" w:rsidRDefault="00647C1B" w:rsidP="00647C1B">
                  <w:pPr>
                    <w:jc w:val="center"/>
                    <w:cnfStyle w:val="000000000000"/>
                    <w:rPr>
                      <w:rFonts w:asciiTheme="minorHAnsi" w:hAnsiTheme="minorHAnsi"/>
                      <w:color w:val="000000"/>
                      <w:sz w:val="20"/>
                      <w:szCs w:val="14"/>
                    </w:rPr>
                  </w:pPr>
                  <w:r w:rsidRPr="00513C89">
                    <w:rPr>
                      <w:rFonts w:asciiTheme="minorHAnsi" w:hAnsiTheme="minorHAnsi"/>
                      <w:color w:val="000000"/>
                      <w:sz w:val="20"/>
                      <w:szCs w:val="14"/>
                    </w:rPr>
                    <w:t>6.1</w:t>
                  </w:r>
                </w:p>
              </w:tc>
            </w:tr>
          </w:tbl>
          <w:p w:rsidR="00647C1B" w:rsidRPr="007777E2" w:rsidRDefault="00647C1B" w:rsidP="00647C1B">
            <w:pPr>
              <w:tabs>
                <w:tab w:val="num" w:pos="3420"/>
              </w:tabs>
              <w:spacing w:before="120" w:after="120"/>
              <w:jc w:val="both"/>
              <w:rPr>
                <w:sz w:val="18"/>
                <w:szCs w:val="18"/>
              </w:rPr>
            </w:pPr>
            <w:r w:rsidRPr="007777E2">
              <w:rPr>
                <w:sz w:val="18"/>
                <w:szCs w:val="18"/>
              </w:rPr>
              <w:t>Source: Transport Statistical Yearbook of Belarus. 2009.</w:t>
            </w:r>
          </w:p>
        </w:tc>
      </w:tr>
    </w:tbl>
    <w:p w:rsidR="0052139C" w:rsidRPr="007777E2" w:rsidRDefault="0052139C" w:rsidP="0052139C">
      <w:pPr>
        <w:tabs>
          <w:tab w:val="num" w:pos="3420"/>
        </w:tabs>
        <w:spacing w:after="120"/>
        <w:jc w:val="both"/>
      </w:pPr>
    </w:p>
    <w:p w:rsidR="007546B1" w:rsidRPr="007777E2" w:rsidRDefault="003202B9" w:rsidP="00BE35AE">
      <w:pPr>
        <w:numPr>
          <w:ilvl w:val="0"/>
          <w:numId w:val="2"/>
        </w:numPr>
        <w:tabs>
          <w:tab w:val="num" w:pos="3420"/>
        </w:tabs>
        <w:spacing w:after="120"/>
        <w:ind w:left="0" w:firstLine="0"/>
        <w:jc w:val="both"/>
        <w:rPr>
          <w:i/>
        </w:rPr>
      </w:pPr>
      <w:r w:rsidRPr="007777E2">
        <w:rPr>
          <w:b/>
        </w:rPr>
        <w:t>Belarus has been a net exporter of practically all modes of transport services</w:t>
      </w:r>
      <w:r w:rsidRPr="007777E2">
        <w:t xml:space="preserve">. The main currency earner is pipeline transport, the transit fees </w:t>
      </w:r>
      <w:r w:rsidR="00D859B7" w:rsidRPr="007777E2">
        <w:t>from</w:t>
      </w:r>
      <w:r w:rsidRPr="007777E2">
        <w:t xml:space="preserve"> which exceeded US$1.2 billion in 2008. The net balance of </w:t>
      </w:r>
      <w:r w:rsidR="00D859B7" w:rsidRPr="007777E2">
        <w:t xml:space="preserve">income from </w:t>
      </w:r>
      <w:r w:rsidRPr="007777E2">
        <w:t>pipeline transport was approximately US$700 million in 2007 and about US$750 million in 2008. Road and rail transport are also significant net exporters</w:t>
      </w:r>
      <w:r w:rsidR="00DC0E3A" w:rsidRPr="007777E2">
        <w:t>.</w:t>
      </w:r>
      <w:r w:rsidRPr="007777E2">
        <w:t xml:space="preserve"> The net balance </w:t>
      </w:r>
      <w:r w:rsidR="00D859B7" w:rsidRPr="007777E2">
        <w:t>of earning</w:t>
      </w:r>
      <w:r w:rsidR="00DC0E3A" w:rsidRPr="007777E2">
        <w:t>s from transit fees in</w:t>
      </w:r>
      <w:r w:rsidR="00D859B7" w:rsidRPr="007777E2">
        <w:t xml:space="preserve"> road and rail transport </w:t>
      </w:r>
      <w:r w:rsidR="00DC0E3A" w:rsidRPr="007777E2">
        <w:t xml:space="preserve">combined </w:t>
      </w:r>
      <w:r w:rsidRPr="007777E2">
        <w:t xml:space="preserve">increased from about US$300 million in 2006 to over US$400 million in 2008. Much of the road-based earnings stem from </w:t>
      </w:r>
      <w:r w:rsidR="00D859B7" w:rsidRPr="007777E2">
        <w:t xml:space="preserve">transit </w:t>
      </w:r>
      <w:r w:rsidRPr="007777E2">
        <w:t>traffic with third countries</w:t>
      </w:r>
      <w:r w:rsidR="00DC0E3A" w:rsidRPr="007777E2">
        <w:t xml:space="preserve"> (trucking services provided by Belarusian truckers outside Belarus)</w:t>
      </w:r>
      <w:r w:rsidRPr="007777E2">
        <w:t xml:space="preserve">. The actual volume of cross trading is difficult to estimate given the lack of available data. </w:t>
      </w:r>
      <w:r w:rsidR="00D859B7" w:rsidRPr="007777E2">
        <w:t xml:space="preserve">Passenger transportation by </w:t>
      </w:r>
      <w:r w:rsidR="00DC0E3A" w:rsidRPr="007777E2">
        <w:t xml:space="preserve">buses owned by companies outside </w:t>
      </w:r>
      <w:r w:rsidR="00DC0E3A" w:rsidRPr="007777E2">
        <w:lastRenderedPageBreak/>
        <w:t>of Belarus</w:t>
      </w:r>
      <w:r w:rsidRPr="007777E2">
        <w:t xml:space="preserve"> are very small considering the size of the country, indicating a very low level of international traffic both into and out of Belarus</w:t>
      </w:r>
      <w:r w:rsidR="00C21AB2" w:rsidRPr="007777E2">
        <w:t xml:space="preserve"> (</w:t>
      </w:r>
      <w:fldSimple w:instr=" REF _Ref257621223 \h  \* MERGEFORMAT ">
        <w:r w:rsidR="00E85C5F" w:rsidRPr="00E85C5F">
          <w:t xml:space="preserve">Figure </w:t>
        </w:r>
        <w:r w:rsidR="00E85C5F" w:rsidRPr="00E85C5F">
          <w:rPr>
            <w:noProof/>
          </w:rPr>
          <w:t>1</w:t>
        </w:r>
      </w:fldSimple>
      <w:r w:rsidR="00C21AB2" w:rsidRPr="007777E2">
        <w:t xml:space="preserve">, </w:t>
      </w:r>
      <w:fldSimple w:instr=" REF _Ref257621225 \h  \* MERGEFORMAT ">
        <w:r w:rsidR="00E85C5F" w:rsidRPr="00E85C5F">
          <w:t xml:space="preserve">Figure </w:t>
        </w:r>
        <w:r w:rsidR="00E85C5F" w:rsidRPr="00E85C5F">
          <w:rPr>
            <w:noProof/>
          </w:rPr>
          <w:t>2</w:t>
        </w:r>
      </w:fldSimple>
      <w:r w:rsidR="00C21AB2" w:rsidRPr="007777E2">
        <w:t xml:space="preserve">, and </w:t>
      </w:r>
      <w:fldSimple w:instr=" REF _Ref257621226 \h  \* MERGEFORMAT ">
        <w:r w:rsidR="00E85C5F" w:rsidRPr="00E85C5F">
          <w:t xml:space="preserve">Figure </w:t>
        </w:r>
        <w:r w:rsidR="00E85C5F" w:rsidRPr="00E85C5F">
          <w:rPr>
            <w:noProof/>
          </w:rPr>
          <w:t>3</w:t>
        </w:r>
      </w:fldSimple>
      <w:r w:rsidR="00C21AB2" w:rsidRPr="007777E2">
        <w:t xml:space="preserve"> illustrate transport services trends)</w:t>
      </w:r>
      <w:r w:rsidR="006363D9" w:rsidRPr="007777E2">
        <w:t xml:space="preserve">. </w:t>
      </w:r>
    </w:p>
    <w:p w:rsidR="00DF7415" w:rsidRPr="007777E2" w:rsidRDefault="00DF7415" w:rsidP="00DF7415">
      <w:pPr>
        <w:tabs>
          <w:tab w:val="num" w:pos="3420"/>
        </w:tabs>
        <w:spacing w:after="120"/>
        <w:jc w:val="both"/>
        <w:rPr>
          <w:i/>
        </w:rPr>
      </w:pPr>
    </w:p>
    <w:tbl>
      <w:tblPr>
        <w:tblStyle w:val="TableGrid"/>
        <w:tblW w:w="0" w:type="auto"/>
        <w:tblLook w:val="04A0"/>
      </w:tblPr>
      <w:tblGrid>
        <w:gridCol w:w="4836"/>
        <w:gridCol w:w="4740"/>
      </w:tblGrid>
      <w:tr w:rsidR="00647C1B" w:rsidRPr="007777E2" w:rsidTr="00647C1B">
        <w:tc>
          <w:tcPr>
            <w:tcW w:w="4788" w:type="dxa"/>
          </w:tcPr>
          <w:p w:rsidR="00647C1B" w:rsidRPr="007777E2" w:rsidRDefault="00647C1B" w:rsidP="00647C1B">
            <w:pPr>
              <w:pStyle w:val="Caption"/>
              <w:rPr>
                <w:color w:val="auto"/>
                <w:sz w:val="22"/>
                <w:szCs w:val="22"/>
              </w:rPr>
            </w:pPr>
            <w:bookmarkStart w:id="77" w:name="_Ref257621223"/>
            <w:bookmarkStart w:id="78" w:name="_Toc264226758"/>
            <w:r w:rsidRPr="007777E2">
              <w:rPr>
                <w:color w:val="auto"/>
                <w:sz w:val="22"/>
                <w:szCs w:val="22"/>
              </w:rPr>
              <w:t xml:space="preserve">Figure </w:t>
            </w:r>
            <w:r w:rsidR="006B40AE" w:rsidRPr="007777E2">
              <w:rPr>
                <w:color w:val="auto"/>
                <w:sz w:val="22"/>
                <w:szCs w:val="22"/>
              </w:rPr>
              <w:fldChar w:fldCharType="begin"/>
            </w:r>
            <w:r w:rsidRPr="007777E2">
              <w:rPr>
                <w:color w:val="auto"/>
                <w:sz w:val="22"/>
                <w:szCs w:val="22"/>
              </w:rPr>
              <w:instrText xml:space="preserve"> SEQ Figure \* ARABIC </w:instrText>
            </w:r>
            <w:r w:rsidR="006B40AE" w:rsidRPr="007777E2">
              <w:rPr>
                <w:color w:val="auto"/>
                <w:sz w:val="22"/>
                <w:szCs w:val="22"/>
              </w:rPr>
              <w:fldChar w:fldCharType="separate"/>
            </w:r>
            <w:r w:rsidR="009E2C86">
              <w:rPr>
                <w:noProof/>
                <w:color w:val="auto"/>
                <w:sz w:val="22"/>
                <w:szCs w:val="22"/>
              </w:rPr>
              <w:t>1</w:t>
            </w:r>
            <w:r w:rsidR="006B40AE" w:rsidRPr="007777E2">
              <w:rPr>
                <w:color w:val="auto"/>
                <w:sz w:val="22"/>
                <w:szCs w:val="22"/>
              </w:rPr>
              <w:fldChar w:fldCharType="end"/>
            </w:r>
            <w:bookmarkEnd w:id="77"/>
            <w:r w:rsidRPr="007777E2">
              <w:rPr>
                <w:color w:val="auto"/>
                <w:sz w:val="22"/>
                <w:szCs w:val="22"/>
              </w:rPr>
              <w:t>. Belarus Trade in Transport Services 2003-2008: Exports (in million US$)</w:t>
            </w:r>
            <w:bookmarkEnd w:id="78"/>
          </w:p>
          <w:p w:rsidR="00647C1B" w:rsidRPr="007777E2" w:rsidRDefault="00647C1B" w:rsidP="00647C1B">
            <w:pPr>
              <w:tabs>
                <w:tab w:val="num" w:pos="3420"/>
              </w:tabs>
              <w:spacing w:after="120"/>
            </w:pPr>
            <w:r w:rsidRPr="007777E2">
              <w:rPr>
                <w:noProof/>
              </w:rPr>
              <w:drawing>
                <wp:inline distT="0" distB="0" distL="0" distR="0">
                  <wp:extent cx="2895600" cy="2295525"/>
                  <wp:effectExtent l="19050" t="0" r="19050" b="0"/>
                  <wp:docPr id="50"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7777E2">
              <w:rPr>
                <w:sz w:val="18"/>
                <w:szCs w:val="18"/>
              </w:rPr>
              <w:t>Source: Belarus State Customs Committee and UN Services Trade database.</w:t>
            </w:r>
          </w:p>
        </w:tc>
        <w:tc>
          <w:tcPr>
            <w:tcW w:w="4788" w:type="dxa"/>
            <w:tcBorders>
              <w:bottom w:val="single" w:sz="4" w:space="0" w:color="000000" w:themeColor="text1"/>
            </w:tcBorders>
          </w:tcPr>
          <w:p w:rsidR="00647C1B" w:rsidRPr="007777E2" w:rsidRDefault="00647C1B" w:rsidP="00647C1B">
            <w:pPr>
              <w:pStyle w:val="Caption"/>
              <w:rPr>
                <w:color w:val="auto"/>
                <w:sz w:val="22"/>
                <w:szCs w:val="22"/>
              </w:rPr>
            </w:pPr>
            <w:bookmarkStart w:id="79" w:name="_Ref257621225"/>
            <w:bookmarkStart w:id="80" w:name="_Toc264226759"/>
            <w:r w:rsidRPr="007777E2">
              <w:rPr>
                <w:color w:val="auto"/>
                <w:sz w:val="22"/>
                <w:szCs w:val="22"/>
              </w:rPr>
              <w:t xml:space="preserve">Figure </w:t>
            </w:r>
            <w:r w:rsidR="006B40AE" w:rsidRPr="007777E2">
              <w:rPr>
                <w:color w:val="auto"/>
                <w:sz w:val="22"/>
                <w:szCs w:val="22"/>
              </w:rPr>
              <w:fldChar w:fldCharType="begin"/>
            </w:r>
            <w:r w:rsidRPr="007777E2">
              <w:rPr>
                <w:color w:val="auto"/>
                <w:sz w:val="22"/>
                <w:szCs w:val="22"/>
              </w:rPr>
              <w:instrText xml:space="preserve"> SEQ Figure \* ARABIC </w:instrText>
            </w:r>
            <w:r w:rsidR="006B40AE" w:rsidRPr="007777E2">
              <w:rPr>
                <w:color w:val="auto"/>
                <w:sz w:val="22"/>
                <w:szCs w:val="22"/>
              </w:rPr>
              <w:fldChar w:fldCharType="separate"/>
            </w:r>
            <w:r w:rsidR="009E2C86">
              <w:rPr>
                <w:noProof/>
                <w:color w:val="auto"/>
                <w:sz w:val="22"/>
                <w:szCs w:val="22"/>
              </w:rPr>
              <w:t>2</w:t>
            </w:r>
            <w:r w:rsidR="006B40AE" w:rsidRPr="007777E2">
              <w:rPr>
                <w:color w:val="auto"/>
                <w:sz w:val="22"/>
                <w:szCs w:val="22"/>
              </w:rPr>
              <w:fldChar w:fldCharType="end"/>
            </w:r>
            <w:bookmarkEnd w:id="79"/>
            <w:r w:rsidRPr="007777E2">
              <w:rPr>
                <w:color w:val="auto"/>
                <w:sz w:val="22"/>
                <w:szCs w:val="22"/>
              </w:rPr>
              <w:t>. Belarus Trade in Transport Services 2003-2008: Imports (in million US$)</w:t>
            </w:r>
            <w:bookmarkEnd w:id="80"/>
          </w:p>
          <w:p w:rsidR="00647C1B" w:rsidRPr="007777E2" w:rsidRDefault="00647C1B" w:rsidP="00647C1B">
            <w:pPr>
              <w:keepNext/>
              <w:tabs>
                <w:tab w:val="num" w:pos="3420"/>
              </w:tabs>
              <w:spacing w:after="120"/>
            </w:pPr>
            <w:r w:rsidRPr="007777E2">
              <w:rPr>
                <w:noProof/>
              </w:rPr>
              <w:drawing>
                <wp:inline distT="0" distB="0" distL="0" distR="0">
                  <wp:extent cx="2828925" cy="2295525"/>
                  <wp:effectExtent l="19050" t="0" r="9525" b="0"/>
                  <wp:docPr id="51"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7777E2">
              <w:rPr>
                <w:sz w:val="18"/>
                <w:szCs w:val="18"/>
              </w:rPr>
              <w:t>Source: Belarus State Customs Committee and UN Services Trade database.</w:t>
            </w:r>
          </w:p>
        </w:tc>
      </w:tr>
      <w:tr w:rsidR="00647C1B" w:rsidRPr="007777E2" w:rsidTr="00647C1B">
        <w:trPr>
          <w:trHeight w:val="4940"/>
        </w:trPr>
        <w:tc>
          <w:tcPr>
            <w:tcW w:w="4788" w:type="dxa"/>
          </w:tcPr>
          <w:p w:rsidR="00647C1B" w:rsidRPr="007777E2" w:rsidRDefault="00647C1B" w:rsidP="00647C1B">
            <w:pPr>
              <w:pStyle w:val="Caption"/>
              <w:rPr>
                <w:color w:val="auto"/>
                <w:sz w:val="22"/>
                <w:szCs w:val="22"/>
              </w:rPr>
            </w:pPr>
            <w:bookmarkStart w:id="81" w:name="_Ref257621226"/>
            <w:bookmarkStart w:id="82" w:name="_Toc264226760"/>
            <w:r w:rsidRPr="007777E2">
              <w:rPr>
                <w:color w:val="auto"/>
                <w:sz w:val="22"/>
                <w:szCs w:val="22"/>
              </w:rPr>
              <w:t xml:space="preserve">Figure </w:t>
            </w:r>
            <w:r w:rsidR="006B40AE" w:rsidRPr="007777E2">
              <w:rPr>
                <w:color w:val="auto"/>
                <w:sz w:val="22"/>
                <w:szCs w:val="22"/>
              </w:rPr>
              <w:fldChar w:fldCharType="begin"/>
            </w:r>
            <w:r w:rsidRPr="007777E2">
              <w:rPr>
                <w:color w:val="auto"/>
                <w:sz w:val="22"/>
                <w:szCs w:val="22"/>
              </w:rPr>
              <w:instrText xml:space="preserve"> SEQ Figure \* ARABIC </w:instrText>
            </w:r>
            <w:r w:rsidR="006B40AE" w:rsidRPr="007777E2">
              <w:rPr>
                <w:color w:val="auto"/>
                <w:sz w:val="22"/>
                <w:szCs w:val="22"/>
              </w:rPr>
              <w:fldChar w:fldCharType="separate"/>
            </w:r>
            <w:r w:rsidR="009E2C86">
              <w:rPr>
                <w:noProof/>
                <w:color w:val="auto"/>
                <w:sz w:val="22"/>
                <w:szCs w:val="22"/>
              </w:rPr>
              <w:t>3</w:t>
            </w:r>
            <w:r w:rsidR="006B40AE" w:rsidRPr="007777E2">
              <w:rPr>
                <w:color w:val="auto"/>
                <w:sz w:val="22"/>
                <w:szCs w:val="22"/>
              </w:rPr>
              <w:fldChar w:fldCharType="end"/>
            </w:r>
            <w:bookmarkEnd w:id="81"/>
            <w:r w:rsidRPr="007777E2">
              <w:rPr>
                <w:color w:val="auto"/>
                <w:sz w:val="22"/>
                <w:szCs w:val="22"/>
              </w:rPr>
              <w:t>. Belarus Services Trade Balance (exports-imports) by Type of Transport Service 2006-2008 (in million US$)</w:t>
            </w:r>
            <w:bookmarkEnd w:id="82"/>
            <w:r w:rsidRPr="007777E2">
              <w:t xml:space="preserve"> </w:t>
            </w:r>
          </w:p>
          <w:p w:rsidR="00647C1B" w:rsidRPr="007777E2" w:rsidRDefault="00647C1B" w:rsidP="00647C1B">
            <w:r w:rsidRPr="007777E2">
              <w:rPr>
                <w:noProof/>
              </w:rPr>
              <w:drawing>
                <wp:inline distT="0" distB="0" distL="0" distR="0">
                  <wp:extent cx="2895600" cy="2219325"/>
                  <wp:effectExtent l="19050" t="0" r="19050" b="0"/>
                  <wp:docPr id="53"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7777E2">
              <w:rPr>
                <w:sz w:val="18"/>
                <w:szCs w:val="18"/>
              </w:rPr>
              <w:t>Source: Belarus State Customs Committee and UN Services Trade database.</w:t>
            </w:r>
          </w:p>
        </w:tc>
        <w:tc>
          <w:tcPr>
            <w:tcW w:w="4788" w:type="dxa"/>
            <w:tcBorders>
              <w:bottom w:val="nil"/>
              <w:right w:val="nil"/>
            </w:tcBorders>
          </w:tcPr>
          <w:p w:rsidR="00647C1B" w:rsidRPr="007777E2" w:rsidRDefault="00647C1B" w:rsidP="00647C1B">
            <w:pPr>
              <w:pStyle w:val="Caption"/>
              <w:keepNext/>
              <w:rPr>
                <w:color w:val="auto"/>
                <w:sz w:val="22"/>
                <w:szCs w:val="22"/>
              </w:rPr>
            </w:pPr>
          </w:p>
          <w:p w:rsidR="00647C1B" w:rsidRPr="007777E2" w:rsidRDefault="00647C1B" w:rsidP="00647C1B"/>
          <w:p w:rsidR="00647C1B" w:rsidRPr="007777E2" w:rsidRDefault="00647C1B" w:rsidP="00647C1B"/>
          <w:p w:rsidR="00647C1B" w:rsidRPr="007777E2" w:rsidRDefault="00647C1B" w:rsidP="00647C1B"/>
          <w:p w:rsidR="00647C1B" w:rsidRPr="007777E2" w:rsidRDefault="00647C1B" w:rsidP="00647C1B"/>
          <w:p w:rsidR="00647C1B" w:rsidRPr="007777E2" w:rsidRDefault="00647C1B" w:rsidP="00647C1B"/>
        </w:tc>
      </w:tr>
    </w:tbl>
    <w:p w:rsidR="001223AB" w:rsidRPr="007777E2" w:rsidRDefault="001223AB" w:rsidP="001223AB">
      <w:pPr>
        <w:tabs>
          <w:tab w:val="num" w:pos="3420"/>
        </w:tabs>
        <w:spacing w:after="120"/>
        <w:jc w:val="both"/>
      </w:pPr>
    </w:p>
    <w:p w:rsidR="003202B9" w:rsidRPr="007777E2" w:rsidRDefault="003202B9" w:rsidP="00BE35AE">
      <w:pPr>
        <w:numPr>
          <w:ilvl w:val="0"/>
          <w:numId w:val="2"/>
        </w:numPr>
        <w:tabs>
          <w:tab w:val="num" w:pos="3420"/>
        </w:tabs>
        <w:spacing w:after="120"/>
        <w:ind w:left="0" w:firstLine="0"/>
        <w:jc w:val="both"/>
      </w:pPr>
      <w:r w:rsidRPr="007777E2">
        <w:rPr>
          <w:b/>
        </w:rPr>
        <w:t>In terms of international trade, Belarus serves as a transit transport corridor between the EU and Russia and potentially between the EU and Asia, via the Trans-Siberian Railway</w:t>
      </w:r>
      <w:r w:rsidRPr="007777E2">
        <w:t xml:space="preserve">. </w:t>
      </w:r>
      <w:r w:rsidR="00DC0E3A" w:rsidRPr="007777E2">
        <w:t>Movements along transit corridors in Belarus are from east to west and north to south (and vice-versa) given the country’s direction</w:t>
      </w:r>
      <w:r w:rsidR="00D22FDE">
        <w:t>s</w:t>
      </w:r>
      <w:r w:rsidR="00DC0E3A" w:rsidRPr="007777E2">
        <w:t xml:space="preserve"> of trade. </w:t>
      </w:r>
      <w:r w:rsidRPr="007777E2">
        <w:t>In 2008</w:t>
      </w:r>
      <w:r w:rsidR="00D22FDE">
        <w:t>,</w:t>
      </w:r>
      <w:r w:rsidRPr="007777E2">
        <w:t xml:space="preserve"> </w:t>
      </w:r>
      <w:r w:rsidR="00D22FDE" w:rsidRPr="007777E2">
        <w:t xml:space="preserve">the main destinations </w:t>
      </w:r>
      <w:r w:rsidRPr="007777E2">
        <w:t xml:space="preserve">for exports of goods and services from Belarus were Russia (32 percent), </w:t>
      </w:r>
      <w:r w:rsidR="00080B4C" w:rsidRPr="007777E2">
        <w:t xml:space="preserve">the </w:t>
      </w:r>
      <w:r w:rsidRPr="007777E2">
        <w:t xml:space="preserve">Netherlands (16.8 </w:t>
      </w:r>
      <w:r w:rsidRPr="007777E2">
        <w:lastRenderedPageBreak/>
        <w:t>percent), Ukraine (8.4 percent), and Latvia (6.6 percent). The main import origins were Russia (60.7 percent), Germany (7.2 percent), Ukraine (5.4 percent), and China (3.6 percent) (UNCTAD). Russia is the dominant trade partner for Belarus, increasingly so with the newly established Customs Union among Belarus, Russia, and Kazakhstan.</w:t>
      </w:r>
      <w:r w:rsidR="00D859B7" w:rsidRPr="007777E2">
        <w:t xml:space="preserve"> The</w:t>
      </w:r>
      <w:r w:rsidRPr="007777E2">
        <w:t xml:space="preserve"> </w:t>
      </w:r>
      <w:r w:rsidR="001223AB" w:rsidRPr="007777E2">
        <w:t>Europe</w:t>
      </w:r>
      <w:r w:rsidR="00D859B7" w:rsidRPr="007777E2">
        <w:t>an Union (EU)</w:t>
      </w:r>
      <w:r w:rsidR="001223AB" w:rsidRPr="007777E2">
        <w:t xml:space="preserve"> is the second most important trading region with 21.6 percent of imports and 43.9 percent of exports in 2008. </w:t>
      </w:r>
      <w:r w:rsidR="00D859B7" w:rsidRPr="007777E2">
        <w:t>Within the EU, t</w:t>
      </w:r>
      <w:r w:rsidR="001223AB" w:rsidRPr="007777E2">
        <w:t xml:space="preserve">he main export destinations after </w:t>
      </w:r>
      <w:r w:rsidR="00C21AB2" w:rsidRPr="007777E2">
        <w:t xml:space="preserve">the </w:t>
      </w:r>
      <w:r w:rsidR="001223AB" w:rsidRPr="007777E2">
        <w:t xml:space="preserve">Netherlands are Latvia, and Poland. The main EU countries of origin for imports </w:t>
      </w:r>
      <w:r w:rsidR="00D859B7" w:rsidRPr="007777E2">
        <w:t xml:space="preserve">to Belarus </w:t>
      </w:r>
      <w:r w:rsidR="001223AB" w:rsidRPr="007777E2">
        <w:t>were Germany, Poland and Italy.</w:t>
      </w:r>
    </w:p>
    <w:p w:rsidR="002A62C5" w:rsidRDefault="003202B9" w:rsidP="00BE35AE">
      <w:pPr>
        <w:numPr>
          <w:ilvl w:val="0"/>
          <w:numId w:val="2"/>
        </w:numPr>
        <w:tabs>
          <w:tab w:val="num" w:pos="3420"/>
        </w:tabs>
        <w:spacing w:after="120"/>
        <w:ind w:left="0" w:firstLine="0"/>
        <w:jc w:val="both"/>
      </w:pPr>
      <w:r w:rsidRPr="007777E2">
        <w:rPr>
          <w:b/>
        </w:rPr>
        <w:t xml:space="preserve">The strategic geographic location of Belarus places the country on two of the Pan-European corridors that the EU has committed to promote </w:t>
      </w:r>
      <w:r w:rsidRPr="007777E2">
        <w:t>(</w:t>
      </w:r>
      <w:fldSimple w:instr=" REF _Ref257102167 \h  \* MERGEFORMAT ">
        <w:r w:rsidR="00E85C5F" w:rsidRPr="00E85C5F">
          <w:t xml:space="preserve">Figure </w:t>
        </w:r>
        <w:r w:rsidR="00E85C5F" w:rsidRPr="00E85C5F">
          <w:rPr>
            <w:noProof/>
          </w:rPr>
          <w:t>4</w:t>
        </w:r>
      </w:fldSimple>
      <w:r w:rsidRPr="007777E2">
        <w:t>). In EU terminology these corridors are</w:t>
      </w:r>
      <w:r w:rsidR="00D859B7" w:rsidRPr="007777E2">
        <w:t>:</w:t>
      </w:r>
      <w:r w:rsidRPr="007777E2">
        <w:t xml:space="preserve"> Corridor II (Berl</w:t>
      </w:r>
      <w:r w:rsidR="00D859B7" w:rsidRPr="007777E2">
        <w:t xml:space="preserve">in-Warsaw-Minsk-Moscow) and </w:t>
      </w:r>
      <w:r w:rsidRPr="007777E2">
        <w:t>Corridor IX (Black Sea-Kiev-Minsk-</w:t>
      </w:r>
      <w:proofErr w:type="spellStart"/>
      <w:r w:rsidRPr="007777E2">
        <w:t>Baltics</w:t>
      </w:r>
      <w:proofErr w:type="spellEnd"/>
      <w:r w:rsidR="00434074">
        <w:t>,</w:t>
      </w:r>
      <w:r w:rsidR="00EC391C" w:rsidRPr="007777E2">
        <w:t xml:space="preserve"> including the sub-alignment through St. Petersburg-Moscow-Kiev</w:t>
      </w:r>
      <w:r w:rsidR="00434074">
        <w:t>)</w:t>
      </w:r>
      <w:r w:rsidRPr="007777E2">
        <w:t>.</w:t>
      </w:r>
      <w:r w:rsidR="00DC0E3A" w:rsidRPr="007777E2">
        <w:t xml:space="preserve"> </w:t>
      </w:r>
      <w:r w:rsidRPr="007777E2">
        <w:t xml:space="preserve">Since its enlargement in 2004, the EU </w:t>
      </w:r>
      <w:r w:rsidR="00D859B7" w:rsidRPr="007777E2">
        <w:t>now shares a common border with</w:t>
      </w:r>
      <w:r w:rsidRPr="007777E2">
        <w:t xml:space="preserve"> Belarus. The EU “</w:t>
      </w:r>
      <w:bookmarkStart w:id="83" w:name="OLE_LINK7"/>
      <w:bookmarkStart w:id="84" w:name="OLE_LINK8"/>
      <w:r w:rsidRPr="007777E2">
        <w:t>High Level Group on the extension of Trans-European Transport Networks (TEN-T) to neighboring countries</w:t>
      </w:r>
      <w:bookmarkEnd w:id="83"/>
      <w:bookmarkEnd w:id="84"/>
      <w:r w:rsidRPr="007777E2">
        <w:t xml:space="preserve">” established five main transnational transport axes that play a strategic role in the region. The transport network of Belarus is part of the </w:t>
      </w:r>
      <w:r w:rsidR="00C21AB2" w:rsidRPr="007777E2">
        <w:t>n</w:t>
      </w:r>
      <w:r w:rsidRPr="007777E2">
        <w:t xml:space="preserve">orthern and </w:t>
      </w:r>
      <w:r w:rsidR="00C21AB2" w:rsidRPr="007777E2">
        <w:t>c</w:t>
      </w:r>
      <w:r w:rsidRPr="007777E2">
        <w:t>entral axes.</w:t>
      </w:r>
    </w:p>
    <w:p w:rsidR="00DD4713" w:rsidRPr="007777E2" w:rsidRDefault="00DD4713" w:rsidP="00DD4713">
      <w:pPr>
        <w:tabs>
          <w:tab w:val="num" w:pos="3420"/>
        </w:tabs>
        <w:spacing w:after="120"/>
        <w:jc w:val="both"/>
      </w:pPr>
    </w:p>
    <w:tbl>
      <w:tblPr>
        <w:tblStyle w:val="TableGrid"/>
        <w:tblW w:w="0" w:type="auto"/>
        <w:jc w:val="center"/>
        <w:tblInd w:w="320" w:type="dxa"/>
        <w:tblLayout w:type="fixed"/>
        <w:tblLook w:val="04A0"/>
      </w:tblPr>
      <w:tblGrid>
        <w:gridCol w:w="8199"/>
      </w:tblGrid>
      <w:tr w:rsidR="00846214" w:rsidRPr="007777E2" w:rsidTr="00513C89">
        <w:trPr>
          <w:trHeight w:val="7711"/>
          <w:jc w:val="center"/>
        </w:trPr>
        <w:tc>
          <w:tcPr>
            <w:tcW w:w="8199" w:type="dxa"/>
          </w:tcPr>
          <w:p w:rsidR="00846214" w:rsidRPr="007777E2" w:rsidRDefault="00846214" w:rsidP="00513C89">
            <w:pPr>
              <w:pStyle w:val="Caption"/>
              <w:jc w:val="center"/>
              <w:rPr>
                <w:color w:val="auto"/>
                <w:sz w:val="22"/>
                <w:szCs w:val="22"/>
              </w:rPr>
            </w:pPr>
            <w:bookmarkStart w:id="85" w:name="_Ref257102167"/>
            <w:bookmarkStart w:id="86" w:name="_Toc264226761"/>
            <w:r w:rsidRPr="007777E2">
              <w:rPr>
                <w:color w:val="auto"/>
                <w:sz w:val="22"/>
                <w:szCs w:val="22"/>
              </w:rPr>
              <w:t xml:space="preserve">Figure </w:t>
            </w:r>
            <w:r w:rsidR="006B40AE" w:rsidRPr="007777E2">
              <w:rPr>
                <w:color w:val="auto"/>
                <w:sz w:val="22"/>
                <w:szCs w:val="22"/>
              </w:rPr>
              <w:fldChar w:fldCharType="begin"/>
            </w:r>
            <w:r w:rsidR="00B9265B" w:rsidRPr="007777E2">
              <w:rPr>
                <w:color w:val="auto"/>
                <w:sz w:val="22"/>
                <w:szCs w:val="22"/>
              </w:rPr>
              <w:instrText xml:space="preserve"> SEQ Figure \* ARABIC </w:instrText>
            </w:r>
            <w:r w:rsidR="006B40AE" w:rsidRPr="007777E2">
              <w:rPr>
                <w:color w:val="auto"/>
                <w:sz w:val="22"/>
                <w:szCs w:val="22"/>
              </w:rPr>
              <w:fldChar w:fldCharType="separate"/>
            </w:r>
            <w:r w:rsidR="009E2C86">
              <w:rPr>
                <w:noProof/>
                <w:color w:val="auto"/>
                <w:sz w:val="22"/>
                <w:szCs w:val="22"/>
              </w:rPr>
              <w:t>4</w:t>
            </w:r>
            <w:r w:rsidR="006B40AE" w:rsidRPr="007777E2">
              <w:rPr>
                <w:color w:val="auto"/>
                <w:sz w:val="22"/>
                <w:szCs w:val="22"/>
              </w:rPr>
              <w:fldChar w:fldCharType="end"/>
            </w:r>
            <w:bookmarkEnd w:id="85"/>
            <w:r w:rsidRPr="007777E2">
              <w:rPr>
                <w:color w:val="auto"/>
                <w:sz w:val="22"/>
                <w:szCs w:val="22"/>
              </w:rPr>
              <w:t>. Pan-European Corridors</w:t>
            </w:r>
            <w:bookmarkEnd w:id="86"/>
          </w:p>
          <w:p w:rsidR="00846214" w:rsidRPr="007777E2" w:rsidRDefault="00846214" w:rsidP="00513C89">
            <w:pPr>
              <w:jc w:val="center"/>
              <w:rPr>
                <w:sz w:val="20"/>
                <w:szCs w:val="20"/>
              </w:rPr>
            </w:pPr>
            <w:r w:rsidRPr="007777E2">
              <w:rPr>
                <w:noProof/>
              </w:rPr>
              <w:drawing>
                <wp:inline distT="0" distB="0" distL="0" distR="0">
                  <wp:extent cx="4314114" cy="4463218"/>
                  <wp:effectExtent l="19050" t="0" r="0" b="0"/>
                  <wp:docPr id="4"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18" cstate="print"/>
                          <a:srcRect t="5186"/>
                          <a:stretch>
                            <a:fillRect/>
                          </a:stretch>
                        </pic:blipFill>
                        <pic:spPr bwMode="auto">
                          <a:xfrm>
                            <a:off x="0" y="0"/>
                            <a:ext cx="4318842" cy="4468110"/>
                          </a:xfrm>
                          <a:prstGeom prst="rect">
                            <a:avLst/>
                          </a:prstGeom>
                          <a:noFill/>
                          <a:ln w="9525">
                            <a:noFill/>
                            <a:miter lim="800000"/>
                            <a:headEnd/>
                            <a:tailEnd/>
                          </a:ln>
                        </pic:spPr>
                      </pic:pic>
                    </a:graphicData>
                  </a:graphic>
                </wp:inline>
              </w:drawing>
            </w:r>
          </w:p>
        </w:tc>
      </w:tr>
    </w:tbl>
    <w:p w:rsidR="00846214" w:rsidRPr="007777E2" w:rsidRDefault="00846214" w:rsidP="0063478F">
      <w:pPr>
        <w:tabs>
          <w:tab w:val="num" w:pos="3420"/>
        </w:tabs>
        <w:spacing w:after="120"/>
        <w:jc w:val="both"/>
      </w:pPr>
    </w:p>
    <w:p w:rsidR="003202B9" w:rsidRPr="007777E2" w:rsidRDefault="003202B9" w:rsidP="00BE35AE">
      <w:pPr>
        <w:numPr>
          <w:ilvl w:val="0"/>
          <w:numId w:val="2"/>
        </w:numPr>
        <w:tabs>
          <w:tab w:val="num" w:pos="3420"/>
        </w:tabs>
        <w:spacing w:after="120"/>
        <w:ind w:left="0" w:firstLine="0"/>
        <w:jc w:val="both"/>
        <w:rPr>
          <w:b/>
        </w:rPr>
      </w:pPr>
      <w:r w:rsidRPr="007777E2">
        <w:rPr>
          <w:b/>
        </w:rPr>
        <w:t>With its concentration in industrial production and trade,</w:t>
      </w:r>
      <w:r w:rsidRPr="007777E2" w:rsidDel="007B7DAA">
        <w:rPr>
          <w:b/>
        </w:rPr>
        <w:t xml:space="preserve"> </w:t>
      </w:r>
      <w:r w:rsidRPr="007777E2">
        <w:rPr>
          <w:b/>
        </w:rPr>
        <w:t xml:space="preserve">the structure of the Belarusian </w:t>
      </w:r>
      <w:r w:rsidR="00D859B7" w:rsidRPr="007777E2">
        <w:rPr>
          <w:b/>
        </w:rPr>
        <w:t>economy further contributes to the</w:t>
      </w:r>
      <w:r w:rsidRPr="007777E2">
        <w:rPr>
          <w:b/>
        </w:rPr>
        <w:t xml:space="preserve"> level of freight intensity. </w:t>
      </w:r>
      <w:r w:rsidR="00D859B7" w:rsidRPr="007777E2">
        <w:t>The f</w:t>
      </w:r>
      <w:r w:rsidRPr="007777E2">
        <w:t xml:space="preserve">our main </w:t>
      </w:r>
      <w:r w:rsidR="00953EA3">
        <w:t xml:space="preserve">industrial </w:t>
      </w:r>
      <w:r w:rsidRPr="007777E2">
        <w:t xml:space="preserve">sectors of the Belarus economy are machinery and metalworking, fuel, food, and chemical and petrochemical </w:t>
      </w:r>
      <w:r w:rsidR="00D859B7" w:rsidRPr="007777E2">
        <w:t xml:space="preserve">industries </w:t>
      </w:r>
      <w:r w:rsidRPr="007777E2">
        <w:t>(</w:t>
      </w:r>
      <w:fldSimple w:instr=" REF _Ref257103318 \h  \* MERGEFORMAT ">
        <w:r w:rsidR="00E85C5F" w:rsidRPr="00E85C5F">
          <w:t xml:space="preserve">Figure </w:t>
        </w:r>
        <w:r w:rsidR="00E85C5F" w:rsidRPr="00E85C5F">
          <w:rPr>
            <w:noProof/>
          </w:rPr>
          <w:t>5</w:t>
        </w:r>
      </w:fldSimple>
      <w:r w:rsidRPr="007777E2">
        <w:t>). Together, these four sectors produce 72.5 percent of the national industrial output</w:t>
      </w:r>
      <w:r w:rsidR="00EC391C" w:rsidRPr="007777E2">
        <w:t xml:space="preserve"> in terms of value</w:t>
      </w:r>
      <w:r w:rsidRPr="007777E2">
        <w:t xml:space="preserve">. A large share, 34.7 percent of industrial production, is made up of fuel and chemical/petrochemical </w:t>
      </w:r>
      <w:r w:rsidR="008E2FBB">
        <w:t>products</w:t>
      </w:r>
      <w:r w:rsidRPr="007777E2">
        <w:t xml:space="preserve">. </w:t>
      </w:r>
    </w:p>
    <w:p w:rsidR="00647C1B" w:rsidRPr="007777E2" w:rsidRDefault="00647C1B" w:rsidP="00647C1B">
      <w:pPr>
        <w:tabs>
          <w:tab w:val="num" w:pos="3420"/>
        </w:tabs>
        <w:spacing w:after="120"/>
        <w:jc w:val="both"/>
        <w:rPr>
          <w:b/>
        </w:rPr>
      </w:pPr>
    </w:p>
    <w:tbl>
      <w:tblPr>
        <w:tblStyle w:val="TableGrid"/>
        <w:tblW w:w="4968" w:type="dxa"/>
        <w:jc w:val="center"/>
        <w:tblLayout w:type="fixed"/>
        <w:tblLook w:val="04A0"/>
      </w:tblPr>
      <w:tblGrid>
        <w:gridCol w:w="4968"/>
      </w:tblGrid>
      <w:tr w:rsidR="00647C1B" w:rsidRPr="007777E2" w:rsidTr="00647C1B">
        <w:trPr>
          <w:trHeight w:val="4490"/>
          <w:jc w:val="center"/>
        </w:trPr>
        <w:tc>
          <w:tcPr>
            <w:tcW w:w="4968" w:type="dxa"/>
          </w:tcPr>
          <w:p w:rsidR="00647C1B" w:rsidRPr="007777E2" w:rsidRDefault="00647C1B" w:rsidP="00647C1B">
            <w:pPr>
              <w:pStyle w:val="Caption"/>
              <w:rPr>
                <w:color w:val="auto"/>
                <w:sz w:val="22"/>
                <w:szCs w:val="22"/>
              </w:rPr>
            </w:pPr>
            <w:bookmarkStart w:id="87" w:name="_Ref257103318"/>
            <w:bookmarkStart w:id="88" w:name="_Toc264226762"/>
            <w:r w:rsidRPr="007777E2">
              <w:rPr>
                <w:color w:val="auto"/>
                <w:sz w:val="22"/>
                <w:szCs w:val="22"/>
              </w:rPr>
              <w:t xml:space="preserve">Figure </w:t>
            </w:r>
            <w:r w:rsidR="006B40AE" w:rsidRPr="007777E2">
              <w:rPr>
                <w:color w:val="auto"/>
                <w:sz w:val="22"/>
                <w:szCs w:val="22"/>
              </w:rPr>
              <w:fldChar w:fldCharType="begin"/>
            </w:r>
            <w:r w:rsidRPr="007777E2">
              <w:rPr>
                <w:color w:val="auto"/>
                <w:sz w:val="22"/>
                <w:szCs w:val="22"/>
              </w:rPr>
              <w:instrText xml:space="preserve"> SEQ Figure \* ARABIC </w:instrText>
            </w:r>
            <w:r w:rsidR="006B40AE" w:rsidRPr="007777E2">
              <w:rPr>
                <w:color w:val="auto"/>
                <w:sz w:val="22"/>
                <w:szCs w:val="22"/>
              </w:rPr>
              <w:fldChar w:fldCharType="separate"/>
            </w:r>
            <w:r w:rsidR="009E2C86">
              <w:rPr>
                <w:noProof/>
                <w:color w:val="auto"/>
                <w:sz w:val="22"/>
                <w:szCs w:val="22"/>
              </w:rPr>
              <w:t>5</w:t>
            </w:r>
            <w:r w:rsidR="006B40AE" w:rsidRPr="007777E2">
              <w:rPr>
                <w:color w:val="auto"/>
                <w:sz w:val="22"/>
                <w:szCs w:val="22"/>
              </w:rPr>
              <w:fldChar w:fldCharType="end"/>
            </w:r>
            <w:bookmarkEnd w:id="87"/>
            <w:r w:rsidRPr="007777E2">
              <w:rPr>
                <w:color w:val="auto"/>
                <w:sz w:val="22"/>
                <w:szCs w:val="22"/>
              </w:rPr>
              <w:t>. Structure of Belarus Industrial Output 2008 (in percentage of total output)</w:t>
            </w:r>
            <w:bookmarkEnd w:id="88"/>
          </w:p>
          <w:p w:rsidR="00647C1B" w:rsidRPr="007777E2" w:rsidRDefault="00647C1B" w:rsidP="00647C1B">
            <w:r w:rsidRPr="007777E2">
              <w:rPr>
                <w:noProof/>
              </w:rPr>
              <w:drawing>
                <wp:inline distT="0" distB="0" distL="0" distR="0">
                  <wp:extent cx="2952750" cy="2571750"/>
                  <wp:effectExtent l="0" t="0" r="0" b="0"/>
                  <wp:docPr id="67"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47C1B" w:rsidRPr="007777E2" w:rsidRDefault="00647C1B" w:rsidP="00647C1B">
            <w:pPr>
              <w:tabs>
                <w:tab w:val="num" w:pos="3420"/>
              </w:tabs>
              <w:spacing w:after="120"/>
              <w:jc w:val="both"/>
              <w:rPr>
                <w:sz w:val="18"/>
                <w:szCs w:val="18"/>
              </w:rPr>
            </w:pPr>
            <w:r w:rsidRPr="007777E2">
              <w:rPr>
                <w:sz w:val="18"/>
                <w:szCs w:val="18"/>
              </w:rPr>
              <w:t>Source: Statistical Yearbook of Belarus. 2009.</w:t>
            </w:r>
          </w:p>
        </w:tc>
      </w:tr>
    </w:tbl>
    <w:p w:rsidR="00647C1B" w:rsidRPr="007777E2" w:rsidRDefault="00647C1B" w:rsidP="00647C1B">
      <w:pPr>
        <w:tabs>
          <w:tab w:val="num" w:pos="3420"/>
        </w:tabs>
        <w:spacing w:after="120"/>
        <w:jc w:val="both"/>
        <w:rPr>
          <w:b/>
        </w:rPr>
      </w:pPr>
    </w:p>
    <w:p w:rsidR="005C325C" w:rsidRPr="007777E2" w:rsidRDefault="0015757A" w:rsidP="00BE35AE">
      <w:pPr>
        <w:numPr>
          <w:ilvl w:val="0"/>
          <w:numId w:val="2"/>
        </w:numPr>
        <w:tabs>
          <w:tab w:val="num" w:pos="3420"/>
        </w:tabs>
        <w:spacing w:after="120"/>
        <w:ind w:left="0" w:firstLine="0"/>
        <w:jc w:val="both"/>
        <w:rPr>
          <w:b/>
        </w:rPr>
      </w:pPr>
      <w:r w:rsidRPr="007777E2">
        <w:rPr>
          <w:b/>
        </w:rPr>
        <w:t xml:space="preserve">In addition to high geographical </w:t>
      </w:r>
      <w:r w:rsidR="009B458A" w:rsidRPr="007777E2">
        <w:rPr>
          <w:b/>
        </w:rPr>
        <w:t xml:space="preserve">concentration of </w:t>
      </w:r>
      <w:r w:rsidR="00EC391C" w:rsidRPr="007777E2">
        <w:rPr>
          <w:b/>
        </w:rPr>
        <w:t xml:space="preserve">international </w:t>
      </w:r>
      <w:r w:rsidR="009B458A" w:rsidRPr="007777E2">
        <w:rPr>
          <w:b/>
        </w:rPr>
        <w:t>trade, the</w:t>
      </w:r>
      <w:r w:rsidRPr="007777E2">
        <w:rPr>
          <w:b/>
        </w:rPr>
        <w:t xml:space="preserve"> trade </w:t>
      </w:r>
      <w:r w:rsidR="00EC391C" w:rsidRPr="007777E2">
        <w:rPr>
          <w:b/>
        </w:rPr>
        <w:t>patterns for specific commodity groups are</w:t>
      </w:r>
      <w:r w:rsidRPr="007777E2">
        <w:rPr>
          <w:b/>
        </w:rPr>
        <w:t xml:space="preserve"> also highly concentrated</w:t>
      </w:r>
      <w:r w:rsidR="009B458A" w:rsidRPr="007777E2">
        <w:rPr>
          <w:b/>
        </w:rPr>
        <w:t xml:space="preserve"> in Belarus</w:t>
      </w:r>
      <w:r w:rsidRPr="007777E2">
        <w:rPr>
          <w:b/>
        </w:rPr>
        <w:t>.</w:t>
      </w:r>
      <w:r w:rsidR="001223AB" w:rsidRPr="007777E2">
        <w:rPr>
          <w:b/>
        </w:rPr>
        <w:t xml:space="preserve"> </w:t>
      </w:r>
      <w:r w:rsidR="001223AB" w:rsidRPr="007777E2">
        <w:t xml:space="preserve">During </w:t>
      </w:r>
      <w:r w:rsidR="00446F01">
        <w:t xml:space="preserve">the </w:t>
      </w:r>
      <w:r w:rsidR="001223AB" w:rsidRPr="007777E2">
        <w:t>2001-2008</w:t>
      </w:r>
      <w:r w:rsidR="00446F01">
        <w:t xml:space="preserve"> </w:t>
      </w:r>
      <w:proofErr w:type="gramStart"/>
      <w:r w:rsidR="00446F01">
        <w:t>period</w:t>
      </w:r>
      <w:proofErr w:type="gramEnd"/>
      <w:r w:rsidR="001223AB" w:rsidRPr="007777E2">
        <w:t xml:space="preserve">, the share of all imports </w:t>
      </w:r>
      <w:r w:rsidR="00D859B7" w:rsidRPr="007777E2">
        <w:t xml:space="preserve">from the top 10 countries </w:t>
      </w:r>
      <w:r w:rsidR="00080B4C" w:rsidRPr="007777E2">
        <w:t>was</w:t>
      </w:r>
      <w:r w:rsidR="001223AB" w:rsidRPr="007777E2">
        <w:t xml:space="preserve"> over 86 percent, with </w:t>
      </w:r>
      <w:r w:rsidR="00D859B7" w:rsidRPr="007777E2">
        <w:t xml:space="preserve">a </w:t>
      </w:r>
      <w:r w:rsidR="001223AB" w:rsidRPr="007777E2">
        <w:t>maximum of 89 percent in 2004. Exports are similar</w:t>
      </w:r>
      <w:r w:rsidR="00D859B7" w:rsidRPr="007777E2">
        <w:t>ly</w:t>
      </w:r>
      <w:r w:rsidR="001223AB" w:rsidRPr="007777E2">
        <w:t xml:space="preserve"> highly concentrated: the share of </w:t>
      </w:r>
      <w:r w:rsidR="00EC391C" w:rsidRPr="007777E2">
        <w:t>exports to</w:t>
      </w:r>
      <w:r w:rsidR="00D859B7" w:rsidRPr="007777E2">
        <w:t xml:space="preserve"> </w:t>
      </w:r>
      <w:r w:rsidR="001223AB" w:rsidRPr="007777E2">
        <w:t xml:space="preserve">the 10 most important countries remained </w:t>
      </w:r>
      <w:r w:rsidR="00D859B7" w:rsidRPr="007777E2">
        <w:t xml:space="preserve">at </w:t>
      </w:r>
      <w:r w:rsidR="001223AB" w:rsidRPr="007777E2">
        <w:t xml:space="preserve">around 84 percent during </w:t>
      </w:r>
      <w:r w:rsidR="00EC391C" w:rsidRPr="007777E2">
        <w:t xml:space="preserve">the </w:t>
      </w:r>
      <w:r w:rsidR="001223AB" w:rsidRPr="007777E2">
        <w:t>2001-2008</w:t>
      </w:r>
      <w:r w:rsidR="00EC391C" w:rsidRPr="007777E2">
        <w:t xml:space="preserve"> </w:t>
      </w:r>
      <w:proofErr w:type="gramStart"/>
      <w:r w:rsidR="00EC391C" w:rsidRPr="007777E2">
        <w:t>period</w:t>
      </w:r>
      <w:proofErr w:type="gramEnd"/>
      <w:r w:rsidR="001223AB" w:rsidRPr="007777E2">
        <w:t xml:space="preserve">. </w:t>
      </w:r>
      <w:r w:rsidR="005C325C" w:rsidRPr="007777E2">
        <w:t xml:space="preserve">The current trade pattern </w:t>
      </w:r>
      <w:r w:rsidR="00B26918" w:rsidRPr="007777E2">
        <w:t xml:space="preserve">therefore </w:t>
      </w:r>
      <w:r w:rsidR="005C325C" w:rsidRPr="007777E2">
        <w:t xml:space="preserve">leaves Belarus very vulnerable to outside economic uncertainties (such as international commodity prices) and </w:t>
      </w:r>
      <w:r w:rsidR="00EC391C" w:rsidRPr="007777E2">
        <w:t>to external</w:t>
      </w:r>
      <w:r w:rsidR="005C325C" w:rsidRPr="007777E2">
        <w:t xml:space="preserve"> political </w:t>
      </w:r>
      <w:r w:rsidR="00EC391C" w:rsidRPr="007777E2">
        <w:t>events</w:t>
      </w:r>
      <w:r w:rsidR="008E2FBB">
        <w:t xml:space="preserve"> in its main trading partners</w:t>
      </w:r>
      <w:r w:rsidR="005C325C" w:rsidRPr="007777E2">
        <w:t>.</w:t>
      </w:r>
    </w:p>
    <w:p w:rsidR="001223AB" w:rsidRPr="007777E2" w:rsidRDefault="003202B9" w:rsidP="00BE35AE">
      <w:pPr>
        <w:numPr>
          <w:ilvl w:val="0"/>
          <w:numId w:val="2"/>
        </w:numPr>
        <w:tabs>
          <w:tab w:val="num" w:pos="3420"/>
        </w:tabs>
        <w:spacing w:after="120"/>
        <w:ind w:left="0" w:firstLine="0"/>
        <w:jc w:val="both"/>
        <w:rPr>
          <w:b/>
        </w:rPr>
      </w:pPr>
      <w:r w:rsidRPr="007777E2">
        <w:rPr>
          <w:b/>
        </w:rPr>
        <w:t xml:space="preserve">A </w:t>
      </w:r>
      <w:r w:rsidR="00EC391C" w:rsidRPr="007777E2">
        <w:rPr>
          <w:b/>
        </w:rPr>
        <w:t>relatively small number of i</w:t>
      </w:r>
      <w:r w:rsidRPr="007777E2">
        <w:rPr>
          <w:b/>
        </w:rPr>
        <w:t xml:space="preserve">ndustrial producers and main export companies dominate the market and </w:t>
      </w:r>
      <w:r w:rsidR="00EC391C" w:rsidRPr="007777E2">
        <w:rPr>
          <w:b/>
        </w:rPr>
        <w:t>generate</w:t>
      </w:r>
      <w:r w:rsidRPr="007777E2">
        <w:rPr>
          <w:b/>
        </w:rPr>
        <w:t xml:space="preserve"> </w:t>
      </w:r>
      <w:r w:rsidR="00EC391C" w:rsidRPr="007777E2">
        <w:rPr>
          <w:b/>
        </w:rPr>
        <w:t>the correspond</w:t>
      </w:r>
      <w:r w:rsidRPr="007777E2">
        <w:rPr>
          <w:b/>
        </w:rPr>
        <w:t>ing transport demands.</w:t>
      </w:r>
      <w:r w:rsidRPr="007777E2">
        <w:t xml:space="preserve"> Apart from the fuel and chemical industr</w:t>
      </w:r>
      <w:r w:rsidR="00B26918" w:rsidRPr="007777E2">
        <w:t>ies</w:t>
      </w:r>
      <w:r w:rsidRPr="007777E2">
        <w:t xml:space="preserve">, among </w:t>
      </w:r>
      <w:r w:rsidR="00B26918" w:rsidRPr="007777E2">
        <w:t xml:space="preserve">the </w:t>
      </w:r>
      <w:r w:rsidRPr="007777E2">
        <w:t xml:space="preserve">major Belarus industrial producers and exporters are firms such as JSC </w:t>
      </w:r>
      <w:proofErr w:type="spellStart"/>
      <w:r w:rsidRPr="007777E2">
        <w:rPr>
          <w:i/>
        </w:rPr>
        <w:t>Gorizont</w:t>
      </w:r>
      <w:proofErr w:type="spellEnd"/>
      <w:r w:rsidRPr="007777E2">
        <w:t xml:space="preserve"> (</w:t>
      </w:r>
      <w:r w:rsidR="00B26918" w:rsidRPr="007777E2">
        <w:t>television</w:t>
      </w:r>
      <w:r w:rsidRPr="007777E2">
        <w:t xml:space="preserve">s and household appliances), ZAO </w:t>
      </w:r>
      <w:proofErr w:type="spellStart"/>
      <w:r w:rsidRPr="007777E2">
        <w:rPr>
          <w:i/>
        </w:rPr>
        <w:t>Atlant</w:t>
      </w:r>
      <w:proofErr w:type="spellEnd"/>
      <w:r w:rsidRPr="007777E2">
        <w:t xml:space="preserve"> (white goods), OJSC </w:t>
      </w:r>
      <w:proofErr w:type="spellStart"/>
      <w:r w:rsidRPr="007777E2">
        <w:rPr>
          <w:i/>
        </w:rPr>
        <w:t>Belshina</w:t>
      </w:r>
      <w:proofErr w:type="spellEnd"/>
      <w:r w:rsidRPr="007777E2">
        <w:t xml:space="preserve"> (tires), MAZ (heavy vehicles, buses, and trailers), JSC </w:t>
      </w:r>
      <w:proofErr w:type="spellStart"/>
      <w:r w:rsidRPr="007777E2">
        <w:rPr>
          <w:i/>
        </w:rPr>
        <w:t>Amkodor</w:t>
      </w:r>
      <w:proofErr w:type="spellEnd"/>
      <w:r w:rsidRPr="007777E2">
        <w:t xml:space="preserve"> (loaders and carriers), and JSC </w:t>
      </w:r>
      <w:proofErr w:type="spellStart"/>
      <w:r w:rsidRPr="007777E2">
        <w:rPr>
          <w:i/>
        </w:rPr>
        <w:t>Bobruiskmebel</w:t>
      </w:r>
      <w:proofErr w:type="spellEnd"/>
      <w:r w:rsidRPr="007777E2">
        <w:t xml:space="preserve"> (furniture). In addition to strong domestic market positions, these companies export </w:t>
      </w:r>
      <w:r w:rsidR="00B26918" w:rsidRPr="007777E2">
        <w:t xml:space="preserve">their </w:t>
      </w:r>
      <w:r w:rsidRPr="007777E2">
        <w:t>product</w:t>
      </w:r>
      <w:r w:rsidR="00B26918" w:rsidRPr="007777E2">
        <w:t>s</w:t>
      </w:r>
      <w:r w:rsidRPr="007777E2">
        <w:t xml:space="preserve"> mainly to </w:t>
      </w:r>
      <w:r w:rsidR="00B26918" w:rsidRPr="007777E2">
        <w:t xml:space="preserve">the </w:t>
      </w:r>
      <w:r w:rsidR="00BA3C63" w:rsidRPr="007777E2">
        <w:t>countries in the Commonwealth of Independent States (</w:t>
      </w:r>
      <w:r w:rsidRPr="007777E2">
        <w:t>CIS</w:t>
      </w:r>
      <w:r w:rsidR="00BA3C63" w:rsidRPr="007777E2">
        <w:t>)</w:t>
      </w:r>
      <w:r w:rsidRPr="007777E2">
        <w:t xml:space="preserve"> </w:t>
      </w:r>
      <w:r w:rsidR="00B26918" w:rsidRPr="007777E2">
        <w:t>and</w:t>
      </w:r>
      <w:r w:rsidRPr="007777E2">
        <w:t xml:space="preserve"> also globally. </w:t>
      </w:r>
    </w:p>
    <w:p w:rsidR="00CB644F" w:rsidRPr="007777E2" w:rsidRDefault="003202B9" w:rsidP="00BE35AE">
      <w:pPr>
        <w:numPr>
          <w:ilvl w:val="0"/>
          <w:numId w:val="2"/>
        </w:numPr>
        <w:tabs>
          <w:tab w:val="num" w:pos="3420"/>
        </w:tabs>
        <w:spacing w:after="120"/>
        <w:ind w:left="0" w:firstLine="0"/>
        <w:jc w:val="both"/>
        <w:rPr>
          <w:b/>
        </w:rPr>
      </w:pPr>
      <w:proofErr w:type="spellStart"/>
      <w:r w:rsidRPr="007777E2">
        <w:rPr>
          <w:b/>
          <w:i/>
        </w:rPr>
        <w:lastRenderedPageBreak/>
        <w:t>Gorizont</w:t>
      </w:r>
      <w:proofErr w:type="spellEnd"/>
      <w:r w:rsidRPr="007777E2">
        <w:rPr>
          <w:b/>
        </w:rPr>
        <w:t xml:space="preserve">, </w:t>
      </w:r>
      <w:r w:rsidR="00B26918" w:rsidRPr="007777E2">
        <w:rPr>
          <w:b/>
        </w:rPr>
        <w:t xml:space="preserve">which </w:t>
      </w:r>
      <w:r w:rsidRPr="007777E2">
        <w:rPr>
          <w:b/>
        </w:rPr>
        <w:t xml:space="preserve">currently </w:t>
      </w:r>
      <w:r w:rsidR="00B26918" w:rsidRPr="007777E2">
        <w:rPr>
          <w:b/>
        </w:rPr>
        <w:t xml:space="preserve">is </w:t>
      </w:r>
      <w:r w:rsidRPr="007777E2">
        <w:rPr>
          <w:b/>
        </w:rPr>
        <w:t xml:space="preserve">the largest producer of </w:t>
      </w:r>
      <w:r w:rsidR="00B26918" w:rsidRPr="007777E2">
        <w:rPr>
          <w:b/>
        </w:rPr>
        <w:t xml:space="preserve">television </w:t>
      </w:r>
      <w:r w:rsidRPr="007777E2">
        <w:rPr>
          <w:b/>
        </w:rPr>
        <w:t>sets and radio electronics in the CIS, presents an interesting case in international trade logistics</w:t>
      </w:r>
      <w:r w:rsidRPr="007777E2">
        <w:t>. In the past, the company provided contract manufacturing services for Philips, Panasonic, Thomson, and Daewoo. Recent negotiations</w:t>
      </w:r>
      <w:r w:rsidR="001223AB" w:rsidRPr="007777E2">
        <w:t xml:space="preserve"> </w:t>
      </w:r>
      <w:r w:rsidR="00B26918" w:rsidRPr="007777E2">
        <w:t xml:space="preserve">between the </w:t>
      </w:r>
      <w:r w:rsidR="00EC391C" w:rsidRPr="007777E2">
        <w:t>G</w:t>
      </w:r>
      <w:r w:rsidR="00B26918" w:rsidRPr="007777E2">
        <w:t xml:space="preserve">overnment and Philips </w:t>
      </w:r>
      <w:r w:rsidR="001223AB" w:rsidRPr="007777E2">
        <w:t>reportedly</w:t>
      </w:r>
      <w:r w:rsidRPr="007777E2">
        <w:t xml:space="preserve"> included </w:t>
      </w:r>
      <w:r w:rsidR="00B26918" w:rsidRPr="007777E2">
        <w:t>the</w:t>
      </w:r>
      <w:r w:rsidRPr="007777E2">
        <w:t xml:space="preserve"> "delivery of components and the assembl</w:t>
      </w:r>
      <w:r w:rsidR="00B26918" w:rsidRPr="007777E2">
        <w:t>y</w:t>
      </w:r>
      <w:r w:rsidRPr="007777E2">
        <w:t xml:space="preserve"> of Philips </w:t>
      </w:r>
      <w:r w:rsidR="00B26918" w:rsidRPr="007777E2">
        <w:t>television</w:t>
      </w:r>
      <w:r w:rsidRPr="007777E2">
        <w:t xml:space="preserve"> sets at the Belarusian enterprise,</w:t>
      </w:r>
      <w:r w:rsidR="00B26918" w:rsidRPr="007777E2">
        <w:t xml:space="preserve"> as well as</w:t>
      </w:r>
      <w:r w:rsidRPr="007777E2">
        <w:t xml:space="preserve"> production of some components for Philips </w:t>
      </w:r>
      <w:r w:rsidR="00B26918" w:rsidRPr="007777E2">
        <w:t xml:space="preserve">television sets by </w:t>
      </w:r>
      <w:proofErr w:type="spellStart"/>
      <w:r w:rsidR="00B26918" w:rsidRPr="007777E2">
        <w:t>Gorizont</w:t>
      </w:r>
      <w:proofErr w:type="spellEnd"/>
      <w:r w:rsidRPr="007777E2">
        <w:t xml:space="preserve"> </w:t>
      </w:r>
      <w:r w:rsidR="00B26918" w:rsidRPr="007777E2">
        <w:t>and</w:t>
      </w:r>
      <w:r w:rsidRPr="007777E2">
        <w:t xml:space="preserve"> the joint creation of a conceptual </w:t>
      </w:r>
      <w:r w:rsidR="00B26918" w:rsidRPr="007777E2">
        <w:t>television</w:t>
      </w:r>
      <w:r w:rsidRPr="007777E2">
        <w:t xml:space="preserve"> set f</w:t>
      </w:r>
      <w:r w:rsidR="001223AB" w:rsidRPr="007777E2">
        <w:t>or the Belarusian market"</w:t>
      </w:r>
      <w:r w:rsidRPr="007777E2">
        <w:t>. The possible introduction of a re-export scheme for Philips w</w:t>
      </w:r>
      <w:r w:rsidR="00EC391C" w:rsidRPr="007777E2">
        <w:t>ill</w:t>
      </w:r>
      <w:r w:rsidRPr="007777E2">
        <w:t xml:space="preserve"> require high reliability levels for supply chain and border-crossing procedures.</w:t>
      </w:r>
    </w:p>
    <w:p w:rsidR="00DF7415" w:rsidRPr="007777E2" w:rsidRDefault="00CB644F" w:rsidP="002F51F1">
      <w:pPr>
        <w:numPr>
          <w:ilvl w:val="0"/>
          <w:numId w:val="2"/>
        </w:numPr>
        <w:tabs>
          <w:tab w:val="num" w:pos="3420"/>
        </w:tabs>
        <w:spacing w:after="240"/>
        <w:ind w:left="0" w:firstLine="0"/>
        <w:jc w:val="both"/>
        <w:rPr>
          <w:b/>
        </w:rPr>
      </w:pPr>
      <w:r w:rsidRPr="007777E2">
        <w:rPr>
          <w:b/>
        </w:rPr>
        <w:t>The retail sector, one of the biggest drivers of the logistics market worldwide</w:t>
      </w:r>
      <w:r w:rsidR="00080B4C" w:rsidRPr="007777E2">
        <w:rPr>
          <w:b/>
        </w:rPr>
        <w:t>,</w:t>
      </w:r>
      <w:r w:rsidRPr="005A21CD">
        <w:rPr>
          <w:rStyle w:val="FootnoteReference"/>
          <w:sz w:val="24"/>
          <w:szCs w:val="24"/>
        </w:rPr>
        <w:footnoteReference w:id="6"/>
      </w:r>
      <w:r w:rsidRPr="007777E2">
        <w:rPr>
          <w:b/>
        </w:rPr>
        <w:t xml:space="preserve"> shows growth prospects, but large international retail chains remain absent in Belarus. </w:t>
      </w:r>
      <w:r w:rsidRPr="007777E2">
        <w:t xml:space="preserve">During </w:t>
      </w:r>
      <w:r w:rsidR="00EC391C" w:rsidRPr="007777E2">
        <w:t xml:space="preserve">the </w:t>
      </w:r>
      <w:r w:rsidRPr="007777E2">
        <w:t>2000-2008</w:t>
      </w:r>
      <w:r w:rsidR="00EC391C" w:rsidRPr="007777E2">
        <w:t xml:space="preserve"> period,</w:t>
      </w:r>
      <w:r w:rsidRPr="007777E2">
        <w:t xml:space="preserve"> retail turnover in Belarus experienced two-digit annual growth rates, reaching US$23.7 billion in 2008 (UNITER</w:t>
      </w:r>
      <w:r w:rsidR="00B26918" w:rsidRPr="007777E2">
        <w:t>, 2009</w:t>
      </w:r>
      <w:r w:rsidRPr="007777E2">
        <w:t xml:space="preserve">). Despite strong growth, Belarus does not perform well in comparison to other CIS and EU countries, such as Russia and Lithuania. In 2008 for the first time, non-food retail trade exceeded food trade; however, </w:t>
      </w:r>
      <w:r w:rsidR="00603D84" w:rsidRPr="007777E2">
        <w:t>for</w:t>
      </w:r>
      <w:r w:rsidRPr="007777E2">
        <w:t xml:space="preserve"> 2009 food is expected to regain dominance due to </w:t>
      </w:r>
      <w:r w:rsidR="00EC391C" w:rsidRPr="007777E2">
        <w:t xml:space="preserve">developments related to </w:t>
      </w:r>
      <w:r w:rsidRPr="007777E2">
        <w:t>the financial crisis. In 2008, there were 41,000 officially recognized retail trade organi</w:t>
      </w:r>
      <w:r w:rsidR="00DE4B9E" w:rsidRPr="007777E2">
        <w:t>z</w:t>
      </w:r>
      <w:r w:rsidRPr="007777E2">
        <w:t>ations</w:t>
      </w:r>
      <w:r w:rsidR="00446F01">
        <w:t>,</w:t>
      </w:r>
      <w:r w:rsidRPr="007777E2">
        <w:t xml:space="preserve"> up from 31,000 in 2000 (</w:t>
      </w:r>
      <w:proofErr w:type="spellStart"/>
      <w:r w:rsidRPr="007777E2">
        <w:t>Belstat</w:t>
      </w:r>
      <w:proofErr w:type="spellEnd"/>
      <w:r w:rsidR="0077139D" w:rsidRPr="007777E2">
        <w:t>,</w:t>
      </w:r>
      <w:r w:rsidR="00080B4C" w:rsidRPr="007777E2">
        <w:t xml:space="preserve"> </w:t>
      </w:r>
      <w:r w:rsidR="007777E2" w:rsidRPr="007777E2">
        <w:t>2009</w:t>
      </w:r>
      <w:r w:rsidRPr="007777E2">
        <w:t xml:space="preserve">). </w:t>
      </w:r>
      <w:r w:rsidR="00603D84" w:rsidRPr="007777E2">
        <w:t>The increase in</w:t>
      </w:r>
      <w:r w:rsidRPr="007777E2">
        <w:t xml:space="preserve"> the distribution of retail turnover among state, private, and foreign organi</w:t>
      </w:r>
      <w:r w:rsidR="00DE4B9E" w:rsidRPr="007777E2">
        <w:t>z</w:t>
      </w:r>
      <w:r w:rsidRPr="007777E2">
        <w:t>ations indicates a diminishing role</w:t>
      </w:r>
      <w:r w:rsidR="00EC391C" w:rsidRPr="007777E2">
        <w:t xml:space="preserve"> of the State</w:t>
      </w:r>
      <w:r w:rsidRPr="007777E2">
        <w:t xml:space="preserve"> in </w:t>
      </w:r>
      <w:r w:rsidR="00EC391C" w:rsidRPr="007777E2">
        <w:t xml:space="preserve">the </w:t>
      </w:r>
      <w:r w:rsidRPr="007777E2">
        <w:t>retail</w:t>
      </w:r>
      <w:r w:rsidR="00EC391C" w:rsidRPr="007777E2">
        <w:t xml:space="preserve"> sector</w:t>
      </w:r>
      <w:r w:rsidRPr="007777E2">
        <w:t>, as well as a low participation of foreign companies in the market (see</w:t>
      </w:r>
      <w:r w:rsidR="00DE4B9E" w:rsidRPr="007777E2">
        <w:t xml:space="preserve"> </w:t>
      </w:r>
      <w:fldSimple w:instr=" REF _Ref257299698 \h  \* MERGEFORMAT ">
        <w:r w:rsidR="00E85C5F" w:rsidRPr="00E85C5F">
          <w:t xml:space="preserve">Figure </w:t>
        </w:r>
        <w:r w:rsidR="00E85C5F" w:rsidRPr="00E85C5F">
          <w:rPr>
            <w:noProof/>
          </w:rPr>
          <w:t>6</w:t>
        </w:r>
      </w:fldSimple>
      <w:r w:rsidRPr="007777E2">
        <w:t xml:space="preserve">). </w:t>
      </w:r>
    </w:p>
    <w:tbl>
      <w:tblPr>
        <w:tblStyle w:val="TableGrid"/>
        <w:tblW w:w="0" w:type="auto"/>
        <w:tblLayout w:type="fixed"/>
        <w:tblLook w:val="04A0"/>
      </w:tblPr>
      <w:tblGrid>
        <w:gridCol w:w="4788"/>
        <w:gridCol w:w="4788"/>
      </w:tblGrid>
      <w:tr w:rsidR="00647C1B" w:rsidRPr="007777E2" w:rsidTr="00647C1B">
        <w:tc>
          <w:tcPr>
            <w:tcW w:w="4788" w:type="dxa"/>
          </w:tcPr>
          <w:p w:rsidR="00647C1B" w:rsidRPr="007777E2" w:rsidRDefault="00647C1B" w:rsidP="00647C1B">
            <w:pPr>
              <w:pStyle w:val="Caption"/>
              <w:rPr>
                <w:color w:val="auto"/>
                <w:sz w:val="22"/>
                <w:szCs w:val="22"/>
              </w:rPr>
            </w:pPr>
            <w:bookmarkStart w:id="89" w:name="_Ref257299698"/>
            <w:bookmarkStart w:id="90" w:name="_Toc264226763"/>
            <w:r w:rsidRPr="007777E2">
              <w:rPr>
                <w:color w:val="auto"/>
                <w:sz w:val="22"/>
                <w:szCs w:val="22"/>
              </w:rPr>
              <w:t xml:space="preserve">Figure </w:t>
            </w:r>
            <w:r w:rsidR="006B40AE" w:rsidRPr="007777E2">
              <w:rPr>
                <w:color w:val="auto"/>
                <w:sz w:val="22"/>
                <w:szCs w:val="22"/>
              </w:rPr>
              <w:fldChar w:fldCharType="begin"/>
            </w:r>
            <w:r w:rsidRPr="007777E2">
              <w:rPr>
                <w:color w:val="auto"/>
                <w:sz w:val="22"/>
                <w:szCs w:val="22"/>
              </w:rPr>
              <w:instrText xml:space="preserve"> SEQ Figure \* ARABIC </w:instrText>
            </w:r>
            <w:r w:rsidR="006B40AE" w:rsidRPr="007777E2">
              <w:rPr>
                <w:color w:val="auto"/>
                <w:sz w:val="22"/>
                <w:szCs w:val="22"/>
              </w:rPr>
              <w:fldChar w:fldCharType="separate"/>
            </w:r>
            <w:r w:rsidR="009E2C86">
              <w:rPr>
                <w:noProof/>
                <w:color w:val="auto"/>
                <w:sz w:val="22"/>
                <w:szCs w:val="22"/>
              </w:rPr>
              <w:t>6</w:t>
            </w:r>
            <w:r w:rsidR="006B40AE" w:rsidRPr="007777E2">
              <w:rPr>
                <w:color w:val="auto"/>
                <w:sz w:val="22"/>
                <w:szCs w:val="22"/>
              </w:rPr>
              <w:fldChar w:fldCharType="end"/>
            </w:r>
            <w:bookmarkEnd w:id="89"/>
            <w:r w:rsidRPr="007777E2">
              <w:rPr>
                <w:color w:val="auto"/>
                <w:sz w:val="22"/>
                <w:szCs w:val="22"/>
              </w:rPr>
              <w:t>. Distribution of Retail Turnover by Ownership Types in Belarus 1995-2008 (in share of retail turnover)</w:t>
            </w:r>
            <w:bookmarkEnd w:id="90"/>
          </w:p>
          <w:p w:rsidR="00647C1B" w:rsidRPr="007777E2" w:rsidRDefault="00647C1B" w:rsidP="00647C1B">
            <w:r w:rsidRPr="007777E2">
              <w:rPr>
                <w:noProof/>
              </w:rPr>
              <w:drawing>
                <wp:inline distT="0" distB="0" distL="0" distR="0">
                  <wp:extent cx="2876550" cy="2438400"/>
                  <wp:effectExtent l="19050" t="0" r="19050" b="0"/>
                  <wp:docPr id="68"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47C1B" w:rsidRPr="007777E2" w:rsidRDefault="00647C1B" w:rsidP="00647C1B">
            <w:pPr>
              <w:tabs>
                <w:tab w:val="num" w:pos="3420"/>
              </w:tabs>
              <w:spacing w:after="120"/>
              <w:jc w:val="both"/>
              <w:rPr>
                <w:b/>
              </w:rPr>
            </w:pPr>
            <w:r w:rsidRPr="007777E2">
              <w:rPr>
                <w:sz w:val="18"/>
                <w:szCs w:val="18"/>
              </w:rPr>
              <w:t>Source: Statistical Yearbook of Belarus. 2009.</w:t>
            </w:r>
          </w:p>
        </w:tc>
        <w:tc>
          <w:tcPr>
            <w:tcW w:w="4788" w:type="dxa"/>
          </w:tcPr>
          <w:p w:rsidR="00647C1B" w:rsidRPr="007777E2" w:rsidRDefault="00647C1B" w:rsidP="00647C1B">
            <w:pPr>
              <w:pStyle w:val="Caption"/>
              <w:rPr>
                <w:color w:val="auto"/>
                <w:sz w:val="22"/>
                <w:szCs w:val="22"/>
              </w:rPr>
            </w:pPr>
            <w:bookmarkStart w:id="91" w:name="_Ref257106269"/>
            <w:bookmarkStart w:id="92" w:name="_Toc264226764"/>
            <w:r w:rsidRPr="007777E2">
              <w:rPr>
                <w:color w:val="auto"/>
                <w:sz w:val="22"/>
                <w:szCs w:val="22"/>
              </w:rPr>
              <w:t xml:space="preserve">Figure </w:t>
            </w:r>
            <w:r w:rsidR="006B40AE" w:rsidRPr="007777E2">
              <w:rPr>
                <w:color w:val="auto"/>
                <w:sz w:val="22"/>
                <w:szCs w:val="22"/>
              </w:rPr>
              <w:fldChar w:fldCharType="begin"/>
            </w:r>
            <w:r w:rsidRPr="007777E2">
              <w:rPr>
                <w:color w:val="auto"/>
                <w:sz w:val="22"/>
                <w:szCs w:val="22"/>
              </w:rPr>
              <w:instrText xml:space="preserve"> SEQ Figure \* ARABIC </w:instrText>
            </w:r>
            <w:r w:rsidR="006B40AE" w:rsidRPr="007777E2">
              <w:rPr>
                <w:color w:val="auto"/>
                <w:sz w:val="22"/>
                <w:szCs w:val="22"/>
              </w:rPr>
              <w:fldChar w:fldCharType="separate"/>
            </w:r>
            <w:r w:rsidR="009E2C86">
              <w:rPr>
                <w:noProof/>
                <w:color w:val="auto"/>
                <w:sz w:val="22"/>
                <w:szCs w:val="22"/>
              </w:rPr>
              <w:t>7</w:t>
            </w:r>
            <w:r w:rsidR="006B40AE" w:rsidRPr="007777E2">
              <w:rPr>
                <w:color w:val="auto"/>
                <w:sz w:val="22"/>
                <w:szCs w:val="22"/>
              </w:rPr>
              <w:fldChar w:fldCharType="end"/>
            </w:r>
            <w:bookmarkEnd w:id="91"/>
            <w:r w:rsidRPr="007777E2">
              <w:rPr>
                <w:color w:val="auto"/>
                <w:sz w:val="22"/>
                <w:szCs w:val="22"/>
              </w:rPr>
              <w:t>. Floor Space for Modern Retailing in Selected CEE Capital Cities 2007 (per 1,000 people)</w:t>
            </w:r>
            <w:bookmarkEnd w:id="92"/>
          </w:p>
          <w:p w:rsidR="00647C1B" w:rsidRPr="007777E2" w:rsidRDefault="00647C1B" w:rsidP="00647C1B">
            <w:pPr>
              <w:keepNext/>
              <w:tabs>
                <w:tab w:val="num" w:pos="3420"/>
              </w:tabs>
              <w:spacing w:after="120"/>
              <w:jc w:val="both"/>
            </w:pPr>
            <w:r w:rsidRPr="007777E2">
              <w:rPr>
                <w:noProof/>
              </w:rPr>
              <w:drawing>
                <wp:inline distT="0" distB="0" distL="0" distR="0">
                  <wp:extent cx="2781300" cy="2419350"/>
                  <wp:effectExtent l="19050" t="0" r="19050" b="0"/>
                  <wp:docPr id="69"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47C1B" w:rsidRPr="007777E2" w:rsidRDefault="00647C1B" w:rsidP="00647C1B">
            <w:pPr>
              <w:keepNext/>
              <w:tabs>
                <w:tab w:val="num" w:pos="3420"/>
              </w:tabs>
              <w:spacing w:after="120"/>
              <w:jc w:val="both"/>
              <w:rPr>
                <w:b/>
              </w:rPr>
            </w:pPr>
            <w:r w:rsidRPr="007777E2">
              <w:rPr>
                <w:sz w:val="18"/>
                <w:szCs w:val="18"/>
              </w:rPr>
              <w:t>Source: UNITER. 2009.</w:t>
            </w:r>
          </w:p>
        </w:tc>
      </w:tr>
    </w:tbl>
    <w:p w:rsidR="00161C9F" w:rsidRPr="007777E2" w:rsidRDefault="00161C9F" w:rsidP="00161C9F">
      <w:pPr>
        <w:tabs>
          <w:tab w:val="num" w:pos="3420"/>
        </w:tabs>
        <w:spacing w:after="120"/>
        <w:jc w:val="both"/>
        <w:rPr>
          <w:i/>
        </w:rPr>
      </w:pPr>
    </w:p>
    <w:p w:rsidR="00CB644F" w:rsidRPr="007777E2" w:rsidRDefault="00CB644F" w:rsidP="00BE35AE">
      <w:pPr>
        <w:numPr>
          <w:ilvl w:val="0"/>
          <w:numId w:val="2"/>
        </w:numPr>
        <w:tabs>
          <w:tab w:val="num" w:pos="3420"/>
        </w:tabs>
        <w:spacing w:after="120"/>
        <w:ind w:left="0" w:firstLine="0"/>
        <w:jc w:val="both"/>
        <w:rPr>
          <w:i/>
        </w:rPr>
      </w:pPr>
      <w:r w:rsidRPr="007777E2">
        <w:rPr>
          <w:b/>
        </w:rPr>
        <w:t xml:space="preserve">The Government has taken measures to ease </w:t>
      </w:r>
      <w:r w:rsidR="00603D84" w:rsidRPr="007777E2">
        <w:rPr>
          <w:b/>
        </w:rPr>
        <w:t xml:space="preserve">entry for </w:t>
      </w:r>
      <w:r w:rsidRPr="007777E2">
        <w:rPr>
          <w:b/>
        </w:rPr>
        <w:t xml:space="preserve">private participation in retail business by introducing a </w:t>
      </w:r>
      <w:r w:rsidR="00A739F3">
        <w:t>Decree of the President of the Republic of Belarus dated September 1, 2010 “</w:t>
      </w:r>
      <w:r w:rsidR="001023E2" w:rsidRPr="001023E2">
        <w:rPr>
          <w:i/>
        </w:rPr>
        <w:t>On licensing of certain activities</w:t>
      </w:r>
      <w:r w:rsidR="00A739F3">
        <w:t>”</w:t>
      </w:r>
      <w:r w:rsidRPr="007777E2">
        <w:rPr>
          <w:b/>
        </w:rPr>
        <w:t>, through which the licensing of retail trade would be abolished</w:t>
      </w:r>
      <w:r w:rsidRPr="007777E2">
        <w:t>. Retail trade licensing accounts for some 40 percent of all licenses issued in Belarus. The Government is also attempting to reduce the share of non-organized retail trade</w:t>
      </w:r>
      <w:r w:rsidR="00F724AE" w:rsidRPr="007777E2">
        <w:t xml:space="preserve"> (such as small vendors, small grocery stores in the neighborhood)</w:t>
      </w:r>
      <w:r w:rsidRPr="007777E2">
        <w:t>, which generated 31 percent of retail turnover in 2008 (in 2006 in Russia 19.7</w:t>
      </w:r>
      <w:r w:rsidR="00603D84" w:rsidRPr="007777E2">
        <w:t xml:space="preserve"> percent</w:t>
      </w:r>
      <w:r w:rsidRPr="007777E2">
        <w:t>, Poland 10</w:t>
      </w:r>
      <w:r w:rsidR="00603D84" w:rsidRPr="007777E2">
        <w:t xml:space="preserve"> percent</w:t>
      </w:r>
      <w:r w:rsidRPr="007777E2">
        <w:t>, Western Europe 5-6</w:t>
      </w:r>
      <w:r w:rsidR="00603D84" w:rsidRPr="007777E2">
        <w:t xml:space="preserve"> percent</w:t>
      </w:r>
      <w:r w:rsidRPr="007777E2">
        <w:t>) (</w:t>
      </w:r>
      <w:proofErr w:type="spellStart"/>
      <w:r w:rsidRPr="007777E2">
        <w:t>Uniter</w:t>
      </w:r>
      <w:proofErr w:type="spellEnd"/>
      <w:r w:rsidR="0077139D" w:rsidRPr="007777E2">
        <w:t>,</w:t>
      </w:r>
      <w:r w:rsidR="00D54B19" w:rsidRPr="007777E2">
        <w:t xml:space="preserve"> </w:t>
      </w:r>
      <w:r w:rsidR="00603D84" w:rsidRPr="007777E2">
        <w:t>2009</w:t>
      </w:r>
      <w:r w:rsidRPr="007777E2">
        <w:t>). For example in 2006, the Ministry of Trade announced the development of 16 hypermarkets and 665 other trade points. Retail infrastructure, however, is poor in Belarus in comparison to international standards. The City of Minsk has the lowest amount of floor space for modern retailing among the capital cities</w:t>
      </w:r>
      <w:r w:rsidR="00603D84" w:rsidRPr="007777E2">
        <w:t xml:space="preserve"> in Central and Eastern Europe (CEE)</w:t>
      </w:r>
      <w:r w:rsidRPr="007777E2">
        <w:t xml:space="preserve"> (see</w:t>
      </w:r>
      <w:r w:rsidR="00161C9F" w:rsidRPr="007777E2">
        <w:t xml:space="preserve"> </w:t>
      </w:r>
      <w:fldSimple w:instr=" REF _Ref257106269 \h  \* MERGEFORMAT ">
        <w:r w:rsidR="00E85C5F" w:rsidRPr="00E85C5F">
          <w:t xml:space="preserve">Figure </w:t>
        </w:r>
        <w:r w:rsidR="00E85C5F" w:rsidRPr="00E85C5F">
          <w:rPr>
            <w:noProof/>
          </w:rPr>
          <w:t>7</w:t>
        </w:r>
      </w:fldSimple>
      <w:r w:rsidRPr="007777E2">
        <w:t>) with only 130 m</w:t>
      </w:r>
      <w:r w:rsidR="00603D84" w:rsidRPr="007777E2">
        <w:rPr>
          <w:vertAlign w:val="superscript"/>
        </w:rPr>
        <w:t>2</w:t>
      </w:r>
      <w:r w:rsidRPr="007777E2">
        <w:t xml:space="preserve"> per 1</w:t>
      </w:r>
      <w:r w:rsidR="00603D84" w:rsidRPr="007777E2">
        <w:t>,</w:t>
      </w:r>
      <w:r w:rsidRPr="007777E2">
        <w:t>000 people in 2007.</w:t>
      </w:r>
    </w:p>
    <w:p w:rsidR="00CB644F" w:rsidRPr="007777E2" w:rsidRDefault="00CB644F" w:rsidP="00BE35AE">
      <w:pPr>
        <w:numPr>
          <w:ilvl w:val="0"/>
          <w:numId w:val="2"/>
        </w:numPr>
        <w:tabs>
          <w:tab w:val="num" w:pos="3420"/>
        </w:tabs>
        <w:spacing w:after="120"/>
        <w:ind w:left="0" w:firstLine="0"/>
        <w:jc w:val="both"/>
        <w:rPr>
          <w:i/>
        </w:rPr>
      </w:pPr>
      <w:r w:rsidRPr="007777E2">
        <w:rPr>
          <w:b/>
        </w:rPr>
        <w:t xml:space="preserve">As foreign retailers typically offer foreign products and require predictable international logistics, difficulties in cross-border flows </w:t>
      </w:r>
      <w:r w:rsidR="00F724AE" w:rsidRPr="007777E2">
        <w:rPr>
          <w:b/>
        </w:rPr>
        <w:t xml:space="preserve">of goods </w:t>
      </w:r>
      <w:r w:rsidRPr="007777E2">
        <w:rPr>
          <w:b/>
        </w:rPr>
        <w:t xml:space="preserve">may constrain </w:t>
      </w:r>
      <w:r w:rsidR="00603D84" w:rsidRPr="007777E2">
        <w:rPr>
          <w:b/>
        </w:rPr>
        <w:t xml:space="preserve">their </w:t>
      </w:r>
      <w:r w:rsidRPr="007777E2">
        <w:rPr>
          <w:b/>
        </w:rPr>
        <w:t>entr</w:t>
      </w:r>
      <w:r w:rsidR="00603D84" w:rsidRPr="007777E2">
        <w:rPr>
          <w:b/>
        </w:rPr>
        <w:t>y</w:t>
      </w:r>
      <w:r w:rsidRPr="007777E2">
        <w:rPr>
          <w:b/>
        </w:rPr>
        <w:t xml:space="preserve"> and </w:t>
      </w:r>
      <w:r w:rsidR="00F724AE" w:rsidRPr="007777E2">
        <w:rPr>
          <w:b/>
        </w:rPr>
        <w:t xml:space="preserve">the corresponding </w:t>
      </w:r>
      <w:r w:rsidRPr="007777E2">
        <w:rPr>
          <w:b/>
        </w:rPr>
        <w:t xml:space="preserve">foreign direct investment </w:t>
      </w:r>
      <w:r w:rsidR="004107C9" w:rsidRPr="007777E2">
        <w:rPr>
          <w:b/>
        </w:rPr>
        <w:t xml:space="preserve">(FDI) </w:t>
      </w:r>
      <w:r w:rsidRPr="007777E2">
        <w:rPr>
          <w:b/>
        </w:rPr>
        <w:t>in the Belarus market</w:t>
      </w:r>
      <w:r w:rsidRPr="007777E2">
        <w:t>. A case in point is the experience of importers of branded alcoholic beverages in 2008 when imports were reduced by 38 percent due to "administrative constraints" (</w:t>
      </w:r>
      <w:r w:rsidR="00080B4C" w:rsidRPr="007777E2">
        <w:t>www.</w:t>
      </w:r>
      <w:r w:rsidRPr="007777E2">
        <w:t xml:space="preserve">Product.ru). </w:t>
      </w:r>
      <w:r w:rsidR="00603D84" w:rsidRPr="007777E2">
        <w:t>As a result</w:t>
      </w:r>
      <w:r w:rsidRPr="007777E2">
        <w:t>, premium brands disappeared from the market, including retail stores and restaurants.</w:t>
      </w:r>
    </w:p>
    <w:p w:rsidR="00CB644F" w:rsidRPr="007777E2" w:rsidRDefault="00CB644F" w:rsidP="00BE35AE">
      <w:pPr>
        <w:numPr>
          <w:ilvl w:val="0"/>
          <w:numId w:val="2"/>
        </w:numPr>
        <w:tabs>
          <w:tab w:val="num" w:pos="3420"/>
        </w:tabs>
        <w:spacing w:after="120"/>
        <w:ind w:left="0" w:firstLine="0"/>
        <w:jc w:val="both"/>
        <w:rPr>
          <w:i/>
        </w:rPr>
      </w:pPr>
      <w:r w:rsidRPr="007777E2">
        <w:rPr>
          <w:b/>
        </w:rPr>
        <w:t xml:space="preserve">The share of inward FDI flow to Belarus as a percentage of the gross fixed capital formation has been rather modest when compared to Lithuania and </w:t>
      </w:r>
      <w:r w:rsidR="00F724AE" w:rsidRPr="007777E2">
        <w:rPr>
          <w:b/>
        </w:rPr>
        <w:t xml:space="preserve">other </w:t>
      </w:r>
      <w:r w:rsidRPr="007777E2">
        <w:rPr>
          <w:b/>
        </w:rPr>
        <w:t xml:space="preserve">CIS countries </w:t>
      </w:r>
      <w:r w:rsidRPr="007777E2">
        <w:t>(</w:t>
      </w:r>
      <w:fldSimple w:instr=" REF _Ref257106661 \h  \* MERGEFORMAT ">
        <w:r w:rsidR="00E85C5F" w:rsidRPr="00E85C5F">
          <w:t xml:space="preserve">Figure </w:t>
        </w:r>
        <w:r w:rsidR="00E85C5F" w:rsidRPr="00E85C5F">
          <w:rPr>
            <w:noProof/>
          </w:rPr>
          <w:t>8</w:t>
        </w:r>
      </w:fldSimple>
      <w:r w:rsidRPr="007777E2">
        <w:t>). The level of inward FDI flow into Belarus reached US$1,785 million in 2007 and US$2,158 million in 2008, while the total inward FDI stock in Belarus was US$6,679 million in 2008 (UNCTAD 2009). In 2007 the distribution of FDI inflow to various economic sectors in the Belarus economy was as follows: industry 43 percent, commerce 30 percent, communication 7 percent, transport 7 percent, trade and public catering 6 percent, and others 6 percent (</w:t>
      </w:r>
      <w:proofErr w:type="spellStart"/>
      <w:r w:rsidRPr="007777E2">
        <w:t>Liuhto</w:t>
      </w:r>
      <w:proofErr w:type="spellEnd"/>
      <w:r w:rsidRPr="007777E2">
        <w:t xml:space="preserve"> et al</w:t>
      </w:r>
      <w:r w:rsidR="0077139D" w:rsidRPr="007777E2">
        <w:t>,</w:t>
      </w:r>
      <w:r w:rsidRPr="007777E2">
        <w:t xml:space="preserve"> 2009). </w:t>
      </w:r>
      <w:r w:rsidR="00BC4928">
        <w:t xml:space="preserve">The growth of FDI inflow is largely attributed to the purchase of </w:t>
      </w:r>
      <w:proofErr w:type="spellStart"/>
      <w:r w:rsidR="00BC4928">
        <w:t>Beltransgaz</w:t>
      </w:r>
      <w:proofErr w:type="spellEnd"/>
      <w:r w:rsidR="00BC4928">
        <w:t xml:space="preserve"> shares by Russian </w:t>
      </w:r>
      <w:proofErr w:type="spellStart"/>
      <w:r w:rsidR="00BC4928">
        <w:t>Gazprom</w:t>
      </w:r>
      <w:proofErr w:type="spellEnd"/>
      <w:r w:rsidR="00BC4928">
        <w:t xml:space="preserve">. In accordance with the Protocol signed on 31 December 2006 between the Government of the Republic of Belarus and </w:t>
      </w:r>
      <w:proofErr w:type="spellStart"/>
      <w:r w:rsidR="00BC4928">
        <w:t>Gazprom</w:t>
      </w:r>
      <w:proofErr w:type="spellEnd"/>
      <w:r w:rsidR="00BC4928">
        <w:t xml:space="preserve"> and </w:t>
      </w:r>
      <w:proofErr w:type="spellStart"/>
      <w:r w:rsidR="00BC4928">
        <w:t>Beltransgaz</w:t>
      </w:r>
      <w:proofErr w:type="spellEnd"/>
      <w:r w:rsidR="00BC4928">
        <w:t xml:space="preserve"> Shares Purchase Contract, </w:t>
      </w:r>
      <w:proofErr w:type="spellStart"/>
      <w:r w:rsidR="00BC4928">
        <w:t>Gazprom</w:t>
      </w:r>
      <w:proofErr w:type="spellEnd"/>
      <w:r w:rsidR="00BC4928">
        <w:t xml:space="preserve"> bought 50 percent of </w:t>
      </w:r>
      <w:proofErr w:type="spellStart"/>
      <w:r w:rsidR="00BC4928">
        <w:t>Beltransgaz</w:t>
      </w:r>
      <w:proofErr w:type="spellEnd"/>
      <w:r w:rsidR="00BC4928">
        <w:t xml:space="preserve"> shares by </w:t>
      </w:r>
      <w:smartTag w:uri="urn:schemas-microsoft-com:office:smarttags" w:element="metricconverter">
        <w:smartTagPr>
          <w:attr w:name="ProductID" w:val="2010 in"/>
        </w:smartTagPr>
        <w:r w:rsidR="00BC4928">
          <w:t>2010 in</w:t>
        </w:r>
      </w:smartTag>
      <w:r w:rsidR="00BC4928">
        <w:t xml:space="preserve"> four 12.5 percent installments for the total of US$ 2.5 billion</w:t>
      </w:r>
      <w:r w:rsidRPr="007777E2">
        <w:t xml:space="preserve">  </w:t>
      </w:r>
    </w:p>
    <w:p w:rsidR="00161C9F" w:rsidRPr="007777E2" w:rsidRDefault="00161C9F" w:rsidP="00161C9F">
      <w:pPr>
        <w:tabs>
          <w:tab w:val="num" w:pos="3420"/>
        </w:tabs>
        <w:spacing w:after="120"/>
        <w:jc w:val="both"/>
        <w:rPr>
          <w:i/>
        </w:rPr>
      </w:pPr>
    </w:p>
    <w:tbl>
      <w:tblPr>
        <w:tblStyle w:val="TableGrid"/>
        <w:tblW w:w="0" w:type="auto"/>
        <w:jc w:val="center"/>
        <w:tblLayout w:type="fixed"/>
        <w:tblLook w:val="04A0"/>
      </w:tblPr>
      <w:tblGrid>
        <w:gridCol w:w="5247"/>
      </w:tblGrid>
      <w:tr w:rsidR="008C2CEF" w:rsidRPr="007777E2" w:rsidTr="008C2CEF">
        <w:trPr>
          <w:trHeight w:val="4832"/>
          <w:jc w:val="center"/>
        </w:trPr>
        <w:tc>
          <w:tcPr>
            <w:tcW w:w="5247" w:type="dxa"/>
          </w:tcPr>
          <w:p w:rsidR="008C2CEF" w:rsidRPr="007777E2" w:rsidRDefault="008C2CEF" w:rsidP="008C2CEF">
            <w:pPr>
              <w:pStyle w:val="Caption"/>
              <w:rPr>
                <w:color w:val="auto"/>
                <w:sz w:val="22"/>
                <w:szCs w:val="22"/>
              </w:rPr>
            </w:pPr>
            <w:bookmarkStart w:id="93" w:name="_Ref257106661"/>
            <w:bookmarkStart w:id="94" w:name="_Toc264226765"/>
            <w:r w:rsidRPr="007777E2">
              <w:rPr>
                <w:color w:val="auto"/>
                <w:sz w:val="22"/>
                <w:szCs w:val="22"/>
              </w:rPr>
              <w:lastRenderedPageBreak/>
              <w:t xml:space="preserve">Figure </w:t>
            </w:r>
            <w:r w:rsidR="006B40AE" w:rsidRPr="007777E2">
              <w:rPr>
                <w:color w:val="auto"/>
                <w:sz w:val="22"/>
                <w:szCs w:val="22"/>
              </w:rPr>
              <w:fldChar w:fldCharType="begin"/>
            </w:r>
            <w:r w:rsidR="00B9265B" w:rsidRPr="007777E2">
              <w:rPr>
                <w:color w:val="auto"/>
                <w:sz w:val="22"/>
                <w:szCs w:val="22"/>
              </w:rPr>
              <w:instrText xml:space="preserve"> SEQ Figure \* ARABIC </w:instrText>
            </w:r>
            <w:r w:rsidR="006B40AE" w:rsidRPr="007777E2">
              <w:rPr>
                <w:color w:val="auto"/>
                <w:sz w:val="22"/>
                <w:szCs w:val="22"/>
              </w:rPr>
              <w:fldChar w:fldCharType="separate"/>
            </w:r>
            <w:r w:rsidR="009E2C86">
              <w:rPr>
                <w:noProof/>
                <w:color w:val="auto"/>
                <w:sz w:val="22"/>
                <w:szCs w:val="22"/>
              </w:rPr>
              <w:t>8</w:t>
            </w:r>
            <w:r w:rsidR="006B40AE" w:rsidRPr="007777E2">
              <w:rPr>
                <w:color w:val="auto"/>
                <w:sz w:val="22"/>
                <w:szCs w:val="22"/>
              </w:rPr>
              <w:fldChar w:fldCharType="end"/>
            </w:r>
            <w:bookmarkEnd w:id="93"/>
            <w:r w:rsidRPr="007777E2">
              <w:rPr>
                <w:color w:val="auto"/>
                <w:sz w:val="22"/>
                <w:szCs w:val="22"/>
              </w:rPr>
              <w:t>. FDI Inflow</w:t>
            </w:r>
            <w:r w:rsidR="00C21AB2" w:rsidRPr="007777E2">
              <w:rPr>
                <w:color w:val="auto"/>
                <w:sz w:val="22"/>
                <w:szCs w:val="22"/>
              </w:rPr>
              <w:t xml:space="preserve"> to Belarus, Lithuania and CIS C</w:t>
            </w:r>
            <w:r w:rsidRPr="007777E2">
              <w:rPr>
                <w:color w:val="auto"/>
                <w:sz w:val="22"/>
                <w:szCs w:val="22"/>
              </w:rPr>
              <w:t xml:space="preserve">ountries </w:t>
            </w:r>
            <w:r w:rsidRPr="007777E2">
              <w:rPr>
                <w:noProof/>
              </w:rPr>
              <w:drawing>
                <wp:inline distT="0" distB="0" distL="0" distR="0">
                  <wp:extent cx="3095625" cy="2276475"/>
                  <wp:effectExtent l="0" t="0" r="0" b="0"/>
                  <wp:docPr id="34"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bookmarkEnd w:id="94"/>
          </w:p>
          <w:p w:rsidR="008C2CEF" w:rsidRPr="007777E2" w:rsidRDefault="008C2CEF" w:rsidP="008C2CEF">
            <w:pPr>
              <w:pStyle w:val="Caption"/>
              <w:rPr>
                <w:b w:val="0"/>
                <w:color w:val="auto"/>
              </w:rPr>
            </w:pPr>
            <w:r w:rsidRPr="007777E2">
              <w:rPr>
                <w:b w:val="0"/>
                <w:color w:val="auto"/>
              </w:rPr>
              <w:t>Source: UNCTAD. World Investment Report. 2009.</w:t>
            </w:r>
          </w:p>
        </w:tc>
      </w:tr>
    </w:tbl>
    <w:p w:rsidR="00096ADF" w:rsidRPr="007777E2" w:rsidRDefault="00212595" w:rsidP="00096ADF">
      <w:pPr>
        <w:pStyle w:val="Heading3"/>
        <w:spacing w:after="240"/>
        <w:rPr>
          <w:rFonts w:ascii="Times New Roman" w:hAnsi="Times New Roman" w:cs="Times New Roman"/>
          <w:sz w:val="24"/>
          <w:szCs w:val="24"/>
        </w:rPr>
      </w:pPr>
      <w:bookmarkStart w:id="95" w:name="_Toc282029938"/>
      <w:r w:rsidRPr="007777E2">
        <w:rPr>
          <w:rFonts w:ascii="Times New Roman" w:hAnsi="Times New Roman" w:cs="Times New Roman"/>
          <w:sz w:val="24"/>
          <w:szCs w:val="24"/>
        </w:rPr>
        <w:t xml:space="preserve">Trade </w:t>
      </w:r>
      <w:r w:rsidR="00096ADF" w:rsidRPr="007777E2">
        <w:rPr>
          <w:rFonts w:ascii="Times New Roman" w:hAnsi="Times New Roman" w:cs="Times New Roman"/>
          <w:sz w:val="24"/>
          <w:szCs w:val="24"/>
        </w:rPr>
        <w:t>Logistics Environment</w:t>
      </w:r>
      <w:bookmarkEnd w:id="95"/>
      <w:r w:rsidR="00096ADF" w:rsidRPr="007777E2">
        <w:rPr>
          <w:rFonts w:ascii="Times New Roman" w:hAnsi="Times New Roman" w:cs="Times New Roman"/>
          <w:sz w:val="24"/>
          <w:szCs w:val="24"/>
        </w:rPr>
        <w:t xml:space="preserve"> </w:t>
      </w:r>
    </w:p>
    <w:p w:rsidR="00CB644F" w:rsidRPr="007777E2" w:rsidRDefault="00CB644F" w:rsidP="00BE35AE">
      <w:pPr>
        <w:numPr>
          <w:ilvl w:val="0"/>
          <w:numId w:val="2"/>
        </w:numPr>
        <w:tabs>
          <w:tab w:val="num" w:pos="3420"/>
        </w:tabs>
        <w:spacing w:after="120"/>
        <w:ind w:left="0" w:firstLine="0"/>
        <w:jc w:val="both"/>
      </w:pPr>
      <w:r w:rsidRPr="007777E2">
        <w:rPr>
          <w:b/>
        </w:rPr>
        <w:t>Based on recent surveys</w:t>
      </w:r>
      <w:r w:rsidR="00603D84" w:rsidRPr="007777E2">
        <w:rPr>
          <w:b/>
        </w:rPr>
        <w:t xml:space="preserve"> and rankings (such as the </w:t>
      </w:r>
      <w:r w:rsidR="00F724AE" w:rsidRPr="007777E2">
        <w:rPr>
          <w:b/>
        </w:rPr>
        <w:t xml:space="preserve">World Bank’s </w:t>
      </w:r>
      <w:r w:rsidR="00603D84" w:rsidRPr="007777E2">
        <w:rPr>
          <w:b/>
          <w:i/>
        </w:rPr>
        <w:t xml:space="preserve">Doing Business </w:t>
      </w:r>
      <w:r w:rsidR="00603D84" w:rsidRPr="007777E2">
        <w:rPr>
          <w:b/>
        </w:rPr>
        <w:t xml:space="preserve">Index, the </w:t>
      </w:r>
      <w:r w:rsidR="00603D84" w:rsidRPr="007777E2">
        <w:rPr>
          <w:b/>
          <w:i/>
        </w:rPr>
        <w:t>Logistics Performance Index</w:t>
      </w:r>
      <w:r w:rsidR="00603D84" w:rsidRPr="007777E2">
        <w:rPr>
          <w:b/>
        </w:rPr>
        <w:t xml:space="preserve"> and others)</w:t>
      </w:r>
      <w:r w:rsidRPr="007777E2">
        <w:rPr>
          <w:b/>
        </w:rPr>
        <w:t xml:space="preserve">, the trade logistics environment in Belarus </w:t>
      </w:r>
      <w:r w:rsidR="0077139D" w:rsidRPr="007777E2">
        <w:rPr>
          <w:b/>
        </w:rPr>
        <w:t xml:space="preserve">has been </w:t>
      </w:r>
      <w:r w:rsidRPr="007777E2">
        <w:rPr>
          <w:b/>
        </w:rPr>
        <w:t xml:space="preserve">improving </w:t>
      </w:r>
      <w:r w:rsidR="0077139D" w:rsidRPr="007777E2">
        <w:rPr>
          <w:b/>
        </w:rPr>
        <w:t xml:space="preserve">over </w:t>
      </w:r>
      <w:r w:rsidRPr="007777E2">
        <w:rPr>
          <w:b/>
        </w:rPr>
        <w:t>many areas</w:t>
      </w:r>
      <w:r w:rsidRPr="007777E2">
        <w:t xml:space="preserve">. </w:t>
      </w:r>
      <w:r w:rsidR="00603D84" w:rsidRPr="007777E2">
        <w:t xml:space="preserve">A report by </w:t>
      </w:r>
      <w:r w:rsidR="00603D84" w:rsidRPr="007777E2">
        <w:rPr>
          <w:i/>
        </w:rPr>
        <w:t>Business Eastern Europe</w:t>
      </w:r>
      <w:r w:rsidR="00603D84" w:rsidRPr="007777E2">
        <w:t xml:space="preserve"> in 2009 however shows high operational risk ratings in Belarus</w:t>
      </w:r>
      <w:r w:rsidRPr="007777E2">
        <w:t xml:space="preserve"> (see </w:t>
      </w:r>
      <w:fldSimple w:instr=" REF _Ref255897231 \h  \* MERGEFORMAT ">
        <w:r w:rsidR="00E85C5F" w:rsidRPr="00E85C5F">
          <w:t xml:space="preserve">Table </w:t>
        </w:r>
        <w:r w:rsidR="00E85C5F" w:rsidRPr="00E85C5F">
          <w:rPr>
            <w:noProof/>
          </w:rPr>
          <w:t>3</w:t>
        </w:r>
      </w:fldSimple>
      <w:r w:rsidRPr="007777E2">
        <w:t>).</w:t>
      </w:r>
      <w:r w:rsidR="00603D84" w:rsidRPr="007777E2">
        <w:t xml:space="preserve"> This is mainly due to the uneven development in the different areas.</w:t>
      </w:r>
      <w:r w:rsidRPr="007777E2">
        <w:t xml:space="preserve"> Annex 1 presents the concept of logistics costs and international reference data. </w:t>
      </w:r>
    </w:p>
    <w:p w:rsidR="000E0CCA" w:rsidRPr="007777E2" w:rsidRDefault="000E0CCA" w:rsidP="000E0CCA">
      <w:pPr>
        <w:tabs>
          <w:tab w:val="num" w:pos="3420"/>
        </w:tabs>
        <w:spacing w:after="120"/>
        <w:jc w:val="both"/>
      </w:pPr>
    </w:p>
    <w:tbl>
      <w:tblPr>
        <w:tblW w:w="8899" w:type="dxa"/>
        <w:jc w:val="center"/>
        <w:tblInd w:w="-728" w:type="dxa"/>
        <w:tblBorders>
          <w:top w:val="single" w:sz="4" w:space="0" w:color="auto"/>
          <w:bottom w:val="single" w:sz="4" w:space="0" w:color="auto"/>
          <w:insideH w:val="single" w:sz="4" w:space="0" w:color="auto"/>
          <w:insideV w:val="single" w:sz="4" w:space="0" w:color="auto"/>
        </w:tblBorders>
        <w:tblLook w:val="04A0"/>
      </w:tblPr>
      <w:tblGrid>
        <w:gridCol w:w="3087"/>
        <w:gridCol w:w="733"/>
        <w:gridCol w:w="720"/>
        <w:gridCol w:w="733"/>
        <w:gridCol w:w="720"/>
        <w:gridCol w:w="733"/>
        <w:gridCol w:w="720"/>
        <w:gridCol w:w="733"/>
        <w:gridCol w:w="720"/>
      </w:tblGrid>
      <w:tr w:rsidR="00AF75CD" w:rsidRPr="007777E2" w:rsidTr="00513C89">
        <w:trPr>
          <w:trHeight w:val="255"/>
          <w:jc w:val="center"/>
        </w:trPr>
        <w:tc>
          <w:tcPr>
            <w:tcW w:w="8899" w:type="dxa"/>
            <w:gridSpan w:val="9"/>
            <w:tcBorders>
              <w:bottom w:val="single" w:sz="4" w:space="0" w:color="auto"/>
            </w:tcBorders>
            <w:shd w:val="clear" w:color="auto" w:fill="auto"/>
            <w:noWrap/>
            <w:vAlign w:val="bottom"/>
            <w:hideMark/>
          </w:tcPr>
          <w:p w:rsidR="00AF75CD" w:rsidRPr="007777E2" w:rsidRDefault="00AF75CD" w:rsidP="00513C89">
            <w:pPr>
              <w:pStyle w:val="Caption"/>
              <w:jc w:val="center"/>
              <w:rPr>
                <w:color w:val="auto"/>
                <w:sz w:val="22"/>
                <w:szCs w:val="22"/>
              </w:rPr>
            </w:pPr>
            <w:bookmarkStart w:id="96" w:name="_Ref255897231"/>
            <w:bookmarkStart w:id="97" w:name="_Toc264227130"/>
            <w:r w:rsidRPr="007777E2">
              <w:rPr>
                <w:color w:val="auto"/>
                <w:sz w:val="22"/>
                <w:szCs w:val="22"/>
              </w:rPr>
              <w:t xml:space="preserve">Table </w:t>
            </w:r>
            <w:r w:rsidR="006B40AE" w:rsidRPr="007777E2">
              <w:rPr>
                <w:color w:val="auto"/>
                <w:sz w:val="22"/>
                <w:szCs w:val="22"/>
              </w:rPr>
              <w:fldChar w:fldCharType="begin"/>
            </w:r>
            <w:r w:rsidRPr="007777E2">
              <w:rPr>
                <w:color w:val="auto"/>
                <w:sz w:val="22"/>
                <w:szCs w:val="22"/>
              </w:rPr>
              <w:instrText xml:space="preserve"> SEQ Table \* ARABIC </w:instrText>
            </w:r>
            <w:r w:rsidR="006B40AE" w:rsidRPr="007777E2">
              <w:rPr>
                <w:color w:val="auto"/>
                <w:sz w:val="22"/>
                <w:szCs w:val="22"/>
              </w:rPr>
              <w:fldChar w:fldCharType="separate"/>
            </w:r>
            <w:r w:rsidR="009E2C86">
              <w:rPr>
                <w:noProof/>
                <w:color w:val="auto"/>
                <w:sz w:val="22"/>
                <w:szCs w:val="22"/>
              </w:rPr>
              <w:t>3</w:t>
            </w:r>
            <w:r w:rsidR="006B40AE" w:rsidRPr="007777E2">
              <w:rPr>
                <w:color w:val="auto"/>
                <w:sz w:val="22"/>
                <w:szCs w:val="22"/>
              </w:rPr>
              <w:fldChar w:fldCharType="end"/>
            </w:r>
            <w:bookmarkEnd w:id="96"/>
            <w:r w:rsidRPr="007777E2">
              <w:rPr>
                <w:color w:val="auto"/>
                <w:sz w:val="22"/>
                <w:szCs w:val="22"/>
              </w:rPr>
              <w:t xml:space="preserve">. Operational </w:t>
            </w:r>
            <w:r w:rsidR="00C21AB2" w:rsidRPr="007777E2">
              <w:rPr>
                <w:color w:val="auto"/>
                <w:sz w:val="22"/>
                <w:szCs w:val="22"/>
              </w:rPr>
              <w:t>R</w:t>
            </w:r>
            <w:r w:rsidRPr="007777E2">
              <w:rPr>
                <w:color w:val="auto"/>
                <w:sz w:val="22"/>
                <w:szCs w:val="22"/>
              </w:rPr>
              <w:t xml:space="preserve">isk </w:t>
            </w:r>
            <w:r w:rsidR="00C21AB2" w:rsidRPr="007777E2">
              <w:rPr>
                <w:color w:val="auto"/>
                <w:sz w:val="22"/>
                <w:szCs w:val="22"/>
              </w:rPr>
              <w:t>R</w:t>
            </w:r>
            <w:r w:rsidRPr="007777E2">
              <w:rPr>
                <w:color w:val="auto"/>
                <w:sz w:val="22"/>
                <w:szCs w:val="22"/>
              </w:rPr>
              <w:t xml:space="preserve">atings of </w:t>
            </w:r>
            <w:r w:rsidR="00C21AB2" w:rsidRPr="007777E2">
              <w:rPr>
                <w:color w:val="auto"/>
                <w:sz w:val="22"/>
                <w:szCs w:val="22"/>
              </w:rPr>
              <w:t>S</w:t>
            </w:r>
            <w:r w:rsidR="00404740" w:rsidRPr="007777E2">
              <w:rPr>
                <w:color w:val="auto"/>
                <w:sz w:val="22"/>
                <w:szCs w:val="22"/>
              </w:rPr>
              <w:t>elected</w:t>
            </w:r>
            <w:r w:rsidRPr="007777E2">
              <w:rPr>
                <w:color w:val="auto"/>
                <w:sz w:val="22"/>
                <w:szCs w:val="22"/>
              </w:rPr>
              <w:t xml:space="preserve"> CIS</w:t>
            </w:r>
            <w:r w:rsidR="00404740" w:rsidRPr="007777E2">
              <w:rPr>
                <w:color w:val="auto"/>
                <w:sz w:val="22"/>
                <w:szCs w:val="22"/>
              </w:rPr>
              <w:t xml:space="preserve"> </w:t>
            </w:r>
            <w:r w:rsidR="00C21AB2" w:rsidRPr="007777E2">
              <w:rPr>
                <w:color w:val="auto"/>
                <w:sz w:val="22"/>
                <w:szCs w:val="22"/>
              </w:rPr>
              <w:t>C</w:t>
            </w:r>
            <w:r w:rsidR="00404740" w:rsidRPr="007777E2">
              <w:rPr>
                <w:color w:val="auto"/>
                <w:sz w:val="22"/>
                <w:szCs w:val="22"/>
              </w:rPr>
              <w:t>ountries</w:t>
            </w:r>
            <w:r w:rsidRPr="007777E2">
              <w:rPr>
                <w:color w:val="auto"/>
                <w:sz w:val="22"/>
                <w:szCs w:val="22"/>
              </w:rPr>
              <w:t xml:space="preserve"> (2009)</w:t>
            </w:r>
            <w:bookmarkEnd w:id="97"/>
          </w:p>
        </w:tc>
      </w:tr>
      <w:tr w:rsidR="00AF75CD" w:rsidRPr="007777E2" w:rsidTr="00513C89">
        <w:trPr>
          <w:trHeight w:val="255"/>
          <w:jc w:val="center"/>
        </w:trPr>
        <w:tc>
          <w:tcPr>
            <w:tcW w:w="3087" w:type="dxa"/>
            <w:tcBorders>
              <w:right w:val="nil"/>
            </w:tcBorders>
            <w:shd w:val="clear" w:color="auto" w:fill="auto"/>
            <w:noWrap/>
            <w:vAlign w:val="bottom"/>
            <w:hideMark/>
          </w:tcPr>
          <w:p w:rsidR="000E0CCA" w:rsidRPr="00513C89" w:rsidRDefault="000E0CCA" w:rsidP="000E0CCA">
            <w:pPr>
              <w:rPr>
                <w:rFonts w:asciiTheme="minorHAnsi" w:hAnsiTheme="minorHAnsi"/>
                <w:b/>
                <w:sz w:val="20"/>
                <w:szCs w:val="16"/>
              </w:rPr>
            </w:pPr>
          </w:p>
        </w:tc>
        <w:tc>
          <w:tcPr>
            <w:tcW w:w="1453" w:type="dxa"/>
            <w:gridSpan w:val="2"/>
            <w:tcBorders>
              <w:left w:val="nil"/>
              <w:right w:val="nil"/>
            </w:tcBorders>
            <w:shd w:val="clear" w:color="auto" w:fill="auto"/>
            <w:noWrap/>
            <w:vAlign w:val="bottom"/>
            <w:hideMark/>
          </w:tcPr>
          <w:p w:rsidR="000E0CCA" w:rsidRPr="00513C89" w:rsidRDefault="000E0CCA" w:rsidP="00AF75CD">
            <w:pPr>
              <w:jc w:val="center"/>
              <w:rPr>
                <w:rFonts w:asciiTheme="minorHAnsi" w:hAnsiTheme="minorHAnsi"/>
                <w:b/>
                <w:sz w:val="20"/>
                <w:szCs w:val="16"/>
              </w:rPr>
            </w:pPr>
            <w:r w:rsidRPr="00513C89">
              <w:rPr>
                <w:rFonts w:asciiTheme="minorHAnsi" w:hAnsiTheme="minorHAnsi"/>
                <w:b/>
                <w:sz w:val="20"/>
                <w:szCs w:val="16"/>
              </w:rPr>
              <w:t>Belarus</w:t>
            </w:r>
          </w:p>
        </w:tc>
        <w:tc>
          <w:tcPr>
            <w:tcW w:w="1453" w:type="dxa"/>
            <w:gridSpan w:val="2"/>
            <w:tcBorders>
              <w:left w:val="nil"/>
              <w:right w:val="nil"/>
            </w:tcBorders>
            <w:shd w:val="clear" w:color="auto" w:fill="auto"/>
            <w:noWrap/>
            <w:vAlign w:val="bottom"/>
            <w:hideMark/>
          </w:tcPr>
          <w:p w:rsidR="000E0CCA" w:rsidRPr="00513C89" w:rsidRDefault="000E0CCA" w:rsidP="00AF75CD">
            <w:pPr>
              <w:jc w:val="center"/>
              <w:rPr>
                <w:rFonts w:asciiTheme="minorHAnsi" w:hAnsiTheme="minorHAnsi"/>
                <w:b/>
                <w:sz w:val="20"/>
                <w:szCs w:val="16"/>
              </w:rPr>
            </w:pPr>
            <w:r w:rsidRPr="00513C89">
              <w:rPr>
                <w:rFonts w:asciiTheme="minorHAnsi" w:hAnsiTheme="minorHAnsi"/>
                <w:b/>
                <w:sz w:val="20"/>
                <w:szCs w:val="16"/>
              </w:rPr>
              <w:t>Moldova</w:t>
            </w:r>
          </w:p>
        </w:tc>
        <w:tc>
          <w:tcPr>
            <w:tcW w:w="1453" w:type="dxa"/>
            <w:gridSpan w:val="2"/>
            <w:tcBorders>
              <w:left w:val="nil"/>
              <w:right w:val="nil"/>
            </w:tcBorders>
            <w:shd w:val="clear" w:color="auto" w:fill="auto"/>
            <w:noWrap/>
            <w:vAlign w:val="bottom"/>
            <w:hideMark/>
          </w:tcPr>
          <w:p w:rsidR="000E0CCA" w:rsidRPr="00513C89" w:rsidRDefault="000E0CCA" w:rsidP="00AF75CD">
            <w:pPr>
              <w:jc w:val="center"/>
              <w:rPr>
                <w:rFonts w:asciiTheme="minorHAnsi" w:hAnsiTheme="minorHAnsi"/>
                <w:b/>
                <w:sz w:val="20"/>
                <w:szCs w:val="16"/>
              </w:rPr>
            </w:pPr>
            <w:r w:rsidRPr="00513C89">
              <w:rPr>
                <w:rFonts w:asciiTheme="minorHAnsi" w:hAnsiTheme="minorHAnsi"/>
                <w:b/>
                <w:sz w:val="20"/>
                <w:szCs w:val="16"/>
              </w:rPr>
              <w:t>Russia</w:t>
            </w:r>
          </w:p>
        </w:tc>
        <w:tc>
          <w:tcPr>
            <w:tcW w:w="1453" w:type="dxa"/>
            <w:gridSpan w:val="2"/>
            <w:tcBorders>
              <w:left w:val="nil"/>
            </w:tcBorders>
            <w:shd w:val="clear" w:color="auto" w:fill="auto"/>
            <w:noWrap/>
            <w:vAlign w:val="bottom"/>
            <w:hideMark/>
          </w:tcPr>
          <w:p w:rsidR="000E0CCA" w:rsidRPr="00513C89" w:rsidRDefault="000E0CCA" w:rsidP="00AF75CD">
            <w:pPr>
              <w:jc w:val="center"/>
              <w:rPr>
                <w:rFonts w:asciiTheme="minorHAnsi" w:hAnsiTheme="minorHAnsi"/>
                <w:b/>
                <w:sz w:val="20"/>
                <w:szCs w:val="16"/>
              </w:rPr>
            </w:pPr>
            <w:r w:rsidRPr="00513C89">
              <w:rPr>
                <w:rFonts w:asciiTheme="minorHAnsi" w:hAnsiTheme="minorHAnsi"/>
                <w:b/>
                <w:sz w:val="20"/>
                <w:szCs w:val="16"/>
              </w:rPr>
              <w:t>Ukraine</w:t>
            </w:r>
          </w:p>
        </w:tc>
      </w:tr>
      <w:tr w:rsidR="000E0CCA" w:rsidRPr="007777E2" w:rsidTr="00513C89">
        <w:trPr>
          <w:trHeight w:val="255"/>
          <w:jc w:val="center"/>
        </w:trPr>
        <w:tc>
          <w:tcPr>
            <w:tcW w:w="3087" w:type="dxa"/>
            <w:tcBorders>
              <w:right w:val="nil"/>
            </w:tcBorders>
            <w:shd w:val="clear" w:color="auto" w:fill="auto"/>
            <w:noWrap/>
            <w:vAlign w:val="bottom"/>
            <w:hideMark/>
          </w:tcPr>
          <w:p w:rsidR="000E0CCA" w:rsidRPr="00513C89" w:rsidRDefault="000E0CCA" w:rsidP="000E0CCA">
            <w:pPr>
              <w:rPr>
                <w:rFonts w:asciiTheme="minorHAnsi" w:hAnsiTheme="minorHAnsi"/>
                <w:sz w:val="20"/>
                <w:szCs w:val="16"/>
              </w:rPr>
            </w:pPr>
          </w:p>
        </w:tc>
        <w:tc>
          <w:tcPr>
            <w:tcW w:w="733" w:type="dxa"/>
            <w:tcBorders>
              <w:left w:val="nil"/>
              <w:right w:val="nil"/>
            </w:tcBorders>
            <w:shd w:val="clear" w:color="auto" w:fill="auto"/>
            <w:noWrap/>
            <w:vAlign w:val="bottom"/>
            <w:hideMark/>
          </w:tcPr>
          <w:p w:rsidR="000E0CCA" w:rsidRPr="00513C89" w:rsidRDefault="000E0CCA" w:rsidP="00AF75CD">
            <w:pPr>
              <w:jc w:val="center"/>
              <w:rPr>
                <w:rFonts w:asciiTheme="minorHAnsi" w:hAnsiTheme="minorHAnsi"/>
                <w:sz w:val="20"/>
                <w:szCs w:val="16"/>
              </w:rPr>
            </w:pPr>
            <w:r w:rsidRPr="00513C89">
              <w:rPr>
                <w:rFonts w:asciiTheme="minorHAnsi" w:hAnsiTheme="minorHAnsi"/>
                <w:sz w:val="20"/>
                <w:szCs w:val="16"/>
              </w:rPr>
              <w:t>Rating</w:t>
            </w:r>
          </w:p>
        </w:tc>
        <w:tc>
          <w:tcPr>
            <w:tcW w:w="720" w:type="dxa"/>
            <w:tcBorders>
              <w:left w:val="nil"/>
              <w:right w:val="nil"/>
            </w:tcBorders>
            <w:shd w:val="clear" w:color="auto" w:fill="auto"/>
            <w:noWrap/>
            <w:vAlign w:val="bottom"/>
            <w:hideMark/>
          </w:tcPr>
          <w:p w:rsidR="000E0CCA" w:rsidRPr="00513C89" w:rsidRDefault="000E0CCA" w:rsidP="00AF75CD">
            <w:pPr>
              <w:jc w:val="center"/>
              <w:rPr>
                <w:rFonts w:asciiTheme="minorHAnsi" w:hAnsiTheme="minorHAnsi"/>
                <w:sz w:val="20"/>
                <w:szCs w:val="16"/>
              </w:rPr>
            </w:pPr>
            <w:r w:rsidRPr="00513C89">
              <w:rPr>
                <w:rFonts w:asciiTheme="minorHAnsi" w:hAnsiTheme="minorHAnsi"/>
                <w:sz w:val="20"/>
                <w:szCs w:val="16"/>
              </w:rPr>
              <w:t>Score</w:t>
            </w:r>
          </w:p>
        </w:tc>
        <w:tc>
          <w:tcPr>
            <w:tcW w:w="733" w:type="dxa"/>
            <w:tcBorders>
              <w:left w:val="nil"/>
              <w:right w:val="nil"/>
            </w:tcBorders>
            <w:shd w:val="clear" w:color="auto" w:fill="auto"/>
            <w:noWrap/>
            <w:vAlign w:val="bottom"/>
            <w:hideMark/>
          </w:tcPr>
          <w:p w:rsidR="000E0CCA" w:rsidRPr="00513C89" w:rsidRDefault="000E0CCA" w:rsidP="00AF75CD">
            <w:pPr>
              <w:jc w:val="center"/>
              <w:rPr>
                <w:rFonts w:asciiTheme="minorHAnsi" w:hAnsiTheme="minorHAnsi"/>
                <w:sz w:val="20"/>
                <w:szCs w:val="16"/>
              </w:rPr>
            </w:pPr>
            <w:r w:rsidRPr="00513C89">
              <w:rPr>
                <w:rFonts w:asciiTheme="minorHAnsi" w:hAnsiTheme="minorHAnsi"/>
                <w:sz w:val="20"/>
                <w:szCs w:val="16"/>
              </w:rPr>
              <w:t>Rating</w:t>
            </w:r>
          </w:p>
        </w:tc>
        <w:tc>
          <w:tcPr>
            <w:tcW w:w="720" w:type="dxa"/>
            <w:tcBorders>
              <w:left w:val="nil"/>
              <w:right w:val="nil"/>
            </w:tcBorders>
            <w:shd w:val="clear" w:color="auto" w:fill="auto"/>
            <w:noWrap/>
            <w:vAlign w:val="bottom"/>
            <w:hideMark/>
          </w:tcPr>
          <w:p w:rsidR="000E0CCA" w:rsidRPr="00513C89" w:rsidRDefault="000E0CCA" w:rsidP="00AF75CD">
            <w:pPr>
              <w:jc w:val="center"/>
              <w:rPr>
                <w:rFonts w:asciiTheme="minorHAnsi" w:hAnsiTheme="minorHAnsi"/>
                <w:sz w:val="20"/>
                <w:szCs w:val="16"/>
              </w:rPr>
            </w:pPr>
            <w:r w:rsidRPr="00513C89">
              <w:rPr>
                <w:rFonts w:asciiTheme="minorHAnsi" w:hAnsiTheme="minorHAnsi"/>
                <w:sz w:val="20"/>
                <w:szCs w:val="16"/>
              </w:rPr>
              <w:t>Score</w:t>
            </w:r>
          </w:p>
        </w:tc>
        <w:tc>
          <w:tcPr>
            <w:tcW w:w="733" w:type="dxa"/>
            <w:tcBorders>
              <w:left w:val="nil"/>
              <w:right w:val="nil"/>
            </w:tcBorders>
            <w:shd w:val="clear" w:color="auto" w:fill="auto"/>
            <w:noWrap/>
            <w:vAlign w:val="bottom"/>
            <w:hideMark/>
          </w:tcPr>
          <w:p w:rsidR="000E0CCA" w:rsidRPr="00513C89" w:rsidRDefault="000E0CCA" w:rsidP="00AF75CD">
            <w:pPr>
              <w:jc w:val="center"/>
              <w:rPr>
                <w:rFonts w:asciiTheme="minorHAnsi" w:hAnsiTheme="minorHAnsi"/>
                <w:sz w:val="20"/>
                <w:szCs w:val="16"/>
              </w:rPr>
            </w:pPr>
            <w:r w:rsidRPr="00513C89">
              <w:rPr>
                <w:rFonts w:asciiTheme="minorHAnsi" w:hAnsiTheme="minorHAnsi"/>
                <w:sz w:val="20"/>
                <w:szCs w:val="16"/>
              </w:rPr>
              <w:t>Rating</w:t>
            </w:r>
          </w:p>
        </w:tc>
        <w:tc>
          <w:tcPr>
            <w:tcW w:w="720" w:type="dxa"/>
            <w:tcBorders>
              <w:left w:val="nil"/>
              <w:right w:val="nil"/>
            </w:tcBorders>
            <w:shd w:val="clear" w:color="auto" w:fill="auto"/>
            <w:noWrap/>
            <w:vAlign w:val="bottom"/>
            <w:hideMark/>
          </w:tcPr>
          <w:p w:rsidR="000E0CCA" w:rsidRPr="00513C89" w:rsidRDefault="000E0CCA" w:rsidP="00AF75CD">
            <w:pPr>
              <w:jc w:val="center"/>
              <w:rPr>
                <w:rFonts w:asciiTheme="minorHAnsi" w:hAnsiTheme="minorHAnsi"/>
                <w:sz w:val="20"/>
                <w:szCs w:val="16"/>
              </w:rPr>
            </w:pPr>
            <w:r w:rsidRPr="00513C89">
              <w:rPr>
                <w:rFonts w:asciiTheme="minorHAnsi" w:hAnsiTheme="minorHAnsi"/>
                <w:sz w:val="20"/>
                <w:szCs w:val="16"/>
              </w:rPr>
              <w:t>Score</w:t>
            </w:r>
          </w:p>
        </w:tc>
        <w:tc>
          <w:tcPr>
            <w:tcW w:w="733" w:type="dxa"/>
            <w:tcBorders>
              <w:left w:val="nil"/>
              <w:right w:val="nil"/>
            </w:tcBorders>
            <w:shd w:val="clear" w:color="auto" w:fill="auto"/>
            <w:noWrap/>
            <w:vAlign w:val="bottom"/>
            <w:hideMark/>
          </w:tcPr>
          <w:p w:rsidR="000E0CCA" w:rsidRPr="00513C89" w:rsidRDefault="000E0CCA" w:rsidP="00AF75CD">
            <w:pPr>
              <w:jc w:val="center"/>
              <w:rPr>
                <w:rFonts w:asciiTheme="minorHAnsi" w:hAnsiTheme="minorHAnsi"/>
                <w:sz w:val="20"/>
                <w:szCs w:val="16"/>
              </w:rPr>
            </w:pPr>
            <w:r w:rsidRPr="00513C89">
              <w:rPr>
                <w:rFonts w:asciiTheme="minorHAnsi" w:hAnsiTheme="minorHAnsi"/>
                <w:sz w:val="20"/>
                <w:szCs w:val="16"/>
              </w:rPr>
              <w:t>Rating</w:t>
            </w:r>
          </w:p>
        </w:tc>
        <w:tc>
          <w:tcPr>
            <w:tcW w:w="720" w:type="dxa"/>
            <w:tcBorders>
              <w:left w:val="nil"/>
            </w:tcBorders>
            <w:shd w:val="clear" w:color="auto" w:fill="auto"/>
            <w:noWrap/>
            <w:vAlign w:val="bottom"/>
            <w:hideMark/>
          </w:tcPr>
          <w:p w:rsidR="000E0CCA" w:rsidRPr="00513C89" w:rsidRDefault="000E0CCA" w:rsidP="00AF75CD">
            <w:pPr>
              <w:jc w:val="center"/>
              <w:rPr>
                <w:rFonts w:asciiTheme="minorHAnsi" w:hAnsiTheme="minorHAnsi"/>
                <w:sz w:val="20"/>
                <w:szCs w:val="16"/>
              </w:rPr>
            </w:pPr>
            <w:r w:rsidRPr="00513C89">
              <w:rPr>
                <w:rFonts w:asciiTheme="minorHAnsi" w:hAnsiTheme="minorHAnsi"/>
                <w:sz w:val="20"/>
                <w:szCs w:val="16"/>
              </w:rPr>
              <w:t>Score</w:t>
            </w:r>
          </w:p>
        </w:tc>
      </w:tr>
      <w:tr w:rsidR="000E0CCA" w:rsidRPr="007777E2" w:rsidTr="00513C89">
        <w:trPr>
          <w:trHeight w:val="255"/>
          <w:jc w:val="center"/>
        </w:trPr>
        <w:tc>
          <w:tcPr>
            <w:tcW w:w="3087" w:type="dxa"/>
            <w:tcBorders>
              <w:right w:val="nil"/>
            </w:tcBorders>
            <w:shd w:val="clear" w:color="auto" w:fill="auto"/>
            <w:noWrap/>
            <w:vAlign w:val="bottom"/>
            <w:hideMark/>
          </w:tcPr>
          <w:p w:rsidR="000E0CCA" w:rsidRPr="00856CCE" w:rsidRDefault="000E0CCA" w:rsidP="000E0CCA">
            <w:pPr>
              <w:rPr>
                <w:rFonts w:asciiTheme="minorHAnsi" w:hAnsiTheme="minorHAnsi"/>
                <w:sz w:val="20"/>
                <w:szCs w:val="16"/>
              </w:rPr>
            </w:pPr>
            <w:r w:rsidRPr="00856CCE">
              <w:rPr>
                <w:rFonts w:asciiTheme="minorHAnsi" w:hAnsiTheme="minorHAnsi"/>
                <w:sz w:val="20"/>
                <w:szCs w:val="16"/>
              </w:rPr>
              <w:t>Security risk</w:t>
            </w:r>
          </w:p>
        </w:tc>
        <w:tc>
          <w:tcPr>
            <w:tcW w:w="733" w:type="dxa"/>
            <w:tcBorders>
              <w:left w:val="nil"/>
              <w:right w:val="nil"/>
            </w:tcBorders>
            <w:shd w:val="clear" w:color="auto" w:fill="auto"/>
            <w:noWrap/>
            <w:vAlign w:val="bottom"/>
            <w:hideMark/>
          </w:tcPr>
          <w:p w:rsidR="000E0CCA" w:rsidRPr="00513C89" w:rsidRDefault="000E0CCA" w:rsidP="00AF75CD">
            <w:pPr>
              <w:jc w:val="center"/>
              <w:rPr>
                <w:rFonts w:asciiTheme="minorHAnsi" w:hAnsiTheme="minorHAnsi"/>
                <w:sz w:val="20"/>
                <w:szCs w:val="16"/>
              </w:rPr>
            </w:pPr>
            <w:r w:rsidRPr="00513C89">
              <w:rPr>
                <w:rFonts w:asciiTheme="minorHAnsi" w:hAnsiTheme="minorHAnsi"/>
                <w:sz w:val="20"/>
                <w:szCs w:val="16"/>
              </w:rPr>
              <w:t>B</w:t>
            </w:r>
          </w:p>
        </w:tc>
        <w:tc>
          <w:tcPr>
            <w:tcW w:w="720" w:type="dxa"/>
            <w:tcBorders>
              <w:left w:val="nil"/>
              <w:right w:val="nil"/>
            </w:tcBorders>
            <w:shd w:val="clear" w:color="auto" w:fill="auto"/>
            <w:noWrap/>
            <w:vAlign w:val="bottom"/>
            <w:hideMark/>
          </w:tcPr>
          <w:p w:rsidR="000E0CCA" w:rsidRPr="00513C89" w:rsidRDefault="000E0CCA" w:rsidP="00AF75CD">
            <w:pPr>
              <w:jc w:val="center"/>
              <w:rPr>
                <w:rFonts w:asciiTheme="minorHAnsi" w:hAnsiTheme="minorHAnsi"/>
                <w:sz w:val="20"/>
                <w:szCs w:val="16"/>
              </w:rPr>
            </w:pPr>
            <w:r w:rsidRPr="00513C89">
              <w:rPr>
                <w:rFonts w:asciiTheme="minorHAnsi" w:hAnsiTheme="minorHAnsi"/>
                <w:sz w:val="20"/>
                <w:szCs w:val="16"/>
              </w:rPr>
              <w:t>32</w:t>
            </w:r>
          </w:p>
        </w:tc>
        <w:tc>
          <w:tcPr>
            <w:tcW w:w="733" w:type="dxa"/>
            <w:tcBorders>
              <w:left w:val="nil"/>
              <w:right w:val="nil"/>
            </w:tcBorders>
            <w:shd w:val="clear" w:color="auto" w:fill="auto"/>
            <w:noWrap/>
            <w:vAlign w:val="bottom"/>
            <w:hideMark/>
          </w:tcPr>
          <w:p w:rsidR="000E0CCA" w:rsidRPr="00513C89" w:rsidRDefault="000E0CCA" w:rsidP="00AF75CD">
            <w:pPr>
              <w:jc w:val="center"/>
              <w:rPr>
                <w:rFonts w:asciiTheme="minorHAnsi" w:hAnsiTheme="minorHAnsi"/>
                <w:sz w:val="20"/>
                <w:szCs w:val="16"/>
              </w:rPr>
            </w:pPr>
            <w:r w:rsidRPr="00513C89">
              <w:rPr>
                <w:rFonts w:asciiTheme="minorHAnsi" w:hAnsiTheme="minorHAnsi"/>
                <w:sz w:val="20"/>
                <w:szCs w:val="16"/>
              </w:rPr>
              <w:t>B</w:t>
            </w:r>
          </w:p>
        </w:tc>
        <w:tc>
          <w:tcPr>
            <w:tcW w:w="720" w:type="dxa"/>
            <w:tcBorders>
              <w:left w:val="nil"/>
              <w:right w:val="nil"/>
            </w:tcBorders>
            <w:shd w:val="clear" w:color="auto" w:fill="auto"/>
            <w:noWrap/>
            <w:vAlign w:val="bottom"/>
            <w:hideMark/>
          </w:tcPr>
          <w:p w:rsidR="000E0CCA" w:rsidRPr="00513C89" w:rsidRDefault="000E0CCA" w:rsidP="00AF75CD">
            <w:pPr>
              <w:jc w:val="center"/>
              <w:rPr>
                <w:rFonts w:asciiTheme="minorHAnsi" w:hAnsiTheme="minorHAnsi"/>
                <w:sz w:val="20"/>
                <w:szCs w:val="16"/>
              </w:rPr>
            </w:pPr>
            <w:r w:rsidRPr="00513C89">
              <w:rPr>
                <w:rFonts w:asciiTheme="minorHAnsi" w:hAnsiTheme="minorHAnsi"/>
                <w:sz w:val="20"/>
                <w:szCs w:val="16"/>
              </w:rPr>
              <w:t>36</w:t>
            </w:r>
          </w:p>
        </w:tc>
        <w:tc>
          <w:tcPr>
            <w:tcW w:w="733" w:type="dxa"/>
            <w:tcBorders>
              <w:left w:val="nil"/>
              <w:right w:val="nil"/>
            </w:tcBorders>
            <w:shd w:val="clear" w:color="auto" w:fill="auto"/>
            <w:noWrap/>
            <w:vAlign w:val="bottom"/>
            <w:hideMark/>
          </w:tcPr>
          <w:p w:rsidR="000E0CCA" w:rsidRPr="00513C89" w:rsidRDefault="000E0CCA" w:rsidP="00AF75CD">
            <w:pPr>
              <w:jc w:val="center"/>
              <w:rPr>
                <w:rFonts w:asciiTheme="minorHAnsi" w:hAnsiTheme="minorHAnsi"/>
                <w:sz w:val="20"/>
                <w:szCs w:val="16"/>
              </w:rPr>
            </w:pPr>
            <w:r w:rsidRPr="00513C89">
              <w:rPr>
                <w:rFonts w:asciiTheme="minorHAnsi" w:hAnsiTheme="minorHAnsi"/>
                <w:sz w:val="20"/>
                <w:szCs w:val="16"/>
              </w:rPr>
              <w:t>C</w:t>
            </w:r>
          </w:p>
        </w:tc>
        <w:tc>
          <w:tcPr>
            <w:tcW w:w="720" w:type="dxa"/>
            <w:tcBorders>
              <w:left w:val="nil"/>
              <w:right w:val="nil"/>
            </w:tcBorders>
            <w:shd w:val="clear" w:color="auto" w:fill="auto"/>
            <w:noWrap/>
            <w:vAlign w:val="bottom"/>
            <w:hideMark/>
          </w:tcPr>
          <w:p w:rsidR="000E0CCA" w:rsidRPr="00513C89" w:rsidRDefault="000E0CCA" w:rsidP="00AF75CD">
            <w:pPr>
              <w:jc w:val="center"/>
              <w:rPr>
                <w:rFonts w:asciiTheme="minorHAnsi" w:hAnsiTheme="minorHAnsi"/>
                <w:sz w:val="20"/>
                <w:szCs w:val="16"/>
              </w:rPr>
            </w:pPr>
            <w:r w:rsidRPr="00513C89">
              <w:rPr>
                <w:rFonts w:asciiTheme="minorHAnsi" w:hAnsiTheme="minorHAnsi"/>
                <w:sz w:val="20"/>
                <w:szCs w:val="16"/>
              </w:rPr>
              <w:t>54</w:t>
            </w:r>
          </w:p>
        </w:tc>
        <w:tc>
          <w:tcPr>
            <w:tcW w:w="733" w:type="dxa"/>
            <w:tcBorders>
              <w:left w:val="nil"/>
              <w:right w:val="nil"/>
            </w:tcBorders>
            <w:shd w:val="clear" w:color="auto" w:fill="auto"/>
            <w:noWrap/>
            <w:vAlign w:val="bottom"/>
            <w:hideMark/>
          </w:tcPr>
          <w:p w:rsidR="000E0CCA" w:rsidRPr="00513C89" w:rsidRDefault="000E0CCA" w:rsidP="00AF75CD">
            <w:pPr>
              <w:jc w:val="center"/>
              <w:rPr>
                <w:rFonts w:asciiTheme="minorHAnsi" w:hAnsiTheme="minorHAnsi"/>
                <w:sz w:val="20"/>
                <w:szCs w:val="16"/>
              </w:rPr>
            </w:pPr>
            <w:r w:rsidRPr="00513C89">
              <w:rPr>
                <w:rFonts w:asciiTheme="minorHAnsi" w:hAnsiTheme="minorHAnsi"/>
                <w:sz w:val="20"/>
                <w:szCs w:val="16"/>
              </w:rPr>
              <w:t>C</w:t>
            </w:r>
          </w:p>
        </w:tc>
        <w:tc>
          <w:tcPr>
            <w:tcW w:w="720" w:type="dxa"/>
            <w:tcBorders>
              <w:left w:val="nil"/>
            </w:tcBorders>
            <w:shd w:val="clear" w:color="auto" w:fill="auto"/>
            <w:noWrap/>
            <w:vAlign w:val="bottom"/>
            <w:hideMark/>
          </w:tcPr>
          <w:p w:rsidR="000E0CCA" w:rsidRPr="00513C89" w:rsidRDefault="000E0CCA" w:rsidP="00AF75CD">
            <w:pPr>
              <w:jc w:val="center"/>
              <w:rPr>
                <w:rFonts w:asciiTheme="minorHAnsi" w:hAnsiTheme="minorHAnsi"/>
                <w:sz w:val="20"/>
                <w:szCs w:val="16"/>
              </w:rPr>
            </w:pPr>
            <w:r w:rsidRPr="00513C89">
              <w:rPr>
                <w:rFonts w:asciiTheme="minorHAnsi" w:hAnsiTheme="minorHAnsi"/>
                <w:sz w:val="20"/>
                <w:szCs w:val="16"/>
              </w:rPr>
              <w:t>43</w:t>
            </w:r>
          </w:p>
        </w:tc>
      </w:tr>
      <w:tr w:rsidR="000E0CCA" w:rsidRPr="007777E2" w:rsidTr="00513C89">
        <w:trPr>
          <w:trHeight w:val="255"/>
          <w:jc w:val="center"/>
        </w:trPr>
        <w:tc>
          <w:tcPr>
            <w:tcW w:w="3087" w:type="dxa"/>
            <w:tcBorders>
              <w:right w:val="nil"/>
            </w:tcBorders>
            <w:shd w:val="clear" w:color="auto" w:fill="auto"/>
            <w:noWrap/>
            <w:vAlign w:val="bottom"/>
            <w:hideMark/>
          </w:tcPr>
          <w:p w:rsidR="000E0CCA" w:rsidRPr="00856CCE" w:rsidRDefault="000E0CCA" w:rsidP="000E0CCA">
            <w:pPr>
              <w:rPr>
                <w:rFonts w:asciiTheme="minorHAnsi" w:hAnsiTheme="minorHAnsi"/>
                <w:sz w:val="20"/>
                <w:szCs w:val="16"/>
              </w:rPr>
            </w:pPr>
            <w:r w:rsidRPr="00856CCE">
              <w:rPr>
                <w:rFonts w:asciiTheme="minorHAnsi" w:hAnsiTheme="minorHAnsi"/>
                <w:sz w:val="20"/>
                <w:szCs w:val="16"/>
              </w:rPr>
              <w:t>Political stability risk</w:t>
            </w:r>
          </w:p>
        </w:tc>
        <w:tc>
          <w:tcPr>
            <w:tcW w:w="733" w:type="dxa"/>
            <w:tcBorders>
              <w:left w:val="nil"/>
              <w:right w:val="nil"/>
            </w:tcBorders>
            <w:shd w:val="clear" w:color="auto" w:fill="auto"/>
            <w:noWrap/>
            <w:vAlign w:val="bottom"/>
            <w:hideMark/>
          </w:tcPr>
          <w:p w:rsidR="000E0CCA" w:rsidRPr="00513C89" w:rsidRDefault="000E0CCA" w:rsidP="00AF75CD">
            <w:pPr>
              <w:jc w:val="center"/>
              <w:rPr>
                <w:rFonts w:asciiTheme="minorHAnsi" w:hAnsiTheme="minorHAnsi"/>
                <w:sz w:val="20"/>
                <w:szCs w:val="16"/>
              </w:rPr>
            </w:pPr>
            <w:r w:rsidRPr="00513C89">
              <w:rPr>
                <w:rFonts w:asciiTheme="minorHAnsi" w:hAnsiTheme="minorHAnsi"/>
                <w:sz w:val="20"/>
                <w:szCs w:val="16"/>
              </w:rPr>
              <w:t>C</w:t>
            </w:r>
          </w:p>
        </w:tc>
        <w:tc>
          <w:tcPr>
            <w:tcW w:w="720" w:type="dxa"/>
            <w:tcBorders>
              <w:left w:val="nil"/>
              <w:right w:val="nil"/>
            </w:tcBorders>
            <w:shd w:val="clear" w:color="auto" w:fill="auto"/>
            <w:noWrap/>
            <w:vAlign w:val="bottom"/>
            <w:hideMark/>
          </w:tcPr>
          <w:p w:rsidR="000E0CCA" w:rsidRPr="00513C89" w:rsidRDefault="000E0CCA" w:rsidP="00AF75CD">
            <w:pPr>
              <w:jc w:val="center"/>
              <w:rPr>
                <w:rFonts w:asciiTheme="minorHAnsi" w:hAnsiTheme="minorHAnsi"/>
                <w:sz w:val="20"/>
                <w:szCs w:val="16"/>
              </w:rPr>
            </w:pPr>
            <w:r w:rsidRPr="00513C89">
              <w:rPr>
                <w:rFonts w:asciiTheme="minorHAnsi" w:hAnsiTheme="minorHAnsi"/>
                <w:sz w:val="20"/>
                <w:szCs w:val="16"/>
              </w:rPr>
              <w:t>55</w:t>
            </w:r>
          </w:p>
        </w:tc>
        <w:tc>
          <w:tcPr>
            <w:tcW w:w="733" w:type="dxa"/>
            <w:tcBorders>
              <w:left w:val="nil"/>
              <w:right w:val="nil"/>
            </w:tcBorders>
            <w:shd w:val="clear" w:color="auto" w:fill="auto"/>
            <w:noWrap/>
            <w:vAlign w:val="bottom"/>
            <w:hideMark/>
          </w:tcPr>
          <w:p w:rsidR="000E0CCA" w:rsidRPr="00513C89" w:rsidRDefault="000E0CCA" w:rsidP="00AF75CD">
            <w:pPr>
              <w:jc w:val="center"/>
              <w:rPr>
                <w:rFonts w:asciiTheme="minorHAnsi" w:hAnsiTheme="minorHAnsi"/>
                <w:sz w:val="20"/>
                <w:szCs w:val="16"/>
              </w:rPr>
            </w:pPr>
            <w:r w:rsidRPr="00513C89">
              <w:rPr>
                <w:rFonts w:asciiTheme="minorHAnsi" w:hAnsiTheme="minorHAnsi"/>
                <w:sz w:val="20"/>
                <w:szCs w:val="16"/>
              </w:rPr>
              <w:t>C</w:t>
            </w:r>
          </w:p>
        </w:tc>
        <w:tc>
          <w:tcPr>
            <w:tcW w:w="720" w:type="dxa"/>
            <w:tcBorders>
              <w:left w:val="nil"/>
              <w:right w:val="nil"/>
            </w:tcBorders>
            <w:shd w:val="clear" w:color="auto" w:fill="auto"/>
            <w:noWrap/>
            <w:vAlign w:val="bottom"/>
            <w:hideMark/>
          </w:tcPr>
          <w:p w:rsidR="000E0CCA" w:rsidRPr="00513C89" w:rsidRDefault="000E0CCA" w:rsidP="00AF75CD">
            <w:pPr>
              <w:jc w:val="center"/>
              <w:rPr>
                <w:rFonts w:asciiTheme="minorHAnsi" w:hAnsiTheme="minorHAnsi"/>
                <w:sz w:val="20"/>
                <w:szCs w:val="16"/>
              </w:rPr>
            </w:pPr>
            <w:r w:rsidRPr="00513C89">
              <w:rPr>
                <w:rFonts w:asciiTheme="minorHAnsi" w:hAnsiTheme="minorHAnsi"/>
                <w:sz w:val="20"/>
                <w:szCs w:val="16"/>
              </w:rPr>
              <w:t>60</w:t>
            </w:r>
          </w:p>
        </w:tc>
        <w:tc>
          <w:tcPr>
            <w:tcW w:w="733" w:type="dxa"/>
            <w:tcBorders>
              <w:left w:val="nil"/>
              <w:right w:val="nil"/>
            </w:tcBorders>
            <w:shd w:val="clear" w:color="auto" w:fill="auto"/>
            <w:noWrap/>
            <w:vAlign w:val="bottom"/>
            <w:hideMark/>
          </w:tcPr>
          <w:p w:rsidR="000E0CCA" w:rsidRPr="00513C89" w:rsidRDefault="000E0CCA" w:rsidP="00AF75CD">
            <w:pPr>
              <w:jc w:val="center"/>
              <w:rPr>
                <w:rFonts w:asciiTheme="minorHAnsi" w:hAnsiTheme="minorHAnsi"/>
                <w:sz w:val="20"/>
                <w:szCs w:val="16"/>
              </w:rPr>
            </w:pPr>
            <w:r w:rsidRPr="00513C89">
              <w:rPr>
                <w:rFonts w:asciiTheme="minorHAnsi" w:hAnsiTheme="minorHAnsi"/>
                <w:sz w:val="20"/>
                <w:szCs w:val="16"/>
              </w:rPr>
              <w:t>C</w:t>
            </w:r>
          </w:p>
        </w:tc>
        <w:tc>
          <w:tcPr>
            <w:tcW w:w="720" w:type="dxa"/>
            <w:tcBorders>
              <w:left w:val="nil"/>
              <w:right w:val="nil"/>
            </w:tcBorders>
            <w:shd w:val="clear" w:color="auto" w:fill="auto"/>
            <w:noWrap/>
            <w:vAlign w:val="bottom"/>
            <w:hideMark/>
          </w:tcPr>
          <w:p w:rsidR="000E0CCA" w:rsidRPr="00513C89" w:rsidRDefault="000E0CCA" w:rsidP="00AF75CD">
            <w:pPr>
              <w:jc w:val="center"/>
              <w:rPr>
                <w:rFonts w:asciiTheme="minorHAnsi" w:hAnsiTheme="minorHAnsi"/>
                <w:sz w:val="20"/>
                <w:szCs w:val="16"/>
              </w:rPr>
            </w:pPr>
            <w:r w:rsidRPr="00513C89">
              <w:rPr>
                <w:rFonts w:asciiTheme="minorHAnsi" w:hAnsiTheme="minorHAnsi"/>
                <w:sz w:val="20"/>
                <w:szCs w:val="16"/>
              </w:rPr>
              <w:t>60</w:t>
            </w:r>
          </w:p>
        </w:tc>
        <w:tc>
          <w:tcPr>
            <w:tcW w:w="733" w:type="dxa"/>
            <w:tcBorders>
              <w:left w:val="nil"/>
              <w:right w:val="nil"/>
            </w:tcBorders>
            <w:shd w:val="clear" w:color="auto" w:fill="auto"/>
            <w:noWrap/>
            <w:vAlign w:val="bottom"/>
            <w:hideMark/>
          </w:tcPr>
          <w:p w:rsidR="000E0CCA" w:rsidRPr="00513C89" w:rsidRDefault="000E0CCA" w:rsidP="00AF75CD">
            <w:pPr>
              <w:jc w:val="center"/>
              <w:rPr>
                <w:rFonts w:asciiTheme="minorHAnsi" w:hAnsiTheme="minorHAnsi"/>
                <w:sz w:val="20"/>
                <w:szCs w:val="16"/>
              </w:rPr>
            </w:pPr>
            <w:r w:rsidRPr="00513C89">
              <w:rPr>
                <w:rFonts w:asciiTheme="minorHAnsi" w:hAnsiTheme="minorHAnsi"/>
                <w:sz w:val="20"/>
                <w:szCs w:val="16"/>
              </w:rPr>
              <w:t>D</w:t>
            </w:r>
          </w:p>
        </w:tc>
        <w:tc>
          <w:tcPr>
            <w:tcW w:w="720" w:type="dxa"/>
            <w:tcBorders>
              <w:left w:val="nil"/>
            </w:tcBorders>
            <w:shd w:val="clear" w:color="auto" w:fill="auto"/>
            <w:noWrap/>
            <w:vAlign w:val="bottom"/>
            <w:hideMark/>
          </w:tcPr>
          <w:p w:rsidR="000E0CCA" w:rsidRPr="00513C89" w:rsidRDefault="000E0CCA" w:rsidP="00AF75CD">
            <w:pPr>
              <w:jc w:val="center"/>
              <w:rPr>
                <w:rFonts w:asciiTheme="minorHAnsi" w:hAnsiTheme="minorHAnsi"/>
                <w:sz w:val="20"/>
                <w:szCs w:val="16"/>
              </w:rPr>
            </w:pPr>
            <w:r w:rsidRPr="00513C89">
              <w:rPr>
                <w:rFonts w:asciiTheme="minorHAnsi" w:hAnsiTheme="minorHAnsi"/>
                <w:sz w:val="20"/>
                <w:szCs w:val="16"/>
              </w:rPr>
              <w:t>65</w:t>
            </w:r>
          </w:p>
        </w:tc>
      </w:tr>
      <w:tr w:rsidR="000E0CCA" w:rsidRPr="007777E2" w:rsidTr="00513C89">
        <w:trPr>
          <w:trHeight w:val="255"/>
          <w:jc w:val="center"/>
        </w:trPr>
        <w:tc>
          <w:tcPr>
            <w:tcW w:w="3087" w:type="dxa"/>
            <w:tcBorders>
              <w:right w:val="nil"/>
            </w:tcBorders>
            <w:shd w:val="clear" w:color="auto" w:fill="auto"/>
            <w:noWrap/>
            <w:vAlign w:val="bottom"/>
            <w:hideMark/>
          </w:tcPr>
          <w:p w:rsidR="000E0CCA" w:rsidRPr="00856CCE" w:rsidRDefault="000E0CCA" w:rsidP="000E0CCA">
            <w:pPr>
              <w:rPr>
                <w:rFonts w:asciiTheme="minorHAnsi" w:hAnsiTheme="minorHAnsi"/>
                <w:sz w:val="20"/>
                <w:szCs w:val="16"/>
              </w:rPr>
            </w:pPr>
            <w:r w:rsidRPr="00856CCE">
              <w:rPr>
                <w:rFonts w:asciiTheme="minorHAnsi" w:hAnsiTheme="minorHAnsi"/>
                <w:sz w:val="20"/>
                <w:szCs w:val="16"/>
              </w:rPr>
              <w:t>Government effectiveness risk</w:t>
            </w:r>
          </w:p>
        </w:tc>
        <w:tc>
          <w:tcPr>
            <w:tcW w:w="733" w:type="dxa"/>
            <w:tcBorders>
              <w:left w:val="nil"/>
              <w:right w:val="nil"/>
            </w:tcBorders>
            <w:shd w:val="clear" w:color="auto" w:fill="auto"/>
            <w:noWrap/>
            <w:vAlign w:val="bottom"/>
            <w:hideMark/>
          </w:tcPr>
          <w:p w:rsidR="000E0CCA" w:rsidRPr="00513C89" w:rsidRDefault="000E0CCA" w:rsidP="00AF75CD">
            <w:pPr>
              <w:jc w:val="center"/>
              <w:rPr>
                <w:rFonts w:asciiTheme="minorHAnsi" w:hAnsiTheme="minorHAnsi"/>
                <w:sz w:val="20"/>
                <w:szCs w:val="16"/>
              </w:rPr>
            </w:pPr>
            <w:r w:rsidRPr="00513C89">
              <w:rPr>
                <w:rFonts w:asciiTheme="minorHAnsi" w:hAnsiTheme="minorHAnsi"/>
                <w:sz w:val="20"/>
                <w:szCs w:val="16"/>
              </w:rPr>
              <w:t>E</w:t>
            </w:r>
          </w:p>
        </w:tc>
        <w:tc>
          <w:tcPr>
            <w:tcW w:w="720" w:type="dxa"/>
            <w:tcBorders>
              <w:left w:val="nil"/>
              <w:right w:val="nil"/>
            </w:tcBorders>
            <w:shd w:val="clear" w:color="auto" w:fill="auto"/>
            <w:noWrap/>
            <w:vAlign w:val="bottom"/>
            <w:hideMark/>
          </w:tcPr>
          <w:p w:rsidR="000E0CCA" w:rsidRPr="00513C89" w:rsidRDefault="000E0CCA" w:rsidP="00AF75CD">
            <w:pPr>
              <w:jc w:val="center"/>
              <w:rPr>
                <w:rFonts w:asciiTheme="minorHAnsi" w:hAnsiTheme="minorHAnsi"/>
                <w:sz w:val="20"/>
                <w:szCs w:val="16"/>
              </w:rPr>
            </w:pPr>
            <w:r w:rsidRPr="00513C89">
              <w:rPr>
                <w:rFonts w:asciiTheme="minorHAnsi" w:hAnsiTheme="minorHAnsi"/>
                <w:sz w:val="20"/>
                <w:szCs w:val="16"/>
              </w:rPr>
              <w:t>93</w:t>
            </w:r>
          </w:p>
        </w:tc>
        <w:tc>
          <w:tcPr>
            <w:tcW w:w="733" w:type="dxa"/>
            <w:tcBorders>
              <w:left w:val="nil"/>
              <w:right w:val="nil"/>
            </w:tcBorders>
            <w:shd w:val="clear" w:color="auto" w:fill="auto"/>
            <w:noWrap/>
            <w:vAlign w:val="bottom"/>
            <w:hideMark/>
          </w:tcPr>
          <w:p w:rsidR="000E0CCA" w:rsidRPr="00513C89" w:rsidRDefault="000E0CCA" w:rsidP="00AF75CD">
            <w:pPr>
              <w:jc w:val="center"/>
              <w:rPr>
                <w:rFonts w:asciiTheme="minorHAnsi" w:hAnsiTheme="minorHAnsi"/>
                <w:sz w:val="20"/>
                <w:szCs w:val="16"/>
              </w:rPr>
            </w:pPr>
            <w:r w:rsidRPr="00513C89">
              <w:rPr>
                <w:rFonts w:asciiTheme="minorHAnsi" w:hAnsiTheme="minorHAnsi"/>
                <w:sz w:val="20"/>
                <w:szCs w:val="16"/>
              </w:rPr>
              <w:t>D</w:t>
            </w:r>
          </w:p>
        </w:tc>
        <w:tc>
          <w:tcPr>
            <w:tcW w:w="720" w:type="dxa"/>
            <w:tcBorders>
              <w:left w:val="nil"/>
              <w:right w:val="nil"/>
            </w:tcBorders>
            <w:shd w:val="clear" w:color="auto" w:fill="auto"/>
            <w:noWrap/>
            <w:vAlign w:val="bottom"/>
            <w:hideMark/>
          </w:tcPr>
          <w:p w:rsidR="000E0CCA" w:rsidRPr="00513C89" w:rsidRDefault="000E0CCA" w:rsidP="00AF75CD">
            <w:pPr>
              <w:jc w:val="center"/>
              <w:rPr>
                <w:rFonts w:asciiTheme="minorHAnsi" w:hAnsiTheme="minorHAnsi"/>
                <w:sz w:val="20"/>
                <w:szCs w:val="16"/>
              </w:rPr>
            </w:pPr>
            <w:r w:rsidRPr="00513C89">
              <w:rPr>
                <w:rFonts w:asciiTheme="minorHAnsi" w:hAnsiTheme="minorHAnsi"/>
                <w:sz w:val="20"/>
                <w:szCs w:val="16"/>
              </w:rPr>
              <w:t>79</w:t>
            </w:r>
          </w:p>
        </w:tc>
        <w:tc>
          <w:tcPr>
            <w:tcW w:w="733" w:type="dxa"/>
            <w:tcBorders>
              <w:left w:val="nil"/>
              <w:right w:val="nil"/>
            </w:tcBorders>
            <w:shd w:val="clear" w:color="auto" w:fill="auto"/>
            <w:noWrap/>
            <w:vAlign w:val="bottom"/>
            <w:hideMark/>
          </w:tcPr>
          <w:p w:rsidR="000E0CCA" w:rsidRPr="00513C89" w:rsidRDefault="000E0CCA" w:rsidP="00AF75CD">
            <w:pPr>
              <w:jc w:val="center"/>
              <w:rPr>
                <w:rFonts w:asciiTheme="minorHAnsi" w:hAnsiTheme="minorHAnsi"/>
                <w:sz w:val="20"/>
                <w:szCs w:val="16"/>
              </w:rPr>
            </w:pPr>
            <w:r w:rsidRPr="00513C89">
              <w:rPr>
                <w:rFonts w:asciiTheme="minorHAnsi" w:hAnsiTheme="minorHAnsi"/>
                <w:sz w:val="20"/>
                <w:szCs w:val="16"/>
              </w:rPr>
              <w:t>E</w:t>
            </w:r>
          </w:p>
        </w:tc>
        <w:tc>
          <w:tcPr>
            <w:tcW w:w="720" w:type="dxa"/>
            <w:tcBorders>
              <w:left w:val="nil"/>
              <w:right w:val="nil"/>
            </w:tcBorders>
            <w:shd w:val="clear" w:color="auto" w:fill="auto"/>
            <w:noWrap/>
            <w:vAlign w:val="bottom"/>
            <w:hideMark/>
          </w:tcPr>
          <w:p w:rsidR="000E0CCA" w:rsidRPr="00513C89" w:rsidRDefault="000E0CCA" w:rsidP="00AF75CD">
            <w:pPr>
              <w:jc w:val="center"/>
              <w:rPr>
                <w:rFonts w:asciiTheme="minorHAnsi" w:hAnsiTheme="minorHAnsi"/>
                <w:sz w:val="20"/>
                <w:szCs w:val="16"/>
              </w:rPr>
            </w:pPr>
            <w:r w:rsidRPr="00513C89">
              <w:rPr>
                <w:rFonts w:asciiTheme="minorHAnsi" w:hAnsiTheme="minorHAnsi"/>
                <w:sz w:val="20"/>
                <w:szCs w:val="16"/>
              </w:rPr>
              <w:t>82</w:t>
            </w:r>
          </w:p>
        </w:tc>
        <w:tc>
          <w:tcPr>
            <w:tcW w:w="733" w:type="dxa"/>
            <w:tcBorders>
              <w:left w:val="nil"/>
              <w:right w:val="nil"/>
            </w:tcBorders>
            <w:shd w:val="clear" w:color="auto" w:fill="auto"/>
            <w:noWrap/>
            <w:vAlign w:val="bottom"/>
            <w:hideMark/>
          </w:tcPr>
          <w:p w:rsidR="000E0CCA" w:rsidRPr="00513C89" w:rsidRDefault="000E0CCA" w:rsidP="00AF75CD">
            <w:pPr>
              <w:jc w:val="center"/>
              <w:rPr>
                <w:rFonts w:asciiTheme="minorHAnsi" w:hAnsiTheme="minorHAnsi"/>
                <w:sz w:val="20"/>
                <w:szCs w:val="16"/>
              </w:rPr>
            </w:pPr>
            <w:r w:rsidRPr="00513C89">
              <w:rPr>
                <w:rFonts w:asciiTheme="minorHAnsi" w:hAnsiTheme="minorHAnsi"/>
                <w:sz w:val="20"/>
                <w:szCs w:val="16"/>
              </w:rPr>
              <w:t>E</w:t>
            </w:r>
          </w:p>
        </w:tc>
        <w:tc>
          <w:tcPr>
            <w:tcW w:w="720" w:type="dxa"/>
            <w:tcBorders>
              <w:left w:val="nil"/>
            </w:tcBorders>
            <w:shd w:val="clear" w:color="auto" w:fill="auto"/>
            <w:noWrap/>
            <w:vAlign w:val="bottom"/>
            <w:hideMark/>
          </w:tcPr>
          <w:p w:rsidR="000E0CCA" w:rsidRPr="00513C89" w:rsidRDefault="000E0CCA" w:rsidP="00AF75CD">
            <w:pPr>
              <w:jc w:val="center"/>
              <w:rPr>
                <w:rFonts w:asciiTheme="minorHAnsi" w:hAnsiTheme="minorHAnsi"/>
                <w:sz w:val="20"/>
                <w:szCs w:val="16"/>
              </w:rPr>
            </w:pPr>
            <w:r w:rsidRPr="00513C89">
              <w:rPr>
                <w:rFonts w:asciiTheme="minorHAnsi" w:hAnsiTheme="minorHAnsi"/>
                <w:sz w:val="20"/>
                <w:szCs w:val="16"/>
              </w:rPr>
              <w:t>82</w:t>
            </w:r>
          </w:p>
        </w:tc>
      </w:tr>
      <w:tr w:rsidR="000E0CCA" w:rsidRPr="007777E2" w:rsidTr="00513C89">
        <w:trPr>
          <w:trHeight w:val="255"/>
          <w:jc w:val="center"/>
        </w:trPr>
        <w:tc>
          <w:tcPr>
            <w:tcW w:w="3087" w:type="dxa"/>
            <w:tcBorders>
              <w:right w:val="nil"/>
            </w:tcBorders>
            <w:shd w:val="clear" w:color="auto" w:fill="auto"/>
            <w:noWrap/>
            <w:vAlign w:val="bottom"/>
            <w:hideMark/>
          </w:tcPr>
          <w:p w:rsidR="000E0CCA" w:rsidRPr="00856CCE" w:rsidRDefault="000E0CCA" w:rsidP="000E0CCA">
            <w:pPr>
              <w:rPr>
                <w:rFonts w:asciiTheme="minorHAnsi" w:hAnsiTheme="minorHAnsi"/>
                <w:sz w:val="20"/>
                <w:szCs w:val="16"/>
              </w:rPr>
            </w:pPr>
            <w:r w:rsidRPr="00856CCE">
              <w:rPr>
                <w:rFonts w:asciiTheme="minorHAnsi" w:hAnsiTheme="minorHAnsi"/>
                <w:sz w:val="20"/>
                <w:szCs w:val="16"/>
              </w:rPr>
              <w:t>Legal and regulatory risk</w:t>
            </w:r>
          </w:p>
        </w:tc>
        <w:tc>
          <w:tcPr>
            <w:tcW w:w="733" w:type="dxa"/>
            <w:tcBorders>
              <w:left w:val="nil"/>
              <w:right w:val="nil"/>
            </w:tcBorders>
            <w:shd w:val="clear" w:color="auto" w:fill="auto"/>
            <w:noWrap/>
            <w:vAlign w:val="bottom"/>
            <w:hideMark/>
          </w:tcPr>
          <w:p w:rsidR="000E0CCA" w:rsidRPr="00513C89" w:rsidRDefault="000E0CCA" w:rsidP="00AF75CD">
            <w:pPr>
              <w:jc w:val="center"/>
              <w:rPr>
                <w:rFonts w:asciiTheme="minorHAnsi" w:hAnsiTheme="minorHAnsi"/>
                <w:sz w:val="20"/>
                <w:szCs w:val="16"/>
              </w:rPr>
            </w:pPr>
            <w:r w:rsidRPr="00513C89">
              <w:rPr>
                <w:rFonts w:asciiTheme="minorHAnsi" w:hAnsiTheme="minorHAnsi"/>
                <w:sz w:val="20"/>
                <w:szCs w:val="16"/>
              </w:rPr>
              <w:t>E</w:t>
            </w:r>
          </w:p>
        </w:tc>
        <w:tc>
          <w:tcPr>
            <w:tcW w:w="720" w:type="dxa"/>
            <w:tcBorders>
              <w:left w:val="nil"/>
              <w:right w:val="nil"/>
            </w:tcBorders>
            <w:shd w:val="clear" w:color="auto" w:fill="auto"/>
            <w:noWrap/>
            <w:vAlign w:val="bottom"/>
            <w:hideMark/>
          </w:tcPr>
          <w:p w:rsidR="000E0CCA" w:rsidRPr="00513C89" w:rsidRDefault="000E0CCA" w:rsidP="00AF75CD">
            <w:pPr>
              <w:jc w:val="center"/>
              <w:rPr>
                <w:rFonts w:asciiTheme="minorHAnsi" w:hAnsiTheme="minorHAnsi"/>
                <w:sz w:val="20"/>
                <w:szCs w:val="16"/>
              </w:rPr>
            </w:pPr>
            <w:r w:rsidRPr="00513C89">
              <w:rPr>
                <w:rFonts w:asciiTheme="minorHAnsi" w:hAnsiTheme="minorHAnsi"/>
                <w:sz w:val="20"/>
                <w:szCs w:val="16"/>
              </w:rPr>
              <w:t>90</w:t>
            </w:r>
          </w:p>
        </w:tc>
        <w:tc>
          <w:tcPr>
            <w:tcW w:w="733" w:type="dxa"/>
            <w:tcBorders>
              <w:left w:val="nil"/>
              <w:right w:val="nil"/>
            </w:tcBorders>
            <w:shd w:val="clear" w:color="auto" w:fill="auto"/>
            <w:noWrap/>
            <w:vAlign w:val="bottom"/>
            <w:hideMark/>
          </w:tcPr>
          <w:p w:rsidR="000E0CCA" w:rsidRPr="00513C89" w:rsidRDefault="000E0CCA" w:rsidP="00AF75CD">
            <w:pPr>
              <w:jc w:val="center"/>
              <w:rPr>
                <w:rFonts w:asciiTheme="minorHAnsi" w:hAnsiTheme="minorHAnsi"/>
                <w:sz w:val="20"/>
                <w:szCs w:val="16"/>
              </w:rPr>
            </w:pPr>
            <w:r w:rsidRPr="00513C89">
              <w:rPr>
                <w:rFonts w:asciiTheme="minorHAnsi" w:hAnsiTheme="minorHAnsi"/>
                <w:sz w:val="20"/>
                <w:szCs w:val="16"/>
              </w:rPr>
              <w:t>D</w:t>
            </w:r>
          </w:p>
        </w:tc>
        <w:tc>
          <w:tcPr>
            <w:tcW w:w="720" w:type="dxa"/>
            <w:tcBorders>
              <w:left w:val="nil"/>
              <w:right w:val="nil"/>
            </w:tcBorders>
            <w:shd w:val="clear" w:color="auto" w:fill="auto"/>
            <w:noWrap/>
            <w:vAlign w:val="bottom"/>
            <w:hideMark/>
          </w:tcPr>
          <w:p w:rsidR="000E0CCA" w:rsidRPr="00513C89" w:rsidRDefault="000E0CCA" w:rsidP="00AF75CD">
            <w:pPr>
              <w:jc w:val="center"/>
              <w:rPr>
                <w:rFonts w:asciiTheme="minorHAnsi" w:hAnsiTheme="minorHAnsi"/>
                <w:sz w:val="20"/>
                <w:szCs w:val="16"/>
              </w:rPr>
            </w:pPr>
            <w:r w:rsidRPr="00513C89">
              <w:rPr>
                <w:rFonts w:asciiTheme="minorHAnsi" w:hAnsiTheme="minorHAnsi"/>
                <w:sz w:val="20"/>
                <w:szCs w:val="16"/>
              </w:rPr>
              <w:t>70</w:t>
            </w:r>
          </w:p>
        </w:tc>
        <w:tc>
          <w:tcPr>
            <w:tcW w:w="733" w:type="dxa"/>
            <w:tcBorders>
              <w:left w:val="nil"/>
              <w:right w:val="nil"/>
            </w:tcBorders>
            <w:shd w:val="clear" w:color="auto" w:fill="auto"/>
            <w:noWrap/>
            <w:vAlign w:val="bottom"/>
            <w:hideMark/>
          </w:tcPr>
          <w:p w:rsidR="000E0CCA" w:rsidRPr="00513C89" w:rsidRDefault="000E0CCA" w:rsidP="00AF75CD">
            <w:pPr>
              <w:jc w:val="center"/>
              <w:rPr>
                <w:rFonts w:asciiTheme="minorHAnsi" w:hAnsiTheme="minorHAnsi"/>
                <w:sz w:val="20"/>
                <w:szCs w:val="16"/>
              </w:rPr>
            </w:pPr>
            <w:r w:rsidRPr="00513C89">
              <w:rPr>
                <w:rFonts w:asciiTheme="minorHAnsi" w:hAnsiTheme="minorHAnsi"/>
                <w:sz w:val="20"/>
                <w:szCs w:val="16"/>
              </w:rPr>
              <w:t>D</w:t>
            </w:r>
          </w:p>
        </w:tc>
        <w:tc>
          <w:tcPr>
            <w:tcW w:w="720" w:type="dxa"/>
            <w:tcBorders>
              <w:left w:val="nil"/>
              <w:right w:val="nil"/>
            </w:tcBorders>
            <w:shd w:val="clear" w:color="auto" w:fill="auto"/>
            <w:noWrap/>
            <w:vAlign w:val="bottom"/>
            <w:hideMark/>
          </w:tcPr>
          <w:p w:rsidR="000E0CCA" w:rsidRPr="00513C89" w:rsidRDefault="000E0CCA" w:rsidP="00AF75CD">
            <w:pPr>
              <w:jc w:val="center"/>
              <w:rPr>
                <w:rFonts w:asciiTheme="minorHAnsi" w:hAnsiTheme="minorHAnsi"/>
                <w:sz w:val="20"/>
                <w:szCs w:val="16"/>
              </w:rPr>
            </w:pPr>
            <w:r w:rsidRPr="00513C89">
              <w:rPr>
                <w:rFonts w:asciiTheme="minorHAnsi" w:hAnsiTheme="minorHAnsi"/>
                <w:sz w:val="20"/>
                <w:szCs w:val="16"/>
              </w:rPr>
              <w:t>70</w:t>
            </w:r>
          </w:p>
        </w:tc>
        <w:tc>
          <w:tcPr>
            <w:tcW w:w="733" w:type="dxa"/>
            <w:tcBorders>
              <w:left w:val="nil"/>
              <w:right w:val="nil"/>
            </w:tcBorders>
            <w:shd w:val="clear" w:color="auto" w:fill="auto"/>
            <w:noWrap/>
            <w:vAlign w:val="bottom"/>
            <w:hideMark/>
          </w:tcPr>
          <w:p w:rsidR="000E0CCA" w:rsidRPr="00513C89" w:rsidRDefault="000E0CCA" w:rsidP="00AF75CD">
            <w:pPr>
              <w:jc w:val="center"/>
              <w:rPr>
                <w:rFonts w:asciiTheme="minorHAnsi" w:hAnsiTheme="minorHAnsi"/>
                <w:sz w:val="20"/>
                <w:szCs w:val="16"/>
              </w:rPr>
            </w:pPr>
            <w:r w:rsidRPr="00513C89">
              <w:rPr>
                <w:rFonts w:asciiTheme="minorHAnsi" w:hAnsiTheme="minorHAnsi"/>
                <w:sz w:val="20"/>
                <w:szCs w:val="16"/>
              </w:rPr>
              <w:t>D</w:t>
            </w:r>
          </w:p>
        </w:tc>
        <w:tc>
          <w:tcPr>
            <w:tcW w:w="720" w:type="dxa"/>
            <w:tcBorders>
              <w:left w:val="nil"/>
            </w:tcBorders>
            <w:shd w:val="clear" w:color="auto" w:fill="auto"/>
            <w:noWrap/>
            <w:vAlign w:val="bottom"/>
            <w:hideMark/>
          </w:tcPr>
          <w:p w:rsidR="000E0CCA" w:rsidRPr="00513C89" w:rsidRDefault="000E0CCA" w:rsidP="00AF75CD">
            <w:pPr>
              <w:jc w:val="center"/>
              <w:rPr>
                <w:rFonts w:asciiTheme="minorHAnsi" w:hAnsiTheme="minorHAnsi"/>
                <w:sz w:val="20"/>
                <w:szCs w:val="16"/>
              </w:rPr>
            </w:pPr>
            <w:r w:rsidRPr="00513C89">
              <w:rPr>
                <w:rFonts w:asciiTheme="minorHAnsi" w:hAnsiTheme="minorHAnsi"/>
                <w:sz w:val="20"/>
                <w:szCs w:val="16"/>
              </w:rPr>
              <w:t>72</w:t>
            </w:r>
          </w:p>
        </w:tc>
      </w:tr>
      <w:tr w:rsidR="000E0CCA" w:rsidRPr="007777E2" w:rsidTr="00513C89">
        <w:trPr>
          <w:trHeight w:val="255"/>
          <w:jc w:val="center"/>
        </w:trPr>
        <w:tc>
          <w:tcPr>
            <w:tcW w:w="3087" w:type="dxa"/>
            <w:tcBorders>
              <w:right w:val="nil"/>
            </w:tcBorders>
            <w:shd w:val="clear" w:color="auto" w:fill="auto"/>
            <w:noWrap/>
            <w:vAlign w:val="bottom"/>
            <w:hideMark/>
          </w:tcPr>
          <w:p w:rsidR="000E0CCA" w:rsidRPr="00856CCE" w:rsidRDefault="000E0CCA" w:rsidP="000E0CCA">
            <w:pPr>
              <w:rPr>
                <w:rFonts w:asciiTheme="minorHAnsi" w:hAnsiTheme="minorHAnsi"/>
                <w:sz w:val="20"/>
                <w:szCs w:val="16"/>
              </w:rPr>
            </w:pPr>
            <w:r w:rsidRPr="00856CCE">
              <w:rPr>
                <w:rFonts w:asciiTheme="minorHAnsi" w:hAnsiTheme="minorHAnsi"/>
                <w:sz w:val="20"/>
                <w:szCs w:val="16"/>
              </w:rPr>
              <w:t>Macroeconomic risk</w:t>
            </w:r>
          </w:p>
        </w:tc>
        <w:tc>
          <w:tcPr>
            <w:tcW w:w="733" w:type="dxa"/>
            <w:tcBorders>
              <w:left w:val="nil"/>
              <w:right w:val="nil"/>
            </w:tcBorders>
            <w:shd w:val="clear" w:color="auto" w:fill="auto"/>
            <w:noWrap/>
            <w:vAlign w:val="bottom"/>
            <w:hideMark/>
          </w:tcPr>
          <w:p w:rsidR="000E0CCA" w:rsidRPr="00513C89" w:rsidRDefault="000E0CCA" w:rsidP="00AF75CD">
            <w:pPr>
              <w:jc w:val="center"/>
              <w:rPr>
                <w:rFonts w:asciiTheme="minorHAnsi" w:hAnsiTheme="minorHAnsi"/>
                <w:sz w:val="20"/>
                <w:szCs w:val="16"/>
              </w:rPr>
            </w:pPr>
            <w:r w:rsidRPr="00513C89">
              <w:rPr>
                <w:rFonts w:asciiTheme="minorHAnsi" w:hAnsiTheme="minorHAnsi"/>
                <w:sz w:val="20"/>
                <w:szCs w:val="16"/>
              </w:rPr>
              <w:t>D</w:t>
            </w:r>
          </w:p>
        </w:tc>
        <w:tc>
          <w:tcPr>
            <w:tcW w:w="720" w:type="dxa"/>
            <w:tcBorders>
              <w:left w:val="nil"/>
              <w:right w:val="nil"/>
            </w:tcBorders>
            <w:shd w:val="clear" w:color="auto" w:fill="auto"/>
            <w:noWrap/>
            <w:vAlign w:val="bottom"/>
            <w:hideMark/>
          </w:tcPr>
          <w:p w:rsidR="000E0CCA" w:rsidRPr="00513C89" w:rsidRDefault="000E0CCA" w:rsidP="00AF75CD">
            <w:pPr>
              <w:jc w:val="center"/>
              <w:rPr>
                <w:rFonts w:asciiTheme="minorHAnsi" w:hAnsiTheme="minorHAnsi"/>
                <w:sz w:val="20"/>
                <w:szCs w:val="16"/>
              </w:rPr>
            </w:pPr>
            <w:r w:rsidRPr="00513C89">
              <w:rPr>
                <w:rFonts w:asciiTheme="minorHAnsi" w:hAnsiTheme="minorHAnsi"/>
                <w:sz w:val="20"/>
                <w:szCs w:val="16"/>
              </w:rPr>
              <w:t>75</w:t>
            </w:r>
          </w:p>
        </w:tc>
        <w:tc>
          <w:tcPr>
            <w:tcW w:w="733" w:type="dxa"/>
            <w:tcBorders>
              <w:left w:val="nil"/>
              <w:right w:val="nil"/>
            </w:tcBorders>
            <w:shd w:val="clear" w:color="auto" w:fill="auto"/>
            <w:noWrap/>
            <w:vAlign w:val="bottom"/>
            <w:hideMark/>
          </w:tcPr>
          <w:p w:rsidR="000E0CCA" w:rsidRPr="00513C89" w:rsidRDefault="000E0CCA" w:rsidP="00AF75CD">
            <w:pPr>
              <w:jc w:val="center"/>
              <w:rPr>
                <w:rFonts w:asciiTheme="minorHAnsi" w:hAnsiTheme="minorHAnsi"/>
                <w:sz w:val="20"/>
                <w:szCs w:val="16"/>
              </w:rPr>
            </w:pPr>
            <w:r w:rsidRPr="00513C89">
              <w:rPr>
                <w:rFonts w:asciiTheme="minorHAnsi" w:hAnsiTheme="minorHAnsi"/>
                <w:sz w:val="20"/>
                <w:szCs w:val="16"/>
              </w:rPr>
              <w:t>C</w:t>
            </w:r>
          </w:p>
        </w:tc>
        <w:tc>
          <w:tcPr>
            <w:tcW w:w="720" w:type="dxa"/>
            <w:tcBorders>
              <w:left w:val="nil"/>
              <w:right w:val="nil"/>
            </w:tcBorders>
            <w:shd w:val="clear" w:color="auto" w:fill="auto"/>
            <w:noWrap/>
            <w:vAlign w:val="bottom"/>
            <w:hideMark/>
          </w:tcPr>
          <w:p w:rsidR="000E0CCA" w:rsidRPr="00513C89" w:rsidRDefault="000E0CCA" w:rsidP="00AF75CD">
            <w:pPr>
              <w:jc w:val="center"/>
              <w:rPr>
                <w:rFonts w:asciiTheme="minorHAnsi" w:hAnsiTheme="minorHAnsi"/>
                <w:sz w:val="20"/>
                <w:szCs w:val="16"/>
              </w:rPr>
            </w:pPr>
            <w:r w:rsidRPr="00513C89">
              <w:rPr>
                <w:rFonts w:asciiTheme="minorHAnsi" w:hAnsiTheme="minorHAnsi"/>
                <w:sz w:val="20"/>
                <w:szCs w:val="16"/>
              </w:rPr>
              <w:t>50</w:t>
            </w:r>
          </w:p>
        </w:tc>
        <w:tc>
          <w:tcPr>
            <w:tcW w:w="733" w:type="dxa"/>
            <w:tcBorders>
              <w:left w:val="nil"/>
              <w:right w:val="nil"/>
            </w:tcBorders>
            <w:shd w:val="clear" w:color="auto" w:fill="auto"/>
            <w:noWrap/>
            <w:vAlign w:val="bottom"/>
            <w:hideMark/>
          </w:tcPr>
          <w:p w:rsidR="000E0CCA" w:rsidRPr="00513C89" w:rsidRDefault="000E0CCA" w:rsidP="00AF75CD">
            <w:pPr>
              <w:jc w:val="center"/>
              <w:rPr>
                <w:rFonts w:asciiTheme="minorHAnsi" w:hAnsiTheme="minorHAnsi"/>
                <w:sz w:val="20"/>
                <w:szCs w:val="16"/>
              </w:rPr>
            </w:pPr>
            <w:r w:rsidRPr="00513C89">
              <w:rPr>
                <w:rFonts w:asciiTheme="minorHAnsi" w:hAnsiTheme="minorHAnsi"/>
                <w:sz w:val="20"/>
                <w:szCs w:val="16"/>
              </w:rPr>
              <w:t>D</w:t>
            </w:r>
          </w:p>
        </w:tc>
        <w:tc>
          <w:tcPr>
            <w:tcW w:w="720" w:type="dxa"/>
            <w:tcBorders>
              <w:left w:val="nil"/>
              <w:right w:val="nil"/>
            </w:tcBorders>
            <w:shd w:val="clear" w:color="auto" w:fill="auto"/>
            <w:noWrap/>
            <w:vAlign w:val="bottom"/>
            <w:hideMark/>
          </w:tcPr>
          <w:p w:rsidR="000E0CCA" w:rsidRPr="00513C89" w:rsidRDefault="000E0CCA" w:rsidP="00AF75CD">
            <w:pPr>
              <w:jc w:val="center"/>
              <w:rPr>
                <w:rFonts w:asciiTheme="minorHAnsi" w:hAnsiTheme="minorHAnsi"/>
                <w:sz w:val="20"/>
                <w:szCs w:val="16"/>
              </w:rPr>
            </w:pPr>
            <w:r w:rsidRPr="00513C89">
              <w:rPr>
                <w:rFonts w:asciiTheme="minorHAnsi" w:hAnsiTheme="minorHAnsi"/>
                <w:sz w:val="20"/>
                <w:szCs w:val="16"/>
              </w:rPr>
              <w:t>70</w:t>
            </w:r>
          </w:p>
        </w:tc>
        <w:tc>
          <w:tcPr>
            <w:tcW w:w="733" w:type="dxa"/>
            <w:tcBorders>
              <w:left w:val="nil"/>
              <w:right w:val="nil"/>
            </w:tcBorders>
            <w:shd w:val="clear" w:color="auto" w:fill="auto"/>
            <w:noWrap/>
            <w:vAlign w:val="bottom"/>
            <w:hideMark/>
          </w:tcPr>
          <w:p w:rsidR="000E0CCA" w:rsidRPr="00513C89" w:rsidRDefault="000E0CCA" w:rsidP="00AF75CD">
            <w:pPr>
              <w:jc w:val="center"/>
              <w:rPr>
                <w:rFonts w:asciiTheme="minorHAnsi" w:hAnsiTheme="minorHAnsi"/>
                <w:sz w:val="20"/>
                <w:szCs w:val="16"/>
              </w:rPr>
            </w:pPr>
            <w:r w:rsidRPr="00513C89">
              <w:rPr>
                <w:rFonts w:asciiTheme="minorHAnsi" w:hAnsiTheme="minorHAnsi"/>
                <w:sz w:val="20"/>
                <w:szCs w:val="16"/>
              </w:rPr>
              <w:t>D</w:t>
            </w:r>
          </w:p>
        </w:tc>
        <w:tc>
          <w:tcPr>
            <w:tcW w:w="720" w:type="dxa"/>
            <w:tcBorders>
              <w:left w:val="nil"/>
            </w:tcBorders>
            <w:shd w:val="clear" w:color="auto" w:fill="auto"/>
            <w:noWrap/>
            <w:vAlign w:val="bottom"/>
            <w:hideMark/>
          </w:tcPr>
          <w:p w:rsidR="000E0CCA" w:rsidRPr="00513C89" w:rsidRDefault="000E0CCA" w:rsidP="00AF75CD">
            <w:pPr>
              <w:jc w:val="center"/>
              <w:rPr>
                <w:rFonts w:asciiTheme="minorHAnsi" w:hAnsiTheme="minorHAnsi"/>
                <w:sz w:val="20"/>
                <w:szCs w:val="16"/>
              </w:rPr>
            </w:pPr>
            <w:r w:rsidRPr="00513C89">
              <w:rPr>
                <w:rFonts w:asciiTheme="minorHAnsi" w:hAnsiTheme="minorHAnsi"/>
                <w:sz w:val="20"/>
                <w:szCs w:val="16"/>
              </w:rPr>
              <w:t>70</w:t>
            </w:r>
          </w:p>
        </w:tc>
      </w:tr>
      <w:tr w:rsidR="000E0CCA" w:rsidRPr="007777E2" w:rsidTr="00513C89">
        <w:trPr>
          <w:trHeight w:val="255"/>
          <w:jc w:val="center"/>
        </w:trPr>
        <w:tc>
          <w:tcPr>
            <w:tcW w:w="3087" w:type="dxa"/>
            <w:tcBorders>
              <w:right w:val="nil"/>
            </w:tcBorders>
            <w:shd w:val="clear" w:color="auto" w:fill="auto"/>
            <w:noWrap/>
            <w:vAlign w:val="bottom"/>
            <w:hideMark/>
          </w:tcPr>
          <w:p w:rsidR="000E0CCA" w:rsidRPr="00856CCE" w:rsidRDefault="000E0CCA" w:rsidP="000E0CCA">
            <w:pPr>
              <w:rPr>
                <w:rFonts w:asciiTheme="minorHAnsi" w:hAnsiTheme="minorHAnsi"/>
                <w:sz w:val="20"/>
                <w:szCs w:val="16"/>
              </w:rPr>
            </w:pPr>
            <w:r w:rsidRPr="00856CCE">
              <w:rPr>
                <w:rFonts w:asciiTheme="minorHAnsi" w:hAnsiTheme="minorHAnsi"/>
                <w:sz w:val="20"/>
                <w:szCs w:val="16"/>
              </w:rPr>
              <w:t>Foreign trade and payments risk</w:t>
            </w:r>
          </w:p>
        </w:tc>
        <w:tc>
          <w:tcPr>
            <w:tcW w:w="733" w:type="dxa"/>
            <w:tcBorders>
              <w:left w:val="nil"/>
              <w:right w:val="nil"/>
            </w:tcBorders>
            <w:shd w:val="clear" w:color="auto" w:fill="auto"/>
            <w:noWrap/>
            <w:vAlign w:val="bottom"/>
            <w:hideMark/>
          </w:tcPr>
          <w:p w:rsidR="000E0CCA" w:rsidRPr="00513C89" w:rsidRDefault="000E0CCA" w:rsidP="00AF75CD">
            <w:pPr>
              <w:jc w:val="center"/>
              <w:rPr>
                <w:rFonts w:asciiTheme="minorHAnsi" w:hAnsiTheme="minorHAnsi"/>
                <w:sz w:val="20"/>
                <w:szCs w:val="16"/>
              </w:rPr>
            </w:pPr>
            <w:r w:rsidRPr="00513C89">
              <w:rPr>
                <w:rFonts w:asciiTheme="minorHAnsi" w:hAnsiTheme="minorHAnsi"/>
                <w:sz w:val="20"/>
                <w:szCs w:val="16"/>
              </w:rPr>
              <w:t>D</w:t>
            </w:r>
          </w:p>
        </w:tc>
        <w:tc>
          <w:tcPr>
            <w:tcW w:w="720" w:type="dxa"/>
            <w:tcBorders>
              <w:left w:val="nil"/>
              <w:right w:val="nil"/>
            </w:tcBorders>
            <w:shd w:val="clear" w:color="auto" w:fill="auto"/>
            <w:noWrap/>
            <w:vAlign w:val="bottom"/>
            <w:hideMark/>
          </w:tcPr>
          <w:p w:rsidR="000E0CCA" w:rsidRPr="00513C89" w:rsidRDefault="000E0CCA" w:rsidP="00AF75CD">
            <w:pPr>
              <w:jc w:val="center"/>
              <w:rPr>
                <w:rFonts w:asciiTheme="minorHAnsi" w:hAnsiTheme="minorHAnsi"/>
                <w:sz w:val="20"/>
                <w:szCs w:val="16"/>
              </w:rPr>
            </w:pPr>
            <w:r w:rsidRPr="00513C89">
              <w:rPr>
                <w:rFonts w:asciiTheme="minorHAnsi" w:hAnsiTheme="minorHAnsi"/>
                <w:sz w:val="20"/>
                <w:szCs w:val="16"/>
              </w:rPr>
              <w:t>75</w:t>
            </w:r>
          </w:p>
        </w:tc>
        <w:tc>
          <w:tcPr>
            <w:tcW w:w="733" w:type="dxa"/>
            <w:tcBorders>
              <w:left w:val="nil"/>
              <w:right w:val="nil"/>
            </w:tcBorders>
            <w:shd w:val="clear" w:color="auto" w:fill="auto"/>
            <w:noWrap/>
            <w:vAlign w:val="bottom"/>
            <w:hideMark/>
          </w:tcPr>
          <w:p w:rsidR="000E0CCA" w:rsidRPr="00513C89" w:rsidRDefault="000E0CCA" w:rsidP="00AF75CD">
            <w:pPr>
              <w:jc w:val="center"/>
              <w:rPr>
                <w:rFonts w:asciiTheme="minorHAnsi" w:hAnsiTheme="minorHAnsi"/>
                <w:sz w:val="20"/>
                <w:szCs w:val="16"/>
              </w:rPr>
            </w:pPr>
            <w:r w:rsidRPr="00513C89">
              <w:rPr>
                <w:rFonts w:asciiTheme="minorHAnsi" w:hAnsiTheme="minorHAnsi"/>
                <w:sz w:val="20"/>
                <w:szCs w:val="16"/>
              </w:rPr>
              <w:t>C</w:t>
            </w:r>
          </w:p>
        </w:tc>
        <w:tc>
          <w:tcPr>
            <w:tcW w:w="720" w:type="dxa"/>
            <w:tcBorders>
              <w:left w:val="nil"/>
              <w:right w:val="nil"/>
            </w:tcBorders>
            <w:shd w:val="clear" w:color="auto" w:fill="auto"/>
            <w:noWrap/>
            <w:vAlign w:val="bottom"/>
            <w:hideMark/>
          </w:tcPr>
          <w:p w:rsidR="000E0CCA" w:rsidRPr="00513C89" w:rsidRDefault="000E0CCA" w:rsidP="00AF75CD">
            <w:pPr>
              <w:jc w:val="center"/>
              <w:rPr>
                <w:rFonts w:asciiTheme="minorHAnsi" w:hAnsiTheme="minorHAnsi"/>
                <w:sz w:val="20"/>
                <w:szCs w:val="16"/>
              </w:rPr>
            </w:pPr>
            <w:r w:rsidRPr="00513C89">
              <w:rPr>
                <w:rFonts w:asciiTheme="minorHAnsi" w:hAnsiTheme="minorHAnsi"/>
                <w:sz w:val="20"/>
                <w:szCs w:val="16"/>
              </w:rPr>
              <w:t>43</w:t>
            </w:r>
          </w:p>
        </w:tc>
        <w:tc>
          <w:tcPr>
            <w:tcW w:w="733" w:type="dxa"/>
            <w:tcBorders>
              <w:left w:val="nil"/>
              <w:right w:val="nil"/>
            </w:tcBorders>
            <w:shd w:val="clear" w:color="auto" w:fill="auto"/>
            <w:noWrap/>
            <w:vAlign w:val="bottom"/>
            <w:hideMark/>
          </w:tcPr>
          <w:p w:rsidR="000E0CCA" w:rsidRPr="00513C89" w:rsidRDefault="000E0CCA" w:rsidP="00AF75CD">
            <w:pPr>
              <w:jc w:val="center"/>
              <w:rPr>
                <w:rFonts w:asciiTheme="minorHAnsi" w:hAnsiTheme="minorHAnsi"/>
                <w:sz w:val="20"/>
                <w:szCs w:val="16"/>
              </w:rPr>
            </w:pPr>
            <w:r w:rsidRPr="00513C89">
              <w:rPr>
                <w:rFonts w:asciiTheme="minorHAnsi" w:hAnsiTheme="minorHAnsi"/>
                <w:sz w:val="20"/>
                <w:szCs w:val="16"/>
              </w:rPr>
              <w:t>C</w:t>
            </w:r>
          </w:p>
        </w:tc>
        <w:tc>
          <w:tcPr>
            <w:tcW w:w="720" w:type="dxa"/>
            <w:tcBorders>
              <w:left w:val="nil"/>
              <w:right w:val="nil"/>
            </w:tcBorders>
            <w:shd w:val="clear" w:color="auto" w:fill="auto"/>
            <w:noWrap/>
            <w:vAlign w:val="bottom"/>
            <w:hideMark/>
          </w:tcPr>
          <w:p w:rsidR="000E0CCA" w:rsidRPr="00513C89" w:rsidRDefault="000E0CCA" w:rsidP="00AF75CD">
            <w:pPr>
              <w:jc w:val="center"/>
              <w:rPr>
                <w:rFonts w:asciiTheme="minorHAnsi" w:hAnsiTheme="minorHAnsi"/>
                <w:sz w:val="20"/>
                <w:szCs w:val="16"/>
              </w:rPr>
            </w:pPr>
            <w:r w:rsidRPr="00513C89">
              <w:rPr>
                <w:rFonts w:asciiTheme="minorHAnsi" w:hAnsiTheme="minorHAnsi"/>
                <w:sz w:val="20"/>
                <w:szCs w:val="16"/>
              </w:rPr>
              <w:t>57</w:t>
            </w:r>
          </w:p>
        </w:tc>
        <w:tc>
          <w:tcPr>
            <w:tcW w:w="733" w:type="dxa"/>
            <w:tcBorders>
              <w:left w:val="nil"/>
              <w:right w:val="nil"/>
            </w:tcBorders>
            <w:shd w:val="clear" w:color="auto" w:fill="auto"/>
            <w:noWrap/>
            <w:vAlign w:val="bottom"/>
            <w:hideMark/>
          </w:tcPr>
          <w:p w:rsidR="000E0CCA" w:rsidRPr="00513C89" w:rsidRDefault="000E0CCA" w:rsidP="00AF75CD">
            <w:pPr>
              <w:jc w:val="center"/>
              <w:rPr>
                <w:rFonts w:asciiTheme="minorHAnsi" w:hAnsiTheme="minorHAnsi"/>
                <w:sz w:val="20"/>
                <w:szCs w:val="16"/>
              </w:rPr>
            </w:pPr>
            <w:r w:rsidRPr="00513C89">
              <w:rPr>
                <w:rFonts w:asciiTheme="minorHAnsi" w:hAnsiTheme="minorHAnsi"/>
                <w:sz w:val="20"/>
                <w:szCs w:val="16"/>
              </w:rPr>
              <w:t>C</w:t>
            </w:r>
          </w:p>
        </w:tc>
        <w:tc>
          <w:tcPr>
            <w:tcW w:w="720" w:type="dxa"/>
            <w:tcBorders>
              <w:left w:val="nil"/>
            </w:tcBorders>
            <w:shd w:val="clear" w:color="auto" w:fill="auto"/>
            <w:noWrap/>
            <w:vAlign w:val="bottom"/>
            <w:hideMark/>
          </w:tcPr>
          <w:p w:rsidR="000E0CCA" w:rsidRPr="00513C89" w:rsidRDefault="000E0CCA" w:rsidP="00AF75CD">
            <w:pPr>
              <w:jc w:val="center"/>
              <w:rPr>
                <w:rFonts w:asciiTheme="minorHAnsi" w:hAnsiTheme="minorHAnsi"/>
                <w:sz w:val="20"/>
                <w:szCs w:val="16"/>
              </w:rPr>
            </w:pPr>
            <w:r w:rsidRPr="00513C89">
              <w:rPr>
                <w:rFonts w:asciiTheme="minorHAnsi" w:hAnsiTheme="minorHAnsi"/>
                <w:sz w:val="20"/>
                <w:szCs w:val="16"/>
              </w:rPr>
              <w:t>57</w:t>
            </w:r>
          </w:p>
        </w:tc>
      </w:tr>
      <w:tr w:rsidR="000E0CCA" w:rsidRPr="007777E2" w:rsidTr="00513C89">
        <w:trPr>
          <w:trHeight w:val="255"/>
          <w:jc w:val="center"/>
        </w:trPr>
        <w:tc>
          <w:tcPr>
            <w:tcW w:w="3087" w:type="dxa"/>
            <w:tcBorders>
              <w:right w:val="nil"/>
            </w:tcBorders>
            <w:shd w:val="clear" w:color="auto" w:fill="auto"/>
            <w:noWrap/>
            <w:vAlign w:val="bottom"/>
            <w:hideMark/>
          </w:tcPr>
          <w:p w:rsidR="000E0CCA" w:rsidRPr="00856CCE" w:rsidRDefault="000E0CCA" w:rsidP="000E0CCA">
            <w:pPr>
              <w:rPr>
                <w:rFonts w:asciiTheme="minorHAnsi" w:hAnsiTheme="minorHAnsi"/>
                <w:sz w:val="20"/>
                <w:szCs w:val="16"/>
              </w:rPr>
            </w:pPr>
            <w:r w:rsidRPr="00856CCE">
              <w:rPr>
                <w:rFonts w:asciiTheme="minorHAnsi" w:hAnsiTheme="minorHAnsi"/>
                <w:sz w:val="20"/>
                <w:szCs w:val="16"/>
              </w:rPr>
              <w:t>Tax policy risk</w:t>
            </w:r>
          </w:p>
        </w:tc>
        <w:tc>
          <w:tcPr>
            <w:tcW w:w="733" w:type="dxa"/>
            <w:tcBorders>
              <w:left w:val="nil"/>
              <w:right w:val="nil"/>
            </w:tcBorders>
            <w:shd w:val="clear" w:color="auto" w:fill="auto"/>
            <w:noWrap/>
            <w:vAlign w:val="bottom"/>
            <w:hideMark/>
          </w:tcPr>
          <w:p w:rsidR="000E0CCA" w:rsidRPr="00513C89" w:rsidRDefault="000E0CCA" w:rsidP="00AF75CD">
            <w:pPr>
              <w:jc w:val="center"/>
              <w:rPr>
                <w:rFonts w:asciiTheme="minorHAnsi" w:hAnsiTheme="minorHAnsi"/>
                <w:sz w:val="20"/>
                <w:szCs w:val="16"/>
              </w:rPr>
            </w:pPr>
            <w:r w:rsidRPr="00513C89">
              <w:rPr>
                <w:rFonts w:asciiTheme="minorHAnsi" w:hAnsiTheme="minorHAnsi"/>
                <w:sz w:val="20"/>
                <w:szCs w:val="16"/>
              </w:rPr>
              <w:t>C</w:t>
            </w:r>
          </w:p>
        </w:tc>
        <w:tc>
          <w:tcPr>
            <w:tcW w:w="720" w:type="dxa"/>
            <w:tcBorders>
              <w:left w:val="nil"/>
              <w:right w:val="nil"/>
            </w:tcBorders>
            <w:shd w:val="clear" w:color="auto" w:fill="auto"/>
            <w:noWrap/>
            <w:vAlign w:val="bottom"/>
            <w:hideMark/>
          </w:tcPr>
          <w:p w:rsidR="000E0CCA" w:rsidRPr="00513C89" w:rsidRDefault="000E0CCA" w:rsidP="00AF75CD">
            <w:pPr>
              <w:jc w:val="center"/>
              <w:rPr>
                <w:rFonts w:asciiTheme="minorHAnsi" w:hAnsiTheme="minorHAnsi"/>
                <w:sz w:val="20"/>
                <w:szCs w:val="16"/>
              </w:rPr>
            </w:pPr>
            <w:r w:rsidRPr="00513C89">
              <w:rPr>
                <w:rFonts w:asciiTheme="minorHAnsi" w:hAnsiTheme="minorHAnsi"/>
                <w:sz w:val="20"/>
                <w:szCs w:val="16"/>
              </w:rPr>
              <w:t>50</w:t>
            </w:r>
          </w:p>
        </w:tc>
        <w:tc>
          <w:tcPr>
            <w:tcW w:w="733" w:type="dxa"/>
            <w:tcBorders>
              <w:left w:val="nil"/>
              <w:right w:val="nil"/>
            </w:tcBorders>
            <w:shd w:val="clear" w:color="auto" w:fill="auto"/>
            <w:noWrap/>
            <w:vAlign w:val="bottom"/>
            <w:hideMark/>
          </w:tcPr>
          <w:p w:rsidR="000E0CCA" w:rsidRPr="00513C89" w:rsidRDefault="000E0CCA" w:rsidP="00AF75CD">
            <w:pPr>
              <w:jc w:val="center"/>
              <w:rPr>
                <w:rFonts w:asciiTheme="minorHAnsi" w:hAnsiTheme="minorHAnsi"/>
                <w:sz w:val="20"/>
                <w:szCs w:val="16"/>
              </w:rPr>
            </w:pPr>
            <w:r w:rsidRPr="00513C89">
              <w:rPr>
                <w:rFonts w:asciiTheme="minorHAnsi" w:hAnsiTheme="minorHAnsi"/>
                <w:sz w:val="20"/>
                <w:szCs w:val="16"/>
              </w:rPr>
              <w:t>B</w:t>
            </w:r>
          </w:p>
        </w:tc>
        <w:tc>
          <w:tcPr>
            <w:tcW w:w="720" w:type="dxa"/>
            <w:tcBorders>
              <w:left w:val="nil"/>
              <w:right w:val="nil"/>
            </w:tcBorders>
            <w:shd w:val="clear" w:color="auto" w:fill="auto"/>
            <w:noWrap/>
            <w:vAlign w:val="bottom"/>
            <w:hideMark/>
          </w:tcPr>
          <w:p w:rsidR="000E0CCA" w:rsidRPr="00513C89" w:rsidRDefault="000E0CCA" w:rsidP="00AF75CD">
            <w:pPr>
              <w:jc w:val="center"/>
              <w:rPr>
                <w:rFonts w:asciiTheme="minorHAnsi" w:hAnsiTheme="minorHAnsi"/>
                <w:sz w:val="20"/>
                <w:szCs w:val="16"/>
              </w:rPr>
            </w:pPr>
            <w:r w:rsidRPr="00513C89">
              <w:rPr>
                <w:rFonts w:asciiTheme="minorHAnsi" w:hAnsiTheme="minorHAnsi"/>
                <w:sz w:val="20"/>
                <w:szCs w:val="16"/>
              </w:rPr>
              <w:t>38</w:t>
            </w:r>
          </w:p>
        </w:tc>
        <w:tc>
          <w:tcPr>
            <w:tcW w:w="733" w:type="dxa"/>
            <w:tcBorders>
              <w:left w:val="nil"/>
              <w:right w:val="nil"/>
            </w:tcBorders>
            <w:shd w:val="clear" w:color="auto" w:fill="auto"/>
            <w:noWrap/>
            <w:vAlign w:val="bottom"/>
            <w:hideMark/>
          </w:tcPr>
          <w:p w:rsidR="000E0CCA" w:rsidRPr="00513C89" w:rsidRDefault="000E0CCA" w:rsidP="00AF75CD">
            <w:pPr>
              <w:jc w:val="center"/>
              <w:rPr>
                <w:rFonts w:asciiTheme="minorHAnsi" w:hAnsiTheme="minorHAnsi"/>
                <w:sz w:val="20"/>
                <w:szCs w:val="16"/>
              </w:rPr>
            </w:pPr>
            <w:r w:rsidRPr="00513C89">
              <w:rPr>
                <w:rFonts w:asciiTheme="minorHAnsi" w:hAnsiTheme="minorHAnsi"/>
                <w:sz w:val="20"/>
                <w:szCs w:val="16"/>
              </w:rPr>
              <w:t>C</w:t>
            </w:r>
          </w:p>
        </w:tc>
        <w:tc>
          <w:tcPr>
            <w:tcW w:w="720" w:type="dxa"/>
            <w:tcBorders>
              <w:left w:val="nil"/>
              <w:right w:val="nil"/>
            </w:tcBorders>
            <w:shd w:val="clear" w:color="auto" w:fill="auto"/>
            <w:noWrap/>
            <w:vAlign w:val="bottom"/>
            <w:hideMark/>
          </w:tcPr>
          <w:p w:rsidR="000E0CCA" w:rsidRPr="00513C89" w:rsidRDefault="000E0CCA" w:rsidP="00AF75CD">
            <w:pPr>
              <w:jc w:val="center"/>
              <w:rPr>
                <w:rFonts w:asciiTheme="minorHAnsi" w:hAnsiTheme="minorHAnsi"/>
                <w:sz w:val="20"/>
                <w:szCs w:val="16"/>
              </w:rPr>
            </w:pPr>
            <w:r w:rsidRPr="00513C89">
              <w:rPr>
                <w:rFonts w:asciiTheme="minorHAnsi" w:hAnsiTheme="minorHAnsi"/>
                <w:sz w:val="20"/>
                <w:szCs w:val="16"/>
              </w:rPr>
              <w:t>50</w:t>
            </w:r>
          </w:p>
        </w:tc>
        <w:tc>
          <w:tcPr>
            <w:tcW w:w="733" w:type="dxa"/>
            <w:tcBorders>
              <w:left w:val="nil"/>
              <w:right w:val="nil"/>
            </w:tcBorders>
            <w:shd w:val="clear" w:color="auto" w:fill="auto"/>
            <w:noWrap/>
            <w:vAlign w:val="bottom"/>
            <w:hideMark/>
          </w:tcPr>
          <w:p w:rsidR="000E0CCA" w:rsidRPr="00513C89" w:rsidRDefault="000E0CCA" w:rsidP="00AF75CD">
            <w:pPr>
              <w:jc w:val="center"/>
              <w:rPr>
                <w:rFonts w:asciiTheme="minorHAnsi" w:hAnsiTheme="minorHAnsi"/>
                <w:sz w:val="20"/>
                <w:szCs w:val="16"/>
              </w:rPr>
            </w:pPr>
            <w:r w:rsidRPr="00513C89">
              <w:rPr>
                <w:rFonts w:asciiTheme="minorHAnsi" w:hAnsiTheme="minorHAnsi"/>
                <w:sz w:val="20"/>
                <w:szCs w:val="16"/>
              </w:rPr>
              <w:t>C</w:t>
            </w:r>
          </w:p>
        </w:tc>
        <w:tc>
          <w:tcPr>
            <w:tcW w:w="720" w:type="dxa"/>
            <w:tcBorders>
              <w:left w:val="nil"/>
            </w:tcBorders>
            <w:shd w:val="clear" w:color="auto" w:fill="auto"/>
            <w:noWrap/>
            <w:vAlign w:val="bottom"/>
            <w:hideMark/>
          </w:tcPr>
          <w:p w:rsidR="000E0CCA" w:rsidRPr="00513C89" w:rsidRDefault="000E0CCA" w:rsidP="00AF75CD">
            <w:pPr>
              <w:jc w:val="center"/>
              <w:rPr>
                <w:rFonts w:asciiTheme="minorHAnsi" w:hAnsiTheme="minorHAnsi"/>
                <w:sz w:val="20"/>
                <w:szCs w:val="16"/>
              </w:rPr>
            </w:pPr>
            <w:r w:rsidRPr="00513C89">
              <w:rPr>
                <w:rFonts w:asciiTheme="minorHAnsi" w:hAnsiTheme="minorHAnsi"/>
                <w:sz w:val="20"/>
                <w:szCs w:val="16"/>
              </w:rPr>
              <w:t>50</w:t>
            </w:r>
          </w:p>
        </w:tc>
      </w:tr>
      <w:tr w:rsidR="000E0CCA" w:rsidRPr="007777E2" w:rsidTr="00513C89">
        <w:trPr>
          <w:trHeight w:val="255"/>
          <w:jc w:val="center"/>
        </w:trPr>
        <w:tc>
          <w:tcPr>
            <w:tcW w:w="3087" w:type="dxa"/>
            <w:tcBorders>
              <w:right w:val="nil"/>
            </w:tcBorders>
            <w:shd w:val="clear" w:color="auto" w:fill="auto"/>
            <w:noWrap/>
            <w:vAlign w:val="bottom"/>
            <w:hideMark/>
          </w:tcPr>
          <w:p w:rsidR="000E0CCA" w:rsidRPr="00856CCE" w:rsidRDefault="00603D84" w:rsidP="000E0CCA">
            <w:pPr>
              <w:rPr>
                <w:rFonts w:asciiTheme="minorHAnsi" w:hAnsiTheme="minorHAnsi"/>
                <w:sz w:val="20"/>
                <w:szCs w:val="16"/>
              </w:rPr>
            </w:pPr>
            <w:r w:rsidRPr="00856CCE">
              <w:rPr>
                <w:rFonts w:asciiTheme="minorHAnsi" w:hAnsiTheme="minorHAnsi"/>
                <w:sz w:val="20"/>
                <w:szCs w:val="16"/>
              </w:rPr>
              <w:t>Labo</w:t>
            </w:r>
            <w:r w:rsidR="000E0CCA" w:rsidRPr="00856CCE">
              <w:rPr>
                <w:rFonts w:asciiTheme="minorHAnsi" w:hAnsiTheme="minorHAnsi"/>
                <w:sz w:val="20"/>
                <w:szCs w:val="16"/>
              </w:rPr>
              <w:t>r market risk</w:t>
            </w:r>
          </w:p>
        </w:tc>
        <w:tc>
          <w:tcPr>
            <w:tcW w:w="733" w:type="dxa"/>
            <w:tcBorders>
              <w:left w:val="nil"/>
              <w:right w:val="nil"/>
            </w:tcBorders>
            <w:shd w:val="clear" w:color="auto" w:fill="auto"/>
            <w:noWrap/>
            <w:vAlign w:val="bottom"/>
            <w:hideMark/>
          </w:tcPr>
          <w:p w:rsidR="000E0CCA" w:rsidRPr="00513C89" w:rsidRDefault="000E0CCA" w:rsidP="00AF75CD">
            <w:pPr>
              <w:jc w:val="center"/>
              <w:rPr>
                <w:rFonts w:asciiTheme="minorHAnsi" w:hAnsiTheme="minorHAnsi"/>
                <w:sz w:val="20"/>
                <w:szCs w:val="16"/>
              </w:rPr>
            </w:pPr>
            <w:r w:rsidRPr="00513C89">
              <w:rPr>
                <w:rFonts w:asciiTheme="minorHAnsi" w:hAnsiTheme="minorHAnsi"/>
                <w:sz w:val="20"/>
                <w:szCs w:val="16"/>
              </w:rPr>
              <w:t>C</w:t>
            </w:r>
          </w:p>
        </w:tc>
        <w:tc>
          <w:tcPr>
            <w:tcW w:w="720" w:type="dxa"/>
            <w:tcBorders>
              <w:left w:val="nil"/>
              <w:right w:val="nil"/>
            </w:tcBorders>
            <w:shd w:val="clear" w:color="auto" w:fill="auto"/>
            <w:noWrap/>
            <w:vAlign w:val="bottom"/>
            <w:hideMark/>
          </w:tcPr>
          <w:p w:rsidR="000E0CCA" w:rsidRPr="00513C89" w:rsidRDefault="000E0CCA" w:rsidP="00AF75CD">
            <w:pPr>
              <w:jc w:val="center"/>
              <w:rPr>
                <w:rFonts w:asciiTheme="minorHAnsi" w:hAnsiTheme="minorHAnsi"/>
                <w:sz w:val="20"/>
                <w:szCs w:val="16"/>
              </w:rPr>
            </w:pPr>
            <w:r w:rsidRPr="00513C89">
              <w:rPr>
                <w:rFonts w:asciiTheme="minorHAnsi" w:hAnsiTheme="minorHAnsi"/>
                <w:sz w:val="20"/>
                <w:szCs w:val="16"/>
              </w:rPr>
              <w:t>50</w:t>
            </w:r>
          </w:p>
        </w:tc>
        <w:tc>
          <w:tcPr>
            <w:tcW w:w="733" w:type="dxa"/>
            <w:tcBorders>
              <w:left w:val="nil"/>
              <w:right w:val="nil"/>
            </w:tcBorders>
            <w:shd w:val="clear" w:color="auto" w:fill="auto"/>
            <w:noWrap/>
            <w:vAlign w:val="bottom"/>
            <w:hideMark/>
          </w:tcPr>
          <w:p w:rsidR="000E0CCA" w:rsidRPr="00513C89" w:rsidRDefault="000E0CCA" w:rsidP="00AF75CD">
            <w:pPr>
              <w:jc w:val="center"/>
              <w:rPr>
                <w:rFonts w:asciiTheme="minorHAnsi" w:hAnsiTheme="minorHAnsi"/>
                <w:sz w:val="20"/>
                <w:szCs w:val="16"/>
              </w:rPr>
            </w:pPr>
            <w:r w:rsidRPr="00513C89">
              <w:rPr>
                <w:rFonts w:asciiTheme="minorHAnsi" w:hAnsiTheme="minorHAnsi"/>
                <w:sz w:val="20"/>
                <w:szCs w:val="16"/>
              </w:rPr>
              <w:t>C</w:t>
            </w:r>
          </w:p>
        </w:tc>
        <w:tc>
          <w:tcPr>
            <w:tcW w:w="720" w:type="dxa"/>
            <w:tcBorders>
              <w:left w:val="nil"/>
              <w:right w:val="nil"/>
            </w:tcBorders>
            <w:shd w:val="clear" w:color="auto" w:fill="auto"/>
            <w:noWrap/>
            <w:vAlign w:val="bottom"/>
            <w:hideMark/>
          </w:tcPr>
          <w:p w:rsidR="000E0CCA" w:rsidRPr="00513C89" w:rsidRDefault="000E0CCA" w:rsidP="00AF75CD">
            <w:pPr>
              <w:jc w:val="center"/>
              <w:rPr>
                <w:rFonts w:asciiTheme="minorHAnsi" w:hAnsiTheme="minorHAnsi"/>
                <w:sz w:val="20"/>
                <w:szCs w:val="16"/>
              </w:rPr>
            </w:pPr>
            <w:r w:rsidRPr="00513C89">
              <w:rPr>
                <w:rFonts w:asciiTheme="minorHAnsi" w:hAnsiTheme="minorHAnsi"/>
                <w:sz w:val="20"/>
                <w:szCs w:val="16"/>
              </w:rPr>
              <w:t>54</w:t>
            </w:r>
          </w:p>
        </w:tc>
        <w:tc>
          <w:tcPr>
            <w:tcW w:w="733" w:type="dxa"/>
            <w:tcBorders>
              <w:left w:val="nil"/>
              <w:right w:val="nil"/>
            </w:tcBorders>
            <w:shd w:val="clear" w:color="auto" w:fill="auto"/>
            <w:noWrap/>
            <w:vAlign w:val="bottom"/>
            <w:hideMark/>
          </w:tcPr>
          <w:p w:rsidR="000E0CCA" w:rsidRPr="00513C89" w:rsidRDefault="000E0CCA" w:rsidP="00AF75CD">
            <w:pPr>
              <w:jc w:val="center"/>
              <w:rPr>
                <w:rFonts w:asciiTheme="minorHAnsi" w:hAnsiTheme="minorHAnsi"/>
                <w:sz w:val="20"/>
                <w:szCs w:val="16"/>
              </w:rPr>
            </w:pPr>
            <w:r w:rsidRPr="00513C89">
              <w:rPr>
                <w:rFonts w:asciiTheme="minorHAnsi" w:hAnsiTheme="minorHAnsi"/>
                <w:sz w:val="20"/>
                <w:szCs w:val="16"/>
              </w:rPr>
              <w:t>C</w:t>
            </w:r>
          </w:p>
        </w:tc>
        <w:tc>
          <w:tcPr>
            <w:tcW w:w="720" w:type="dxa"/>
            <w:tcBorders>
              <w:left w:val="nil"/>
              <w:right w:val="nil"/>
            </w:tcBorders>
            <w:shd w:val="clear" w:color="auto" w:fill="auto"/>
            <w:noWrap/>
            <w:vAlign w:val="bottom"/>
            <w:hideMark/>
          </w:tcPr>
          <w:p w:rsidR="000E0CCA" w:rsidRPr="00513C89" w:rsidRDefault="000E0CCA" w:rsidP="00AF75CD">
            <w:pPr>
              <w:jc w:val="center"/>
              <w:rPr>
                <w:rFonts w:asciiTheme="minorHAnsi" w:hAnsiTheme="minorHAnsi"/>
                <w:sz w:val="20"/>
                <w:szCs w:val="16"/>
              </w:rPr>
            </w:pPr>
            <w:r w:rsidRPr="00513C89">
              <w:rPr>
                <w:rFonts w:asciiTheme="minorHAnsi" w:hAnsiTheme="minorHAnsi"/>
                <w:sz w:val="20"/>
                <w:szCs w:val="16"/>
              </w:rPr>
              <w:t>54</w:t>
            </w:r>
          </w:p>
        </w:tc>
        <w:tc>
          <w:tcPr>
            <w:tcW w:w="733" w:type="dxa"/>
            <w:tcBorders>
              <w:left w:val="nil"/>
              <w:right w:val="nil"/>
            </w:tcBorders>
            <w:shd w:val="clear" w:color="auto" w:fill="auto"/>
            <w:noWrap/>
            <w:vAlign w:val="bottom"/>
            <w:hideMark/>
          </w:tcPr>
          <w:p w:rsidR="000E0CCA" w:rsidRPr="00513C89" w:rsidRDefault="000E0CCA" w:rsidP="00AF75CD">
            <w:pPr>
              <w:jc w:val="center"/>
              <w:rPr>
                <w:rFonts w:asciiTheme="minorHAnsi" w:hAnsiTheme="minorHAnsi"/>
                <w:sz w:val="20"/>
                <w:szCs w:val="16"/>
              </w:rPr>
            </w:pPr>
            <w:r w:rsidRPr="00513C89">
              <w:rPr>
                <w:rFonts w:asciiTheme="minorHAnsi" w:hAnsiTheme="minorHAnsi"/>
                <w:sz w:val="20"/>
                <w:szCs w:val="16"/>
              </w:rPr>
              <w:t>C</w:t>
            </w:r>
          </w:p>
        </w:tc>
        <w:tc>
          <w:tcPr>
            <w:tcW w:w="720" w:type="dxa"/>
            <w:tcBorders>
              <w:left w:val="nil"/>
            </w:tcBorders>
            <w:shd w:val="clear" w:color="auto" w:fill="auto"/>
            <w:noWrap/>
            <w:vAlign w:val="bottom"/>
            <w:hideMark/>
          </w:tcPr>
          <w:p w:rsidR="000E0CCA" w:rsidRPr="00513C89" w:rsidRDefault="000E0CCA" w:rsidP="00AF75CD">
            <w:pPr>
              <w:jc w:val="center"/>
              <w:rPr>
                <w:rFonts w:asciiTheme="minorHAnsi" w:hAnsiTheme="minorHAnsi"/>
                <w:sz w:val="20"/>
                <w:szCs w:val="16"/>
              </w:rPr>
            </w:pPr>
            <w:r w:rsidRPr="00513C89">
              <w:rPr>
                <w:rFonts w:asciiTheme="minorHAnsi" w:hAnsiTheme="minorHAnsi"/>
                <w:sz w:val="20"/>
                <w:szCs w:val="16"/>
              </w:rPr>
              <w:t>54</w:t>
            </w:r>
          </w:p>
        </w:tc>
      </w:tr>
      <w:tr w:rsidR="000E0CCA" w:rsidRPr="007777E2" w:rsidTr="00513C89">
        <w:trPr>
          <w:trHeight w:val="255"/>
          <w:jc w:val="center"/>
        </w:trPr>
        <w:tc>
          <w:tcPr>
            <w:tcW w:w="3087" w:type="dxa"/>
            <w:tcBorders>
              <w:right w:val="nil"/>
            </w:tcBorders>
            <w:shd w:val="clear" w:color="auto" w:fill="auto"/>
            <w:noWrap/>
            <w:vAlign w:val="bottom"/>
            <w:hideMark/>
          </w:tcPr>
          <w:p w:rsidR="000E0CCA" w:rsidRPr="00856CCE" w:rsidRDefault="000E0CCA" w:rsidP="000E0CCA">
            <w:pPr>
              <w:rPr>
                <w:rFonts w:asciiTheme="minorHAnsi" w:hAnsiTheme="minorHAnsi"/>
                <w:sz w:val="20"/>
                <w:szCs w:val="16"/>
              </w:rPr>
            </w:pPr>
            <w:r w:rsidRPr="00856CCE">
              <w:rPr>
                <w:rFonts w:asciiTheme="minorHAnsi" w:hAnsiTheme="minorHAnsi"/>
                <w:sz w:val="20"/>
                <w:szCs w:val="16"/>
              </w:rPr>
              <w:t>Financial risk</w:t>
            </w:r>
          </w:p>
        </w:tc>
        <w:tc>
          <w:tcPr>
            <w:tcW w:w="733" w:type="dxa"/>
            <w:tcBorders>
              <w:left w:val="nil"/>
              <w:right w:val="nil"/>
            </w:tcBorders>
            <w:shd w:val="clear" w:color="auto" w:fill="auto"/>
            <w:noWrap/>
            <w:vAlign w:val="bottom"/>
            <w:hideMark/>
          </w:tcPr>
          <w:p w:rsidR="000E0CCA" w:rsidRPr="00513C89" w:rsidRDefault="000E0CCA" w:rsidP="00AF75CD">
            <w:pPr>
              <w:jc w:val="center"/>
              <w:rPr>
                <w:rFonts w:asciiTheme="minorHAnsi" w:hAnsiTheme="minorHAnsi"/>
                <w:sz w:val="20"/>
                <w:szCs w:val="16"/>
              </w:rPr>
            </w:pPr>
            <w:r w:rsidRPr="00513C89">
              <w:rPr>
                <w:rFonts w:asciiTheme="minorHAnsi" w:hAnsiTheme="minorHAnsi"/>
                <w:sz w:val="20"/>
                <w:szCs w:val="16"/>
              </w:rPr>
              <w:t>D</w:t>
            </w:r>
          </w:p>
        </w:tc>
        <w:tc>
          <w:tcPr>
            <w:tcW w:w="720" w:type="dxa"/>
            <w:tcBorders>
              <w:left w:val="nil"/>
              <w:right w:val="nil"/>
            </w:tcBorders>
            <w:shd w:val="clear" w:color="auto" w:fill="auto"/>
            <w:noWrap/>
            <w:vAlign w:val="bottom"/>
            <w:hideMark/>
          </w:tcPr>
          <w:p w:rsidR="000E0CCA" w:rsidRPr="00513C89" w:rsidRDefault="000E0CCA" w:rsidP="00AF75CD">
            <w:pPr>
              <w:jc w:val="center"/>
              <w:rPr>
                <w:rFonts w:asciiTheme="minorHAnsi" w:hAnsiTheme="minorHAnsi"/>
                <w:sz w:val="20"/>
                <w:szCs w:val="16"/>
              </w:rPr>
            </w:pPr>
            <w:r w:rsidRPr="00513C89">
              <w:rPr>
                <w:rFonts w:asciiTheme="minorHAnsi" w:hAnsiTheme="minorHAnsi"/>
                <w:sz w:val="20"/>
                <w:szCs w:val="16"/>
              </w:rPr>
              <w:t>71</w:t>
            </w:r>
          </w:p>
        </w:tc>
        <w:tc>
          <w:tcPr>
            <w:tcW w:w="733" w:type="dxa"/>
            <w:tcBorders>
              <w:left w:val="nil"/>
              <w:right w:val="nil"/>
            </w:tcBorders>
            <w:shd w:val="clear" w:color="auto" w:fill="auto"/>
            <w:noWrap/>
            <w:vAlign w:val="bottom"/>
            <w:hideMark/>
          </w:tcPr>
          <w:p w:rsidR="000E0CCA" w:rsidRPr="00513C89" w:rsidRDefault="000E0CCA" w:rsidP="00AF75CD">
            <w:pPr>
              <w:jc w:val="center"/>
              <w:rPr>
                <w:rFonts w:asciiTheme="minorHAnsi" w:hAnsiTheme="minorHAnsi"/>
                <w:sz w:val="20"/>
                <w:szCs w:val="16"/>
              </w:rPr>
            </w:pPr>
            <w:r w:rsidRPr="00513C89">
              <w:rPr>
                <w:rFonts w:asciiTheme="minorHAnsi" w:hAnsiTheme="minorHAnsi"/>
                <w:sz w:val="20"/>
                <w:szCs w:val="16"/>
              </w:rPr>
              <w:t>D</w:t>
            </w:r>
          </w:p>
        </w:tc>
        <w:tc>
          <w:tcPr>
            <w:tcW w:w="720" w:type="dxa"/>
            <w:tcBorders>
              <w:left w:val="nil"/>
              <w:right w:val="nil"/>
            </w:tcBorders>
            <w:shd w:val="clear" w:color="auto" w:fill="auto"/>
            <w:noWrap/>
            <w:vAlign w:val="bottom"/>
            <w:hideMark/>
          </w:tcPr>
          <w:p w:rsidR="000E0CCA" w:rsidRPr="00513C89" w:rsidRDefault="000E0CCA" w:rsidP="00AF75CD">
            <w:pPr>
              <w:jc w:val="center"/>
              <w:rPr>
                <w:rFonts w:asciiTheme="minorHAnsi" w:hAnsiTheme="minorHAnsi"/>
                <w:sz w:val="20"/>
                <w:szCs w:val="16"/>
              </w:rPr>
            </w:pPr>
            <w:r w:rsidRPr="00513C89">
              <w:rPr>
                <w:rFonts w:asciiTheme="minorHAnsi" w:hAnsiTheme="minorHAnsi"/>
                <w:sz w:val="20"/>
                <w:szCs w:val="16"/>
              </w:rPr>
              <w:t>71</w:t>
            </w:r>
          </w:p>
        </w:tc>
        <w:tc>
          <w:tcPr>
            <w:tcW w:w="733" w:type="dxa"/>
            <w:tcBorders>
              <w:left w:val="nil"/>
              <w:right w:val="nil"/>
            </w:tcBorders>
            <w:shd w:val="clear" w:color="auto" w:fill="auto"/>
            <w:noWrap/>
            <w:vAlign w:val="bottom"/>
            <w:hideMark/>
          </w:tcPr>
          <w:p w:rsidR="000E0CCA" w:rsidRPr="00513C89" w:rsidRDefault="000E0CCA" w:rsidP="00AF75CD">
            <w:pPr>
              <w:jc w:val="center"/>
              <w:rPr>
                <w:rFonts w:asciiTheme="minorHAnsi" w:hAnsiTheme="minorHAnsi"/>
                <w:sz w:val="20"/>
                <w:szCs w:val="16"/>
              </w:rPr>
            </w:pPr>
            <w:r w:rsidRPr="00513C89">
              <w:rPr>
                <w:rFonts w:asciiTheme="minorHAnsi" w:hAnsiTheme="minorHAnsi"/>
                <w:sz w:val="20"/>
                <w:szCs w:val="16"/>
              </w:rPr>
              <w:t>D</w:t>
            </w:r>
          </w:p>
        </w:tc>
        <w:tc>
          <w:tcPr>
            <w:tcW w:w="720" w:type="dxa"/>
            <w:tcBorders>
              <w:left w:val="nil"/>
              <w:right w:val="nil"/>
            </w:tcBorders>
            <w:shd w:val="clear" w:color="auto" w:fill="auto"/>
            <w:noWrap/>
            <w:vAlign w:val="bottom"/>
            <w:hideMark/>
          </w:tcPr>
          <w:p w:rsidR="000E0CCA" w:rsidRPr="00513C89" w:rsidRDefault="000E0CCA" w:rsidP="00AF75CD">
            <w:pPr>
              <w:jc w:val="center"/>
              <w:rPr>
                <w:rFonts w:asciiTheme="minorHAnsi" w:hAnsiTheme="minorHAnsi"/>
                <w:sz w:val="20"/>
                <w:szCs w:val="16"/>
              </w:rPr>
            </w:pPr>
            <w:r w:rsidRPr="00513C89">
              <w:rPr>
                <w:rFonts w:asciiTheme="minorHAnsi" w:hAnsiTheme="minorHAnsi"/>
                <w:sz w:val="20"/>
                <w:szCs w:val="16"/>
              </w:rPr>
              <w:t>63</w:t>
            </w:r>
          </w:p>
        </w:tc>
        <w:tc>
          <w:tcPr>
            <w:tcW w:w="733" w:type="dxa"/>
            <w:tcBorders>
              <w:left w:val="nil"/>
              <w:right w:val="nil"/>
            </w:tcBorders>
            <w:shd w:val="clear" w:color="auto" w:fill="auto"/>
            <w:noWrap/>
            <w:vAlign w:val="bottom"/>
            <w:hideMark/>
          </w:tcPr>
          <w:p w:rsidR="000E0CCA" w:rsidRPr="00513C89" w:rsidRDefault="000E0CCA" w:rsidP="00AF75CD">
            <w:pPr>
              <w:jc w:val="center"/>
              <w:rPr>
                <w:rFonts w:asciiTheme="minorHAnsi" w:hAnsiTheme="minorHAnsi"/>
                <w:sz w:val="20"/>
                <w:szCs w:val="16"/>
              </w:rPr>
            </w:pPr>
            <w:r w:rsidRPr="00513C89">
              <w:rPr>
                <w:rFonts w:asciiTheme="minorHAnsi" w:hAnsiTheme="minorHAnsi"/>
                <w:sz w:val="20"/>
                <w:szCs w:val="16"/>
              </w:rPr>
              <w:t>D</w:t>
            </w:r>
          </w:p>
        </w:tc>
        <w:tc>
          <w:tcPr>
            <w:tcW w:w="720" w:type="dxa"/>
            <w:tcBorders>
              <w:left w:val="nil"/>
            </w:tcBorders>
            <w:shd w:val="clear" w:color="auto" w:fill="auto"/>
            <w:noWrap/>
            <w:vAlign w:val="bottom"/>
            <w:hideMark/>
          </w:tcPr>
          <w:p w:rsidR="000E0CCA" w:rsidRPr="00513C89" w:rsidRDefault="000E0CCA" w:rsidP="00AF75CD">
            <w:pPr>
              <w:jc w:val="center"/>
              <w:rPr>
                <w:rFonts w:asciiTheme="minorHAnsi" w:hAnsiTheme="minorHAnsi"/>
                <w:sz w:val="20"/>
                <w:szCs w:val="16"/>
              </w:rPr>
            </w:pPr>
            <w:r w:rsidRPr="00513C89">
              <w:rPr>
                <w:rFonts w:asciiTheme="minorHAnsi" w:hAnsiTheme="minorHAnsi"/>
                <w:sz w:val="20"/>
                <w:szCs w:val="16"/>
              </w:rPr>
              <w:t>71</w:t>
            </w:r>
          </w:p>
        </w:tc>
      </w:tr>
      <w:tr w:rsidR="000E0CCA" w:rsidRPr="007777E2" w:rsidTr="00513C89">
        <w:trPr>
          <w:trHeight w:val="255"/>
          <w:jc w:val="center"/>
        </w:trPr>
        <w:tc>
          <w:tcPr>
            <w:tcW w:w="3087" w:type="dxa"/>
            <w:tcBorders>
              <w:right w:val="nil"/>
            </w:tcBorders>
            <w:shd w:val="clear" w:color="auto" w:fill="auto"/>
            <w:noWrap/>
            <w:vAlign w:val="bottom"/>
            <w:hideMark/>
          </w:tcPr>
          <w:p w:rsidR="000E0CCA" w:rsidRPr="00856CCE" w:rsidRDefault="000E0CCA" w:rsidP="000E0CCA">
            <w:pPr>
              <w:rPr>
                <w:rFonts w:asciiTheme="minorHAnsi" w:hAnsiTheme="minorHAnsi"/>
                <w:sz w:val="20"/>
                <w:szCs w:val="16"/>
              </w:rPr>
            </w:pPr>
            <w:r w:rsidRPr="00856CCE">
              <w:rPr>
                <w:rFonts w:asciiTheme="minorHAnsi" w:hAnsiTheme="minorHAnsi"/>
                <w:sz w:val="20"/>
                <w:szCs w:val="16"/>
              </w:rPr>
              <w:t>Infrastructure risk</w:t>
            </w:r>
          </w:p>
        </w:tc>
        <w:tc>
          <w:tcPr>
            <w:tcW w:w="733" w:type="dxa"/>
            <w:tcBorders>
              <w:left w:val="nil"/>
              <w:right w:val="nil"/>
            </w:tcBorders>
            <w:shd w:val="clear" w:color="auto" w:fill="auto"/>
            <w:noWrap/>
            <w:vAlign w:val="bottom"/>
            <w:hideMark/>
          </w:tcPr>
          <w:p w:rsidR="000E0CCA" w:rsidRPr="00513C89" w:rsidRDefault="000E0CCA" w:rsidP="00AF75CD">
            <w:pPr>
              <w:jc w:val="center"/>
              <w:rPr>
                <w:rFonts w:asciiTheme="minorHAnsi" w:hAnsiTheme="minorHAnsi"/>
                <w:sz w:val="20"/>
                <w:szCs w:val="16"/>
              </w:rPr>
            </w:pPr>
            <w:r w:rsidRPr="00513C89">
              <w:rPr>
                <w:rFonts w:asciiTheme="minorHAnsi" w:hAnsiTheme="minorHAnsi"/>
                <w:sz w:val="20"/>
                <w:szCs w:val="16"/>
              </w:rPr>
              <w:t>D</w:t>
            </w:r>
          </w:p>
        </w:tc>
        <w:tc>
          <w:tcPr>
            <w:tcW w:w="720" w:type="dxa"/>
            <w:tcBorders>
              <w:left w:val="nil"/>
              <w:right w:val="nil"/>
            </w:tcBorders>
            <w:shd w:val="clear" w:color="auto" w:fill="auto"/>
            <w:noWrap/>
            <w:vAlign w:val="bottom"/>
            <w:hideMark/>
          </w:tcPr>
          <w:p w:rsidR="000E0CCA" w:rsidRPr="00513C89" w:rsidRDefault="000E0CCA" w:rsidP="00AF75CD">
            <w:pPr>
              <w:jc w:val="center"/>
              <w:rPr>
                <w:rFonts w:asciiTheme="minorHAnsi" w:hAnsiTheme="minorHAnsi"/>
                <w:sz w:val="20"/>
                <w:szCs w:val="16"/>
              </w:rPr>
            </w:pPr>
            <w:r w:rsidRPr="00513C89">
              <w:rPr>
                <w:rFonts w:asciiTheme="minorHAnsi" w:hAnsiTheme="minorHAnsi"/>
                <w:sz w:val="20"/>
                <w:szCs w:val="16"/>
              </w:rPr>
              <w:t>69</w:t>
            </w:r>
          </w:p>
        </w:tc>
        <w:tc>
          <w:tcPr>
            <w:tcW w:w="733" w:type="dxa"/>
            <w:tcBorders>
              <w:left w:val="nil"/>
              <w:right w:val="nil"/>
            </w:tcBorders>
            <w:shd w:val="clear" w:color="auto" w:fill="auto"/>
            <w:noWrap/>
            <w:vAlign w:val="bottom"/>
            <w:hideMark/>
          </w:tcPr>
          <w:p w:rsidR="000E0CCA" w:rsidRPr="00513C89" w:rsidRDefault="000E0CCA" w:rsidP="00AF75CD">
            <w:pPr>
              <w:jc w:val="center"/>
              <w:rPr>
                <w:rFonts w:asciiTheme="minorHAnsi" w:hAnsiTheme="minorHAnsi"/>
                <w:sz w:val="20"/>
                <w:szCs w:val="16"/>
              </w:rPr>
            </w:pPr>
            <w:r w:rsidRPr="00513C89">
              <w:rPr>
                <w:rFonts w:asciiTheme="minorHAnsi" w:hAnsiTheme="minorHAnsi"/>
                <w:sz w:val="20"/>
                <w:szCs w:val="16"/>
              </w:rPr>
              <w:t>D</w:t>
            </w:r>
          </w:p>
        </w:tc>
        <w:tc>
          <w:tcPr>
            <w:tcW w:w="720" w:type="dxa"/>
            <w:tcBorders>
              <w:left w:val="nil"/>
              <w:right w:val="nil"/>
            </w:tcBorders>
            <w:shd w:val="clear" w:color="auto" w:fill="auto"/>
            <w:noWrap/>
            <w:vAlign w:val="bottom"/>
            <w:hideMark/>
          </w:tcPr>
          <w:p w:rsidR="000E0CCA" w:rsidRPr="00513C89" w:rsidRDefault="000E0CCA" w:rsidP="00AF75CD">
            <w:pPr>
              <w:jc w:val="center"/>
              <w:rPr>
                <w:rFonts w:asciiTheme="minorHAnsi" w:hAnsiTheme="minorHAnsi"/>
                <w:sz w:val="20"/>
                <w:szCs w:val="16"/>
              </w:rPr>
            </w:pPr>
            <w:r w:rsidRPr="00513C89">
              <w:rPr>
                <w:rFonts w:asciiTheme="minorHAnsi" w:hAnsiTheme="minorHAnsi"/>
                <w:sz w:val="20"/>
                <w:szCs w:val="16"/>
              </w:rPr>
              <w:t>69</w:t>
            </w:r>
          </w:p>
        </w:tc>
        <w:tc>
          <w:tcPr>
            <w:tcW w:w="733" w:type="dxa"/>
            <w:tcBorders>
              <w:left w:val="nil"/>
              <w:right w:val="nil"/>
            </w:tcBorders>
            <w:shd w:val="clear" w:color="auto" w:fill="auto"/>
            <w:noWrap/>
            <w:vAlign w:val="bottom"/>
            <w:hideMark/>
          </w:tcPr>
          <w:p w:rsidR="000E0CCA" w:rsidRPr="00513C89" w:rsidRDefault="000E0CCA" w:rsidP="00AF75CD">
            <w:pPr>
              <w:jc w:val="center"/>
              <w:rPr>
                <w:rFonts w:asciiTheme="minorHAnsi" w:hAnsiTheme="minorHAnsi"/>
                <w:sz w:val="20"/>
                <w:szCs w:val="16"/>
              </w:rPr>
            </w:pPr>
            <w:r w:rsidRPr="00513C89">
              <w:rPr>
                <w:rFonts w:asciiTheme="minorHAnsi" w:hAnsiTheme="minorHAnsi"/>
                <w:sz w:val="20"/>
                <w:szCs w:val="16"/>
              </w:rPr>
              <w:t>C</w:t>
            </w:r>
          </w:p>
        </w:tc>
        <w:tc>
          <w:tcPr>
            <w:tcW w:w="720" w:type="dxa"/>
            <w:tcBorders>
              <w:left w:val="nil"/>
              <w:right w:val="nil"/>
            </w:tcBorders>
            <w:shd w:val="clear" w:color="auto" w:fill="auto"/>
            <w:noWrap/>
            <w:vAlign w:val="bottom"/>
            <w:hideMark/>
          </w:tcPr>
          <w:p w:rsidR="000E0CCA" w:rsidRPr="00513C89" w:rsidRDefault="000E0CCA" w:rsidP="00AF75CD">
            <w:pPr>
              <w:jc w:val="center"/>
              <w:rPr>
                <w:rFonts w:asciiTheme="minorHAnsi" w:hAnsiTheme="minorHAnsi"/>
                <w:sz w:val="20"/>
                <w:szCs w:val="16"/>
              </w:rPr>
            </w:pPr>
            <w:r w:rsidRPr="00513C89">
              <w:rPr>
                <w:rFonts w:asciiTheme="minorHAnsi" w:hAnsiTheme="minorHAnsi"/>
                <w:sz w:val="20"/>
                <w:szCs w:val="16"/>
              </w:rPr>
              <w:t>50</w:t>
            </w:r>
          </w:p>
        </w:tc>
        <w:tc>
          <w:tcPr>
            <w:tcW w:w="733" w:type="dxa"/>
            <w:tcBorders>
              <w:left w:val="nil"/>
              <w:right w:val="nil"/>
            </w:tcBorders>
            <w:shd w:val="clear" w:color="auto" w:fill="auto"/>
            <w:noWrap/>
            <w:vAlign w:val="bottom"/>
            <w:hideMark/>
          </w:tcPr>
          <w:p w:rsidR="000E0CCA" w:rsidRPr="00513C89" w:rsidRDefault="000E0CCA" w:rsidP="00AF75CD">
            <w:pPr>
              <w:jc w:val="center"/>
              <w:rPr>
                <w:rFonts w:asciiTheme="minorHAnsi" w:hAnsiTheme="minorHAnsi"/>
                <w:sz w:val="20"/>
                <w:szCs w:val="16"/>
              </w:rPr>
            </w:pPr>
            <w:r w:rsidRPr="00513C89">
              <w:rPr>
                <w:rFonts w:asciiTheme="minorHAnsi" w:hAnsiTheme="minorHAnsi"/>
                <w:sz w:val="20"/>
                <w:szCs w:val="16"/>
              </w:rPr>
              <w:t>D</w:t>
            </w:r>
          </w:p>
        </w:tc>
        <w:tc>
          <w:tcPr>
            <w:tcW w:w="720" w:type="dxa"/>
            <w:tcBorders>
              <w:left w:val="nil"/>
            </w:tcBorders>
            <w:shd w:val="clear" w:color="auto" w:fill="auto"/>
            <w:noWrap/>
            <w:vAlign w:val="bottom"/>
            <w:hideMark/>
          </w:tcPr>
          <w:p w:rsidR="000E0CCA" w:rsidRPr="00513C89" w:rsidRDefault="000E0CCA" w:rsidP="00AF75CD">
            <w:pPr>
              <w:jc w:val="center"/>
              <w:rPr>
                <w:rFonts w:asciiTheme="minorHAnsi" w:hAnsiTheme="minorHAnsi"/>
                <w:sz w:val="20"/>
                <w:szCs w:val="16"/>
              </w:rPr>
            </w:pPr>
            <w:r w:rsidRPr="00513C89">
              <w:rPr>
                <w:rFonts w:asciiTheme="minorHAnsi" w:hAnsiTheme="minorHAnsi"/>
                <w:sz w:val="20"/>
                <w:szCs w:val="16"/>
              </w:rPr>
              <w:t>75</w:t>
            </w:r>
          </w:p>
        </w:tc>
      </w:tr>
      <w:tr w:rsidR="000E0CCA" w:rsidRPr="007777E2" w:rsidTr="00513C89">
        <w:trPr>
          <w:trHeight w:val="255"/>
          <w:jc w:val="center"/>
        </w:trPr>
        <w:tc>
          <w:tcPr>
            <w:tcW w:w="3087" w:type="dxa"/>
            <w:tcBorders>
              <w:right w:val="nil"/>
            </w:tcBorders>
            <w:shd w:val="clear" w:color="auto" w:fill="auto"/>
            <w:noWrap/>
            <w:vAlign w:val="bottom"/>
            <w:hideMark/>
          </w:tcPr>
          <w:p w:rsidR="000E0CCA" w:rsidRPr="00856CCE" w:rsidRDefault="000E0CCA" w:rsidP="000E0CCA">
            <w:pPr>
              <w:rPr>
                <w:rFonts w:asciiTheme="minorHAnsi" w:hAnsiTheme="minorHAnsi"/>
                <w:sz w:val="20"/>
                <w:szCs w:val="16"/>
              </w:rPr>
            </w:pPr>
            <w:r w:rsidRPr="00856CCE">
              <w:rPr>
                <w:rFonts w:asciiTheme="minorHAnsi" w:hAnsiTheme="minorHAnsi"/>
                <w:sz w:val="20"/>
                <w:szCs w:val="16"/>
              </w:rPr>
              <w:t>Overall risk assessment</w:t>
            </w:r>
          </w:p>
        </w:tc>
        <w:tc>
          <w:tcPr>
            <w:tcW w:w="733" w:type="dxa"/>
            <w:tcBorders>
              <w:left w:val="nil"/>
              <w:right w:val="nil"/>
            </w:tcBorders>
            <w:shd w:val="clear" w:color="auto" w:fill="auto"/>
            <w:noWrap/>
            <w:vAlign w:val="bottom"/>
            <w:hideMark/>
          </w:tcPr>
          <w:p w:rsidR="000E0CCA" w:rsidRPr="00513C89" w:rsidRDefault="000E0CCA" w:rsidP="00AF75CD">
            <w:pPr>
              <w:jc w:val="center"/>
              <w:rPr>
                <w:rFonts w:asciiTheme="minorHAnsi" w:hAnsiTheme="minorHAnsi"/>
                <w:sz w:val="20"/>
                <w:szCs w:val="16"/>
              </w:rPr>
            </w:pPr>
            <w:r w:rsidRPr="00513C89">
              <w:rPr>
                <w:rFonts w:asciiTheme="minorHAnsi" w:hAnsiTheme="minorHAnsi"/>
                <w:sz w:val="20"/>
                <w:szCs w:val="16"/>
              </w:rPr>
              <w:t>D</w:t>
            </w:r>
          </w:p>
        </w:tc>
        <w:tc>
          <w:tcPr>
            <w:tcW w:w="720" w:type="dxa"/>
            <w:tcBorders>
              <w:left w:val="nil"/>
              <w:right w:val="nil"/>
            </w:tcBorders>
            <w:shd w:val="clear" w:color="auto" w:fill="auto"/>
            <w:noWrap/>
            <w:vAlign w:val="bottom"/>
            <w:hideMark/>
          </w:tcPr>
          <w:p w:rsidR="000E0CCA" w:rsidRPr="00513C89" w:rsidRDefault="000E0CCA" w:rsidP="00AF75CD">
            <w:pPr>
              <w:jc w:val="center"/>
              <w:rPr>
                <w:rFonts w:asciiTheme="minorHAnsi" w:hAnsiTheme="minorHAnsi"/>
                <w:sz w:val="20"/>
                <w:szCs w:val="16"/>
              </w:rPr>
            </w:pPr>
            <w:r w:rsidRPr="00513C89">
              <w:rPr>
                <w:rFonts w:asciiTheme="minorHAnsi" w:hAnsiTheme="minorHAnsi"/>
                <w:sz w:val="20"/>
                <w:szCs w:val="16"/>
              </w:rPr>
              <w:t>66</w:t>
            </w:r>
          </w:p>
        </w:tc>
        <w:tc>
          <w:tcPr>
            <w:tcW w:w="733" w:type="dxa"/>
            <w:tcBorders>
              <w:left w:val="nil"/>
              <w:right w:val="nil"/>
            </w:tcBorders>
            <w:shd w:val="clear" w:color="auto" w:fill="auto"/>
            <w:noWrap/>
            <w:vAlign w:val="bottom"/>
            <w:hideMark/>
          </w:tcPr>
          <w:p w:rsidR="000E0CCA" w:rsidRPr="00513C89" w:rsidRDefault="000E0CCA" w:rsidP="00AF75CD">
            <w:pPr>
              <w:jc w:val="center"/>
              <w:rPr>
                <w:rFonts w:asciiTheme="minorHAnsi" w:hAnsiTheme="minorHAnsi"/>
                <w:sz w:val="20"/>
                <w:szCs w:val="16"/>
              </w:rPr>
            </w:pPr>
            <w:r w:rsidRPr="00513C89">
              <w:rPr>
                <w:rFonts w:asciiTheme="minorHAnsi" w:hAnsiTheme="minorHAnsi"/>
                <w:sz w:val="20"/>
                <w:szCs w:val="16"/>
              </w:rPr>
              <w:t>C</w:t>
            </w:r>
          </w:p>
        </w:tc>
        <w:tc>
          <w:tcPr>
            <w:tcW w:w="720" w:type="dxa"/>
            <w:tcBorders>
              <w:left w:val="nil"/>
              <w:right w:val="nil"/>
            </w:tcBorders>
            <w:shd w:val="clear" w:color="auto" w:fill="auto"/>
            <w:noWrap/>
            <w:vAlign w:val="bottom"/>
            <w:hideMark/>
          </w:tcPr>
          <w:p w:rsidR="000E0CCA" w:rsidRPr="00513C89" w:rsidRDefault="000E0CCA" w:rsidP="00AF75CD">
            <w:pPr>
              <w:jc w:val="center"/>
              <w:rPr>
                <w:rFonts w:asciiTheme="minorHAnsi" w:hAnsiTheme="minorHAnsi"/>
                <w:sz w:val="20"/>
                <w:szCs w:val="16"/>
              </w:rPr>
            </w:pPr>
            <w:r w:rsidRPr="00513C89">
              <w:rPr>
                <w:rFonts w:asciiTheme="minorHAnsi" w:hAnsiTheme="minorHAnsi"/>
                <w:sz w:val="20"/>
                <w:szCs w:val="16"/>
              </w:rPr>
              <w:t>57</w:t>
            </w:r>
          </w:p>
        </w:tc>
        <w:tc>
          <w:tcPr>
            <w:tcW w:w="733" w:type="dxa"/>
            <w:tcBorders>
              <w:left w:val="nil"/>
              <w:right w:val="nil"/>
            </w:tcBorders>
            <w:shd w:val="clear" w:color="auto" w:fill="auto"/>
            <w:noWrap/>
            <w:vAlign w:val="bottom"/>
            <w:hideMark/>
          </w:tcPr>
          <w:p w:rsidR="000E0CCA" w:rsidRPr="00513C89" w:rsidRDefault="000E0CCA" w:rsidP="00AF75CD">
            <w:pPr>
              <w:jc w:val="center"/>
              <w:rPr>
                <w:rFonts w:asciiTheme="minorHAnsi" w:hAnsiTheme="minorHAnsi"/>
                <w:sz w:val="20"/>
                <w:szCs w:val="16"/>
              </w:rPr>
            </w:pPr>
            <w:r w:rsidRPr="00513C89">
              <w:rPr>
                <w:rFonts w:asciiTheme="minorHAnsi" w:hAnsiTheme="minorHAnsi"/>
                <w:sz w:val="20"/>
                <w:szCs w:val="16"/>
              </w:rPr>
              <w:t>D</w:t>
            </w:r>
          </w:p>
        </w:tc>
        <w:tc>
          <w:tcPr>
            <w:tcW w:w="720" w:type="dxa"/>
            <w:tcBorders>
              <w:left w:val="nil"/>
              <w:right w:val="nil"/>
            </w:tcBorders>
            <w:shd w:val="clear" w:color="auto" w:fill="auto"/>
            <w:noWrap/>
            <w:vAlign w:val="bottom"/>
            <w:hideMark/>
          </w:tcPr>
          <w:p w:rsidR="000E0CCA" w:rsidRPr="00513C89" w:rsidRDefault="000E0CCA" w:rsidP="00AF75CD">
            <w:pPr>
              <w:jc w:val="center"/>
              <w:rPr>
                <w:rFonts w:asciiTheme="minorHAnsi" w:hAnsiTheme="minorHAnsi"/>
                <w:sz w:val="20"/>
                <w:szCs w:val="16"/>
              </w:rPr>
            </w:pPr>
            <w:r w:rsidRPr="00513C89">
              <w:rPr>
                <w:rFonts w:asciiTheme="minorHAnsi" w:hAnsiTheme="minorHAnsi"/>
                <w:sz w:val="20"/>
                <w:szCs w:val="16"/>
              </w:rPr>
              <w:t>61</w:t>
            </w:r>
          </w:p>
        </w:tc>
        <w:tc>
          <w:tcPr>
            <w:tcW w:w="733" w:type="dxa"/>
            <w:tcBorders>
              <w:left w:val="nil"/>
              <w:right w:val="nil"/>
            </w:tcBorders>
            <w:shd w:val="clear" w:color="auto" w:fill="auto"/>
            <w:noWrap/>
            <w:vAlign w:val="bottom"/>
            <w:hideMark/>
          </w:tcPr>
          <w:p w:rsidR="000E0CCA" w:rsidRPr="00513C89" w:rsidRDefault="000E0CCA" w:rsidP="00AF75CD">
            <w:pPr>
              <w:jc w:val="center"/>
              <w:rPr>
                <w:rFonts w:asciiTheme="minorHAnsi" w:hAnsiTheme="minorHAnsi"/>
                <w:sz w:val="20"/>
                <w:szCs w:val="16"/>
              </w:rPr>
            </w:pPr>
            <w:r w:rsidRPr="00513C89">
              <w:rPr>
                <w:rFonts w:asciiTheme="minorHAnsi" w:hAnsiTheme="minorHAnsi"/>
                <w:sz w:val="20"/>
                <w:szCs w:val="16"/>
              </w:rPr>
              <w:t>D</w:t>
            </w:r>
          </w:p>
        </w:tc>
        <w:tc>
          <w:tcPr>
            <w:tcW w:w="720" w:type="dxa"/>
            <w:tcBorders>
              <w:left w:val="nil"/>
            </w:tcBorders>
            <w:shd w:val="clear" w:color="auto" w:fill="auto"/>
            <w:noWrap/>
            <w:vAlign w:val="bottom"/>
            <w:hideMark/>
          </w:tcPr>
          <w:p w:rsidR="000E0CCA" w:rsidRPr="00513C89" w:rsidRDefault="000E0CCA" w:rsidP="00AF75CD">
            <w:pPr>
              <w:jc w:val="center"/>
              <w:rPr>
                <w:rFonts w:asciiTheme="minorHAnsi" w:hAnsiTheme="minorHAnsi"/>
                <w:sz w:val="20"/>
                <w:szCs w:val="16"/>
              </w:rPr>
            </w:pPr>
            <w:r w:rsidRPr="00513C89">
              <w:rPr>
                <w:rFonts w:asciiTheme="minorHAnsi" w:hAnsiTheme="minorHAnsi"/>
                <w:sz w:val="20"/>
                <w:szCs w:val="16"/>
              </w:rPr>
              <w:t>64</w:t>
            </w:r>
          </w:p>
        </w:tc>
      </w:tr>
      <w:tr w:rsidR="000E0CCA" w:rsidRPr="007777E2" w:rsidTr="00513C89">
        <w:trPr>
          <w:trHeight w:val="255"/>
          <w:jc w:val="center"/>
        </w:trPr>
        <w:tc>
          <w:tcPr>
            <w:tcW w:w="3087" w:type="dxa"/>
            <w:tcBorders>
              <w:right w:val="nil"/>
            </w:tcBorders>
            <w:shd w:val="clear" w:color="auto" w:fill="auto"/>
            <w:noWrap/>
            <w:vAlign w:val="bottom"/>
            <w:hideMark/>
          </w:tcPr>
          <w:p w:rsidR="000E0CCA" w:rsidRPr="00513C89" w:rsidRDefault="000E0CCA" w:rsidP="000E0CCA">
            <w:pPr>
              <w:rPr>
                <w:rFonts w:asciiTheme="minorHAnsi" w:hAnsiTheme="minorHAnsi"/>
                <w:sz w:val="20"/>
                <w:szCs w:val="16"/>
              </w:rPr>
            </w:pPr>
          </w:p>
        </w:tc>
        <w:tc>
          <w:tcPr>
            <w:tcW w:w="733" w:type="dxa"/>
            <w:tcBorders>
              <w:left w:val="nil"/>
              <w:right w:val="nil"/>
            </w:tcBorders>
            <w:shd w:val="clear" w:color="auto" w:fill="auto"/>
            <w:noWrap/>
            <w:vAlign w:val="bottom"/>
            <w:hideMark/>
          </w:tcPr>
          <w:p w:rsidR="000E0CCA" w:rsidRPr="00513C89" w:rsidRDefault="000E0CCA" w:rsidP="000E0CCA">
            <w:pPr>
              <w:rPr>
                <w:rFonts w:asciiTheme="minorHAnsi" w:hAnsiTheme="minorHAnsi"/>
                <w:sz w:val="20"/>
                <w:szCs w:val="16"/>
              </w:rPr>
            </w:pPr>
          </w:p>
        </w:tc>
        <w:tc>
          <w:tcPr>
            <w:tcW w:w="720" w:type="dxa"/>
            <w:tcBorders>
              <w:left w:val="nil"/>
              <w:right w:val="nil"/>
            </w:tcBorders>
            <w:shd w:val="clear" w:color="auto" w:fill="auto"/>
            <w:noWrap/>
            <w:vAlign w:val="bottom"/>
            <w:hideMark/>
          </w:tcPr>
          <w:p w:rsidR="000E0CCA" w:rsidRPr="00513C89" w:rsidRDefault="000E0CCA" w:rsidP="000E0CCA">
            <w:pPr>
              <w:rPr>
                <w:rFonts w:asciiTheme="minorHAnsi" w:hAnsiTheme="minorHAnsi"/>
                <w:sz w:val="20"/>
                <w:szCs w:val="16"/>
              </w:rPr>
            </w:pPr>
          </w:p>
        </w:tc>
        <w:tc>
          <w:tcPr>
            <w:tcW w:w="733" w:type="dxa"/>
            <w:tcBorders>
              <w:left w:val="nil"/>
              <w:right w:val="nil"/>
            </w:tcBorders>
            <w:shd w:val="clear" w:color="auto" w:fill="auto"/>
            <w:noWrap/>
            <w:vAlign w:val="bottom"/>
            <w:hideMark/>
          </w:tcPr>
          <w:p w:rsidR="000E0CCA" w:rsidRPr="00513C89" w:rsidRDefault="000E0CCA" w:rsidP="000E0CCA">
            <w:pPr>
              <w:rPr>
                <w:rFonts w:asciiTheme="minorHAnsi" w:hAnsiTheme="minorHAnsi"/>
                <w:sz w:val="20"/>
                <w:szCs w:val="16"/>
              </w:rPr>
            </w:pPr>
          </w:p>
        </w:tc>
        <w:tc>
          <w:tcPr>
            <w:tcW w:w="720" w:type="dxa"/>
            <w:tcBorders>
              <w:left w:val="nil"/>
              <w:right w:val="nil"/>
            </w:tcBorders>
            <w:shd w:val="clear" w:color="auto" w:fill="auto"/>
            <w:noWrap/>
            <w:vAlign w:val="bottom"/>
            <w:hideMark/>
          </w:tcPr>
          <w:p w:rsidR="000E0CCA" w:rsidRPr="00513C89" w:rsidRDefault="000E0CCA" w:rsidP="000E0CCA">
            <w:pPr>
              <w:rPr>
                <w:rFonts w:asciiTheme="minorHAnsi" w:hAnsiTheme="minorHAnsi"/>
                <w:sz w:val="20"/>
                <w:szCs w:val="16"/>
              </w:rPr>
            </w:pPr>
          </w:p>
        </w:tc>
        <w:tc>
          <w:tcPr>
            <w:tcW w:w="733" w:type="dxa"/>
            <w:tcBorders>
              <w:left w:val="nil"/>
              <w:right w:val="nil"/>
            </w:tcBorders>
            <w:shd w:val="clear" w:color="auto" w:fill="auto"/>
            <w:noWrap/>
            <w:vAlign w:val="bottom"/>
            <w:hideMark/>
          </w:tcPr>
          <w:p w:rsidR="000E0CCA" w:rsidRPr="00513C89" w:rsidRDefault="000E0CCA" w:rsidP="000E0CCA">
            <w:pPr>
              <w:rPr>
                <w:rFonts w:asciiTheme="minorHAnsi" w:hAnsiTheme="minorHAnsi"/>
                <w:sz w:val="20"/>
                <w:szCs w:val="16"/>
              </w:rPr>
            </w:pPr>
          </w:p>
        </w:tc>
        <w:tc>
          <w:tcPr>
            <w:tcW w:w="720" w:type="dxa"/>
            <w:tcBorders>
              <w:left w:val="nil"/>
              <w:right w:val="nil"/>
            </w:tcBorders>
            <w:shd w:val="clear" w:color="auto" w:fill="auto"/>
            <w:noWrap/>
            <w:vAlign w:val="bottom"/>
            <w:hideMark/>
          </w:tcPr>
          <w:p w:rsidR="000E0CCA" w:rsidRPr="00513C89" w:rsidRDefault="000E0CCA" w:rsidP="000E0CCA">
            <w:pPr>
              <w:rPr>
                <w:rFonts w:asciiTheme="minorHAnsi" w:hAnsiTheme="minorHAnsi"/>
                <w:sz w:val="20"/>
                <w:szCs w:val="16"/>
              </w:rPr>
            </w:pPr>
          </w:p>
        </w:tc>
        <w:tc>
          <w:tcPr>
            <w:tcW w:w="733" w:type="dxa"/>
            <w:tcBorders>
              <w:left w:val="nil"/>
              <w:right w:val="nil"/>
            </w:tcBorders>
            <w:shd w:val="clear" w:color="auto" w:fill="auto"/>
            <w:noWrap/>
            <w:vAlign w:val="bottom"/>
            <w:hideMark/>
          </w:tcPr>
          <w:p w:rsidR="000E0CCA" w:rsidRPr="00513C89" w:rsidRDefault="000E0CCA" w:rsidP="000E0CCA">
            <w:pPr>
              <w:rPr>
                <w:rFonts w:asciiTheme="minorHAnsi" w:hAnsiTheme="minorHAnsi"/>
                <w:sz w:val="20"/>
                <w:szCs w:val="16"/>
              </w:rPr>
            </w:pPr>
          </w:p>
        </w:tc>
        <w:tc>
          <w:tcPr>
            <w:tcW w:w="720" w:type="dxa"/>
            <w:tcBorders>
              <w:left w:val="nil"/>
            </w:tcBorders>
            <w:shd w:val="clear" w:color="auto" w:fill="auto"/>
            <w:noWrap/>
            <w:vAlign w:val="bottom"/>
            <w:hideMark/>
          </w:tcPr>
          <w:p w:rsidR="000E0CCA" w:rsidRPr="00513C89" w:rsidRDefault="000E0CCA" w:rsidP="000E0CCA">
            <w:pPr>
              <w:rPr>
                <w:rFonts w:asciiTheme="minorHAnsi" w:hAnsiTheme="minorHAnsi"/>
                <w:sz w:val="20"/>
                <w:szCs w:val="16"/>
              </w:rPr>
            </w:pPr>
          </w:p>
        </w:tc>
      </w:tr>
      <w:tr w:rsidR="000E0CCA" w:rsidRPr="007777E2" w:rsidTr="00513C89">
        <w:trPr>
          <w:trHeight w:val="255"/>
          <w:jc w:val="center"/>
        </w:trPr>
        <w:tc>
          <w:tcPr>
            <w:tcW w:w="8899" w:type="dxa"/>
            <w:gridSpan w:val="9"/>
            <w:shd w:val="clear" w:color="auto" w:fill="auto"/>
            <w:noWrap/>
            <w:vAlign w:val="bottom"/>
            <w:hideMark/>
          </w:tcPr>
          <w:p w:rsidR="000E0CCA" w:rsidRPr="007777E2" w:rsidRDefault="00CB644F" w:rsidP="000E0CCA">
            <w:pPr>
              <w:rPr>
                <w:rFonts w:asciiTheme="minorHAnsi" w:hAnsiTheme="minorHAnsi"/>
                <w:sz w:val="16"/>
                <w:szCs w:val="16"/>
              </w:rPr>
            </w:pPr>
            <w:r w:rsidRPr="007777E2">
              <w:rPr>
                <w:rFonts w:asciiTheme="minorHAnsi" w:hAnsiTheme="minorHAnsi"/>
                <w:sz w:val="16"/>
                <w:szCs w:val="16"/>
              </w:rPr>
              <w:t xml:space="preserve">Note: E= most risky; </w:t>
            </w:r>
            <w:r w:rsidR="000E0CCA" w:rsidRPr="007777E2">
              <w:rPr>
                <w:rFonts w:asciiTheme="minorHAnsi" w:hAnsiTheme="minorHAnsi"/>
                <w:sz w:val="16"/>
                <w:szCs w:val="16"/>
              </w:rPr>
              <w:t xml:space="preserve">100 + </w:t>
            </w:r>
            <w:r w:rsidRPr="007777E2">
              <w:rPr>
                <w:rFonts w:asciiTheme="minorHAnsi" w:hAnsiTheme="minorHAnsi"/>
                <w:sz w:val="16"/>
                <w:szCs w:val="16"/>
              </w:rPr>
              <w:t xml:space="preserve">= </w:t>
            </w:r>
            <w:r w:rsidR="000E0CCA" w:rsidRPr="007777E2">
              <w:rPr>
                <w:rFonts w:asciiTheme="minorHAnsi" w:hAnsiTheme="minorHAnsi"/>
                <w:sz w:val="16"/>
                <w:szCs w:val="16"/>
              </w:rPr>
              <w:t>most risky</w:t>
            </w:r>
          </w:p>
        </w:tc>
      </w:tr>
      <w:tr w:rsidR="000E0CCA" w:rsidRPr="007777E2" w:rsidTr="00513C89">
        <w:trPr>
          <w:trHeight w:val="255"/>
          <w:jc w:val="center"/>
        </w:trPr>
        <w:tc>
          <w:tcPr>
            <w:tcW w:w="8899" w:type="dxa"/>
            <w:gridSpan w:val="9"/>
            <w:shd w:val="clear" w:color="auto" w:fill="auto"/>
            <w:noWrap/>
            <w:vAlign w:val="bottom"/>
            <w:hideMark/>
          </w:tcPr>
          <w:p w:rsidR="000E0CCA" w:rsidRPr="007777E2" w:rsidRDefault="000E0CCA" w:rsidP="00203090">
            <w:pPr>
              <w:rPr>
                <w:rFonts w:asciiTheme="minorHAnsi" w:hAnsiTheme="minorHAnsi"/>
                <w:sz w:val="18"/>
                <w:szCs w:val="18"/>
              </w:rPr>
            </w:pPr>
            <w:r w:rsidRPr="007777E2">
              <w:rPr>
                <w:rFonts w:asciiTheme="minorHAnsi" w:hAnsiTheme="minorHAnsi"/>
                <w:sz w:val="18"/>
                <w:szCs w:val="18"/>
              </w:rPr>
              <w:t xml:space="preserve">Source: </w:t>
            </w:r>
            <w:r w:rsidR="00203090" w:rsidRPr="007777E2">
              <w:rPr>
                <w:rFonts w:asciiTheme="minorHAnsi" w:hAnsiTheme="minorHAnsi"/>
                <w:sz w:val="18"/>
                <w:szCs w:val="18"/>
              </w:rPr>
              <w:t xml:space="preserve">Business Eastern Europe, 2009. </w:t>
            </w:r>
            <w:r w:rsidRPr="007777E2">
              <w:rPr>
                <w:rFonts w:asciiTheme="minorHAnsi" w:hAnsiTheme="minorHAnsi"/>
                <w:sz w:val="18"/>
                <w:szCs w:val="18"/>
              </w:rPr>
              <w:t xml:space="preserve"> </w:t>
            </w:r>
          </w:p>
        </w:tc>
      </w:tr>
    </w:tbl>
    <w:p w:rsidR="00096ADF" w:rsidRPr="007777E2" w:rsidRDefault="000E0CCA" w:rsidP="000E0CCA">
      <w:pPr>
        <w:tabs>
          <w:tab w:val="num" w:pos="3420"/>
        </w:tabs>
        <w:spacing w:after="120"/>
        <w:jc w:val="both"/>
      </w:pPr>
      <w:r w:rsidRPr="007777E2">
        <w:t xml:space="preserve"> </w:t>
      </w:r>
    </w:p>
    <w:p w:rsidR="00CB644F" w:rsidRDefault="00CB644F" w:rsidP="00BE35AE">
      <w:pPr>
        <w:numPr>
          <w:ilvl w:val="0"/>
          <w:numId w:val="2"/>
        </w:numPr>
        <w:tabs>
          <w:tab w:val="num" w:pos="3420"/>
        </w:tabs>
        <w:spacing w:after="120"/>
        <w:ind w:left="0" w:firstLine="0"/>
        <w:jc w:val="both"/>
      </w:pPr>
      <w:bookmarkStart w:id="98" w:name="_Ref255897546"/>
      <w:r w:rsidRPr="007777E2">
        <w:rPr>
          <w:b/>
        </w:rPr>
        <w:lastRenderedPageBreak/>
        <w:t xml:space="preserve">The </w:t>
      </w:r>
      <w:r w:rsidRPr="007777E2">
        <w:rPr>
          <w:b/>
          <w:i/>
        </w:rPr>
        <w:t>Doing Business</w:t>
      </w:r>
      <w:r w:rsidRPr="007777E2">
        <w:rPr>
          <w:b/>
        </w:rPr>
        <w:t xml:space="preserve"> Index </w:t>
      </w:r>
      <w:r w:rsidR="00603D84" w:rsidRPr="007777E2">
        <w:rPr>
          <w:b/>
        </w:rPr>
        <w:t xml:space="preserve">of 2010 </w:t>
      </w:r>
      <w:r w:rsidRPr="007777E2">
        <w:rPr>
          <w:b/>
        </w:rPr>
        <w:t>ranks Belarus as the 58</w:t>
      </w:r>
      <w:r w:rsidRPr="007777E2">
        <w:rPr>
          <w:b/>
          <w:vertAlign w:val="superscript"/>
        </w:rPr>
        <w:t>th</w:t>
      </w:r>
      <w:r w:rsidRPr="007777E2">
        <w:rPr>
          <w:b/>
        </w:rPr>
        <w:t xml:space="preserve"> most conducive environment to the operation of business</w:t>
      </w:r>
      <w:r w:rsidRPr="007777E2">
        <w:t xml:space="preserve">. </w:t>
      </w:r>
      <w:proofErr w:type="gramStart"/>
      <w:r w:rsidRPr="007777E2">
        <w:t xml:space="preserve">This </w:t>
      </w:r>
      <w:r w:rsidR="00ED6374" w:rsidRPr="007777E2">
        <w:t xml:space="preserve">ranking </w:t>
      </w:r>
      <w:r w:rsidRPr="007777E2">
        <w:t>points</w:t>
      </w:r>
      <w:proofErr w:type="gramEnd"/>
      <w:r w:rsidRPr="007777E2">
        <w:t xml:space="preserve"> to remarkable improvements in the regulatory environment (see </w:t>
      </w:r>
      <w:fldSimple w:instr=" REF _Ref257107731 \h  \* MERGEFORMAT ">
        <w:r w:rsidR="00E85C5F" w:rsidRPr="00E85C5F">
          <w:t xml:space="preserve">Table </w:t>
        </w:r>
        <w:r w:rsidR="00E85C5F" w:rsidRPr="00E85C5F">
          <w:rPr>
            <w:noProof/>
          </w:rPr>
          <w:t>4</w:t>
        </w:r>
      </w:fldSimple>
      <w:r w:rsidR="00422E82" w:rsidRPr="007777E2">
        <w:t xml:space="preserve"> and </w:t>
      </w:r>
      <w:fldSimple w:instr=" REF _Ref255897573 \h  \* MERGEFORMAT ">
        <w:r w:rsidR="00E85C5F" w:rsidRPr="00E85C5F">
          <w:t xml:space="preserve">Table </w:t>
        </w:r>
        <w:r w:rsidR="00E85C5F" w:rsidRPr="00E85C5F">
          <w:rPr>
            <w:noProof/>
          </w:rPr>
          <w:t>5</w:t>
        </w:r>
      </w:fldSimple>
      <w:r w:rsidRPr="007777E2">
        <w:t xml:space="preserve">). As a result, Belarus fares better than many of its neighboring countries that have </w:t>
      </w:r>
      <w:r w:rsidR="00F724AE" w:rsidRPr="007777E2">
        <w:t>introduced fewer</w:t>
      </w:r>
      <w:r w:rsidRPr="007777E2">
        <w:t xml:space="preserve"> reform</w:t>
      </w:r>
      <w:r w:rsidR="00F724AE" w:rsidRPr="007777E2">
        <w:t>s</w:t>
      </w:r>
      <w:r w:rsidRPr="007777E2">
        <w:t xml:space="preserve">. The Government of Belarus seems to place significant importance on the </w:t>
      </w:r>
      <w:r w:rsidRPr="007777E2">
        <w:rPr>
          <w:i/>
        </w:rPr>
        <w:t>Doing Business</w:t>
      </w:r>
      <w:r w:rsidRPr="007777E2">
        <w:t xml:space="preserve"> Index, and the official goal for Belarus is to reach the top 30 countries in the rankings (</w:t>
      </w:r>
      <w:proofErr w:type="spellStart"/>
      <w:r w:rsidRPr="007777E2">
        <w:t>Tatarchuk</w:t>
      </w:r>
      <w:proofErr w:type="spellEnd"/>
      <w:r w:rsidRPr="007777E2">
        <w:t xml:space="preserve">, 2009). </w:t>
      </w:r>
    </w:p>
    <w:p w:rsidR="00D451B0" w:rsidRPr="007777E2" w:rsidRDefault="00D451B0" w:rsidP="00D451B0">
      <w:pPr>
        <w:tabs>
          <w:tab w:val="num" w:pos="3420"/>
        </w:tabs>
        <w:spacing w:after="120"/>
        <w:jc w:val="both"/>
      </w:pPr>
    </w:p>
    <w:tbl>
      <w:tblPr>
        <w:tblStyle w:val="TableGrid"/>
        <w:tblW w:w="0" w:type="auto"/>
        <w:tblLayout w:type="fixed"/>
        <w:tblLook w:val="04A0"/>
      </w:tblPr>
      <w:tblGrid>
        <w:gridCol w:w="4698"/>
        <w:gridCol w:w="4878"/>
      </w:tblGrid>
      <w:tr w:rsidR="008C2CEF" w:rsidRPr="007777E2" w:rsidTr="00484DC0">
        <w:trPr>
          <w:trHeight w:val="4625"/>
        </w:trPr>
        <w:tc>
          <w:tcPr>
            <w:tcW w:w="4698" w:type="dxa"/>
          </w:tcPr>
          <w:p w:rsidR="008C2CEF" w:rsidRPr="007777E2" w:rsidRDefault="008C2CEF" w:rsidP="008C2CEF">
            <w:pPr>
              <w:tabs>
                <w:tab w:val="num" w:pos="3420"/>
              </w:tabs>
              <w:spacing w:after="120"/>
              <w:jc w:val="both"/>
              <w:rPr>
                <w:b/>
              </w:rPr>
            </w:pPr>
            <w:bookmarkStart w:id="99" w:name="_Ref257107731"/>
            <w:bookmarkStart w:id="100" w:name="_Toc264227131"/>
            <w:r w:rsidRPr="007777E2">
              <w:rPr>
                <w:b/>
              </w:rPr>
              <w:t xml:space="preserve">Table </w:t>
            </w:r>
            <w:r w:rsidR="006B40AE" w:rsidRPr="007777E2">
              <w:rPr>
                <w:b/>
              </w:rPr>
              <w:fldChar w:fldCharType="begin"/>
            </w:r>
            <w:r w:rsidRPr="007777E2">
              <w:rPr>
                <w:b/>
              </w:rPr>
              <w:instrText xml:space="preserve"> SEQ Table \* ARABIC </w:instrText>
            </w:r>
            <w:r w:rsidR="006B40AE" w:rsidRPr="007777E2">
              <w:rPr>
                <w:b/>
              </w:rPr>
              <w:fldChar w:fldCharType="separate"/>
            </w:r>
            <w:r w:rsidR="009E2C86">
              <w:rPr>
                <w:b/>
                <w:noProof/>
              </w:rPr>
              <w:t>4</w:t>
            </w:r>
            <w:r w:rsidR="006B40AE" w:rsidRPr="007777E2">
              <w:rPr>
                <w:b/>
              </w:rPr>
              <w:fldChar w:fldCharType="end"/>
            </w:r>
            <w:bookmarkEnd w:id="99"/>
            <w:r w:rsidRPr="007777E2">
              <w:rPr>
                <w:b/>
              </w:rPr>
              <w:t xml:space="preserve">. International </w:t>
            </w:r>
            <w:r w:rsidR="00C21AB2" w:rsidRPr="007777E2">
              <w:rPr>
                <w:b/>
              </w:rPr>
              <w:t>C</w:t>
            </w:r>
            <w:r w:rsidRPr="007777E2">
              <w:rPr>
                <w:b/>
              </w:rPr>
              <w:t xml:space="preserve">omparison of </w:t>
            </w:r>
            <w:r w:rsidR="00C21AB2" w:rsidRPr="007777E2">
              <w:rPr>
                <w:b/>
              </w:rPr>
              <w:t>R</w:t>
            </w:r>
            <w:r w:rsidRPr="007777E2">
              <w:rPr>
                <w:b/>
              </w:rPr>
              <w:t xml:space="preserve">ank </w:t>
            </w:r>
            <w:r w:rsidR="00C21AB2" w:rsidRPr="007777E2">
              <w:rPr>
                <w:b/>
              </w:rPr>
              <w:t>C</w:t>
            </w:r>
            <w:r w:rsidRPr="007777E2">
              <w:rPr>
                <w:b/>
              </w:rPr>
              <w:t>hanges in the Doing Business Index (2009-2010)</w:t>
            </w:r>
            <w:bookmarkEnd w:id="100"/>
          </w:p>
          <w:p w:rsidR="00484DC0" w:rsidRPr="007777E2" w:rsidRDefault="00484DC0" w:rsidP="008C2CEF">
            <w:pPr>
              <w:tabs>
                <w:tab w:val="num" w:pos="3420"/>
              </w:tabs>
              <w:spacing w:after="120"/>
              <w:jc w:val="both"/>
              <w:rPr>
                <w:b/>
              </w:rPr>
            </w:pPr>
          </w:p>
          <w:tbl>
            <w:tblPr>
              <w:tblW w:w="4426" w:type="dxa"/>
              <w:tblBorders>
                <w:top w:val="single" w:sz="8" w:space="0" w:color="auto"/>
                <w:bottom w:val="single" w:sz="8" w:space="0" w:color="auto"/>
                <w:insideH w:val="single" w:sz="8" w:space="0" w:color="auto"/>
              </w:tblBorders>
              <w:tblLayout w:type="fixed"/>
              <w:tblLook w:val="04A0"/>
            </w:tblPr>
            <w:tblGrid>
              <w:gridCol w:w="1058"/>
              <w:gridCol w:w="1155"/>
              <w:gridCol w:w="1155"/>
              <w:gridCol w:w="1058"/>
            </w:tblGrid>
            <w:tr w:rsidR="00484DC0" w:rsidRPr="007777E2" w:rsidTr="00C21AB2">
              <w:trPr>
                <w:trHeight w:val="256"/>
              </w:trPr>
              <w:tc>
                <w:tcPr>
                  <w:tcW w:w="1058" w:type="dxa"/>
                  <w:shd w:val="clear" w:color="auto" w:fill="auto"/>
                  <w:noWrap/>
                  <w:vAlign w:val="bottom"/>
                  <w:hideMark/>
                </w:tcPr>
                <w:p w:rsidR="00484DC0" w:rsidRPr="007777E2" w:rsidRDefault="00484DC0" w:rsidP="00484DC0">
                  <w:pPr>
                    <w:rPr>
                      <w:rFonts w:asciiTheme="minorHAnsi" w:hAnsiTheme="minorHAnsi" w:cs="Arial"/>
                      <w:sz w:val="16"/>
                      <w:szCs w:val="16"/>
                    </w:rPr>
                  </w:pPr>
                </w:p>
              </w:tc>
              <w:tc>
                <w:tcPr>
                  <w:tcW w:w="1155" w:type="dxa"/>
                  <w:shd w:val="clear" w:color="auto" w:fill="auto"/>
                  <w:hideMark/>
                </w:tcPr>
                <w:p w:rsidR="00484DC0" w:rsidRPr="007777E2" w:rsidRDefault="00484DC0" w:rsidP="00C21AB2">
                  <w:pPr>
                    <w:jc w:val="center"/>
                    <w:rPr>
                      <w:rFonts w:asciiTheme="minorHAnsi" w:hAnsiTheme="minorHAnsi" w:cs="Arial"/>
                      <w:b/>
                      <w:bCs/>
                      <w:sz w:val="16"/>
                      <w:szCs w:val="16"/>
                    </w:rPr>
                  </w:pPr>
                  <w:r w:rsidRPr="007777E2">
                    <w:rPr>
                      <w:rFonts w:asciiTheme="minorHAnsi" w:hAnsiTheme="minorHAnsi" w:cs="Arial"/>
                      <w:b/>
                      <w:bCs/>
                      <w:sz w:val="16"/>
                      <w:szCs w:val="16"/>
                    </w:rPr>
                    <w:t>2010</w:t>
                  </w:r>
                </w:p>
                <w:p w:rsidR="00484DC0" w:rsidRPr="007777E2" w:rsidRDefault="00484DC0" w:rsidP="00C21AB2">
                  <w:pPr>
                    <w:jc w:val="center"/>
                    <w:rPr>
                      <w:rFonts w:asciiTheme="minorHAnsi" w:hAnsiTheme="minorHAnsi" w:cs="Arial"/>
                      <w:b/>
                      <w:bCs/>
                      <w:sz w:val="16"/>
                      <w:szCs w:val="16"/>
                    </w:rPr>
                  </w:pPr>
                  <w:r w:rsidRPr="007777E2">
                    <w:rPr>
                      <w:rFonts w:asciiTheme="minorHAnsi" w:hAnsiTheme="minorHAnsi" w:cs="Arial"/>
                      <w:b/>
                      <w:bCs/>
                      <w:sz w:val="16"/>
                      <w:szCs w:val="16"/>
                    </w:rPr>
                    <w:t>rank</w:t>
                  </w:r>
                </w:p>
              </w:tc>
              <w:tc>
                <w:tcPr>
                  <w:tcW w:w="1155" w:type="dxa"/>
                  <w:shd w:val="clear" w:color="auto" w:fill="auto"/>
                  <w:hideMark/>
                </w:tcPr>
                <w:p w:rsidR="00484DC0" w:rsidRPr="007777E2" w:rsidRDefault="00484DC0" w:rsidP="00C21AB2">
                  <w:pPr>
                    <w:jc w:val="center"/>
                    <w:rPr>
                      <w:rFonts w:asciiTheme="minorHAnsi" w:hAnsiTheme="minorHAnsi" w:cs="Arial"/>
                      <w:b/>
                      <w:bCs/>
                      <w:sz w:val="16"/>
                      <w:szCs w:val="16"/>
                    </w:rPr>
                  </w:pPr>
                  <w:r w:rsidRPr="007777E2">
                    <w:rPr>
                      <w:rFonts w:asciiTheme="minorHAnsi" w:hAnsiTheme="minorHAnsi" w:cs="Arial"/>
                      <w:b/>
                      <w:bCs/>
                      <w:sz w:val="16"/>
                      <w:szCs w:val="16"/>
                    </w:rPr>
                    <w:t>2009</w:t>
                  </w:r>
                </w:p>
                <w:p w:rsidR="00484DC0" w:rsidRPr="007777E2" w:rsidRDefault="00484DC0" w:rsidP="00C21AB2">
                  <w:pPr>
                    <w:jc w:val="center"/>
                    <w:rPr>
                      <w:rFonts w:asciiTheme="minorHAnsi" w:hAnsiTheme="minorHAnsi" w:cs="Arial"/>
                      <w:b/>
                      <w:bCs/>
                      <w:sz w:val="16"/>
                      <w:szCs w:val="16"/>
                    </w:rPr>
                  </w:pPr>
                  <w:r w:rsidRPr="007777E2">
                    <w:rPr>
                      <w:rFonts w:asciiTheme="minorHAnsi" w:hAnsiTheme="minorHAnsi" w:cs="Arial"/>
                      <w:b/>
                      <w:bCs/>
                      <w:sz w:val="16"/>
                      <w:szCs w:val="16"/>
                    </w:rPr>
                    <w:t>rank</w:t>
                  </w:r>
                </w:p>
              </w:tc>
              <w:tc>
                <w:tcPr>
                  <w:tcW w:w="1058" w:type="dxa"/>
                  <w:shd w:val="clear" w:color="auto" w:fill="auto"/>
                  <w:hideMark/>
                </w:tcPr>
                <w:p w:rsidR="00484DC0" w:rsidRPr="007777E2" w:rsidRDefault="00C21AB2" w:rsidP="00C21AB2">
                  <w:pPr>
                    <w:jc w:val="center"/>
                    <w:rPr>
                      <w:rFonts w:asciiTheme="minorHAnsi" w:hAnsiTheme="minorHAnsi" w:cs="Arial"/>
                      <w:b/>
                      <w:bCs/>
                      <w:sz w:val="16"/>
                      <w:szCs w:val="16"/>
                    </w:rPr>
                  </w:pPr>
                  <w:r w:rsidRPr="007777E2">
                    <w:rPr>
                      <w:rFonts w:asciiTheme="minorHAnsi" w:hAnsiTheme="minorHAnsi" w:cs="Arial"/>
                      <w:b/>
                      <w:bCs/>
                      <w:sz w:val="16"/>
                      <w:szCs w:val="16"/>
                    </w:rPr>
                    <w:t>C</w:t>
                  </w:r>
                  <w:r w:rsidR="00484DC0" w:rsidRPr="007777E2">
                    <w:rPr>
                      <w:rFonts w:asciiTheme="minorHAnsi" w:hAnsiTheme="minorHAnsi" w:cs="Arial"/>
                      <w:b/>
                      <w:bCs/>
                      <w:sz w:val="16"/>
                      <w:szCs w:val="16"/>
                    </w:rPr>
                    <w:t>hange</w:t>
                  </w:r>
                </w:p>
              </w:tc>
            </w:tr>
            <w:tr w:rsidR="00484DC0" w:rsidRPr="007777E2" w:rsidTr="00484DC0">
              <w:trPr>
                <w:trHeight w:val="242"/>
              </w:trPr>
              <w:tc>
                <w:tcPr>
                  <w:tcW w:w="1058" w:type="dxa"/>
                  <w:shd w:val="clear" w:color="auto" w:fill="auto"/>
                  <w:noWrap/>
                  <w:vAlign w:val="bottom"/>
                  <w:hideMark/>
                </w:tcPr>
                <w:p w:rsidR="00484DC0" w:rsidRPr="00513C89" w:rsidRDefault="00484DC0" w:rsidP="00484DC0">
                  <w:pPr>
                    <w:rPr>
                      <w:rFonts w:asciiTheme="minorHAnsi" w:hAnsiTheme="minorHAnsi" w:cs="Arial"/>
                      <w:sz w:val="18"/>
                      <w:szCs w:val="16"/>
                    </w:rPr>
                  </w:pPr>
                  <w:r w:rsidRPr="00513C89">
                    <w:rPr>
                      <w:rFonts w:asciiTheme="minorHAnsi" w:hAnsiTheme="minorHAnsi" w:cs="Arial"/>
                      <w:sz w:val="18"/>
                      <w:szCs w:val="16"/>
                    </w:rPr>
                    <w:t>Singapore</w:t>
                  </w:r>
                </w:p>
              </w:tc>
              <w:tc>
                <w:tcPr>
                  <w:tcW w:w="1155" w:type="dxa"/>
                  <w:shd w:val="clear" w:color="auto" w:fill="auto"/>
                  <w:noWrap/>
                  <w:vAlign w:val="bottom"/>
                  <w:hideMark/>
                </w:tcPr>
                <w:p w:rsidR="00484DC0" w:rsidRPr="00513C89" w:rsidRDefault="00484DC0" w:rsidP="00484DC0">
                  <w:pPr>
                    <w:jc w:val="center"/>
                    <w:rPr>
                      <w:rFonts w:asciiTheme="minorHAnsi" w:hAnsiTheme="minorHAnsi" w:cs="Arial"/>
                      <w:sz w:val="18"/>
                      <w:szCs w:val="16"/>
                    </w:rPr>
                  </w:pPr>
                  <w:r w:rsidRPr="00513C89">
                    <w:rPr>
                      <w:rFonts w:asciiTheme="minorHAnsi" w:hAnsiTheme="minorHAnsi" w:cs="Arial"/>
                      <w:sz w:val="18"/>
                      <w:szCs w:val="16"/>
                    </w:rPr>
                    <w:t>1</w:t>
                  </w:r>
                </w:p>
              </w:tc>
              <w:tc>
                <w:tcPr>
                  <w:tcW w:w="1155" w:type="dxa"/>
                  <w:shd w:val="clear" w:color="auto" w:fill="auto"/>
                  <w:noWrap/>
                  <w:vAlign w:val="bottom"/>
                  <w:hideMark/>
                </w:tcPr>
                <w:p w:rsidR="00484DC0" w:rsidRPr="00513C89" w:rsidRDefault="00484DC0" w:rsidP="00484DC0">
                  <w:pPr>
                    <w:jc w:val="center"/>
                    <w:rPr>
                      <w:rFonts w:asciiTheme="minorHAnsi" w:hAnsiTheme="minorHAnsi" w:cs="Arial"/>
                      <w:sz w:val="18"/>
                      <w:szCs w:val="16"/>
                    </w:rPr>
                  </w:pPr>
                  <w:r w:rsidRPr="00513C89">
                    <w:rPr>
                      <w:rFonts w:asciiTheme="minorHAnsi" w:hAnsiTheme="minorHAnsi" w:cs="Arial"/>
                      <w:sz w:val="18"/>
                      <w:szCs w:val="16"/>
                    </w:rPr>
                    <w:t>1</w:t>
                  </w:r>
                </w:p>
              </w:tc>
              <w:tc>
                <w:tcPr>
                  <w:tcW w:w="1058" w:type="dxa"/>
                  <w:shd w:val="clear" w:color="auto" w:fill="auto"/>
                  <w:noWrap/>
                  <w:vAlign w:val="bottom"/>
                  <w:hideMark/>
                </w:tcPr>
                <w:p w:rsidR="00484DC0" w:rsidRPr="00513C89" w:rsidRDefault="00484DC0" w:rsidP="00484DC0">
                  <w:pPr>
                    <w:jc w:val="center"/>
                    <w:rPr>
                      <w:rFonts w:asciiTheme="minorHAnsi" w:hAnsiTheme="minorHAnsi" w:cs="Arial"/>
                      <w:sz w:val="18"/>
                      <w:szCs w:val="16"/>
                    </w:rPr>
                  </w:pPr>
                  <w:r w:rsidRPr="00513C89">
                    <w:rPr>
                      <w:rFonts w:asciiTheme="minorHAnsi" w:hAnsiTheme="minorHAnsi" w:cs="Arial"/>
                      <w:sz w:val="18"/>
                      <w:szCs w:val="16"/>
                    </w:rPr>
                    <w:t>0</w:t>
                  </w:r>
                </w:p>
              </w:tc>
            </w:tr>
            <w:tr w:rsidR="00484DC0" w:rsidRPr="007777E2" w:rsidTr="00484DC0">
              <w:trPr>
                <w:trHeight w:val="242"/>
              </w:trPr>
              <w:tc>
                <w:tcPr>
                  <w:tcW w:w="1058" w:type="dxa"/>
                  <w:shd w:val="clear" w:color="auto" w:fill="auto"/>
                  <w:noWrap/>
                  <w:vAlign w:val="bottom"/>
                  <w:hideMark/>
                </w:tcPr>
                <w:p w:rsidR="00484DC0" w:rsidRPr="00513C89" w:rsidRDefault="00484DC0" w:rsidP="00484DC0">
                  <w:pPr>
                    <w:rPr>
                      <w:rFonts w:asciiTheme="minorHAnsi" w:hAnsiTheme="minorHAnsi" w:cs="Arial"/>
                      <w:sz w:val="18"/>
                      <w:szCs w:val="16"/>
                    </w:rPr>
                  </w:pPr>
                  <w:r w:rsidRPr="00513C89">
                    <w:rPr>
                      <w:rFonts w:asciiTheme="minorHAnsi" w:hAnsiTheme="minorHAnsi" w:cs="Arial"/>
                      <w:sz w:val="18"/>
                      <w:szCs w:val="16"/>
                    </w:rPr>
                    <w:t>Lithuania</w:t>
                  </w:r>
                </w:p>
              </w:tc>
              <w:tc>
                <w:tcPr>
                  <w:tcW w:w="1155" w:type="dxa"/>
                  <w:shd w:val="clear" w:color="auto" w:fill="auto"/>
                  <w:noWrap/>
                  <w:vAlign w:val="bottom"/>
                  <w:hideMark/>
                </w:tcPr>
                <w:p w:rsidR="00484DC0" w:rsidRPr="00513C89" w:rsidRDefault="00484DC0" w:rsidP="00484DC0">
                  <w:pPr>
                    <w:jc w:val="center"/>
                    <w:rPr>
                      <w:rFonts w:asciiTheme="minorHAnsi" w:hAnsiTheme="minorHAnsi" w:cs="Arial"/>
                      <w:sz w:val="18"/>
                      <w:szCs w:val="16"/>
                    </w:rPr>
                  </w:pPr>
                  <w:r w:rsidRPr="00513C89">
                    <w:rPr>
                      <w:rFonts w:asciiTheme="minorHAnsi" w:hAnsiTheme="minorHAnsi" w:cs="Arial"/>
                      <w:sz w:val="18"/>
                      <w:szCs w:val="16"/>
                    </w:rPr>
                    <w:t>26</w:t>
                  </w:r>
                </w:p>
              </w:tc>
              <w:tc>
                <w:tcPr>
                  <w:tcW w:w="1155" w:type="dxa"/>
                  <w:shd w:val="clear" w:color="auto" w:fill="auto"/>
                  <w:noWrap/>
                  <w:vAlign w:val="bottom"/>
                  <w:hideMark/>
                </w:tcPr>
                <w:p w:rsidR="00484DC0" w:rsidRPr="00513C89" w:rsidRDefault="00484DC0" w:rsidP="00484DC0">
                  <w:pPr>
                    <w:jc w:val="center"/>
                    <w:rPr>
                      <w:rFonts w:asciiTheme="minorHAnsi" w:hAnsiTheme="minorHAnsi" w:cs="Arial"/>
                      <w:sz w:val="18"/>
                      <w:szCs w:val="16"/>
                    </w:rPr>
                  </w:pPr>
                  <w:r w:rsidRPr="00513C89">
                    <w:rPr>
                      <w:rFonts w:asciiTheme="minorHAnsi" w:hAnsiTheme="minorHAnsi" w:cs="Arial"/>
                      <w:sz w:val="18"/>
                      <w:szCs w:val="16"/>
                    </w:rPr>
                    <w:t>28</w:t>
                  </w:r>
                </w:p>
              </w:tc>
              <w:tc>
                <w:tcPr>
                  <w:tcW w:w="1058" w:type="dxa"/>
                  <w:shd w:val="clear" w:color="auto" w:fill="auto"/>
                  <w:noWrap/>
                  <w:vAlign w:val="bottom"/>
                  <w:hideMark/>
                </w:tcPr>
                <w:p w:rsidR="00484DC0" w:rsidRPr="00513C89" w:rsidRDefault="00484DC0" w:rsidP="00484DC0">
                  <w:pPr>
                    <w:jc w:val="center"/>
                    <w:rPr>
                      <w:rFonts w:asciiTheme="minorHAnsi" w:hAnsiTheme="minorHAnsi" w:cs="Arial"/>
                      <w:sz w:val="18"/>
                      <w:szCs w:val="16"/>
                    </w:rPr>
                  </w:pPr>
                  <w:r w:rsidRPr="00513C89">
                    <w:rPr>
                      <w:rFonts w:asciiTheme="minorHAnsi" w:hAnsiTheme="minorHAnsi" w:cs="Arial"/>
                      <w:sz w:val="18"/>
                      <w:szCs w:val="16"/>
                    </w:rPr>
                    <w:t>2</w:t>
                  </w:r>
                </w:p>
              </w:tc>
            </w:tr>
            <w:tr w:rsidR="00484DC0" w:rsidRPr="007777E2" w:rsidTr="00484DC0">
              <w:trPr>
                <w:trHeight w:val="242"/>
              </w:trPr>
              <w:tc>
                <w:tcPr>
                  <w:tcW w:w="1058" w:type="dxa"/>
                  <w:shd w:val="clear" w:color="auto" w:fill="auto"/>
                  <w:noWrap/>
                  <w:vAlign w:val="bottom"/>
                  <w:hideMark/>
                </w:tcPr>
                <w:p w:rsidR="00484DC0" w:rsidRPr="00513C89" w:rsidRDefault="00484DC0" w:rsidP="00484DC0">
                  <w:pPr>
                    <w:rPr>
                      <w:rFonts w:asciiTheme="minorHAnsi" w:hAnsiTheme="minorHAnsi" w:cs="Arial"/>
                      <w:sz w:val="18"/>
                      <w:szCs w:val="16"/>
                    </w:rPr>
                  </w:pPr>
                  <w:r w:rsidRPr="00513C89">
                    <w:rPr>
                      <w:rFonts w:asciiTheme="minorHAnsi" w:hAnsiTheme="minorHAnsi" w:cs="Arial"/>
                      <w:sz w:val="18"/>
                      <w:szCs w:val="16"/>
                    </w:rPr>
                    <w:t>Latvia</w:t>
                  </w:r>
                </w:p>
              </w:tc>
              <w:tc>
                <w:tcPr>
                  <w:tcW w:w="1155" w:type="dxa"/>
                  <w:shd w:val="clear" w:color="auto" w:fill="auto"/>
                  <w:noWrap/>
                  <w:vAlign w:val="bottom"/>
                  <w:hideMark/>
                </w:tcPr>
                <w:p w:rsidR="00484DC0" w:rsidRPr="00513C89" w:rsidRDefault="00484DC0" w:rsidP="00484DC0">
                  <w:pPr>
                    <w:jc w:val="center"/>
                    <w:rPr>
                      <w:rFonts w:asciiTheme="minorHAnsi" w:hAnsiTheme="minorHAnsi" w:cs="Arial"/>
                      <w:sz w:val="18"/>
                      <w:szCs w:val="16"/>
                    </w:rPr>
                  </w:pPr>
                  <w:r w:rsidRPr="00513C89">
                    <w:rPr>
                      <w:rFonts w:asciiTheme="minorHAnsi" w:hAnsiTheme="minorHAnsi" w:cs="Arial"/>
                      <w:sz w:val="18"/>
                      <w:szCs w:val="16"/>
                    </w:rPr>
                    <w:t>27</w:t>
                  </w:r>
                </w:p>
              </w:tc>
              <w:tc>
                <w:tcPr>
                  <w:tcW w:w="1155" w:type="dxa"/>
                  <w:shd w:val="clear" w:color="auto" w:fill="auto"/>
                  <w:noWrap/>
                  <w:vAlign w:val="bottom"/>
                  <w:hideMark/>
                </w:tcPr>
                <w:p w:rsidR="00484DC0" w:rsidRPr="00513C89" w:rsidRDefault="00484DC0" w:rsidP="00484DC0">
                  <w:pPr>
                    <w:jc w:val="center"/>
                    <w:rPr>
                      <w:rFonts w:asciiTheme="minorHAnsi" w:hAnsiTheme="minorHAnsi" w:cs="Arial"/>
                      <w:sz w:val="18"/>
                      <w:szCs w:val="16"/>
                    </w:rPr>
                  </w:pPr>
                  <w:r w:rsidRPr="00513C89">
                    <w:rPr>
                      <w:rFonts w:asciiTheme="minorHAnsi" w:hAnsiTheme="minorHAnsi" w:cs="Arial"/>
                      <w:sz w:val="18"/>
                      <w:szCs w:val="16"/>
                    </w:rPr>
                    <w:t>29</w:t>
                  </w:r>
                </w:p>
              </w:tc>
              <w:tc>
                <w:tcPr>
                  <w:tcW w:w="1058" w:type="dxa"/>
                  <w:shd w:val="clear" w:color="auto" w:fill="auto"/>
                  <w:noWrap/>
                  <w:vAlign w:val="bottom"/>
                  <w:hideMark/>
                </w:tcPr>
                <w:p w:rsidR="00484DC0" w:rsidRPr="00513C89" w:rsidRDefault="00484DC0" w:rsidP="00484DC0">
                  <w:pPr>
                    <w:jc w:val="center"/>
                    <w:rPr>
                      <w:rFonts w:asciiTheme="minorHAnsi" w:hAnsiTheme="minorHAnsi" w:cs="Arial"/>
                      <w:sz w:val="18"/>
                      <w:szCs w:val="16"/>
                    </w:rPr>
                  </w:pPr>
                  <w:r w:rsidRPr="00513C89">
                    <w:rPr>
                      <w:rFonts w:asciiTheme="minorHAnsi" w:hAnsiTheme="minorHAnsi" w:cs="Arial"/>
                      <w:sz w:val="18"/>
                      <w:szCs w:val="16"/>
                    </w:rPr>
                    <w:t>2</w:t>
                  </w:r>
                </w:p>
              </w:tc>
            </w:tr>
            <w:tr w:rsidR="00484DC0" w:rsidRPr="007777E2" w:rsidTr="00484DC0">
              <w:trPr>
                <w:trHeight w:val="242"/>
              </w:trPr>
              <w:tc>
                <w:tcPr>
                  <w:tcW w:w="1058" w:type="dxa"/>
                  <w:shd w:val="clear" w:color="auto" w:fill="auto"/>
                  <w:noWrap/>
                  <w:vAlign w:val="bottom"/>
                  <w:hideMark/>
                </w:tcPr>
                <w:p w:rsidR="00484DC0" w:rsidRPr="00513C89" w:rsidRDefault="00484DC0" w:rsidP="00484DC0">
                  <w:pPr>
                    <w:rPr>
                      <w:rFonts w:asciiTheme="minorHAnsi" w:hAnsiTheme="minorHAnsi" w:cs="Arial"/>
                      <w:b/>
                      <w:bCs/>
                      <w:sz w:val="18"/>
                      <w:szCs w:val="16"/>
                    </w:rPr>
                  </w:pPr>
                  <w:r w:rsidRPr="00513C89">
                    <w:rPr>
                      <w:rFonts w:asciiTheme="minorHAnsi" w:hAnsiTheme="minorHAnsi" w:cs="Arial"/>
                      <w:b/>
                      <w:bCs/>
                      <w:sz w:val="18"/>
                      <w:szCs w:val="16"/>
                    </w:rPr>
                    <w:t>Belarus</w:t>
                  </w:r>
                </w:p>
              </w:tc>
              <w:tc>
                <w:tcPr>
                  <w:tcW w:w="1155" w:type="dxa"/>
                  <w:shd w:val="clear" w:color="auto" w:fill="auto"/>
                  <w:noWrap/>
                  <w:vAlign w:val="bottom"/>
                  <w:hideMark/>
                </w:tcPr>
                <w:p w:rsidR="00484DC0" w:rsidRPr="00513C89" w:rsidRDefault="00484DC0" w:rsidP="00484DC0">
                  <w:pPr>
                    <w:jc w:val="center"/>
                    <w:rPr>
                      <w:rFonts w:asciiTheme="minorHAnsi" w:hAnsiTheme="minorHAnsi" w:cs="Arial"/>
                      <w:b/>
                      <w:bCs/>
                      <w:sz w:val="18"/>
                      <w:szCs w:val="16"/>
                    </w:rPr>
                  </w:pPr>
                  <w:r w:rsidRPr="00513C89">
                    <w:rPr>
                      <w:rFonts w:asciiTheme="minorHAnsi" w:hAnsiTheme="minorHAnsi" w:cs="Arial"/>
                      <w:b/>
                      <w:bCs/>
                      <w:sz w:val="18"/>
                      <w:szCs w:val="16"/>
                    </w:rPr>
                    <w:t>58</w:t>
                  </w:r>
                </w:p>
              </w:tc>
              <w:tc>
                <w:tcPr>
                  <w:tcW w:w="1155" w:type="dxa"/>
                  <w:shd w:val="clear" w:color="auto" w:fill="auto"/>
                  <w:noWrap/>
                  <w:vAlign w:val="bottom"/>
                  <w:hideMark/>
                </w:tcPr>
                <w:p w:rsidR="00484DC0" w:rsidRPr="00513C89" w:rsidRDefault="00484DC0" w:rsidP="00484DC0">
                  <w:pPr>
                    <w:jc w:val="center"/>
                    <w:rPr>
                      <w:rFonts w:asciiTheme="minorHAnsi" w:hAnsiTheme="minorHAnsi" w:cs="Arial"/>
                      <w:b/>
                      <w:bCs/>
                      <w:sz w:val="18"/>
                      <w:szCs w:val="16"/>
                    </w:rPr>
                  </w:pPr>
                  <w:r w:rsidRPr="00513C89">
                    <w:rPr>
                      <w:rFonts w:asciiTheme="minorHAnsi" w:hAnsiTheme="minorHAnsi" w:cs="Arial"/>
                      <w:b/>
                      <w:bCs/>
                      <w:sz w:val="18"/>
                      <w:szCs w:val="16"/>
                    </w:rPr>
                    <w:t>85</w:t>
                  </w:r>
                </w:p>
              </w:tc>
              <w:tc>
                <w:tcPr>
                  <w:tcW w:w="1058" w:type="dxa"/>
                  <w:shd w:val="clear" w:color="auto" w:fill="auto"/>
                  <w:noWrap/>
                  <w:vAlign w:val="bottom"/>
                  <w:hideMark/>
                </w:tcPr>
                <w:p w:rsidR="00484DC0" w:rsidRPr="00513C89" w:rsidRDefault="00484DC0" w:rsidP="00484DC0">
                  <w:pPr>
                    <w:jc w:val="center"/>
                    <w:rPr>
                      <w:rFonts w:asciiTheme="minorHAnsi" w:hAnsiTheme="minorHAnsi" w:cs="Arial"/>
                      <w:b/>
                      <w:bCs/>
                      <w:sz w:val="18"/>
                      <w:szCs w:val="16"/>
                    </w:rPr>
                  </w:pPr>
                  <w:r w:rsidRPr="00513C89">
                    <w:rPr>
                      <w:rFonts w:asciiTheme="minorHAnsi" w:hAnsiTheme="minorHAnsi" w:cs="Arial"/>
                      <w:b/>
                      <w:bCs/>
                      <w:sz w:val="18"/>
                      <w:szCs w:val="16"/>
                    </w:rPr>
                    <w:t>27</w:t>
                  </w:r>
                </w:p>
              </w:tc>
            </w:tr>
            <w:tr w:rsidR="00484DC0" w:rsidRPr="007777E2" w:rsidTr="00484DC0">
              <w:trPr>
                <w:trHeight w:val="242"/>
              </w:trPr>
              <w:tc>
                <w:tcPr>
                  <w:tcW w:w="1058" w:type="dxa"/>
                  <w:shd w:val="clear" w:color="auto" w:fill="auto"/>
                  <w:noWrap/>
                  <w:vAlign w:val="bottom"/>
                  <w:hideMark/>
                </w:tcPr>
                <w:p w:rsidR="00484DC0" w:rsidRPr="00513C89" w:rsidRDefault="00484DC0" w:rsidP="00484DC0">
                  <w:pPr>
                    <w:rPr>
                      <w:rFonts w:asciiTheme="minorHAnsi" w:hAnsiTheme="minorHAnsi" w:cs="Arial"/>
                      <w:sz w:val="18"/>
                      <w:szCs w:val="16"/>
                    </w:rPr>
                  </w:pPr>
                  <w:r w:rsidRPr="00513C89">
                    <w:rPr>
                      <w:rFonts w:asciiTheme="minorHAnsi" w:hAnsiTheme="minorHAnsi" w:cs="Arial"/>
                      <w:sz w:val="18"/>
                      <w:szCs w:val="16"/>
                    </w:rPr>
                    <w:t>Kazakhstan</w:t>
                  </w:r>
                </w:p>
              </w:tc>
              <w:tc>
                <w:tcPr>
                  <w:tcW w:w="1155" w:type="dxa"/>
                  <w:shd w:val="clear" w:color="auto" w:fill="auto"/>
                  <w:noWrap/>
                  <w:vAlign w:val="bottom"/>
                  <w:hideMark/>
                </w:tcPr>
                <w:p w:rsidR="00484DC0" w:rsidRPr="00513C89" w:rsidRDefault="00484DC0" w:rsidP="00484DC0">
                  <w:pPr>
                    <w:jc w:val="center"/>
                    <w:rPr>
                      <w:rFonts w:asciiTheme="minorHAnsi" w:hAnsiTheme="minorHAnsi" w:cs="Arial"/>
                      <w:sz w:val="18"/>
                      <w:szCs w:val="16"/>
                    </w:rPr>
                  </w:pPr>
                  <w:r w:rsidRPr="00513C89">
                    <w:rPr>
                      <w:rFonts w:asciiTheme="minorHAnsi" w:hAnsiTheme="minorHAnsi" w:cs="Arial"/>
                      <w:sz w:val="18"/>
                      <w:szCs w:val="16"/>
                    </w:rPr>
                    <w:t>63</w:t>
                  </w:r>
                </w:p>
              </w:tc>
              <w:tc>
                <w:tcPr>
                  <w:tcW w:w="1155" w:type="dxa"/>
                  <w:shd w:val="clear" w:color="auto" w:fill="auto"/>
                  <w:noWrap/>
                  <w:vAlign w:val="bottom"/>
                  <w:hideMark/>
                </w:tcPr>
                <w:p w:rsidR="00484DC0" w:rsidRPr="00513C89" w:rsidRDefault="00484DC0" w:rsidP="00484DC0">
                  <w:pPr>
                    <w:jc w:val="center"/>
                    <w:rPr>
                      <w:rFonts w:asciiTheme="minorHAnsi" w:hAnsiTheme="minorHAnsi" w:cs="Arial"/>
                      <w:sz w:val="18"/>
                      <w:szCs w:val="16"/>
                    </w:rPr>
                  </w:pPr>
                  <w:r w:rsidRPr="00513C89">
                    <w:rPr>
                      <w:rFonts w:asciiTheme="minorHAnsi" w:hAnsiTheme="minorHAnsi" w:cs="Arial"/>
                      <w:sz w:val="18"/>
                      <w:szCs w:val="16"/>
                    </w:rPr>
                    <w:t>70</w:t>
                  </w:r>
                </w:p>
              </w:tc>
              <w:tc>
                <w:tcPr>
                  <w:tcW w:w="1058" w:type="dxa"/>
                  <w:shd w:val="clear" w:color="auto" w:fill="auto"/>
                  <w:noWrap/>
                  <w:vAlign w:val="bottom"/>
                  <w:hideMark/>
                </w:tcPr>
                <w:p w:rsidR="00484DC0" w:rsidRPr="00513C89" w:rsidRDefault="00484DC0" w:rsidP="00484DC0">
                  <w:pPr>
                    <w:jc w:val="center"/>
                    <w:rPr>
                      <w:rFonts w:asciiTheme="minorHAnsi" w:hAnsiTheme="minorHAnsi" w:cs="Arial"/>
                      <w:sz w:val="18"/>
                      <w:szCs w:val="16"/>
                    </w:rPr>
                  </w:pPr>
                  <w:r w:rsidRPr="00513C89">
                    <w:rPr>
                      <w:rFonts w:asciiTheme="minorHAnsi" w:hAnsiTheme="minorHAnsi" w:cs="Arial"/>
                      <w:sz w:val="18"/>
                      <w:szCs w:val="16"/>
                    </w:rPr>
                    <w:t>7</w:t>
                  </w:r>
                </w:p>
              </w:tc>
            </w:tr>
            <w:tr w:rsidR="00484DC0" w:rsidRPr="007777E2" w:rsidTr="00484DC0">
              <w:trPr>
                <w:trHeight w:val="242"/>
              </w:trPr>
              <w:tc>
                <w:tcPr>
                  <w:tcW w:w="1058" w:type="dxa"/>
                  <w:shd w:val="clear" w:color="auto" w:fill="auto"/>
                  <w:noWrap/>
                  <w:vAlign w:val="bottom"/>
                  <w:hideMark/>
                </w:tcPr>
                <w:p w:rsidR="00484DC0" w:rsidRPr="00513C89" w:rsidRDefault="00484DC0" w:rsidP="00484DC0">
                  <w:pPr>
                    <w:rPr>
                      <w:rFonts w:asciiTheme="minorHAnsi" w:hAnsiTheme="minorHAnsi" w:cs="Arial"/>
                      <w:sz w:val="18"/>
                      <w:szCs w:val="16"/>
                    </w:rPr>
                  </w:pPr>
                  <w:r w:rsidRPr="00513C89">
                    <w:rPr>
                      <w:rFonts w:asciiTheme="minorHAnsi" w:hAnsiTheme="minorHAnsi" w:cs="Arial"/>
                      <w:sz w:val="18"/>
                      <w:szCs w:val="16"/>
                    </w:rPr>
                    <w:t>Poland</w:t>
                  </w:r>
                </w:p>
              </w:tc>
              <w:tc>
                <w:tcPr>
                  <w:tcW w:w="1155" w:type="dxa"/>
                  <w:shd w:val="clear" w:color="auto" w:fill="auto"/>
                  <w:noWrap/>
                  <w:vAlign w:val="bottom"/>
                  <w:hideMark/>
                </w:tcPr>
                <w:p w:rsidR="00484DC0" w:rsidRPr="00513C89" w:rsidRDefault="00484DC0" w:rsidP="00484DC0">
                  <w:pPr>
                    <w:jc w:val="center"/>
                    <w:rPr>
                      <w:rFonts w:asciiTheme="minorHAnsi" w:hAnsiTheme="minorHAnsi" w:cs="Arial"/>
                      <w:sz w:val="18"/>
                      <w:szCs w:val="16"/>
                    </w:rPr>
                  </w:pPr>
                  <w:r w:rsidRPr="00513C89">
                    <w:rPr>
                      <w:rFonts w:asciiTheme="minorHAnsi" w:hAnsiTheme="minorHAnsi" w:cs="Arial"/>
                      <w:sz w:val="18"/>
                      <w:szCs w:val="16"/>
                    </w:rPr>
                    <w:t>72</w:t>
                  </w:r>
                </w:p>
              </w:tc>
              <w:tc>
                <w:tcPr>
                  <w:tcW w:w="1155" w:type="dxa"/>
                  <w:shd w:val="clear" w:color="auto" w:fill="auto"/>
                  <w:noWrap/>
                  <w:vAlign w:val="bottom"/>
                  <w:hideMark/>
                </w:tcPr>
                <w:p w:rsidR="00484DC0" w:rsidRPr="00513C89" w:rsidRDefault="00484DC0" w:rsidP="00484DC0">
                  <w:pPr>
                    <w:jc w:val="center"/>
                    <w:rPr>
                      <w:rFonts w:asciiTheme="minorHAnsi" w:hAnsiTheme="minorHAnsi" w:cs="Arial"/>
                      <w:sz w:val="18"/>
                      <w:szCs w:val="16"/>
                    </w:rPr>
                  </w:pPr>
                  <w:r w:rsidRPr="00513C89">
                    <w:rPr>
                      <w:rFonts w:asciiTheme="minorHAnsi" w:hAnsiTheme="minorHAnsi" w:cs="Arial"/>
                      <w:sz w:val="18"/>
                      <w:szCs w:val="16"/>
                    </w:rPr>
                    <w:t>76</w:t>
                  </w:r>
                </w:p>
              </w:tc>
              <w:tc>
                <w:tcPr>
                  <w:tcW w:w="1058" w:type="dxa"/>
                  <w:shd w:val="clear" w:color="auto" w:fill="auto"/>
                  <w:noWrap/>
                  <w:vAlign w:val="bottom"/>
                  <w:hideMark/>
                </w:tcPr>
                <w:p w:rsidR="00484DC0" w:rsidRPr="00513C89" w:rsidRDefault="00484DC0" w:rsidP="00484DC0">
                  <w:pPr>
                    <w:jc w:val="center"/>
                    <w:rPr>
                      <w:rFonts w:asciiTheme="minorHAnsi" w:hAnsiTheme="minorHAnsi" w:cs="Arial"/>
                      <w:sz w:val="18"/>
                      <w:szCs w:val="16"/>
                    </w:rPr>
                  </w:pPr>
                  <w:r w:rsidRPr="00513C89">
                    <w:rPr>
                      <w:rFonts w:asciiTheme="minorHAnsi" w:hAnsiTheme="minorHAnsi" w:cs="Arial"/>
                      <w:sz w:val="18"/>
                      <w:szCs w:val="16"/>
                    </w:rPr>
                    <w:t>4</w:t>
                  </w:r>
                </w:p>
              </w:tc>
            </w:tr>
            <w:tr w:rsidR="00484DC0" w:rsidRPr="007777E2" w:rsidTr="00484DC0">
              <w:trPr>
                <w:trHeight w:val="242"/>
              </w:trPr>
              <w:tc>
                <w:tcPr>
                  <w:tcW w:w="1058" w:type="dxa"/>
                  <w:shd w:val="clear" w:color="auto" w:fill="auto"/>
                  <w:noWrap/>
                  <w:vAlign w:val="bottom"/>
                  <w:hideMark/>
                </w:tcPr>
                <w:p w:rsidR="00484DC0" w:rsidRPr="00513C89" w:rsidRDefault="00484DC0" w:rsidP="00484DC0">
                  <w:pPr>
                    <w:rPr>
                      <w:rFonts w:asciiTheme="minorHAnsi" w:hAnsiTheme="minorHAnsi" w:cs="Arial"/>
                      <w:sz w:val="18"/>
                      <w:szCs w:val="16"/>
                    </w:rPr>
                  </w:pPr>
                  <w:r w:rsidRPr="00513C89">
                    <w:rPr>
                      <w:rFonts w:asciiTheme="minorHAnsi" w:hAnsiTheme="minorHAnsi" w:cs="Arial"/>
                      <w:sz w:val="18"/>
                      <w:szCs w:val="16"/>
                    </w:rPr>
                    <w:t>Moldova</w:t>
                  </w:r>
                </w:p>
              </w:tc>
              <w:tc>
                <w:tcPr>
                  <w:tcW w:w="1155" w:type="dxa"/>
                  <w:shd w:val="clear" w:color="auto" w:fill="auto"/>
                  <w:noWrap/>
                  <w:vAlign w:val="bottom"/>
                  <w:hideMark/>
                </w:tcPr>
                <w:p w:rsidR="00484DC0" w:rsidRPr="00513C89" w:rsidRDefault="00484DC0" w:rsidP="00484DC0">
                  <w:pPr>
                    <w:jc w:val="center"/>
                    <w:rPr>
                      <w:rFonts w:asciiTheme="minorHAnsi" w:hAnsiTheme="minorHAnsi" w:cs="Arial"/>
                      <w:sz w:val="18"/>
                      <w:szCs w:val="16"/>
                    </w:rPr>
                  </w:pPr>
                  <w:r w:rsidRPr="00513C89">
                    <w:rPr>
                      <w:rFonts w:asciiTheme="minorHAnsi" w:hAnsiTheme="minorHAnsi" w:cs="Arial"/>
                      <w:sz w:val="18"/>
                      <w:szCs w:val="16"/>
                    </w:rPr>
                    <w:t>94</w:t>
                  </w:r>
                </w:p>
              </w:tc>
              <w:tc>
                <w:tcPr>
                  <w:tcW w:w="1155" w:type="dxa"/>
                  <w:shd w:val="clear" w:color="auto" w:fill="auto"/>
                  <w:noWrap/>
                  <w:vAlign w:val="bottom"/>
                  <w:hideMark/>
                </w:tcPr>
                <w:p w:rsidR="00484DC0" w:rsidRPr="00513C89" w:rsidRDefault="00484DC0" w:rsidP="00484DC0">
                  <w:pPr>
                    <w:jc w:val="center"/>
                    <w:rPr>
                      <w:rFonts w:asciiTheme="minorHAnsi" w:hAnsiTheme="minorHAnsi" w:cs="Arial"/>
                      <w:sz w:val="18"/>
                      <w:szCs w:val="16"/>
                    </w:rPr>
                  </w:pPr>
                  <w:r w:rsidRPr="00513C89">
                    <w:rPr>
                      <w:rFonts w:asciiTheme="minorHAnsi" w:hAnsiTheme="minorHAnsi" w:cs="Arial"/>
                      <w:sz w:val="18"/>
                      <w:szCs w:val="16"/>
                    </w:rPr>
                    <w:t>103</w:t>
                  </w:r>
                </w:p>
              </w:tc>
              <w:tc>
                <w:tcPr>
                  <w:tcW w:w="1058" w:type="dxa"/>
                  <w:shd w:val="clear" w:color="auto" w:fill="auto"/>
                  <w:noWrap/>
                  <w:vAlign w:val="bottom"/>
                  <w:hideMark/>
                </w:tcPr>
                <w:p w:rsidR="00484DC0" w:rsidRPr="00513C89" w:rsidRDefault="00484DC0" w:rsidP="00484DC0">
                  <w:pPr>
                    <w:jc w:val="center"/>
                    <w:rPr>
                      <w:rFonts w:asciiTheme="minorHAnsi" w:hAnsiTheme="minorHAnsi" w:cs="Arial"/>
                      <w:sz w:val="18"/>
                      <w:szCs w:val="16"/>
                    </w:rPr>
                  </w:pPr>
                  <w:r w:rsidRPr="00513C89">
                    <w:rPr>
                      <w:rFonts w:asciiTheme="minorHAnsi" w:hAnsiTheme="minorHAnsi" w:cs="Arial"/>
                      <w:sz w:val="18"/>
                      <w:szCs w:val="16"/>
                    </w:rPr>
                    <w:t>9</w:t>
                  </w:r>
                </w:p>
              </w:tc>
            </w:tr>
            <w:tr w:rsidR="00484DC0" w:rsidRPr="007777E2" w:rsidTr="00484DC0">
              <w:trPr>
                <w:trHeight w:val="242"/>
              </w:trPr>
              <w:tc>
                <w:tcPr>
                  <w:tcW w:w="1058" w:type="dxa"/>
                  <w:shd w:val="clear" w:color="auto" w:fill="auto"/>
                  <w:noWrap/>
                  <w:vAlign w:val="bottom"/>
                  <w:hideMark/>
                </w:tcPr>
                <w:p w:rsidR="00484DC0" w:rsidRPr="00513C89" w:rsidRDefault="00484DC0" w:rsidP="00484DC0">
                  <w:pPr>
                    <w:rPr>
                      <w:rFonts w:asciiTheme="minorHAnsi" w:hAnsiTheme="minorHAnsi" w:cs="Arial"/>
                      <w:sz w:val="18"/>
                      <w:szCs w:val="16"/>
                    </w:rPr>
                  </w:pPr>
                  <w:r w:rsidRPr="00513C89">
                    <w:rPr>
                      <w:rFonts w:asciiTheme="minorHAnsi" w:hAnsiTheme="minorHAnsi" w:cs="Arial"/>
                      <w:sz w:val="18"/>
                      <w:szCs w:val="16"/>
                    </w:rPr>
                    <w:t>Russia</w:t>
                  </w:r>
                </w:p>
              </w:tc>
              <w:tc>
                <w:tcPr>
                  <w:tcW w:w="1155" w:type="dxa"/>
                  <w:shd w:val="clear" w:color="auto" w:fill="auto"/>
                  <w:noWrap/>
                  <w:vAlign w:val="bottom"/>
                  <w:hideMark/>
                </w:tcPr>
                <w:p w:rsidR="00484DC0" w:rsidRPr="00513C89" w:rsidRDefault="00484DC0" w:rsidP="00484DC0">
                  <w:pPr>
                    <w:jc w:val="center"/>
                    <w:rPr>
                      <w:rFonts w:asciiTheme="minorHAnsi" w:hAnsiTheme="minorHAnsi" w:cs="Arial"/>
                      <w:sz w:val="18"/>
                      <w:szCs w:val="16"/>
                    </w:rPr>
                  </w:pPr>
                  <w:r w:rsidRPr="00513C89">
                    <w:rPr>
                      <w:rFonts w:asciiTheme="minorHAnsi" w:hAnsiTheme="minorHAnsi" w:cs="Arial"/>
                      <w:sz w:val="18"/>
                      <w:szCs w:val="16"/>
                    </w:rPr>
                    <w:t>120</w:t>
                  </w:r>
                </w:p>
              </w:tc>
              <w:tc>
                <w:tcPr>
                  <w:tcW w:w="1155" w:type="dxa"/>
                  <w:shd w:val="clear" w:color="auto" w:fill="auto"/>
                  <w:noWrap/>
                  <w:vAlign w:val="bottom"/>
                  <w:hideMark/>
                </w:tcPr>
                <w:p w:rsidR="00484DC0" w:rsidRPr="00513C89" w:rsidRDefault="00484DC0" w:rsidP="00484DC0">
                  <w:pPr>
                    <w:jc w:val="center"/>
                    <w:rPr>
                      <w:rFonts w:asciiTheme="minorHAnsi" w:hAnsiTheme="minorHAnsi" w:cs="Arial"/>
                      <w:sz w:val="18"/>
                      <w:szCs w:val="16"/>
                    </w:rPr>
                  </w:pPr>
                  <w:r w:rsidRPr="00513C89">
                    <w:rPr>
                      <w:rFonts w:asciiTheme="minorHAnsi" w:hAnsiTheme="minorHAnsi" w:cs="Arial"/>
                      <w:sz w:val="18"/>
                      <w:szCs w:val="16"/>
                    </w:rPr>
                    <w:t>120</w:t>
                  </w:r>
                </w:p>
              </w:tc>
              <w:tc>
                <w:tcPr>
                  <w:tcW w:w="1058" w:type="dxa"/>
                  <w:shd w:val="clear" w:color="auto" w:fill="auto"/>
                  <w:noWrap/>
                  <w:vAlign w:val="bottom"/>
                  <w:hideMark/>
                </w:tcPr>
                <w:p w:rsidR="00484DC0" w:rsidRPr="00513C89" w:rsidRDefault="00484DC0" w:rsidP="00484DC0">
                  <w:pPr>
                    <w:jc w:val="center"/>
                    <w:rPr>
                      <w:rFonts w:asciiTheme="minorHAnsi" w:hAnsiTheme="minorHAnsi" w:cs="Arial"/>
                      <w:sz w:val="18"/>
                      <w:szCs w:val="16"/>
                    </w:rPr>
                  </w:pPr>
                  <w:r w:rsidRPr="00513C89">
                    <w:rPr>
                      <w:rFonts w:asciiTheme="minorHAnsi" w:hAnsiTheme="minorHAnsi" w:cs="Arial"/>
                      <w:sz w:val="18"/>
                      <w:szCs w:val="16"/>
                    </w:rPr>
                    <w:t>0</w:t>
                  </w:r>
                </w:p>
              </w:tc>
            </w:tr>
            <w:tr w:rsidR="00484DC0" w:rsidRPr="007777E2" w:rsidTr="00484DC0">
              <w:trPr>
                <w:trHeight w:val="256"/>
              </w:trPr>
              <w:tc>
                <w:tcPr>
                  <w:tcW w:w="1058" w:type="dxa"/>
                  <w:shd w:val="clear" w:color="auto" w:fill="auto"/>
                  <w:noWrap/>
                  <w:vAlign w:val="bottom"/>
                  <w:hideMark/>
                </w:tcPr>
                <w:p w:rsidR="00484DC0" w:rsidRPr="00513C89" w:rsidRDefault="00484DC0" w:rsidP="00484DC0">
                  <w:pPr>
                    <w:rPr>
                      <w:rFonts w:asciiTheme="minorHAnsi" w:hAnsiTheme="minorHAnsi" w:cs="Arial"/>
                      <w:sz w:val="18"/>
                      <w:szCs w:val="16"/>
                    </w:rPr>
                  </w:pPr>
                  <w:r w:rsidRPr="00513C89">
                    <w:rPr>
                      <w:rFonts w:asciiTheme="minorHAnsi" w:hAnsiTheme="minorHAnsi" w:cs="Arial"/>
                      <w:sz w:val="18"/>
                      <w:szCs w:val="16"/>
                    </w:rPr>
                    <w:t>Ukraine</w:t>
                  </w:r>
                </w:p>
              </w:tc>
              <w:tc>
                <w:tcPr>
                  <w:tcW w:w="1155" w:type="dxa"/>
                  <w:shd w:val="clear" w:color="auto" w:fill="auto"/>
                  <w:noWrap/>
                  <w:vAlign w:val="bottom"/>
                  <w:hideMark/>
                </w:tcPr>
                <w:p w:rsidR="00484DC0" w:rsidRPr="00513C89" w:rsidRDefault="00484DC0" w:rsidP="00484DC0">
                  <w:pPr>
                    <w:jc w:val="center"/>
                    <w:rPr>
                      <w:rFonts w:asciiTheme="minorHAnsi" w:hAnsiTheme="minorHAnsi" w:cs="Arial"/>
                      <w:sz w:val="18"/>
                      <w:szCs w:val="16"/>
                    </w:rPr>
                  </w:pPr>
                  <w:r w:rsidRPr="00513C89">
                    <w:rPr>
                      <w:rFonts w:asciiTheme="minorHAnsi" w:hAnsiTheme="minorHAnsi" w:cs="Arial"/>
                      <w:sz w:val="18"/>
                      <w:szCs w:val="16"/>
                    </w:rPr>
                    <w:t>142</w:t>
                  </w:r>
                </w:p>
              </w:tc>
              <w:tc>
                <w:tcPr>
                  <w:tcW w:w="1155" w:type="dxa"/>
                  <w:shd w:val="clear" w:color="auto" w:fill="auto"/>
                  <w:noWrap/>
                  <w:vAlign w:val="bottom"/>
                  <w:hideMark/>
                </w:tcPr>
                <w:p w:rsidR="00484DC0" w:rsidRPr="00513C89" w:rsidRDefault="00484DC0" w:rsidP="00484DC0">
                  <w:pPr>
                    <w:jc w:val="center"/>
                    <w:rPr>
                      <w:rFonts w:asciiTheme="minorHAnsi" w:hAnsiTheme="minorHAnsi" w:cs="Arial"/>
                      <w:sz w:val="18"/>
                      <w:szCs w:val="16"/>
                    </w:rPr>
                  </w:pPr>
                  <w:r w:rsidRPr="00513C89">
                    <w:rPr>
                      <w:rFonts w:asciiTheme="minorHAnsi" w:hAnsiTheme="minorHAnsi" w:cs="Arial"/>
                      <w:sz w:val="18"/>
                      <w:szCs w:val="16"/>
                    </w:rPr>
                    <w:t>145</w:t>
                  </w:r>
                </w:p>
              </w:tc>
              <w:tc>
                <w:tcPr>
                  <w:tcW w:w="1058" w:type="dxa"/>
                  <w:shd w:val="clear" w:color="auto" w:fill="auto"/>
                  <w:noWrap/>
                  <w:vAlign w:val="bottom"/>
                  <w:hideMark/>
                </w:tcPr>
                <w:p w:rsidR="00484DC0" w:rsidRPr="00513C89" w:rsidRDefault="00484DC0" w:rsidP="00484DC0">
                  <w:pPr>
                    <w:jc w:val="center"/>
                    <w:rPr>
                      <w:rFonts w:asciiTheme="minorHAnsi" w:hAnsiTheme="minorHAnsi" w:cs="Arial"/>
                      <w:sz w:val="18"/>
                      <w:szCs w:val="16"/>
                    </w:rPr>
                  </w:pPr>
                  <w:r w:rsidRPr="00513C89">
                    <w:rPr>
                      <w:rFonts w:asciiTheme="minorHAnsi" w:hAnsiTheme="minorHAnsi" w:cs="Arial"/>
                      <w:sz w:val="18"/>
                      <w:szCs w:val="16"/>
                    </w:rPr>
                    <w:t>3</w:t>
                  </w:r>
                </w:p>
              </w:tc>
            </w:tr>
          </w:tbl>
          <w:p w:rsidR="00484DC0" w:rsidRPr="007777E2" w:rsidRDefault="00484DC0" w:rsidP="00484DC0">
            <w:pPr>
              <w:tabs>
                <w:tab w:val="num" w:pos="3420"/>
              </w:tabs>
              <w:spacing w:after="120"/>
              <w:jc w:val="both"/>
              <w:rPr>
                <w:sz w:val="18"/>
                <w:szCs w:val="18"/>
              </w:rPr>
            </w:pPr>
            <w:r w:rsidRPr="007777E2">
              <w:rPr>
                <w:sz w:val="18"/>
                <w:szCs w:val="18"/>
              </w:rPr>
              <w:t xml:space="preserve"> </w:t>
            </w:r>
          </w:p>
          <w:p w:rsidR="008C2CEF" w:rsidRPr="007777E2" w:rsidRDefault="00484DC0" w:rsidP="00484DC0">
            <w:pPr>
              <w:tabs>
                <w:tab w:val="num" w:pos="3420"/>
              </w:tabs>
              <w:spacing w:after="120"/>
              <w:jc w:val="both"/>
              <w:rPr>
                <w:b/>
              </w:rPr>
            </w:pPr>
            <w:r w:rsidRPr="007777E2">
              <w:rPr>
                <w:sz w:val="18"/>
                <w:szCs w:val="18"/>
              </w:rPr>
              <w:t>Source: Doing Business Index. 2010.</w:t>
            </w:r>
          </w:p>
        </w:tc>
        <w:tc>
          <w:tcPr>
            <w:tcW w:w="4878" w:type="dxa"/>
          </w:tcPr>
          <w:p w:rsidR="008C2CEF" w:rsidRPr="007777E2" w:rsidRDefault="008C2CEF" w:rsidP="008C2CEF">
            <w:pPr>
              <w:tabs>
                <w:tab w:val="num" w:pos="3420"/>
              </w:tabs>
              <w:spacing w:after="120"/>
              <w:jc w:val="both"/>
              <w:rPr>
                <w:b/>
              </w:rPr>
            </w:pPr>
            <w:bookmarkStart w:id="101" w:name="_Ref255897573"/>
            <w:bookmarkStart w:id="102" w:name="_Toc264227132"/>
            <w:r w:rsidRPr="007777E2">
              <w:rPr>
                <w:b/>
              </w:rPr>
              <w:t xml:space="preserve">Table </w:t>
            </w:r>
            <w:r w:rsidR="006B40AE" w:rsidRPr="007777E2">
              <w:rPr>
                <w:b/>
              </w:rPr>
              <w:fldChar w:fldCharType="begin"/>
            </w:r>
            <w:r w:rsidRPr="007777E2">
              <w:rPr>
                <w:b/>
              </w:rPr>
              <w:instrText xml:space="preserve"> SEQ Table \* ARABIC </w:instrText>
            </w:r>
            <w:r w:rsidR="006B40AE" w:rsidRPr="007777E2">
              <w:rPr>
                <w:b/>
              </w:rPr>
              <w:fldChar w:fldCharType="separate"/>
            </w:r>
            <w:r w:rsidR="009E2C86">
              <w:rPr>
                <w:b/>
                <w:noProof/>
              </w:rPr>
              <w:t>5</w:t>
            </w:r>
            <w:r w:rsidR="006B40AE" w:rsidRPr="007777E2">
              <w:rPr>
                <w:b/>
              </w:rPr>
              <w:fldChar w:fldCharType="end"/>
            </w:r>
            <w:bookmarkEnd w:id="101"/>
            <w:r w:rsidRPr="007777E2">
              <w:rPr>
                <w:b/>
              </w:rPr>
              <w:t xml:space="preserve">. Rank </w:t>
            </w:r>
            <w:r w:rsidR="00C21AB2" w:rsidRPr="007777E2">
              <w:rPr>
                <w:b/>
              </w:rPr>
              <w:t>C</w:t>
            </w:r>
            <w:r w:rsidRPr="007777E2">
              <w:rPr>
                <w:b/>
              </w:rPr>
              <w:t xml:space="preserve">hanges in the </w:t>
            </w:r>
            <w:r w:rsidR="00C21AB2" w:rsidRPr="007777E2">
              <w:rPr>
                <w:b/>
              </w:rPr>
              <w:t>C</w:t>
            </w:r>
            <w:r w:rsidRPr="007777E2">
              <w:rPr>
                <w:b/>
              </w:rPr>
              <w:t>omponents of the Doing Business Index for Belarus (2009-2010)</w:t>
            </w:r>
            <w:bookmarkEnd w:id="102"/>
          </w:p>
          <w:p w:rsidR="00484DC0" w:rsidRPr="007777E2" w:rsidRDefault="00484DC0" w:rsidP="008C2CEF">
            <w:pPr>
              <w:tabs>
                <w:tab w:val="num" w:pos="3420"/>
              </w:tabs>
              <w:spacing w:after="120"/>
              <w:jc w:val="both"/>
              <w:rPr>
                <w:b/>
              </w:rPr>
            </w:pPr>
          </w:p>
          <w:tbl>
            <w:tblPr>
              <w:tblW w:w="4678" w:type="dxa"/>
              <w:tblBorders>
                <w:top w:val="single" w:sz="8" w:space="0" w:color="auto"/>
                <w:bottom w:val="single" w:sz="8" w:space="0" w:color="auto"/>
                <w:insideH w:val="single" w:sz="8" w:space="0" w:color="auto"/>
              </w:tblBorders>
              <w:tblLayout w:type="fixed"/>
              <w:tblLook w:val="04A0"/>
            </w:tblPr>
            <w:tblGrid>
              <w:gridCol w:w="2772"/>
              <w:gridCol w:w="630"/>
              <w:gridCol w:w="630"/>
              <w:gridCol w:w="646"/>
            </w:tblGrid>
            <w:tr w:rsidR="00484DC0" w:rsidRPr="007777E2" w:rsidTr="00513C89">
              <w:trPr>
                <w:trHeight w:val="415"/>
              </w:trPr>
              <w:tc>
                <w:tcPr>
                  <w:tcW w:w="2772" w:type="dxa"/>
                  <w:shd w:val="clear" w:color="auto" w:fill="auto"/>
                  <w:noWrap/>
                  <w:vAlign w:val="bottom"/>
                  <w:hideMark/>
                </w:tcPr>
                <w:p w:rsidR="00484DC0" w:rsidRPr="007777E2" w:rsidRDefault="00484DC0" w:rsidP="00484DC0">
                  <w:pPr>
                    <w:rPr>
                      <w:rFonts w:asciiTheme="minorHAnsi" w:hAnsiTheme="minorHAnsi"/>
                      <w:color w:val="000000"/>
                      <w:sz w:val="16"/>
                      <w:szCs w:val="16"/>
                    </w:rPr>
                  </w:pPr>
                </w:p>
              </w:tc>
              <w:tc>
                <w:tcPr>
                  <w:tcW w:w="630" w:type="dxa"/>
                  <w:shd w:val="clear" w:color="auto" w:fill="auto"/>
                  <w:hideMark/>
                </w:tcPr>
                <w:p w:rsidR="00484DC0" w:rsidRPr="007777E2" w:rsidRDefault="00484DC0" w:rsidP="00C21AB2">
                  <w:pPr>
                    <w:jc w:val="center"/>
                    <w:rPr>
                      <w:rFonts w:asciiTheme="minorHAnsi" w:hAnsiTheme="minorHAnsi" w:cs="Arial"/>
                      <w:b/>
                      <w:bCs/>
                      <w:sz w:val="16"/>
                      <w:szCs w:val="16"/>
                    </w:rPr>
                  </w:pPr>
                  <w:r w:rsidRPr="007777E2">
                    <w:rPr>
                      <w:rFonts w:asciiTheme="minorHAnsi" w:hAnsiTheme="minorHAnsi" w:cs="Arial"/>
                      <w:b/>
                      <w:bCs/>
                      <w:sz w:val="16"/>
                      <w:szCs w:val="16"/>
                    </w:rPr>
                    <w:t xml:space="preserve">2010 </w:t>
                  </w:r>
                  <w:r w:rsidR="00C21AB2" w:rsidRPr="007777E2">
                    <w:rPr>
                      <w:rFonts w:asciiTheme="minorHAnsi" w:hAnsiTheme="minorHAnsi" w:cs="Arial"/>
                      <w:b/>
                      <w:bCs/>
                      <w:sz w:val="16"/>
                      <w:szCs w:val="16"/>
                    </w:rPr>
                    <w:t>R</w:t>
                  </w:r>
                  <w:r w:rsidRPr="007777E2">
                    <w:rPr>
                      <w:rFonts w:asciiTheme="minorHAnsi" w:hAnsiTheme="minorHAnsi" w:cs="Arial"/>
                      <w:b/>
                      <w:bCs/>
                      <w:sz w:val="16"/>
                      <w:szCs w:val="16"/>
                    </w:rPr>
                    <w:t>ank</w:t>
                  </w:r>
                </w:p>
              </w:tc>
              <w:tc>
                <w:tcPr>
                  <w:tcW w:w="630" w:type="dxa"/>
                  <w:shd w:val="clear" w:color="auto" w:fill="auto"/>
                  <w:hideMark/>
                </w:tcPr>
                <w:p w:rsidR="00484DC0" w:rsidRPr="007777E2" w:rsidRDefault="00484DC0" w:rsidP="00C21AB2">
                  <w:pPr>
                    <w:jc w:val="center"/>
                    <w:rPr>
                      <w:rFonts w:asciiTheme="minorHAnsi" w:hAnsiTheme="minorHAnsi" w:cs="Arial"/>
                      <w:b/>
                      <w:bCs/>
                      <w:sz w:val="16"/>
                      <w:szCs w:val="16"/>
                    </w:rPr>
                  </w:pPr>
                  <w:r w:rsidRPr="007777E2">
                    <w:rPr>
                      <w:rFonts w:asciiTheme="minorHAnsi" w:hAnsiTheme="minorHAnsi" w:cs="Arial"/>
                      <w:b/>
                      <w:bCs/>
                      <w:sz w:val="16"/>
                      <w:szCs w:val="16"/>
                    </w:rPr>
                    <w:t xml:space="preserve">2009 </w:t>
                  </w:r>
                  <w:r w:rsidR="00C21AB2" w:rsidRPr="007777E2">
                    <w:rPr>
                      <w:rFonts w:asciiTheme="minorHAnsi" w:hAnsiTheme="minorHAnsi" w:cs="Arial"/>
                      <w:b/>
                      <w:bCs/>
                      <w:sz w:val="16"/>
                      <w:szCs w:val="16"/>
                    </w:rPr>
                    <w:t>R</w:t>
                  </w:r>
                  <w:r w:rsidRPr="007777E2">
                    <w:rPr>
                      <w:rFonts w:asciiTheme="minorHAnsi" w:hAnsiTheme="minorHAnsi" w:cs="Arial"/>
                      <w:b/>
                      <w:bCs/>
                      <w:sz w:val="16"/>
                      <w:szCs w:val="16"/>
                    </w:rPr>
                    <w:t>ank</w:t>
                  </w:r>
                </w:p>
              </w:tc>
              <w:tc>
                <w:tcPr>
                  <w:tcW w:w="646" w:type="dxa"/>
                  <w:shd w:val="clear" w:color="auto" w:fill="auto"/>
                  <w:hideMark/>
                </w:tcPr>
                <w:p w:rsidR="00484DC0" w:rsidRPr="007777E2" w:rsidRDefault="00C21AB2" w:rsidP="00C21AB2">
                  <w:pPr>
                    <w:jc w:val="center"/>
                    <w:rPr>
                      <w:rFonts w:asciiTheme="minorHAnsi" w:hAnsiTheme="minorHAnsi" w:cs="Arial"/>
                      <w:b/>
                      <w:bCs/>
                      <w:sz w:val="16"/>
                      <w:szCs w:val="16"/>
                    </w:rPr>
                  </w:pPr>
                  <w:r w:rsidRPr="007777E2">
                    <w:rPr>
                      <w:rFonts w:asciiTheme="minorHAnsi" w:hAnsiTheme="minorHAnsi" w:cs="Arial"/>
                      <w:b/>
                      <w:bCs/>
                      <w:sz w:val="16"/>
                      <w:szCs w:val="16"/>
                    </w:rPr>
                    <w:t>C</w:t>
                  </w:r>
                  <w:r w:rsidR="00484DC0" w:rsidRPr="007777E2">
                    <w:rPr>
                      <w:rFonts w:asciiTheme="minorHAnsi" w:hAnsiTheme="minorHAnsi" w:cs="Arial"/>
                      <w:b/>
                      <w:bCs/>
                      <w:sz w:val="16"/>
                      <w:szCs w:val="16"/>
                    </w:rPr>
                    <w:t>hange</w:t>
                  </w:r>
                </w:p>
              </w:tc>
            </w:tr>
            <w:tr w:rsidR="00484DC0" w:rsidRPr="007777E2" w:rsidTr="00513C89">
              <w:trPr>
                <w:trHeight w:val="231"/>
              </w:trPr>
              <w:tc>
                <w:tcPr>
                  <w:tcW w:w="2772" w:type="dxa"/>
                  <w:shd w:val="clear" w:color="auto" w:fill="auto"/>
                  <w:noWrap/>
                  <w:vAlign w:val="bottom"/>
                  <w:hideMark/>
                </w:tcPr>
                <w:p w:rsidR="00484DC0" w:rsidRPr="00513C89" w:rsidRDefault="00484DC0" w:rsidP="00484DC0">
                  <w:pPr>
                    <w:rPr>
                      <w:rFonts w:asciiTheme="minorHAnsi" w:hAnsiTheme="minorHAnsi"/>
                      <w:color w:val="000000"/>
                      <w:sz w:val="18"/>
                      <w:szCs w:val="16"/>
                    </w:rPr>
                  </w:pPr>
                  <w:r w:rsidRPr="00513C89">
                    <w:rPr>
                      <w:rFonts w:asciiTheme="minorHAnsi" w:hAnsiTheme="minorHAnsi"/>
                      <w:color w:val="000000"/>
                      <w:sz w:val="18"/>
                      <w:szCs w:val="16"/>
                    </w:rPr>
                    <w:t>Starting a business</w:t>
                  </w:r>
                </w:p>
              </w:tc>
              <w:tc>
                <w:tcPr>
                  <w:tcW w:w="630" w:type="dxa"/>
                  <w:shd w:val="clear" w:color="auto" w:fill="auto"/>
                  <w:noWrap/>
                  <w:vAlign w:val="bottom"/>
                  <w:hideMark/>
                </w:tcPr>
                <w:p w:rsidR="00484DC0" w:rsidRPr="00513C89" w:rsidRDefault="00484DC0" w:rsidP="00484DC0">
                  <w:pPr>
                    <w:jc w:val="center"/>
                    <w:rPr>
                      <w:rFonts w:asciiTheme="minorHAnsi" w:hAnsiTheme="minorHAnsi"/>
                      <w:color w:val="000000"/>
                      <w:sz w:val="18"/>
                      <w:szCs w:val="16"/>
                    </w:rPr>
                  </w:pPr>
                  <w:r w:rsidRPr="00513C89">
                    <w:rPr>
                      <w:rFonts w:asciiTheme="minorHAnsi" w:hAnsiTheme="minorHAnsi"/>
                      <w:color w:val="000000"/>
                      <w:sz w:val="18"/>
                      <w:szCs w:val="16"/>
                    </w:rPr>
                    <w:t>7</w:t>
                  </w:r>
                </w:p>
              </w:tc>
              <w:tc>
                <w:tcPr>
                  <w:tcW w:w="630" w:type="dxa"/>
                  <w:shd w:val="clear" w:color="auto" w:fill="auto"/>
                  <w:noWrap/>
                  <w:vAlign w:val="bottom"/>
                  <w:hideMark/>
                </w:tcPr>
                <w:p w:rsidR="00484DC0" w:rsidRPr="00513C89" w:rsidRDefault="00484DC0" w:rsidP="00484DC0">
                  <w:pPr>
                    <w:jc w:val="center"/>
                    <w:rPr>
                      <w:rFonts w:asciiTheme="minorHAnsi" w:hAnsiTheme="minorHAnsi"/>
                      <w:color w:val="000000"/>
                      <w:sz w:val="18"/>
                      <w:szCs w:val="16"/>
                    </w:rPr>
                  </w:pPr>
                  <w:r w:rsidRPr="00513C89">
                    <w:rPr>
                      <w:rFonts w:asciiTheme="minorHAnsi" w:hAnsiTheme="minorHAnsi"/>
                      <w:color w:val="000000"/>
                      <w:sz w:val="18"/>
                      <w:szCs w:val="16"/>
                    </w:rPr>
                    <w:t>98</w:t>
                  </w:r>
                </w:p>
              </w:tc>
              <w:tc>
                <w:tcPr>
                  <w:tcW w:w="646" w:type="dxa"/>
                  <w:shd w:val="clear" w:color="auto" w:fill="auto"/>
                  <w:noWrap/>
                  <w:vAlign w:val="bottom"/>
                  <w:hideMark/>
                </w:tcPr>
                <w:p w:rsidR="00484DC0" w:rsidRPr="00513C89" w:rsidRDefault="00484DC0" w:rsidP="00484DC0">
                  <w:pPr>
                    <w:jc w:val="center"/>
                    <w:rPr>
                      <w:rFonts w:asciiTheme="minorHAnsi" w:hAnsiTheme="minorHAnsi"/>
                      <w:color w:val="000000"/>
                      <w:sz w:val="18"/>
                      <w:szCs w:val="16"/>
                    </w:rPr>
                  </w:pPr>
                  <w:r w:rsidRPr="00513C89">
                    <w:rPr>
                      <w:rFonts w:asciiTheme="minorHAnsi" w:hAnsiTheme="minorHAnsi"/>
                      <w:color w:val="000000"/>
                      <w:sz w:val="18"/>
                      <w:szCs w:val="16"/>
                    </w:rPr>
                    <w:t>91</w:t>
                  </w:r>
                </w:p>
              </w:tc>
            </w:tr>
            <w:tr w:rsidR="00484DC0" w:rsidRPr="007777E2" w:rsidTr="00513C89">
              <w:trPr>
                <w:trHeight w:val="231"/>
              </w:trPr>
              <w:tc>
                <w:tcPr>
                  <w:tcW w:w="2772" w:type="dxa"/>
                  <w:shd w:val="clear" w:color="auto" w:fill="auto"/>
                  <w:noWrap/>
                  <w:vAlign w:val="bottom"/>
                  <w:hideMark/>
                </w:tcPr>
                <w:p w:rsidR="00484DC0" w:rsidRPr="00513C89" w:rsidRDefault="00484DC0" w:rsidP="00484DC0">
                  <w:pPr>
                    <w:rPr>
                      <w:rFonts w:asciiTheme="minorHAnsi" w:hAnsiTheme="minorHAnsi"/>
                      <w:color w:val="000000"/>
                      <w:sz w:val="18"/>
                      <w:szCs w:val="16"/>
                    </w:rPr>
                  </w:pPr>
                  <w:r w:rsidRPr="00513C89">
                    <w:rPr>
                      <w:rFonts w:asciiTheme="minorHAnsi" w:hAnsiTheme="minorHAnsi"/>
                      <w:color w:val="000000"/>
                      <w:sz w:val="18"/>
                      <w:szCs w:val="16"/>
                    </w:rPr>
                    <w:t>Dealing with construction permits</w:t>
                  </w:r>
                </w:p>
              </w:tc>
              <w:tc>
                <w:tcPr>
                  <w:tcW w:w="630" w:type="dxa"/>
                  <w:shd w:val="clear" w:color="auto" w:fill="auto"/>
                  <w:noWrap/>
                  <w:vAlign w:val="bottom"/>
                  <w:hideMark/>
                </w:tcPr>
                <w:p w:rsidR="00484DC0" w:rsidRPr="00513C89" w:rsidRDefault="00484DC0" w:rsidP="00484DC0">
                  <w:pPr>
                    <w:jc w:val="center"/>
                    <w:rPr>
                      <w:rFonts w:asciiTheme="minorHAnsi" w:hAnsiTheme="minorHAnsi"/>
                      <w:color w:val="000000"/>
                      <w:sz w:val="18"/>
                      <w:szCs w:val="16"/>
                    </w:rPr>
                  </w:pPr>
                  <w:r w:rsidRPr="00513C89">
                    <w:rPr>
                      <w:rFonts w:asciiTheme="minorHAnsi" w:hAnsiTheme="minorHAnsi"/>
                      <w:color w:val="000000"/>
                      <w:sz w:val="18"/>
                      <w:szCs w:val="16"/>
                    </w:rPr>
                    <w:t>44</w:t>
                  </w:r>
                </w:p>
              </w:tc>
              <w:tc>
                <w:tcPr>
                  <w:tcW w:w="630" w:type="dxa"/>
                  <w:shd w:val="clear" w:color="auto" w:fill="auto"/>
                  <w:noWrap/>
                  <w:vAlign w:val="bottom"/>
                  <w:hideMark/>
                </w:tcPr>
                <w:p w:rsidR="00484DC0" w:rsidRPr="00513C89" w:rsidRDefault="00484DC0" w:rsidP="00484DC0">
                  <w:pPr>
                    <w:jc w:val="center"/>
                    <w:rPr>
                      <w:rFonts w:asciiTheme="minorHAnsi" w:hAnsiTheme="minorHAnsi"/>
                      <w:color w:val="000000"/>
                      <w:sz w:val="18"/>
                      <w:szCs w:val="16"/>
                    </w:rPr>
                  </w:pPr>
                  <w:r w:rsidRPr="00513C89">
                    <w:rPr>
                      <w:rFonts w:asciiTheme="minorHAnsi" w:hAnsiTheme="minorHAnsi"/>
                      <w:color w:val="000000"/>
                      <w:sz w:val="18"/>
                      <w:szCs w:val="16"/>
                    </w:rPr>
                    <w:t>63</w:t>
                  </w:r>
                </w:p>
              </w:tc>
              <w:tc>
                <w:tcPr>
                  <w:tcW w:w="646" w:type="dxa"/>
                  <w:shd w:val="clear" w:color="auto" w:fill="auto"/>
                  <w:noWrap/>
                  <w:vAlign w:val="bottom"/>
                  <w:hideMark/>
                </w:tcPr>
                <w:p w:rsidR="00484DC0" w:rsidRPr="00513C89" w:rsidRDefault="00484DC0" w:rsidP="00484DC0">
                  <w:pPr>
                    <w:jc w:val="center"/>
                    <w:rPr>
                      <w:rFonts w:asciiTheme="minorHAnsi" w:hAnsiTheme="minorHAnsi"/>
                      <w:color w:val="000000"/>
                      <w:sz w:val="18"/>
                      <w:szCs w:val="16"/>
                    </w:rPr>
                  </w:pPr>
                  <w:r w:rsidRPr="00513C89">
                    <w:rPr>
                      <w:rFonts w:asciiTheme="minorHAnsi" w:hAnsiTheme="minorHAnsi"/>
                      <w:color w:val="000000"/>
                      <w:sz w:val="18"/>
                      <w:szCs w:val="16"/>
                    </w:rPr>
                    <w:t>19</w:t>
                  </w:r>
                </w:p>
              </w:tc>
            </w:tr>
            <w:tr w:rsidR="00484DC0" w:rsidRPr="007777E2" w:rsidTr="00513C89">
              <w:trPr>
                <w:trHeight w:val="231"/>
              </w:trPr>
              <w:tc>
                <w:tcPr>
                  <w:tcW w:w="2772" w:type="dxa"/>
                  <w:shd w:val="clear" w:color="auto" w:fill="auto"/>
                  <w:noWrap/>
                  <w:vAlign w:val="bottom"/>
                  <w:hideMark/>
                </w:tcPr>
                <w:p w:rsidR="00484DC0" w:rsidRPr="00513C89" w:rsidRDefault="00484DC0" w:rsidP="00484DC0">
                  <w:pPr>
                    <w:rPr>
                      <w:rFonts w:asciiTheme="minorHAnsi" w:hAnsiTheme="minorHAnsi"/>
                      <w:color w:val="000000"/>
                      <w:sz w:val="18"/>
                      <w:szCs w:val="16"/>
                    </w:rPr>
                  </w:pPr>
                  <w:r w:rsidRPr="00513C89">
                    <w:rPr>
                      <w:rFonts w:asciiTheme="minorHAnsi" w:hAnsiTheme="minorHAnsi"/>
                      <w:color w:val="000000"/>
                      <w:sz w:val="18"/>
                      <w:szCs w:val="16"/>
                    </w:rPr>
                    <w:t>Employing workers</w:t>
                  </w:r>
                </w:p>
              </w:tc>
              <w:tc>
                <w:tcPr>
                  <w:tcW w:w="630" w:type="dxa"/>
                  <w:shd w:val="clear" w:color="auto" w:fill="auto"/>
                  <w:noWrap/>
                  <w:vAlign w:val="bottom"/>
                  <w:hideMark/>
                </w:tcPr>
                <w:p w:rsidR="00484DC0" w:rsidRPr="00513C89" w:rsidRDefault="00484DC0" w:rsidP="00484DC0">
                  <w:pPr>
                    <w:jc w:val="center"/>
                    <w:rPr>
                      <w:rFonts w:asciiTheme="minorHAnsi" w:hAnsiTheme="minorHAnsi"/>
                      <w:color w:val="000000"/>
                      <w:sz w:val="18"/>
                      <w:szCs w:val="16"/>
                    </w:rPr>
                  </w:pPr>
                  <w:r w:rsidRPr="00513C89">
                    <w:rPr>
                      <w:rFonts w:asciiTheme="minorHAnsi" w:hAnsiTheme="minorHAnsi"/>
                      <w:color w:val="000000"/>
                      <w:sz w:val="18"/>
                      <w:szCs w:val="16"/>
                    </w:rPr>
                    <w:t>32</w:t>
                  </w:r>
                </w:p>
              </w:tc>
              <w:tc>
                <w:tcPr>
                  <w:tcW w:w="630" w:type="dxa"/>
                  <w:shd w:val="clear" w:color="auto" w:fill="auto"/>
                  <w:noWrap/>
                  <w:vAlign w:val="bottom"/>
                  <w:hideMark/>
                </w:tcPr>
                <w:p w:rsidR="00484DC0" w:rsidRPr="00513C89" w:rsidRDefault="00484DC0" w:rsidP="00484DC0">
                  <w:pPr>
                    <w:jc w:val="center"/>
                    <w:rPr>
                      <w:rFonts w:asciiTheme="minorHAnsi" w:hAnsiTheme="minorHAnsi"/>
                      <w:color w:val="000000"/>
                      <w:sz w:val="18"/>
                      <w:szCs w:val="16"/>
                    </w:rPr>
                  </w:pPr>
                  <w:r w:rsidRPr="00513C89">
                    <w:rPr>
                      <w:rFonts w:asciiTheme="minorHAnsi" w:hAnsiTheme="minorHAnsi"/>
                      <w:color w:val="000000"/>
                      <w:sz w:val="18"/>
                      <w:szCs w:val="16"/>
                    </w:rPr>
                    <w:t>40</w:t>
                  </w:r>
                </w:p>
              </w:tc>
              <w:tc>
                <w:tcPr>
                  <w:tcW w:w="646" w:type="dxa"/>
                  <w:shd w:val="clear" w:color="auto" w:fill="auto"/>
                  <w:noWrap/>
                  <w:vAlign w:val="bottom"/>
                  <w:hideMark/>
                </w:tcPr>
                <w:p w:rsidR="00484DC0" w:rsidRPr="00513C89" w:rsidRDefault="00484DC0" w:rsidP="00484DC0">
                  <w:pPr>
                    <w:jc w:val="center"/>
                    <w:rPr>
                      <w:rFonts w:asciiTheme="minorHAnsi" w:hAnsiTheme="minorHAnsi"/>
                      <w:color w:val="000000"/>
                      <w:sz w:val="18"/>
                      <w:szCs w:val="16"/>
                    </w:rPr>
                  </w:pPr>
                  <w:r w:rsidRPr="00513C89">
                    <w:rPr>
                      <w:rFonts w:asciiTheme="minorHAnsi" w:hAnsiTheme="minorHAnsi"/>
                      <w:color w:val="000000"/>
                      <w:sz w:val="18"/>
                      <w:szCs w:val="16"/>
                    </w:rPr>
                    <w:t>8</w:t>
                  </w:r>
                </w:p>
              </w:tc>
            </w:tr>
            <w:tr w:rsidR="00484DC0" w:rsidRPr="007777E2" w:rsidTr="00513C89">
              <w:trPr>
                <w:trHeight w:val="231"/>
              </w:trPr>
              <w:tc>
                <w:tcPr>
                  <w:tcW w:w="2772" w:type="dxa"/>
                  <w:shd w:val="clear" w:color="auto" w:fill="auto"/>
                  <w:noWrap/>
                  <w:vAlign w:val="bottom"/>
                  <w:hideMark/>
                </w:tcPr>
                <w:p w:rsidR="00484DC0" w:rsidRPr="00513C89" w:rsidRDefault="00484DC0" w:rsidP="00484DC0">
                  <w:pPr>
                    <w:rPr>
                      <w:rFonts w:asciiTheme="minorHAnsi" w:hAnsiTheme="minorHAnsi"/>
                      <w:color w:val="000000"/>
                      <w:sz w:val="18"/>
                      <w:szCs w:val="16"/>
                    </w:rPr>
                  </w:pPr>
                  <w:r w:rsidRPr="00513C89">
                    <w:rPr>
                      <w:rFonts w:asciiTheme="minorHAnsi" w:hAnsiTheme="minorHAnsi"/>
                      <w:color w:val="000000"/>
                      <w:sz w:val="18"/>
                      <w:szCs w:val="16"/>
                    </w:rPr>
                    <w:t>Registering property</w:t>
                  </w:r>
                </w:p>
              </w:tc>
              <w:tc>
                <w:tcPr>
                  <w:tcW w:w="630" w:type="dxa"/>
                  <w:shd w:val="clear" w:color="auto" w:fill="auto"/>
                  <w:noWrap/>
                  <w:vAlign w:val="bottom"/>
                  <w:hideMark/>
                </w:tcPr>
                <w:p w:rsidR="00484DC0" w:rsidRPr="00513C89" w:rsidRDefault="00484DC0" w:rsidP="00484DC0">
                  <w:pPr>
                    <w:jc w:val="center"/>
                    <w:rPr>
                      <w:rFonts w:asciiTheme="minorHAnsi" w:hAnsiTheme="minorHAnsi"/>
                      <w:color w:val="000000"/>
                      <w:sz w:val="18"/>
                      <w:szCs w:val="16"/>
                    </w:rPr>
                  </w:pPr>
                  <w:r w:rsidRPr="00513C89">
                    <w:rPr>
                      <w:rFonts w:asciiTheme="minorHAnsi" w:hAnsiTheme="minorHAnsi"/>
                      <w:color w:val="000000"/>
                      <w:sz w:val="18"/>
                      <w:szCs w:val="16"/>
                    </w:rPr>
                    <w:t>10</w:t>
                  </w:r>
                </w:p>
              </w:tc>
              <w:tc>
                <w:tcPr>
                  <w:tcW w:w="630" w:type="dxa"/>
                  <w:shd w:val="clear" w:color="auto" w:fill="auto"/>
                  <w:noWrap/>
                  <w:vAlign w:val="bottom"/>
                  <w:hideMark/>
                </w:tcPr>
                <w:p w:rsidR="00484DC0" w:rsidRPr="00513C89" w:rsidRDefault="00484DC0" w:rsidP="00484DC0">
                  <w:pPr>
                    <w:jc w:val="center"/>
                    <w:rPr>
                      <w:rFonts w:asciiTheme="minorHAnsi" w:hAnsiTheme="minorHAnsi"/>
                      <w:color w:val="000000"/>
                      <w:sz w:val="18"/>
                      <w:szCs w:val="16"/>
                    </w:rPr>
                  </w:pPr>
                  <w:r w:rsidRPr="00513C89">
                    <w:rPr>
                      <w:rFonts w:asciiTheme="minorHAnsi" w:hAnsiTheme="minorHAnsi"/>
                      <w:color w:val="000000"/>
                      <w:sz w:val="18"/>
                      <w:szCs w:val="16"/>
                    </w:rPr>
                    <w:t>13</w:t>
                  </w:r>
                </w:p>
              </w:tc>
              <w:tc>
                <w:tcPr>
                  <w:tcW w:w="646" w:type="dxa"/>
                  <w:shd w:val="clear" w:color="auto" w:fill="auto"/>
                  <w:noWrap/>
                  <w:vAlign w:val="bottom"/>
                  <w:hideMark/>
                </w:tcPr>
                <w:p w:rsidR="00484DC0" w:rsidRPr="00513C89" w:rsidRDefault="00484DC0" w:rsidP="00484DC0">
                  <w:pPr>
                    <w:jc w:val="center"/>
                    <w:rPr>
                      <w:rFonts w:asciiTheme="minorHAnsi" w:hAnsiTheme="minorHAnsi"/>
                      <w:color w:val="000000"/>
                      <w:sz w:val="18"/>
                      <w:szCs w:val="16"/>
                    </w:rPr>
                  </w:pPr>
                  <w:r w:rsidRPr="00513C89">
                    <w:rPr>
                      <w:rFonts w:asciiTheme="minorHAnsi" w:hAnsiTheme="minorHAnsi"/>
                      <w:color w:val="000000"/>
                      <w:sz w:val="18"/>
                      <w:szCs w:val="16"/>
                    </w:rPr>
                    <w:t>3</w:t>
                  </w:r>
                </w:p>
              </w:tc>
            </w:tr>
            <w:tr w:rsidR="00484DC0" w:rsidRPr="007777E2" w:rsidTr="00513C89">
              <w:trPr>
                <w:trHeight w:val="231"/>
              </w:trPr>
              <w:tc>
                <w:tcPr>
                  <w:tcW w:w="2772" w:type="dxa"/>
                  <w:shd w:val="clear" w:color="auto" w:fill="auto"/>
                  <w:noWrap/>
                  <w:vAlign w:val="bottom"/>
                  <w:hideMark/>
                </w:tcPr>
                <w:p w:rsidR="00484DC0" w:rsidRPr="00513C89" w:rsidRDefault="00484DC0" w:rsidP="00484DC0">
                  <w:pPr>
                    <w:rPr>
                      <w:rFonts w:asciiTheme="minorHAnsi" w:hAnsiTheme="minorHAnsi"/>
                      <w:color w:val="000000"/>
                      <w:sz w:val="18"/>
                      <w:szCs w:val="16"/>
                    </w:rPr>
                  </w:pPr>
                  <w:r w:rsidRPr="00513C89">
                    <w:rPr>
                      <w:rFonts w:asciiTheme="minorHAnsi" w:hAnsiTheme="minorHAnsi"/>
                      <w:color w:val="000000"/>
                      <w:sz w:val="18"/>
                      <w:szCs w:val="16"/>
                    </w:rPr>
                    <w:t>Getting credit</w:t>
                  </w:r>
                </w:p>
              </w:tc>
              <w:tc>
                <w:tcPr>
                  <w:tcW w:w="630" w:type="dxa"/>
                  <w:shd w:val="clear" w:color="auto" w:fill="auto"/>
                  <w:noWrap/>
                  <w:vAlign w:val="bottom"/>
                  <w:hideMark/>
                </w:tcPr>
                <w:p w:rsidR="00484DC0" w:rsidRPr="00513C89" w:rsidRDefault="00484DC0" w:rsidP="00484DC0">
                  <w:pPr>
                    <w:jc w:val="center"/>
                    <w:rPr>
                      <w:rFonts w:asciiTheme="minorHAnsi" w:hAnsiTheme="minorHAnsi"/>
                      <w:color w:val="000000"/>
                      <w:sz w:val="18"/>
                      <w:szCs w:val="16"/>
                    </w:rPr>
                  </w:pPr>
                  <w:r w:rsidRPr="00513C89">
                    <w:rPr>
                      <w:rFonts w:asciiTheme="minorHAnsi" w:hAnsiTheme="minorHAnsi"/>
                      <w:color w:val="000000"/>
                      <w:sz w:val="18"/>
                      <w:szCs w:val="16"/>
                    </w:rPr>
                    <w:t>113</w:t>
                  </w:r>
                </w:p>
              </w:tc>
              <w:tc>
                <w:tcPr>
                  <w:tcW w:w="630" w:type="dxa"/>
                  <w:shd w:val="clear" w:color="auto" w:fill="auto"/>
                  <w:noWrap/>
                  <w:vAlign w:val="bottom"/>
                  <w:hideMark/>
                </w:tcPr>
                <w:p w:rsidR="00484DC0" w:rsidRPr="00513C89" w:rsidRDefault="00484DC0" w:rsidP="00484DC0">
                  <w:pPr>
                    <w:jc w:val="center"/>
                    <w:rPr>
                      <w:rFonts w:asciiTheme="minorHAnsi" w:hAnsiTheme="minorHAnsi"/>
                      <w:color w:val="000000"/>
                      <w:sz w:val="18"/>
                      <w:szCs w:val="16"/>
                    </w:rPr>
                  </w:pPr>
                  <w:r w:rsidRPr="00513C89">
                    <w:rPr>
                      <w:rFonts w:asciiTheme="minorHAnsi" w:hAnsiTheme="minorHAnsi"/>
                      <w:color w:val="000000"/>
                      <w:sz w:val="18"/>
                      <w:szCs w:val="16"/>
                    </w:rPr>
                    <w:t>109</w:t>
                  </w:r>
                </w:p>
              </w:tc>
              <w:tc>
                <w:tcPr>
                  <w:tcW w:w="646" w:type="dxa"/>
                  <w:shd w:val="clear" w:color="auto" w:fill="auto"/>
                  <w:noWrap/>
                  <w:vAlign w:val="bottom"/>
                  <w:hideMark/>
                </w:tcPr>
                <w:p w:rsidR="00484DC0" w:rsidRPr="00513C89" w:rsidRDefault="00484DC0" w:rsidP="00484DC0">
                  <w:pPr>
                    <w:jc w:val="center"/>
                    <w:rPr>
                      <w:rFonts w:asciiTheme="minorHAnsi" w:hAnsiTheme="minorHAnsi"/>
                      <w:color w:val="000000"/>
                      <w:sz w:val="18"/>
                      <w:szCs w:val="16"/>
                    </w:rPr>
                  </w:pPr>
                  <w:r w:rsidRPr="00513C89">
                    <w:rPr>
                      <w:rFonts w:asciiTheme="minorHAnsi" w:hAnsiTheme="minorHAnsi"/>
                      <w:color w:val="000000"/>
                      <w:sz w:val="18"/>
                      <w:szCs w:val="16"/>
                    </w:rPr>
                    <w:t>-4</w:t>
                  </w:r>
                </w:p>
              </w:tc>
            </w:tr>
            <w:tr w:rsidR="00484DC0" w:rsidRPr="007777E2" w:rsidTr="00513C89">
              <w:trPr>
                <w:trHeight w:val="231"/>
              </w:trPr>
              <w:tc>
                <w:tcPr>
                  <w:tcW w:w="2772" w:type="dxa"/>
                  <w:shd w:val="clear" w:color="auto" w:fill="auto"/>
                  <w:noWrap/>
                  <w:vAlign w:val="bottom"/>
                  <w:hideMark/>
                </w:tcPr>
                <w:p w:rsidR="00484DC0" w:rsidRPr="00513C89" w:rsidRDefault="00484DC0" w:rsidP="00484DC0">
                  <w:pPr>
                    <w:rPr>
                      <w:rFonts w:asciiTheme="minorHAnsi" w:hAnsiTheme="minorHAnsi"/>
                      <w:color w:val="000000"/>
                      <w:sz w:val="18"/>
                      <w:szCs w:val="16"/>
                    </w:rPr>
                  </w:pPr>
                  <w:r w:rsidRPr="00513C89">
                    <w:rPr>
                      <w:rFonts w:asciiTheme="minorHAnsi" w:hAnsiTheme="minorHAnsi"/>
                      <w:color w:val="000000"/>
                      <w:sz w:val="18"/>
                      <w:szCs w:val="16"/>
                    </w:rPr>
                    <w:t>Protecting investors</w:t>
                  </w:r>
                </w:p>
              </w:tc>
              <w:tc>
                <w:tcPr>
                  <w:tcW w:w="630" w:type="dxa"/>
                  <w:shd w:val="clear" w:color="auto" w:fill="auto"/>
                  <w:noWrap/>
                  <w:vAlign w:val="bottom"/>
                  <w:hideMark/>
                </w:tcPr>
                <w:p w:rsidR="00484DC0" w:rsidRPr="00513C89" w:rsidRDefault="00484DC0" w:rsidP="00484DC0">
                  <w:pPr>
                    <w:jc w:val="center"/>
                    <w:rPr>
                      <w:rFonts w:asciiTheme="minorHAnsi" w:hAnsiTheme="minorHAnsi"/>
                      <w:color w:val="000000"/>
                      <w:sz w:val="18"/>
                      <w:szCs w:val="16"/>
                    </w:rPr>
                  </w:pPr>
                  <w:r w:rsidRPr="00513C89">
                    <w:rPr>
                      <w:rFonts w:asciiTheme="minorHAnsi" w:hAnsiTheme="minorHAnsi"/>
                      <w:color w:val="000000"/>
                      <w:sz w:val="18"/>
                      <w:szCs w:val="16"/>
                    </w:rPr>
                    <w:t>109</w:t>
                  </w:r>
                </w:p>
              </w:tc>
              <w:tc>
                <w:tcPr>
                  <w:tcW w:w="630" w:type="dxa"/>
                  <w:shd w:val="clear" w:color="auto" w:fill="auto"/>
                  <w:noWrap/>
                  <w:vAlign w:val="bottom"/>
                  <w:hideMark/>
                </w:tcPr>
                <w:p w:rsidR="00484DC0" w:rsidRPr="00513C89" w:rsidRDefault="00484DC0" w:rsidP="00484DC0">
                  <w:pPr>
                    <w:jc w:val="center"/>
                    <w:rPr>
                      <w:rFonts w:asciiTheme="minorHAnsi" w:hAnsiTheme="minorHAnsi"/>
                      <w:color w:val="000000"/>
                      <w:sz w:val="18"/>
                      <w:szCs w:val="16"/>
                    </w:rPr>
                  </w:pPr>
                  <w:r w:rsidRPr="00513C89">
                    <w:rPr>
                      <w:rFonts w:asciiTheme="minorHAnsi" w:hAnsiTheme="minorHAnsi"/>
                      <w:color w:val="000000"/>
                      <w:sz w:val="18"/>
                      <w:szCs w:val="16"/>
                    </w:rPr>
                    <w:t>105</w:t>
                  </w:r>
                </w:p>
              </w:tc>
              <w:tc>
                <w:tcPr>
                  <w:tcW w:w="646" w:type="dxa"/>
                  <w:shd w:val="clear" w:color="auto" w:fill="auto"/>
                  <w:noWrap/>
                  <w:vAlign w:val="bottom"/>
                  <w:hideMark/>
                </w:tcPr>
                <w:p w:rsidR="00484DC0" w:rsidRPr="00513C89" w:rsidRDefault="00484DC0" w:rsidP="00484DC0">
                  <w:pPr>
                    <w:jc w:val="center"/>
                    <w:rPr>
                      <w:rFonts w:asciiTheme="minorHAnsi" w:hAnsiTheme="minorHAnsi"/>
                      <w:color w:val="000000"/>
                      <w:sz w:val="18"/>
                      <w:szCs w:val="16"/>
                    </w:rPr>
                  </w:pPr>
                  <w:r w:rsidRPr="00513C89">
                    <w:rPr>
                      <w:rFonts w:asciiTheme="minorHAnsi" w:hAnsiTheme="minorHAnsi"/>
                      <w:color w:val="000000"/>
                      <w:sz w:val="18"/>
                      <w:szCs w:val="16"/>
                    </w:rPr>
                    <w:t>-4</w:t>
                  </w:r>
                </w:p>
              </w:tc>
            </w:tr>
            <w:tr w:rsidR="00484DC0" w:rsidRPr="007777E2" w:rsidTr="00513C89">
              <w:trPr>
                <w:trHeight w:val="231"/>
              </w:trPr>
              <w:tc>
                <w:tcPr>
                  <w:tcW w:w="2772" w:type="dxa"/>
                  <w:shd w:val="clear" w:color="auto" w:fill="auto"/>
                  <w:noWrap/>
                  <w:vAlign w:val="bottom"/>
                  <w:hideMark/>
                </w:tcPr>
                <w:p w:rsidR="00484DC0" w:rsidRPr="00513C89" w:rsidRDefault="00484DC0" w:rsidP="00484DC0">
                  <w:pPr>
                    <w:rPr>
                      <w:rFonts w:asciiTheme="minorHAnsi" w:hAnsiTheme="minorHAnsi"/>
                      <w:color w:val="000000"/>
                      <w:sz w:val="18"/>
                      <w:szCs w:val="16"/>
                    </w:rPr>
                  </w:pPr>
                  <w:r w:rsidRPr="00513C89">
                    <w:rPr>
                      <w:rFonts w:asciiTheme="minorHAnsi" w:hAnsiTheme="minorHAnsi"/>
                      <w:color w:val="000000"/>
                      <w:sz w:val="18"/>
                      <w:szCs w:val="16"/>
                    </w:rPr>
                    <w:t>Paying taxes</w:t>
                  </w:r>
                </w:p>
              </w:tc>
              <w:tc>
                <w:tcPr>
                  <w:tcW w:w="630" w:type="dxa"/>
                  <w:shd w:val="clear" w:color="auto" w:fill="auto"/>
                  <w:noWrap/>
                  <w:vAlign w:val="bottom"/>
                  <w:hideMark/>
                </w:tcPr>
                <w:p w:rsidR="00484DC0" w:rsidRPr="00513C89" w:rsidRDefault="00484DC0" w:rsidP="00484DC0">
                  <w:pPr>
                    <w:jc w:val="center"/>
                    <w:rPr>
                      <w:rFonts w:asciiTheme="minorHAnsi" w:hAnsiTheme="minorHAnsi"/>
                      <w:color w:val="000000"/>
                      <w:sz w:val="18"/>
                      <w:szCs w:val="16"/>
                    </w:rPr>
                  </w:pPr>
                  <w:r w:rsidRPr="00513C89">
                    <w:rPr>
                      <w:rFonts w:asciiTheme="minorHAnsi" w:hAnsiTheme="minorHAnsi"/>
                      <w:color w:val="000000"/>
                      <w:sz w:val="18"/>
                      <w:szCs w:val="16"/>
                    </w:rPr>
                    <w:t>183</w:t>
                  </w:r>
                </w:p>
              </w:tc>
              <w:tc>
                <w:tcPr>
                  <w:tcW w:w="630" w:type="dxa"/>
                  <w:shd w:val="clear" w:color="auto" w:fill="auto"/>
                  <w:noWrap/>
                  <w:vAlign w:val="bottom"/>
                  <w:hideMark/>
                </w:tcPr>
                <w:p w:rsidR="00484DC0" w:rsidRPr="00513C89" w:rsidRDefault="00484DC0" w:rsidP="00484DC0">
                  <w:pPr>
                    <w:jc w:val="center"/>
                    <w:rPr>
                      <w:rFonts w:asciiTheme="minorHAnsi" w:hAnsiTheme="minorHAnsi"/>
                      <w:color w:val="000000"/>
                      <w:sz w:val="18"/>
                      <w:szCs w:val="16"/>
                    </w:rPr>
                  </w:pPr>
                  <w:r w:rsidRPr="00513C89">
                    <w:rPr>
                      <w:rFonts w:asciiTheme="minorHAnsi" w:hAnsiTheme="minorHAnsi"/>
                      <w:color w:val="000000"/>
                      <w:sz w:val="18"/>
                      <w:szCs w:val="16"/>
                    </w:rPr>
                    <w:t>183</w:t>
                  </w:r>
                </w:p>
              </w:tc>
              <w:tc>
                <w:tcPr>
                  <w:tcW w:w="646" w:type="dxa"/>
                  <w:shd w:val="clear" w:color="auto" w:fill="auto"/>
                  <w:noWrap/>
                  <w:vAlign w:val="bottom"/>
                  <w:hideMark/>
                </w:tcPr>
                <w:p w:rsidR="00484DC0" w:rsidRPr="00513C89" w:rsidRDefault="00484DC0" w:rsidP="00484DC0">
                  <w:pPr>
                    <w:jc w:val="center"/>
                    <w:rPr>
                      <w:rFonts w:asciiTheme="minorHAnsi" w:hAnsiTheme="minorHAnsi"/>
                      <w:color w:val="000000"/>
                      <w:sz w:val="18"/>
                      <w:szCs w:val="16"/>
                    </w:rPr>
                  </w:pPr>
                  <w:r w:rsidRPr="00513C89">
                    <w:rPr>
                      <w:rFonts w:asciiTheme="minorHAnsi" w:hAnsiTheme="minorHAnsi"/>
                      <w:color w:val="000000"/>
                      <w:sz w:val="18"/>
                      <w:szCs w:val="16"/>
                    </w:rPr>
                    <w:t>0</w:t>
                  </w:r>
                </w:p>
              </w:tc>
            </w:tr>
            <w:tr w:rsidR="00484DC0" w:rsidRPr="007777E2" w:rsidTr="00513C89">
              <w:trPr>
                <w:trHeight w:val="231"/>
              </w:trPr>
              <w:tc>
                <w:tcPr>
                  <w:tcW w:w="2772" w:type="dxa"/>
                  <w:shd w:val="clear" w:color="auto" w:fill="auto"/>
                  <w:noWrap/>
                  <w:vAlign w:val="bottom"/>
                  <w:hideMark/>
                </w:tcPr>
                <w:p w:rsidR="00484DC0" w:rsidRPr="00513C89" w:rsidRDefault="00484DC0" w:rsidP="00484DC0">
                  <w:pPr>
                    <w:rPr>
                      <w:rFonts w:asciiTheme="minorHAnsi" w:hAnsiTheme="minorHAnsi"/>
                      <w:color w:val="000000"/>
                      <w:sz w:val="18"/>
                      <w:szCs w:val="16"/>
                    </w:rPr>
                  </w:pPr>
                  <w:r w:rsidRPr="00513C89">
                    <w:rPr>
                      <w:rFonts w:asciiTheme="minorHAnsi" w:hAnsiTheme="minorHAnsi"/>
                      <w:color w:val="000000"/>
                      <w:sz w:val="18"/>
                      <w:szCs w:val="16"/>
                    </w:rPr>
                    <w:t>Trading across borders</w:t>
                  </w:r>
                </w:p>
              </w:tc>
              <w:tc>
                <w:tcPr>
                  <w:tcW w:w="630" w:type="dxa"/>
                  <w:shd w:val="clear" w:color="auto" w:fill="auto"/>
                  <w:noWrap/>
                  <w:vAlign w:val="bottom"/>
                  <w:hideMark/>
                </w:tcPr>
                <w:p w:rsidR="00484DC0" w:rsidRPr="00513C89" w:rsidRDefault="00484DC0" w:rsidP="00484DC0">
                  <w:pPr>
                    <w:jc w:val="center"/>
                    <w:rPr>
                      <w:rFonts w:asciiTheme="minorHAnsi" w:hAnsiTheme="minorHAnsi"/>
                      <w:color w:val="000000"/>
                      <w:sz w:val="18"/>
                      <w:szCs w:val="16"/>
                    </w:rPr>
                  </w:pPr>
                  <w:r w:rsidRPr="00513C89">
                    <w:rPr>
                      <w:rFonts w:asciiTheme="minorHAnsi" w:hAnsiTheme="minorHAnsi"/>
                      <w:color w:val="000000"/>
                      <w:sz w:val="18"/>
                      <w:szCs w:val="16"/>
                    </w:rPr>
                    <w:t>129</w:t>
                  </w:r>
                </w:p>
              </w:tc>
              <w:tc>
                <w:tcPr>
                  <w:tcW w:w="630" w:type="dxa"/>
                  <w:shd w:val="clear" w:color="auto" w:fill="auto"/>
                  <w:noWrap/>
                  <w:vAlign w:val="bottom"/>
                  <w:hideMark/>
                </w:tcPr>
                <w:p w:rsidR="00484DC0" w:rsidRPr="00513C89" w:rsidRDefault="00484DC0" w:rsidP="00484DC0">
                  <w:pPr>
                    <w:jc w:val="center"/>
                    <w:rPr>
                      <w:rFonts w:asciiTheme="minorHAnsi" w:hAnsiTheme="minorHAnsi"/>
                      <w:color w:val="000000"/>
                      <w:sz w:val="18"/>
                      <w:szCs w:val="16"/>
                    </w:rPr>
                  </w:pPr>
                  <w:r w:rsidRPr="00513C89">
                    <w:rPr>
                      <w:rFonts w:asciiTheme="minorHAnsi" w:hAnsiTheme="minorHAnsi"/>
                      <w:color w:val="000000"/>
                      <w:sz w:val="18"/>
                      <w:szCs w:val="16"/>
                    </w:rPr>
                    <w:t>134</w:t>
                  </w:r>
                </w:p>
              </w:tc>
              <w:tc>
                <w:tcPr>
                  <w:tcW w:w="646" w:type="dxa"/>
                  <w:shd w:val="clear" w:color="auto" w:fill="auto"/>
                  <w:noWrap/>
                  <w:vAlign w:val="bottom"/>
                  <w:hideMark/>
                </w:tcPr>
                <w:p w:rsidR="00484DC0" w:rsidRPr="00513C89" w:rsidRDefault="00484DC0" w:rsidP="00484DC0">
                  <w:pPr>
                    <w:jc w:val="center"/>
                    <w:rPr>
                      <w:rFonts w:asciiTheme="minorHAnsi" w:hAnsiTheme="minorHAnsi"/>
                      <w:color w:val="000000"/>
                      <w:sz w:val="18"/>
                      <w:szCs w:val="16"/>
                    </w:rPr>
                  </w:pPr>
                  <w:r w:rsidRPr="00513C89">
                    <w:rPr>
                      <w:rFonts w:asciiTheme="minorHAnsi" w:hAnsiTheme="minorHAnsi"/>
                      <w:color w:val="000000"/>
                      <w:sz w:val="18"/>
                      <w:szCs w:val="16"/>
                    </w:rPr>
                    <w:t>5</w:t>
                  </w:r>
                </w:p>
              </w:tc>
            </w:tr>
            <w:tr w:rsidR="00484DC0" w:rsidRPr="007777E2" w:rsidTr="00513C89">
              <w:trPr>
                <w:trHeight w:val="242"/>
              </w:trPr>
              <w:tc>
                <w:tcPr>
                  <w:tcW w:w="2772" w:type="dxa"/>
                  <w:shd w:val="clear" w:color="auto" w:fill="auto"/>
                  <w:noWrap/>
                  <w:vAlign w:val="bottom"/>
                  <w:hideMark/>
                </w:tcPr>
                <w:p w:rsidR="00484DC0" w:rsidRPr="00513C89" w:rsidRDefault="00484DC0" w:rsidP="00484DC0">
                  <w:pPr>
                    <w:rPr>
                      <w:rFonts w:asciiTheme="minorHAnsi" w:hAnsiTheme="minorHAnsi"/>
                      <w:color w:val="000000"/>
                      <w:sz w:val="18"/>
                      <w:szCs w:val="16"/>
                    </w:rPr>
                  </w:pPr>
                  <w:r w:rsidRPr="00513C89">
                    <w:rPr>
                      <w:rFonts w:asciiTheme="minorHAnsi" w:hAnsiTheme="minorHAnsi"/>
                      <w:color w:val="000000"/>
                      <w:sz w:val="18"/>
                      <w:szCs w:val="16"/>
                    </w:rPr>
                    <w:t>Enforcing contracts</w:t>
                  </w:r>
                </w:p>
              </w:tc>
              <w:tc>
                <w:tcPr>
                  <w:tcW w:w="630" w:type="dxa"/>
                  <w:shd w:val="clear" w:color="auto" w:fill="auto"/>
                  <w:noWrap/>
                  <w:vAlign w:val="bottom"/>
                  <w:hideMark/>
                </w:tcPr>
                <w:p w:rsidR="00484DC0" w:rsidRPr="00513C89" w:rsidRDefault="00484DC0" w:rsidP="00484DC0">
                  <w:pPr>
                    <w:jc w:val="center"/>
                    <w:rPr>
                      <w:rFonts w:asciiTheme="minorHAnsi" w:hAnsiTheme="minorHAnsi"/>
                      <w:color w:val="000000"/>
                      <w:sz w:val="18"/>
                      <w:szCs w:val="16"/>
                    </w:rPr>
                  </w:pPr>
                  <w:r w:rsidRPr="00513C89">
                    <w:rPr>
                      <w:rFonts w:asciiTheme="minorHAnsi" w:hAnsiTheme="minorHAnsi"/>
                      <w:color w:val="000000"/>
                      <w:sz w:val="18"/>
                      <w:szCs w:val="16"/>
                    </w:rPr>
                    <w:t>12</w:t>
                  </w:r>
                </w:p>
              </w:tc>
              <w:tc>
                <w:tcPr>
                  <w:tcW w:w="630" w:type="dxa"/>
                  <w:shd w:val="clear" w:color="auto" w:fill="auto"/>
                  <w:noWrap/>
                  <w:vAlign w:val="bottom"/>
                  <w:hideMark/>
                </w:tcPr>
                <w:p w:rsidR="00484DC0" w:rsidRPr="00513C89" w:rsidRDefault="00484DC0" w:rsidP="00484DC0">
                  <w:pPr>
                    <w:jc w:val="center"/>
                    <w:rPr>
                      <w:rFonts w:asciiTheme="minorHAnsi" w:hAnsiTheme="minorHAnsi"/>
                      <w:color w:val="000000"/>
                      <w:sz w:val="18"/>
                      <w:szCs w:val="16"/>
                    </w:rPr>
                  </w:pPr>
                  <w:r w:rsidRPr="00513C89">
                    <w:rPr>
                      <w:rFonts w:asciiTheme="minorHAnsi" w:hAnsiTheme="minorHAnsi"/>
                      <w:color w:val="000000"/>
                      <w:sz w:val="18"/>
                      <w:szCs w:val="16"/>
                    </w:rPr>
                    <w:t>14</w:t>
                  </w:r>
                </w:p>
              </w:tc>
              <w:tc>
                <w:tcPr>
                  <w:tcW w:w="646" w:type="dxa"/>
                  <w:shd w:val="clear" w:color="auto" w:fill="auto"/>
                  <w:noWrap/>
                  <w:vAlign w:val="bottom"/>
                  <w:hideMark/>
                </w:tcPr>
                <w:p w:rsidR="00484DC0" w:rsidRPr="00513C89" w:rsidRDefault="00484DC0" w:rsidP="00484DC0">
                  <w:pPr>
                    <w:jc w:val="center"/>
                    <w:rPr>
                      <w:rFonts w:asciiTheme="minorHAnsi" w:hAnsiTheme="minorHAnsi"/>
                      <w:color w:val="000000"/>
                      <w:sz w:val="18"/>
                      <w:szCs w:val="16"/>
                    </w:rPr>
                  </w:pPr>
                  <w:r w:rsidRPr="00513C89">
                    <w:rPr>
                      <w:rFonts w:asciiTheme="minorHAnsi" w:hAnsiTheme="minorHAnsi"/>
                      <w:color w:val="000000"/>
                      <w:sz w:val="18"/>
                      <w:szCs w:val="16"/>
                    </w:rPr>
                    <w:t>2</w:t>
                  </w:r>
                </w:p>
              </w:tc>
            </w:tr>
            <w:tr w:rsidR="00484DC0" w:rsidRPr="007777E2" w:rsidTr="00513C89">
              <w:trPr>
                <w:trHeight w:val="242"/>
              </w:trPr>
              <w:tc>
                <w:tcPr>
                  <w:tcW w:w="2772" w:type="dxa"/>
                  <w:shd w:val="clear" w:color="auto" w:fill="auto"/>
                  <w:noWrap/>
                  <w:vAlign w:val="bottom"/>
                  <w:hideMark/>
                </w:tcPr>
                <w:p w:rsidR="00484DC0" w:rsidRPr="00513C89" w:rsidRDefault="00484DC0" w:rsidP="00484DC0">
                  <w:pPr>
                    <w:rPr>
                      <w:rFonts w:asciiTheme="minorHAnsi" w:hAnsiTheme="minorHAnsi"/>
                      <w:color w:val="000000"/>
                      <w:sz w:val="18"/>
                      <w:szCs w:val="16"/>
                    </w:rPr>
                  </w:pPr>
                  <w:r w:rsidRPr="00513C89">
                    <w:rPr>
                      <w:rFonts w:asciiTheme="minorHAnsi" w:hAnsiTheme="minorHAnsi"/>
                      <w:color w:val="000000"/>
                      <w:sz w:val="18"/>
                      <w:szCs w:val="16"/>
                    </w:rPr>
                    <w:t>Closing a business</w:t>
                  </w:r>
                </w:p>
              </w:tc>
              <w:tc>
                <w:tcPr>
                  <w:tcW w:w="630" w:type="dxa"/>
                  <w:shd w:val="clear" w:color="auto" w:fill="auto"/>
                  <w:noWrap/>
                  <w:vAlign w:val="bottom"/>
                  <w:hideMark/>
                </w:tcPr>
                <w:p w:rsidR="00484DC0" w:rsidRPr="00513C89" w:rsidRDefault="00484DC0" w:rsidP="00484DC0">
                  <w:pPr>
                    <w:jc w:val="center"/>
                    <w:rPr>
                      <w:rFonts w:asciiTheme="minorHAnsi" w:hAnsiTheme="minorHAnsi"/>
                      <w:color w:val="000000"/>
                      <w:sz w:val="18"/>
                      <w:szCs w:val="16"/>
                    </w:rPr>
                  </w:pPr>
                  <w:r w:rsidRPr="00513C89">
                    <w:rPr>
                      <w:rFonts w:asciiTheme="minorHAnsi" w:hAnsiTheme="minorHAnsi"/>
                      <w:color w:val="000000"/>
                      <w:sz w:val="18"/>
                      <w:szCs w:val="16"/>
                    </w:rPr>
                    <w:t>74</w:t>
                  </w:r>
                </w:p>
              </w:tc>
              <w:tc>
                <w:tcPr>
                  <w:tcW w:w="630" w:type="dxa"/>
                  <w:shd w:val="clear" w:color="auto" w:fill="auto"/>
                  <w:noWrap/>
                  <w:vAlign w:val="bottom"/>
                  <w:hideMark/>
                </w:tcPr>
                <w:p w:rsidR="00484DC0" w:rsidRPr="00513C89" w:rsidRDefault="00484DC0" w:rsidP="00484DC0">
                  <w:pPr>
                    <w:jc w:val="center"/>
                    <w:rPr>
                      <w:rFonts w:asciiTheme="minorHAnsi" w:hAnsiTheme="minorHAnsi"/>
                      <w:color w:val="000000"/>
                      <w:sz w:val="18"/>
                      <w:szCs w:val="16"/>
                    </w:rPr>
                  </w:pPr>
                  <w:r w:rsidRPr="00513C89">
                    <w:rPr>
                      <w:rFonts w:asciiTheme="minorHAnsi" w:hAnsiTheme="minorHAnsi"/>
                      <w:color w:val="000000"/>
                      <w:sz w:val="18"/>
                      <w:szCs w:val="16"/>
                    </w:rPr>
                    <w:t>74</w:t>
                  </w:r>
                </w:p>
              </w:tc>
              <w:tc>
                <w:tcPr>
                  <w:tcW w:w="646" w:type="dxa"/>
                  <w:shd w:val="clear" w:color="auto" w:fill="auto"/>
                  <w:noWrap/>
                  <w:vAlign w:val="bottom"/>
                  <w:hideMark/>
                </w:tcPr>
                <w:p w:rsidR="00484DC0" w:rsidRPr="00513C89" w:rsidRDefault="00484DC0" w:rsidP="00484DC0">
                  <w:pPr>
                    <w:jc w:val="center"/>
                    <w:rPr>
                      <w:rFonts w:asciiTheme="minorHAnsi" w:hAnsiTheme="minorHAnsi"/>
                      <w:color w:val="000000"/>
                      <w:sz w:val="18"/>
                      <w:szCs w:val="16"/>
                    </w:rPr>
                  </w:pPr>
                  <w:r w:rsidRPr="00513C89">
                    <w:rPr>
                      <w:rFonts w:asciiTheme="minorHAnsi" w:hAnsiTheme="minorHAnsi"/>
                      <w:color w:val="000000"/>
                      <w:sz w:val="18"/>
                      <w:szCs w:val="16"/>
                    </w:rPr>
                    <w:t>0</w:t>
                  </w:r>
                </w:p>
              </w:tc>
            </w:tr>
          </w:tbl>
          <w:p w:rsidR="00484DC0" w:rsidRPr="007777E2" w:rsidRDefault="00484DC0" w:rsidP="00484DC0">
            <w:pPr>
              <w:tabs>
                <w:tab w:val="num" w:pos="3420"/>
              </w:tabs>
              <w:spacing w:after="120"/>
              <w:jc w:val="both"/>
              <w:rPr>
                <w:b/>
              </w:rPr>
            </w:pPr>
          </w:p>
          <w:p w:rsidR="00484DC0" w:rsidRPr="007777E2" w:rsidRDefault="00484DC0" w:rsidP="00484DC0">
            <w:pPr>
              <w:tabs>
                <w:tab w:val="num" w:pos="3420"/>
              </w:tabs>
              <w:spacing w:after="120"/>
              <w:jc w:val="both"/>
              <w:rPr>
                <w:b/>
              </w:rPr>
            </w:pPr>
            <w:r w:rsidRPr="007777E2">
              <w:rPr>
                <w:sz w:val="18"/>
                <w:szCs w:val="18"/>
              </w:rPr>
              <w:t>Source: Doing Business Index. 2010.</w:t>
            </w:r>
          </w:p>
        </w:tc>
      </w:tr>
    </w:tbl>
    <w:p w:rsidR="008C2CEF" w:rsidRPr="007777E2" w:rsidRDefault="008C2CEF" w:rsidP="008C2CEF">
      <w:pPr>
        <w:tabs>
          <w:tab w:val="num" w:pos="3420"/>
        </w:tabs>
        <w:spacing w:after="120"/>
        <w:jc w:val="both"/>
      </w:pPr>
    </w:p>
    <w:bookmarkEnd w:id="98"/>
    <w:p w:rsidR="00CB644F" w:rsidRPr="007777E2" w:rsidRDefault="00CB644F" w:rsidP="00BE35AE">
      <w:pPr>
        <w:numPr>
          <w:ilvl w:val="0"/>
          <w:numId w:val="2"/>
        </w:numPr>
        <w:tabs>
          <w:tab w:val="num" w:pos="3420"/>
        </w:tabs>
        <w:spacing w:after="120"/>
        <w:ind w:left="0" w:firstLine="0"/>
        <w:jc w:val="both"/>
      </w:pPr>
      <w:r w:rsidRPr="007777E2">
        <w:rPr>
          <w:b/>
        </w:rPr>
        <w:t xml:space="preserve">While significant improvements have been achieved, some basic fundamentals for business remain very constrained. </w:t>
      </w:r>
      <w:r w:rsidRPr="007777E2">
        <w:t xml:space="preserve">Setbacks in financing and protection of investments are reported (see </w:t>
      </w:r>
      <w:fldSimple w:instr=" REF _Ref255897573 \h  \* MERGEFORMAT ">
        <w:r w:rsidR="00E85C5F" w:rsidRPr="00E85C5F">
          <w:t xml:space="preserve">Table </w:t>
        </w:r>
        <w:r w:rsidR="00E85C5F" w:rsidRPr="00E85C5F">
          <w:rPr>
            <w:noProof/>
          </w:rPr>
          <w:t>5</w:t>
        </w:r>
      </w:fldSimple>
      <w:r w:rsidRPr="007777E2">
        <w:t>)</w:t>
      </w:r>
      <w:r w:rsidR="00603D84" w:rsidRPr="007777E2">
        <w:t xml:space="preserve"> to be the main constraints.</w:t>
      </w:r>
      <w:r w:rsidRPr="007777E2">
        <w:t xml:space="preserve"> The ease of conducting international trade has improved only </w:t>
      </w:r>
      <w:r w:rsidR="00ED6374" w:rsidRPr="007777E2">
        <w:t>marginally</w:t>
      </w:r>
      <w:r w:rsidRPr="007777E2">
        <w:t xml:space="preserve"> and therefore remains on a somewhat low level in international ranking (129</w:t>
      </w:r>
      <w:r w:rsidRPr="007777E2">
        <w:rPr>
          <w:vertAlign w:val="superscript"/>
        </w:rPr>
        <w:t>th</w:t>
      </w:r>
      <w:r w:rsidRPr="007777E2">
        <w:t xml:space="preserve"> place among 183 countries). The specific improvements in this field mentioned by the Doing Business Survey are implementation of a risk-based management system and reduction in cross-border transit times. </w:t>
      </w:r>
    </w:p>
    <w:p w:rsidR="00CB644F" w:rsidRPr="007777E2" w:rsidRDefault="00CB644F" w:rsidP="00BE35AE">
      <w:pPr>
        <w:numPr>
          <w:ilvl w:val="0"/>
          <w:numId w:val="2"/>
        </w:numPr>
        <w:tabs>
          <w:tab w:val="num" w:pos="3420"/>
        </w:tabs>
        <w:spacing w:after="120"/>
        <w:ind w:left="0" w:firstLine="0"/>
        <w:jc w:val="both"/>
      </w:pPr>
      <w:bookmarkStart w:id="103" w:name="_Ref255898482"/>
      <w:r w:rsidRPr="007777E2">
        <w:rPr>
          <w:b/>
        </w:rPr>
        <w:t xml:space="preserve">According to the Logistics Performance Index </w:t>
      </w:r>
      <w:r w:rsidR="00203090" w:rsidRPr="007777E2">
        <w:rPr>
          <w:b/>
        </w:rPr>
        <w:t xml:space="preserve">2007 </w:t>
      </w:r>
      <w:r w:rsidRPr="007777E2">
        <w:rPr>
          <w:b/>
        </w:rPr>
        <w:t>(LPI), Belarus outperform</w:t>
      </w:r>
      <w:r w:rsidR="00603D84" w:rsidRPr="007777E2">
        <w:rPr>
          <w:b/>
        </w:rPr>
        <w:t>ed</w:t>
      </w:r>
      <w:r w:rsidRPr="007777E2">
        <w:rPr>
          <w:b/>
        </w:rPr>
        <w:t xml:space="preserve"> its CIS peers in three components</w:t>
      </w:r>
      <w:r w:rsidRPr="007777E2">
        <w:t>: efficiency of the customs clearance process</w:t>
      </w:r>
      <w:r w:rsidR="00AB75F1" w:rsidRPr="007777E2">
        <w:t>;</w:t>
      </w:r>
      <w:r w:rsidRPr="007777E2">
        <w:t xml:space="preserve"> transport infrastructure</w:t>
      </w:r>
      <w:r w:rsidR="00AB75F1" w:rsidRPr="007777E2">
        <w:t>;</w:t>
      </w:r>
      <w:r w:rsidRPr="007777E2">
        <w:t xml:space="preserve"> and shipment tracking and tracing. Out of 150 countries, Belarus rank</w:t>
      </w:r>
      <w:r w:rsidR="00203090" w:rsidRPr="007777E2">
        <w:t>ed</w:t>
      </w:r>
      <w:r w:rsidR="001667E5">
        <w:t xml:space="preserve"> </w:t>
      </w:r>
      <w:r w:rsidRPr="007777E2">
        <w:t>74</w:t>
      </w:r>
      <w:r w:rsidRPr="007777E2">
        <w:rPr>
          <w:vertAlign w:val="superscript"/>
        </w:rPr>
        <w:t>th</w:t>
      </w:r>
      <w:r w:rsidRPr="007777E2">
        <w:t xml:space="preserve"> in the LPI’s overall index </w:t>
      </w:r>
      <w:r w:rsidR="00203090" w:rsidRPr="007777E2">
        <w:t xml:space="preserve">in 2007 </w:t>
      </w:r>
      <w:r w:rsidRPr="007777E2">
        <w:t>(score 2.53). Other CIS countries fared worse in the overall ranking, with Russia as 99</w:t>
      </w:r>
      <w:r w:rsidRPr="007777E2">
        <w:rPr>
          <w:vertAlign w:val="superscript"/>
        </w:rPr>
        <w:t>th</w:t>
      </w:r>
      <w:r w:rsidRPr="007777E2">
        <w:t xml:space="preserve"> (score 2.37), Moldova as 106</w:t>
      </w:r>
      <w:r w:rsidRPr="007777E2">
        <w:rPr>
          <w:vertAlign w:val="superscript"/>
        </w:rPr>
        <w:t>th</w:t>
      </w:r>
      <w:r w:rsidRPr="007777E2">
        <w:t xml:space="preserve"> (score 2.31) and Kazakhstan as 133</w:t>
      </w:r>
      <w:r w:rsidRPr="007777E2">
        <w:rPr>
          <w:vertAlign w:val="superscript"/>
        </w:rPr>
        <w:t>rd</w:t>
      </w:r>
      <w:r w:rsidRPr="007777E2">
        <w:t xml:space="preserve"> (score 2.2) (see</w:t>
      </w:r>
      <w:r w:rsidR="006E1577" w:rsidRPr="007777E2">
        <w:t xml:space="preserve"> </w:t>
      </w:r>
      <w:fldSimple w:instr=" REF _Ref257108819 \h  \* MERGEFORMAT ">
        <w:r w:rsidR="00E85C5F" w:rsidRPr="00E85C5F">
          <w:t xml:space="preserve">Figure </w:t>
        </w:r>
        <w:r w:rsidR="00E85C5F" w:rsidRPr="00E85C5F">
          <w:rPr>
            <w:noProof/>
          </w:rPr>
          <w:t>9</w:t>
        </w:r>
      </w:fldSimple>
      <w:r w:rsidRPr="007777E2">
        <w:t xml:space="preserve">). Comparison of Belarus with EU peers (Poland, Latvia, </w:t>
      </w:r>
      <w:proofErr w:type="gramStart"/>
      <w:r w:rsidRPr="007777E2">
        <w:t>Lithuania</w:t>
      </w:r>
      <w:proofErr w:type="gramEnd"/>
      <w:r w:rsidRPr="007777E2">
        <w:t>) indicated a relatively high quality of transport and communications infrastructure and a competitive level of direct domestic logistics costs (see</w:t>
      </w:r>
      <w:r w:rsidR="00EF43CE" w:rsidRPr="007777E2">
        <w:t xml:space="preserve"> </w:t>
      </w:r>
      <w:fldSimple w:instr=" REF _Ref257108819 \h  \* MERGEFORMAT ">
        <w:r w:rsidR="00E85C5F" w:rsidRPr="00E85C5F">
          <w:t xml:space="preserve">Figure </w:t>
        </w:r>
        <w:r w:rsidR="00E85C5F" w:rsidRPr="00E85C5F">
          <w:rPr>
            <w:noProof/>
          </w:rPr>
          <w:t>9</w:t>
        </w:r>
      </w:fldSimple>
      <w:r w:rsidRPr="007777E2">
        <w:t>). According to the LPI</w:t>
      </w:r>
      <w:r w:rsidR="00203090" w:rsidRPr="007777E2">
        <w:t xml:space="preserve"> 2007</w:t>
      </w:r>
      <w:r w:rsidRPr="007777E2">
        <w:t xml:space="preserve">, customs clearance procedures </w:t>
      </w:r>
      <w:r w:rsidR="00203090" w:rsidRPr="007777E2">
        <w:t>we</w:t>
      </w:r>
      <w:r w:rsidRPr="007777E2">
        <w:t xml:space="preserve">re up to par with the respective ones in neighboring EU countries. </w:t>
      </w:r>
      <w:r w:rsidR="001667E5">
        <w:t>It was however indicated that progress could be achieved</w:t>
      </w:r>
      <w:r w:rsidRPr="007777E2">
        <w:t xml:space="preserve"> in international shipments, logistics competence, and timeliness of shipments in reaching destination. </w:t>
      </w:r>
    </w:p>
    <w:p w:rsidR="00993224" w:rsidRPr="007777E2" w:rsidRDefault="00993224" w:rsidP="00993224">
      <w:pPr>
        <w:tabs>
          <w:tab w:val="num" w:pos="3420"/>
        </w:tabs>
        <w:spacing w:after="120"/>
        <w:jc w:val="both"/>
      </w:pPr>
    </w:p>
    <w:tbl>
      <w:tblPr>
        <w:tblStyle w:val="TableGrid"/>
        <w:tblW w:w="0" w:type="auto"/>
        <w:tblLook w:val="04A0"/>
      </w:tblPr>
      <w:tblGrid>
        <w:gridCol w:w="9576"/>
      </w:tblGrid>
      <w:tr w:rsidR="00993224" w:rsidRPr="007777E2" w:rsidTr="000D66B6">
        <w:trPr>
          <w:cantSplit/>
        </w:trPr>
        <w:tc>
          <w:tcPr>
            <w:tcW w:w="9576" w:type="dxa"/>
          </w:tcPr>
          <w:p w:rsidR="00993224" w:rsidRPr="007777E2" w:rsidRDefault="00993224" w:rsidP="00993224">
            <w:pPr>
              <w:tabs>
                <w:tab w:val="num" w:pos="3420"/>
              </w:tabs>
              <w:spacing w:after="120"/>
              <w:jc w:val="both"/>
              <w:rPr>
                <w:b/>
              </w:rPr>
            </w:pPr>
            <w:bookmarkStart w:id="104" w:name="_Ref257108819"/>
            <w:bookmarkStart w:id="105" w:name="_Toc264226766"/>
            <w:r w:rsidRPr="007777E2">
              <w:rPr>
                <w:b/>
              </w:rPr>
              <w:lastRenderedPageBreak/>
              <w:t xml:space="preserve">Figure </w:t>
            </w:r>
            <w:r w:rsidR="006B40AE" w:rsidRPr="007777E2">
              <w:rPr>
                <w:b/>
              </w:rPr>
              <w:fldChar w:fldCharType="begin"/>
            </w:r>
            <w:r w:rsidR="00B9265B" w:rsidRPr="007777E2">
              <w:rPr>
                <w:b/>
              </w:rPr>
              <w:instrText xml:space="preserve"> SEQ Figure \* ARABIC </w:instrText>
            </w:r>
            <w:r w:rsidR="006B40AE" w:rsidRPr="007777E2">
              <w:rPr>
                <w:b/>
              </w:rPr>
              <w:fldChar w:fldCharType="separate"/>
            </w:r>
            <w:r w:rsidR="009E2C86">
              <w:rPr>
                <w:b/>
                <w:noProof/>
              </w:rPr>
              <w:t>9</w:t>
            </w:r>
            <w:r w:rsidR="006B40AE" w:rsidRPr="007777E2">
              <w:rPr>
                <w:b/>
              </w:rPr>
              <w:fldChar w:fldCharType="end"/>
            </w:r>
            <w:bookmarkEnd w:id="104"/>
            <w:r w:rsidRPr="007777E2">
              <w:rPr>
                <w:b/>
              </w:rPr>
              <w:t>. Logistics Performance Ind</w:t>
            </w:r>
            <w:r w:rsidR="00C21AB2" w:rsidRPr="007777E2">
              <w:rPr>
                <w:b/>
              </w:rPr>
              <w:t>ex: Performance of Belarus and S</w:t>
            </w:r>
            <w:r w:rsidRPr="007777E2">
              <w:rPr>
                <w:b/>
              </w:rPr>
              <w:t xml:space="preserve">elected CIS </w:t>
            </w:r>
            <w:r w:rsidR="00C21AB2" w:rsidRPr="007777E2">
              <w:rPr>
                <w:b/>
              </w:rPr>
              <w:t>C</w:t>
            </w:r>
            <w:r w:rsidRPr="007777E2">
              <w:rPr>
                <w:b/>
              </w:rPr>
              <w:t>ountries (2007)</w:t>
            </w:r>
            <w:bookmarkEnd w:id="105"/>
          </w:p>
          <w:p w:rsidR="00993224" w:rsidRPr="007777E2" w:rsidRDefault="005B0511" w:rsidP="005B0511">
            <w:pPr>
              <w:tabs>
                <w:tab w:val="num" w:pos="3420"/>
              </w:tabs>
              <w:spacing w:after="120"/>
              <w:jc w:val="both"/>
            </w:pPr>
            <w:r w:rsidRPr="007777E2">
              <w:rPr>
                <w:b/>
                <w:noProof/>
              </w:rPr>
              <w:drawing>
                <wp:inline distT="0" distB="0" distL="0" distR="0">
                  <wp:extent cx="5943600" cy="2918460"/>
                  <wp:effectExtent l="0" t="0" r="0" b="0"/>
                  <wp:docPr id="1"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r w:rsidR="00993224" w:rsidRPr="007777E2" w:rsidTr="000D66B6">
        <w:trPr>
          <w:cantSplit/>
        </w:trPr>
        <w:tc>
          <w:tcPr>
            <w:tcW w:w="9576" w:type="dxa"/>
          </w:tcPr>
          <w:p w:rsidR="00993224" w:rsidRPr="007777E2" w:rsidRDefault="00993224" w:rsidP="00FA4DAC">
            <w:pPr>
              <w:jc w:val="center"/>
            </w:pPr>
            <w:r w:rsidRPr="007777E2">
              <w:rPr>
                <w:noProof/>
              </w:rPr>
              <w:drawing>
                <wp:inline distT="0" distB="0" distL="0" distR="0">
                  <wp:extent cx="5943600" cy="2918460"/>
                  <wp:effectExtent l="0" t="0" r="0" b="0"/>
                  <wp:docPr id="3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93224" w:rsidRPr="007777E2" w:rsidRDefault="00993224" w:rsidP="00C352D3">
            <w:pPr>
              <w:tabs>
                <w:tab w:val="num" w:pos="3420"/>
              </w:tabs>
              <w:jc w:val="both"/>
              <w:rPr>
                <w:sz w:val="18"/>
                <w:szCs w:val="18"/>
              </w:rPr>
            </w:pPr>
            <w:r w:rsidRPr="007777E2">
              <w:rPr>
                <w:sz w:val="18"/>
                <w:szCs w:val="18"/>
              </w:rPr>
              <w:t xml:space="preserve">Source: Logistics Performance Index. 2010. </w:t>
            </w:r>
            <w:hyperlink r:id="rId25" w:history="1">
              <w:r w:rsidRPr="007777E2">
                <w:rPr>
                  <w:rStyle w:val="Hyperlink"/>
                  <w:sz w:val="18"/>
                  <w:szCs w:val="18"/>
                </w:rPr>
                <w:t>www.worldbank.org/lpi</w:t>
              </w:r>
            </w:hyperlink>
            <w:r w:rsidRPr="007777E2">
              <w:rPr>
                <w:sz w:val="18"/>
                <w:szCs w:val="18"/>
              </w:rPr>
              <w:t xml:space="preserve"> </w:t>
            </w:r>
          </w:p>
          <w:p w:rsidR="00EF43CE" w:rsidRPr="007777E2" w:rsidRDefault="00EF43CE" w:rsidP="00C352D3">
            <w:pPr>
              <w:tabs>
                <w:tab w:val="num" w:pos="3420"/>
              </w:tabs>
              <w:jc w:val="both"/>
            </w:pPr>
            <w:r w:rsidRPr="007777E2">
              <w:rPr>
                <w:sz w:val="18"/>
                <w:szCs w:val="18"/>
              </w:rPr>
              <w:t>Note: Upper graph indicates LPI Scores and the lower graph LPI ranking.</w:t>
            </w:r>
          </w:p>
        </w:tc>
      </w:tr>
      <w:tr w:rsidR="00C352D3" w:rsidRPr="007777E2" w:rsidTr="000D66B6">
        <w:trPr>
          <w:cantSplit/>
        </w:trPr>
        <w:tc>
          <w:tcPr>
            <w:tcW w:w="9576" w:type="dxa"/>
          </w:tcPr>
          <w:p w:rsidR="00C352D3" w:rsidRPr="007777E2" w:rsidRDefault="00C352D3" w:rsidP="00FA4DAC">
            <w:pPr>
              <w:spacing w:before="240"/>
              <w:rPr>
                <w:b/>
              </w:rPr>
            </w:pPr>
            <w:bookmarkStart w:id="106" w:name="_Ref257119391"/>
            <w:bookmarkStart w:id="107" w:name="_Toc264226767"/>
            <w:r w:rsidRPr="007777E2">
              <w:rPr>
                <w:b/>
              </w:rPr>
              <w:lastRenderedPageBreak/>
              <w:t xml:space="preserve">Figure </w:t>
            </w:r>
            <w:r w:rsidR="006B40AE" w:rsidRPr="007777E2">
              <w:rPr>
                <w:b/>
              </w:rPr>
              <w:fldChar w:fldCharType="begin"/>
            </w:r>
            <w:r w:rsidR="00B9265B" w:rsidRPr="007777E2">
              <w:rPr>
                <w:b/>
              </w:rPr>
              <w:instrText xml:space="preserve"> SEQ Figure \* ARABIC </w:instrText>
            </w:r>
            <w:r w:rsidR="006B40AE" w:rsidRPr="007777E2">
              <w:rPr>
                <w:b/>
              </w:rPr>
              <w:fldChar w:fldCharType="separate"/>
            </w:r>
            <w:r w:rsidR="009E2C86">
              <w:rPr>
                <w:b/>
                <w:noProof/>
              </w:rPr>
              <w:t>10</w:t>
            </w:r>
            <w:r w:rsidR="006B40AE" w:rsidRPr="007777E2">
              <w:rPr>
                <w:b/>
              </w:rPr>
              <w:fldChar w:fldCharType="end"/>
            </w:r>
            <w:bookmarkEnd w:id="106"/>
            <w:r w:rsidRPr="007777E2">
              <w:rPr>
                <w:b/>
              </w:rPr>
              <w:t xml:space="preserve">. Logistics Performance Index: Performance of Belarus and </w:t>
            </w:r>
            <w:r w:rsidR="00C21AB2" w:rsidRPr="007777E2">
              <w:rPr>
                <w:b/>
              </w:rPr>
              <w:t>Neighboring EU C</w:t>
            </w:r>
            <w:r w:rsidRPr="007777E2">
              <w:rPr>
                <w:b/>
              </w:rPr>
              <w:t>ountries in the Logistics Performance Index 2007</w:t>
            </w:r>
            <w:bookmarkEnd w:id="107"/>
          </w:p>
          <w:p w:rsidR="00C352D3" w:rsidRPr="007777E2" w:rsidRDefault="00C352D3" w:rsidP="00FA4DAC">
            <w:pPr>
              <w:jc w:val="center"/>
            </w:pPr>
            <w:r w:rsidRPr="007777E2">
              <w:rPr>
                <w:b/>
                <w:noProof/>
              </w:rPr>
              <w:drawing>
                <wp:inline distT="0" distB="0" distL="0" distR="0">
                  <wp:extent cx="5943600" cy="2918460"/>
                  <wp:effectExtent l="0" t="0" r="0" b="0"/>
                  <wp:docPr id="39"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r w:rsidR="00C352D3" w:rsidRPr="007777E2" w:rsidTr="000D66B6">
        <w:trPr>
          <w:cantSplit/>
        </w:trPr>
        <w:tc>
          <w:tcPr>
            <w:tcW w:w="9576" w:type="dxa"/>
          </w:tcPr>
          <w:p w:rsidR="00C352D3" w:rsidRPr="007777E2" w:rsidRDefault="00C352D3" w:rsidP="00FA4DAC">
            <w:pPr>
              <w:jc w:val="center"/>
            </w:pPr>
            <w:r w:rsidRPr="007777E2">
              <w:rPr>
                <w:noProof/>
              </w:rPr>
              <w:drawing>
                <wp:inline distT="0" distB="0" distL="0" distR="0">
                  <wp:extent cx="5819775" cy="2733675"/>
                  <wp:effectExtent l="0" t="0" r="0" b="0"/>
                  <wp:docPr id="40"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352D3" w:rsidRPr="007777E2" w:rsidRDefault="00C352D3" w:rsidP="00C352D3">
            <w:pPr>
              <w:tabs>
                <w:tab w:val="num" w:pos="3420"/>
              </w:tabs>
              <w:jc w:val="both"/>
              <w:rPr>
                <w:sz w:val="18"/>
                <w:szCs w:val="18"/>
              </w:rPr>
            </w:pPr>
            <w:r w:rsidRPr="007777E2">
              <w:rPr>
                <w:sz w:val="18"/>
                <w:szCs w:val="18"/>
              </w:rPr>
              <w:t xml:space="preserve">Source: Logistics Performance Index. 2010. </w:t>
            </w:r>
            <w:hyperlink r:id="rId28" w:history="1">
              <w:r w:rsidRPr="007777E2">
                <w:rPr>
                  <w:rStyle w:val="Hyperlink"/>
                  <w:sz w:val="18"/>
                  <w:szCs w:val="18"/>
                </w:rPr>
                <w:t>www.worldbank.org/lpi</w:t>
              </w:r>
            </w:hyperlink>
            <w:r w:rsidRPr="007777E2">
              <w:rPr>
                <w:sz w:val="18"/>
                <w:szCs w:val="18"/>
              </w:rPr>
              <w:t xml:space="preserve"> </w:t>
            </w:r>
          </w:p>
          <w:p w:rsidR="00C352D3" w:rsidRPr="007777E2" w:rsidRDefault="00C352D3" w:rsidP="00C352D3">
            <w:r w:rsidRPr="007777E2">
              <w:rPr>
                <w:sz w:val="18"/>
                <w:szCs w:val="18"/>
              </w:rPr>
              <w:t>Note: Upper graph indicates LPI Scores and the lower graph LPI ranking.</w:t>
            </w:r>
          </w:p>
        </w:tc>
      </w:tr>
    </w:tbl>
    <w:p w:rsidR="006E1577" w:rsidRPr="007777E2" w:rsidRDefault="006E1577" w:rsidP="006E1577">
      <w:pPr>
        <w:tabs>
          <w:tab w:val="num" w:pos="3420"/>
        </w:tabs>
        <w:spacing w:after="120"/>
        <w:jc w:val="both"/>
      </w:pPr>
      <w:bookmarkStart w:id="108" w:name="_Ref255898619"/>
      <w:bookmarkEnd w:id="103"/>
    </w:p>
    <w:p w:rsidR="00CB644F" w:rsidRDefault="00CB644F" w:rsidP="002F51F1">
      <w:pPr>
        <w:numPr>
          <w:ilvl w:val="0"/>
          <w:numId w:val="2"/>
        </w:numPr>
        <w:tabs>
          <w:tab w:val="num" w:pos="3420"/>
        </w:tabs>
        <w:spacing w:after="240"/>
        <w:ind w:left="0" w:firstLine="0"/>
        <w:jc w:val="both"/>
      </w:pPr>
      <w:r w:rsidRPr="007777E2">
        <w:rPr>
          <w:b/>
        </w:rPr>
        <w:t xml:space="preserve">Belarus seems to </w:t>
      </w:r>
      <w:r w:rsidR="00744BF4">
        <w:rPr>
          <w:b/>
        </w:rPr>
        <w:t xml:space="preserve">comparatively </w:t>
      </w:r>
      <w:r w:rsidRPr="007777E2">
        <w:rPr>
          <w:b/>
        </w:rPr>
        <w:t xml:space="preserve">underperform in the ease and affordability of arranging international shipments, as well as in the level of competence of the local logistics industry </w:t>
      </w:r>
      <w:r w:rsidRPr="007777E2">
        <w:t>(see</w:t>
      </w:r>
      <w:r w:rsidR="00C352D3" w:rsidRPr="007777E2">
        <w:t xml:space="preserve"> </w:t>
      </w:r>
      <w:fldSimple w:instr=" REF _Ref257119391 \h  \* MERGEFORMAT ">
        <w:r w:rsidR="00E85C5F" w:rsidRPr="00E85C5F">
          <w:t xml:space="preserve">Figure </w:t>
        </w:r>
        <w:r w:rsidR="00E85C5F" w:rsidRPr="00E85C5F">
          <w:rPr>
            <w:noProof/>
          </w:rPr>
          <w:t>10</w:t>
        </w:r>
      </w:fldSimple>
      <w:r w:rsidRPr="007777E2">
        <w:t xml:space="preserve">). Comparison of </w:t>
      </w:r>
      <w:r w:rsidR="002F51F1">
        <w:t xml:space="preserve">the </w:t>
      </w:r>
      <w:r w:rsidRPr="007777E2">
        <w:t xml:space="preserve">LPI </w:t>
      </w:r>
      <w:r w:rsidR="002F51F1">
        <w:t xml:space="preserve">of several countries </w:t>
      </w:r>
      <w:r w:rsidRPr="007777E2">
        <w:t xml:space="preserve">should </w:t>
      </w:r>
      <w:r w:rsidR="002F51F1">
        <w:t>correlate with</w:t>
      </w:r>
      <w:r w:rsidRPr="007777E2">
        <w:t xml:space="preserve"> the level of develo</w:t>
      </w:r>
      <w:r w:rsidR="002F51F1">
        <w:t>pment,</w:t>
      </w:r>
      <w:r w:rsidRPr="007777E2">
        <w:t xml:space="preserve"> </w:t>
      </w:r>
      <w:proofErr w:type="gramStart"/>
      <w:r w:rsidRPr="007777E2">
        <w:t>measured,</w:t>
      </w:r>
      <w:proofErr w:type="gramEnd"/>
      <w:r w:rsidRPr="007777E2">
        <w:t xml:space="preserve"> for example, in terms of GDP (see</w:t>
      </w:r>
      <w:r w:rsidR="00C352D3" w:rsidRPr="007777E2">
        <w:t xml:space="preserve"> </w:t>
      </w:r>
      <w:fldSimple w:instr=" REF _Ref257119490 \h  \* MERGEFORMAT ">
        <w:r w:rsidR="00E85C5F" w:rsidRPr="00E85C5F">
          <w:t xml:space="preserve">Figure </w:t>
        </w:r>
        <w:r w:rsidR="00E85C5F" w:rsidRPr="00E85C5F">
          <w:rPr>
            <w:noProof/>
          </w:rPr>
          <w:t>11</w:t>
        </w:r>
      </w:fldSimple>
      <w:r w:rsidRPr="007777E2">
        <w:t xml:space="preserve">). Considering its GDP based on </w:t>
      </w:r>
      <w:r w:rsidR="00184B37">
        <w:t>Purchasing Power Parity per capita (</w:t>
      </w:r>
      <w:r w:rsidRPr="007777E2">
        <w:t>PPP per capita</w:t>
      </w:r>
      <w:r w:rsidR="00184B37">
        <w:t>)</w:t>
      </w:r>
      <w:r w:rsidRPr="007777E2">
        <w:t xml:space="preserve">, Belarus seems to </w:t>
      </w:r>
      <w:r w:rsidR="000C2C0F" w:rsidRPr="007777E2">
        <w:t xml:space="preserve">have </w:t>
      </w:r>
      <w:r w:rsidRPr="007777E2">
        <w:t>perform</w:t>
      </w:r>
      <w:r w:rsidR="000C2C0F" w:rsidRPr="007777E2">
        <w:t>ed</w:t>
      </w:r>
      <w:r w:rsidRPr="007777E2">
        <w:t xml:space="preserve"> as expected in 2007. On the other hand, Ukraine and especially Poland and Latvia over</w:t>
      </w:r>
      <w:r w:rsidR="00C352D3" w:rsidRPr="007777E2">
        <w:t>-</w:t>
      </w:r>
      <w:r w:rsidRPr="007777E2">
        <w:t>perform</w:t>
      </w:r>
      <w:r w:rsidR="00AB75F1" w:rsidRPr="007777E2">
        <w:t>e</w:t>
      </w:r>
      <w:r w:rsidR="000C2C0F" w:rsidRPr="007777E2">
        <w:t>d</w:t>
      </w:r>
      <w:r w:rsidRPr="007777E2">
        <w:t xml:space="preserve"> in 2007 when the level of prosperity </w:t>
      </w:r>
      <w:r w:rsidR="000C2C0F" w:rsidRPr="007777E2">
        <w:t xml:space="preserve">is taken </w:t>
      </w:r>
      <w:r w:rsidRPr="007777E2">
        <w:t xml:space="preserve">into account. </w:t>
      </w:r>
      <w:r w:rsidR="00744BF4">
        <w:t xml:space="preserve">Due to </w:t>
      </w:r>
      <w:r w:rsidR="00744BF4" w:rsidRPr="00744BF4">
        <w:t xml:space="preserve">insufficient </w:t>
      </w:r>
      <w:r w:rsidR="00744BF4" w:rsidRPr="00744BF4">
        <w:lastRenderedPageBreak/>
        <w:t>number of responses</w:t>
      </w:r>
      <w:r w:rsidR="00744BF4">
        <w:t xml:space="preserve"> during the survey</w:t>
      </w:r>
      <w:r w:rsidR="00203090" w:rsidRPr="007777E2">
        <w:t>, Belarus was not included in the LPI 2010, which was published on January 15, 2010.</w:t>
      </w:r>
    </w:p>
    <w:p w:rsidR="00856CCE" w:rsidRPr="00856CCE" w:rsidRDefault="00856CCE" w:rsidP="00856CCE">
      <w:pPr>
        <w:pStyle w:val="Heading3"/>
        <w:spacing w:before="0" w:after="0"/>
        <w:rPr>
          <w:rFonts w:ascii="Times New Roman" w:hAnsi="Times New Roman" w:cs="Times New Roman"/>
          <w:b w:val="0"/>
          <w:sz w:val="24"/>
          <w:szCs w:val="24"/>
        </w:rPr>
      </w:pPr>
    </w:p>
    <w:tbl>
      <w:tblPr>
        <w:tblStyle w:val="TableGrid"/>
        <w:tblW w:w="0" w:type="auto"/>
        <w:tblLook w:val="04A0"/>
      </w:tblPr>
      <w:tblGrid>
        <w:gridCol w:w="9576"/>
      </w:tblGrid>
      <w:tr w:rsidR="00993224" w:rsidRPr="007777E2" w:rsidTr="00D451B0">
        <w:trPr>
          <w:trHeight w:val="64"/>
        </w:trPr>
        <w:tc>
          <w:tcPr>
            <w:tcW w:w="9576" w:type="dxa"/>
          </w:tcPr>
          <w:p w:rsidR="00993224" w:rsidRPr="007777E2" w:rsidRDefault="00993224" w:rsidP="00993224">
            <w:pPr>
              <w:pStyle w:val="Caption"/>
              <w:rPr>
                <w:b w:val="0"/>
                <w:color w:val="auto"/>
                <w:sz w:val="22"/>
                <w:szCs w:val="22"/>
              </w:rPr>
            </w:pPr>
            <w:bookmarkStart w:id="109" w:name="_Ref257119490"/>
            <w:bookmarkStart w:id="110" w:name="_Toc264226768"/>
            <w:r w:rsidRPr="007777E2">
              <w:rPr>
                <w:color w:val="auto"/>
                <w:sz w:val="22"/>
                <w:szCs w:val="22"/>
              </w:rPr>
              <w:t xml:space="preserve">Figure </w:t>
            </w:r>
            <w:r w:rsidR="006B40AE" w:rsidRPr="007777E2">
              <w:rPr>
                <w:color w:val="auto"/>
                <w:sz w:val="22"/>
                <w:szCs w:val="22"/>
              </w:rPr>
              <w:fldChar w:fldCharType="begin"/>
            </w:r>
            <w:r w:rsidR="00B9265B" w:rsidRPr="007777E2">
              <w:rPr>
                <w:color w:val="auto"/>
                <w:sz w:val="22"/>
                <w:szCs w:val="22"/>
              </w:rPr>
              <w:instrText xml:space="preserve"> SEQ Figure \* ARABIC </w:instrText>
            </w:r>
            <w:r w:rsidR="006B40AE" w:rsidRPr="007777E2">
              <w:rPr>
                <w:color w:val="auto"/>
                <w:sz w:val="22"/>
                <w:szCs w:val="22"/>
              </w:rPr>
              <w:fldChar w:fldCharType="separate"/>
            </w:r>
            <w:r w:rsidR="009E2C86">
              <w:rPr>
                <w:noProof/>
                <w:color w:val="auto"/>
                <w:sz w:val="22"/>
                <w:szCs w:val="22"/>
              </w:rPr>
              <w:t>11</w:t>
            </w:r>
            <w:r w:rsidR="006B40AE" w:rsidRPr="007777E2">
              <w:rPr>
                <w:color w:val="auto"/>
                <w:sz w:val="22"/>
                <w:szCs w:val="22"/>
              </w:rPr>
              <w:fldChar w:fldCharType="end"/>
            </w:r>
            <w:bookmarkEnd w:id="109"/>
            <w:r w:rsidRPr="007777E2">
              <w:rPr>
                <w:color w:val="auto"/>
                <w:sz w:val="22"/>
                <w:szCs w:val="22"/>
              </w:rPr>
              <w:t>. Over and Underachievers in the LPI</w:t>
            </w:r>
            <w:r w:rsidR="00C21AB2" w:rsidRPr="007777E2">
              <w:rPr>
                <w:color w:val="auto"/>
                <w:sz w:val="22"/>
                <w:szCs w:val="22"/>
              </w:rPr>
              <w:t xml:space="preserve"> in 2007 and 2010: Belarus and S</w:t>
            </w:r>
            <w:r w:rsidRPr="007777E2">
              <w:rPr>
                <w:color w:val="auto"/>
                <w:sz w:val="22"/>
                <w:szCs w:val="22"/>
              </w:rPr>
              <w:t xml:space="preserve">elected </w:t>
            </w:r>
            <w:r w:rsidR="00C21AB2" w:rsidRPr="007777E2">
              <w:rPr>
                <w:color w:val="auto"/>
                <w:sz w:val="22"/>
                <w:szCs w:val="22"/>
              </w:rPr>
              <w:t>C</w:t>
            </w:r>
            <w:r w:rsidRPr="007777E2">
              <w:rPr>
                <w:color w:val="auto"/>
                <w:sz w:val="22"/>
                <w:szCs w:val="22"/>
              </w:rPr>
              <w:t>ountries</w:t>
            </w:r>
            <w:bookmarkEnd w:id="110"/>
            <w:r w:rsidRPr="007777E2">
              <w:rPr>
                <w:color w:val="auto"/>
                <w:sz w:val="22"/>
                <w:szCs w:val="22"/>
              </w:rPr>
              <w:t xml:space="preserve"> </w:t>
            </w:r>
          </w:p>
          <w:p w:rsidR="00993224" w:rsidRPr="007777E2" w:rsidRDefault="00434074" w:rsidP="00FA4DAC">
            <w:pPr>
              <w:jc w:val="center"/>
            </w:pPr>
            <w:r w:rsidRPr="003D6708">
              <w:rPr>
                <w:sz w:val="24"/>
                <w:szCs w:val="24"/>
                <w:lang w:val="en-GB"/>
              </w:rPr>
              <w:object w:dxaOrig="9330" w:dyaOrig="58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22.45pt" o:ole="">
                  <v:imagedata r:id="rId29" o:title=""/>
                </v:shape>
                <o:OLEObject Type="Embed" ProgID="Visio.Drawing.11" ShapeID="_x0000_i1025" DrawAspect="Content" ObjectID="_1358146117" r:id="rId30"/>
              </w:object>
            </w:r>
          </w:p>
          <w:p w:rsidR="00993224" w:rsidRPr="007777E2" w:rsidRDefault="00993224" w:rsidP="00993224">
            <w:pPr>
              <w:tabs>
                <w:tab w:val="num" w:pos="3420"/>
              </w:tabs>
              <w:spacing w:after="120"/>
              <w:jc w:val="both"/>
            </w:pPr>
          </w:p>
        </w:tc>
      </w:tr>
    </w:tbl>
    <w:p w:rsidR="00856CCE" w:rsidRDefault="00856CCE" w:rsidP="00856CCE">
      <w:pPr>
        <w:pStyle w:val="Heading3"/>
        <w:spacing w:before="0" w:after="0"/>
        <w:rPr>
          <w:rFonts w:ascii="Times New Roman" w:hAnsi="Times New Roman" w:cs="Times New Roman"/>
          <w:b w:val="0"/>
          <w:sz w:val="24"/>
          <w:szCs w:val="24"/>
        </w:rPr>
      </w:pPr>
      <w:bookmarkStart w:id="111" w:name="_Toc282029939"/>
      <w:bookmarkEnd w:id="108"/>
    </w:p>
    <w:p w:rsidR="00096ADF" w:rsidRPr="007777E2" w:rsidRDefault="00CB644F" w:rsidP="00096ADF">
      <w:pPr>
        <w:pStyle w:val="Heading3"/>
        <w:spacing w:after="240"/>
        <w:rPr>
          <w:rFonts w:ascii="Times New Roman" w:hAnsi="Times New Roman" w:cs="Times New Roman"/>
          <w:sz w:val="24"/>
          <w:szCs w:val="24"/>
        </w:rPr>
      </w:pPr>
      <w:r w:rsidRPr="007777E2">
        <w:rPr>
          <w:rFonts w:ascii="Times New Roman" w:hAnsi="Times New Roman" w:cs="Times New Roman"/>
          <w:sz w:val="24"/>
          <w:szCs w:val="24"/>
        </w:rPr>
        <w:t>Evolution of Freight and P</w:t>
      </w:r>
      <w:r w:rsidR="00F34722" w:rsidRPr="007777E2">
        <w:rPr>
          <w:rFonts w:ascii="Times New Roman" w:hAnsi="Times New Roman" w:cs="Times New Roman"/>
          <w:sz w:val="24"/>
          <w:szCs w:val="24"/>
        </w:rPr>
        <w:t xml:space="preserve">assenger </w:t>
      </w:r>
      <w:r w:rsidR="006F0F97">
        <w:rPr>
          <w:rFonts w:ascii="Times New Roman" w:hAnsi="Times New Roman" w:cs="Times New Roman"/>
          <w:sz w:val="24"/>
          <w:szCs w:val="24"/>
        </w:rPr>
        <w:t xml:space="preserve">Transport </w:t>
      </w:r>
      <w:r w:rsidRPr="007777E2">
        <w:rPr>
          <w:rFonts w:ascii="Times New Roman" w:hAnsi="Times New Roman" w:cs="Times New Roman"/>
          <w:sz w:val="24"/>
          <w:szCs w:val="24"/>
        </w:rPr>
        <w:t>M</w:t>
      </w:r>
      <w:r w:rsidR="00F34722" w:rsidRPr="007777E2">
        <w:rPr>
          <w:rFonts w:ascii="Times New Roman" w:hAnsi="Times New Roman" w:cs="Times New Roman"/>
          <w:sz w:val="24"/>
          <w:szCs w:val="24"/>
        </w:rPr>
        <w:t>arkets</w:t>
      </w:r>
      <w:bookmarkEnd w:id="111"/>
      <w:r w:rsidR="003E1353" w:rsidRPr="007777E2">
        <w:rPr>
          <w:rFonts w:ascii="Times New Roman" w:hAnsi="Times New Roman" w:cs="Times New Roman"/>
          <w:sz w:val="24"/>
          <w:szCs w:val="24"/>
        </w:rPr>
        <w:t xml:space="preserve"> </w:t>
      </w:r>
    </w:p>
    <w:p w:rsidR="00CB644F" w:rsidRPr="007777E2" w:rsidRDefault="00CB644F" w:rsidP="00BE35AE">
      <w:pPr>
        <w:numPr>
          <w:ilvl w:val="0"/>
          <w:numId w:val="2"/>
        </w:numPr>
        <w:tabs>
          <w:tab w:val="num" w:pos="3420"/>
        </w:tabs>
        <w:spacing w:after="120"/>
        <w:ind w:left="0" w:firstLine="0"/>
        <w:jc w:val="both"/>
      </w:pPr>
      <w:r w:rsidRPr="007777E2">
        <w:rPr>
          <w:b/>
        </w:rPr>
        <w:t>The transport intensity of the Belarusian economy is at a medium level in comparison with peers in CIS countries</w:t>
      </w:r>
      <w:r w:rsidR="00F724AE" w:rsidRPr="007777E2">
        <w:rPr>
          <w:b/>
        </w:rPr>
        <w:t>, but high compared with EU countries</w:t>
      </w:r>
      <w:r w:rsidRPr="007777E2">
        <w:t>. In 2005, approximately 3 ton-km of freight transport were generate</w:t>
      </w:r>
      <w:r w:rsidR="000C2C0F" w:rsidRPr="007777E2">
        <w:t>d by</w:t>
      </w:r>
      <w:r w:rsidRPr="007777E2">
        <w:t xml:space="preserve"> US$1 of GDP,</w:t>
      </w:r>
      <w:r w:rsidRPr="005A21CD">
        <w:rPr>
          <w:rStyle w:val="FootnoteReference"/>
          <w:sz w:val="24"/>
        </w:rPr>
        <w:footnoteReference w:id="7"/>
      </w:r>
      <w:r w:rsidRPr="007777E2">
        <w:t xml:space="preserve"> </w:t>
      </w:r>
      <w:r w:rsidR="000C2C0F" w:rsidRPr="007777E2">
        <w:t xml:space="preserve">compared to </w:t>
      </w:r>
      <w:r w:rsidRPr="007777E2">
        <w:t>Russia and Ukraine</w:t>
      </w:r>
      <w:r w:rsidR="00F724AE" w:rsidRPr="007777E2">
        <w:t xml:space="preserve"> where the </w:t>
      </w:r>
      <w:r w:rsidRPr="007777E2">
        <w:t>same indicator was around 5.5 ton-km</w:t>
      </w:r>
      <w:r w:rsidR="00F724AE" w:rsidRPr="007777E2">
        <w:t xml:space="preserve"> per US$ of GDP</w:t>
      </w:r>
      <w:r w:rsidRPr="007777E2">
        <w:t>. Moldova, the Caucasus, and Central Asian countries typically required 1 to 2.5 ton-km. On average, 0.3 ton-km per US$ of GDP was required in the EU-25 countries in 2003.</w:t>
      </w:r>
      <w:r w:rsidRPr="005A21CD">
        <w:rPr>
          <w:rStyle w:val="FootnoteReference"/>
          <w:sz w:val="24"/>
        </w:rPr>
        <w:footnoteReference w:id="8"/>
      </w:r>
      <w:r w:rsidRPr="007777E2">
        <w:t xml:space="preserve"> Against this benchmark, the relatively high transport intensity in Belarus reflects the structure of its economy and its transport infrastructure: 3</w:t>
      </w:r>
      <w:r w:rsidR="00433F12">
        <w:t>5</w:t>
      </w:r>
      <w:r w:rsidRPr="007777E2">
        <w:t>.</w:t>
      </w:r>
      <w:r w:rsidR="00433F12">
        <w:t>9</w:t>
      </w:r>
      <w:r w:rsidRPr="007777E2">
        <w:t xml:space="preserve"> percent of GDP is generated by industry and agriculture and </w:t>
      </w:r>
      <w:r w:rsidR="00433F12">
        <w:t>7</w:t>
      </w:r>
      <w:r w:rsidRPr="007777E2">
        <w:t xml:space="preserve"> percent by transport alone in 2008 (9.5 percent in 2000).</w:t>
      </w:r>
    </w:p>
    <w:p w:rsidR="00CB644F" w:rsidRPr="007777E2" w:rsidRDefault="00CB644F" w:rsidP="00856CCE">
      <w:pPr>
        <w:numPr>
          <w:ilvl w:val="0"/>
          <w:numId w:val="2"/>
        </w:numPr>
        <w:tabs>
          <w:tab w:val="num" w:pos="3420"/>
        </w:tabs>
        <w:spacing w:after="120"/>
        <w:ind w:left="0" w:firstLine="0"/>
        <w:jc w:val="both"/>
      </w:pPr>
      <w:r w:rsidRPr="007777E2">
        <w:rPr>
          <w:b/>
        </w:rPr>
        <w:t xml:space="preserve">Freight traffic movements </w:t>
      </w:r>
      <w:r w:rsidR="000C2C0F" w:rsidRPr="007777E2">
        <w:rPr>
          <w:b/>
        </w:rPr>
        <w:t xml:space="preserve">have </w:t>
      </w:r>
      <w:r w:rsidRPr="007777E2">
        <w:rPr>
          <w:b/>
        </w:rPr>
        <w:t>grow</w:t>
      </w:r>
      <w:r w:rsidR="000C2C0F" w:rsidRPr="007777E2">
        <w:rPr>
          <w:b/>
        </w:rPr>
        <w:t>n</w:t>
      </w:r>
      <w:r w:rsidRPr="007777E2">
        <w:rPr>
          <w:b/>
        </w:rPr>
        <w:t xml:space="preserve"> with GDP in Belarus</w:t>
      </w:r>
      <w:r w:rsidR="005A21CD">
        <w:rPr>
          <w:b/>
        </w:rPr>
        <w:t>,</w:t>
      </w:r>
      <w:r w:rsidR="0063281D" w:rsidRPr="005A21CD">
        <w:rPr>
          <w:rStyle w:val="FootnoteReference"/>
        </w:rPr>
        <w:footnoteReference w:id="9"/>
      </w:r>
      <w:r w:rsidRPr="007777E2">
        <w:rPr>
          <w:b/>
        </w:rPr>
        <w:t xml:space="preserve"> </w:t>
      </w:r>
      <w:r w:rsidR="00F724AE" w:rsidRPr="007777E2">
        <w:rPr>
          <w:b/>
        </w:rPr>
        <w:t>similar to</w:t>
      </w:r>
      <w:r w:rsidRPr="007777E2">
        <w:rPr>
          <w:b/>
        </w:rPr>
        <w:t xml:space="preserve"> other countries in Eastern Europe, the Caucasus and Central Asia (EECCA)</w:t>
      </w:r>
      <w:r w:rsidR="00AB75F1" w:rsidRPr="007777E2">
        <w:rPr>
          <w:b/>
        </w:rPr>
        <w:t>.</w:t>
      </w:r>
      <w:r w:rsidRPr="005A21CD">
        <w:rPr>
          <w:rStyle w:val="FootnoteReference"/>
          <w:sz w:val="24"/>
        </w:rPr>
        <w:footnoteReference w:id="10"/>
      </w:r>
      <w:r w:rsidRPr="007777E2">
        <w:t xml:space="preserve"> The emphasis is </w:t>
      </w:r>
      <w:r w:rsidRPr="007777E2">
        <w:lastRenderedPageBreak/>
        <w:t>gradually shifting, however, from bulk transportation of raw materials to general cargo, e.g., semi-finished and finished products that have a higher value per ton. This has important implications for the preferred mode of freight transport</w:t>
      </w:r>
      <w:r w:rsidR="00296E83">
        <w:t>,</w:t>
      </w:r>
      <w:r w:rsidRPr="007777E2">
        <w:t xml:space="preserve"> with an increasing </w:t>
      </w:r>
      <w:r w:rsidR="000C2C0F" w:rsidRPr="007777E2">
        <w:t>shift to</w:t>
      </w:r>
      <w:r w:rsidRPr="007777E2">
        <w:t xml:space="preserve"> road transport and </w:t>
      </w:r>
      <w:r w:rsidR="000C2C0F" w:rsidRPr="007777E2">
        <w:t>the</w:t>
      </w:r>
      <w:r w:rsidRPr="007777E2">
        <w:t xml:space="preserve"> associated use of containers and inter-modal services.  Belarus is among the EECCA countries, such as Moldova and Kazakhstan, and to lesser degree Ukraine, where </w:t>
      </w:r>
      <w:r w:rsidR="000C2C0F" w:rsidRPr="007777E2">
        <w:t>the</w:t>
      </w:r>
      <w:r w:rsidRPr="007777E2">
        <w:t xml:space="preserve"> modal split has </w:t>
      </w:r>
      <w:r w:rsidR="000C2C0F" w:rsidRPr="007777E2">
        <w:t>shifted</w:t>
      </w:r>
      <w:r w:rsidRPr="007777E2">
        <w:t xml:space="preserve"> toward </w:t>
      </w:r>
      <w:r w:rsidR="00F724AE" w:rsidRPr="007777E2">
        <w:t xml:space="preserve">an increased </w:t>
      </w:r>
      <w:r w:rsidRPr="007777E2">
        <w:t xml:space="preserve">preference for road transport over rail. Generally this is due to the role of Belarus as a transit country in international trade among countries in the EU and CIS, and specifically the requirement for speed and flexibility of modern producers in transporting perishable and high-value goods. </w:t>
      </w:r>
    </w:p>
    <w:p w:rsidR="00CB644F" w:rsidRPr="00296E83" w:rsidRDefault="00CB644F" w:rsidP="00BE35AE">
      <w:pPr>
        <w:numPr>
          <w:ilvl w:val="0"/>
          <w:numId w:val="2"/>
        </w:numPr>
        <w:tabs>
          <w:tab w:val="num" w:pos="3420"/>
        </w:tabs>
        <w:spacing w:after="120"/>
        <w:ind w:left="0" w:firstLine="0"/>
        <w:jc w:val="both"/>
      </w:pPr>
      <w:r w:rsidRPr="007777E2">
        <w:rPr>
          <w:b/>
        </w:rPr>
        <w:t>Railway</w:t>
      </w:r>
      <w:r w:rsidR="00296E83">
        <w:rPr>
          <w:b/>
        </w:rPr>
        <w:t xml:space="preserve"> transport</w:t>
      </w:r>
      <w:r w:rsidRPr="007777E2">
        <w:rPr>
          <w:b/>
        </w:rPr>
        <w:t xml:space="preserve"> ha</w:t>
      </w:r>
      <w:r w:rsidR="00296E83">
        <w:rPr>
          <w:b/>
        </w:rPr>
        <w:t>s</w:t>
      </w:r>
      <w:r w:rsidRPr="007777E2">
        <w:rPr>
          <w:b/>
        </w:rPr>
        <w:t xml:space="preserve"> a strong position in the transportation market in Belarus</w:t>
      </w:r>
      <w:r w:rsidR="00296E83">
        <w:rPr>
          <w:b/>
        </w:rPr>
        <w:t>,</w:t>
      </w:r>
      <w:r w:rsidR="000C2C0F" w:rsidRPr="007777E2">
        <w:rPr>
          <w:b/>
        </w:rPr>
        <w:t xml:space="preserve"> compared to EU-25 countries</w:t>
      </w:r>
      <w:r w:rsidRPr="007777E2">
        <w:t>.</w:t>
      </w:r>
      <w:r w:rsidRPr="007777E2">
        <w:rPr>
          <w:bCs/>
          <w:color w:val="000000" w:themeColor="text1"/>
        </w:rPr>
        <w:t xml:space="preserve"> In 2008 railways carried 35 percent of the total volume of freight </w:t>
      </w:r>
      <w:r w:rsidR="00F724AE" w:rsidRPr="007777E2">
        <w:rPr>
          <w:bCs/>
          <w:color w:val="000000" w:themeColor="text1"/>
        </w:rPr>
        <w:t>(in ton-km) transported in Belarus (including pipeline transport)</w:t>
      </w:r>
      <w:r w:rsidRPr="007777E2">
        <w:rPr>
          <w:bCs/>
          <w:color w:val="000000" w:themeColor="text1"/>
        </w:rPr>
        <w:t>. This is a much larger market share than the average of 17 percent in the EU-</w:t>
      </w:r>
      <w:r w:rsidRPr="00CF01D4">
        <w:rPr>
          <w:bCs/>
          <w:color w:val="000000" w:themeColor="text1"/>
        </w:rPr>
        <w:t>2</w:t>
      </w:r>
      <w:r w:rsidR="000C2C0F" w:rsidRPr="00CF01D4">
        <w:rPr>
          <w:bCs/>
          <w:color w:val="000000" w:themeColor="text1"/>
        </w:rPr>
        <w:t>5</w:t>
      </w:r>
      <w:r w:rsidRPr="00CF01D4">
        <w:rPr>
          <w:bCs/>
          <w:color w:val="000000" w:themeColor="text1"/>
        </w:rPr>
        <w:t xml:space="preserve"> (</w:t>
      </w:r>
      <w:fldSimple w:instr=" REF _Ref264028203 \h  \* MERGEFORMAT ">
        <w:r w:rsidR="00E85C5F" w:rsidRPr="00E85C5F">
          <w:t xml:space="preserve">Figure </w:t>
        </w:r>
        <w:r w:rsidR="00E85C5F" w:rsidRPr="00E85C5F">
          <w:rPr>
            <w:noProof/>
          </w:rPr>
          <w:t>12</w:t>
        </w:r>
      </w:fldSimple>
      <w:r w:rsidRPr="00CF01D4">
        <w:rPr>
          <w:bCs/>
          <w:color w:val="000000" w:themeColor="text1"/>
        </w:rPr>
        <w:t>). Passenger</w:t>
      </w:r>
      <w:r w:rsidRPr="007777E2">
        <w:rPr>
          <w:bCs/>
          <w:color w:val="000000" w:themeColor="text1"/>
        </w:rPr>
        <w:t xml:space="preserve"> railway transport in Belarus has a market share of 46 percent</w:t>
      </w:r>
      <w:r w:rsidR="005A21CD">
        <w:rPr>
          <w:bCs/>
          <w:color w:val="000000" w:themeColor="text1"/>
        </w:rPr>
        <w:t>;</w:t>
      </w:r>
      <w:r w:rsidRPr="007777E2">
        <w:rPr>
          <w:rStyle w:val="FootnoteReference"/>
          <w:bCs/>
          <w:color w:val="000000" w:themeColor="text1"/>
        </w:rPr>
        <w:footnoteReference w:id="11"/>
      </w:r>
      <w:r w:rsidR="00F724AE" w:rsidRPr="007777E2">
        <w:rPr>
          <w:bCs/>
          <w:color w:val="000000" w:themeColor="text1"/>
        </w:rPr>
        <w:t xml:space="preserve"> this is</w:t>
      </w:r>
      <w:r w:rsidRPr="007777E2">
        <w:rPr>
          <w:bCs/>
          <w:color w:val="000000" w:themeColor="text1"/>
        </w:rPr>
        <w:t xml:space="preserve"> much higher than the modest average of 7.42 percent</w:t>
      </w:r>
      <w:r w:rsidR="000C2C0F" w:rsidRPr="007777E2">
        <w:rPr>
          <w:bCs/>
          <w:color w:val="000000" w:themeColor="text1"/>
        </w:rPr>
        <w:t xml:space="preserve"> for EU-25 countries</w:t>
      </w:r>
      <w:r w:rsidRPr="007777E2">
        <w:rPr>
          <w:bCs/>
          <w:color w:val="000000" w:themeColor="text1"/>
        </w:rPr>
        <w:t>.  In 2008, the Belarus</w:t>
      </w:r>
      <w:r w:rsidR="00296E83">
        <w:rPr>
          <w:bCs/>
          <w:color w:val="000000" w:themeColor="text1"/>
        </w:rPr>
        <w:t>ian Railways</w:t>
      </w:r>
      <w:r w:rsidRPr="007777E2">
        <w:rPr>
          <w:bCs/>
          <w:color w:val="000000" w:themeColor="text1"/>
        </w:rPr>
        <w:t xml:space="preserve"> carried 49 billion ton-km of freight</w:t>
      </w:r>
      <w:r w:rsidR="00296E83">
        <w:rPr>
          <w:bCs/>
          <w:color w:val="000000" w:themeColor="text1"/>
        </w:rPr>
        <w:t xml:space="preserve">; it is thus </w:t>
      </w:r>
      <w:r w:rsidRPr="007777E2">
        <w:rPr>
          <w:bCs/>
          <w:color w:val="000000" w:themeColor="text1"/>
        </w:rPr>
        <w:t>one of the most important freight railways in Europe</w:t>
      </w:r>
      <w:r w:rsidR="00F724AE" w:rsidRPr="007777E2">
        <w:rPr>
          <w:bCs/>
          <w:color w:val="000000" w:themeColor="text1"/>
        </w:rPr>
        <w:t>. Compared with railways</w:t>
      </w:r>
      <w:r w:rsidRPr="007777E2">
        <w:rPr>
          <w:bCs/>
          <w:color w:val="000000" w:themeColor="text1"/>
        </w:rPr>
        <w:t xml:space="preserve"> of the </w:t>
      </w:r>
      <w:r w:rsidR="00F724AE" w:rsidRPr="007777E2">
        <w:rPr>
          <w:bCs/>
          <w:color w:val="000000" w:themeColor="text1"/>
        </w:rPr>
        <w:t>European Union, only German R</w:t>
      </w:r>
      <w:r w:rsidRPr="007777E2">
        <w:rPr>
          <w:bCs/>
          <w:color w:val="000000" w:themeColor="text1"/>
        </w:rPr>
        <w:t>ailways</w:t>
      </w:r>
      <w:r w:rsidR="000C2C0F" w:rsidRPr="007777E2">
        <w:rPr>
          <w:bCs/>
          <w:color w:val="000000" w:themeColor="text1"/>
        </w:rPr>
        <w:t xml:space="preserve"> </w:t>
      </w:r>
      <w:r w:rsidRPr="007777E2">
        <w:rPr>
          <w:bCs/>
          <w:color w:val="000000" w:themeColor="text1"/>
        </w:rPr>
        <w:t>transport</w:t>
      </w:r>
      <w:r w:rsidR="00F724AE" w:rsidRPr="007777E2">
        <w:rPr>
          <w:bCs/>
          <w:color w:val="000000" w:themeColor="text1"/>
        </w:rPr>
        <w:t>s</w:t>
      </w:r>
      <w:r w:rsidRPr="007777E2">
        <w:rPr>
          <w:bCs/>
          <w:color w:val="000000" w:themeColor="text1"/>
        </w:rPr>
        <w:t xml:space="preserve"> a higher volume of freight. From a total of about 49 billion ton-km transported in 2008, 72 percent represented import, export, and transit (40 percent transit only), and the remaining 28 percent was </w:t>
      </w:r>
      <w:r w:rsidR="00F724AE" w:rsidRPr="007777E2">
        <w:rPr>
          <w:bCs/>
          <w:color w:val="000000" w:themeColor="text1"/>
        </w:rPr>
        <w:t xml:space="preserve">domestic </w:t>
      </w:r>
      <w:r w:rsidRPr="007777E2">
        <w:rPr>
          <w:bCs/>
          <w:color w:val="000000" w:themeColor="text1"/>
        </w:rPr>
        <w:t xml:space="preserve">freight transport. The average transport distance </w:t>
      </w:r>
      <w:r w:rsidR="000C2C0F" w:rsidRPr="007777E2">
        <w:rPr>
          <w:bCs/>
          <w:color w:val="000000" w:themeColor="text1"/>
        </w:rPr>
        <w:t>wa</w:t>
      </w:r>
      <w:r w:rsidRPr="007777E2">
        <w:rPr>
          <w:bCs/>
          <w:color w:val="000000" w:themeColor="text1"/>
        </w:rPr>
        <w:t>s 3</w:t>
      </w:r>
      <w:r w:rsidR="00AD664C">
        <w:rPr>
          <w:bCs/>
          <w:color w:val="000000" w:themeColor="text1"/>
        </w:rPr>
        <w:t>33</w:t>
      </w:r>
      <w:r w:rsidRPr="007777E2">
        <w:rPr>
          <w:bCs/>
          <w:color w:val="000000" w:themeColor="text1"/>
        </w:rPr>
        <w:t xml:space="preserve"> kilometers per ton of freight and 93 kilometers per passenger.</w:t>
      </w:r>
      <w:r w:rsidRPr="007777E2">
        <w:rPr>
          <w:bCs/>
          <w:color w:val="FF0000"/>
        </w:rPr>
        <w:t xml:space="preserve"> </w:t>
      </w:r>
      <w:r w:rsidRPr="007777E2">
        <w:rPr>
          <w:bCs/>
          <w:color w:val="000000" w:themeColor="text1"/>
        </w:rPr>
        <w:t>The railway carries a broad mix of traffic, but about 70 percent of freight traffic is oil and petroleum products, construction materials, chemicals, and mineral fertilizers.</w:t>
      </w:r>
    </w:p>
    <w:p w:rsidR="00A41454" w:rsidRDefault="00A41454">
      <w:pPr>
        <w:tabs>
          <w:tab w:val="num" w:pos="3420"/>
        </w:tabs>
        <w:spacing w:after="120"/>
        <w:jc w:val="both"/>
      </w:pPr>
    </w:p>
    <w:tbl>
      <w:tblPr>
        <w:tblStyle w:val="TableGrid"/>
        <w:tblW w:w="0" w:type="auto"/>
        <w:tblLook w:val="04A0"/>
      </w:tblPr>
      <w:tblGrid>
        <w:gridCol w:w="4788"/>
        <w:gridCol w:w="4788"/>
      </w:tblGrid>
      <w:tr w:rsidR="00434074" w:rsidRPr="00434074" w:rsidTr="00434074">
        <w:trPr>
          <w:cantSplit/>
        </w:trPr>
        <w:tc>
          <w:tcPr>
            <w:tcW w:w="9576" w:type="dxa"/>
            <w:gridSpan w:val="2"/>
          </w:tcPr>
          <w:p w:rsidR="00434074" w:rsidRPr="00434074" w:rsidRDefault="00434074" w:rsidP="00FA4DAC">
            <w:pPr>
              <w:tabs>
                <w:tab w:val="num" w:pos="3420"/>
              </w:tabs>
              <w:spacing w:after="120"/>
              <w:jc w:val="both"/>
              <w:rPr>
                <w:b/>
              </w:rPr>
            </w:pPr>
            <w:bookmarkStart w:id="112" w:name="_Ref264028203"/>
            <w:bookmarkStart w:id="113" w:name="_Toc264226769"/>
            <w:r w:rsidRPr="00434074">
              <w:rPr>
                <w:b/>
              </w:rPr>
              <w:t xml:space="preserve">Figure </w:t>
            </w:r>
            <w:r w:rsidR="006B40AE" w:rsidRPr="00434074">
              <w:rPr>
                <w:b/>
              </w:rPr>
              <w:fldChar w:fldCharType="begin"/>
            </w:r>
            <w:r w:rsidRPr="00434074">
              <w:rPr>
                <w:b/>
              </w:rPr>
              <w:instrText xml:space="preserve"> SEQ Figure \* ARABIC </w:instrText>
            </w:r>
            <w:r w:rsidR="006B40AE" w:rsidRPr="00434074">
              <w:rPr>
                <w:b/>
              </w:rPr>
              <w:fldChar w:fldCharType="separate"/>
            </w:r>
            <w:r w:rsidR="009E2C86">
              <w:rPr>
                <w:b/>
                <w:noProof/>
              </w:rPr>
              <w:t>12</w:t>
            </w:r>
            <w:r w:rsidR="006B40AE" w:rsidRPr="00434074">
              <w:rPr>
                <w:b/>
              </w:rPr>
              <w:fldChar w:fldCharType="end"/>
            </w:r>
            <w:bookmarkEnd w:id="112"/>
            <w:r w:rsidRPr="00434074">
              <w:rPr>
                <w:b/>
              </w:rPr>
              <w:t>. Transport Sector: Modal Split in Belarus 2008</w:t>
            </w:r>
            <w:bookmarkEnd w:id="113"/>
          </w:p>
        </w:tc>
      </w:tr>
      <w:tr w:rsidR="00434074" w:rsidTr="00434074">
        <w:trPr>
          <w:cantSplit/>
        </w:trPr>
        <w:tc>
          <w:tcPr>
            <w:tcW w:w="4788" w:type="dxa"/>
          </w:tcPr>
          <w:p w:rsidR="00434074" w:rsidRDefault="00434074" w:rsidP="00FA4DAC">
            <w:pPr>
              <w:tabs>
                <w:tab w:val="num" w:pos="3420"/>
              </w:tabs>
              <w:spacing w:after="120"/>
              <w:jc w:val="both"/>
            </w:pPr>
            <w:r w:rsidRPr="00434074">
              <w:rPr>
                <w:noProof/>
              </w:rPr>
              <w:drawing>
                <wp:inline distT="0" distB="0" distL="0" distR="0">
                  <wp:extent cx="2571750" cy="1885950"/>
                  <wp:effectExtent l="19050" t="0" r="0" b="0"/>
                  <wp:docPr id="6"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34074" w:rsidRPr="00434074" w:rsidRDefault="00434074" w:rsidP="00FA4DAC">
            <w:pPr>
              <w:tabs>
                <w:tab w:val="num" w:pos="3420"/>
              </w:tabs>
              <w:spacing w:after="120"/>
              <w:jc w:val="both"/>
              <w:rPr>
                <w:sz w:val="18"/>
                <w:szCs w:val="18"/>
              </w:rPr>
            </w:pPr>
            <w:r w:rsidRPr="00434074">
              <w:rPr>
                <w:sz w:val="18"/>
                <w:szCs w:val="18"/>
              </w:rPr>
              <w:t>Source: Transport Statistical Yearbook of Belarus. 2009.</w:t>
            </w:r>
          </w:p>
        </w:tc>
        <w:tc>
          <w:tcPr>
            <w:tcW w:w="4788" w:type="dxa"/>
          </w:tcPr>
          <w:p w:rsidR="00434074" w:rsidRDefault="00434074" w:rsidP="00FA4DAC">
            <w:pPr>
              <w:tabs>
                <w:tab w:val="num" w:pos="3420"/>
              </w:tabs>
              <w:spacing w:after="120"/>
              <w:jc w:val="both"/>
            </w:pPr>
            <w:r w:rsidRPr="00434074">
              <w:rPr>
                <w:noProof/>
              </w:rPr>
              <w:drawing>
                <wp:inline distT="0" distB="0" distL="0" distR="0">
                  <wp:extent cx="2828925" cy="1885950"/>
                  <wp:effectExtent l="19050" t="0" r="0" b="0"/>
                  <wp:docPr id="20"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34074" w:rsidRDefault="00434074" w:rsidP="00FA4DAC">
            <w:pPr>
              <w:tabs>
                <w:tab w:val="num" w:pos="3420"/>
              </w:tabs>
              <w:spacing w:after="120"/>
              <w:jc w:val="both"/>
            </w:pPr>
            <w:r w:rsidRPr="00434074">
              <w:rPr>
                <w:sz w:val="18"/>
                <w:szCs w:val="18"/>
              </w:rPr>
              <w:t>Source: Transport Statistical Yearbook of Belarus. 2009.</w:t>
            </w:r>
          </w:p>
        </w:tc>
      </w:tr>
    </w:tbl>
    <w:p w:rsidR="00434074" w:rsidRPr="007777E2" w:rsidRDefault="00434074" w:rsidP="00FA4DAC">
      <w:pPr>
        <w:tabs>
          <w:tab w:val="num" w:pos="3420"/>
        </w:tabs>
        <w:spacing w:after="120"/>
        <w:jc w:val="both"/>
      </w:pPr>
    </w:p>
    <w:p w:rsidR="00CB644F" w:rsidRPr="007777E2" w:rsidRDefault="00CB644F" w:rsidP="002F51F1">
      <w:pPr>
        <w:numPr>
          <w:ilvl w:val="0"/>
          <w:numId w:val="2"/>
        </w:numPr>
        <w:tabs>
          <w:tab w:val="num" w:pos="3420"/>
        </w:tabs>
        <w:spacing w:after="240"/>
        <w:ind w:left="0" w:firstLine="0"/>
        <w:jc w:val="both"/>
      </w:pPr>
      <w:r w:rsidRPr="007777E2">
        <w:rPr>
          <w:b/>
        </w:rPr>
        <w:t xml:space="preserve">Belarusian Railway predominantly operates international </w:t>
      </w:r>
      <w:r w:rsidR="000C2C0F" w:rsidRPr="007777E2">
        <w:rPr>
          <w:b/>
        </w:rPr>
        <w:t xml:space="preserve">freight </w:t>
      </w:r>
      <w:r w:rsidRPr="007777E2">
        <w:rPr>
          <w:b/>
        </w:rPr>
        <w:t>services</w:t>
      </w:r>
      <w:r w:rsidRPr="007777E2">
        <w:t xml:space="preserve">. </w:t>
      </w:r>
      <w:r w:rsidRPr="007777E2">
        <w:rPr>
          <w:rFonts w:eastAsia="Calibri"/>
          <w:bCs/>
          <w:color w:val="000000"/>
        </w:rPr>
        <w:t>Each year, about 70 percent of the traffic operated by Belarus</w:t>
      </w:r>
      <w:r w:rsidR="00296E83">
        <w:rPr>
          <w:rFonts w:eastAsia="Calibri"/>
          <w:bCs/>
          <w:color w:val="000000"/>
        </w:rPr>
        <w:t>ian R</w:t>
      </w:r>
      <w:r w:rsidRPr="007777E2">
        <w:rPr>
          <w:rFonts w:eastAsia="Calibri"/>
          <w:bCs/>
          <w:color w:val="000000"/>
        </w:rPr>
        <w:t xml:space="preserve">ailway is international </w:t>
      </w:r>
      <w:r w:rsidR="00AB75F1" w:rsidRPr="007777E2">
        <w:rPr>
          <w:rFonts w:eastAsia="Calibri"/>
          <w:bCs/>
          <w:color w:val="000000"/>
        </w:rPr>
        <w:t xml:space="preserve">freight </w:t>
      </w:r>
      <w:r w:rsidRPr="007777E2">
        <w:rPr>
          <w:rFonts w:eastAsia="Calibri"/>
          <w:bCs/>
          <w:color w:val="000000"/>
        </w:rPr>
        <w:lastRenderedPageBreak/>
        <w:t>(import, export, and transit) as presented in</w:t>
      </w:r>
      <w:r w:rsidR="0049692A" w:rsidRPr="007777E2">
        <w:rPr>
          <w:rFonts w:eastAsia="Calibri"/>
          <w:bCs/>
          <w:color w:val="000000"/>
        </w:rPr>
        <w:t xml:space="preserve"> </w:t>
      </w:r>
      <w:fldSimple w:instr=" REF _Ref257124569 \h  \* MERGEFORMAT ">
        <w:r w:rsidR="00E85C5F" w:rsidRPr="00E85C5F">
          <w:t xml:space="preserve">Figure </w:t>
        </w:r>
        <w:r w:rsidR="00E85C5F" w:rsidRPr="00E85C5F">
          <w:rPr>
            <w:noProof/>
          </w:rPr>
          <w:t>13</w:t>
        </w:r>
      </w:fldSimple>
      <w:r w:rsidRPr="007777E2">
        <w:rPr>
          <w:rFonts w:eastAsia="Calibri"/>
          <w:bCs/>
          <w:color w:val="000000"/>
        </w:rPr>
        <w:t xml:space="preserve">. The data shows continuous increases in the freight market since 2000 with the structure of services (domestic versus international) remaining unchanged. The increase in freight volumes transported on roads during the same period of time, however, was two times higher, marking the aggressive competition </w:t>
      </w:r>
      <w:r w:rsidR="000C2C0F" w:rsidRPr="007777E2">
        <w:rPr>
          <w:rFonts w:eastAsia="Calibri"/>
          <w:bCs/>
          <w:color w:val="000000"/>
        </w:rPr>
        <w:t xml:space="preserve">that </w:t>
      </w:r>
      <w:r w:rsidRPr="007777E2">
        <w:rPr>
          <w:rFonts w:eastAsia="Calibri"/>
          <w:bCs/>
          <w:color w:val="000000"/>
        </w:rPr>
        <w:t>truckers create through flexible services.</w:t>
      </w:r>
    </w:p>
    <w:tbl>
      <w:tblPr>
        <w:tblStyle w:val="TableGrid"/>
        <w:tblW w:w="0" w:type="auto"/>
        <w:tblLook w:val="04A0"/>
      </w:tblPr>
      <w:tblGrid>
        <w:gridCol w:w="4740"/>
        <w:gridCol w:w="4836"/>
      </w:tblGrid>
      <w:tr w:rsidR="0049692A" w:rsidRPr="007777E2" w:rsidTr="000D66B6">
        <w:trPr>
          <w:cantSplit/>
        </w:trPr>
        <w:tc>
          <w:tcPr>
            <w:tcW w:w="4788" w:type="dxa"/>
          </w:tcPr>
          <w:p w:rsidR="0049692A" w:rsidRPr="007777E2" w:rsidRDefault="0049692A" w:rsidP="0049692A">
            <w:pPr>
              <w:pStyle w:val="Caption"/>
              <w:rPr>
                <w:color w:val="auto"/>
                <w:sz w:val="22"/>
                <w:szCs w:val="22"/>
              </w:rPr>
            </w:pPr>
            <w:bookmarkStart w:id="114" w:name="_Ref257124569"/>
            <w:bookmarkStart w:id="115" w:name="_Toc264226770"/>
            <w:r w:rsidRPr="007777E2">
              <w:rPr>
                <w:color w:val="auto"/>
                <w:sz w:val="22"/>
                <w:szCs w:val="22"/>
              </w:rPr>
              <w:t xml:space="preserve">Figure </w:t>
            </w:r>
            <w:r w:rsidR="006B40AE" w:rsidRPr="007777E2">
              <w:rPr>
                <w:color w:val="auto"/>
                <w:sz w:val="22"/>
                <w:szCs w:val="22"/>
              </w:rPr>
              <w:fldChar w:fldCharType="begin"/>
            </w:r>
            <w:r w:rsidR="00B9265B" w:rsidRPr="007777E2">
              <w:rPr>
                <w:color w:val="auto"/>
                <w:sz w:val="22"/>
                <w:szCs w:val="22"/>
              </w:rPr>
              <w:instrText xml:space="preserve"> SEQ Figure \* ARABIC </w:instrText>
            </w:r>
            <w:r w:rsidR="006B40AE" w:rsidRPr="007777E2">
              <w:rPr>
                <w:color w:val="auto"/>
                <w:sz w:val="22"/>
                <w:szCs w:val="22"/>
              </w:rPr>
              <w:fldChar w:fldCharType="separate"/>
            </w:r>
            <w:r w:rsidR="009E2C86">
              <w:rPr>
                <w:noProof/>
                <w:color w:val="auto"/>
                <w:sz w:val="22"/>
                <w:szCs w:val="22"/>
              </w:rPr>
              <w:t>13</w:t>
            </w:r>
            <w:r w:rsidR="006B40AE" w:rsidRPr="007777E2">
              <w:rPr>
                <w:color w:val="auto"/>
                <w:sz w:val="22"/>
                <w:szCs w:val="22"/>
              </w:rPr>
              <w:fldChar w:fldCharType="end"/>
            </w:r>
            <w:bookmarkEnd w:id="114"/>
            <w:r w:rsidRPr="007777E2">
              <w:rPr>
                <w:color w:val="auto"/>
                <w:sz w:val="22"/>
                <w:szCs w:val="22"/>
              </w:rPr>
              <w:t>. Belarusian Railways: Structure of Freight Traffic 2000-2008 (million ton-km)</w:t>
            </w:r>
            <w:r w:rsidRPr="007777E2">
              <w:t xml:space="preserve"> </w:t>
            </w:r>
            <w:r w:rsidRPr="007777E2">
              <w:rPr>
                <w:noProof/>
              </w:rPr>
              <w:drawing>
                <wp:inline distT="0" distB="0" distL="0" distR="0">
                  <wp:extent cx="2790825" cy="2381250"/>
                  <wp:effectExtent l="19050" t="0" r="0" b="0"/>
                  <wp:docPr id="49"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bookmarkEnd w:id="115"/>
          </w:p>
          <w:p w:rsidR="0049692A" w:rsidRPr="007777E2" w:rsidRDefault="0049692A" w:rsidP="00C21AB2">
            <w:pPr>
              <w:tabs>
                <w:tab w:val="num" w:pos="3420"/>
              </w:tabs>
              <w:spacing w:after="120"/>
              <w:jc w:val="both"/>
              <w:rPr>
                <w:sz w:val="18"/>
                <w:szCs w:val="18"/>
              </w:rPr>
            </w:pPr>
            <w:r w:rsidRPr="007777E2">
              <w:rPr>
                <w:sz w:val="18"/>
                <w:szCs w:val="18"/>
              </w:rPr>
              <w:t xml:space="preserve">Source: </w:t>
            </w:r>
            <w:r w:rsidR="00C21AB2" w:rsidRPr="007777E2">
              <w:rPr>
                <w:sz w:val="18"/>
                <w:szCs w:val="18"/>
              </w:rPr>
              <w:t>Data r</w:t>
            </w:r>
            <w:r w:rsidRPr="007777E2">
              <w:rPr>
                <w:sz w:val="18"/>
                <w:szCs w:val="18"/>
              </w:rPr>
              <w:t>eported by Belarusian Railways.</w:t>
            </w:r>
          </w:p>
        </w:tc>
        <w:tc>
          <w:tcPr>
            <w:tcW w:w="4788" w:type="dxa"/>
          </w:tcPr>
          <w:p w:rsidR="0049692A" w:rsidRPr="007777E2" w:rsidRDefault="0049692A" w:rsidP="0049692A">
            <w:pPr>
              <w:pStyle w:val="Caption"/>
              <w:rPr>
                <w:color w:val="auto"/>
                <w:sz w:val="22"/>
                <w:szCs w:val="22"/>
              </w:rPr>
            </w:pPr>
            <w:bookmarkStart w:id="116" w:name="_Ref257125021"/>
            <w:bookmarkStart w:id="117" w:name="_Toc264226771"/>
            <w:r w:rsidRPr="007777E2">
              <w:rPr>
                <w:color w:val="auto"/>
                <w:sz w:val="22"/>
                <w:szCs w:val="22"/>
              </w:rPr>
              <w:t xml:space="preserve">Figure </w:t>
            </w:r>
            <w:r w:rsidR="006B40AE" w:rsidRPr="007777E2">
              <w:rPr>
                <w:color w:val="auto"/>
                <w:sz w:val="22"/>
                <w:szCs w:val="22"/>
              </w:rPr>
              <w:fldChar w:fldCharType="begin"/>
            </w:r>
            <w:r w:rsidR="00B9265B" w:rsidRPr="007777E2">
              <w:rPr>
                <w:color w:val="auto"/>
                <w:sz w:val="22"/>
                <w:szCs w:val="22"/>
              </w:rPr>
              <w:instrText xml:space="preserve"> SEQ Figure \* ARABIC </w:instrText>
            </w:r>
            <w:r w:rsidR="006B40AE" w:rsidRPr="007777E2">
              <w:rPr>
                <w:color w:val="auto"/>
                <w:sz w:val="22"/>
                <w:szCs w:val="22"/>
              </w:rPr>
              <w:fldChar w:fldCharType="separate"/>
            </w:r>
            <w:r w:rsidR="009E2C86">
              <w:rPr>
                <w:noProof/>
                <w:color w:val="auto"/>
                <w:sz w:val="22"/>
                <w:szCs w:val="22"/>
              </w:rPr>
              <w:t>14</w:t>
            </w:r>
            <w:r w:rsidR="006B40AE" w:rsidRPr="007777E2">
              <w:rPr>
                <w:color w:val="auto"/>
                <w:sz w:val="22"/>
                <w:szCs w:val="22"/>
              </w:rPr>
              <w:fldChar w:fldCharType="end"/>
            </w:r>
            <w:bookmarkEnd w:id="116"/>
            <w:r w:rsidRPr="007777E2">
              <w:rPr>
                <w:color w:val="auto"/>
                <w:sz w:val="22"/>
                <w:szCs w:val="22"/>
              </w:rPr>
              <w:t xml:space="preserve">. Evolution of </w:t>
            </w:r>
            <w:r w:rsidR="00C21AB2" w:rsidRPr="007777E2">
              <w:rPr>
                <w:color w:val="auto"/>
                <w:sz w:val="22"/>
                <w:szCs w:val="22"/>
              </w:rPr>
              <w:t>T</w:t>
            </w:r>
            <w:r w:rsidRPr="007777E2">
              <w:rPr>
                <w:color w:val="auto"/>
                <w:sz w:val="22"/>
                <w:szCs w:val="22"/>
              </w:rPr>
              <w:t xml:space="preserve">ransport by </w:t>
            </w:r>
            <w:r w:rsidR="00C21AB2" w:rsidRPr="007777E2">
              <w:rPr>
                <w:color w:val="auto"/>
                <w:sz w:val="22"/>
                <w:szCs w:val="22"/>
              </w:rPr>
              <w:t>R</w:t>
            </w:r>
            <w:r w:rsidRPr="007777E2">
              <w:rPr>
                <w:color w:val="auto"/>
                <w:sz w:val="22"/>
                <w:szCs w:val="22"/>
              </w:rPr>
              <w:t xml:space="preserve">ail and </w:t>
            </w:r>
            <w:r w:rsidR="00C21AB2" w:rsidRPr="007777E2">
              <w:rPr>
                <w:color w:val="auto"/>
                <w:sz w:val="22"/>
                <w:szCs w:val="22"/>
              </w:rPr>
              <w:t>R</w:t>
            </w:r>
            <w:r w:rsidRPr="007777E2">
              <w:rPr>
                <w:color w:val="auto"/>
                <w:sz w:val="22"/>
                <w:szCs w:val="22"/>
              </w:rPr>
              <w:t>oad 2000-2008 (volumes and market share)</w:t>
            </w:r>
            <w:bookmarkEnd w:id="117"/>
          </w:p>
          <w:p w:rsidR="0049692A" w:rsidRPr="007777E2" w:rsidRDefault="0049692A" w:rsidP="0049692A">
            <w:pPr>
              <w:keepNext/>
              <w:tabs>
                <w:tab w:val="num" w:pos="3420"/>
              </w:tabs>
              <w:spacing w:after="120"/>
              <w:jc w:val="both"/>
            </w:pPr>
            <w:r w:rsidRPr="007777E2">
              <w:rPr>
                <w:noProof/>
              </w:rPr>
              <w:drawing>
                <wp:inline distT="0" distB="0" distL="0" distR="0">
                  <wp:extent cx="2914650" cy="2314575"/>
                  <wp:effectExtent l="19050" t="0" r="0" b="0"/>
                  <wp:docPr id="48"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49692A" w:rsidRPr="007777E2" w:rsidRDefault="0049692A" w:rsidP="0049692A">
            <w:pPr>
              <w:keepNext/>
              <w:tabs>
                <w:tab w:val="num" w:pos="3420"/>
              </w:tabs>
              <w:spacing w:after="120"/>
              <w:jc w:val="both"/>
            </w:pPr>
            <w:r w:rsidRPr="007777E2">
              <w:rPr>
                <w:sz w:val="18"/>
                <w:szCs w:val="18"/>
              </w:rPr>
              <w:t>Source: Transport Statistical Yearbook of Belarus. 2009.</w:t>
            </w:r>
          </w:p>
        </w:tc>
      </w:tr>
    </w:tbl>
    <w:p w:rsidR="0049692A" w:rsidRPr="007777E2" w:rsidRDefault="0049692A" w:rsidP="0049692A">
      <w:pPr>
        <w:tabs>
          <w:tab w:val="num" w:pos="3420"/>
        </w:tabs>
        <w:spacing w:after="120"/>
        <w:jc w:val="both"/>
      </w:pPr>
    </w:p>
    <w:p w:rsidR="00CB644F" w:rsidRPr="007777E2" w:rsidRDefault="00CB644F" w:rsidP="00BE35AE">
      <w:pPr>
        <w:numPr>
          <w:ilvl w:val="0"/>
          <w:numId w:val="2"/>
        </w:numPr>
        <w:tabs>
          <w:tab w:val="num" w:pos="3420"/>
        </w:tabs>
        <w:spacing w:after="120"/>
        <w:ind w:left="0" w:firstLine="0"/>
        <w:jc w:val="both"/>
      </w:pPr>
      <w:r w:rsidRPr="007777E2">
        <w:rPr>
          <w:b/>
        </w:rPr>
        <w:t>Railway transport is losing market share</w:t>
      </w:r>
      <w:r w:rsidR="000C2C0F" w:rsidRPr="007777E2">
        <w:rPr>
          <w:b/>
        </w:rPr>
        <w:t xml:space="preserve"> particularly to roads</w:t>
      </w:r>
      <w:r w:rsidRPr="007777E2">
        <w:t xml:space="preserve">. </w:t>
      </w:r>
      <w:r w:rsidR="000C2C0F" w:rsidRPr="007777E2">
        <w:t>Although</w:t>
      </w:r>
      <w:r w:rsidRPr="007777E2">
        <w:rPr>
          <w:color w:val="000000" w:themeColor="text1"/>
        </w:rPr>
        <w:t xml:space="preserve"> railway freight volume </w:t>
      </w:r>
      <w:r w:rsidR="000C2C0F" w:rsidRPr="007777E2">
        <w:rPr>
          <w:color w:val="000000" w:themeColor="text1"/>
        </w:rPr>
        <w:t xml:space="preserve">increased </w:t>
      </w:r>
      <w:r w:rsidR="00296E83">
        <w:rPr>
          <w:color w:val="000000" w:themeColor="text1"/>
        </w:rPr>
        <w:t xml:space="preserve">in </w:t>
      </w:r>
      <w:r w:rsidR="00647C1B" w:rsidRPr="007777E2">
        <w:rPr>
          <w:color w:val="000000" w:themeColor="text1"/>
        </w:rPr>
        <w:t xml:space="preserve">the period between </w:t>
      </w:r>
      <w:r w:rsidR="000C2C0F" w:rsidRPr="007777E2">
        <w:rPr>
          <w:color w:val="000000" w:themeColor="text1"/>
        </w:rPr>
        <w:t>2000</w:t>
      </w:r>
      <w:r w:rsidR="00647C1B" w:rsidRPr="007777E2">
        <w:rPr>
          <w:color w:val="000000" w:themeColor="text1"/>
        </w:rPr>
        <w:t xml:space="preserve"> and </w:t>
      </w:r>
      <w:r w:rsidR="000C2C0F" w:rsidRPr="007777E2">
        <w:rPr>
          <w:color w:val="000000" w:themeColor="text1"/>
        </w:rPr>
        <w:t xml:space="preserve">2008 by </w:t>
      </w:r>
      <w:r w:rsidRPr="007777E2">
        <w:rPr>
          <w:color w:val="000000" w:themeColor="text1"/>
        </w:rPr>
        <w:t>56 percent</w:t>
      </w:r>
      <w:r w:rsidR="000C2C0F" w:rsidRPr="007777E2">
        <w:rPr>
          <w:color w:val="000000" w:themeColor="text1"/>
        </w:rPr>
        <w:t>,</w:t>
      </w:r>
      <w:r w:rsidRPr="007777E2">
        <w:rPr>
          <w:color w:val="000000" w:themeColor="text1"/>
        </w:rPr>
        <w:t xml:space="preserve"> road </w:t>
      </w:r>
      <w:proofErr w:type="gramStart"/>
      <w:r w:rsidRPr="007777E2">
        <w:rPr>
          <w:color w:val="000000" w:themeColor="text1"/>
        </w:rPr>
        <w:t>transport</w:t>
      </w:r>
      <w:proofErr w:type="gramEnd"/>
      <w:r w:rsidRPr="007777E2">
        <w:rPr>
          <w:color w:val="000000" w:themeColor="text1"/>
        </w:rPr>
        <w:t xml:space="preserve"> increased by 134 percent</w:t>
      </w:r>
      <w:r w:rsidR="000C2C0F" w:rsidRPr="007777E2">
        <w:rPr>
          <w:color w:val="000000" w:themeColor="text1"/>
        </w:rPr>
        <w:t xml:space="preserve"> over the same period</w:t>
      </w:r>
      <w:r w:rsidRPr="007777E2">
        <w:rPr>
          <w:color w:val="000000" w:themeColor="text1"/>
        </w:rPr>
        <w:t xml:space="preserve">. In terms of passenger transport during the same interval, railways and public </w:t>
      </w:r>
      <w:r w:rsidR="000C2C0F" w:rsidRPr="007777E2">
        <w:rPr>
          <w:color w:val="000000" w:themeColor="text1"/>
        </w:rPr>
        <w:t xml:space="preserve">road </w:t>
      </w:r>
      <w:r w:rsidRPr="007777E2">
        <w:rPr>
          <w:color w:val="000000" w:themeColor="text1"/>
        </w:rPr>
        <w:t xml:space="preserve">transport lost 54 percent and 11 percent of their traffic, respectively. The dramatic loss of passenger traffic is </w:t>
      </w:r>
      <w:r w:rsidR="00647C1B" w:rsidRPr="007777E2">
        <w:rPr>
          <w:color w:val="000000" w:themeColor="text1"/>
        </w:rPr>
        <w:t>almost certainly</w:t>
      </w:r>
      <w:r w:rsidRPr="007777E2">
        <w:rPr>
          <w:color w:val="000000" w:themeColor="text1"/>
        </w:rPr>
        <w:t xml:space="preserve"> related to the increased rate of motorization in Belarus and the increased private car</w:t>
      </w:r>
      <w:r w:rsidR="00647C1B" w:rsidRPr="007777E2">
        <w:rPr>
          <w:color w:val="000000" w:themeColor="text1"/>
        </w:rPr>
        <w:t xml:space="preserve"> ownership</w:t>
      </w:r>
      <w:r w:rsidRPr="007777E2">
        <w:rPr>
          <w:color w:val="000000" w:themeColor="text1"/>
        </w:rPr>
        <w:t xml:space="preserve">. </w:t>
      </w:r>
      <w:r w:rsidR="000C2C0F" w:rsidRPr="007777E2">
        <w:rPr>
          <w:color w:val="000000" w:themeColor="text1"/>
        </w:rPr>
        <w:t>C</w:t>
      </w:r>
      <w:r w:rsidRPr="007777E2">
        <w:rPr>
          <w:color w:val="000000" w:themeColor="text1"/>
        </w:rPr>
        <w:t xml:space="preserve">ompared to road transport, </w:t>
      </w:r>
      <w:r w:rsidR="008709CD">
        <w:rPr>
          <w:color w:val="000000" w:themeColor="text1"/>
        </w:rPr>
        <w:t>r</w:t>
      </w:r>
      <w:r w:rsidR="008709CD" w:rsidRPr="007777E2">
        <w:rPr>
          <w:color w:val="000000" w:themeColor="text1"/>
        </w:rPr>
        <w:t>ailways are</w:t>
      </w:r>
      <w:r w:rsidRPr="007777E2">
        <w:rPr>
          <w:color w:val="000000" w:themeColor="text1"/>
        </w:rPr>
        <w:t xml:space="preserve"> </w:t>
      </w:r>
      <w:r w:rsidR="00316AE1">
        <w:rPr>
          <w:color w:val="000000" w:themeColor="text1"/>
        </w:rPr>
        <w:t xml:space="preserve">however </w:t>
      </w:r>
      <w:r w:rsidRPr="007777E2">
        <w:rPr>
          <w:color w:val="000000" w:themeColor="text1"/>
        </w:rPr>
        <w:t xml:space="preserve">still the dominant mode of land </w:t>
      </w:r>
      <w:r w:rsidR="00647C1B" w:rsidRPr="007777E2">
        <w:rPr>
          <w:color w:val="000000" w:themeColor="text1"/>
        </w:rPr>
        <w:t>transport, excluding pipeline transport</w:t>
      </w:r>
      <w:r w:rsidRPr="007777E2">
        <w:rPr>
          <w:color w:val="000000" w:themeColor="text1"/>
        </w:rPr>
        <w:t xml:space="preserve"> (</w:t>
      </w:r>
      <w:fldSimple w:instr=" REF _Ref257125021 \h  \* MERGEFORMAT ">
        <w:r w:rsidR="00E85C5F" w:rsidRPr="00E85C5F">
          <w:t xml:space="preserve">Figure </w:t>
        </w:r>
        <w:r w:rsidR="00E85C5F" w:rsidRPr="00E85C5F">
          <w:rPr>
            <w:noProof/>
          </w:rPr>
          <w:t>14</w:t>
        </w:r>
      </w:fldSimple>
      <w:r w:rsidRPr="007777E2">
        <w:rPr>
          <w:color w:val="000000" w:themeColor="text1"/>
        </w:rPr>
        <w:t xml:space="preserve">). Its total market share </w:t>
      </w:r>
      <w:r w:rsidR="000C2C0F" w:rsidRPr="007777E2">
        <w:rPr>
          <w:color w:val="000000" w:themeColor="text1"/>
        </w:rPr>
        <w:t xml:space="preserve">for </w:t>
      </w:r>
      <w:r w:rsidRPr="007777E2">
        <w:rPr>
          <w:color w:val="000000" w:themeColor="text1"/>
        </w:rPr>
        <w:t xml:space="preserve">freight and passengers, however, decreased from 72 percent in 2000 to 64 percent in 2008. This </w:t>
      </w:r>
      <w:r w:rsidR="00647C1B" w:rsidRPr="007777E2">
        <w:rPr>
          <w:color w:val="000000" w:themeColor="text1"/>
        </w:rPr>
        <w:t xml:space="preserve">declining </w:t>
      </w:r>
      <w:r w:rsidRPr="007777E2">
        <w:rPr>
          <w:color w:val="000000" w:themeColor="text1"/>
        </w:rPr>
        <w:t>trend is likely to continue</w:t>
      </w:r>
      <w:r w:rsidR="00647C1B" w:rsidRPr="007777E2">
        <w:rPr>
          <w:color w:val="000000" w:themeColor="text1"/>
        </w:rPr>
        <w:t>. Therefore,</w:t>
      </w:r>
      <w:r w:rsidR="000C2C0F" w:rsidRPr="007777E2">
        <w:rPr>
          <w:color w:val="000000" w:themeColor="text1"/>
        </w:rPr>
        <w:t xml:space="preserve"> to </w:t>
      </w:r>
      <w:r w:rsidRPr="007777E2">
        <w:rPr>
          <w:color w:val="000000" w:themeColor="text1"/>
        </w:rPr>
        <w:t>remain competitive in the</w:t>
      </w:r>
      <w:r w:rsidRPr="007777E2">
        <w:rPr>
          <w:b/>
          <w:color w:val="000000" w:themeColor="text1"/>
        </w:rPr>
        <w:t xml:space="preserve"> </w:t>
      </w:r>
      <w:r w:rsidRPr="007777E2">
        <w:rPr>
          <w:color w:val="000000" w:themeColor="text1"/>
        </w:rPr>
        <w:t>market</w:t>
      </w:r>
      <w:r w:rsidR="00C21AB2" w:rsidRPr="007777E2">
        <w:rPr>
          <w:color w:val="000000" w:themeColor="text1"/>
        </w:rPr>
        <w:t xml:space="preserve">, </w:t>
      </w:r>
      <w:r w:rsidRPr="007777E2">
        <w:rPr>
          <w:color w:val="000000" w:themeColor="text1"/>
        </w:rPr>
        <w:t xml:space="preserve">Belarusian </w:t>
      </w:r>
      <w:r w:rsidR="00647C1B" w:rsidRPr="007777E2">
        <w:rPr>
          <w:color w:val="000000" w:themeColor="text1"/>
        </w:rPr>
        <w:t>R</w:t>
      </w:r>
      <w:r w:rsidRPr="007777E2">
        <w:rPr>
          <w:color w:val="000000" w:themeColor="text1"/>
        </w:rPr>
        <w:t>ailways must be prepared to face the stronger competition of</w:t>
      </w:r>
      <w:r w:rsidRPr="007777E2">
        <w:rPr>
          <w:b/>
          <w:color w:val="000000" w:themeColor="text1"/>
        </w:rPr>
        <w:t xml:space="preserve"> </w:t>
      </w:r>
      <w:r w:rsidRPr="007777E2">
        <w:rPr>
          <w:color w:val="000000" w:themeColor="text1"/>
        </w:rPr>
        <w:t>road transport. Due to their high level of fixed costs, railways are very sensitive to reduced traffic intensity.</w:t>
      </w:r>
    </w:p>
    <w:p w:rsidR="00CB644F" w:rsidRPr="003523AE" w:rsidRDefault="00CB644F" w:rsidP="00BE35AE">
      <w:pPr>
        <w:numPr>
          <w:ilvl w:val="0"/>
          <w:numId w:val="2"/>
        </w:numPr>
        <w:tabs>
          <w:tab w:val="num" w:pos="3420"/>
        </w:tabs>
        <w:spacing w:after="120"/>
        <w:ind w:left="0" w:firstLine="0"/>
        <w:jc w:val="both"/>
      </w:pPr>
      <w:r w:rsidRPr="007777E2">
        <w:rPr>
          <w:b/>
        </w:rPr>
        <w:t>The market demand for railway passenger transport services is consistently</w:t>
      </w:r>
      <w:r w:rsidR="000C2C0F" w:rsidRPr="007777E2">
        <w:rPr>
          <w:b/>
        </w:rPr>
        <w:t xml:space="preserve"> decreasing</w:t>
      </w:r>
      <w:r w:rsidRPr="007777E2">
        <w:t xml:space="preserve">. </w:t>
      </w:r>
      <w:r w:rsidRPr="007777E2">
        <w:rPr>
          <w:rFonts w:eastAsia="Calibri"/>
          <w:bCs/>
          <w:color w:val="000000"/>
        </w:rPr>
        <w:t xml:space="preserve">Since 2000, Belarusian </w:t>
      </w:r>
      <w:r w:rsidR="00647C1B" w:rsidRPr="007777E2">
        <w:rPr>
          <w:rFonts w:eastAsia="Calibri"/>
          <w:bCs/>
          <w:color w:val="000000"/>
        </w:rPr>
        <w:t>R</w:t>
      </w:r>
      <w:r w:rsidRPr="007777E2">
        <w:rPr>
          <w:rFonts w:eastAsia="Calibri"/>
          <w:bCs/>
          <w:color w:val="000000"/>
        </w:rPr>
        <w:t>ailway</w:t>
      </w:r>
      <w:r w:rsidR="00647C1B" w:rsidRPr="007777E2">
        <w:rPr>
          <w:rFonts w:eastAsia="Calibri"/>
          <w:bCs/>
          <w:color w:val="000000"/>
        </w:rPr>
        <w:t>s</w:t>
      </w:r>
      <w:r w:rsidRPr="007777E2">
        <w:rPr>
          <w:rFonts w:eastAsia="Calibri"/>
          <w:bCs/>
          <w:color w:val="000000"/>
        </w:rPr>
        <w:t xml:space="preserve"> has lost almost half of </w:t>
      </w:r>
      <w:r w:rsidR="00316AE1">
        <w:rPr>
          <w:rFonts w:eastAsia="Calibri"/>
          <w:bCs/>
          <w:color w:val="000000"/>
        </w:rPr>
        <w:t xml:space="preserve">its </w:t>
      </w:r>
      <w:r w:rsidR="00647C1B" w:rsidRPr="007777E2">
        <w:rPr>
          <w:rFonts w:eastAsia="Calibri"/>
          <w:bCs/>
          <w:color w:val="000000"/>
        </w:rPr>
        <w:t xml:space="preserve">passenger transport </w:t>
      </w:r>
      <w:r w:rsidR="00316AE1">
        <w:rPr>
          <w:rFonts w:eastAsia="Calibri"/>
          <w:bCs/>
          <w:color w:val="000000"/>
        </w:rPr>
        <w:t>volume</w:t>
      </w:r>
      <w:r w:rsidR="00647C1B" w:rsidRPr="007777E2">
        <w:rPr>
          <w:rFonts w:eastAsia="Calibri"/>
          <w:bCs/>
          <w:color w:val="000000"/>
        </w:rPr>
        <w:t xml:space="preserve"> (as measured in passenger-kilometers)</w:t>
      </w:r>
      <w:r w:rsidRPr="007777E2">
        <w:rPr>
          <w:rFonts w:eastAsia="Calibri"/>
          <w:bCs/>
          <w:color w:val="000000"/>
        </w:rPr>
        <w:t xml:space="preserve">. </w:t>
      </w:r>
      <w:fldSimple w:instr=" REF _Ref257125542 \h  \* MERGEFORMAT ">
        <w:r w:rsidR="00E85C5F" w:rsidRPr="00E85C5F">
          <w:t xml:space="preserve">Figure </w:t>
        </w:r>
        <w:r w:rsidR="00E85C5F" w:rsidRPr="00E85C5F">
          <w:rPr>
            <w:noProof/>
          </w:rPr>
          <w:t>15</w:t>
        </w:r>
      </w:fldSimple>
      <w:r w:rsidRPr="007777E2">
        <w:rPr>
          <w:rFonts w:eastAsia="Calibri"/>
          <w:bCs/>
          <w:color w:val="000000"/>
        </w:rPr>
        <w:t xml:space="preserve"> presents the evolution of passenger railway transport in Belarus for various types of services. </w:t>
      </w:r>
      <w:r w:rsidR="000C2C0F" w:rsidRPr="007777E2">
        <w:rPr>
          <w:rFonts w:eastAsia="Calibri"/>
          <w:bCs/>
          <w:color w:val="000000"/>
        </w:rPr>
        <w:t>The d</w:t>
      </w:r>
      <w:r w:rsidRPr="007777E2">
        <w:rPr>
          <w:rFonts w:eastAsia="Calibri"/>
          <w:bCs/>
          <w:color w:val="000000"/>
        </w:rPr>
        <w:t>ata show</w:t>
      </w:r>
      <w:r w:rsidR="000C2C0F" w:rsidRPr="007777E2">
        <w:rPr>
          <w:rFonts w:eastAsia="Calibri"/>
          <w:bCs/>
          <w:color w:val="000000"/>
        </w:rPr>
        <w:t>s</w:t>
      </w:r>
      <w:r w:rsidRPr="007777E2">
        <w:rPr>
          <w:rFonts w:eastAsia="Calibri"/>
          <w:bCs/>
          <w:color w:val="000000"/>
        </w:rPr>
        <w:t xml:space="preserve"> that the traffic for international and domestic long distance is almost the same, but that suburban traffic has dramatically</w:t>
      </w:r>
      <w:r w:rsidR="000C2C0F" w:rsidRPr="007777E2">
        <w:rPr>
          <w:rFonts w:eastAsia="Calibri"/>
          <w:bCs/>
          <w:color w:val="000000"/>
        </w:rPr>
        <w:t xml:space="preserve"> decreased</w:t>
      </w:r>
      <w:r w:rsidRPr="007777E2">
        <w:rPr>
          <w:rFonts w:eastAsia="Calibri"/>
          <w:bCs/>
          <w:color w:val="000000"/>
        </w:rPr>
        <w:t>. This is probably due to increased levels of motorization</w:t>
      </w:r>
      <w:r w:rsidR="00647C1B" w:rsidRPr="007777E2">
        <w:rPr>
          <w:rFonts w:eastAsia="Calibri"/>
          <w:bCs/>
          <w:color w:val="000000"/>
        </w:rPr>
        <w:t xml:space="preserve"> and private car ownership</w:t>
      </w:r>
      <w:r w:rsidRPr="007777E2">
        <w:rPr>
          <w:rFonts w:eastAsia="Calibri"/>
          <w:bCs/>
          <w:color w:val="000000"/>
        </w:rPr>
        <w:t>, and it will be very difficult to recapture this lost railway traffic.</w:t>
      </w:r>
    </w:p>
    <w:p w:rsidR="003523AE" w:rsidRPr="003523AE" w:rsidRDefault="003523AE" w:rsidP="003523AE">
      <w:pPr>
        <w:tabs>
          <w:tab w:val="num" w:pos="3420"/>
        </w:tabs>
        <w:spacing w:after="120"/>
        <w:jc w:val="both"/>
      </w:pPr>
    </w:p>
    <w:p w:rsidR="003523AE" w:rsidRPr="007777E2" w:rsidRDefault="003523AE" w:rsidP="003523AE">
      <w:pPr>
        <w:tabs>
          <w:tab w:val="num" w:pos="3420"/>
        </w:tabs>
        <w:spacing w:after="120"/>
        <w:ind w:left="360"/>
        <w:jc w:val="both"/>
      </w:pPr>
    </w:p>
    <w:tbl>
      <w:tblPr>
        <w:tblStyle w:val="TableGrid"/>
        <w:tblW w:w="0" w:type="auto"/>
        <w:jc w:val="center"/>
        <w:tblLayout w:type="fixed"/>
        <w:tblLook w:val="04A0"/>
      </w:tblPr>
      <w:tblGrid>
        <w:gridCol w:w="5195"/>
      </w:tblGrid>
      <w:tr w:rsidR="00BB5EFD" w:rsidRPr="007777E2" w:rsidTr="00E5735A">
        <w:trPr>
          <w:trHeight w:val="4805"/>
          <w:jc w:val="center"/>
        </w:trPr>
        <w:tc>
          <w:tcPr>
            <w:tcW w:w="5195" w:type="dxa"/>
          </w:tcPr>
          <w:p w:rsidR="00BB5EFD" w:rsidRPr="007777E2" w:rsidRDefault="00BB5EFD" w:rsidP="0049692A">
            <w:pPr>
              <w:pStyle w:val="Caption"/>
              <w:rPr>
                <w:color w:val="auto"/>
                <w:sz w:val="22"/>
                <w:szCs w:val="22"/>
              </w:rPr>
            </w:pPr>
            <w:bookmarkStart w:id="118" w:name="_Ref257125542"/>
            <w:bookmarkStart w:id="119" w:name="_Toc264226772"/>
            <w:r w:rsidRPr="007777E2">
              <w:rPr>
                <w:color w:val="auto"/>
                <w:sz w:val="22"/>
                <w:szCs w:val="22"/>
              </w:rPr>
              <w:t xml:space="preserve">Figure </w:t>
            </w:r>
            <w:r w:rsidR="006B40AE" w:rsidRPr="007777E2">
              <w:rPr>
                <w:color w:val="auto"/>
                <w:sz w:val="22"/>
                <w:szCs w:val="22"/>
              </w:rPr>
              <w:fldChar w:fldCharType="begin"/>
            </w:r>
            <w:r w:rsidR="00B9265B" w:rsidRPr="007777E2">
              <w:rPr>
                <w:color w:val="auto"/>
                <w:sz w:val="22"/>
                <w:szCs w:val="22"/>
              </w:rPr>
              <w:instrText xml:space="preserve"> SEQ Figure \* ARABIC </w:instrText>
            </w:r>
            <w:r w:rsidR="006B40AE" w:rsidRPr="007777E2">
              <w:rPr>
                <w:color w:val="auto"/>
                <w:sz w:val="22"/>
                <w:szCs w:val="22"/>
              </w:rPr>
              <w:fldChar w:fldCharType="separate"/>
            </w:r>
            <w:r w:rsidR="009E2C86">
              <w:rPr>
                <w:noProof/>
                <w:color w:val="auto"/>
                <w:sz w:val="22"/>
                <w:szCs w:val="22"/>
              </w:rPr>
              <w:t>15</w:t>
            </w:r>
            <w:r w:rsidR="006B40AE" w:rsidRPr="007777E2">
              <w:rPr>
                <w:color w:val="auto"/>
                <w:sz w:val="22"/>
                <w:szCs w:val="22"/>
              </w:rPr>
              <w:fldChar w:fldCharType="end"/>
            </w:r>
            <w:bookmarkEnd w:id="118"/>
            <w:r w:rsidRPr="007777E2">
              <w:rPr>
                <w:color w:val="auto"/>
                <w:sz w:val="22"/>
                <w:szCs w:val="22"/>
              </w:rPr>
              <w:t>. Belarusian Railways: Evolution of Passenger Transport Services 2000-2008 (million passenger-km)</w:t>
            </w:r>
            <w:r w:rsidRPr="007777E2">
              <w:t xml:space="preserve"> </w:t>
            </w:r>
            <w:r w:rsidRPr="007777E2">
              <w:rPr>
                <w:noProof/>
              </w:rPr>
              <w:drawing>
                <wp:inline distT="0" distB="0" distL="0" distR="0">
                  <wp:extent cx="2990850" cy="2247900"/>
                  <wp:effectExtent l="19050" t="0" r="0" b="0"/>
                  <wp:docPr id="52"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bookmarkEnd w:id="119"/>
          </w:p>
          <w:p w:rsidR="00BB5EFD" w:rsidRPr="007777E2" w:rsidRDefault="00BB5EFD" w:rsidP="00CB644F">
            <w:pPr>
              <w:tabs>
                <w:tab w:val="num" w:pos="3420"/>
              </w:tabs>
              <w:spacing w:after="120"/>
              <w:jc w:val="both"/>
            </w:pPr>
            <w:r w:rsidRPr="007777E2">
              <w:rPr>
                <w:sz w:val="18"/>
                <w:szCs w:val="18"/>
              </w:rPr>
              <w:t>Source: Reported data by Belarusian Railways.</w:t>
            </w:r>
          </w:p>
        </w:tc>
      </w:tr>
    </w:tbl>
    <w:p w:rsidR="005321EE" w:rsidRDefault="005321EE" w:rsidP="00CB644F">
      <w:pPr>
        <w:tabs>
          <w:tab w:val="num" w:pos="3420"/>
        </w:tabs>
        <w:spacing w:after="120"/>
        <w:jc w:val="both"/>
      </w:pPr>
    </w:p>
    <w:p w:rsidR="003523AE" w:rsidRDefault="003523AE" w:rsidP="00BE35AE">
      <w:pPr>
        <w:numPr>
          <w:ilvl w:val="0"/>
          <w:numId w:val="2"/>
        </w:numPr>
        <w:tabs>
          <w:tab w:val="num" w:pos="3420"/>
        </w:tabs>
        <w:spacing w:after="120"/>
        <w:ind w:left="0" w:firstLine="0"/>
        <w:jc w:val="both"/>
      </w:pPr>
      <w:r>
        <w:rPr>
          <w:b/>
        </w:rPr>
        <w:t xml:space="preserve">The global economic crisis had </w:t>
      </w:r>
      <w:r w:rsidR="00316AE1">
        <w:rPr>
          <w:b/>
        </w:rPr>
        <w:t xml:space="preserve">a </w:t>
      </w:r>
      <w:r>
        <w:rPr>
          <w:b/>
        </w:rPr>
        <w:t xml:space="preserve">serious impact on railways transport volumes. </w:t>
      </w:r>
      <w:r>
        <w:t>In 2009, Belarusian Railway lost significant volumes of freight and passengers</w:t>
      </w:r>
      <w:r w:rsidR="00316AE1">
        <w:t>,</w:t>
      </w:r>
      <w:r>
        <w:t xml:space="preserve"> as shown in </w:t>
      </w:r>
      <w:fldSimple w:instr=" REF _Ref262481429 \h  \* MERGEFORMAT ">
        <w:r w:rsidR="00E85C5F" w:rsidRPr="00E85C5F">
          <w:t xml:space="preserve">Figure </w:t>
        </w:r>
        <w:r w:rsidR="00E85C5F" w:rsidRPr="00E85C5F">
          <w:rPr>
            <w:noProof/>
          </w:rPr>
          <w:t>16</w:t>
        </w:r>
      </w:fldSimple>
      <w:r w:rsidR="00402159" w:rsidRPr="00402159">
        <w:t xml:space="preserve"> and </w:t>
      </w:r>
      <w:fldSimple w:instr=" REF _Ref262481432 \h  \* MERGEFORMAT ">
        <w:r w:rsidR="00E85C5F" w:rsidRPr="00E85C5F">
          <w:t xml:space="preserve">Figure </w:t>
        </w:r>
        <w:r w:rsidR="00E85C5F" w:rsidRPr="00E85C5F">
          <w:rPr>
            <w:noProof/>
          </w:rPr>
          <w:t>17</w:t>
        </w:r>
      </w:fldSimple>
      <w:r w:rsidR="00402159">
        <w:t>.</w:t>
      </w:r>
      <w:r>
        <w:t xml:space="preserve"> The total volume of passenger-km transported in 2009 was 7</w:t>
      </w:r>
      <w:r w:rsidR="00497AE0">
        <w:t>, 4</w:t>
      </w:r>
      <w:r>
        <w:t xml:space="preserve">00.9 million, representing 90.4 percent of the traffic of 2008. It confirms the trend of the last decade of continuous loss of volumes of transport for railway. </w:t>
      </w:r>
      <w:r w:rsidR="00316AE1">
        <w:t xml:space="preserve">The situation is similar for </w:t>
      </w:r>
      <w:r>
        <w:t xml:space="preserve">freight volumes; the total volume of tons-km realized in 2009 by Belarusian Railways was 42,741.6 million, representing </w:t>
      </w:r>
      <w:r w:rsidR="00316AE1">
        <w:t xml:space="preserve">only </w:t>
      </w:r>
      <w:r>
        <w:t>87.2 percent of the traffic of previous years; it is the first year in the decade w</w:t>
      </w:r>
      <w:r w:rsidR="00316AE1">
        <w:t xml:space="preserve">ith a negative growth rate. </w:t>
      </w:r>
      <w:r>
        <w:t xml:space="preserve"> </w:t>
      </w:r>
    </w:p>
    <w:p w:rsidR="0093491D" w:rsidRPr="003523AE" w:rsidRDefault="0093491D" w:rsidP="0093491D">
      <w:pPr>
        <w:tabs>
          <w:tab w:val="num" w:pos="3420"/>
        </w:tabs>
        <w:spacing w:after="120"/>
        <w:jc w:val="both"/>
      </w:pPr>
    </w:p>
    <w:tbl>
      <w:tblPr>
        <w:tblStyle w:val="TableGrid"/>
        <w:tblW w:w="0" w:type="auto"/>
        <w:tblLook w:val="04A0"/>
      </w:tblPr>
      <w:tblGrid>
        <w:gridCol w:w="4726"/>
        <w:gridCol w:w="4850"/>
      </w:tblGrid>
      <w:tr w:rsidR="00402159" w:rsidTr="00CA4EA8">
        <w:tc>
          <w:tcPr>
            <w:tcW w:w="4726" w:type="dxa"/>
          </w:tcPr>
          <w:p w:rsidR="00402159" w:rsidRPr="003523AE" w:rsidRDefault="00402159" w:rsidP="003523AE">
            <w:pPr>
              <w:pStyle w:val="Caption"/>
              <w:rPr>
                <w:bCs w:val="0"/>
                <w:color w:val="auto"/>
                <w:sz w:val="22"/>
                <w:szCs w:val="22"/>
              </w:rPr>
            </w:pPr>
            <w:bookmarkStart w:id="120" w:name="_Ref262481429"/>
            <w:bookmarkStart w:id="121" w:name="_Toc264226773"/>
            <w:r w:rsidRPr="003523AE">
              <w:rPr>
                <w:color w:val="auto"/>
                <w:sz w:val="22"/>
                <w:szCs w:val="22"/>
              </w:rPr>
              <w:t xml:space="preserve">Figure </w:t>
            </w:r>
            <w:r w:rsidR="006B40AE" w:rsidRPr="003523AE">
              <w:rPr>
                <w:color w:val="auto"/>
                <w:sz w:val="22"/>
                <w:szCs w:val="22"/>
              </w:rPr>
              <w:fldChar w:fldCharType="begin"/>
            </w:r>
            <w:r w:rsidRPr="003523AE">
              <w:rPr>
                <w:color w:val="auto"/>
                <w:sz w:val="22"/>
                <w:szCs w:val="22"/>
              </w:rPr>
              <w:instrText xml:space="preserve"> SEQ Figure \* ARABIC </w:instrText>
            </w:r>
            <w:r w:rsidR="006B40AE" w:rsidRPr="003523AE">
              <w:rPr>
                <w:color w:val="auto"/>
                <w:sz w:val="22"/>
                <w:szCs w:val="22"/>
              </w:rPr>
              <w:fldChar w:fldCharType="separate"/>
            </w:r>
            <w:r w:rsidR="009E2C86">
              <w:rPr>
                <w:noProof/>
                <w:color w:val="auto"/>
                <w:sz w:val="22"/>
                <w:szCs w:val="22"/>
              </w:rPr>
              <w:t>16</w:t>
            </w:r>
            <w:r w:rsidR="006B40AE" w:rsidRPr="003523AE">
              <w:rPr>
                <w:color w:val="auto"/>
                <w:sz w:val="22"/>
                <w:szCs w:val="22"/>
              </w:rPr>
              <w:fldChar w:fldCharType="end"/>
            </w:r>
            <w:bookmarkEnd w:id="120"/>
            <w:r>
              <w:rPr>
                <w:color w:val="auto"/>
                <w:sz w:val="22"/>
                <w:szCs w:val="22"/>
              </w:rPr>
              <w:t>. Evolution of volumes of railway passenger traffic (2000-2009)</w:t>
            </w:r>
            <w:bookmarkEnd w:id="121"/>
          </w:p>
          <w:p w:rsidR="00402159" w:rsidRDefault="00402159" w:rsidP="003523AE">
            <w:pPr>
              <w:keepNext/>
              <w:tabs>
                <w:tab w:val="num" w:pos="3420"/>
              </w:tabs>
              <w:spacing w:after="120"/>
              <w:jc w:val="both"/>
            </w:pPr>
            <w:r w:rsidRPr="008C63A4">
              <w:rPr>
                <w:noProof/>
              </w:rPr>
              <w:drawing>
                <wp:inline distT="0" distB="0" distL="0" distR="0">
                  <wp:extent cx="2905125" cy="2171700"/>
                  <wp:effectExtent l="0" t="0" r="0"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402159" w:rsidRDefault="00402159" w:rsidP="00402159">
            <w:pPr>
              <w:keepNext/>
              <w:tabs>
                <w:tab w:val="num" w:pos="3420"/>
              </w:tabs>
              <w:spacing w:after="120"/>
              <w:jc w:val="both"/>
            </w:pPr>
            <w:r w:rsidRPr="007777E2">
              <w:rPr>
                <w:sz w:val="18"/>
                <w:szCs w:val="18"/>
              </w:rPr>
              <w:t xml:space="preserve">Source: </w:t>
            </w:r>
            <w:r>
              <w:rPr>
                <w:sz w:val="18"/>
                <w:szCs w:val="18"/>
              </w:rPr>
              <w:t>Transport Statistics Belarus, 2010</w:t>
            </w:r>
            <w:r w:rsidRPr="007777E2">
              <w:rPr>
                <w:sz w:val="18"/>
                <w:szCs w:val="18"/>
              </w:rPr>
              <w:t>.</w:t>
            </w:r>
          </w:p>
        </w:tc>
        <w:tc>
          <w:tcPr>
            <w:tcW w:w="4850" w:type="dxa"/>
          </w:tcPr>
          <w:p w:rsidR="00402159" w:rsidRDefault="00402159" w:rsidP="00402159">
            <w:pPr>
              <w:pStyle w:val="Caption"/>
              <w:rPr>
                <w:color w:val="auto"/>
                <w:sz w:val="22"/>
                <w:szCs w:val="22"/>
              </w:rPr>
            </w:pPr>
            <w:bookmarkStart w:id="122" w:name="_Ref262481432"/>
            <w:bookmarkStart w:id="123" w:name="_Toc264226774"/>
            <w:r w:rsidRPr="00402159">
              <w:rPr>
                <w:color w:val="auto"/>
                <w:sz w:val="22"/>
                <w:szCs w:val="22"/>
              </w:rPr>
              <w:t xml:space="preserve">Figure </w:t>
            </w:r>
            <w:r w:rsidR="006B40AE" w:rsidRPr="00402159">
              <w:rPr>
                <w:color w:val="auto"/>
                <w:sz w:val="22"/>
                <w:szCs w:val="22"/>
              </w:rPr>
              <w:fldChar w:fldCharType="begin"/>
            </w:r>
            <w:r w:rsidRPr="00402159">
              <w:rPr>
                <w:color w:val="auto"/>
                <w:sz w:val="22"/>
                <w:szCs w:val="22"/>
              </w:rPr>
              <w:instrText xml:space="preserve"> SEQ Figure \* ARABIC </w:instrText>
            </w:r>
            <w:r w:rsidR="006B40AE" w:rsidRPr="00402159">
              <w:rPr>
                <w:color w:val="auto"/>
                <w:sz w:val="22"/>
                <w:szCs w:val="22"/>
              </w:rPr>
              <w:fldChar w:fldCharType="separate"/>
            </w:r>
            <w:r w:rsidR="009E2C86">
              <w:rPr>
                <w:noProof/>
                <w:color w:val="auto"/>
                <w:sz w:val="22"/>
                <w:szCs w:val="22"/>
              </w:rPr>
              <w:t>17</w:t>
            </w:r>
            <w:r w:rsidR="006B40AE" w:rsidRPr="00402159">
              <w:rPr>
                <w:color w:val="auto"/>
                <w:sz w:val="22"/>
                <w:szCs w:val="22"/>
              </w:rPr>
              <w:fldChar w:fldCharType="end"/>
            </w:r>
            <w:bookmarkEnd w:id="122"/>
            <w:r>
              <w:rPr>
                <w:color w:val="auto"/>
                <w:sz w:val="22"/>
                <w:szCs w:val="22"/>
              </w:rPr>
              <w:t>. Evolution of volumes of railway freight traffic (2000-2009)</w:t>
            </w:r>
            <w:bookmarkEnd w:id="123"/>
          </w:p>
          <w:p w:rsidR="00402159" w:rsidRDefault="00402159" w:rsidP="00402159">
            <w:pPr>
              <w:pStyle w:val="Caption"/>
              <w:keepNext/>
              <w:rPr>
                <w:color w:val="auto"/>
                <w:sz w:val="22"/>
                <w:szCs w:val="22"/>
              </w:rPr>
            </w:pPr>
            <w:r w:rsidRPr="00402159">
              <w:rPr>
                <w:noProof/>
                <w:color w:val="auto"/>
                <w:sz w:val="22"/>
                <w:szCs w:val="22"/>
              </w:rPr>
              <w:drawing>
                <wp:inline distT="0" distB="0" distL="0" distR="0">
                  <wp:extent cx="2984601" cy="2084832"/>
                  <wp:effectExtent l="0" t="0" r="0" b="0"/>
                  <wp:docPr id="2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402159" w:rsidRPr="00402159" w:rsidRDefault="00402159" w:rsidP="00402159">
            <w:r w:rsidRPr="007777E2">
              <w:rPr>
                <w:sz w:val="18"/>
                <w:szCs w:val="18"/>
              </w:rPr>
              <w:t xml:space="preserve">Source: </w:t>
            </w:r>
            <w:r>
              <w:rPr>
                <w:sz w:val="18"/>
                <w:szCs w:val="18"/>
              </w:rPr>
              <w:t>Transport Statistics Belarus, 2010</w:t>
            </w:r>
            <w:r w:rsidRPr="007777E2">
              <w:rPr>
                <w:sz w:val="18"/>
                <w:szCs w:val="18"/>
              </w:rPr>
              <w:t>.</w:t>
            </w:r>
          </w:p>
        </w:tc>
      </w:tr>
    </w:tbl>
    <w:p w:rsidR="00CA4EA8" w:rsidRPr="007777E2" w:rsidRDefault="00CA4EA8" w:rsidP="00CA4EA8">
      <w:pPr>
        <w:pStyle w:val="Heading3"/>
        <w:spacing w:after="240"/>
      </w:pPr>
      <w:bookmarkStart w:id="124" w:name="_Toc282029940"/>
      <w:r>
        <w:rPr>
          <w:rFonts w:ascii="Times New Roman" w:hAnsi="Times New Roman" w:cs="Times New Roman"/>
          <w:sz w:val="24"/>
          <w:szCs w:val="24"/>
        </w:rPr>
        <w:lastRenderedPageBreak/>
        <w:t>Freight Traffic Forecast</w:t>
      </w:r>
      <w:r w:rsidR="006C131E">
        <w:rPr>
          <w:rFonts w:ascii="Times New Roman" w:hAnsi="Times New Roman" w:cs="Times New Roman"/>
          <w:sz w:val="24"/>
          <w:szCs w:val="24"/>
        </w:rPr>
        <w:t xml:space="preserve"> (estimates)</w:t>
      </w:r>
      <w:bookmarkEnd w:id="124"/>
    </w:p>
    <w:p w:rsidR="00E85C5F" w:rsidRDefault="008709CD">
      <w:pPr>
        <w:numPr>
          <w:ilvl w:val="0"/>
          <w:numId w:val="2"/>
        </w:numPr>
        <w:tabs>
          <w:tab w:val="num" w:pos="3420"/>
        </w:tabs>
        <w:spacing w:after="120"/>
        <w:ind w:left="0" w:firstLine="0"/>
        <w:jc w:val="both"/>
      </w:pPr>
      <w:r w:rsidRPr="006C131E">
        <w:rPr>
          <w:b/>
        </w:rPr>
        <w:t xml:space="preserve">The baseline freight traffic forecast assumes the relatively swift recovery of the Russian economy from the economic crisis and is based on a 4 percent annual transport growth during 2011-2015 and 6 percent annual growth in 2016-2020. </w:t>
      </w:r>
      <w:r w:rsidR="004F46C8" w:rsidRPr="004F46C8">
        <w:rPr>
          <w:b/>
        </w:rPr>
        <w:t xml:space="preserve"> </w:t>
      </w:r>
      <w:r w:rsidR="004F46C8">
        <w:t xml:space="preserve">The upside potential may be reached with higher than conservatively expected Russian GDP growth, as well as higher service level in the Poland-Belarus-Russia transport corridor (e.g., </w:t>
      </w:r>
      <w:proofErr w:type="spellStart"/>
      <w:r w:rsidR="004F46C8">
        <w:t>Lautso</w:t>
      </w:r>
      <w:proofErr w:type="spellEnd"/>
      <w:r w:rsidR="004F46C8">
        <w:t xml:space="preserve"> 2007).  For future domestic freight volume, 2009 estimates are based on </w:t>
      </w:r>
      <w:proofErr w:type="spellStart"/>
      <w:r w:rsidR="004F46C8">
        <w:t>MoTC</w:t>
      </w:r>
      <w:proofErr w:type="spellEnd"/>
      <w:r w:rsidR="004F46C8">
        <w:t xml:space="preserve"> figures for road and the authors' own for rail. While in 2009 domestic road transport volume growth only slowed, the assumption is a 10 percent drop in rail freight volumes, due to the economic crisis. In 2010 for both road and rail, a 2 percent recovery is projected. Long-term forecasts are given separately for road and rail (the majority of Belarus freight turnover) freight transport volumes in the domestic, export, import, and transit categories. In the forecasts, no significant changes in modal split are assumed, although, for example, the use of road transport will grow more rapidly for imports. Also no major changes in international trade patterns of Belarus are projected to 2020 (see Annex 2).</w:t>
      </w:r>
    </w:p>
    <w:p w:rsidR="008709CD" w:rsidRPr="007777E2" w:rsidRDefault="008709CD" w:rsidP="006C131E">
      <w:pPr>
        <w:numPr>
          <w:ilvl w:val="0"/>
          <w:numId w:val="2"/>
        </w:numPr>
        <w:tabs>
          <w:tab w:val="num" w:pos="3420"/>
        </w:tabs>
        <w:spacing w:after="120"/>
        <w:ind w:left="0" w:firstLine="0"/>
        <w:jc w:val="both"/>
      </w:pPr>
      <w:r w:rsidRPr="006C131E">
        <w:rPr>
          <w:b/>
        </w:rPr>
        <w:t>According to estimates based on data from other countries around the Baltic Sea, 50 to 60 percent of road-based transit volumes (measured per ton) to and from Northwestern Russia go through Belarus.</w:t>
      </w:r>
      <w:r>
        <w:t xml:space="preserve"> Due to the already high market share, a rapid increase of volumes, at least in the short term, is less likely than a possible decrease. Shift of transit volumes to alternative routes due to low service level are not impossible, as for example in Finland where a 16 day long strike in March 2010 caused immediate shift of some of the Russia-bound shipments from Finnish ports directly to </w:t>
      </w:r>
      <w:proofErr w:type="spellStart"/>
      <w:r>
        <w:t>e.g</w:t>
      </w:r>
      <w:proofErr w:type="spellEnd"/>
      <w:r>
        <w:t xml:space="preserve"> Russian ports (St. Petersburg). Finnish logistics and port operators fear that to some degree this shift may have been permanent</w:t>
      </w:r>
    </w:p>
    <w:p w:rsidR="006C131E" w:rsidRDefault="006C131E" w:rsidP="006C131E">
      <w:pPr>
        <w:numPr>
          <w:ilvl w:val="0"/>
          <w:numId w:val="2"/>
        </w:numPr>
        <w:tabs>
          <w:tab w:val="num" w:pos="3420"/>
        </w:tabs>
        <w:spacing w:after="120"/>
        <w:ind w:left="0" w:firstLine="0"/>
        <w:jc w:val="both"/>
      </w:pPr>
      <w:r w:rsidRPr="006C131E">
        <w:rPr>
          <w:b/>
        </w:rPr>
        <w:t>For rail transit, the reports’ estimates demonstrate more moderate dynamics, due to the nature of products transported</w:t>
      </w:r>
      <w:r>
        <w:t>. The products are less</w:t>
      </w:r>
      <w:r w:rsidRPr="007777E2">
        <w:t xml:space="preserve"> sensitive to friction in border crossings and less prone to move elsewhere. The baseline assumes a 20 percent decrease in 2009, no growth in 2010, 4 percent annual growth during 2011-2015, and 6 percent annual growth in 2016-2020. Both upside and downside depend on the performance of the Russian and EU economies. </w:t>
      </w:r>
    </w:p>
    <w:p w:rsidR="00CB644F" w:rsidRPr="007777E2" w:rsidRDefault="00CB644F" w:rsidP="00CB644F">
      <w:pPr>
        <w:pStyle w:val="Heading3"/>
        <w:spacing w:after="240"/>
      </w:pPr>
      <w:bookmarkStart w:id="125" w:name="_Toc282029941"/>
      <w:r w:rsidRPr="007777E2">
        <w:rPr>
          <w:rFonts w:ascii="Times New Roman" w:hAnsi="Times New Roman" w:cs="Times New Roman"/>
          <w:sz w:val="24"/>
          <w:szCs w:val="24"/>
        </w:rPr>
        <w:t>State of the Market for Transport Services</w:t>
      </w:r>
      <w:bookmarkEnd w:id="125"/>
    </w:p>
    <w:p w:rsidR="00135E44" w:rsidRPr="007777E2" w:rsidRDefault="00316AE1" w:rsidP="00BE35AE">
      <w:pPr>
        <w:numPr>
          <w:ilvl w:val="0"/>
          <w:numId w:val="2"/>
        </w:numPr>
        <w:tabs>
          <w:tab w:val="num" w:pos="3420"/>
        </w:tabs>
        <w:spacing w:after="120"/>
        <w:ind w:left="0" w:firstLine="0"/>
        <w:jc w:val="both"/>
      </w:pPr>
      <w:r>
        <w:rPr>
          <w:b/>
        </w:rPr>
        <w:t>T</w:t>
      </w:r>
      <w:r w:rsidR="00135E44" w:rsidRPr="007777E2">
        <w:rPr>
          <w:b/>
        </w:rPr>
        <w:t>he market for transport</w:t>
      </w:r>
      <w:r w:rsidR="00CD2A2D" w:rsidRPr="007777E2">
        <w:rPr>
          <w:b/>
        </w:rPr>
        <w:t xml:space="preserve"> services</w:t>
      </w:r>
      <w:r w:rsidR="00135E44" w:rsidRPr="007777E2">
        <w:rPr>
          <w:b/>
        </w:rPr>
        <w:t>, as well as for advanced logistics services, is not highly developed in Belarus</w:t>
      </w:r>
      <w:r w:rsidR="00135E44" w:rsidRPr="007777E2">
        <w:t xml:space="preserve"> </w:t>
      </w:r>
      <w:r w:rsidR="00135E44" w:rsidRPr="007777E2">
        <w:rPr>
          <w:b/>
        </w:rPr>
        <w:t xml:space="preserve">due to constraints in </w:t>
      </w:r>
      <w:r w:rsidR="00CD2A2D" w:rsidRPr="007777E2">
        <w:rPr>
          <w:b/>
        </w:rPr>
        <w:t xml:space="preserve">both </w:t>
      </w:r>
      <w:r w:rsidR="00135E44" w:rsidRPr="007777E2">
        <w:rPr>
          <w:b/>
        </w:rPr>
        <w:t>supply and demand</w:t>
      </w:r>
      <w:r w:rsidR="00135E44" w:rsidRPr="007777E2">
        <w:t xml:space="preserve">. </w:t>
      </w:r>
      <w:r w:rsidR="00CD2A2D" w:rsidRPr="007777E2">
        <w:t>More d</w:t>
      </w:r>
      <w:r w:rsidR="00135E44" w:rsidRPr="007777E2">
        <w:t xml:space="preserve">omestic demand for logistics services, or alternatively FDI by global logistics companies, would </w:t>
      </w:r>
      <w:r w:rsidR="00CD2A2D" w:rsidRPr="007777E2">
        <w:t xml:space="preserve">most probably </w:t>
      </w:r>
      <w:r w:rsidR="00135E44" w:rsidRPr="007777E2">
        <w:t xml:space="preserve">enhance </w:t>
      </w:r>
      <w:r w:rsidR="00CD2A2D" w:rsidRPr="007777E2">
        <w:t>the development of logistics ser</w:t>
      </w:r>
      <w:r w:rsidR="00434074">
        <w:t>v</w:t>
      </w:r>
      <w:r w:rsidR="00CD2A2D" w:rsidRPr="007777E2">
        <w:t>i</w:t>
      </w:r>
      <w:r w:rsidR="00434074">
        <w:t>c</w:t>
      </w:r>
      <w:r w:rsidR="00CD2A2D" w:rsidRPr="007777E2">
        <w:t xml:space="preserve">es in Belarus. This in turn would be crucial for </w:t>
      </w:r>
      <w:r w:rsidR="00135E44" w:rsidRPr="007777E2">
        <w:t xml:space="preserve">offering </w:t>
      </w:r>
      <w:r w:rsidR="00CD2A2D" w:rsidRPr="007777E2">
        <w:t xml:space="preserve">high-quality </w:t>
      </w:r>
      <w:r w:rsidR="00135E44" w:rsidRPr="007777E2">
        <w:t xml:space="preserve">logistics services to foreign manufacturing and trade companies and </w:t>
      </w:r>
      <w:r w:rsidR="00CD2A2D" w:rsidRPr="007777E2">
        <w:t>enable the expansion of the Belarusian role as a transit country beyond the traffic to Russia which now accounts for the vast majority of transit traffic through Belarus</w:t>
      </w:r>
      <w:r w:rsidR="00135E44" w:rsidRPr="007777E2">
        <w:t xml:space="preserve">.  </w:t>
      </w:r>
    </w:p>
    <w:p w:rsidR="00135E44" w:rsidRPr="007777E2" w:rsidRDefault="00135E44" w:rsidP="00BE35AE">
      <w:pPr>
        <w:numPr>
          <w:ilvl w:val="0"/>
          <w:numId w:val="2"/>
        </w:numPr>
        <w:tabs>
          <w:tab w:val="num" w:pos="3420"/>
        </w:tabs>
        <w:spacing w:after="120"/>
        <w:ind w:left="0" w:firstLine="0"/>
        <w:jc w:val="both"/>
      </w:pPr>
      <w:r w:rsidRPr="007777E2">
        <w:rPr>
          <w:b/>
        </w:rPr>
        <w:t xml:space="preserve">The supply of scheduled international and domestic </w:t>
      </w:r>
      <w:proofErr w:type="spellStart"/>
      <w:r w:rsidRPr="007777E2">
        <w:rPr>
          <w:b/>
        </w:rPr>
        <w:t>groupage</w:t>
      </w:r>
      <w:proofErr w:type="spellEnd"/>
      <w:r w:rsidRPr="007777E2">
        <w:rPr>
          <w:b/>
        </w:rPr>
        <w:t xml:space="preserve"> (consolidated LTL) cargo services is scarce in Belarus</w:t>
      </w:r>
      <w:r w:rsidRPr="007777E2">
        <w:t xml:space="preserve">. Large </w:t>
      </w:r>
      <w:r w:rsidR="00CD2A2D" w:rsidRPr="007777E2">
        <w:t xml:space="preserve">manufacturing and trade </w:t>
      </w:r>
      <w:r w:rsidRPr="007777E2">
        <w:t>companies have mostly in-hous</w:t>
      </w:r>
      <w:r w:rsidR="00FC3C68" w:rsidRPr="007777E2">
        <w:t>e domestic truck fleets, while full truck load (FTL)</w:t>
      </w:r>
      <w:r w:rsidRPr="007777E2">
        <w:t xml:space="preserve"> to foreign destinations </w:t>
      </w:r>
      <w:r w:rsidR="00CD2A2D" w:rsidRPr="007777E2">
        <w:t xml:space="preserve">are usually </w:t>
      </w:r>
      <w:r w:rsidRPr="007777E2">
        <w:t xml:space="preserve">outsourced. According to industry representatives, the demand for </w:t>
      </w:r>
      <w:r w:rsidR="00FC3C68" w:rsidRPr="007777E2">
        <w:t>less-than</w:t>
      </w:r>
      <w:r w:rsidR="00856CCE">
        <w:t xml:space="preserve"> </w:t>
      </w:r>
      <w:r w:rsidR="00FC3C68" w:rsidRPr="007777E2">
        <w:t>truck</w:t>
      </w:r>
      <w:r w:rsidR="00856CCE">
        <w:t xml:space="preserve"> </w:t>
      </w:r>
      <w:r w:rsidR="00FC3C68" w:rsidRPr="007777E2">
        <w:t>load (</w:t>
      </w:r>
      <w:r w:rsidRPr="007777E2">
        <w:t>LTL</w:t>
      </w:r>
      <w:r w:rsidR="00FC3C68" w:rsidRPr="007777E2">
        <w:t>)</w:t>
      </w:r>
      <w:r w:rsidRPr="007777E2">
        <w:t xml:space="preserve"> services is low. </w:t>
      </w:r>
    </w:p>
    <w:p w:rsidR="00135E44" w:rsidRPr="007777E2" w:rsidRDefault="00135E44" w:rsidP="00BE35AE">
      <w:pPr>
        <w:numPr>
          <w:ilvl w:val="0"/>
          <w:numId w:val="2"/>
        </w:numPr>
        <w:tabs>
          <w:tab w:val="num" w:pos="3420"/>
        </w:tabs>
        <w:spacing w:after="120"/>
        <w:ind w:left="0" w:firstLine="0"/>
        <w:jc w:val="both"/>
      </w:pPr>
      <w:r w:rsidRPr="007777E2">
        <w:rPr>
          <w:b/>
        </w:rPr>
        <w:lastRenderedPageBreak/>
        <w:t>Because of the very high share of in-house logistics</w:t>
      </w:r>
      <w:r w:rsidR="00CD2A2D" w:rsidRPr="007777E2">
        <w:rPr>
          <w:b/>
        </w:rPr>
        <w:t xml:space="preserve"> by manufacturers, trading firms and other shippers</w:t>
      </w:r>
      <w:r w:rsidRPr="007777E2">
        <w:rPr>
          <w:b/>
        </w:rPr>
        <w:t xml:space="preserve">, the demand for </w:t>
      </w:r>
      <w:r w:rsidR="00CD2A2D" w:rsidRPr="007777E2">
        <w:rPr>
          <w:b/>
        </w:rPr>
        <w:t xml:space="preserve">logistics </w:t>
      </w:r>
      <w:r w:rsidRPr="007777E2">
        <w:rPr>
          <w:b/>
        </w:rPr>
        <w:t>services bought from the market is still modest</w:t>
      </w:r>
      <w:r w:rsidRPr="007777E2">
        <w:t xml:space="preserve">. </w:t>
      </w:r>
      <w:r w:rsidR="00203090" w:rsidRPr="007777E2">
        <w:t xml:space="preserve">According to official statistics, in 2000-2008 only 23 to 25 percent of road freight transport was bought from the market, whereas </w:t>
      </w:r>
      <w:r w:rsidR="00CC435E" w:rsidRPr="007777E2">
        <w:t xml:space="preserve">shippers produced </w:t>
      </w:r>
      <w:r w:rsidR="00CD2A2D" w:rsidRPr="007777E2">
        <w:t>most road transport services</w:t>
      </w:r>
      <w:r w:rsidR="00203090" w:rsidRPr="007777E2">
        <w:t xml:space="preserve"> in-house. In most EU countries, the share of in-house road freight is </w:t>
      </w:r>
      <w:r w:rsidR="00CD2A2D" w:rsidRPr="007777E2">
        <w:t xml:space="preserve">typically </w:t>
      </w:r>
      <w:r w:rsidR="00203090" w:rsidRPr="007777E2">
        <w:t xml:space="preserve">less than 20 percent. </w:t>
      </w:r>
      <w:r w:rsidRPr="007777E2">
        <w:t>As a consequence</w:t>
      </w:r>
      <w:r w:rsidR="00316AE1">
        <w:t>,</w:t>
      </w:r>
      <w:r w:rsidRPr="007777E2">
        <w:t xml:space="preserve"> in Belarus the structure, capacity, and quality of logistics service provision as </w:t>
      </w:r>
      <w:r w:rsidR="00CD2A2D" w:rsidRPr="007777E2">
        <w:t>a commercial activity</w:t>
      </w:r>
      <w:r w:rsidRPr="007777E2">
        <w:t xml:space="preserve"> is still at an early stage of development. This applies to the more developed forms of </w:t>
      </w:r>
      <w:r w:rsidR="00CD2A2D" w:rsidRPr="007777E2">
        <w:t xml:space="preserve">logistics </w:t>
      </w:r>
      <w:r w:rsidRPr="007777E2">
        <w:t xml:space="preserve">service provision, in particular contract logistics and/or third-party logistics services. </w:t>
      </w:r>
    </w:p>
    <w:p w:rsidR="0012068F" w:rsidRPr="007777E2" w:rsidRDefault="0012068F">
      <w:pPr>
        <w:spacing w:after="200" w:line="276" w:lineRule="auto"/>
      </w:pPr>
      <w:r w:rsidRPr="007777E2">
        <w:br w:type="page"/>
      </w:r>
    </w:p>
    <w:p w:rsidR="0012068F" w:rsidRPr="007777E2" w:rsidRDefault="0012068F" w:rsidP="00963581">
      <w:pPr>
        <w:pStyle w:val="Heading1a"/>
      </w:pPr>
      <w:bookmarkStart w:id="126" w:name="_Toc244402526"/>
      <w:bookmarkStart w:id="127" w:name="_Toc253998908"/>
      <w:bookmarkStart w:id="128" w:name="_Toc282029942"/>
      <w:r w:rsidRPr="007777E2">
        <w:lastRenderedPageBreak/>
        <w:t>3.</w:t>
      </w:r>
      <w:r w:rsidRPr="007777E2">
        <w:tab/>
      </w:r>
      <w:bookmarkEnd w:id="126"/>
      <w:bookmarkEnd w:id="127"/>
      <w:r w:rsidRPr="007777E2">
        <w:t>Transport Sector Strateg</w:t>
      </w:r>
      <w:r w:rsidR="00621857">
        <w:t>ies</w:t>
      </w:r>
      <w:r w:rsidRPr="007777E2">
        <w:t xml:space="preserve"> and </w:t>
      </w:r>
      <w:r w:rsidR="00621857">
        <w:t>Freight Transport Forecast</w:t>
      </w:r>
      <w:bookmarkEnd w:id="128"/>
    </w:p>
    <w:p w:rsidR="00217B37" w:rsidRPr="007777E2" w:rsidRDefault="00217B37" w:rsidP="009969D5">
      <w:pPr>
        <w:jc w:val="both"/>
        <w:rPr>
          <w:b/>
        </w:rPr>
      </w:pPr>
      <w:bookmarkStart w:id="129" w:name="_Toc253998909"/>
      <w:bookmarkStart w:id="130" w:name="_Toc244402529"/>
    </w:p>
    <w:p w:rsidR="009969D5" w:rsidRPr="007777E2" w:rsidRDefault="009969D5" w:rsidP="00DB61A2">
      <w:pPr>
        <w:spacing w:before="120" w:after="120"/>
        <w:jc w:val="both"/>
      </w:pPr>
      <w:r w:rsidRPr="007777E2">
        <w:rPr>
          <w:b/>
        </w:rPr>
        <w:t>Regional Context</w:t>
      </w:r>
    </w:p>
    <w:p w:rsidR="009969D5" w:rsidRPr="007777E2" w:rsidRDefault="00217B37" w:rsidP="00A63E59">
      <w:pPr>
        <w:pStyle w:val="Style2"/>
      </w:pPr>
      <w:r w:rsidRPr="00EB4908">
        <w:t>S</w:t>
      </w:r>
      <w:r w:rsidR="009969D5" w:rsidRPr="00EB4908">
        <w:t xml:space="preserve">everal </w:t>
      </w:r>
      <w:r w:rsidR="00135E44" w:rsidRPr="00EB4908">
        <w:t xml:space="preserve">existing </w:t>
      </w:r>
      <w:r w:rsidR="009969D5" w:rsidRPr="00EB4908">
        <w:t xml:space="preserve">initiatives aim at accelerating </w:t>
      </w:r>
      <w:r w:rsidR="00CD2A2D" w:rsidRPr="00EB4908">
        <w:t xml:space="preserve">Belarus’ </w:t>
      </w:r>
      <w:r w:rsidR="009969D5" w:rsidRPr="00EB4908">
        <w:t>regional inte</w:t>
      </w:r>
      <w:r w:rsidR="00E80B4A" w:rsidRPr="00EB4908">
        <w:t>gration with other CIS countries</w:t>
      </w:r>
      <w:r w:rsidR="009969D5" w:rsidRPr="00EB4908">
        <w:t xml:space="preserve">, </w:t>
      </w:r>
      <w:r w:rsidR="00E80B4A" w:rsidRPr="00EB4908">
        <w:t>such as</w:t>
      </w:r>
      <w:r w:rsidR="009969D5" w:rsidRPr="00EB4908">
        <w:t xml:space="preserve"> </w:t>
      </w:r>
      <w:r w:rsidR="00E80B4A" w:rsidRPr="00EB4908">
        <w:t xml:space="preserve">the Customs Union with </w:t>
      </w:r>
      <w:r w:rsidR="009969D5" w:rsidRPr="00EB4908">
        <w:t>Russia and Kazakhstan</w:t>
      </w:r>
      <w:r w:rsidR="00470E4A">
        <w:t>,</w:t>
      </w:r>
      <w:r w:rsidR="00E80B4A" w:rsidRPr="00EB4908">
        <w:t xml:space="preserve"> and the Eurasian Economic Community (</w:t>
      </w:r>
      <w:proofErr w:type="spellStart"/>
      <w:r w:rsidR="00E80B4A" w:rsidRPr="00EB4908">
        <w:t>EurAsEC</w:t>
      </w:r>
      <w:proofErr w:type="spellEnd"/>
      <w:r w:rsidR="00DB61A2" w:rsidRPr="00EB4908">
        <w:t>)</w:t>
      </w:r>
      <w:r w:rsidR="00D75737" w:rsidRPr="007777E2">
        <w:t>.</w:t>
      </w:r>
      <w:r w:rsidR="00E80B4A" w:rsidRPr="005A21CD">
        <w:rPr>
          <w:rStyle w:val="FootnoteReference"/>
          <w:sz w:val="24"/>
          <w:szCs w:val="24"/>
        </w:rPr>
        <w:footnoteReference w:id="12"/>
      </w:r>
      <w:r w:rsidR="00E80B4A" w:rsidRPr="007777E2">
        <w:t xml:space="preserve"> </w:t>
      </w:r>
      <w:r w:rsidR="009969D5" w:rsidRPr="007777E2">
        <w:t xml:space="preserve"> </w:t>
      </w:r>
      <w:r w:rsidR="00E80B4A" w:rsidRPr="007777E2">
        <w:t xml:space="preserve">Founded in 2000, </w:t>
      </w:r>
      <w:proofErr w:type="spellStart"/>
      <w:r w:rsidR="00E80B4A" w:rsidRPr="007777E2">
        <w:t>EurAsEC</w:t>
      </w:r>
      <w:proofErr w:type="spellEnd"/>
      <w:r w:rsidR="00E80B4A" w:rsidRPr="007777E2">
        <w:t xml:space="preserve"> perceives integration and coordination of its members’ transport systems as one of its top priorities, as anchored in the </w:t>
      </w:r>
      <w:r w:rsidR="00CC435E" w:rsidRPr="007777E2">
        <w:t>c</w:t>
      </w:r>
      <w:r w:rsidR="00E80B4A" w:rsidRPr="007777E2">
        <w:t>harter. In particular, the organization strives to</w:t>
      </w:r>
      <w:r w:rsidR="00D75737" w:rsidRPr="007777E2">
        <w:t>:</w:t>
      </w:r>
      <w:r w:rsidR="00E80B4A" w:rsidRPr="007777E2">
        <w:t xml:space="preserve"> (</w:t>
      </w:r>
      <w:proofErr w:type="spellStart"/>
      <w:r w:rsidR="00E80B4A" w:rsidRPr="007777E2">
        <w:t>i</w:t>
      </w:r>
      <w:proofErr w:type="spellEnd"/>
      <w:r w:rsidR="00E80B4A" w:rsidRPr="007777E2">
        <w:t>) harmonize national transport legislation (the respective set of documents was adopted in 2003)</w:t>
      </w:r>
      <w:r w:rsidR="0048132C" w:rsidRPr="007777E2">
        <w:t>;</w:t>
      </w:r>
      <w:r w:rsidR="00E80B4A" w:rsidRPr="007777E2">
        <w:t xml:space="preserve"> (ii) develop </w:t>
      </w:r>
      <w:proofErr w:type="spellStart"/>
      <w:r w:rsidR="00E80B4A" w:rsidRPr="007777E2">
        <w:t>EurAsEC</w:t>
      </w:r>
      <w:proofErr w:type="spellEnd"/>
      <w:r w:rsidR="00E80B4A" w:rsidRPr="007777E2">
        <w:t xml:space="preserve"> transport corridors</w:t>
      </w:r>
      <w:r w:rsidR="00D75737" w:rsidRPr="007777E2">
        <w:t>;</w:t>
      </w:r>
      <w:r w:rsidR="00E80B4A" w:rsidRPr="007777E2">
        <w:t xml:space="preserve"> (iii) remove non-physical barriers</w:t>
      </w:r>
      <w:r w:rsidR="0048132C" w:rsidRPr="007777E2">
        <w:t>;</w:t>
      </w:r>
      <w:r w:rsidR="00E80B4A" w:rsidRPr="007777E2">
        <w:t xml:space="preserve"> and (iv</w:t>
      </w:r>
      <w:proofErr w:type="gramStart"/>
      <w:r w:rsidR="00E80B4A" w:rsidRPr="007777E2">
        <w:t>)weave</w:t>
      </w:r>
      <w:proofErr w:type="gramEnd"/>
      <w:r w:rsidR="00E80B4A" w:rsidRPr="007777E2">
        <w:t xml:space="preserve"> the transport policy into the development of the Belarus-Kazakhstan-Russia Customs Union, which will be fully operational by 2011. </w:t>
      </w:r>
    </w:p>
    <w:p w:rsidR="0012068F" w:rsidRPr="007777E2" w:rsidRDefault="00835F27" w:rsidP="004B6EA8">
      <w:pPr>
        <w:pStyle w:val="Heading3"/>
        <w:tabs>
          <w:tab w:val="num" w:pos="0"/>
        </w:tabs>
        <w:spacing w:after="240"/>
        <w:rPr>
          <w:rFonts w:ascii="Times New Roman" w:hAnsi="Times New Roman" w:cs="Times New Roman"/>
          <w:sz w:val="24"/>
          <w:szCs w:val="24"/>
        </w:rPr>
      </w:pPr>
      <w:bookmarkStart w:id="131" w:name="_Toc282029943"/>
      <w:r w:rsidRPr="007777E2">
        <w:rPr>
          <w:rFonts w:ascii="Times New Roman" w:hAnsi="Times New Roman" w:cs="Times New Roman"/>
          <w:sz w:val="24"/>
          <w:szCs w:val="24"/>
        </w:rPr>
        <w:t>Main S</w:t>
      </w:r>
      <w:r w:rsidR="009969D5" w:rsidRPr="007777E2">
        <w:rPr>
          <w:rFonts w:ascii="Times New Roman" w:hAnsi="Times New Roman" w:cs="Times New Roman"/>
          <w:sz w:val="24"/>
          <w:szCs w:val="24"/>
        </w:rPr>
        <w:t>ector</w:t>
      </w:r>
      <w:r w:rsidRPr="007777E2">
        <w:rPr>
          <w:rFonts w:ascii="Times New Roman" w:hAnsi="Times New Roman" w:cs="Times New Roman"/>
          <w:sz w:val="24"/>
          <w:szCs w:val="24"/>
        </w:rPr>
        <w:t xml:space="preserve"> Ob</w:t>
      </w:r>
      <w:r w:rsidR="009969D5" w:rsidRPr="007777E2">
        <w:rPr>
          <w:rFonts w:ascii="Times New Roman" w:hAnsi="Times New Roman" w:cs="Times New Roman"/>
          <w:sz w:val="24"/>
          <w:szCs w:val="24"/>
        </w:rPr>
        <w:t>jectives</w:t>
      </w:r>
      <w:r w:rsidR="006922AB" w:rsidRPr="007777E2">
        <w:rPr>
          <w:rFonts w:ascii="Times New Roman" w:hAnsi="Times New Roman" w:cs="Times New Roman"/>
          <w:sz w:val="24"/>
          <w:szCs w:val="24"/>
        </w:rPr>
        <w:t>, Programs and Plan</w:t>
      </w:r>
      <w:r w:rsidR="00DA6188">
        <w:rPr>
          <w:rFonts w:ascii="Times New Roman" w:hAnsi="Times New Roman" w:cs="Times New Roman"/>
          <w:sz w:val="24"/>
          <w:szCs w:val="24"/>
        </w:rPr>
        <w:t>s</w:t>
      </w:r>
      <w:bookmarkEnd w:id="131"/>
    </w:p>
    <w:bookmarkEnd w:id="129"/>
    <w:bookmarkEnd w:id="130"/>
    <w:p w:rsidR="0048132C" w:rsidRPr="007777E2" w:rsidRDefault="001023E2" w:rsidP="00A63E59">
      <w:pPr>
        <w:pStyle w:val="Style2"/>
      </w:pPr>
      <w:r w:rsidRPr="001023E2">
        <w:rPr>
          <w:u w:val="single"/>
        </w:rPr>
        <w:t>Belarus does have the equivalent of a National Transport Strategy and Action Plan.</w:t>
      </w:r>
      <w:r w:rsidR="00C565BD" w:rsidRPr="00C565BD">
        <w:t xml:space="preserve"> The </w:t>
      </w:r>
      <w:r w:rsidR="00C565BD" w:rsidRPr="00C565BD">
        <w:rPr>
          <w:i/>
        </w:rPr>
        <w:t>Program for Ensuring Efficient Use of Transit Potential of the Republic of Belarus for 2006 – 2010</w:t>
      </w:r>
      <w:r w:rsidR="00C565BD" w:rsidRPr="00C565BD">
        <w:t xml:space="preserve">, the draft </w:t>
      </w:r>
      <w:r w:rsidR="00C565BD" w:rsidRPr="00C565BD">
        <w:rPr>
          <w:i/>
        </w:rPr>
        <w:t>Program of the Development of Transit Potential of the Republic of Belarus for 2011 – 2015</w:t>
      </w:r>
      <w:r w:rsidR="00C565BD" w:rsidRPr="00C565BD">
        <w:t xml:space="preserve">, and the </w:t>
      </w:r>
      <w:r w:rsidR="00C565BD" w:rsidRPr="00C565BD">
        <w:rPr>
          <w:i/>
        </w:rPr>
        <w:t>Roads of Belarus</w:t>
      </w:r>
      <w:r w:rsidR="00C565BD" w:rsidRPr="00C565BD">
        <w:t xml:space="preserve"> Program constitute the 3 key pillars of such a national transport strategy.  In addition, the </w:t>
      </w:r>
      <w:r w:rsidR="00C565BD" w:rsidRPr="00C565BD">
        <w:rPr>
          <w:i/>
        </w:rPr>
        <w:t>Strategy for the Development of Transit Potential of the Republic of Belarus for 2011 – 2015</w:t>
      </w:r>
      <w:r w:rsidR="00C565BD" w:rsidRPr="00C565BD">
        <w:t xml:space="preserve"> and the </w:t>
      </w:r>
      <w:r w:rsidR="00C565BD" w:rsidRPr="00C565BD">
        <w:rPr>
          <w:i/>
        </w:rPr>
        <w:t>Concept of Belarus’ Transport System Development until 2025</w:t>
      </w:r>
      <w:r w:rsidR="00C565BD" w:rsidRPr="00C565BD">
        <w:t xml:space="preserve"> have been recently approved by the Government. </w:t>
      </w:r>
      <w:r w:rsidR="00C565BD" w:rsidRPr="00C565BD">
        <w:rPr>
          <w:iCs/>
        </w:rPr>
        <w:t xml:space="preserve">The Concept defines the goal, priorities, tasks, key focuses and parameters of Belarus’ transport system development until </w:t>
      </w:r>
      <w:r w:rsidR="00C565BD" w:rsidRPr="00C565BD">
        <w:t>2025 including mitigation of impacts generated by СО and СН</w:t>
      </w:r>
      <w:r w:rsidR="00C565BD" w:rsidRPr="00C565BD">
        <w:rPr>
          <w:vertAlign w:val="superscript"/>
        </w:rPr>
        <w:t xml:space="preserve">2 </w:t>
      </w:r>
      <w:r w:rsidR="00C565BD" w:rsidRPr="00C565BD">
        <w:t xml:space="preserve">emissions. Finally, he Government’s </w:t>
      </w:r>
      <w:r w:rsidR="00C565BD" w:rsidRPr="00C565BD">
        <w:rPr>
          <w:i/>
        </w:rPr>
        <w:t>Program of Social and Economic Development</w:t>
      </w:r>
      <w:r w:rsidR="00C565BD" w:rsidRPr="00C565BD">
        <w:t xml:space="preserve"> (2006-2010) presently guides the development of the transport sector and aims at the “formation of a competitive transport system, further development of transport services, and associated infrastructure”. Even though the Government of Belarus has established the key elements of a transport sector strategy, the detailed analytical work on which such strategy must be based is not available. The World Bank believes that a combined and consolidated Transport Sector Strategy for Belarus, based on comprehensive analytical work, would be beneficial. </w:t>
      </w:r>
      <w:r w:rsidR="00500D8F">
        <w:t xml:space="preserve">The development of </w:t>
      </w:r>
      <w:r w:rsidR="000951BB">
        <w:t xml:space="preserve">such </w:t>
      </w:r>
      <w:r w:rsidR="00500D8F">
        <w:t xml:space="preserve">a comprehensive </w:t>
      </w:r>
      <w:r w:rsidR="005E1F49">
        <w:t xml:space="preserve">approach </w:t>
      </w:r>
      <w:proofErr w:type="gramStart"/>
      <w:r w:rsidR="00500D8F">
        <w:t xml:space="preserve">for </w:t>
      </w:r>
      <w:r w:rsidR="000951BB">
        <w:t xml:space="preserve"> a</w:t>
      </w:r>
      <w:proofErr w:type="gramEnd"/>
      <w:r w:rsidR="000951BB">
        <w:t xml:space="preserve"> </w:t>
      </w:r>
      <w:r w:rsidR="00500D8F">
        <w:t xml:space="preserve">Transport Strategy and Action Plan </w:t>
      </w:r>
      <w:r w:rsidR="000951BB">
        <w:t xml:space="preserve">covering all transport modes </w:t>
      </w:r>
      <w:r w:rsidR="00500D8F">
        <w:t xml:space="preserve">is key to better reflect the linkages </w:t>
      </w:r>
      <w:r w:rsidR="000951BB">
        <w:t xml:space="preserve">that exist </w:t>
      </w:r>
      <w:r w:rsidR="00500D8F">
        <w:t xml:space="preserve">between different policy areas and </w:t>
      </w:r>
      <w:r w:rsidR="000951BB">
        <w:t xml:space="preserve">to enhance </w:t>
      </w:r>
      <w:r w:rsidR="00500D8F">
        <w:t>coordinat</w:t>
      </w:r>
      <w:r w:rsidR="000951BB">
        <w:t>ion</w:t>
      </w:r>
      <w:r w:rsidR="00500D8F">
        <w:t xml:space="preserve"> between </w:t>
      </w:r>
      <w:r w:rsidR="000951BB">
        <w:t xml:space="preserve">different </w:t>
      </w:r>
      <w:r w:rsidR="00500D8F">
        <w:t>agencies</w:t>
      </w:r>
      <w:r w:rsidR="000951BB">
        <w:t xml:space="preserve"> involved in the transport sector</w:t>
      </w:r>
      <w:r w:rsidR="00500D8F">
        <w:t>.</w:t>
      </w:r>
      <w:r w:rsidR="00470E4A">
        <w:t xml:space="preserve"> </w:t>
      </w:r>
    </w:p>
    <w:p w:rsidR="00135E44" w:rsidRPr="007777E2" w:rsidRDefault="00135E44" w:rsidP="00A63E59">
      <w:pPr>
        <w:pStyle w:val="Style2"/>
      </w:pPr>
      <w:r w:rsidRPr="000D66B6">
        <w:t xml:space="preserve">The Government’s </w:t>
      </w:r>
      <w:r w:rsidR="0004363C" w:rsidRPr="0004363C">
        <w:rPr>
          <w:i/>
        </w:rPr>
        <w:t>Program of Social and Economic Development (2006-2010)</w:t>
      </w:r>
      <w:r w:rsidRPr="000D66B6">
        <w:t xml:space="preserve"> </w:t>
      </w:r>
      <w:r w:rsidR="00795C8D" w:rsidRPr="000D66B6">
        <w:t xml:space="preserve">presently </w:t>
      </w:r>
      <w:r w:rsidRPr="000D66B6">
        <w:t>guides the development of the transport sector.</w:t>
      </w:r>
      <w:r w:rsidRPr="007777E2">
        <w:t xml:space="preserve"> According to the </w:t>
      </w:r>
      <w:r w:rsidR="00470E4A">
        <w:t>P</w:t>
      </w:r>
      <w:r w:rsidRPr="007777E2">
        <w:t xml:space="preserve">rogram, the transport policy of Belarus is aimed at </w:t>
      </w:r>
      <w:r w:rsidR="00795C8D" w:rsidRPr="007777E2">
        <w:t xml:space="preserve">the </w:t>
      </w:r>
      <w:r w:rsidRPr="007777E2">
        <w:t>“formation of a competitive transport system, further development of transport services, and associated infrastructure.” Actions include (</w:t>
      </w:r>
      <w:proofErr w:type="spellStart"/>
      <w:r w:rsidRPr="007777E2">
        <w:t>i</w:t>
      </w:r>
      <w:proofErr w:type="spellEnd"/>
      <w:r w:rsidRPr="007777E2">
        <w:t xml:space="preserve">) improving the legal framework of the sector, (ii) developing safety and environmental standards, (iii) considering the </w:t>
      </w:r>
      <w:r w:rsidRPr="007777E2">
        <w:lastRenderedPageBreak/>
        <w:t xml:space="preserve">social aspects of access to transport services, (iv) improving the management of the sector, (v) increasing competition in passenger and freight markets, (vi) attracting investments, and (vii) increasing the export of transport services and creating favorable conditions for carrying out international transportation. An array of state programs </w:t>
      </w:r>
      <w:r w:rsidR="0048132C" w:rsidRPr="007777E2">
        <w:t>is designed to achieve</w:t>
      </w:r>
      <w:r w:rsidRPr="007777E2">
        <w:t xml:space="preserve"> these steps.</w:t>
      </w:r>
    </w:p>
    <w:p w:rsidR="00135E44" w:rsidRPr="007777E2" w:rsidRDefault="008C1EBA" w:rsidP="00A63E59">
      <w:pPr>
        <w:pStyle w:val="Style2"/>
      </w:pPr>
      <w:r>
        <w:rPr>
          <w:b/>
        </w:rPr>
        <w:t>T</w:t>
      </w:r>
      <w:r w:rsidR="00795C8D" w:rsidRPr="007777E2">
        <w:rPr>
          <w:b/>
        </w:rPr>
        <w:t xml:space="preserve">he </w:t>
      </w:r>
      <w:r w:rsidR="00135E44" w:rsidRPr="007777E2">
        <w:rPr>
          <w:b/>
        </w:rPr>
        <w:t xml:space="preserve">Government’s program for the railway sector </w:t>
      </w:r>
      <w:r w:rsidR="00EF2400">
        <w:rPr>
          <w:b/>
        </w:rPr>
        <w:t xml:space="preserve">identifies </w:t>
      </w:r>
      <w:r w:rsidR="00135E44" w:rsidRPr="007777E2">
        <w:rPr>
          <w:b/>
        </w:rPr>
        <w:t xml:space="preserve">a broad range of </w:t>
      </w:r>
      <w:r w:rsidR="00EF2400">
        <w:rPr>
          <w:b/>
        </w:rPr>
        <w:t xml:space="preserve">planned </w:t>
      </w:r>
      <w:r w:rsidR="00135E44" w:rsidRPr="007777E2">
        <w:rPr>
          <w:b/>
        </w:rPr>
        <w:t>improvements.</w:t>
      </w:r>
      <w:r w:rsidR="00135E44" w:rsidRPr="007777E2">
        <w:t xml:space="preserve"> These include </w:t>
      </w:r>
      <w:r w:rsidR="00EF2400">
        <w:t xml:space="preserve">the </w:t>
      </w:r>
      <w:r w:rsidR="00135E44" w:rsidRPr="007777E2">
        <w:t>technical upgrading of infrastructure, improvement of safety and quality of transportation services, development of modern information technologies, enhancement of Belarusian Railways’ competitiveness in domestic and foreign markets f</w:t>
      </w:r>
      <w:r w:rsidR="00795C8D" w:rsidRPr="007777E2">
        <w:t>or</w:t>
      </w:r>
      <w:r w:rsidR="00135E44" w:rsidRPr="007777E2">
        <w:t xml:space="preserve"> transport services,</w:t>
      </w:r>
      <w:r w:rsidR="00795C8D" w:rsidRPr="007777E2">
        <w:t xml:space="preserve"> and integration of the Belarusian Railways</w:t>
      </w:r>
      <w:r w:rsidR="00135E44" w:rsidRPr="007777E2">
        <w:t xml:space="preserve"> into the international transport system. The </w:t>
      </w:r>
      <w:r w:rsidR="00795C8D" w:rsidRPr="007777E2">
        <w:rPr>
          <w:i/>
        </w:rPr>
        <w:t>De</w:t>
      </w:r>
      <w:r w:rsidR="00135E44" w:rsidRPr="007777E2">
        <w:rPr>
          <w:i/>
        </w:rPr>
        <w:t xml:space="preserve">velopment </w:t>
      </w:r>
      <w:r w:rsidR="00795C8D" w:rsidRPr="007777E2">
        <w:rPr>
          <w:i/>
        </w:rPr>
        <w:t>P</w:t>
      </w:r>
      <w:r w:rsidR="00135E44" w:rsidRPr="007777E2">
        <w:rPr>
          <w:i/>
        </w:rPr>
        <w:t xml:space="preserve">lan of Belarusian Railways </w:t>
      </w:r>
      <w:r w:rsidR="0010414D">
        <w:rPr>
          <w:i/>
        </w:rPr>
        <w:t xml:space="preserve">until </w:t>
      </w:r>
      <w:r w:rsidR="00135E44" w:rsidRPr="007777E2">
        <w:rPr>
          <w:i/>
        </w:rPr>
        <w:t>2010</w:t>
      </w:r>
      <w:r w:rsidR="00135E44" w:rsidRPr="007777E2">
        <w:t xml:space="preserve"> includes (</w:t>
      </w:r>
      <w:proofErr w:type="spellStart"/>
      <w:r w:rsidR="00135E44" w:rsidRPr="007777E2">
        <w:t>i</w:t>
      </w:r>
      <w:proofErr w:type="spellEnd"/>
      <w:r w:rsidR="00135E44" w:rsidRPr="007777E2">
        <w:t>) development and improvement of infrastructure</w:t>
      </w:r>
      <w:r w:rsidR="0048132C" w:rsidRPr="007777E2">
        <w:t>;</w:t>
      </w:r>
      <w:r w:rsidR="00135E44" w:rsidRPr="007777E2">
        <w:t xml:space="preserve"> (ii) renewal and rehabilitation of rolling stock</w:t>
      </w:r>
      <w:r w:rsidR="0048132C" w:rsidRPr="007777E2">
        <w:t>;</w:t>
      </w:r>
      <w:r w:rsidR="00135E44" w:rsidRPr="007777E2">
        <w:t xml:space="preserve"> </w:t>
      </w:r>
      <w:r w:rsidR="0048132C" w:rsidRPr="007777E2">
        <w:t>a</w:t>
      </w:r>
      <w:r w:rsidR="00135E44" w:rsidRPr="007777E2">
        <w:t xml:space="preserve">nd (iii) creation of an appropriate environment for transit </w:t>
      </w:r>
      <w:r w:rsidR="00795C8D" w:rsidRPr="007777E2">
        <w:t xml:space="preserve">transportation of </w:t>
      </w:r>
      <w:r w:rsidR="00135E44" w:rsidRPr="007777E2">
        <w:t>passenger</w:t>
      </w:r>
      <w:r w:rsidR="00795C8D" w:rsidRPr="007777E2">
        <w:t>s</w:t>
      </w:r>
      <w:r w:rsidR="00135E44" w:rsidRPr="007777E2">
        <w:t xml:space="preserve"> and cargo. </w:t>
      </w:r>
      <w:r w:rsidR="00EF2400">
        <w:t>The i</w:t>
      </w:r>
      <w:r w:rsidR="00135E44" w:rsidRPr="007777E2">
        <w:t xml:space="preserve">mplementation of these railway transport subsector priorities requires concrete actions for </w:t>
      </w:r>
      <w:r w:rsidR="00EF2400">
        <w:t xml:space="preserve">the </w:t>
      </w:r>
      <w:r w:rsidR="00135E44" w:rsidRPr="007777E2">
        <w:t>development and improvement of the core railway network, mainly the Trans-European Railway corridors II and IX crossing the country</w:t>
      </w:r>
      <w:r w:rsidR="00E07785" w:rsidRPr="007777E2">
        <w:t xml:space="preserve"> (</w:t>
      </w:r>
      <w:r w:rsidR="00E07785" w:rsidRPr="00621857">
        <w:rPr>
          <w:szCs w:val="24"/>
        </w:rPr>
        <w:t xml:space="preserve">see </w:t>
      </w:r>
      <w:fldSimple w:instr=" REF _Ref257102167 \h  \* MERGEFORMAT ">
        <w:r w:rsidR="00E85C5F" w:rsidRPr="00E85C5F">
          <w:rPr>
            <w:color w:val="auto"/>
            <w:szCs w:val="24"/>
          </w:rPr>
          <w:t xml:space="preserve">Figure </w:t>
        </w:r>
        <w:r w:rsidR="00E85C5F" w:rsidRPr="00E85C5F">
          <w:rPr>
            <w:noProof/>
            <w:color w:val="auto"/>
            <w:szCs w:val="24"/>
          </w:rPr>
          <w:t>4</w:t>
        </w:r>
      </w:fldSimple>
      <w:r w:rsidR="00E07785" w:rsidRPr="00621857">
        <w:rPr>
          <w:szCs w:val="24"/>
        </w:rPr>
        <w:t>),</w:t>
      </w:r>
      <w:r w:rsidR="00E07785" w:rsidRPr="007777E2">
        <w:t xml:space="preserve"> </w:t>
      </w:r>
      <w:r w:rsidR="00135E44" w:rsidRPr="007777E2">
        <w:t xml:space="preserve">and </w:t>
      </w:r>
      <w:r w:rsidR="00795C8D" w:rsidRPr="007777E2">
        <w:t xml:space="preserve">the </w:t>
      </w:r>
      <w:r w:rsidR="00135E44" w:rsidRPr="007777E2">
        <w:t>introduction of efficient technologies in the railway sector. Additionally</w:t>
      </w:r>
      <w:r w:rsidR="00EF2400">
        <w:t>,</w:t>
      </w:r>
      <w:r w:rsidR="00135E44" w:rsidRPr="007777E2">
        <w:t xml:space="preserve"> </w:t>
      </w:r>
      <w:r w:rsidR="00EF2400">
        <w:t xml:space="preserve">planned actions </w:t>
      </w:r>
      <w:r w:rsidR="00135E44" w:rsidRPr="007777E2">
        <w:t xml:space="preserve">include parallel programming with Government innovation policy to enhance </w:t>
      </w:r>
      <w:r w:rsidR="00EF2400">
        <w:t xml:space="preserve">the </w:t>
      </w:r>
      <w:r w:rsidR="00135E44" w:rsidRPr="007777E2">
        <w:t xml:space="preserve">competitiveness of Belarusian railways, </w:t>
      </w:r>
      <w:r w:rsidR="00EF2400">
        <w:t xml:space="preserve">the </w:t>
      </w:r>
      <w:r w:rsidR="00135E44" w:rsidRPr="007777E2">
        <w:t>development of a new investment mechanism, and a new depreciation policy</w:t>
      </w:r>
      <w:r w:rsidR="00E07785" w:rsidRPr="007777E2">
        <w:t>.</w:t>
      </w:r>
    </w:p>
    <w:p w:rsidR="00135E44" w:rsidRPr="007777E2" w:rsidRDefault="00135E44" w:rsidP="00A63E59">
      <w:pPr>
        <w:pStyle w:val="Style2"/>
      </w:pPr>
      <w:r w:rsidRPr="007777E2">
        <w:rPr>
          <w:b/>
        </w:rPr>
        <w:t xml:space="preserve">The </w:t>
      </w:r>
      <w:r w:rsidRPr="007777E2">
        <w:rPr>
          <w:b/>
          <w:i/>
        </w:rPr>
        <w:t>Roads of Belarus</w:t>
      </w:r>
      <w:r w:rsidRPr="007777E2">
        <w:rPr>
          <w:b/>
        </w:rPr>
        <w:t xml:space="preserve"> Program</w:t>
      </w:r>
      <w:r w:rsidRPr="005A21CD">
        <w:rPr>
          <w:rStyle w:val="FootnoteReference"/>
          <w:sz w:val="24"/>
          <w:szCs w:val="24"/>
        </w:rPr>
        <w:footnoteReference w:id="13"/>
      </w:r>
      <w:r w:rsidRPr="007777E2">
        <w:rPr>
          <w:b/>
        </w:rPr>
        <w:t xml:space="preserve"> defines the </w:t>
      </w:r>
      <w:r w:rsidR="00795C8D" w:rsidRPr="007777E2">
        <w:rPr>
          <w:b/>
        </w:rPr>
        <w:t xml:space="preserve">Government’s plans for the </w:t>
      </w:r>
      <w:r w:rsidRPr="007777E2">
        <w:rPr>
          <w:b/>
        </w:rPr>
        <w:t>strategic development of the road sector</w:t>
      </w:r>
      <w:r w:rsidRPr="007777E2">
        <w:rPr>
          <w:i/>
        </w:rPr>
        <w:t xml:space="preserve">. </w:t>
      </w:r>
      <w:r w:rsidRPr="007777E2">
        <w:t>Program activities aim to (</w:t>
      </w:r>
      <w:proofErr w:type="spellStart"/>
      <w:r w:rsidRPr="007777E2">
        <w:t>i</w:t>
      </w:r>
      <w:proofErr w:type="spellEnd"/>
      <w:r w:rsidRPr="007777E2">
        <w:t xml:space="preserve">) increase </w:t>
      </w:r>
      <w:r w:rsidR="00795C8D" w:rsidRPr="007777E2">
        <w:t>the</w:t>
      </w:r>
      <w:r w:rsidRPr="007777E2">
        <w:t xml:space="preserve"> </w:t>
      </w:r>
      <w:r w:rsidR="00EF2400">
        <w:t xml:space="preserve">length </w:t>
      </w:r>
      <w:r w:rsidR="00795C8D" w:rsidRPr="007777E2">
        <w:t xml:space="preserve">of </w:t>
      </w:r>
      <w:r w:rsidR="00EF2400">
        <w:t xml:space="preserve">the </w:t>
      </w:r>
      <w:r w:rsidR="00795C8D" w:rsidRPr="007777E2">
        <w:t>motorway</w:t>
      </w:r>
      <w:r w:rsidR="00EF2400">
        <w:t xml:space="preserve"> network</w:t>
      </w:r>
      <w:r w:rsidRPr="007777E2">
        <w:t xml:space="preserve">; (ii) improve the road traffic operating conditions; (iii) upgrade the </w:t>
      </w:r>
      <w:r w:rsidR="00EF2400">
        <w:t xml:space="preserve">capacity of the </w:t>
      </w:r>
      <w:r w:rsidRPr="007777E2">
        <w:t xml:space="preserve">most heavily used road sections; </w:t>
      </w:r>
      <w:proofErr w:type="gramStart"/>
      <w:r w:rsidRPr="007777E2">
        <w:t>(iv) improve</w:t>
      </w:r>
      <w:proofErr w:type="gramEnd"/>
      <w:r w:rsidRPr="007777E2">
        <w:t xml:space="preserve"> road traffic safety; and </w:t>
      </w:r>
      <w:bookmarkStart w:id="132" w:name="OCRUncertain1537"/>
      <w:r w:rsidRPr="007777E2">
        <w:t xml:space="preserve">(v) attract </w:t>
      </w:r>
      <w:r w:rsidR="00EF2400">
        <w:t xml:space="preserve">private </w:t>
      </w:r>
      <w:r w:rsidRPr="007777E2">
        <w:t>investment.</w:t>
      </w:r>
      <w:bookmarkEnd w:id="132"/>
      <w:r w:rsidRPr="007777E2">
        <w:t xml:space="preserve"> The program includes a list of priority investments with some indicative cost estimates. The</w:t>
      </w:r>
      <w:r w:rsidR="00EF2400">
        <w:t xml:space="preserve"> priority investments </w:t>
      </w:r>
      <w:r w:rsidRPr="007777E2">
        <w:t xml:space="preserve">have been revised yearly based on the </w:t>
      </w:r>
      <w:r w:rsidR="00846EA7">
        <w:t xml:space="preserve">available </w:t>
      </w:r>
      <w:r w:rsidRPr="007777E2">
        <w:t xml:space="preserve">fiscal envelope of the </w:t>
      </w:r>
      <w:r w:rsidR="00621857">
        <w:t xml:space="preserve">country. </w:t>
      </w:r>
      <w:r w:rsidRPr="007777E2">
        <w:t xml:space="preserve">The main task </w:t>
      </w:r>
      <w:r w:rsidR="00E64084" w:rsidRPr="007777E2">
        <w:t>within</w:t>
      </w:r>
      <w:r w:rsidRPr="007777E2">
        <w:t xml:space="preserve"> the </w:t>
      </w:r>
      <w:r w:rsidRPr="00621857">
        <w:rPr>
          <w:i/>
        </w:rPr>
        <w:t>Roads of Belarus</w:t>
      </w:r>
      <w:r w:rsidRPr="007777E2">
        <w:t xml:space="preserve"> Program is to upgrade the sections of the two international transport corridors (corridor II and corridor IX) passing through its territory. As presented earlier, these corridors are important West-East and North-South transit routes and the upgrading will increase their load-carrying capacity to </w:t>
      </w:r>
      <w:r w:rsidR="00E64084" w:rsidRPr="007777E2">
        <w:t xml:space="preserve">the EU norm of </w:t>
      </w:r>
      <w:r w:rsidRPr="007777E2">
        <w:t>11.5 tons per single axle</w:t>
      </w:r>
      <w:r w:rsidR="00730FA7" w:rsidRPr="007777E2">
        <w:t xml:space="preserve"> (see </w:t>
      </w:r>
      <w:fldSimple w:instr=" REF _Ref257205492 \h  \* MERGEFORMAT ">
        <w:r w:rsidR="00E85C5F" w:rsidRPr="00E85C5F">
          <w:t xml:space="preserve">Figure </w:t>
        </w:r>
        <w:r w:rsidR="00E85C5F" w:rsidRPr="00E85C5F">
          <w:rPr>
            <w:noProof/>
          </w:rPr>
          <w:t>18</w:t>
        </w:r>
      </w:fldSimple>
      <w:r w:rsidR="00730FA7" w:rsidRPr="007777E2">
        <w:t>)</w:t>
      </w:r>
      <w:r w:rsidRPr="007777E2">
        <w:t xml:space="preserve">. In 2009, the program was reviewed jointly by </w:t>
      </w:r>
      <w:r w:rsidR="00BA3C63" w:rsidRPr="007777E2">
        <w:t>MOTC</w:t>
      </w:r>
      <w:r w:rsidRPr="007777E2">
        <w:t xml:space="preserve"> and MOF in order to prioritize the proposed </w:t>
      </w:r>
      <w:r w:rsidR="00E64084" w:rsidRPr="007777E2">
        <w:t xml:space="preserve">major </w:t>
      </w:r>
      <w:r w:rsidRPr="007777E2">
        <w:t>program investments</w:t>
      </w:r>
      <w:r w:rsidR="00E64084" w:rsidRPr="007777E2">
        <w:t>, which are</w:t>
      </w:r>
      <w:r w:rsidRPr="007777E2">
        <w:t>: (</w:t>
      </w:r>
      <w:proofErr w:type="spellStart"/>
      <w:r w:rsidRPr="007777E2">
        <w:t>i</w:t>
      </w:r>
      <w:proofErr w:type="spellEnd"/>
      <w:r w:rsidRPr="007777E2">
        <w:t xml:space="preserve">) </w:t>
      </w:r>
      <w:r w:rsidR="00E64084" w:rsidRPr="007777E2">
        <w:t xml:space="preserve">the </w:t>
      </w:r>
      <w:r w:rsidRPr="007777E2">
        <w:t>upgrade of</w:t>
      </w:r>
      <w:r w:rsidR="00E64084" w:rsidRPr="007777E2">
        <w:t xml:space="preserve"> a section of the</w:t>
      </w:r>
      <w:r w:rsidRPr="007777E2">
        <w:t xml:space="preserve"> M5 road </w:t>
      </w:r>
      <w:r w:rsidR="00E64084" w:rsidRPr="007777E2">
        <w:t>between</w:t>
      </w:r>
      <w:r w:rsidRPr="007777E2">
        <w:t xml:space="preserve"> Minsk </w:t>
      </w:r>
      <w:r w:rsidR="00E64084" w:rsidRPr="007777E2">
        <w:t>and Gomel (74 km in total</w:t>
      </w:r>
      <w:r w:rsidRPr="007777E2">
        <w:t xml:space="preserve">), (ii) </w:t>
      </w:r>
      <w:r w:rsidR="00E64084" w:rsidRPr="007777E2">
        <w:t xml:space="preserve">the </w:t>
      </w:r>
      <w:r w:rsidRPr="007777E2">
        <w:t>upgrade of M4 road from Minsk to Mogilev (97 km</w:t>
      </w:r>
      <w:r w:rsidR="00E64084" w:rsidRPr="007777E2">
        <w:t xml:space="preserve"> in total</w:t>
      </w:r>
      <w:r w:rsidRPr="007777E2">
        <w:t xml:space="preserve">), and (iii) </w:t>
      </w:r>
      <w:r w:rsidR="00E64084" w:rsidRPr="007777E2">
        <w:t xml:space="preserve">the </w:t>
      </w:r>
      <w:r w:rsidRPr="007777E2">
        <w:t xml:space="preserve">construction of </w:t>
      </w:r>
      <w:r w:rsidR="00E64084" w:rsidRPr="007777E2">
        <w:t xml:space="preserve">a </w:t>
      </w:r>
      <w:r w:rsidRPr="007777E2">
        <w:t>bypass around Minsk (85 km</w:t>
      </w:r>
      <w:r w:rsidR="00E64084" w:rsidRPr="007777E2">
        <w:t xml:space="preserve"> in total</w:t>
      </w:r>
      <w:r w:rsidRPr="007777E2">
        <w:t xml:space="preserve">). </w:t>
      </w:r>
    </w:p>
    <w:tbl>
      <w:tblPr>
        <w:tblStyle w:val="TableGrid"/>
        <w:tblW w:w="0" w:type="auto"/>
        <w:jc w:val="center"/>
        <w:tblLook w:val="04A0"/>
      </w:tblPr>
      <w:tblGrid>
        <w:gridCol w:w="6696"/>
      </w:tblGrid>
      <w:tr w:rsidR="00730FA7" w:rsidRPr="007777E2" w:rsidTr="00513C89">
        <w:trPr>
          <w:trHeight w:val="6115"/>
          <w:jc w:val="center"/>
        </w:trPr>
        <w:tc>
          <w:tcPr>
            <w:tcW w:w="6600" w:type="dxa"/>
          </w:tcPr>
          <w:p w:rsidR="00730FA7" w:rsidRPr="007777E2" w:rsidRDefault="00730FA7" w:rsidP="0093491D">
            <w:pPr>
              <w:pStyle w:val="Caption"/>
              <w:tabs>
                <w:tab w:val="num" w:pos="0"/>
              </w:tabs>
              <w:rPr>
                <w:color w:val="auto"/>
                <w:sz w:val="22"/>
                <w:szCs w:val="22"/>
              </w:rPr>
            </w:pPr>
            <w:bookmarkStart w:id="133" w:name="_Ref257205492"/>
            <w:bookmarkStart w:id="134" w:name="_Toc264226775"/>
            <w:r w:rsidRPr="007777E2">
              <w:rPr>
                <w:color w:val="auto"/>
                <w:sz w:val="22"/>
                <w:szCs w:val="22"/>
              </w:rPr>
              <w:lastRenderedPageBreak/>
              <w:t xml:space="preserve">Figure </w:t>
            </w:r>
            <w:r w:rsidR="006B40AE" w:rsidRPr="007777E2">
              <w:rPr>
                <w:color w:val="auto"/>
                <w:sz w:val="22"/>
                <w:szCs w:val="22"/>
              </w:rPr>
              <w:fldChar w:fldCharType="begin"/>
            </w:r>
            <w:r w:rsidR="00B9265B" w:rsidRPr="007777E2">
              <w:rPr>
                <w:color w:val="auto"/>
                <w:sz w:val="22"/>
                <w:szCs w:val="22"/>
              </w:rPr>
              <w:instrText xml:space="preserve"> SEQ Figure \* ARABIC </w:instrText>
            </w:r>
            <w:r w:rsidR="006B40AE" w:rsidRPr="007777E2">
              <w:rPr>
                <w:color w:val="auto"/>
                <w:sz w:val="22"/>
                <w:szCs w:val="22"/>
              </w:rPr>
              <w:fldChar w:fldCharType="separate"/>
            </w:r>
            <w:r w:rsidR="009E2C86">
              <w:rPr>
                <w:noProof/>
                <w:color w:val="auto"/>
                <w:sz w:val="22"/>
                <w:szCs w:val="22"/>
              </w:rPr>
              <w:t>18</w:t>
            </w:r>
            <w:r w:rsidR="006B40AE" w:rsidRPr="007777E2">
              <w:rPr>
                <w:color w:val="auto"/>
                <w:sz w:val="22"/>
                <w:szCs w:val="22"/>
              </w:rPr>
              <w:fldChar w:fldCharType="end"/>
            </w:r>
            <w:bookmarkEnd w:id="133"/>
            <w:r w:rsidRPr="007777E2">
              <w:rPr>
                <w:color w:val="auto"/>
                <w:sz w:val="22"/>
                <w:szCs w:val="22"/>
              </w:rPr>
              <w:t xml:space="preserve">. </w:t>
            </w:r>
            <w:r w:rsidR="00CC435E" w:rsidRPr="007777E2">
              <w:rPr>
                <w:color w:val="auto"/>
                <w:sz w:val="22"/>
                <w:szCs w:val="22"/>
              </w:rPr>
              <w:t>Five Main Roads and Three</w:t>
            </w:r>
            <w:r w:rsidRPr="007777E2">
              <w:rPr>
                <w:color w:val="auto"/>
                <w:sz w:val="22"/>
                <w:szCs w:val="22"/>
              </w:rPr>
              <w:t xml:space="preserve"> Axes in Belarus 2009</w:t>
            </w:r>
            <w:bookmarkEnd w:id="134"/>
          </w:p>
          <w:p w:rsidR="00730FA7" w:rsidRPr="007777E2" w:rsidRDefault="00513C89" w:rsidP="0093491D">
            <w:pPr>
              <w:tabs>
                <w:tab w:val="num" w:pos="0"/>
              </w:tabs>
              <w:autoSpaceDE w:val="0"/>
              <w:autoSpaceDN w:val="0"/>
              <w:adjustRightInd w:val="0"/>
              <w:spacing w:after="120"/>
              <w:jc w:val="both"/>
              <w:rPr>
                <w:color w:val="000000"/>
              </w:rPr>
            </w:pPr>
            <w:r>
              <w:rPr>
                <w:noProof/>
                <w:color w:val="000000"/>
              </w:rPr>
              <w:drawing>
                <wp:anchor distT="0" distB="0" distL="114300" distR="114300" simplePos="0" relativeHeight="251661312" behindDoc="0" locked="0" layoutInCell="1" allowOverlap="1">
                  <wp:simplePos x="0" y="0"/>
                  <wp:positionH relativeFrom="column">
                    <wp:posOffset>-19050</wp:posOffset>
                  </wp:positionH>
                  <wp:positionV relativeFrom="paragraph">
                    <wp:posOffset>203200</wp:posOffset>
                  </wp:positionV>
                  <wp:extent cx="4083685" cy="3378835"/>
                  <wp:effectExtent l="19050" t="19050" r="12065" b="12065"/>
                  <wp:wrapSquare wrapText="bothSides"/>
                  <wp:docPr id="26" name="Picture 2" descr="РБ"/>
                  <wp:cNvGraphicFramePr/>
                  <a:graphic xmlns:a="http://schemas.openxmlformats.org/drawingml/2006/main">
                    <a:graphicData uri="http://schemas.openxmlformats.org/drawingml/2006/picture">
                      <pic:pic xmlns:pic="http://schemas.openxmlformats.org/drawingml/2006/picture">
                        <pic:nvPicPr>
                          <pic:cNvPr id="7172" name="Picture 8" descr="РБ"/>
                          <pic:cNvPicPr>
                            <a:picLocks noChangeAspect="1" noChangeArrowheads="1"/>
                          </pic:cNvPicPr>
                        </pic:nvPicPr>
                        <pic:blipFill>
                          <a:blip r:embed="rId38" cstate="print"/>
                          <a:srcRect/>
                          <a:stretch>
                            <a:fillRect/>
                          </a:stretch>
                        </pic:blipFill>
                        <pic:spPr bwMode="auto">
                          <a:xfrm>
                            <a:off x="0" y="0"/>
                            <a:ext cx="4083685" cy="3378835"/>
                          </a:xfrm>
                          <a:prstGeom prst="rect">
                            <a:avLst/>
                          </a:prstGeom>
                          <a:noFill/>
                          <a:ln w="9525">
                            <a:solidFill>
                              <a:schemeClr val="tx1"/>
                            </a:solidFill>
                            <a:miter lim="800000"/>
                            <a:headEnd/>
                            <a:tailEnd/>
                          </a:ln>
                        </pic:spPr>
                      </pic:pic>
                    </a:graphicData>
                  </a:graphic>
                </wp:anchor>
              </w:drawing>
            </w:r>
          </w:p>
        </w:tc>
      </w:tr>
    </w:tbl>
    <w:p w:rsidR="00730FA7" w:rsidRPr="007777E2" w:rsidRDefault="00730FA7" w:rsidP="000548F7">
      <w:pPr>
        <w:tabs>
          <w:tab w:val="num" w:pos="0"/>
        </w:tabs>
        <w:autoSpaceDE w:val="0"/>
        <w:autoSpaceDN w:val="0"/>
        <w:adjustRightInd w:val="0"/>
        <w:spacing w:after="120"/>
        <w:jc w:val="both"/>
        <w:rPr>
          <w:color w:val="000000"/>
        </w:rPr>
      </w:pPr>
    </w:p>
    <w:p w:rsidR="00135E44" w:rsidRPr="007777E2" w:rsidRDefault="00135E44" w:rsidP="00A63E59">
      <w:pPr>
        <w:pStyle w:val="Style2"/>
      </w:pPr>
      <w:r w:rsidRPr="000D66B6">
        <w:t xml:space="preserve">At present, </w:t>
      </w:r>
      <w:proofErr w:type="spellStart"/>
      <w:r w:rsidRPr="000D66B6">
        <w:t>Belavtodor</w:t>
      </w:r>
      <w:proofErr w:type="spellEnd"/>
      <w:r w:rsidRPr="000D66B6">
        <w:t xml:space="preserve"> undertakes little multi-year works planning, and there is no up-to-date Road Asset Management System (RMS).</w:t>
      </w:r>
      <w:r w:rsidRPr="007777E2">
        <w:t xml:space="preserve"> An inventory of the technical characteristics </w:t>
      </w:r>
      <w:r w:rsidR="00E64084" w:rsidRPr="007777E2">
        <w:t xml:space="preserve">and condition </w:t>
      </w:r>
      <w:r w:rsidRPr="007777E2">
        <w:t xml:space="preserve">of the road network, and </w:t>
      </w:r>
      <w:r w:rsidR="00E64084" w:rsidRPr="007777E2">
        <w:t xml:space="preserve">of the </w:t>
      </w:r>
      <w:r w:rsidRPr="007777E2">
        <w:t>level of traffic</w:t>
      </w:r>
      <w:r w:rsidR="00E64084" w:rsidRPr="007777E2">
        <w:t xml:space="preserve"> on each road,</w:t>
      </w:r>
      <w:r w:rsidRPr="007777E2">
        <w:t xml:space="preserve"> is a requirement to perform a multi-year road sector maintenance and development plan, including annual data collection to maintain the inventory and update the strategic plan. </w:t>
      </w:r>
    </w:p>
    <w:p w:rsidR="00D04647" w:rsidRPr="007777E2" w:rsidRDefault="00135E44" w:rsidP="004B6EA8">
      <w:pPr>
        <w:pStyle w:val="Heading3"/>
        <w:tabs>
          <w:tab w:val="num" w:pos="0"/>
        </w:tabs>
        <w:spacing w:after="120"/>
        <w:rPr>
          <w:rFonts w:ascii="Times New Roman" w:hAnsi="Times New Roman" w:cs="Times New Roman"/>
          <w:sz w:val="24"/>
          <w:szCs w:val="24"/>
        </w:rPr>
      </w:pPr>
      <w:bookmarkStart w:id="135" w:name="_Toc282029944"/>
      <w:r w:rsidRPr="007777E2">
        <w:rPr>
          <w:rFonts w:ascii="Times New Roman" w:hAnsi="Times New Roman" w:cs="Times New Roman"/>
          <w:sz w:val="24"/>
          <w:szCs w:val="24"/>
        </w:rPr>
        <w:t>Transport Sector</w:t>
      </w:r>
      <w:r w:rsidR="00835F27" w:rsidRPr="007777E2">
        <w:rPr>
          <w:rFonts w:ascii="Times New Roman" w:hAnsi="Times New Roman" w:cs="Times New Roman"/>
          <w:sz w:val="24"/>
          <w:szCs w:val="24"/>
        </w:rPr>
        <w:t xml:space="preserve"> Organization Structure</w:t>
      </w:r>
      <w:bookmarkEnd w:id="135"/>
      <w:r w:rsidR="00846EA7">
        <w:rPr>
          <w:rFonts w:ascii="Times New Roman" w:hAnsi="Times New Roman" w:cs="Times New Roman"/>
          <w:sz w:val="24"/>
          <w:szCs w:val="24"/>
        </w:rPr>
        <w:t xml:space="preserve">  </w:t>
      </w:r>
    </w:p>
    <w:p w:rsidR="00135E44" w:rsidRPr="007777E2" w:rsidRDefault="00BA3C63" w:rsidP="00A63E59">
      <w:pPr>
        <w:pStyle w:val="Style2"/>
      </w:pPr>
      <w:r w:rsidRPr="00EB4908">
        <w:t>MOTC</w:t>
      </w:r>
      <w:r w:rsidR="00135E44" w:rsidRPr="00EB4908">
        <w:t xml:space="preserve"> is the central institution in the transport sector, although policy development is shared with the </w:t>
      </w:r>
      <w:r w:rsidR="00E64084" w:rsidRPr="00EB4908">
        <w:t>Presidential Administration</w:t>
      </w:r>
      <w:r w:rsidR="00135E44" w:rsidRPr="00EB4908">
        <w:t>.</w:t>
      </w:r>
      <w:r w:rsidR="00135E44" w:rsidRPr="00EB1402">
        <w:t xml:space="preserve"> </w:t>
      </w:r>
      <w:r w:rsidRPr="007777E2">
        <w:t>MOTC</w:t>
      </w:r>
      <w:r w:rsidR="00E64084" w:rsidRPr="007777E2">
        <w:t xml:space="preserve">’s statues define its </w:t>
      </w:r>
      <w:r w:rsidR="00135E44" w:rsidRPr="007777E2">
        <w:t>mandate and responsibilities</w:t>
      </w:r>
      <w:r w:rsidR="00E64084" w:rsidRPr="007777E2">
        <w:t>; these i</w:t>
      </w:r>
      <w:r w:rsidR="00135E44" w:rsidRPr="007777E2">
        <w:t>ncludes (</w:t>
      </w:r>
      <w:proofErr w:type="spellStart"/>
      <w:r w:rsidR="00135E44" w:rsidRPr="007777E2">
        <w:t>i</w:t>
      </w:r>
      <w:proofErr w:type="spellEnd"/>
      <w:r w:rsidR="00135E44" w:rsidRPr="007777E2">
        <w:t>) implementation of road transport policy; (ii) development of the legal framework</w:t>
      </w:r>
      <w:r w:rsidR="00156D2D" w:rsidRPr="007777E2">
        <w:t xml:space="preserve"> for the transport sector</w:t>
      </w:r>
      <w:r w:rsidR="00135E44" w:rsidRPr="007777E2">
        <w:t xml:space="preserve">;  (iii) </w:t>
      </w:r>
      <w:r w:rsidR="00156D2D" w:rsidRPr="007777E2">
        <w:t xml:space="preserve">sector </w:t>
      </w:r>
      <w:r w:rsidR="00135E44" w:rsidRPr="007777E2">
        <w:t>analysis and forecasts</w:t>
      </w:r>
      <w:r w:rsidR="00156D2D" w:rsidRPr="007777E2">
        <w:t>,</w:t>
      </w:r>
      <w:r w:rsidR="00135E44" w:rsidRPr="007777E2">
        <w:t xml:space="preserve"> and </w:t>
      </w:r>
      <w:r w:rsidR="00156D2D" w:rsidRPr="007777E2">
        <w:t xml:space="preserve">the </w:t>
      </w:r>
      <w:r w:rsidR="00135E44" w:rsidRPr="007777E2">
        <w:t>preparation of strategic and planning documents; (iv) development of international cooperation and foreign economic relations</w:t>
      </w:r>
      <w:r w:rsidR="00156D2D" w:rsidRPr="007777E2">
        <w:t xml:space="preserve"> in the transport sector</w:t>
      </w:r>
      <w:r w:rsidR="00135E44" w:rsidRPr="007777E2">
        <w:t xml:space="preserve">; (v) promotion of cooperation between the transport organizations of the Republic of Belarus and other </w:t>
      </w:r>
      <w:r w:rsidR="001D2F8F">
        <w:t xml:space="preserve">countries </w:t>
      </w:r>
      <w:r w:rsidR="00135E44" w:rsidRPr="007777E2">
        <w:t xml:space="preserve">to attract investments; </w:t>
      </w:r>
      <w:r w:rsidR="00135E44" w:rsidRPr="007777E2">
        <w:rPr>
          <w:rStyle w:val="google-src-text1"/>
          <w:rFonts w:eastAsiaTheme="majorEastAsia"/>
          <w:vanish w:val="0"/>
        </w:rPr>
        <w:t xml:space="preserve">(vi) </w:t>
      </w:r>
      <w:r w:rsidR="00135E44" w:rsidRPr="007777E2">
        <w:t>effective management of the</w:t>
      </w:r>
      <w:r w:rsidR="00156D2D" w:rsidRPr="007777E2">
        <w:t xml:space="preserve"> State</w:t>
      </w:r>
      <w:r w:rsidR="00135E44" w:rsidRPr="007777E2">
        <w:t xml:space="preserve"> property in the area of transport; and </w:t>
      </w:r>
      <w:r w:rsidR="00156D2D" w:rsidRPr="007777E2">
        <w:t>(</w:t>
      </w:r>
      <w:r w:rsidR="00135E44" w:rsidRPr="007777E2">
        <w:t>vii) issuance of licenses and monitoring compliance with licens</w:t>
      </w:r>
      <w:r w:rsidR="00156D2D" w:rsidRPr="007777E2">
        <w:t>ing conditions</w:t>
      </w:r>
      <w:r w:rsidR="00135E44" w:rsidRPr="007777E2">
        <w:t xml:space="preserve">. The minister, who is appointed and dismissed by the president, manages the work of the ministry and has the mandate to establish, reorganize, and liquidate public transport institutions with the exception of Belarusian Railways. </w:t>
      </w:r>
      <w:r w:rsidRPr="007777E2">
        <w:t>MOTC</w:t>
      </w:r>
      <w:r w:rsidR="00135E44" w:rsidRPr="007777E2">
        <w:t xml:space="preserve"> consists of fifteen departments and various units (e.g., Human Resources, Public Relations</w:t>
      </w:r>
      <w:r w:rsidR="0048132C" w:rsidRPr="007777E2">
        <w:t>, etc.</w:t>
      </w:r>
      <w:r w:rsidR="005A21CD">
        <w:t>)</w:t>
      </w:r>
      <w:r w:rsidR="00135E44" w:rsidRPr="007777E2">
        <w:t xml:space="preserve"> </w:t>
      </w:r>
    </w:p>
    <w:p w:rsidR="001D4D41" w:rsidRPr="007777E2" w:rsidRDefault="001D4D41" w:rsidP="004B6EA8">
      <w:pPr>
        <w:pStyle w:val="Heading3"/>
        <w:tabs>
          <w:tab w:val="num" w:pos="0"/>
        </w:tabs>
        <w:spacing w:after="240"/>
        <w:rPr>
          <w:rFonts w:ascii="Times New Roman" w:hAnsi="Times New Roman" w:cs="Times New Roman"/>
          <w:sz w:val="24"/>
          <w:szCs w:val="24"/>
        </w:rPr>
      </w:pPr>
      <w:bookmarkStart w:id="136" w:name="_Toc282029945"/>
      <w:r w:rsidRPr="007777E2">
        <w:rPr>
          <w:rFonts w:ascii="Times New Roman" w:hAnsi="Times New Roman" w:cs="Times New Roman"/>
          <w:sz w:val="24"/>
          <w:szCs w:val="24"/>
        </w:rPr>
        <w:lastRenderedPageBreak/>
        <w:t>Transport Policy</w:t>
      </w:r>
      <w:r w:rsidR="003B60CE" w:rsidRPr="007777E2">
        <w:rPr>
          <w:rFonts w:ascii="Times New Roman" w:hAnsi="Times New Roman" w:cs="Times New Roman"/>
          <w:sz w:val="24"/>
          <w:szCs w:val="24"/>
        </w:rPr>
        <w:t xml:space="preserve">, </w:t>
      </w:r>
      <w:r w:rsidRPr="007777E2">
        <w:rPr>
          <w:rFonts w:ascii="Times New Roman" w:hAnsi="Times New Roman" w:cs="Times New Roman"/>
          <w:sz w:val="24"/>
          <w:szCs w:val="24"/>
        </w:rPr>
        <w:t>Climate Change</w:t>
      </w:r>
      <w:r w:rsidR="003B60CE" w:rsidRPr="007777E2">
        <w:rPr>
          <w:rFonts w:ascii="Times New Roman" w:hAnsi="Times New Roman" w:cs="Times New Roman"/>
          <w:sz w:val="24"/>
          <w:szCs w:val="24"/>
        </w:rPr>
        <w:t xml:space="preserve"> and </w:t>
      </w:r>
      <w:r w:rsidR="002B2A4E" w:rsidRPr="007777E2">
        <w:rPr>
          <w:rFonts w:ascii="Times New Roman" w:hAnsi="Times New Roman" w:cs="Times New Roman"/>
          <w:sz w:val="24"/>
          <w:szCs w:val="24"/>
        </w:rPr>
        <w:t xml:space="preserve">Road </w:t>
      </w:r>
      <w:r w:rsidR="003B60CE" w:rsidRPr="007777E2">
        <w:rPr>
          <w:rFonts w:ascii="Times New Roman" w:hAnsi="Times New Roman" w:cs="Times New Roman"/>
          <w:sz w:val="24"/>
          <w:szCs w:val="24"/>
        </w:rPr>
        <w:t>Safety</w:t>
      </w:r>
      <w:bookmarkEnd w:id="136"/>
    </w:p>
    <w:p w:rsidR="00135E44" w:rsidRPr="007777E2" w:rsidRDefault="00B223EC" w:rsidP="00A63E59">
      <w:pPr>
        <w:pStyle w:val="Style2"/>
        <w:rPr>
          <w:b/>
        </w:rPr>
      </w:pPr>
      <w:r>
        <w:rPr>
          <w:b/>
        </w:rPr>
        <w:t>C</w:t>
      </w:r>
      <w:r w:rsidR="00135E44" w:rsidRPr="007777E2">
        <w:rPr>
          <w:b/>
        </w:rPr>
        <w:t xml:space="preserve">limate change is </w:t>
      </w:r>
      <w:r w:rsidR="0026670B">
        <w:rPr>
          <w:b/>
        </w:rPr>
        <w:t>one of the key</w:t>
      </w:r>
      <w:r w:rsidR="00135E44" w:rsidRPr="007777E2">
        <w:rPr>
          <w:b/>
        </w:rPr>
        <w:t xml:space="preserve"> element</w:t>
      </w:r>
      <w:r w:rsidR="0026670B">
        <w:rPr>
          <w:b/>
        </w:rPr>
        <w:t>s</w:t>
      </w:r>
      <w:r w:rsidR="00135E44" w:rsidRPr="007777E2">
        <w:rPr>
          <w:b/>
        </w:rPr>
        <w:t xml:space="preserve"> in formulating transport policy in Belarus.</w:t>
      </w:r>
      <w:r w:rsidR="00135E44" w:rsidRPr="007777E2">
        <w:t xml:space="preserve"> Both vehicle ownership and travel demand have increased dramatically during </w:t>
      </w:r>
      <w:r w:rsidR="006C024E" w:rsidRPr="007777E2">
        <w:t xml:space="preserve">the </w:t>
      </w:r>
      <w:r w:rsidR="00135E44" w:rsidRPr="007777E2">
        <w:t>past two decades. Growing motor vehicle use has resulted in huge increases in fossil fuel energy consumption, contributing to greenhouse gas (GHG) emissions and to global climate change.</w:t>
      </w:r>
    </w:p>
    <w:p w:rsidR="00DB4F58" w:rsidRPr="00F70DFA" w:rsidRDefault="00135E44" w:rsidP="00F70DFA">
      <w:pPr>
        <w:pStyle w:val="Style2"/>
        <w:rPr>
          <w:b/>
        </w:rPr>
      </w:pPr>
      <w:r w:rsidRPr="007777E2">
        <w:rPr>
          <w:b/>
        </w:rPr>
        <w:t xml:space="preserve">In Belarus, </w:t>
      </w:r>
      <w:r w:rsidR="00F70DFA" w:rsidRPr="00F70DFA">
        <w:rPr>
          <w:b/>
        </w:rPr>
        <w:t>emissions from transport sector comprise about 9</w:t>
      </w:r>
      <w:r w:rsidR="004C2458">
        <w:rPr>
          <w:b/>
        </w:rPr>
        <w:t xml:space="preserve"> percent</w:t>
      </w:r>
      <w:r w:rsidR="00F70DFA" w:rsidRPr="00F70DFA">
        <w:rPr>
          <w:b/>
        </w:rPr>
        <w:t xml:space="preserve"> in total CO</w:t>
      </w:r>
      <w:r w:rsidR="00F70DFA" w:rsidRPr="00F70DFA">
        <w:rPr>
          <w:b/>
          <w:vertAlign w:val="subscript"/>
        </w:rPr>
        <w:t>2</w:t>
      </w:r>
      <w:r w:rsidR="00F70DFA" w:rsidRPr="00F70DFA">
        <w:rPr>
          <w:b/>
        </w:rPr>
        <w:t xml:space="preserve"> emissions in Belarus. Road transport contributes about 70</w:t>
      </w:r>
      <w:r w:rsidR="004C2458">
        <w:rPr>
          <w:b/>
        </w:rPr>
        <w:t xml:space="preserve"> percent</w:t>
      </w:r>
      <w:r w:rsidR="00F70DFA" w:rsidRPr="00F70DFA">
        <w:rPr>
          <w:b/>
        </w:rPr>
        <w:t xml:space="preserve"> in total CO</w:t>
      </w:r>
      <w:r w:rsidR="00F70DFA" w:rsidRPr="00F70DFA">
        <w:rPr>
          <w:b/>
          <w:vertAlign w:val="subscript"/>
        </w:rPr>
        <w:t>2</w:t>
      </w:r>
      <w:r w:rsidR="00F70DFA" w:rsidRPr="00F70DFA">
        <w:rPr>
          <w:b/>
        </w:rPr>
        <w:t xml:space="preserve"> emissions from transport sector</w:t>
      </w:r>
      <w:r w:rsidR="00F70DFA">
        <w:rPr>
          <w:b/>
        </w:rPr>
        <w:t xml:space="preserve"> </w:t>
      </w:r>
      <w:r w:rsidR="00CC435E" w:rsidRPr="007777E2">
        <w:t xml:space="preserve">(see </w:t>
      </w:r>
      <w:fldSimple w:instr=" REF _Ref257623167 \h  \* MERGEFORMAT ">
        <w:r w:rsidR="00E85C5F" w:rsidRPr="00E85C5F">
          <w:t xml:space="preserve">Table </w:t>
        </w:r>
        <w:r w:rsidR="00E85C5F" w:rsidRPr="00E85C5F">
          <w:rPr>
            <w:noProof/>
          </w:rPr>
          <w:t>6</w:t>
        </w:r>
      </w:fldSimple>
      <w:r w:rsidR="00CC435E" w:rsidRPr="007777E2">
        <w:t xml:space="preserve">). </w:t>
      </w:r>
      <w:r w:rsidRPr="007777E2">
        <w:t xml:space="preserve">From 1998 to 2007 the total </w:t>
      </w:r>
      <w:r w:rsidR="002B2A4E" w:rsidRPr="007777E2">
        <w:t xml:space="preserve">transport-related </w:t>
      </w:r>
      <w:r w:rsidRPr="007777E2">
        <w:t>air pollution emissions decreased by 27 percent in spite of the fact that the number of motor vehicles, and in particular private</w:t>
      </w:r>
      <w:r w:rsidRPr="00F70DFA">
        <w:rPr>
          <w:vertAlign w:val="superscript"/>
        </w:rPr>
        <w:t xml:space="preserve"> </w:t>
      </w:r>
      <w:r w:rsidRPr="007777E2">
        <w:t xml:space="preserve">cars, increased considerably. </w:t>
      </w:r>
      <w:r w:rsidR="00B223EC">
        <w:t xml:space="preserve">This is due to the modernization of the vehicle fleet. </w:t>
      </w:r>
      <w:r w:rsidRPr="007777E2">
        <w:t>Transport contribution to total CO</w:t>
      </w:r>
      <w:r w:rsidRPr="00F70DFA">
        <w:rPr>
          <w:vertAlign w:val="superscript"/>
        </w:rPr>
        <w:t>2</w:t>
      </w:r>
      <w:r w:rsidRPr="007777E2">
        <w:t xml:space="preserve"> emissions in Belarus is substantially lower than the world average (about 20 percent).</w:t>
      </w:r>
    </w:p>
    <w:p w:rsidR="00094D19" w:rsidRPr="007777E2" w:rsidRDefault="00094D19" w:rsidP="005958BE">
      <w:pPr>
        <w:pStyle w:val="Style2"/>
        <w:numPr>
          <w:ilvl w:val="0"/>
          <w:numId w:val="0"/>
        </w:numPr>
      </w:pPr>
    </w:p>
    <w:tbl>
      <w:tblPr>
        <w:tblStyle w:val="TableGrid"/>
        <w:tblW w:w="0" w:type="auto"/>
        <w:jc w:val="center"/>
        <w:tblLayout w:type="fixed"/>
        <w:tblLook w:val="04A0"/>
      </w:tblPr>
      <w:tblGrid>
        <w:gridCol w:w="8208"/>
      </w:tblGrid>
      <w:tr w:rsidR="00DB4F58" w:rsidRPr="007777E2" w:rsidTr="00DB4F58">
        <w:trPr>
          <w:jc w:val="center"/>
        </w:trPr>
        <w:tc>
          <w:tcPr>
            <w:tcW w:w="8208" w:type="dxa"/>
          </w:tcPr>
          <w:p w:rsidR="00DB4F58" w:rsidRPr="007777E2" w:rsidRDefault="00DB4F58" w:rsidP="004B6EA8">
            <w:pPr>
              <w:pStyle w:val="ListParagraph"/>
              <w:keepNext/>
              <w:tabs>
                <w:tab w:val="num" w:pos="0"/>
              </w:tabs>
              <w:spacing w:line="240" w:lineRule="auto"/>
              <w:ind w:left="0"/>
              <w:contextualSpacing w:val="0"/>
              <w:jc w:val="both"/>
              <w:rPr>
                <w:rFonts w:ascii="Times New Roman" w:hAnsi="Times New Roman"/>
                <w:b/>
              </w:rPr>
            </w:pPr>
            <w:bookmarkStart w:id="137" w:name="_Ref257623167"/>
            <w:bookmarkStart w:id="138" w:name="_Toc264227133"/>
            <w:r w:rsidRPr="007777E2">
              <w:rPr>
                <w:rFonts w:ascii="Times New Roman" w:hAnsi="Times New Roman"/>
                <w:b/>
              </w:rPr>
              <w:t xml:space="preserve">Table </w:t>
            </w:r>
            <w:r w:rsidR="006B40AE" w:rsidRPr="007777E2">
              <w:rPr>
                <w:rFonts w:ascii="Times New Roman" w:hAnsi="Times New Roman"/>
                <w:b/>
              </w:rPr>
              <w:fldChar w:fldCharType="begin"/>
            </w:r>
            <w:r w:rsidRPr="007777E2">
              <w:rPr>
                <w:rFonts w:ascii="Times New Roman" w:hAnsi="Times New Roman"/>
                <w:b/>
              </w:rPr>
              <w:instrText xml:space="preserve"> SEQ Table \* ARABIC </w:instrText>
            </w:r>
            <w:r w:rsidR="006B40AE" w:rsidRPr="007777E2">
              <w:rPr>
                <w:rFonts w:ascii="Times New Roman" w:hAnsi="Times New Roman"/>
                <w:b/>
              </w:rPr>
              <w:fldChar w:fldCharType="separate"/>
            </w:r>
            <w:r w:rsidR="009E2C86">
              <w:rPr>
                <w:rFonts w:ascii="Times New Roman" w:hAnsi="Times New Roman"/>
                <w:b/>
                <w:noProof/>
              </w:rPr>
              <w:t>6</w:t>
            </w:r>
            <w:r w:rsidR="006B40AE" w:rsidRPr="007777E2">
              <w:rPr>
                <w:rFonts w:ascii="Times New Roman" w:hAnsi="Times New Roman"/>
                <w:b/>
              </w:rPr>
              <w:fldChar w:fldCharType="end"/>
            </w:r>
            <w:bookmarkEnd w:id="137"/>
            <w:r w:rsidRPr="007777E2">
              <w:rPr>
                <w:rFonts w:ascii="Times New Roman" w:hAnsi="Times New Roman"/>
                <w:b/>
              </w:rPr>
              <w:t>. Total Transport Share of Pollutants Emissions in Belarus 2002-2007</w:t>
            </w:r>
            <w:bookmarkEnd w:id="138"/>
            <w:r w:rsidRPr="007777E2">
              <w:rPr>
                <w:rFonts w:ascii="Times New Roman" w:hAnsi="Times New Roman"/>
                <w:b/>
              </w:rPr>
              <w:t xml:space="preserve"> </w:t>
            </w:r>
          </w:p>
          <w:tbl>
            <w:tblPr>
              <w:tblpPr w:leftFromText="180" w:rightFromText="180" w:vertAnchor="text" w:horzAnchor="page" w:tblpXSpec="center" w:tblpY="223"/>
              <w:tblOverlap w:val="never"/>
              <w:tblW w:w="8616" w:type="dxa"/>
              <w:tblBorders>
                <w:top w:val="single" w:sz="4" w:space="0" w:color="auto"/>
                <w:bottom w:val="single" w:sz="4" w:space="0" w:color="auto"/>
                <w:insideH w:val="single" w:sz="4" w:space="0" w:color="auto"/>
              </w:tblBorders>
              <w:tblLayout w:type="fixed"/>
              <w:tblLook w:val="0000"/>
            </w:tblPr>
            <w:tblGrid>
              <w:gridCol w:w="2808"/>
              <w:gridCol w:w="792"/>
              <w:gridCol w:w="900"/>
              <w:gridCol w:w="900"/>
              <w:gridCol w:w="900"/>
              <w:gridCol w:w="900"/>
              <w:gridCol w:w="810"/>
              <w:gridCol w:w="606"/>
            </w:tblGrid>
            <w:tr w:rsidR="00DB4F58" w:rsidRPr="00804DB6" w:rsidTr="00DB4F58">
              <w:trPr>
                <w:gridAfter w:val="1"/>
                <w:wAfter w:w="606" w:type="dxa"/>
              </w:trPr>
              <w:tc>
                <w:tcPr>
                  <w:tcW w:w="2808" w:type="dxa"/>
                  <w:vAlign w:val="center"/>
                </w:tcPr>
                <w:p w:rsidR="00DB4F58" w:rsidRPr="00804DB6" w:rsidRDefault="00DB4F58" w:rsidP="004B6EA8">
                  <w:pPr>
                    <w:keepNext/>
                    <w:tabs>
                      <w:tab w:val="num" w:pos="0"/>
                    </w:tabs>
                    <w:rPr>
                      <w:rFonts w:asciiTheme="minorHAnsi" w:hAnsiTheme="minorHAnsi"/>
                      <w:b/>
                      <w:sz w:val="18"/>
                      <w:szCs w:val="18"/>
                    </w:rPr>
                  </w:pPr>
                </w:p>
              </w:tc>
              <w:tc>
                <w:tcPr>
                  <w:tcW w:w="792" w:type="dxa"/>
                  <w:vAlign w:val="center"/>
                </w:tcPr>
                <w:p w:rsidR="00DB4F58" w:rsidRPr="00804DB6" w:rsidRDefault="00DB4F58" w:rsidP="004B6EA8">
                  <w:pPr>
                    <w:keepNext/>
                    <w:tabs>
                      <w:tab w:val="num" w:pos="0"/>
                    </w:tabs>
                    <w:jc w:val="center"/>
                    <w:rPr>
                      <w:rFonts w:asciiTheme="minorHAnsi" w:hAnsiTheme="minorHAnsi"/>
                      <w:b/>
                      <w:sz w:val="18"/>
                      <w:szCs w:val="18"/>
                    </w:rPr>
                  </w:pPr>
                  <w:r w:rsidRPr="00804DB6">
                    <w:rPr>
                      <w:rFonts w:asciiTheme="minorHAnsi" w:hAnsiTheme="minorHAnsi"/>
                      <w:b/>
                      <w:sz w:val="18"/>
                      <w:szCs w:val="18"/>
                    </w:rPr>
                    <w:t>2002</w:t>
                  </w:r>
                </w:p>
              </w:tc>
              <w:tc>
                <w:tcPr>
                  <w:tcW w:w="900" w:type="dxa"/>
                  <w:vAlign w:val="center"/>
                </w:tcPr>
                <w:p w:rsidR="00DB4F58" w:rsidRPr="00804DB6" w:rsidRDefault="00DB4F58" w:rsidP="004B6EA8">
                  <w:pPr>
                    <w:keepNext/>
                    <w:tabs>
                      <w:tab w:val="num" w:pos="0"/>
                    </w:tabs>
                    <w:jc w:val="center"/>
                    <w:rPr>
                      <w:rFonts w:asciiTheme="minorHAnsi" w:hAnsiTheme="minorHAnsi"/>
                      <w:b/>
                      <w:sz w:val="18"/>
                      <w:szCs w:val="18"/>
                    </w:rPr>
                  </w:pPr>
                  <w:r w:rsidRPr="00804DB6">
                    <w:rPr>
                      <w:rFonts w:asciiTheme="minorHAnsi" w:hAnsiTheme="minorHAnsi"/>
                      <w:b/>
                      <w:sz w:val="18"/>
                      <w:szCs w:val="18"/>
                    </w:rPr>
                    <w:t>2003</w:t>
                  </w:r>
                </w:p>
              </w:tc>
              <w:tc>
                <w:tcPr>
                  <w:tcW w:w="900" w:type="dxa"/>
                  <w:vAlign w:val="center"/>
                </w:tcPr>
                <w:p w:rsidR="00DB4F58" w:rsidRPr="00804DB6" w:rsidRDefault="00DB4F58" w:rsidP="004B6EA8">
                  <w:pPr>
                    <w:keepNext/>
                    <w:tabs>
                      <w:tab w:val="num" w:pos="0"/>
                    </w:tabs>
                    <w:jc w:val="center"/>
                    <w:rPr>
                      <w:rFonts w:asciiTheme="minorHAnsi" w:hAnsiTheme="minorHAnsi"/>
                      <w:b/>
                      <w:sz w:val="18"/>
                      <w:szCs w:val="18"/>
                    </w:rPr>
                  </w:pPr>
                  <w:r w:rsidRPr="00804DB6">
                    <w:rPr>
                      <w:rFonts w:asciiTheme="minorHAnsi" w:hAnsiTheme="minorHAnsi"/>
                      <w:b/>
                      <w:sz w:val="18"/>
                      <w:szCs w:val="18"/>
                    </w:rPr>
                    <w:t>2004</w:t>
                  </w:r>
                </w:p>
              </w:tc>
              <w:tc>
                <w:tcPr>
                  <w:tcW w:w="900" w:type="dxa"/>
                  <w:vAlign w:val="center"/>
                </w:tcPr>
                <w:p w:rsidR="00DB4F58" w:rsidRPr="00804DB6" w:rsidRDefault="00DB4F58" w:rsidP="004B6EA8">
                  <w:pPr>
                    <w:keepNext/>
                    <w:tabs>
                      <w:tab w:val="num" w:pos="0"/>
                    </w:tabs>
                    <w:jc w:val="center"/>
                    <w:rPr>
                      <w:rFonts w:asciiTheme="minorHAnsi" w:hAnsiTheme="minorHAnsi"/>
                      <w:b/>
                      <w:sz w:val="18"/>
                      <w:szCs w:val="18"/>
                    </w:rPr>
                  </w:pPr>
                  <w:r w:rsidRPr="00804DB6">
                    <w:rPr>
                      <w:rFonts w:asciiTheme="minorHAnsi" w:hAnsiTheme="minorHAnsi"/>
                      <w:b/>
                      <w:sz w:val="18"/>
                      <w:szCs w:val="18"/>
                    </w:rPr>
                    <w:t>2005</w:t>
                  </w:r>
                </w:p>
              </w:tc>
              <w:tc>
                <w:tcPr>
                  <w:tcW w:w="900" w:type="dxa"/>
                  <w:vAlign w:val="center"/>
                </w:tcPr>
                <w:p w:rsidR="00DB4F58" w:rsidRPr="00804DB6" w:rsidRDefault="00DB4F58" w:rsidP="004B6EA8">
                  <w:pPr>
                    <w:keepNext/>
                    <w:tabs>
                      <w:tab w:val="num" w:pos="0"/>
                    </w:tabs>
                    <w:jc w:val="center"/>
                    <w:rPr>
                      <w:rFonts w:asciiTheme="minorHAnsi" w:hAnsiTheme="minorHAnsi"/>
                      <w:b/>
                      <w:sz w:val="18"/>
                      <w:szCs w:val="18"/>
                    </w:rPr>
                  </w:pPr>
                  <w:r w:rsidRPr="00804DB6">
                    <w:rPr>
                      <w:rFonts w:asciiTheme="minorHAnsi" w:hAnsiTheme="minorHAnsi"/>
                      <w:b/>
                      <w:sz w:val="18"/>
                      <w:szCs w:val="18"/>
                    </w:rPr>
                    <w:t>2006</w:t>
                  </w:r>
                </w:p>
              </w:tc>
              <w:tc>
                <w:tcPr>
                  <w:tcW w:w="810" w:type="dxa"/>
                  <w:vAlign w:val="center"/>
                </w:tcPr>
                <w:p w:rsidR="00DB4F58" w:rsidRPr="00804DB6" w:rsidRDefault="00DB4F58" w:rsidP="004B6EA8">
                  <w:pPr>
                    <w:keepNext/>
                    <w:tabs>
                      <w:tab w:val="num" w:pos="0"/>
                    </w:tabs>
                    <w:jc w:val="center"/>
                    <w:rPr>
                      <w:rFonts w:asciiTheme="minorHAnsi" w:hAnsiTheme="minorHAnsi"/>
                      <w:b/>
                      <w:sz w:val="18"/>
                      <w:szCs w:val="18"/>
                    </w:rPr>
                  </w:pPr>
                  <w:r w:rsidRPr="00804DB6">
                    <w:rPr>
                      <w:rFonts w:asciiTheme="minorHAnsi" w:hAnsiTheme="minorHAnsi"/>
                      <w:b/>
                      <w:sz w:val="18"/>
                      <w:szCs w:val="18"/>
                    </w:rPr>
                    <w:t>2007</w:t>
                  </w:r>
                </w:p>
              </w:tc>
            </w:tr>
            <w:tr w:rsidR="00DB4F58" w:rsidRPr="00804DB6" w:rsidTr="00DB4F58">
              <w:trPr>
                <w:gridAfter w:val="1"/>
                <w:wAfter w:w="606" w:type="dxa"/>
              </w:trPr>
              <w:tc>
                <w:tcPr>
                  <w:tcW w:w="2808" w:type="dxa"/>
                  <w:vAlign w:val="center"/>
                </w:tcPr>
                <w:p w:rsidR="001510D5" w:rsidRPr="00A52D36" w:rsidRDefault="00974C73" w:rsidP="004B6EA8">
                  <w:pPr>
                    <w:keepNext/>
                    <w:tabs>
                      <w:tab w:val="num" w:pos="0"/>
                    </w:tabs>
                    <w:rPr>
                      <w:rFonts w:asciiTheme="minorHAnsi" w:hAnsiTheme="minorHAnsi"/>
                      <w:sz w:val="20"/>
                      <w:szCs w:val="18"/>
                    </w:rPr>
                  </w:pPr>
                  <w:r w:rsidRPr="00A52D36">
                    <w:rPr>
                      <w:rFonts w:asciiTheme="minorHAnsi" w:hAnsiTheme="minorHAnsi"/>
                      <w:sz w:val="20"/>
                      <w:szCs w:val="18"/>
                    </w:rPr>
                    <w:t xml:space="preserve">Pollutant Emissions from </w:t>
                  </w:r>
                </w:p>
                <w:p w:rsidR="00DB4F58" w:rsidRPr="00A52D36" w:rsidRDefault="00974C73" w:rsidP="004B6EA8">
                  <w:pPr>
                    <w:keepNext/>
                    <w:tabs>
                      <w:tab w:val="num" w:pos="0"/>
                    </w:tabs>
                    <w:rPr>
                      <w:rFonts w:asciiTheme="minorHAnsi" w:hAnsiTheme="minorHAnsi"/>
                      <w:sz w:val="20"/>
                      <w:szCs w:val="18"/>
                    </w:rPr>
                  </w:pPr>
                  <w:r w:rsidRPr="00A52D36">
                    <w:rPr>
                      <w:rFonts w:asciiTheme="minorHAnsi" w:hAnsiTheme="minorHAnsi"/>
                      <w:sz w:val="20"/>
                      <w:szCs w:val="18"/>
                    </w:rPr>
                    <w:t>mobile sou</w:t>
                  </w:r>
                  <w:r w:rsidR="00D74ABC" w:rsidRPr="00A52D36">
                    <w:rPr>
                      <w:rFonts w:asciiTheme="minorHAnsi" w:hAnsiTheme="minorHAnsi"/>
                      <w:sz w:val="20"/>
                      <w:szCs w:val="18"/>
                    </w:rPr>
                    <w:t>rces</w:t>
                  </w:r>
                </w:p>
                <w:p w:rsidR="00DB4F58" w:rsidRPr="00A52D36" w:rsidRDefault="00DB4F58" w:rsidP="004B6EA8">
                  <w:pPr>
                    <w:keepNext/>
                    <w:tabs>
                      <w:tab w:val="num" w:pos="0"/>
                    </w:tabs>
                    <w:rPr>
                      <w:rFonts w:asciiTheme="minorHAnsi" w:hAnsiTheme="minorHAnsi"/>
                      <w:sz w:val="20"/>
                      <w:szCs w:val="18"/>
                    </w:rPr>
                  </w:pPr>
                  <w:r w:rsidRPr="00A52D36">
                    <w:rPr>
                      <w:rFonts w:asciiTheme="minorHAnsi" w:hAnsiTheme="minorHAnsi"/>
                      <w:sz w:val="20"/>
                      <w:szCs w:val="18"/>
                    </w:rPr>
                    <w:t>(thousand tons/year)</w:t>
                  </w:r>
                </w:p>
              </w:tc>
              <w:tc>
                <w:tcPr>
                  <w:tcW w:w="792" w:type="dxa"/>
                  <w:vAlign w:val="center"/>
                </w:tcPr>
                <w:p w:rsidR="00DB4F58" w:rsidRPr="00A52D36" w:rsidRDefault="001510D5" w:rsidP="004B6EA8">
                  <w:pPr>
                    <w:keepNext/>
                    <w:tabs>
                      <w:tab w:val="num" w:pos="0"/>
                    </w:tabs>
                    <w:jc w:val="center"/>
                    <w:rPr>
                      <w:rFonts w:asciiTheme="minorHAnsi" w:hAnsiTheme="minorHAnsi"/>
                      <w:sz w:val="20"/>
                      <w:szCs w:val="18"/>
                    </w:rPr>
                  </w:pPr>
                  <w:r w:rsidRPr="00A52D36">
                    <w:rPr>
                      <w:rFonts w:asciiTheme="minorHAnsi" w:hAnsiTheme="minorHAnsi"/>
                      <w:sz w:val="20"/>
                      <w:szCs w:val="18"/>
                    </w:rPr>
                    <w:t>928</w:t>
                  </w:r>
                </w:p>
              </w:tc>
              <w:tc>
                <w:tcPr>
                  <w:tcW w:w="900" w:type="dxa"/>
                  <w:vAlign w:val="center"/>
                </w:tcPr>
                <w:p w:rsidR="00DB4F58" w:rsidRPr="00A52D36" w:rsidRDefault="001510D5" w:rsidP="004B6EA8">
                  <w:pPr>
                    <w:keepNext/>
                    <w:tabs>
                      <w:tab w:val="num" w:pos="0"/>
                    </w:tabs>
                    <w:jc w:val="center"/>
                    <w:rPr>
                      <w:rFonts w:asciiTheme="minorHAnsi" w:hAnsiTheme="minorHAnsi"/>
                      <w:sz w:val="20"/>
                      <w:szCs w:val="18"/>
                    </w:rPr>
                  </w:pPr>
                  <w:r w:rsidRPr="00A52D36">
                    <w:rPr>
                      <w:rFonts w:asciiTheme="minorHAnsi" w:hAnsiTheme="minorHAnsi"/>
                      <w:sz w:val="20"/>
                      <w:szCs w:val="18"/>
                    </w:rPr>
                    <w:t>955</w:t>
                  </w:r>
                </w:p>
              </w:tc>
              <w:tc>
                <w:tcPr>
                  <w:tcW w:w="900" w:type="dxa"/>
                  <w:vAlign w:val="center"/>
                </w:tcPr>
                <w:p w:rsidR="00DB4F58" w:rsidRPr="00A52D36" w:rsidRDefault="001510D5" w:rsidP="004B6EA8">
                  <w:pPr>
                    <w:keepNext/>
                    <w:tabs>
                      <w:tab w:val="num" w:pos="0"/>
                    </w:tabs>
                    <w:jc w:val="center"/>
                    <w:rPr>
                      <w:rFonts w:asciiTheme="minorHAnsi" w:hAnsiTheme="minorHAnsi"/>
                      <w:sz w:val="20"/>
                      <w:szCs w:val="18"/>
                    </w:rPr>
                  </w:pPr>
                  <w:r w:rsidRPr="00A52D36">
                    <w:rPr>
                      <w:rFonts w:asciiTheme="minorHAnsi" w:hAnsiTheme="minorHAnsi"/>
                      <w:sz w:val="20"/>
                      <w:szCs w:val="18"/>
                    </w:rPr>
                    <w:t>945</w:t>
                  </w:r>
                </w:p>
              </w:tc>
              <w:tc>
                <w:tcPr>
                  <w:tcW w:w="900" w:type="dxa"/>
                  <w:vAlign w:val="center"/>
                </w:tcPr>
                <w:p w:rsidR="00DB4F58" w:rsidRPr="00A52D36" w:rsidRDefault="001510D5" w:rsidP="004B6EA8">
                  <w:pPr>
                    <w:keepNext/>
                    <w:tabs>
                      <w:tab w:val="num" w:pos="0"/>
                    </w:tabs>
                    <w:jc w:val="center"/>
                    <w:rPr>
                      <w:rFonts w:asciiTheme="minorHAnsi" w:hAnsiTheme="minorHAnsi"/>
                      <w:sz w:val="20"/>
                      <w:szCs w:val="18"/>
                    </w:rPr>
                  </w:pPr>
                  <w:r w:rsidRPr="00A52D36">
                    <w:rPr>
                      <w:rFonts w:asciiTheme="minorHAnsi" w:hAnsiTheme="minorHAnsi"/>
                      <w:sz w:val="20"/>
                      <w:szCs w:val="18"/>
                    </w:rPr>
                    <w:t>1013</w:t>
                  </w:r>
                </w:p>
              </w:tc>
              <w:tc>
                <w:tcPr>
                  <w:tcW w:w="900" w:type="dxa"/>
                  <w:vAlign w:val="center"/>
                </w:tcPr>
                <w:p w:rsidR="00DB4F58" w:rsidRPr="00A52D36" w:rsidRDefault="001510D5" w:rsidP="004B6EA8">
                  <w:pPr>
                    <w:keepNext/>
                    <w:tabs>
                      <w:tab w:val="num" w:pos="0"/>
                    </w:tabs>
                    <w:jc w:val="center"/>
                    <w:rPr>
                      <w:rFonts w:asciiTheme="minorHAnsi" w:hAnsiTheme="minorHAnsi"/>
                      <w:sz w:val="20"/>
                      <w:szCs w:val="18"/>
                    </w:rPr>
                  </w:pPr>
                  <w:r w:rsidRPr="00A52D36">
                    <w:rPr>
                      <w:rFonts w:asciiTheme="minorHAnsi" w:hAnsiTheme="minorHAnsi"/>
                      <w:sz w:val="20"/>
                      <w:szCs w:val="18"/>
                    </w:rPr>
                    <w:t>1137</w:t>
                  </w:r>
                </w:p>
              </w:tc>
              <w:tc>
                <w:tcPr>
                  <w:tcW w:w="810" w:type="dxa"/>
                  <w:vAlign w:val="center"/>
                </w:tcPr>
                <w:p w:rsidR="00DB4F58" w:rsidRPr="00A52D36" w:rsidRDefault="001510D5" w:rsidP="004B6EA8">
                  <w:pPr>
                    <w:keepNext/>
                    <w:tabs>
                      <w:tab w:val="num" w:pos="0"/>
                    </w:tabs>
                    <w:jc w:val="center"/>
                    <w:rPr>
                      <w:rFonts w:asciiTheme="minorHAnsi" w:hAnsiTheme="minorHAnsi"/>
                      <w:sz w:val="20"/>
                      <w:szCs w:val="18"/>
                    </w:rPr>
                  </w:pPr>
                  <w:r w:rsidRPr="00A52D36">
                    <w:rPr>
                      <w:rFonts w:asciiTheme="minorHAnsi" w:hAnsiTheme="minorHAnsi"/>
                      <w:sz w:val="20"/>
                      <w:szCs w:val="18"/>
                    </w:rPr>
                    <w:t>1123</w:t>
                  </w:r>
                </w:p>
              </w:tc>
            </w:tr>
            <w:tr w:rsidR="00DB4F58" w:rsidRPr="00804DB6" w:rsidTr="00DB4F58">
              <w:trPr>
                <w:gridAfter w:val="1"/>
                <w:wAfter w:w="606" w:type="dxa"/>
              </w:trPr>
              <w:tc>
                <w:tcPr>
                  <w:tcW w:w="2808" w:type="dxa"/>
                  <w:vAlign w:val="center"/>
                </w:tcPr>
                <w:p w:rsidR="00DB4F58" w:rsidRPr="00A52D36" w:rsidRDefault="00DB4F58" w:rsidP="004B6EA8">
                  <w:pPr>
                    <w:keepNext/>
                    <w:tabs>
                      <w:tab w:val="num" w:pos="0"/>
                    </w:tabs>
                    <w:rPr>
                      <w:rFonts w:asciiTheme="minorHAnsi" w:hAnsiTheme="minorHAnsi"/>
                      <w:sz w:val="20"/>
                      <w:szCs w:val="18"/>
                    </w:rPr>
                  </w:pPr>
                  <w:r w:rsidRPr="00A52D36">
                    <w:rPr>
                      <w:rFonts w:asciiTheme="minorHAnsi" w:hAnsiTheme="minorHAnsi"/>
                      <w:sz w:val="20"/>
                      <w:szCs w:val="18"/>
                    </w:rPr>
                    <w:t>Transport share of total</w:t>
                  </w:r>
                  <w:r w:rsidR="001510D5" w:rsidRPr="00A52D36">
                    <w:rPr>
                      <w:rFonts w:asciiTheme="minorHAnsi" w:hAnsiTheme="minorHAnsi"/>
                      <w:sz w:val="20"/>
                      <w:szCs w:val="18"/>
                    </w:rPr>
                    <w:t xml:space="preserve"> (mobile sources)</w:t>
                  </w:r>
                  <w:r w:rsidRPr="00A52D36">
                    <w:rPr>
                      <w:rFonts w:asciiTheme="minorHAnsi" w:hAnsiTheme="minorHAnsi"/>
                      <w:sz w:val="20"/>
                      <w:szCs w:val="18"/>
                    </w:rPr>
                    <w:t xml:space="preserve"> air pollutant emissions</w:t>
                  </w:r>
                </w:p>
              </w:tc>
              <w:tc>
                <w:tcPr>
                  <w:tcW w:w="792" w:type="dxa"/>
                  <w:vAlign w:val="center"/>
                </w:tcPr>
                <w:p w:rsidR="00DB4F58" w:rsidRPr="00A52D36" w:rsidRDefault="001510D5" w:rsidP="004B6EA8">
                  <w:pPr>
                    <w:keepNext/>
                    <w:tabs>
                      <w:tab w:val="num" w:pos="0"/>
                    </w:tabs>
                    <w:jc w:val="center"/>
                    <w:rPr>
                      <w:rFonts w:asciiTheme="minorHAnsi" w:hAnsiTheme="minorHAnsi"/>
                      <w:sz w:val="20"/>
                      <w:szCs w:val="18"/>
                    </w:rPr>
                  </w:pPr>
                  <w:r w:rsidRPr="00A52D36">
                    <w:rPr>
                      <w:rFonts w:asciiTheme="minorHAnsi" w:hAnsiTheme="minorHAnsi"/>
                      <w:sz w:val="20"/>
                      <w:szCs w:val="18"/>
                    </w:rPr>
                    <w:t>69</w:t>
                  </w:r>
                  <w:r w:rsidR="00DB4F58" w:rsidRPr="00A52D36">
                    <w:rPr>
                      <w:rFonts w:asciiTheme="minorHAnsi" w:hAnsiTheme="minorHAnsi"/>
                      <w:sz w:val="20"/>
                      <w:szCs w:val="18"/>
                    </w:rPr>
                    <w:t>%</w:t>
                  </w:r>
                </w:p>
              </w:tc>
              <w:tc>
                <w:tcPr>
                  <w:tcW w:w="900" w:type="dxa"/>
                  <w:vAlign w:val="center"/>
                </w:tcPr>
                <w:p w:rsidR="00DB4F58" w:rsidRPr="00A52D36" w:rsidRDefault="001510D5" w:rsidP="004B6EA8">
                  <w:pPr>
                    <w:keepNext/>
                    <w:tabs>
                      <w:tab w:val="num" w:pos="0"/>
                    </w:tabs>
                    <w:jc w:val="center"/>
                    <w:rPr>
                      <w:rFonts w:asciiTheme="minorHAnsi" w:hAnsiTheme="minorHAnsi"/>
                      <w:sz w:val="20"/>
                      <w:szCs w:val="18"/>
                    </w:rPr>
                  </w:pPr>
                  <w:r w:rsidRPr="00A52D36">
                    <w:rPr>
                      <w:rFonts w:asciiTheme="minorHAnsi" w:hAnsiTheme="minorHAnsi"/>
                      <w:sz w:val="20"/>
                      <w:szCs w:val="18"/>
                    </w:rPr>
                    <w:t>69</w:t>
                  </w:r>
                  <w:r w:rsidR="00DB4F58" w:rsidRPr="00A52D36">
                    <w:rPr>
                      <w:rFonts w:asciiTheme="minorHAnsi" w:hAnsiTheme="minorHAnsi"/>
                      <w:sz w:val="20"/>
                      <w:szCs w:val="18"/>
                    </w:rPr>
                    <w:t>%</w:t>
                  </w:r>
                </w:p>
              </w:tc>
              <w:tc>
                <w:tcPr>
                  <w:tcW w:w="900" w:type="dxa"/>
                  <w:vAlign w:val="center"/>
                </w:tcPr>
                <w:p w:rsidR="00DB4F58" w:rsidRPr="00A52D36" w:rsidRDefault="001510D5" w:rsidP="004B6EA8">
                  <w:pPr>
                    <w:keepNext/>
                    <w:tabs>
                      <w:tab w:val="num" w:pos="0"/>
                    </w:tabs>
                    <w:jc w:val="center"/>
                    <w:rPr>
                      <w:rFonts w:asciiTheme="minorHAnsi" w:hAnsiTheme="minorHAnsi"/>
                      <w:sz w:val="20"/>
                      <w:szCs w:val="18"/>
                    </w:rPr>
                  </w:pPr>
                  <w:r w:rsidRPr="00A52D36">
                    <w:rPr>
                      <w:rFonts w:asciiTheme="minorHAnsi" w:hAnsiTheme="minorHAnsi"/>
                      <w:sz w:val="20"/>
                      <w:szCs w:val="18"/>
                    </w:rPr>
                    <w:t>69</w:t>
                  </w:r>
                  <w:r w:rsidR="00DB4F58" w:rsidRPr="00A52D36">
                    <w:rPr>
                      <w:rFonts w:asciiTheme="minorHAnsi" w:hAnsiTheme="minorHAnsi"/>
                      <w:sz w:val="20"/>
                      <w:szCs w:val="18"/>
                    </w:rPr>
                    <w:t>%</w:t>
                  </w:r>
                </w:p>
              </w:tc>
              <w:tc>
                <w:tcPr>
                  <w:tcW w:w="900" w:type="dxa"/>
                  <w:vAlign w:val="center"/>
                </w:tcPr>
                <w:p w:rsidR="00DB4F58" w:rsidRPr="00A52D36" w:rsidRDefault="00DB4F58" w:rsidP="004B6EA8">
                  <w:pPr>
                    <w:keepNext/>
                    <w:tabs>
                      <w:tab w:val="num" w:pos="0"/>
                    </w:tabs>
                    <w:jc w:val="center"/>
                    <w:rPr>
                      <w:rFonts w:asciiTheme="minorHAnsi" w:hAnsiTheme="minorHAnsi"/>
                      <w:sz w:val="20"/>
                      <w:szCs w:val="18"/>
                    </w:rPr>
                  </w:pPr>
                  <w:r w:rsidRPr="00A52D36">
                    <w:rPr>
                      <w:rFonts w:asciiTheme="minorHAnsi" w:hAnsiTheme="minorHAnsi"/>
                      <w:sz w:val="20"/>
                      <w:szCs w:val="18"/>
                    </w:rPr>
                    <w:t>7</w:t>
                  </w:r>
                  <w:r w:rsidR="001510D5" w:rsidRPr="00A52D36">
                    <w:rPr>
                      <w:rFonts w:asciiTheme="minorHAnsi" w:hAnsiTheme="minorHAnsi"/>
                      <w:sz w:val="20"/>
                      <w:szCs w:val="18"/>
                    </w:rPr>
                    <w:t>0</w:t>
                  </w:r>
                  <w:r w:rsidRPr="00A52D36">
                    <w:rPr>
                      <w:rFonts w:asciiTheme="minorHAnsi" w:hAnsiTheme="minorHAnsi"/>
                      <w:sz w:val="20"/>
                      <w:szCs w:val="18"/>
                    </w:rPr>
                    <w:t>%</w:t>
                  </w:r>
                </w:p>
              </w:tc>
              <w:tc>
                <w:tcPr>
                  <w:tcW w:w="900" w:type="dxa"/>
                  <w:vAlign w:val="center"/>
                </w:tcPr>
                <w:p w:rsidR="00DB4F58" w:rsidRPr="00A52D36" w:rsidRDefault="001510D5" w:rsidP="004B6EA8">
                  <w:pPr>
                    <w:keepNext/>
                    <w:tabs>
                      <w:tab w:val="num" w:pos="0"/>
                    </w:tabs>
                    <w:jc w:val="center"/>
                    <w:rPr>
                      <w:rFonts w:asciiTheme="minorHAnsi" w:hAnsiTheme="minorHAnsi"/>
                      <w:sz w:val="20"/>
                      <w:szCs w:val="18"/>
                    </w:rPr>
                  </w:pPr>
                  <w:r w:rsidRPr="00A52D36">
                    <w:rPr>
                      <w:rFonts w:asciiTheme="minorHAnsi" w:hAnsiTheme="minorHAnsi"/>
                      <w:sz w:val="20"/>
                      <w:szCs w:val="18"/>
                    </w:rPr>
                    <w:t>71</w:t>
                  </w:r>
                  <w:r w:rsidR="00DB4F58" w:rsidRPr="00A52D36">
                    <w:rPr>
                      <w:rFonts w:asciiTheme="minorHAnsi" w:hAnsiTheme="minorHAnsi"/>
                      <w:sz w:val="20"/>
                      <w:szCs w:val="18"/>
                    </w:rPr>
                    <w:t>%</w:t>
                  </w:r>
                </w:p>
              </w:tc>
              <w:tc>
                <w:tcPr>
                  <w:tcW w:w="810" w:type="dxa"/>
                  <w:vAlign w:val="center"/>
                </w:tcPr>
                <w:p w:rsidR="00DB4F58" w:rsidRPr="00A52D36" w:rsidRDefault="001510D5" w:rsidP="004B6EA8">
                  <w:pPr>
                    <w:keepNext/>
                    <w:tabs>
                      <w:tab w:val="num" w:pos="0"/>
                    </w:tabs>
                    <w:jc w:val="center"/>
                    <w:rPr>
                      <w:rFonts w:asciiTheme="minorHAnsi" w:hAnsiTheme="minorHAnsi"/>
                      <w:sz w:val="20"/>
                      <w:szCs w:val="18"/>
                    </w:rPr>
                  </w:pPr>
                  <w:r w:rsidRPr="00A52D36">
                    <w:rPr>
                      <w:rFonts w:asciiTheme="minorHAnsi" w:hAnsiTheme="minorHAnsi"/>
                      <w:sz w:val="20"/>
                      <w:szCs w:val="18"/>
                    </w:rPr>
                    <w:t>71</w:t>
                  </w:r>
                  <w:r w:rsidR="00DB4F58" w:rsidRPr="00A52D36">
                    <w:rPr>
                      <w:rFonts w:asciiTheme="minorHAnsi" w:hAnsiTheme="minorHAnsi"/>
                      <w:sz w:val="20"/>
                      <w:szCs w:val="18"/>
                    </w:rPr>
                    <w:t>%</w:t>
                  </w:r>
                </w:p>
              </w:tc>
            </w:tr>
            <w:tr w:rsidR="00DB4F58" w:rsidRPr="00804DB6" w:rsidTr="00DB4F58">
              <w:trPr>
                <w:gridAfter w:val="1"/>
                <w:wAfter w:w="606" w:type="dxa"/>
              </w:trPr>
              <w:tc>
                <w:tcPr>
                  <w:tcW w:w="2808" w:type="dxa"/>
                  <w:tcBorders>
                    <w:bottom w:val="single" w:sz="4" w:space="0" w:color="auto"/>
                  </w:tcBorders>
                  <w:vAlign w:val="center"/>
                </w:tcPr>
                <w:p w:rsidR="00DB4F58" w:rsidRPr="00A52D36" w:rsidRDefault="00DB4F58" w:rsidP="004B6EA8">
                  <w:pPr>
                    <w:keepNext/>
                    <w:tabs>
                      <w:tab w:val="num" w:pos="0"/>
                    </w:tabs>
                    <w:rPr>
                      <w:rFonts w:asciiTheme="minorHAnsi" w:hAnsiTheme="minorHAnsi"/>
                      <w:sz w:val="20"/>
                      <w:szCs w:val="18"/>
                    </w:rPr>
                  </w:pPr>
                  <w:r w:rsidRPr="00A52D36">
                    <w:rPr>
                      <w:rFonts w:asciiTheme="minorHAnsi" w:hAnsiTheme="minorHAnsi"/>
                      <w:sz w:val="20"/>
                      <w:szCs w:val="18"/>
                    </w:rPr>
                    <w:t>Transport share of total CO2  emissions</w:t>
                  </w:r>
                </w:p>
              </w:tc>
              <w:tc>
                <w:tcPr>
                  <w:tcW w:w="792" w:type="dxa"/>
                  <w:tcBorders>
                    <w:bottom w:val="single" w:sz="4" w:space="0" w:color="auto"/>
                  </w:tcBorders>
                  <w:vAlign w:val="center"/>
                </w:tcPr>
                <w:p w:rsidR="00DB4F58" w:rsidRPr="00A52D36" w:rsidRDefault="00DB4F58" w:rsidP="004B6EA8">
                  <w:pPr>
                    <w:keepNext/>
                    <w:tabs>
                      <w:tab w:val="num" w:pos="0"/>
                    </w:tabs>
                    <w:jc w:val="center"/>
                    <w:rPr>
                      <w:rFonts w:asciiTheme="minorHAnsi" w:hAnsiTheme="minorHAnsi"/>
                      <w:sz w:val="20"/>
                      <w:szCs w:val="18"/>
                    </w:rPr>
                  </w:pPr>
                  <w:r w:rsidRPr="00A52D36">
                    <w:rPr>
                      <w:rFonts w:asciiTheme="minorHAnsi" w:hAnsiTheme="minorHAnsi"/>
                      <w:sz w:val="20"/>
                      <w:szCs w:val="18"/>
                    </w:rPr>
                    <w:t>1</w:t>
                  </w:r>
                  <w:r w:rsidR="001510D5" w:rsidRPr="00A52D36">
                    <w:rPr>
                      <w:rFonts w:asciiTheme="minorHAnsi" w:hAnsiTheme="minorHAnsi"/>
                      <w:sz w:val="20"/>
                      <w:szCs w:val="18"/>
                    </w:rPr>
                    <w:t>1</w:t>
                  </w:r>
                  <w:r w:rsidRPr="00A52D36">
                    <w:rPr>
                      <w:rFonts w:asciiTheme="minorHAnsi" w:hAnsiTheme="minorHAnsi"/>
                      <w:sz w:val="20"/>
                      <w:szCs w:val="18"/>
                    </w:rPr>
                    <w:t>%</w:t>
                  </w:r>
                </w:p>
              </w:tc>
              <w:tc>
                <w:tcPr>
                  <w:tcW w:w="900" w:type="dxa"/>
                  <w:tcBorders>
                    <w:bottom w:val="single" w:sz="4" w:space="0" w:color="auto"/>
                  </w:tcBorders>
                  <w:vAlign w:val="center"/>
                </w:tcPr>
                <w:p w:rsidR="00DB4F58" w:rsidRPr="00A52D36" w:rsidRDefault="00DB4F58" w:rsidP="004B6EA8">
                  <w:pPr>
                    <w:keepNext/>
                    <w:tabs>
                      <w:tab w:val="num" w:pos="0"/>
                    </w:tabs>
                    <w:jc w:val="center"/>
                    <w:rPr>
                      <w:rFonts w:asciiTheme="minorHAnsi" w:hAnsiTheme="minorHAnsi"/>
                      <w:sz w:val="20"/>
                      <w:szCs w:val="18"/>
                    </w:rPr>
                  </w:pPr>
                  <w:r w:rsidRPr="00A52D36">
                    <w:rPr>
                      <w:rFonts w:asciiTheme="minorHAnsi" w:hAnsiTheme="minorHAnsi"/>
                      <w:sz w:val="20"/>
                      <w:szCs w:val="18"/>
                    </w:rPr>
                    <w:t>11%</w:t>
                  </w:r>
                </w:p>
              </w:tc>
              <w:tc>
                <w:tcPr>
                  <w:tcW w:w="900" w:type="dxa"/>
                  <w:tcBorders>
                    <w:bottom w:val="single" w:sz="4" w:space="0" w:color="auto"/>
                  </w:tcBorders>
                  <w:vAlign w:val="center"/>
                </w:tcPr>
                <w:p w:rsidR="00DB4F58" w:rsidRPr="00A52D36" w:rsidRDefault="00DB4F58" w:rsidP="004B6EA8">
                  <w:pPr>
                    <w:keepNext/>
                    <w:tabs>
                      <w:tab w:val="num" w:pos="0"/>
                    </w:tabs>
                    <w:jc w:val="center"/>
                    <w:rPr>
                      <w:rFonts w:asciiTheme="minorHAnsi" w:hAnsiTheme="minorHAnsi"/>
                      <w:sz w:val="20"/>
                      <w:szCs w:val="18"/>
                    </w:rPr>
                  </w:pPr>
                  <w:r w:rsidRPr="00A52D36">
                    <w:rPr>
                      <w:rFonts w:asciiTheme="minorHAnsi" w:hAnsiTheme="minorHAnsi"/>
                      <w:sz w:val="20"/>
                      <w:szCs w:val="18"/>
                    </w:rPr>
                    <w:t>11%</w:t>
                  </w:r>
                </w:p>
              </w:tc>
              <w:tc>
                <w:tcPr>
                  <w:tcW w:w="900" w:type="dxa"/>
                  <w:tcBorders>
                    <w:bottom w:val="single" w:sz="4" w:space="0" w:color="auto"/>
                  </w:tcBorders>
                  <w:vAlign w:val="center"/>
                </w:tcPr>
                <w:p w:rsidR="00DB4F58" w:rsidRPr="00A52D36" w:rsidRDefault="00DB4F58" w:rsidP="004B6EA8">
                  <w:pPr>
                    <w:keepNext/>
                    <w:tabs>
                      <w:tab w:val="num" w:pos="0"/>
                    </w:tabs>
                    <w:jc w:val="center"/>
                    <w:rPr>
                      <w:rFonts w:asciiTheme="minorHAnsi" w:hAnsiTheme="minorHAnsi"/>
                      <w:sz w:val="20"/>
                      <w:szCs w:val="18"/>
                    </w:rPr>
                  </w:pPr>
                  <w:r w:rsidRPr="00A52D36">
                    <w:rPr>
                      <w:rFonts w:asciiTheme="minorHAnsi" w:hAnsiTheme="minorHAnsi"/>
                      <w:sz w:val="20"/>
                      <w:szCs w:val="18"/>
                    </w:rPr>
                    <w:t>10%</w:t>
                  </w:r>
                </w:p>
              </w:tc>
              <w:tc>
                <w:tcPr>
                  <w:tcW w:w="900" w:type="dxa"/>
                  <w:tcBorders>
                    <w:bottom w:val="single" w:sz="4" w:space="0" w:color="auto"/>
                  </w:tcBorders>
                  <w:vAlign w:val="center"/>
                </w:tcPr>
                <w:p w:rsidR="00DB4F58" w:rsidRPr="00A52D36" w:rsidRDefault="00DB4F58" w:rsidP="004B6EA8">
                  <w:pPr>
                    <w:keepNext/>
                    <w:tabs>
                      <w:tab w:val="num" w:pos="0"/>
                    </w:tabs>
                    <w:jc w:val="center"/>
                    <w:rPr>
                      <w:rFonts w:asciiTheme="minorHAnsi" w:hAnsiTheme="minorHAnsi"/>
                      <w:sz w:val="20"/>
                      <w:szCs w:val="18"/>
                    </w:rPr>
                  </w:pPr>
                  <w:r w:rsidRPr="00A52D36">
                    <w:rPr>
                      <w:rFonts w:asciiTheme="minorHAnsi" w:hAnsiTheme="minorHAnsi"/>
                      <w:sz w:val="20"/>
                      <w:szCs w:val="18"/>
                    </w:rPr>
                    <w:t>9%</w:t>
                  </w:r>
                </w:p>
              </w:tc>
              <w:tc>
                <w:tcPr>
                  <w:tcW w:w="810" w:type="dxa"/>
                  <w:tcBorders>
                    <w:bottom w:val="single" w:sz="4" w:space="0" w:color="auto"/>
                  </w:tcBorders>
                  <w:vAlign w:val="center"/>
                </w:tcPr>
                <w:p w:rsidR="00DB4F58" w:rsidRPr="00A52D36" w:rsidRDefault="00DB4F58" w:rsidP="004B6EA8">
                  <w:pPr>
                    <w:keepNext/>
                    <w:tabs>
                      <w:tab w:val="num" w:pos="0"/>
                    </w:tabs>
                    <w:jc w:val="center"/>
                    <w:rPr>
                      <w:rFonts w:asciiTheme="minorHAnsi" w:hAnsiTheme="minorHAnsi"/>
                      <w:sz w:val="20"/>
                      <w:szCs w:val="18"/>
                    </w:rPr>
                  </w:pPr>
                  <w:r w:rsidRPr="00A52D36">
                    <w:rPr>
                      <w:rFonts w:asciiTheme="minorHAnsi" w:hAnsiTheme="minorHAnsi"/>
                      <w:sz w:val="20"/>
                      <w:szCs w:val="18"/>
                    </w:rPr>
                    <w:t>9%</w:t>
                  </w:r>
                </w:p>
              </w:tc>
            </w:tr>
            <w:tr w:rsidR="004C2458" w:rsidRPr="00804DB6" w:rsidTr="004C2458">
              <w:tc>
                <w:tcPr>
                  <w:tcW w:w="8616" w:type="dxa"/>
                  <w:gridSpan w:val="8"/>
                  <w:tcBorders>
                    <w:top w:val="nil"/>
                    <w:bottom w:val="nil"/>
                  </w:tcBorders>
                </w:tcPr>
                <w:p w:rsidR="004C2458" w:rsidRPr="00804DB6" w:rsidRDefault="004C2458" w:rsidP="004B6EA8">
                  <w:pPr>
                    <w:tabs>
                      <w:tab w:val="num" w:pos="0"/>
                    </w:tabs>
                    <w:jc w:val="both"/>
                    <w:rPr>
                      <w:rFonts w:asciiTheme="minorHAnsi" w:hAnsiTheme="minorHAnsi"/>
                      <w:sz w:val="18"/>
                      <w:szCs w:val="18"/>
                    </w:rPr>
                  </w:pPr>
                  <w:r w:rsidRPr="00804DB6">
                    <w:rPr>
                      <w:sz w:val="18"/>
                      <w:szCs w:val="18"/>
                    </w:rPr>
                    <w:t xml:space="preserve"> Source: Data provided by MOTC</w:t>
                  </w:r>
                  <w:r>
                    <w:rPr>
                      <w:sz w:val="18"/>
                      <w:szCs w:val="18"/>
                    </w:rPr>
                    <w:t xml:space="preserve"> and MNREP</w:t>
                  </w:r>
                  <w:r w:rsidRPr="00804DB6">
                    <w:rPr>
                      <w:sz w:val="18"/>
                      <w:szCs w:val="18"/>
                    </w:rPr>
                    <w:t>.</w:t>
                  </w:r>
                </w:p>
              </w:tc>
            </w:tr>
          </w:tbl>
          <w:p w:rsidR="00DB4F58" w:rsidRPr="007777E2" w:rsidRDefault="00DB4F58" w:rsidP="004B6EA8">
            <w:pPr>
              <w:pStyle w:val="ListParagraph"/>
              <w:tabs>
                <w:tab w:val="num" w:pos="0"/>
              </w:tabs>
              <w:spacing w:line="240" w:lineRule="auto"/>
              <w:ind w:left="0"/>
              <w:contextualSpacing w:val="0"/>
              <w:jc w:val="both"/>
              <w:rPr>
                <w:rFonts w:ascii="Times New Roman" w:hAnsi="Times New Roman"/>
                <w:b/>
              </w:rPr>
            </w:pPr>
          </w:p>
        </w:tc>
      </w:tr>
    </w:tbl>
    <w:p w:rsidR="00DB4F58" w:rsidRPr="007777E2" w:rsidRDefault="00DB4F58" w:rsidP="004B6EA8">
      <w:pPr>
        <w:pStyle w:val="ListParagraph"/>
        <w:tabs>
          <w:tab w:val="num" w:pos="0"/>
        </w:tabs>
        <w:spacing w:line="240" w:lineRule="auto"/>
        <w:ind w:left="0"/>
        <w:contextualSpacing w:val="0"/>
        <w:jc w:val="both"/>
        <w:rPr>
          <w:rFonts w:ascii="Times New Roman" w:hAnsi="Times New Roman"/>
          <w:b/>
        </w:rPr>
      </w:pPr>
    </w:p>
    <w:p w:rsidR="00212D34" w:rsidRDefault="00135E44" w:rsidP="00212D34">
      <w:pPr>
        <w:pStyle w:val="Style2"/>
      </w:pPr>
      <w:r w:rsidRPr="007777E2">
        <w:rPr>
          <w:b/>
        </w:rPr>
        <w:t xml:space="preserve">Vehicle ownership in Belarus is on average 235 units per 1000 inhabitants (300 units in Minsk). </w:t>
      </w:r>
      <w:r w:rsidRPr="007777E2">
        <w:t xml:space="preserve">The increase </w:t>
      </w:r>
      <w:r w:rsidR="006C024E" w:rsidRPr="007777E2">
        <w:t xml:space="preserve">in ownership </w:t>
      </w:r>
      <w:r w:rsidRPr="007777E2">
        <w:t xml:space="preserve">from 1995 to 2009 was about 58 percent. Since Belarus does not produce cars, the </w:t>
      </w:r>
      <w:r w:rsidR="002B2A4E" w:rsidRPr="007777E2">
        <w:t xml:space="preserve">vast </w:t>
      </w:r>
      <w:r w:rsidRPr="007777E2">
        <w:t xml:space="preserve">majority of private cars, including second-hand cars, are imported from Western </w:t>
      </w:r>
      <w:r w:rsidR="002B2A4E" w:rsidRPr="007777E2">
        <w:t xml:space="preserve">European </w:t>
      </w:r>
      <w:r w:rsidRPr="007777E2">
        <w:t>countries. In some cases they are rather old cars not equipped with catalytic converters. A differentiated tax scale for imported cars has been imposed on owners</w:t>
      </w:r>
      <w:r w:rsidR="00B223EC">
        <w:t>,</w:t>
      </w:r>
      <w:r w:rsidR="00CC435E" w:rsidRPr="007777E2">
        <w:t xml:space="preserve"> </w:t>
      </w:r>
      <w:r w:rsidR="006C024E" w:rsidRPr="007777E2">
        <w:t>depending on the vehicle age</w:t>
      </w:r>
      <w:r w:rsidR="005A21CD">
        <w:t>.</w:t>
      </w:r>
      <w:r w:rsidR="00212D34">
        <w:rPr>
          <w:rStyle w:val="FootnoteReference"/>
        </w:rPr>
        <w:footnoteReference w:id="14"/>
      </w:r>
      <w:r w:rsidR="00212D34">
        <w:t xml:space="preserve"> </w:t>
      </w:r>
      <w:r w:rsidRPr="007777E2">
        <w:t>The tax varies from US$0.9 to US$4 per cm</w:t>
      </w:r>
      <w:r w:rsidRPr="007777E2">
        <w:rPr>
          <w:vertAlign w:val="superscript"/>
        </w:rPr>
        <w:t>3</w:t>
      </w:r>
      <w:r w:rsidR="002B2A4E" w:rsidRPr="007777E2">
        <w:t xml:space="preserve"> of engine displacement. T</w:t>
      </w:r>
      <w:r w:rsidRPr="007777E2">
        <w:t xml:space="preserve">he higher tax for the oldest cars aims to reduce imports of </w:t>
      </w:r>
      <w:r w:rsidR="00B223EC">
        <w:t xml:space="preserve">vehicles with </w:t>
      </w:r>
      <w:r w:rsidR="002B2A4E" w:rsidRPr="007777E2">
        <w:t xml:space="preserve">the </w:t>
      </w:r>
      <w:r w:rsidRPr="007777E2">
        <w:t xml:space="preserve">highest emissions. At the same time, higher rates are also due on cars under </w:t>
      </w:r>
      <w:r w:rsidR="00923F87">
        <w:t>5</w:t>
      </w:r>
      <w:r w:rsidR="00923F87" w:rsidRPr="007777E2">
        <w:t xml:space="preserve"> </w:t>
      </w:r>
      <w:r w:rsidRPr="007777E2">
        <w:t xml:space="preserve">years (usually the least polluting) mainly to boost budget revenues. Tax differentiation should be supplemented with measures to </w:t>
      </w:r>
      <w:r w:rsidR="00B223EC">
        <w:t xml:space="preserve">(a) </w:t>
      </w:r>
      <w:r w:rsidRPr="007777E2">
        <w:t xml:space="preserve">update </w:t>
      </w:r>
      <w:r w:rsidR="002B2A4E" w:rsidRPr="007777E2">
        <w:t xml:space="preserve">pollution </w:t>
      </w:r>
      <w:r w:rsidRPr="007777E2">
        <w:t xml:space="preserve">standards for domestically manufactured trucks and smaller vehicles, </w:t>
      </w:r>
      <w:r w:rsidR="00B223EC">
        <w:t xml:space="preserve">(b) </w:t>
      </w:r>
      <w:r w:rsidRPr="007777E2">
        <w:t xml:space="preserve">make catalytic converters compulsory for </w:t>
      </w:r>
      <w:r w:rsidR="002B2A4E" w:rsidRPr="007777E2">
        <w:t xml:space="preserve">all newly imported </w:t>
      </w:r>
      <w:r w:rsidRPr="007777E2">
        <w:t xml:space="preserve">vehicles </w:t>
      </w:r>
      <w:r w:rsidR="002B2A4E" w:rsidRPr="007777E2">
        <w:t xml:space="preserve">(new and used) </w:t>
      </w:r>
      <w:r w:rsidRPr="007777E2">
        <w:t xml:space="preserve">with petrol engines, and </w:t>
      </w:r>
      <w:r w:rsidR="00B223EC">
        <w:t xml:space="preserve">(c) </w:t>
      </w:r>
      <w:r w:rsidRPr="007777E2">
        <w:t xml:space="preserve">adopt and enforce stricter norms for </w:t>
      </w:r>
      <w:r w:rsidR="00B223EC">
        <w:t xml:space="preserve">the quality of </w:t>
      </w:r>
      <w:r w:rsidRPr="007777E2">
        <w:t xml:space="preserve">transport fuels. </w:t>
      </w:r>
      <w:r w:rsidR="002B2A4E" w:rsidRPr="007777E2">
        <w:t>Since</w:t>
      </w:r>
      <w:r w:rsidRPr="007777E2">
        <w:t xml:space="preserve"> 2004, imports of cars and trucks increased by more than 12 percent. </w:t>
      </w:r>
      <w:r w:rsidR="00B223EC">
        <w:t xml:space="preserve">Since </w:t>
      </w:r>
      <w:r w:rsidRPr="007777E2">
        <w:t xml:space="preserve">2004, imports from Russia declined and imports from Germany and other non-CIS countries increased. </w:t>
      </w:r>
    </w:p>
    <w:p w:rsidR="00212D34" w:rsidRPr="007777E2" w:rsidRDefault="00212D34" w:rsidP="00212D34">
      <w:pPr>
        <w:pStyle w:val="Style2"/>
        <w:numPr>
          <w:ilvl w:val="0"/>
          <w:numId w:val="0"/>
        </w:numPr>
      </w:pPr>
    </w:p>
    <w:p w:rsidR="00135E44" w:rsidRDefault="00135E44" w:rsidP="00A63E59">
      <w:pPr>
        <w:pStyle w:val="Style2"/>
      </w:pPr>
      <w:r w:rsidRPr="007777E2">
        <w:rPr>
          <w:b/>
        </w:rPr>
        <w:lastRenderedPageBreak/>
        <w:t>The majority of vehicles in use are old.</w:t>
      </w:r>
      <w:r w:rsidRPr="007777E2">
        <w:t xml:space="preserve"> In 2005, about </w:t>
      </w:r>
      <w:r w:rsidR="00212D34">
        <w:t>50</w:t>
      </w:r>
      <w:r w:rsidRPr="007777E2">
        <w:t xml:space="preserve"> percent of vehicles were more than 13 years old. The consequence is substantial air pollution, since emissions from old motor vehicles are 50</w:t>
      </w:r>
      <w:r w:rsidR="00FA44DC">
        <w:t xml:space="preserve"> to </w:t>
      </w:r>
      <w:r w:rsidRPr="007777E2">
        <w:t xml:space="preserve">70 percent higher than three-year-old </w:t>
      </w:r>
      <w:r w:rsidR="002B2A4E" w:rsidRPr="007777E2">
        <w:t xml:space="preserve">or newer </w:t>
      </w:r>
      <w:r w:rsidRPr="007777E2">
        <w:t>vehicles</w:t>
      </w:r>
      <w:r w:rsidR="00212D34">
        <w:t xml:space="preserve">, even if the trend is changing rapidly: in 2009, about 30 </w:t>
      </w:r>
      <w:r w:rsidR="00212D34" w:rsidRPr="007777E2">
        <w:t>percent of vehicles were more than 13 years old.</w:t>
      </w:r>
      <w:r w:rsidR="00BD087B">
        <w:t xml:space="preserve"> </w:t>
      </w:r>
      <w:r w:rsidR="006C024E" w:rsidRPr="007777E2">
        <w:t xml:space="preserve">The MOTC </w:t>
      </w:r>
      <w:r w:rsidRPr="007777E2">
        <w:t xml:space="preserve">makes efforts to </w:t>
      </w:r>
      <w:r w:rsidR="002B2A4E" w:rsidRPr="007777E2">
        <w:t xml:space="preserve">encourage the </w:t>
      </w:r>
      <w:r w:rsidRPr="007777E2">
        <w:t>replace</w:t>
      </w:r>
      <w:r w:rsidR="002B2A4E" w:rsidRPr="007777E2">
        <w:t>ment of</w:t>
      </w:r>
      <w:r w:rsidRPr="007777E2">
        <w:t xml:space="preserve"> old vehicles with new ones to mitigate overall environmental problems, as described in </w:t>
      </w:r>
      <w:fldSimple w:instr=" REF _Ref257206794 \h  \* MERGEFORMAT ">
        <w:r w:rsidR="00E85C5F" w:rsidRPr="00E85C5F">
          <w:t xml:space="preserve">Table </w:t>
        </w:r>
        <w:r w:rsidR="00E85C5F" w:rsidRPr="00E85C5F">
          <w:rPr>
            <w:noProof/>
          </w:rPr>
          <w:t>7</w:t>
        </w:r>
      </w:fldSimple>
      <w:r w:rsidRPr="007777E2">
        <w:t>. In 2006 new buses and trucks replaced about 47 percent of old ones; whereas in 2003, this replacement rate was only about 14 percent.</w:t>
      </w:r>
      <w:r w:rsidR="00212D34">
        <w:t xml:space="preserve"> </w:t>
      </w:r>
      <w:r w:rsidR="00212D34" w:rsidRPr="00ED700C">
        <w:rPr>
          <w:szCs w:val="24"/>
        </w:rPr>
        <w:t>According to the estimates (the State Road Inspection of the Ministry of Internal Affairs of the Republic of Belarus, BAMAP Association, Transport Inspection of the Ministry of Transport, BAME, Euro NCAP), as of June 2010</w:t>
      </w:r>
      <w:r w:rsidR="004C2458">
        <w:rPr>
          <w:szCs w:val="24"/>
        </w:rPr>
        <w:t>,</w:t>
      </w:r>
      <w:r w:rsidR="00212D34" w:rsidRPr="00ED700C">
        <w:rPr>
          <w:szCs w:val="24"/>
        </w:rPr>
        <w:t xml:space="preserve"> 11</w:t>
      </w:r>
      <w:r w:rsidR="004C2458">
        <w:rPr>
          <w:szCs w:val="24"/>
        </w:rPr>
        <w:t xml:space="preserve"> percent</w:t>
      </w:r>
      <w:r w:rsidR="00212D34" w:rsidRPr="00ED700C">
        <w:rPr>
          <w:szCs w:val="24"/>
        </w:rPr>
        <w:t xml:space="preserve"> of vehicles operated in Belarus meet EURO-5 standards</w:t>
      </w:r>
      <w:proofErr w:type="gramStart"/>
      <w:r w:rsidR="00212D34" w:rsidRPr="00ED700C">
        <w:rPr>
          <w:szCs w:val="24"/>
        </w:rPr>
        <w:t>;  7.5</w:t>
      </w:r>
      <w:proofErr w:type="gramEnd"/>
      <w:r w:rsidR="004C2458">
        <w:rPr>
          <w:szCs w:val="24"/>
        </w:rPr>
        <w:t xml:space="preserve"> percent</w:t>
      </w:r>
      <w:r w:rsidR="00212D34" w:rsidRPr="00ED700C">
        <w:rPr>
          <w:szCs w:val="24"/>
        </w:rPr>
        <w:t xml:space="preserve"> - EURO-4 standards, 22.5</w:t>
      </w:r>
      <w:r w:rsidR="004C2458">
        <w:rPr>
          <w:szCs w:val="24"/>
        </w:rPr>
        <w:t xml:space="preserve"> percent</w:t>
      </w:r>
      <w:r w:rsidR="00212D34" w:rsidRPr="00ED700C">
        <w:rPr>
          <w:szCs w:val="24"/>
        </w:rPr>
        <w:t xml:space="preserve"> - EURO-3 standards and  the rest fall under EURO-2 standard and lower.</w:t>
      </w:r>
    </w:p>
    <w:p w:rsidR="00094D19" w:rsidRPr="007777E2" w:rsidRDefault="00094D19" w:rsidP="005958BE">
      <w:pPr>
        <w:pStyle w:val="Style2"/>
        <w:numPr>
          <w:ilvl w:val="0"/>
          <w:numId w:val="0"/>
        </w:numPr>
      </w:pPr>
    </w:p>
    <w:tbl>
      <w:tblPr>
        <w:tblStyle w:val="TableGrid"/>
        <w:tblW w:w="0" w:type="auto"/>
        <w:jc w:val="center"/>
        <w:tblInd w:w="-333" w:type="dxa"/>
        <w:tblLayout w:type="fixed"/>
        <w:tblLook w:val="04A0"/>
      </w:tblPr>
      <w:tblGrid>
        <w:gridCol w:w="9207"/>
      </w:tblGrid>
      <w:tr w:rsidR="00DB4F58" w:rsidRPr="007777E2" w:rsidTr="004721F8">
        <w:trPr>
          <w:jc w:val="center"/>
        </w:trPr>
        <w:tc>
          <w:tcPr>
            <w:tcW w:w="9207" w:type="dxa"/>
          </w:tcPr>
          <w:p w:rsidR="00DB4F58" w:rsidRPr="007777E2" w:rsidRDefault="00DB4F58" w:rsidP="004B6EA8">
            <w:pPr>
              <w:pStyle w:val="ListParagraph"/>
              <w:tabs>
                <w:tab w:val="num" w:pos="0"/>
              </w:tabs>
              <w:spacing w:line="240" w:lineRule="auto"/>
              <w:ind w:left="0"/>
              <w:contextualSpacing w:val="0"/>
              <w:jc w:val="both"/>
              <w:rPr>
                <w:rFonts w:ascii="Times New Roman" w:hAnsi="Times New Roman"/>
                <w:b/>
              </w:rPr>
            </w:pPr>
            <w:bookmarkStart w:id="139" w:name="_Ref257206794"/>
            <w:bookmarkStart w:id="140" w:name="_Toc264227134"/>
            <w:r w:rsidRPr="007777E2">
              <w:rPr>
                <w:rFonts w:ascii="Times New Roman" w:hAnsi="Times New Roman"/>
                <w:b/>
              </w:rPr>
              <w:t xml:space="preserve">Table </w:t>
            </w:r>
            <w:r w:rsidR="006B40AE" w:rsidRPr="007777E2">
              <w:rPr>
                <w:rFonts w:ascii="Times New Roman" w:hAnsi="Times New Roman"/>
                <w:b/>
              </w:rPr>
              <w:fldChar w:fldCharType="begin"/>
            </w:r>
            <w:r w:rsidRPr="007777E2">
              <w:rPr>
                <w:rFonts w:ascii="Times New Roman" w:hAnsi="Times New Roman"/>
                <w:b/>
              </w:rPr>
              <w:instrText xml:space="preserve"> SEQ Table \* ARABIC </w:instrText>
            </w:r>
            <w:r w:rsidR="006B40AE" w:rsidRPr="007777E2">
              <w:rPr>
                <w:rFonts w:ascii="Times New Roman" w:hAnsi="Times New Roman"/>
                <w:b/>
              </w:rPr>
              <w:fldChar w:fldCharType="separate"/>
            </w:r>
            <w:r w:rsidR="009E2C86">
              <w:rPr>
                <w:rFonts w:ascii="Times New Roman" w:hAnsi="Times New Roman"/>
                <w:b/>
                <w:noProof/>
              </w:rPr>
              <w:t>7</w:t>
            </w:r>
            <w:r w:rsidR="006B40AE" w:rsidRPr="007777E2">
              <w:rPr>
                <w:rFonts w:ascii="Times New Roman" w:hAnsi="Times New Roman"/>
                <w:b/>
              </w:rPr>
              <w:fldChar w:fldCharType="end"/>
            </w:r>
            <w:bookmarkEnd w:id="139"/>
            <w:r w:rsidRPr="007777E2">
              <w:rPr>
                <w:rFonts w:ascii="Times New Roman" w:hAnsi="Times New Roman"/>
                <w:b/>
              </w:rPr>
              <w:t xml:space="preserve">. Road Transport in Belarus: Number of </w:t>
            </w:r>
            <w:r w:rsidR="002B2A4E" w:rsidRPr="007777E2">
              <w:rPr>
                <w:rFonts w:ascii="Times New Roman" w:hAnsi="Times New Roman"/>
                <w:b/>
              </w:rPr>
              <w:t xml:space="preserve">Registered </w:t>
            </w:r>
            <w:r w:rsidRPr="007777E2">
              <w:rPr>
                <w:rFonts w:ascii="Times New Roman" w:hAnsi="Times New Roman"/>
                <w:b/>
              </w:rPr>
              <w:t>Vehicles by age 2003-2007</w:t>
            </w:r>
            <w:bookmarkEnd w:id="140"/>
          </w:p>
          <w:tbl>
            <w:tblPr>
              <w:tblW w:w="8567" w:type="dxa"/>
              <w:jc w:val="center"/>
              <w:tblInd w:w="1842" w:type="dxa"/>
              <w:tblBorders>
                <w:top w:val="single" w:sz="4" w:space="0" w:color="auto"/>
                <w:bottom w:val="single" w:sz="4" w:space="0" w:color="auto"/>
                <w:insideH w:val="single" w:sz="4" w:space="0" w:color="auto"/>
              </w:tblBorders>
              <w:tblLayout w:type="fixed"/>
              <w:tblLook w:val="0000"/>
            </w:tblPr>
            <w:tblGrid>
              <w:gridCol w:w="1637"/>
              <w:gridCol w:w="720"/>
              <w:gridCol w:w="630"/>
              <w:gridCol w:w="720"/>
              <w:gridCol w:w="630"/>
              <w:gridCol w:w="720"/>
              <w:gridCol w:w="720"/>
              <w:gridCol w:w="720"/>
              <w:gridCol w:w="720"/>
              <w:gridCol w:w="720"/>
              <w:gridCol w:w="630"/>
            </w:tblGrid>
            <w:tr w:rsidR="004721F8" w:rsidRPr="007777E2" w:rsidTr="006F3815">
              <w:trPr>
                <w:cantSplit/>
                <w:jc w:val="center"/>
              </w:trPr>
              <w:tc>
                <w:tcPr>
                  <w:tcW w:w="1637" w:type="dxa"/>
                </w:tcPr>
                <w:p w:rsidR="004721F8" w:rsidRPr="007777E2" w:rsidRDefault="004721F8" w:rsidP="004B6EA8">
                  <w:pPr>
                    <w:tabs>
                      <w:tab w:val="num" w:pos="0"/>
                    </w:tabs>
                    <w:jc w:val="both"/>
                    <w:rPr>
                      <w:rFonts w:asciiTheme="minorHAnsi" w:hAnsiTheme="minorHAnsi"/>
                      <w:sz w:val="18"/>
                      <w:szCs w:val="18"/>
                    </w:rPr>
                  </w:pPr>
                </w:p>
              </w:tc>
              <w:tc>
                <w:tcPr>
                  <w:tcW w:w="1350" w:type="dxa"/>
                  <w:gridSpan w:val="2"/>
                </w:tcPr>
                <w:p w:rsidR="004721F8" w:rsidRPr="007777E2" w:rsidRDefault="004721F8" w:rsidP="004B6EA8">
                  <w:pPr>
                    <w:tabs>
                      <w:tab w:val="num" w:pos="0"/>
                    </w:tabs>
                    <w:jc w:val="both"/>
                    <w:rPr>
                      <w:rFonts w:asciiTheme="minorHAnsi" w:hAnsiTheme="minorHAnsi"/>
                      <w:sz w:val="18"/>
                      <w:szCs w:val="18"/>
                    </w:rPr>
                  </w:pPr>
                  <w:r w:rsidRPr="007777E2">
                    <w:rPr>
                      <w:rFonts w:asciiTheme="minorHAnsi" w:hAnsiTheme="minorHAnsi"/>
                      <w:sz w:val="18"/>
                      <w:szCs w:val="18"/>
                    </w:rPr>
                    <w:t>2003</w:t>
                  </w:r>
                </w:p>
              </w:tc>
              <w:tc>
                <w:tcPr>
                  <w:tcW w:w="1350" w:type="dxa"/>
                  <w:gridSpan w:val="2"/>
                </w:tcPr>
                <w:p w:rsidR="004721F8" w:rsidRPr="007777E2" w:rsidRDefault="004721F8" w:rsidP="004B6EA8">
                  <w:pPr>
                    <w:tabs>
                      <w:tab w:val="num" w:pos="0"/>
                    </w:tabs>
                    <w:jc w:val="both"/>
                    <w:rPr>
                      <w:rFonts w:asciiTheme="minorHAnsi" w:hAnsiTheme="minorHAnsi"/>
                      <w:sz w:val="18"/>
                      <w:szCs w:val="18"/>
                    </w:rPr>
                  </w:pPr>
                  <w:r w:rsidRPr="007777E2">
                    <w:rPr>
                      <w:rFonts w:asciiTheme="minorHAnsi" w:hAnsiTheme="minorHAnsi"/>
                      <w:sz w:val="18"/>
                      <w:szCs w:val="18"/>
                    </w:rPr>
                    <w:t>2004</w:t>
                  </w:r>
                </w:p>
              </w:tc>
              <w:tc>
                <w:tcPr>
                  <w:tcW w:w="1440" w:type="dxa"/>
                  <w:gridSpan w:val="2"/>
                </w:tcPr>
                <w:p w:rsidR="004721F8" w:rsidRPr="007777E2" w:rsidRDefault="004721F8" w:rsidP="004B6EA8">
                  <w:pPr>
                    <w:tabs>
                      <w:tab w:val="num" w:pos="0"/>
                    </w:tabs>
                    <w:jc w:val="both"/>
                    <w:rPr>
                      <w:rFonts w:asciiTheme="minorHAnsi" w:hAnsiTheme="minorHAnsi"/>
                      <w:sz w:val="18"/>
                      <w:szCs w:val="18"/>
                    </w:rPr>
                  </w:pPr>
                  <w:r w:rsidRPr="007777E2">
                    <w:rPr>
                      <w:rFonts w:asciiTheme="minorHAnsi" w:hAnsiTheme="minorHAnsi"/>
                      <w:sz w:val="18"/>
                      <w:szCs w:val="18"/>
                    </w:rPr>
                    <w:t>2005</w:t>
                  </w:r>
                </w:p>
              </w:tc>
              <w:tc>
                <w:tcPr>
                  <w:tcW w:w="1440" w:type="dxa"/>
                  <w:gridSpan w:val="2"/>
                </w:tcPr>
                <w:p w:rsidR="004721F8" w:rsidRPr="007777E2" w:rsidRDefault="004721F8" w:rsidP="004B6EA8">
                  <w:pPr>
                    <w:tabs>
                      <w:tab w:val="num" w:pos="0"/>
                    </w:tabs>
                    <w:jc w:val="both"/>
                    <w:rPr>
                      <w:rFonts w:asciiTheme="minorHAnsi" w:hAnsiTheme="minorHAnsi"/>
                      <w:sz w:val="18"/>
                      <w:szCs w:val="18"/>
                    </w:rPr>
                  </w:pPr>
                  <w:r w:rsidRPr="007777E2">
                    <w:rPr>
                      <w:rFonts w:asciiTheme="minorHAnsi" w:hAnsiTheme="minorHAnsi"/>
                      <w:sz w:val="18"/>
                      <w:szCs w:val="18"/>
                    </w:rPr>
                    <w:t>2006</w:t>
                  </w:r>
                </w:p>
              </w:tc>
              <w:tc>
                <w:tcPr>
                  <w:tcW w:w="1350" w:type="dxa"/>
                  <w:gridSpan w:val="2"/>
                </w:tcPr>
                <w:p w:rsidR="004721F8" w:rsidRPr="007777E2" w:rsidRDefault="004721F8" w:rsidP="004B6EA8">
                  <w:pPr>
                    <w:tabs>
                      <w:tab w:val="num" w:pos="0"/>
                    </w:tabs>
                    <w:jc w:val="both"/>
                    <w:rPr>
                      <w:rFonts w:asciiTheme="minorHAnsi" w:hAnsiTheme="minorHAnsi"/>
                      <w:sz w:val="18"/>
                      <w:szCs w:val="18"/>
                    </w:rPr>
                  </w:pPr>
                  <w:r w:rsidRPr="007777E2">
                    <w:rPr>
                      <w:rFonts w:asciiTheme="minorHAnsi" w:hAnsiTheme="minorHAnsi"/>
                      <w:sz w:val="18"/>
                      <w:szCs w:val="18"/>
                    </w:rPr>
                    <w:t>2007</w:t>
                  </w:r>
                </w:p>
              </w:tc>
            </w:tr>
            <w:tr w:rsidR="004721F8" w:rsidRPr="007777E2" w:rsidTr="006F3815">
              <w:trPr>
                <w:jc w:val="center"/>
              </w:trPr>
              <w:tc>
                <w:tcPr>
                  <w:tcW w:w="1637" w:type="dxa"/>
                </w:tcPr>
                <w:p w:rsidR="004721F8" w:rsidRPr="007777E2" w:rsidRDefault="004721F8" w:rsidP="004B6EA8">
                  <w:pPr>
                    <w:tabs>
                      <w:tab w:val="num" w:pos="0"/>
                    </w:tabs>
                    <w:rPr>
                      <w:rFonts w:asciiTheme="minorHAnsi" w:hAnsiTheme="minorHAnsi"/>
                      <w:sz w:val="18"/>
                      <w:szCs w:val="18"/>
                    </w:rPr>
                  </w:pPr>
                  <w:r w:rsidRPr="007777E2">
                    <w:rPr>
                      <w:rFonts w:asciiTheme="minorHAnsi" w:hAnsiTheme="minorHAnsi"/>
                      <w:sz w:val="18"/>
                      <w:szCs w:val="18"/>
                    </w:rPr>
                    <w:t>Vehicles ages</w:t>
                  </w:r>
                </w:p>
              </w:tc>
              <w:tc>
                <w:tcPr>
                  <w:tcW w:w="720" w:type="dxa"/>
                </w:tcPr>
                <w:p w:rsidR="004721F8" w:rsidRPr="007777E2" w:rsidRDefault="004721F8" w:rsidP="004B6EA8">
                  <w:pPr>
                    <w:tabs>
                      <w:tab w:val="num" w:pos="0"/>
                    </w:tabs>
                    <w:jc w:val="both"/>
                    <w:rPr>
                      <w:rFonts w:asciiTheme="minorHAnsi" w:hAnsiTheme="minorHAnsi"/>
                      <w:sz w:val="18"/>
                      <w:szCs w:val="18"/>
                    </w:rPr>
                  </w:pPr>
                  <w:r w:rsidRPr="007777E2">
                    <w:rPr>
                      <w:rFonts w:asciiTheme="minorHAnsi" w:hAnsiTheme="minorHAnsi"/>
                      <w:sz w:val="18"/>
                      <w:szCs w:val="18"/>
                    </w:rPr>
                    <w:t xml:space="preserve">Truck </w:t>
                  </w:r>
                </w:p>
              </w:tc>
              <w:tc>
                <w:tcPr>
                  <w:tcW w:w="630" w:type="dxa"/>
                </w:tcPr>
                <w:p w:rsidR="004721F8" w:rsidRPr="007777E2" w:rsidRDefault="004721F8" w:rsidP="004B6EA8">
                  <w:pPr>
                    <w:tabs>
                      <w:tab w:val="num" w:pos="0"/>
                    </w:tabs>
                    <w:jc w:val="both"/>
                    <w:rPr>
                      <w:rFonts w:asciiTheme="minorHAnsi" w:hAnsiTheme="minorHAnsi"/>
                      <w:sz w:val="18"/>
                      <w:szCs w:val="18"/>
                    </w:rPr>
                  </w:pPr>
                  <w:r w:rsidRPr="007777E2">
                    <w:rPr>
                      <w:rFonts w:asciiTheme="minorHAnsi" w:hAnsiTheme="minorHAnsi"/>
                      <w:sz w:val="18"/>
                      <w:szCs w:val="18"/>
                    </w:rPr>
                    <w:t>Bus</w:t>
                  </w:r>
                </w:p>
              </w:tc>
              <w:tc>
                <w:tcPr>
                  <w:tcW w:w="720" w:type="dxa"/>
                </w:tcPr>
                <w:p w:rsidR="004721F8" w:rsidRPr="007777E2" w:rsidRDefault="004721F8" w:rsidP="004B6EA8">
                  <w:pPr>
                    <w:tabs>
                      <w:tab w:val="num" w:pos="0"/>
                    </w:tabs>
                    <w:jc w:val="both"/>
                    <w:rPr>
                      <w:rFonts w:asciiTheme="minorHAnsi" w:hAnsiTheme="minorHAnsi"/>
                      <w:sz w:val="18"/>
                      <w:szCs w:val="18"/>
                    </w:rPr>
                  </w:pPr>
                  <w:r w:rsidRPr="007777E2">
                    <w:rPr>
                      <w:rFonts w:asciiTheme="minorHAnsi" w:hAnsiTheme="minorHAnsi"/>
                      <w:sz w:val="18"/>
                      <w:szCs w:val="18"/>
                    </w:rPr>
                    <w:t>Truck</w:t>
                  </w:r>
                </w:p>
              </w:tc>
              <w:tc>
                <w:tcPr>
                  <w:tcW w:w="630" w:type="dxa"/>
                </w:tcPr>
                <w:p w:rsidR="004721F8" w:rsidRPr="007777E2" w:rsidRDefault="004721F8" w:rsidP="004B6EA8">
                  <w:pPr>
                    <w:tabs>
                      <w:tab w:val="num" w:pos="0"/>
                    </w:tabs>
                    <w:jc w:val="both"/>
                    <w:rPr>
                      <w:rFonts w:asciiTheme="minorHAnsi" w:hAnsiTheme="minorHAnsi"/>
                      <w:sz w:val="18"/>
                      <w:szCs w:val="18"/>
                    </w:rPr>
                  </w:pPr>
                  <w:r w:rsidRPr="007777E2">
                    <w:rPr>
                      <w:rFonts w:asciiTheme="minorHAnsi" w:hAnsiTheme="minorHAnsi"/>
                      <w:sz w:val="18"/>
                      <w:szCs w:val="18"/>
                    </w:rPr>
                    <w:t>Bus</w:t>
                  </w:r>
                </w:p>
              </w:tc>
              <w:tc>
                <w:tcPr>
                  <w:tcW w:w="720" w:type="dxa"/>
                </w:tcPr>
                <w:p w:rsidR="004721F8" w:rsidRPr="007777E2" w:rsidRDefault="004721F8" w:rsidP="004B6EA8">
                  <w:pPr>
                    <w:tabs>
                      <w:tab w:val="num" w:pos="0"/>
                    </w:tabs>
                    <w:jc w:val="both"/>
                    <w:rPr>
                      <w:rFonts w:asciiTheme="minorHAnsi" w:hAnsiTheme="minorHAnsi"/>
                      <w:sz w:val="18"/>
                      <w:szCs w:val="18"/>
                    </w:rPr>
                  </w:pPr>
                  <w:r w:rsidRPr="007777E2">
                    <w:rPr>
                      <w:rFonts w:asciiTheme="minorHAnsi" w:hAnsiTheme="minorHAnsi"/>
                      <w:sz w:val="18"/>
                      <w:szCs w:val="18"/>
                    </w:rPr>
                    <w:t>Truck</w:t>
                  </w:r>
                </w:p>
              </w:tc>
              <w:tc>
                <w:tcPr>
                  <w:tcW w:w="720" w:type="dxa"/>
                </w:tcPr>
                <w:p w:rsidR="004721F8" w:rsidRPr="007777E2" w:rsidRDefault="004721F8" w:rsidP="004B6EA8">
                  <w:pPr>
                    <w:tabs>
                      <w:tab w:val="num" w:pos="0"/>
                    </w:tabs>
                    <w:jc w:val="both"/>
                    <w:rPr>
                      <w:rFonts w:asciiTheme="minorHAnsi" w:hAnsiTheme="minorHAnsi"/>
                      <w:sz w:val="18"/>
                      <w:szCs w:val="18"/>
                    </w:rPr>
                  </w:pPr>
                  <w:r w:rsidRPr="007777E2">
                    <w:rPr>
                      <w:rFonts w:asciiTheme="minorHAnsi" w:hAnsiTheme="minorHAnsi"/>
                      <w:sz w:val="18"/>
                      <w:szCs w:val="18"/>
                    </w:rPr>
                    <w:t>Bus</w:t>
                  </w:r>
                </w:p>
              </w:tc>
              <w:tc>
                <w:tcPr>
                  <w:tcW w:w="720" w:type="dxa"/>
                </w:tcPr>
                <w:p w:rsidR="004721F8" w:rsidRPr="007777E2" w:rsidRDefault="004721F8" w:rsidP="004B6EA8">
                  <w:pPr>
                    <w:tabs>
                      <w:tab w:val="num" w:pos="0"/>
                    </w:tabs>
                    <w:jc w:val="both"/>
                    <w:rPr>
                      <w:rFonts w:asciiTheme="minorHAnsi" w:hAnsiTheme="minorHAnsi"/>
                      <w:sz w:val="18"/>
                      <w:szCs w:val="18"/>
                    </w:rPr>
                  </w:pPr>
                  <w:r w:rsidRPr="007777E2">
                    <w:rPr>
                      <w:rFonts w:asciiTheme="minorHAnsi" w:hAnsiTheme="minorHAnsi"/>
                      <w:sz w:val="18"/>
                      <w:szCs w:val="18"/>
                    </w:rPr>
                    <w:t>Truck</w:t>
                  </w:r>
                </w:p>
              </w:tc>
              <w:tc>
                <w:tcPr>
                  <w:tcW w:w="720" w:type="dxa"/>
                </w:tcPr>
                <w:p w:rsidR="004721F8" w:rsidRPr="007777E2" w:rsidRDefault="004721F8" w:rsidP="004B6EA8">
                  <w:pPr>
                    <w:tabs>
                      <w:tab w:val="num" w:pos="0"/>
                    </w:tabs>
                    <w:jc w:val="both"/>
                    <w:rPr>
                      <w:rFonts w:asciiTheme="minorHAnsi" w:hAnsiTheme="minorHAnsi"/>
                      <w:sz w:val="18"/>
                      <w:szCs w:val="18"/>
                    </w:rPr>
                  </w:pPr>
                  <w:r w:rsidRPr="007777E2">
                    <w:rPr>
                      <w:rFonts w:asciiTheme="minorHAnsi" w:hAnsiTheme="minorHAnsi"/>
                      <w:sz w:val="18"/>
                      <w:szCs w:val="18"/>
                    </w:rPr>
                    <w:t>Bus</w:t>
                  </w:r>
                </w:p>
              </w:tc>
              <w:tc>
                <w:tcPr>
                  <w:tcW w:w="720" w:type="dxa"/>
                </w:tcPr>
                <w:p w:rsidR="004721F8" w:rsidRPr="007777E2" w:rsidRDefault="004721F8" w:rsidP="004B6EA8">
                  <w:pPr>
                    <w:tabs>
                      <w:tab w:val="num" w:pos="0"/>
                    </w:tabs>
                    <w:jc w:val="both"/>
                    <w:rPr>
                      <w:rFonts w:asciiTheme="minorHAnsi" w:hAnsiTheme="minorHAnsi"/>
                      <w:sz w:val="18"/>
                      <w:szCs w:val="18"/>
                    </w:rPr>
                  </w:pPr>
                  <w:r w:rsidRPr="007777E2">
                    <w:rPr>
                      <w:rFonts w:asciiTheme="minorHAnsi" w:hAnsiTheme="minorHAnsi"/>
                      <w:sz w:val="18"/>
                      <w:szCs w:val="18"/>
                    </w:rPr>
                    <w:t>Truck</w:t>
                  </w:r>
                </w:p>
              </w:tc>
              <w:tc>
                <w:tcPr>
                  <w:tcW w:w="630" w:type="dxa"/>
                </w:tcPr>
                <w:p w:rsidR="004721F8" w:rsidRPr="007777E2" w:rsidRDefault="004721F8" w:rsidP="004B6EA8">
                  <w:pPr>
                    <w:tabs>
                      <w:tab w:val="num" w:pos="0"/>
                    </w:tabs>
                    <w:jc w:val="both"/>
                    <w:rPr>
                      <w:rFonts w:asciiTheme="minorHAnsi" w:hAnsiTheme="minorHAnsi"/>
                      <w:sz w:val="18"/>
                      <w:szCs w:val="18"/>
                    </w:rPr>
                  </w:pPr>
                  <w:r w:rsidRPr="007777E2">
                    <w:rPr>
                      <w:rFonts w:asciiTheme="minorHAnsi" w:hAnsiTheme="minorHAnsi"/>
                      <w:sz w:val="18"/>
                      <w:szCs w:val="18"/>
                    </w:rPr>
                    <w:t>Bus</w:t>
                  </w:r>
                </w:p>
              </w:tc>
            </w:tr>
            <w:tr w:rsidR="004721F8" w:rsidRPr="007777E2" w:rsidTr="006F3815">
              <w:trPr>
                <w:jc w:val="center"/>
              </w:trPr>
              <w:tc>
                <w:tcPr>
                  <w:tcW w:w="1637" w:type="dxa"/>
                </w:tcPr>
                <w:p w:rsidR="004721F8" w:rsidRPr="007777E2" w:rsidRDefault="004721F8" w:rsidP="004B6EA8">
                  <w:pPr>
                    <w:tabs>
                      <w:tab w:val="num" w:pos="0"/>
                    </w:tabs>
                    <w:rPr>
                      <w:rFonts w:asciiTheme="minorHAnsi" w:hAnsiTheme="minorHAnsi"/>
                      <w:sz w:val="18"/>
                      <w:szCs w:val="18"/>
                    </w:rPr>
                  </w:pPr>
                  <w:r w:rsidRPr="007777E2">
                    <w:rPr>
                      <w:rFonts w:asciiTheme="minorHAnsi" w:hAnsiTheme="minorHAnsi"/>
                      <w:sz w:val="18"/>
                      <w:szCs w:val="18"/>
                    </w:rPr>
                    <w:t xml:space="preserve">Up to 3 years </w:t>
                  </w:r>
                </w:p>
              </w:tc>
              <w:tc>
                <w:tcPr>
                  <w:tcW w:w="720" w:type="dxa"/>
                </w:tcPr>
                <w:p w:rsidR="004721F8" w:rsidRPr="007777E2" w:rsidRDefault="004721F8" w:rsidP="004B6EA8">
                  <w:pPr>
                    <w:tabs>
                      <w:tab w:val="num" w:pos="0"/>
                    </w:tabs>
                    <w:jc w:val="both"/>
                    <w:rPr>
                      <w:rFonts w:asciiTheme="minorHAnsi" w:hAnsiTheme="minorHAnsi"/>
                      <w:sz w:val="18"/>
                      <w:szCs w:val="18"/>
                    </w:rPr>
                  </w:pPr>
                  <w:r w:rsidRPr="007777E2">
                    <w:rPr>
                      <w:rFonts w:asciiTheme="minorHAnsi" w:hAnsiTheme="minorHAnsi"/>
                      <w:sz w:val="18"/>
                      <w:szCs w:val="18"/>
                    </w:rPr>
                    <w:t>636</w:t>
                  </w:r>
                </w:p>
              </w:tc>
              <w:tc>
                <w:tcPr>
                  <w:tcW w:w="630" w:type="dxa"/>
                </w:tcPr>
                <w:p w:rsidR="004721F8" w:rsidRPr="007777E2" w:rsidRDefault="004721F8" w:rsidP="004B6EA8">
                  <w:pPr>
                    <w:tabs>
                      <w:tab w:val="num" w:pos="0"/>
                    </w:tabs>
                    <w:jc w:val="both"/>
                    <w:rPr>
                      <w:rFonts w:asciiTheme="minorHAnsi" w:hAnsiTheme="minorHAnsi"/>
                      <w:sz w:val="18"/>
                      <w:szCs w:val="18"/>
                    </w:rPr>
                  </w:pPr>
                  <w:r w:rsidRPr="007777E2">
                    <w:rPr>
                      <w:rFonts w:asciiTheme="minorHAnsi" w:hAnsiTheme="minorHAnsi"/>
                      <w:sz w:val="18"/>
                      <w:szCs w:val="18"/>
                    </w:rPr>
                    <w:t>550</w:t>
                  </w:r>
                </w:p>
              </w:tc>
              <w:tc>
                <w:tcPr>
                  <w:tcW w:w="720" w:type="dxa"/>
                </w:tcPr>
                <w:p w:rsidR="004721F8" w:rsidRPr="007777E2" w:rsidRDefault="004721F8" w:rsidP="004B6EA8">
                  <w:pPr>
                    <w:tabs>
                      <w:tab w:val="num" w:pos="0"/>
                    </w:tabs>
                    <w:jc w:val="both"/>
                    <w:rPr>
                      <w:rFonts w:asciiTheme="minorHAnsi" w:hAnsiTheme="minorHAnsi"/>
                      <w:sz w:val="18"/>
                      <w:szCs w:val="18"/>
                    </w:rPr>
                  </w:pPr>
                  <w:r w:rsidRPr="007777E2">
                    <w:rPr>
                      <w:rFonts w:asciiTheme="minorHAnsi" w:hAnsiTheme="minorHAnsi"/>
                      <w:sz w:val="18"/>
                      <w:szCs w:val="18"/>
                    </w:rPr>
                    <w:t>377</w:t>
                  </w:r>
                </w:p>
              </w:tc>
              <w:tc>
                <w:tcPr>
                  <w:tcW w:w="630" w:type="dxa"/>
                </w:tcPr>
                <w:p w:rsidR="004721F8" w:rsidRPr="007777E2" w:rsidRDefault="004721F8" w:rsidP="004B6EA8">
                  <w:pPr>
                    <w:tabs>
                      <w:tab w:val="num" w:pos="0"/>
                    </w:tabs>
                    <w:jc w:val="both"/>
                    <w:rPr>
                      <w:rFonts w:asciiTheme="minorHAnsi" w:hAnsiTheme="minorHAnsi"/>
                      <w:sz w:val="18"/>
                      <w:szCs w:val="18"/>
                    </w:rPr>
                  </w:pPr>
                  <w:r w:rsidRPr="007777E2">
                    <w:rPr>
                      <w:rFonts w:asciiTheme="minorHAnsi" w:hAnsiTheme="minorHAnsi"/>
                      <w:sz w:val="18"/>
                      <w:szCs w:val="18"/>
                    </w:rPr>
                    <w:t>548</w:t>
                  </w:r>
                </w:p>
              </w:tc>
              <w:tc>
                <w:tcPr>
                  <w:tcW w:w="720" w:type="dxa"/>
                </w:tcPr>
                <w:p w:rsidR="004721F8" w:rsidRPr="007777E2" w:rsidRDefault="004721F8" w:rsidP="004B6EA8">
                  <w:pPr>
                    <w:tabs>
                      <w:tab w:val="num" w:pos="0"/>
                    </w:tabs>
                    <w:jc w:val="both"/>
                    <w:rPr>
                      <w:rFonts w:asciiTheme="minorHAnsi" w:hAnsiTheme="minorHAnsi"/>
                      <w:sz w:val="18"/>
                      <w:szCs w:val="18"/>
                    </w:rPr>
                  </w:pPr>
                  <w:r w:rsidRPr="007777E2">
                    <w:rPr>
                      <w:rFonts w:asciiTheme="minorHAnsi" w:hAnsiTheme="minorHAnsi"/>
                      <w:sz w:val="18"/>
                      <w:szCs w:val="18"/>
                    </w:rPr>
                    <w:t>615</w:t>
                  </w:r>
                </w:p>
              </w:tc>
              <w:tc>
                <w:tcPr>
                  <w:tcW w:w="720" w:type="dxa"/>
                </w:tcPr>
                <w:p w:rsidR="004721F8" w:rsidRPr="007777E2" w:rsidRDefault="004721F8" w:rsidP="004B6EA8">
                  <w:pPr>
                    <w:tabs>
                      <w:tab w:val="num" w:pos="0"/>
                    </w:tabs>
                    <w:jc w:val="both"/>
                    <w:rPr>
                      <w:rFonts w:asciiTheme="minorHAnsi" w:hAnsiTheme="minorHAnsi"/>
                      <w:sz w:val="18"/>
                      <w:szCs w:val="18"/>
                    </w:rPr>
                  </w:pPr>
                  <w:r w:rsidRPr="007777E2">
                    <w:rPr>
                      <w:rFonts w:asciiTheme="minorHAnsi" w:hAnsiTheme="minorHAnsi"/>
                      <w:sz w:val="18"/>
                      <w:szCs w:val="18"/>
                    </w:rPr>
                    <w:t>590</w:t>
                  </w:r>
                </w:p>
              </w:tc>
              <w:tc>
                <w:tcPr>
                  <w:tcW w:w="720" w:type="dxa"/>
                </w:tcPr>
                <w:p w:rsidR="004721F8" w:rsidRPr="007777E2" w:rsidRDefault="004721F8" w:rsidP="004B6EA8">
                  <w:pPr>
                    <w:tabs>
                      <w:tab w:val="num" w:pos="0"/>
                    </w:tabs>
                    <w:jc w:val="both"/>
                    <w:rPr>
                      <w:rFonts w:asciiTheme="minorHAnsi" w:hAnsiTheme="minorHAnsi"/>
                      <w:sz w:val="18"/>
                      <w:szCs w:val="18"/>
                    </w:rPr>
                  </w:pPr>
                  <w:r w:rsidRPr="007777E2">
                    <w:rPr>
                      <w:rFonts w:asciiTheme="minorHAnsi" w:hAnsiTheme="minorHAnsi"/>
                      <w:sz w:val="18"/>
                      <w:szCs w:val="18"/>
                    </w:rPr>
                    <w:t>187</w:t>
                  </w:r>
                </w:p>
              </w:tc>
              <w:tc>
                <w:tcPr>
                  <w:tcW w:w="720" w:type="dxa"/>
                </w:tcPr>
                <w:p w:rsidR="004721F8" w:rsidRPr="007777E2" w:rsidRDefault="004721F8" w:rsidP="004B6EA8">
                  <w:pPr>
                    <w:tabs>
                      <w:tab w:val="num" w:pos="0"/>
                    </w:tabs>
                    <w:jc w:val="both"/>
                    <w:rPr>
                      <w:rFonts w:asciiTheme="minorHAnsi" w:hAnsiTheme="minorHAnsi"/>
                      <w:sz w:val="18"/>
                      <w:szCs w:val="18"/>
                    </w:rPr>
                  </w:pPr>
                  <w:r w:rsidRPr="007777E2">
                    <w:rPr>
                      <w:rFonts w:asciiTheme="minorHAnsi" w:hAnsiTheme="minorHAnsi"/>
                      <w:sz w:val="18"/>
                      <w:szCs w:val="18"/>
                    </w:rPr>
                    <w:t>1074</w:t>
                  </w:r>
                </w:p>
              </w:tc>
              <w:tc>
                <w:tcPr>
                  <w:tcW w:w="720" w:type="dxa"/>
                </w:tcPr>
                <w:p w:rsidR="004721F8" w:rsidRPr="007777E2" w:rsidRDefault="004721F8" w:rsidP="004B6EA8">
                  <w:pPr>
                    <w:tabs>
                      <w:tab w:val="num" w:pos="0"/>
                    </w:tabs>
                    <w:jc w:val="both"/>
                    <w:rPr>
                      <w:rFonts w:asciiTheme="minorHAnsi" w:hAnsiTheme="minorHAnsi"/>
                      <w:sz w:val="18"/>
                      <w:szCs w:val="18"/>
                    </w:rPr>
                  </w:pPr>
                  <w:r w:rsidRPr="007777E2">
                    <w:rPr>
                      <w:rFonts w:asciiTheme="minorHAnsi" w:hAnsiTheme="minorHAnsi"/>
                      <w:sz w:val="18"/>
                      <w:szCs w:val="18"/>
                    </w:rPr>
                    <w:t>360</w:t>
                  </w:r>
                </w:p>
              </w:tc>
              <w:tc>
                <w:tcPr>
                  <w:tcW w:w="630" w:type="dxa"/>
                </w:tcPr>
                <w:p w:rsidR="004721F8" w:rsidRPr="007777E2" w:rsidRDefault="004721F8" w:rsidP="004B6EA8">
                  <w:pPr>
                    <w:tabs>
                      <w:tab w:val="num" w:pos="0"/>
                    </w:tabs>
                    <w:jc w:val="both"/>
                    <w:rPr>
                      <w:rFonts w:asciiTheme="minorHAnsi" w:hAnsiTheme="minorHAnsi"/>
                      <w:sz w:val="18"/>
                      <w:szCs w:val="18"/>
                    </w:rPr>
                  </w:pPr>
                  <w:r w:rsidRPr="007777E2">
                    <w:rPr>
                      <w:rFonts w:asciiTheme="minorHAnsi" w:hAnsiTheme="minorHAnsi"/>
                      <w:sz w:val="18"/>
                      <w:szCs w:val="18"/>
                    </w:rPr>
                    <w:t>1044</w:t>
                  </w:r>
                </w:p>
              </w:tc>
            </w:tr>
            <w:tr w:rsidR="004721F8" w:rsidRPr="007777E2" w:rsidTr="006F3815">
              <w:trPr>
                <w:trHeight w:val="246"/>
                <w:jc w:val="center"/>
              </w:trPr>
              <w:tc>
                <w:tcPr>
                  <w:tcW w:w="1637" w:type="dxa"/>
                </w:tcPr>
                <w:p w:rsidR="004721F8" w:rsidRPr="007777E2" w:rsidRDefault="004721F8" w:rsidP="004B6EA8">
                  <w:pPr>
                    <w:tabs>
                      <w:tab w:val="num" w:pos="0"/>
                    </w:tabs>
                    <w:rPr>
                      <w:rFonts w:asciiTheme="minorHAnsi" w:hAnsiTheme="minorHAnsi"/>
                      <w:sz w:val="18"/>
                      <w:szCs w:val="18"/>
                    </w:rPr>
                  </w:pPr>
                  <w:r w:rsidRPr="007777E2">
                    <w:rPr>
                      <w:rFonts w:asciiTheme="minorHAnsi" w:hAnsiTheme="minorHAnsi"/>
                      <w:sz w:val="18"/>
                      <w:szCs w:val="18"/>
                    </w:rPr>
                    <w:t>3 to 5 years</w:t>
                  </w:r>
                </w:p>
              </w:tc>
              <w:tc>
                <w:tcPr>
                  <w:tcW w:w="720" w:type="dxa"/>
                </w:tcPr>
                <w:p w:rsidR="004721F8" w:rsidRPr="007777E2" w:rsidRDefault="004721F8" w:rsidP="004B6EA8">
                  <w:pPr>
                    <w:tabs>
                      <w:tab w:val="num" w:pos="0"/>
                    </w:tabs>
                    <w:jc w:val="both"/>
                    <w:rPr>
                      <w:rFonts w:asciiTheme="minorHAnsi" w:hAnsiTheme="minorHAnsi"/>
                      <w:sz w:val="18"/>
                      <w:szCs w:val="18"/>
                    </w:rPr>
                  </w:pPr>
                  <w:r w:rsidRPr="007777E2">
                    <w:rPr>
                      <w:rFonts w:asciiTheme="minorHAnsi" w:hAnsiTheme="minorHAnsi"/>
                      <w:sz w:val="18"/>
                      <w:szCs w:val="18"/>
                    </w:rPr>
                    <w:t>503</w:t>
                  </w:r>
                </w:p>
              </w:tc>
              <w:tc>
                <w:tcPr>
                  <w:tcW w:w="630" w:type="dxa"/>
                </w:tcPr>
                <w:p w:rsidR="004721F8" w:rsidRPr="007777E2" w:rsidRDefault="004721F8" w:rsidP="004B6EA8">
                  <w:pPr>
                    <w:tabs>
                      <w:tab w:val="num" w:pos="0"/>
                    </w:tabs>
                    <w:jc w:val="both"/>
                    <w:rPr>
                      <w:rFonts w:asciiTheme="minorHAnsi" w:hAnsiTheme="minorHAnsi"/>
                      <w:sz w:val="18"/>
                      <w:szCs w:val="18"/>
                    </w:rPr>
                  </w:pPr>
                  <w:r w:rsidRPr="007777E2">
                    <w:rPr>
                      <w:rFonts w:asciiTheme="minorHAnsi" w:hAnsiTheme="minorHAnsi"/>
                      <w:sz w:val="18"/>
                      <w:szCs w:val="18"/>
                    </w:rPr>
                    <w:t>227</w:t>
                  </w:r>
                </w:p>
              </w:tc>
              <w:tc>
                <w:tcPr>
                  <w:tcW w:w="720" w:type="dxa"/>
                </w:tcPr>
                <w:p w:rsidR="004721F8" w:rsidRPr="007777E2" w:rsidRDefault="004721F8" w:rsidP="004B6EA8">
                  <w:pPr>
                    <w:tabs>
                      <w:tab w:val="num" w:pos="0"/>
                    </w:tabs>
                    <w:jc w:val="both"/>
                    <w:rPr>
                      <w:rFonts w:asciiTheme="minorHAnsi" w:hAnsiTheme="minorHAnsi"/>
                      <w:sz w:val="18"/>
                      <w:szCs w:val="18"/>
                    </w:rPr>
                  </w:pPr>
                  <w:r w:rsidRPr="007777E2">
                    <w:rPr>
                      <w:rFonts w:asciiTheme="minorHAnsi" w:hAnsiTheme="minorHAnsi"/>
                      <w:sz w:val="18"/>
                      <w:szCs w:val="18"/>
                    </w:rPr>
                    <w:t>629</w:t>
                  </w:r>
                </w:p>
              </w:tc>
              <w:tc>
                <w:tcPr>
                  <w:tcW w:w="630" w:type="dxa"/>
                </w:tcPr>
                <w:p w:rsidR="004721F8" w:rsidRPr="007777E2" w:rsidRDefault="004721F8" w:rsidP="004B6EA8">
                  <w:pPr>
                    <w:tabs>
                      <w:tab w:val="num" w:pos="0"/>
                    </w:tabs>
                    <w:jc w:val="both"/>
                    <w:rPr>
                      <w:rFonts w:asciiTheme="minorHAnsi" w:hAnsiTheme="minorHAnsi"/>
                      <w:sz w:val="18"/>
                      <w:szCs w:val="18"/>
                    </w:rPr>
                  </w:pPr>
                  <w:r w:rsidRPr="007777E2">
                    <w:rPr>
                      <w:rFonts w:asciiTheme="minorHAnsi" w:hAnsiTheme="minorHAnsi"/>
                      <w:sz w:val="18"/>
                      <w:szCs w:val="18"/>
                    </w:rPr>
                    <w:t>415</w:t>
                  </w:r>
                </w:p>
              </w:tc>
              <w:tc>
                <w:tcPr>
                  <w:tcW w:w="720" w:type="dxa"/>
                </w:tcPr>
                <w:p w:rsidR="004721F8" w:rsidRPr="007777E2" w:rsidRDefault="004721F8" w:rsidP="004B6EA8">
                  <w:pPr>
                    <w:tabs>
                      <w:tab w:val="num" w:pos="0"/>
                    </w:tabs>
                    <w:jc w:val="both"/>
                    <w:rPr>
                      <w:rFonts w:asciiTheme="minorHAnsi" w:hAnsiTheme="minorHAnsi"/>
                      <w:sz w:val="18"/>
                      <w:szCs w:val="18"/>
                    </w:rPr>
                  </w:pPr>
                  <w:r w:rsidRPr="007777E2">
                    <w:rPr>
                      <w:rFonts w:asciiTheme="minorHAnsi" w:hAnsiTheme="minorHAnsi"/>
                      <w:sz w:val="18"/>
                      <w:szCs w:val="18"/>
                    </w:rPr>
                    <w:t>1066</w:t>
                  </w:r>
                </w:p>
              </w:tc>
              <w:tc>
                <w:tcPr>
                  <w:tcW w:w="720" w:type="dxa"/>
                </w:tcPr>
                <w:p w:rsidR="004721F8" w:rsidRPr="007777E2" w:rsidRDefault="004721F8" w:rsidP="004B6EA8">
                  <w:pPr>
                    <w:tabs>
                      <w:tab w:val="num" w:pos="0"/>
                    </w:tabs>
                    <w:jc w:val="both"/>
                    <w:rPr>
                      <w:rFonts w:asciiTheme="minorHAnsi" w:hAnsiTheme="minorHAnsi"/>
                      <w:sz w:val="18"/>
                      <w:szCs w:val="18"/>
                    </w:rPr>
                  </w:pPr>
                  <w:r w:rsidRPr="007777E2">
                    <w:rPr>
                      <w:rFonts w:asciiTheme="minorHAnsi" w:hAnsiTheme="minorHAnsi"/>
                      <w:sz w:val="18"/>
                      <w:szCs w:val="18"/>
                    </w:rPr>
                    <w:t>429</w:t>
                  </w:r>
                </w:p>
              </w:tc>
              <w:tc>
                <w:tcPr>
                  <w:tcW w:w="720" w:type="dxa"/>
                </w:tcPr>
                <w:p w:rsidR="004721F8" w:rsidRPr="007777E2" w:rsidRDefault="004721F8" w:rsidP="004B6EA8">
                  <w:pPr>
                    <w:tabs>
                      <w:tab w:val="num" w:pos="0"/>
                    </w:tabs>
                    <w:jc w:val="both"/>
                    <w:rPr>
                      <w:rFonts w:asciiTheme="minorHAnsi" w:hAnsiTheme="minorHAnsi"/>
                      <w:sz w:val="18"/>
                      <w:szCs w:val="18"/>
                    </w:rPr>
                  </w:pPr>
                  <w:r w:rsidRPr="007777E2">
                    <w:rPr>
                      <w:rFonts w:asciiTheme="minorHAnsi" w:hAnsiTheme="minorHAnsi"/>
                      <w:sz w:val="18"/>
                      <w:szCs w:val="18"/>
                    </w:rPr>
                    <w:t>381</w:t>
                  </w:r>
                </w:p>
              </w:tc>
              <w:tc>
                <w:tcPr>
                  <w:tcW w:w="720" w:type="dxa"/>
                </w:tcPr>
                <w:p w:rsidR="004721F8" w:rsidRPr="007777E2" w:rsidRDefault="004721F8" w:rsidP="004B6EA8">
                  <w:pPr>
                    <w:tabs>
                      <w:tab w:val="num" w:pos="0"/>
                    </w:tabs>
                    <w:jc w:val="both"/>
                    <w:rPr>
                      <w:rFonts w:asciiTheme="minorHAnsi" w:hAnsiTheme="minorHAnsi"/>
                      <w:sz w:val="18"/>
                      <w:szCs w:val="18"/>
                    </w:rPr>
                  </w:pPr>
                  <w:r w:rsidRPr="007777E2">
                    <w:rPr>
                      <w:rFonts w:asciiTheme="minorHAnsi" w:hAnsiTheme="minorHAnsi"/>
                      <w:sz w:val="18"/>
                      <w:szCs w:val="18"/>
                    </w:rPr>
                    <w:t>611</w:t>
                  </w:r>
                </w:p>
              </w:tc>
              <w:tc>
                <w:tcPr>
                  <w:tcW w:w="720" w:type="dxa"/>
                </w:tcPr>
                <w:p w:rsidR="004721F8" w:rsidRPr="007777E2" w:rsidRDefault="004721F8" w:rsidP="004B6EA8">
                  <w:pPr>
                    <w:tabs>
                      <w:tab w:val="num" w:pos="0"/>
                    </w:tabs>
                    <w:jc w:val="both"/>
                    <w:rPr>
                      <w:rFonts w:asciiTheme="minorHAnsi" w:hAnsiTheme="minorHAnsi"/>
                      <w:sz w:val="18"/>
                      <w:szCs w:val="18"/>
                    </w:rPr>
                  </w:pPr>
                  <w:r w:rsidRPr="007777E2">
                    <w:rPr>
                      <w:rFonts w:asciiTheme="minorHAnsi" w:hAnsiTheme="minorHAnsi"/>
                      <w:sz w:val="18"/>
                      <w:szCs w:val="18"/>
                    </w:rPr>
                    <w:t>217</w:t>
                  </w:r>
                </w:p>
              </w:tc>
              <w:tc>
                <w:tcPr>
                  <w:tcW w:w="630" w:type="dxa"/>
                </w:tcPr>
                <w:p w:rsidR="004721F8" w:rsidRPr="007777E2" w:rsidRDefault="004721F8" w:rsidP="004B6EA8">
                  <w:pPr>
                    <w:tabs>
                      <w:tab w:val="num" w:pos="0"/>
                    </w:tabs>
                    <w:jc w:val="both"/>
                    <w:rPr>
                      <w:rFonts w:asciiTheme="minorHAnsi" w:hAnsiTheme="minorHAnsi"/>
                      <w:sz w:val="18"/>
                      <w:szCs w:val="18"/>
                    </w:rPr>
                  </w:pPr>
                  <w:r w:rsidRPr="007777E2">
                    <w:rPr>
                      <w:rFonts w:asciiTheme="minorHAnsi" w:hAnsiTheme="minorHAnsi"/>
                      <w:sz w:val="18"/>
                      <w:szCs w:val="18"/>
                    </w:rPr>
                    <w:t>409</w:t>
                  </w:r>
                </w:p>
              </w:tc>
            </w:tr>
            <w:tr w:rsidR="004721F8" w:rsidRPr="007777E2" w:rsidTr="006F3815">
              <w:trPr>
                <w:jc w:val="center"/>
              </w:trPr>
              <w:tc>
                <w:tcPr>
                  <w:tcW w:w="1637" w:type="dxa"/>
                </w:tcPr>
                <w:p w:rsidR="004721F8" w:rsidRPr="007777E2" w:rsidRDefault="004721F8" w:rsidP="004B6EA8">
                  <w:pPr>
                    <w:tabs>
                      <w:tab w:val="num" w:pos="0"/>
                    </w:tabs>
                    <w:rPr>
                      <w:rFonts w:asciiTheme="minorHAnsi" w:hAnsiTheme="minorHAnsi"/>
                      <w:sz w:val="18"/>
                      <w:szCs w:val="18"/>
                    </w:rPr>
                  </w:pPr>
                  <w:r w:rsidRPr="007777E2">
                    <w:rPr>
                      <w:rFonts w:asciiTheme="minorHAnsi" w:hAnsiTheme="minorHAnsi"/>
                      <w:sz w:val="18"/>
                      <w:szCs w:val="18"/>
                    </w:rPr>
                    <w:t xml:space="preserve">5 </w:t>
                  </w:r>
                  <w:proofErr w:type="spellStart"/>
                  <w:r w:rsidRPr="007777E2">
                    <w:rPr>
                      <w:rFonts w:asciiTheme="minorHAnsi" w:hAnsiTheme="minorHAnsi"/>
                      <w:sz w:val="18"/>
                      <w:szCs w:val="18"/>
                    </w:rPr>
                    <w:t>tо</w:t>
                  </w:r>
                  <w:proofErr w:type="spellEnd"/>
                  <w:r w:rsidRPr="007777E2">
                    <w:rPr>
                      <w:rFonts w:asciiTheme="minorHAnsi" w:hAnsiTheme="minorHAnsi"/>
                      <w:sz w:val="18"/>
                      <w:szCs w:val="18"/>
                    </w:rPr>
                    <w:t xml:space="preserve"> 8 years </w:t>
                  </w:r>
                </w:p>
              </w:tc>
              <w:tc>
                <w:tcPr>
                  <w:tcW w:w="720" w:type="dxa"/>
                </w:tcPr>
                <w:p w:rsidR="004721F8" w:rsidRPr="007777E2" w:rsidRDefault="004721F8" w:rsidP="004B6EA8">
                  <w:pPr>
                    <w:tabs>
                      <w:tab w:val="num" w:pos="0"/>
                    </w:tabs>
                    <w:jc w:val="both"/>
                    <w:rPr>
                      <w:rFonts w:asciiTheme="minorHAnsi" w:hAnsiTheme="minorHAnsi"/>
                      <w:sz w:val="18"/>
                      <w:szCs w:val="18"/>
                    </w:rPr>
                  </w:pPr>
                  <w:r w:rsidRPr="007777E2">
                    <w:rPr>
                      <w:rFonts w:asciiTheme="minorHAnsi" w:hAnsiTheme="minorHAnsi"/>
                      <w:sz w:val="18"/>
                      <w:szCs w:val="18"/>
                    </w:rPr>
                    <w:t>1356</w:t>
                  </w:r>
                </w:p>
              </w:tc>
              <w:tc>
                <w:tcPr>
                  <w:tcW w:w="630" w:type="dxa"/>
                </w:tcPr>
                <w:p w:rsidR="004721F8" w:rsidRPr="007777E2" w:rsidRDefault="004721F8" w:rsidP="004B6EA8">
                  <w:pPr>
                    <w:tabs>
                      <w:tab w:val="num" w:pos="0"/>
                    </w:tabs>
                    <w:jc w:val="both"/>
                    <w:rPr>
                      <w:rFonts w:asciiTheme="minorHAnsi" w:hAnsiTheme="minorHAnsi"/>
                      <w:sz w:val="18"/>
                      <w:szCs w:val="18"/>
                    </w:rPr>
                  </w:pPr>
                  <w:r w:rsidRPr="007777E2">
                    <w:rPr>
                      <w:rFonts w:asciiTheme="minorHAnsi" w:hAnsiTheme="minorHAnsi"/>
                      <w:sz w:val="18"/>
                      <w:szCs w:val="18"/>
                    </w:rPr>
                    <w:t>264</w:t>
                  </w:r>
                </w:p>
              </w:tc>
              <w:tc>
                <w:tcPr>
                  <w:tcW w:w="720" w:type="dxa"/>
                </w:tcPr>
                <w:p w:rsidR="004721F8" w:rsidRPr="007777E2" w:rsidRDefault="004721F8" w:rsidP="004B6EA8">
                  <w:pPr>
                    <w:tabs>
                      <w:tab w:val="num" w:pos="0"/>
                    </w:tabs>
                    <w:jc w:val="both"/>
                    <w:rPr>
                      <w:rFonts w:asciiTheme="minorHAnsi" w:hAnsiTheme="minorHAnsi"/>
                      <w:sz w:val="18"/>
                      <w:szCs w:val="18"/>
                    </w:rPr>
                  </w:pPr>
                  <w:r w:rsidRPr="007777E2">
                    <w:rPr>
                      <w:rFonts w:asciiTheme="minorHAnsi" w:hAnsiTheme="minorHAnsi"/>
                      <w:sz w:val="18"/>
                      <w:szCs w:val="18"/>
                    </w:rPr>
                    <w:t>593</w:t>
                  </w:r>
                </w:p>
              </w:tc>
              <w:tc>
                <w:tcPr>
                  <w:tcW w:w="630" w:type="dxa"/>
                </w:tcPr>
                <w:p w:rsidR="004721F8" w:rsidRPr="007777E2" w:rsidRDefault="004721F8" w:rsidP="004B6EA8">
                  <w:pPr>
                    <w:tabs>
                      <w:tab w:val="num" w:pos="0"/>
                    </w:tabs>
                    <w:jc w:val="both"/>
                    <w:rPr>
                      <w:rFonts w:asciiTheme="minorHAnsi" w:hAnsiTheme="minorHAnsi"/>
                      <w:sz w:val="18"/>
                      <w:szCs w:val="18"/>
                    </w:rPr>
                  </w:pPr>
                  <w:r w:rsidRPr="007777E2">
                    <w:rPr>
                      <w:rFonts w:asciiTheme="minorHAnsi" w:hAnsiTheme="minorHAnsi"/>
                      <w:sz w:val="18"/>
                      <w:szCs w:val="18"/>
                    </w:rPr>
                    <w:t>224</w:t>
                  </w:r>
                </w:p>
              </w:tc>
              <w:tc>
                <w:tcPr>
                  <w:tcW w:w="720" w:type="dxa"/>
                </w:tcPr>
                <w:p w:rsidR="004721F8" w:rsidRPr="007777E2" w:rsidRDefault="004721F8" w:rsidP="004B6EA8">
                  <w:pPr>
                    <w:tabs>
                      <w:tab w:val="num" w:pos="0"/>
                    </w:tabs>
                    <w:jc w:val="both"/>
                    <w:rPr>
                      <w:rFonts w:asciiTheme="minorHAnsi" w:hAnsiTheme="minorHAnsi"/>
                      <w:sz w:val="18"/>
                      <w:szCs w:val="18"/>
                    </w:rPr>
                  </w:pPr>
                  <w:r w:rsidRPr="007777E2">
                    <w:rPr>
                      <w:rFonts w:asciiTheme="minorHAnsi" w:hAnsiTheme="minorHAnsi"/>
                      <w:sz w:val="18"/>
                      <w:szCs w:val="18"/>
                    </w:rPr>
                    <w:t>765</w:t>
                  </w:r>
                </w:p>
              </w:tc>
              <w:tc>
                <w:tcPr>
                  <w:tcW w:w="720" w:type="dxa"/>
                </w:tcPr>
                <w:p w:rsidR="004721F8" w:rsidRPr="007777E2" w:rsidRDefault="004721F8" w:rsidP="004B6EA8">
                  <w:pPr>
                    <w:tabs>
                      <w:tab w:val="num" w:pos="0"/>
                    </w:tabs>
                    <w:jc w:val="both"/>
                    <w:rPr>
                      <w:rFonts w:asciiTheme="minorHAnsi" w:hAnsiTheme="minorHAnsi"/>
                      <w:sz w:val="18"/>
                      <w:szCs w:val="18"/>
                    </w:rPr>
                  </w:pPr>
                  <w:r w:rsidRPr="007777E2">
                    <w:rPr>
                      <w:rFonts w:asciiTheme="minorHAnsi" w:hAnsiTheme="minorHAnsi"/>
                      <w:sz w:val="18"/>
                      <w:szCs w:val="18"/>
                    </w:rPr>
                    <w:t>384</w:t>
                  </w:r>
                </w:p>
              </w:tc>
              <w:tc>
                <w:tcPr>
                  <w:tcW w:w="720" w:type="dxa"/>
                </w:tcPr>
                <w:p w:rsidR="004721F8" w:rsidRPr="007777E2" w:rsidRDefault="004721F8" w:rsidP="004B6EA8">
                  <w:pPr>
                    <w:tabs>
                      <w:tab w:val="num" w:pos="0"/>
                    </w:tabs>
                    <w:jc w:val="both"/>
                    <w:rPr>
                      <w:rFonts w:asciiTheme="minorHAnsi" w:hAnsiTheme="minorHAnsi"/>
                      <w:sz w:val="18"/>
                      <w:szCs w:val="18"/>
                    </w:rPr>
                  </w:pPr>
                  <w:r w:rsidRPr="007777E2">
                    <w:rPr>
                      <w:rFonts w:asciiTheme="minorHAnsi" w:hAnsiTheme="minorHAnsi"/>
                      <w:sz w:val="18"/>
                      <w:szCs w:val="18"/>
                    </w:rPr>
                    <w:t>627</w:t>
                  </w:r>
                </w:p>
              </w:tc>
              <w:tc>
                <w:tcPr>
                  <w:tcW w:w="720" w:type="dxa"/>
                </w:tcPr>
                <w:p w:rsidR="004721F8" w:rsidRPr="007777E2" w:rsidRDefault="004721F8" w:rsidP="004B6EA8">
                  <w:pPr>
                    <w:tabs>
                      <w:tab w:val="num" w:pos="0"/>
                    </w:tabs>
                    <w:jc w:val="both"/>
                    <w:rPr>
                      <w:rFonts w:asciiTheme="minorHAnsi" w:hAnsiTheme="minorHAnsi"/>
                      <w:sz w:val="18"/>
                      <w:szCs w:val="18"/>
                    </w:rPr>
                  </w:pPr>
                  <w:r w:rsidRPr="007777E2">
                    <w:rPr>
                      <w:rFonts w:asciiTheme="minorHAnsi" w:hAnsiTheme="minorHAnsi"/>
                      <w:sz w:val="18"/>
                      <w:szCs w:val="18"/>
                    </w:rPr>
                    <w:t>593</w:t>
                  </w:r>
                </w:p>
              </w:tc>
              <w:tc>
                <w:tcPr>
                  <w:tcW w:w="720" w:type="dxa"/>
                </w:tcPr>
                <w:p w:rsidR="004721F8" w:rsidRPr="007777E2" w:rsidRDefault="004721F8" w:rsidP="004B6EA8">
                  <w:pPr>
                    <w:tabs>
                      <w:tab w:val="num" w:pos="0"/>
                    </w:tabs>
                    <w:jc w:val="both"/>
                    <w:rPr>
                      <w:rFonts w:asciiTheme="minorHAnsi" w:hAnsiTheme="minorHAnsi"/>
                      <w:sz w:val="18"/>
                      <w:szCs w:val="18"/>
                    </w:rPr>
                  </w:pPr>
                  <w:r w:rsidRPr="007777E2">
                    <w:rPr>
                      <w:rFonts w:asciiTheme="minorHAnsi" w:hAnsiTheme="minorHAnsi"/>
                      <w:sz w:val="18"/>
                      <w:szCs w:val="18"/>
                    </w:rPr>
                    <w:t>651</w:t>
                  </w:r>
                </w:p>
              </w:tc>
              <w:tc>
                <w:tcPr>
                  <w:tcW w:w="630" w:type="dxa"/>
                </w:tcPr>
                <w:p w:rsidR="004721F8" w:rsidRPr="007777E2" w:rsidRDefault="004721F8" w:rsidP="004B6EA8">
                  <w:pPr>
                    <w:tabs>
                      <w:tab w:val="num" w:pos="0"/>
                    </w:tabs>
                    <w:jc w:val="both"/>
                    <w:rPr>
                      <w:rFonts w:asciiTheme="minorHAnsi" w:hAnsiTheme="minorHAnsi"/>
                      <w:sz w:val="18"/>
                      <w:szCs w:val="18"/>
                    </w:rPr>
                  </w:pPr>
                  <w:r w:rsidRPr="007777E2">
                    <w:rPr>
                      <w:rFonts w:asciiTheme="minorHAnsi" w:hAnsiTheme="minorHAnsi"/>
                      <w:sz w:val="18"/>
                      <w:szCs w:val="18"/>
                    </w:rPr>
                    <w:t>503</w:t>
                  </w:r>
                </w:p>
              </w:tc>
            </w:tr>
            <w:tr w:rsidR="004721F8" w:rsidRPr="007777E2" w:rsidTr="006F3815">
              <w:trPr>
                <w:jc w:val="center"/>
              </w:trPr>
              <w:tc>
                <w:tcPr>
                  <w:tcW w:w="1637" w:type="dxa"/>
                </w:tcPr>
                <w:p w:rsidR="004721F8" w:rsidRPr="007777E2" w:rsidRDefault="004721F8" w:rsidP="004B6EA8">
                  <w:pPr>
                    <w:tabs>
                      <w:tab w:val="num" w:pos="0"/>
                    </w:tabs>
                    <w:rPr>
                      <w:rFonts w:asciiTheme="minorHAnsi" w:hAnsiTheme="minorHAnsi"/>
                      <w:sz w:val="18"/>
                      <w:szCs w:val="18"/>
                    </w:rPr>
                  </w:pPr>
                  <w:r w:rsidRPr="007777E2">
                    <w:rPr>
                      <w:rFonts w:asciiTheme="minorHAnsi" w:hAnsiTheme="minorHAnsi"/>
                      <w:sz w:val="18"/>
                      <w:szCs w:val="18"/>
                    </w:rPr>
                    <w:t xml:space="preserve">8 to 10 years  </w:t>
                  </w:r>
                </w:p>
              </w:tc>
              <w:tc>
                <w:tcPr>
                  <w:tcW w:w="720" w:type="dxa"/>
                </w:tcPr>
                <w:p w:rsidR="004721F8" w:rsidRPr="007777E2" w:rsidRDefault="004721F8" w:rsidP="004B6EA8">
                  <w:pPr>
                    <w:tabs>
                      <w:tab w:val="num" w:pos="0"/>
                    </w:tabs>
                    <w:jc w:val="both"/>
                    <w:rPr>
                      <w:rFonts w:asciiTheme="minorHAnsi" w:hAnsiTheme="minorHAnsi"/>
                      <w:sz w:val="18"/>
                      <w:szCs w:val="18"/>
                    </w:rPr>
                  </w:pPr>
                  <w:r w:rsidRPr="007777E2">
                    <w:rPr>
                      <w:rFonts w:asciiTheme="minorHAnsi" w:hAnsiTheme="minorHAnsi"/>
                      <w:sz w:val="18"/>
                      <w:szCs w:val="18"/>
                    </w:rPr>
                    <w:t>3736</w:t>
                  </w:r>
                </w:p>
              </w:tc>
              <w:tc>
                <w:tcPr>
                  <w:tcW w:w="630" w:type="dxa"/>
                </w:tcPr>
                <w:p w:rsidR="004721F8" w:rsidRPr="007777E2" w:rsidRDefault="004721F8" w:rsidP="004B6EA8">
                  <w:pPr>
                    <w:tabs>
                      <w:tab w:val="num" w:pos="0"/>
                    </w:tabs>
                    <w:jc w:val="both"/>
                    <w:rPr>
                      <w:rFonts w:asciiTheme="minorHAnsi" w:hAnsiTheme="minorHAnsi"/>
                      <w:sz w:val="18"/>
                      <w:szCs w:val="18"/>
                    </w:rPr>
                  </w:pPr>
                  <w:r w:rsidRPr="007777E2">
                    <w:rPr>
                      <w:rFonts w:asciiTheme="minorHAnsi" w:hAnsiTheme="minorHAnsi"/>
                      <w:sz w:val="18"/>
                      <w:szCs w:val="18"/>
                    </w:rPr>
                    <w:t>1052</w:t>
                  </w:r>
                </w:p>
              </w:tc>
              <w:tc>
                <w:tcPr>
                  <w:tcW w:w="720" w:type="dxa"/>
                </w:tcPr>
                <w:p w:rsidR="004721F8" w:rsidRPr="007777E2" w:rsidRDefault="004721F8" w:rsidP="004B6EA8">
                  <w:pPr>
                    <w:tabs>
                      <w:tab w:val="num" w:pos="0"/>
                    </w:tabs>
                    <w:jc w:val="both"/>
                    <w:rPr>
                      <w:rFonts w:asciiTheme="minorHAnsi" w:hAnsiTheme="minorHAnsi"/>
                      <w:sz w:val="18"/>
                      <w:szCs w:val="18"/>
                    </w:rPr>
                  </w:pPr>
                  <w:r w:rsidRPr="007777E2">
                    <w:rPr>
                      <w:rFonts w:asciiTheme="minorHAnsi" w:hAnsiTheme="minorHAnsi"/>
                      <w:sz w:val="18"/>
                      <w:szCs w:val="18"/>
                    </w:rPr>
                    <w:t>1451</w:t>
                  </w:r>
                </w:p>
              </w:tc>
              <w:tc>
                <w:tcPr>
                  <w:tcW w:w="630" w:type="dxa"/>
                </w:tcPr>
                <w:p w:rsidR="004721F8" w:rsidRPr="007777E2" w:rsidRDefault="004721F8" w:rsidP="004B6EA8">
                  <w:pPr>
                    <w:tabs>
                      <w:tab w:val="num" w:pos="0"/>
                    </w:tabs>
                    <w:jc w:val="both"/>
                    <w:rPr>
                      <w:rFonts w:asciiTheme="minorHAnsi" w:hAnsiTheme="minorHAnsi"/>
                      <w:sz w:val="18"/>
                      <w:szCs w:val="18"/>
                    </w:rPr>
                  </w:pPr>
                  <w:r w:rsidRPr="007777E2">
                    <w:rPr>
                      <w:rFonts w:asciiTheme="minorHAnsi" w:hAnsiTheme="minorHAnsi"/>
                      <w:sz w:val="18"/>
                      <w:szCs w:val="18"/>
                    </w:rPr>
                    <w:t>432</w:t>
                  </w:r>
                </w:p>
              </w:tc>
              <w:tc>
                <w:tcPr>
                  <w:tcW w:w="720" w:type="dxa"/>
                </w:tcPr>
                <w:p w:rsidR="004721F8" w:rsidRPr="007777E2" w:rsidRDefault="004721F8" w:rsidP="004B6EA8">
                  <w:pPr>
                    <w:tabs>
                      <w:tab w:val="num" w:pos="0"/>
                    </w:tabs>
                    <w:jc w:val="both"/>
                    <w:rPr>
                      <w:rFonts w:asciiTheme="minorHAnsi" w:hAnsiTheme="minorHAnsi"/>
                      <w:sz w:val="18"/>
                      <w:szCs w:val="18"/>
                    </w:rPr>
                  </w:pPr>
                  <w:r w:rsidRPr="007777E2">
                    <w:rPr>
                      <w:rFonts w:asciiTheme="minorHAnsi" w:hAnsiTheme="minorHAnsi"/>
                      <w:sz w:val="18"/>
                      <w:szCs w:val="18"/>
                    </w:rPr>
                    <w:t>825</w:t>
                  </w:r>
                </w:p>
              </w:tc>
              <w:tc>
                <w:tcPr>
                  <w:tcW w:w="720" w:type="dxa"/>
                </w:tcPr>
                <w:p w:rsidR="004721F8" w:rsidRPr="007777E2" w:rsidRDefault="004721F8" w:rsidP="004B6EA8">
                  <w:pPr>
                    <w:tabs>
                      <w:tab w:val="num" w:pos="0"/>
                    </w:tabs>
                    <w:jc w:val="both"/>
                    <w:rPr>
                      <w:rFonts w:asciiTheme="minorHAnsi" w:hAnsiTheme="minorHAnsi"/>
                      <w:sz w:val="18"/>
                      <w:szCs w:val="18"/>
                    </w:rPr>
                  </w:pPr>
                  <w:r w:rsidRPr="007777E2">
                    <w:rPr>
                      <w:rFonts w:asciiTheme="minorHAnsi" w:hAnsiTheme="minorHAnsi"/>
                      <w:sz w:val="18"/>
                      <w:szCs w:val="18"/>
                    </w:rPr>
                    <w:t>224</w:t>
                  </w:r>
                </w:p>
              </w:tc>
              <w:tc>
                <w:tcPr>
                  <w:tcW w:w="720" w:type="dxa"/>
                </w:tcPr>
                <w:p w:rsidR="004721F8" w:rsidRPr="007777E2" w:rsidRDefault="004721F8" w:rsidP="004B6EA8">
                  <w:pPr>
                    <w:tabs>
                      <w:tab w:val="num" w:pos="0"/>
                    </w:tabs>
                    <w:jc w:val="both"/>
                    <w:rPr>
                      <w:rFonts w:asciiTheme="minorHAnsi" w:hAnsiTheme="minorHAnsi"/>
                      <w:sz w:val="18"/>
                      <w:szCs w:val="18"/>
                    </w:rPr>
                  </w:pPr>
                  <w:r w:rsidRPr="007777E2">
                    <w:rPr>
                      <w:rFonts w:asciiTheme="minorHAnsi" w:hAnsiTheme="minorHAnsi"/>
                      <w:sz w:val="18"/>
                      <w:szCs w:val="18"/>
                    </w:rPr>
                    <w:t>477</w:t>
                  </w:r>
                </w:p>
              </w:tc>
              <w:tc>
                <w:tcPr>
                  <w:tcW w:w="720" w:type="dxa"/>
                </w:tcPr>
                <w:p w:rsidR="004721F8" w:rsidRPr="007777E2" w:rsidRDefault="004721F8" w:rsidP="004B6EA8">
                  <w:pPr>
                    <w:tabs>
                      <w:tab w:val="num" w:pos="0"/>
                    </w:tabs>
                    <w:jc w:val="both"/>
                    <w:rPr>
                      <w:rFonts w:asciiTheme="minorHAnsi" w:hAnsiTheme="minorHAnsi"/>
                      <w:sz w:val="18"/>
                      <w:szCs w:val="18"/>
                    </w:rPr>
                  </w:pPr>
                  <w:r w:rsidRPr="007777E2">
                    <w:rPr>
                      <w:rFonts w:asciiTheme="minorHAnsi" w:hAnsiTheme="minorHAnsi"/>
                      <w:sz w:val="18"/>
                      <w:szCs w:val="18"/>
                    </w:rPr>
                    <w:t>207</w:t>
                  </w:r>
                </w:p>
              </w:tc>
              <w:tc>
                <w:tcPr>
                  <w:tcW w:w="720" w:type="dxa"/>
                </w:tcPr>
                <w:p w:rsidR="004721F8" w:rsidRPr="007777E2" w:rsidRDefault="004721F8" w:rsidP="004B6EA8">
                  <w:pPr>
                    <w:tabs>
                      <w:tab w:val="num" w:pos="0"/>
                    </w:tabs>
                    <w:jc w:val="both"/>
                    <w:rPr>
                      <w:rFonts w:asciiTheme="minorHAnsi" w:hAnsiTheme="minorHAnsi"/>
                      <w:sz w:val="18"/>
                      <w:szCs w:val="18"/>
                    </w:rPr>
                  </w:pPr>
                  <w:r w:rsidRPr="007777E2">
                    <w:rPr>
                      <w:rFonts w:asciiTheme="minorHAnsi" w:hAnsiTheme="minorHAnsi"/>
                      <w:sz w:val="18"/>
                      <w:szCs w:val="18"/>
                    </w:rPr>
                    <w:t>281</w:t>
                  </w:r>
                </w:p>
              </w:tc>
              <w:tc>
                <w:tcPr>
                  <w:tcW w:w="630" w:type="dxa"/>
                </w:tcPr>
                <w:p w:rsidR="004721F8" w:rsidRPr="007777E2" w:rsidRDefault="004721F8" w:rsidP="004B6EA8">
                  <w:pPr>
                    <w:tabs>
                      <w:tab w:val="num" w:pos="0"/>
                    </w:tabs>
                    <w:jc w:val="both"/>
                    <w:rPr>
                      <w:rFonts w:asciiTheme="minorHAnsi" w:hAnsiTheme="minorHAnsi"/>
                      <w:sz w:val="18"/>
                      <w:szCs w:val="18"/>
                    </w:rPr>
                  </w:pPr>
                  <w:r w:rsidRPr="007777E2">
                    <w:rPr>
                      <w:rFonts w:asciiTheme="minorHAnsi" w:hAnsiTheme="minorHAnsi"/>
                      <w:sz w:val="18"/>
                      <w:szCs w:val="18"/>
                    </w:rPr>
                    <w:t>145</w:t>
                  </w:r>
                </w:p>
              </w:tc>
            </w:tr>
            <w:tr w:rsidR="004721F8" w:rsidRPr="007777E2" w:rsidTr="006F3815">
              <w:trPr>
                <w:jc w:val="center"/>
              </w:trPr>
              <w:tc>
                <w:tcPr>
                  <w:tcW w:w="1637" w:type="dxa"/>
                </w:tcPr>
                <w:p w:rsidR="004721F8" w:rsidRPr="007777E2" w:rsidRDefault="004721F8" w:rsidP="004B6EA8">
                  <w:pPr>
                    <w:tabs>
                      <w:tab w:val="num" w:pos="0"/>
                    </w:tabs>
                    <w:rPr>
                      <w:rFonts w:asciiTheme="minorHAnsi" w:hAnsiTheme="minorHAnsi"/>
                      <w:sz w:val="18"/>
                      <w:szCs w:val="18"/>
                    </w:rPr>
                  </w:pPr>
                  <w:r w:rsidRPr="007777E2">
                    <w:rPr>
                      <w:rFonts w:asciiTheme="minorHAnsi" w:hAnsiTheme="minorHAnsi"/>
                      <w:sz w:val="18"/>
                      <w:szCs w:val="18"/>
                    </w:rPr>
                    <w:t>10 to 13 years</w:t>
                  </w:r>
                </w:p>
              </w:tc>
              <w:tc>
                <w:tcPr>
                  <w:tcW w:w="720" w:type="dxa"/>
                </w:tcPr>
                <w:p w:rsidR="004721F8" w:rsidRPr="007777E2" w:rsidRDefault="004721F8" w:rsidP="004B6EA8">
                  <w:pPr>
                    <w:tabs>
                      <w:tab w:val="num" w:pos="0"/>
                    </w:tabs>
                    <w:jc w:val="both"/>
                    <w:rPr>
                      <w:rFonts w:asciiTheme="minorHAnsi" w:hAnsiTheme="minorHAnsi"/>
                      <w:sz w:val="18"/>
                      <w:szCs w:val="18"/>
                    </w:rPr>
                  </w:pPr>
                  <w:r w:rsidRPr="007777E2">
                    <w:rPr>
                      <w:rFonts w:asciiTheme="minorHAnsi" w:hAnsiTheme="minorHAnsi"/>
                      <w:sz w:val="18"/>
                      <w:szCs w:val="18"/>
                    </w:rPr>
                    <w:t>4784</w:t>
                  </w:r>
                </w:p>
              </w:tc>
              <w:tc>
                <w:tcPr>
                  <w:tcW w:w="630" w:type="dxa"/>
                </w:tcPr>
                <w:p w:rsidR="004721F8" w:rsidRPr="007777E2" w:rsidRDefault="004721F8" w:rsidP="004B6EA8">
                  <w:pPr>
                    <w:tabs>
                      <w:tab w:val="num" w:pos="0"/>
                    </w:tabs>
                    <w:jc w:val="both"/>
                    <w:rPr>
                      <w:rFonts w:asciiTheme="minorHAnsi" w:hAnsiTheme="minorHAnsi"/>
                      <w:sz w:val="18"/>
                      <w:szCs w:val="18"/>
                    </w:rPr>
                  </w:pPr>
                  <w:r w:rsidRPr="007777E2">
                    <w:rPr>
                      <w:rFonts w:asciiTheme="minorHAnsi" w:hAnsiTheme="minorHAnsi"/>
                      <w:sz w:val="18"/>
                      <w:szCs w:val="18"/>
                    </w:rPr>
                    <w:t>2419</w:t>
                  </w:r>
                </w:p>
              </w:tc>
              <w:tc>
                <w:tcPr>
                  <w:tcW w:w="720" w:type="dxa"/>
                </w:tcPr>
                <w:p w:rsidR="004721F8" w:rsidRPr="007777E2" w:rsidRDefault="004721F8" w:rsidP="004B6EA8">
                  <w:pPr>
                    <w:tabs>
                      <w:tab w:val="num" w:pos="0"/>
                    </w:tabs>
                    <w:jc w:val="both"/>
                    <w:rPr>
                      <w:rFonts w:asciiTheme="minorHAnsi" w:hAnsiTheme="minorHAnsi"/>
                      <w:sz w:val="18"/>
                      <w:szCs w:val="18"/>
                    </w:rPr>
                  </w:pPr>
                  <w:r w:rsidRPr="007777E2">
                    <w:rPr>
                      <w:rFonts w:asciiTheme="minorHAnsi" w:hAnsiTheme="minorHAnsi"/>
                      <w:sz w:val="18"/>
                      <w:szCs w:val="18"/>
                    </w:rPr>
                    <w:t>5512</w:t>
                  </w:r>
                </w:p>
              </w:tc>
              <w:tc>
                <w:tcPr>
                  <w:tcW w:w="630" w:type="dxa"/>
                </w:tcPr>
                <w:p w:rsidR="004721F8" w:rsidRPr="007777E2" w:rsidRDefault="004721F8" w:rsidP="004B6EA8">
                  <w:pPr>
                    <w:tabs>
                      <w:tab w:val="num" w:pos="0"/>
                    </w:tabs>
                    <w:jc w:val="both"/>
                    <w:rPr>
                      <w:rFonts w:asciiTheme="minorHAnsi" w:hAnsiTheme="minorHAnsi"/>
                      <w:sz w:val="18"/>
                      <w:szCs w:val="18"/>
                    </w:rPr>
                  </w:pPr>
                  <w:r w:rsidRPr="007777E2">
                    <w:rPr>
                      <w:rFonts w:asciiTheme="minorHAnsi" w:hAnsiTheme="minorHAnsi"/>
                      <w:sz w:val="18"/>
                      <w:szCs w:val="18"/>
                    </w:rPr>
                    <w:t>2296</w:t>
                  </w:r>
                </w:p>
              </w:tc>
              <w:tc>
                <w:tcPr>
                  <w:tcW w:w="720" w:type="dxa"/>
                </w:tcPr>
                <w:p w:rsidR="004721F8" w:rsidRPr="007777E2" w:rsidRDefault="004721F8" w:rsidP="004B6EA8">
                  <w:pPr>
                    <w:tabs>
                      <w:tab w:val="num" w:pos="0"/>
                    </w:tabs>
                    <w:jc w:val="both"/>
                    <w:rPr>
                      <w:rFonts w:asciiTheme="minorHAnsi" w:hAnsiTheme="minorHAnsi"/>
                      <w:sz w:val="18"/>
                      <w:szCs w:val="18"/>
                    </w:rPr>
                  </w:pPr>
                  <w:r w:rsidRPr="007777E2">
                    <w:rPr>
                      <w:rFonts w:asciiTheme="minorHAnsi" w:hAnsiTheme="minorHAnsi"/>
                      <w:sz w:val="18"/>
                      <w:szCs w:val="18"/>
                    </w:rPr>
                    <w:t>4573</w:t>
                  </w:r>
                </w:p>
              </w:tc>
              <w:tc>
                <w:tcPr>
                  <w:tcW w:w="720" w:type="dxa"/>
                </w:tcPr>
                <w:p w:rsidR="004721F8" w:rsidRPr="007777E2" w:rsidRDefault="004721F8" w:rsidP="004B6EA8">
                  <w:pPr>
                    <w:tabs>
                      <w:tab w:val="num" w:pos="0"/>
                    </w:tabs>
                    <w:jc w:val="both"/>
                    <w:rPr>
                      <w:rFonts w:asciiTheme="minorHAnsi" w:hAnsiTheme="minorHAnsi"/>
                      <w:sz w:val="18"/>
                      <w:szCs w:val="18"/>
                    </w:rPr>
                  </w:pPr>
                  <w:r w:rsidRPr="007777E2">
                    <w:rPr>
                      <w:rFonts w:asciiTheme="minorHAnsi" w:hAnsiTheme="minorHAnsi"/>
                      <w:sz w:val="18"/>
                      <w:szCs w:val="18"/>
                    </w:rPr>
                    <w:t>1721</w:t>
                  </w:r>
                </w:p>
              </w:tc>
              <w:tc>
                <w:tcPr>
                  <w:tcW w:w="720" w:type="dxa"/>
                </w:tcPr>
                <w:p w:rsidR="004721F8" w:rsidRPr="007777E2" w:rsidRDefault="004721F8" w:rsidP="004B6EA8">
                  <w:pPr>
                    <w:tabs>
                      <w:tab w:val="num" w:pos="0"/>
                    </w:tabs>
                    <w:jc w:val="both"/>
                    <w:rPr>
                      <w:rFonts w:asciiTheme="minorHAnsi" w:hAnsiTheme="minorHAnsi"/>
                      <w:sz w:val="18"/>
                      <w:szCs w:val="18"/>
                    </w:rPr>
                  </w:pPr>
                  <w:r w:rsidRPr="007777E2">
                    <w:rPr>
                      <w:rFonts w:asciiTheme="minorHAnsi" w:hAnsiTheme="minorHAnsi"/>
                      <w:sz w:val="18"/>
                      <w:szCs w:val="18"/>
                    </w:rPr>
                    <w:t>3154</w:t>
                  </w:r>
                </w:p>
              </w:tc>
              <w:tc>
                <w:tcPr>
                  <w:tcW w:w="720" w:type="dxa"/>
                </w:tcPr>
                <w:p w:rsidR="004721F8" w:rsidRPr="007777E2" w:rsidRDefault="004721F8" w:rsidP="004B6EA8">
                  <w:pPr>
                    <w:tabs>
                      <w:tab w:val="num" w:pos="0"/>
                    </w:tabs>
                    <w:jc w:val="both"/>
                    <w:rPr>
                      <w:rFonts w:asciiTheme="minorHAnsi" w:hAnsiTheme="minorHAnsi"/>
                      <w:sz w:val="18"/>
                      <w:szCs w:val="18"/>
                    </w:rPr>
                  </w:pPr>
                  <w:r w:rsidRPr="007777E2">
                    <w:rPr>
                      <w:rFonts w:asciiTheme="minorHAnsi" w:hAnsiTheme="minorHAnsi"/>
                      <w:sz w:val="18"/>
                      <w:szCs w:val="18"/>
                    </w:rPr>
                    <w:t>1143</w:t>
                  </w:r>
                </w:p>
              </w:tc>
              <w:tc>
                <w:tcPr>
                  <w:tcW w:w="720" w:type="dxa"/>
                </w:tcPr>
                <w:p w:rsidR="004721F8" w:rsidRPr="007777E2" w:rsidRDefault="004721F8" w:rsidP="004B6EA8">
                  <w:pPr>
                    <w:tabs>
                      <w:tab w:val="num" w:pos="0"/>
                    </w:tabs>
                    <w:jc w:val="both"/>
                    <w:rPr>
                      <w:rFonts w:asciiTheme="minorHAnsi" w:hAnsiTheme="minorHAnsi"/>
                      <w:sz w:val="18"/>
                      <w:szCs w:val="18"/>
                    </w:rPr>
                  </w:pPr>
                  <w:r w:rsidRPr="007777E2">
                    <w:rPr>
                      <w:rFonts w:asciiTheme="minorHAnsi" w:hAnsiTheme="minorHAnsi"/>
                      <w:sz w:val="18"/>
                      <w:szCs w:val="18"/>
                    </w:rPr>
                    <w:t>141</w:t>
                  </w:r>
                </w:p>
              </w:tc>
              <w:tc>
                <w:tcPr>
                  <w:tcW w:w="630" w:type="dxa"/>
                </w:tcPr>
                <w:p w:rsidR="004721F8" w:rsidRPr="007777E2" w:rsidRDefault="004721F8" w:rsidP="004B6EA8">
                  <w:pPr>
                    <w:tabs>
                      <w:tab w:val="num" w:pos="0"/>
                    </w:tabs>
                    <w:jc w:val="both"/>
                    <w:rPr>
                      <w:rFonts w:asciiTheme="minorHAnsi" w:hAnsiTheme="minorHAnsi"/>
                      <w:sz w:val="18"/>
                      <w:szCs w:val="18"/>
                    </w:rPr>
                  </w:pPr>
                  <w:r w:rsidRPr="007777E2">
                    <w:rPr>
                      <w:rFonts w:asciiTheme="minorHAnsi" w:hAnsiTheme="minorHAnsi"/>
                      <w:sz w:val="18"/>
                      <w:szCs w:val="18"/>
                    </w:rPr>
                    <w:t>384</w:t>
                  </w:r>
                </w:p>
              </w:tc>
            </w:tr>
            <w:tr w:rsidR="004721F8" w:rsidRPr="007777E2" w:rsidTr="006F3815">
              <w:trPr>
                <w:trHeight w:val="282"/>
                <w:jc w:val="center"/>
              </w:trPr>
              <w:tc>
                <w:tcPr>
                  <w:tcW w:w="1637" w:type="dxa"/>
                </w:tcPr>
                <w:p w:rsidR="004721F8" w:rsidRPr="007777E2" w:rsidRDefault="004721F8" w:rsidP="004B6EA8">
                  <w:pPr>
                    <w:tabs>
                      <w:tab w:val="num" w:pos="0"/>
                    </w:tabs>
                    <w:rPr>
                      <w:rFonts w:asciiTheme="minorHAnsi" w:hAnsiTheme="minorHAnsi"/>
                      <w:sz w:val="18"/>
                      <w:szCs w:val="18"/>
                    </w:rPr>
                  </w:pPr>
                  <w:r w:rsidRPr="007777E2">
                    <w:rPr>
                      <w:rFonts w:asciiTheme="minorHAnsi" w:hAnsiTheme="minorHAnsi"/>
                      <w:sz w:val="18"/>
                      <w:szCs w:val="18"/>
                    </w:rPr>
                    <w:t>More than 13years</w:t>
                  </w:r>
                </w:p>
              </w:tc>
              <w:tc>
                <w:tcPr>
                  <w:tcW w:w="720" w:type="dxa"/>
                </w:tcPr>
                <w:p w:rsidR="004721F8" w:rsidRPr="007777E2" w:rsidRDefault="004721F8" w:rsidP="004B6EA8">
                  <w:pPr>
                    <w:tabs>
                      <w:tab w:val="num" w:pos="0"/>
                    </w:tabs>
                    <w:jc w:val="both"/>
                    <w:rPr>
                      <w:rFonts w:asciiTheme="minorHAnsi" w:hAnsiTheme="minorHAnsi"/>
                      <w:sz w:val="18"/>
                      <w:szCs w:val="18"/>
                    </w:rPr>
                  </w:pPr>
                  <w:r w:rsidRPr="007777E2">
                    <w:rPr>
                      <w:rFonts w:asciiTheme="minorHAnsi" w:hAnsiTheme="minorHAnsi"/>
                      <w:sz w:val="18"/>
                      <w:szCs w:val="18"/>
                    </w:rPr>
                    <w:t>253</w:t>
                  </w:r>
                </w:p>
              </w:tc>
              <w:tc>
                <w:tcPr>
                  <w:tcW w:w="630" w:type="dxa"/>
                </w:tcPr>
                <w:p w:rsidR="004721F8" w:rsidRPr="007777E2" w:rsidRDefault="004721F8" w:rsidP="004B6EA8">
                  <w:pPr>
                    <w:tabs>
                      <w:tab w:val="num" w:pos="0"/>
                    </w:tabs>
                    <w:jc w:val="both"/>
                    <w:rPr>
                      <w:rFonts w:asciiTheme="minorHAnsi" w:hAnsiTheme="minorHAnsi"/>
                      <w:sz w:val="18"/>
                      <w:szCs w:val="18"/>
                    </w:rPr>
                  </w:pPr>
                  <w:r w:rsidRPr="007777E2">
                    <w:rPr>
                      <w:rFonts w:asciiTheme="minorHAnsi" w:hAnsiTheme="minorHAnsi"/>
                      <w:sz w:val="18"/>
                      <w:szCs w:val="18"/>
                    </w:rPr>
                    <w:t>2317</w:t>
                  </w:r>
                </w:p>
              </w:tc>
              <w:tc>
                <w:tcPr>
                  <w:tcW w:w="720" w:type="dxa"/>
                </w:tcPr>
                <w:p w:rsidR="004721F8" w:rsidRPr="007777E2" w:rsidRDefault="004721F8" w:rsidP="004B6EA8">
                  <w:pPr>
                    <w:tabs>
                      <w:tab w:val="num" w:pos="0"/>
                    </w:tabs>
                    <w:jc w:val="both"/>
                    <w:rPr>
                      <w:rFonts w:asciiTheme="minorHAnsi" w:hAnsiTheme="minorHAnsi"/>
                      <w:sz w:val="18"/>
                      <w:szCs w:val="18"/>
                    </w:rPr>
                  </w:pPr>
                  <w:r w:rsidRPr="007777E2">
                    <w:rPr>
                      <w:rFonts w:asciiTheme="minorHAnsi" w:hAnsiTheme="minorHAnsi"/>
                      <w:sz w:val="18"/>
                      <w:szCs w:val="18"/>
                    </w:rPr>
                    <w:t>3224</w:t>
                  </w:r>
                </w:p>
              </w:tc>
              <w:tc>
                <w:tcPr>
                  <w:tcW w:w="630" w:type="dxa"/>
                </w:tcPr>
                <w:p w:rsidR="004721F8" w:rsidRPr="007777E2" w:rsidRDefault="004721F8" w:rsidP="004B6EA8">
                  <w:pPr>
                    <w:tabs>
                      <w:tab w:val="num" w:pos="0"/>
                    </w:tabs>
                    <w:jc w:val="both"/>
                    <w:rPr>
                      <w:rFonts w:asciiTheme="minorHAnsi" w:hAnsiTheme="minorHAnsi"/>
                      <w:sz w:val="18"/>
                      <w:szCs w:val="18"/>
                    </w:rPr>
                  </w:pPr>
                  <w:r w:rsidRPr="007777E2">
                    <w:rPr>
                      <w:rFonts w:asciiTheme="minorHAnsi" w:hAnsiTheme="minorHAnsi"/>
                      <w:sz w:val="18"/>
                      <w:szCs w:val="18"/>
                    </w:rPr>
                    <w:t>2667</w:t>
                  </w:r>
                </w:p>
              </w:tc>
              <w:tc>
                <w:tcPr>
                  <w:tcW w:w="720" w:type="dxa"/>
                </w:tcPr>
                <w:p w:rsidR="004721F8" w:rsidRPr="007777E2" w:rsidRDefault="004721F8" w:rsidP="004B6EA8">
                  <w:pPr>
                    <w:tabs>
                      <w:tab w:val="num" w:pos="0"/>
                    </w:tabs>
                    <w:jc w:val="both"/>
                    <w:rPr>
                      <w:rFonts w:asciiTheme="minorHAnsi" w:hAnsiTheme="minorHAnsi"/>
                      <w:sz w:val="18"/>
                      <w:szCs w:val="18"/>
                    </w:rPr>
                  </w:pPr>
                  <w:r w:rsidRPr="007777E2">
                    <w:rPr>
                      <w:rFonts w:asciiTheme="minorHAnsi" w:hAnsiTheme="minorHAnsi"/>
                      <w:sz w:val="18"/>
                      <w:szCs w:val="18"/>
                    </w:rPr>
                    <w:t>4241</w:t>
                  </w:r>
                </w:p>
              </w:tc>
              <w:tc>
                <w:tcPr>
                  <w:tcW w:w="720" w:type="dxa"/>
                </w:tcPr>
                <w:p w:rsidR="004721F8" w:rsidRPr="007777E2" w:rsidRDefault="004721F8" w:rsidP="004B6EA8">
                  <w:pPr>
                    <w:tabs>
                      <w:tab w:val="num" w:pos="0"/>
                    </w:tabs>
                    <w:jc w:val="both"/>
                    <w:rPr>
                      <w:rFonts w:asciiTheme="minorHAnsi" w:hAnsiTheme="minorHAnsi"/>
                      <w:sz w:val="18"/>
                      <w:szCs w:val="18"/>
                    </w:rPr>
                  </w:pPr>
                  <w:r w:rsidRPr="007777E2">
                    <w:rPr>
                      <w:rFonts w:asciiTheme="minorHAnsi" w:hAnsiTheme="minorHAnsi"/>
                      <w:sz w:val="18"/>
                      <w:szCs w:val="18"/>
                    </w:rPr>
                    <w:t>3245</w:t>
                  </w:r>
                </w:p>
              </w:tc>
              <w:tc>
                <w:tcPr>
                  <w:tcW w:w="720" w:type="dxa"/>
                </w:tcPr>
                <w:p w:rsidR="004721F8" w:rsidRPr="007777E2" w:rsidRDefault="004721F8" w:rsidP="004B6EA8">
                  <w:pPr>
                    <w:tabs>
                      <w:tab w:val="num" w:pos="0"/>
                    </w:tabs>
                    <w:jc w:val="both"/>
                    <w:rPr>
                      <w:rFonts w:asciiTheme="minorHAnsi" w:hAnsiTheme="minorHAnsi"/>
                      <w:sz w:val="18"/>
                      <w:szCs w:val="18"/>
                    </w:rPr>
                  </w:pPr>
                  <w:r w:rsidRPr="007777E2">
                    <w:rPr>
                      <w:rFonts w:asciiTheme="minorHAnsi" w:hAnsiTheme="minorHAnsi"/>
                      <w:sz w:val="18"/>
                      <w:szCs w:val="18"/>
                    </w:rPr>
                    <w:t>4204</w:t>
                  </w:r>
                </w:p>
              </w:tc>
              <w:tc>
                <w:tcPr>
                  <w:tcW w:w="720" w:type="dxa"/>
                </w:tcPr>
                <w:p w:rsidR="004721F8" w:rsidRPr="007777E2" w:rsidRDefault="004721F8" w:rsidP="004B6EA8">
                  <w:pPr>
                    <w:tabs>
                      <w:tab w:val="num" w:pos="0"/>
                    </w:tabs>
                    <w:jc w:val="both"/>
                    <w:rPr>
                      <w:rFonts w:asciiTheme="minorHAnsi" w:hAnsiTheme="minorHAnsi"/>
                      <w:sz w:val="18"/>
                      <w:szCs w:val="18"/>
                    </w:rPr>
                  </w:pPr>
                  <w:r w:rsidRPr="007777E2">
                    <w:rPr>
                      <w:rFonts w:asciiTheme="minorHAnsi" w:hAnsiTheme="minorHAnsi"/>
                      <w:sz w:val="18"/>
                      <w:szCs w:val="18"/>
                    </w:rPr>
                    <w:t>4307</w:t>
                  </w:r>
                </w:p>
              </w:tc>
              <w:tc>
                <w:tcPr>
                  <w:tcW w:w="720" w:type="dxa"/>
                </w:tcPr>
                <w:p w:rsidR="004721F8" w:rsidRPr="007777E2" w:rsidRDefault="004721F8" w:rsidP="004B6EA8">
                  <w:pPr>
                    <w:tabs>
                      <w:tab w:val="num" w:pos="0"/>
                    </w:tabs>
                    <w:jc w:val="both"/>
                    <w:rPr>
                      <w:rFonts w:asciiTheme="minorHAnsi" w:hAnsiTheme="minorHAnsi"/>
                      <w:sz w:val="18"/>
                      <w:szCs w:val="18"/>
                    </w:rPr>
                  </w:pPr>
                  <w:r w:rsidRPr="007777E2">
                    <w:rPr>
                      <w:rFonts w:asciiTheme="minorHAnsi" w:hAnsiTheme="minorHAnsi"/>
                      <w:sz w:val="18"/>
                      <w:szCs w:val="18"/>
                    </w:rPr>
                    <w:t>4844</w:t>
                  </w:r>
                </w:p>
              </w:tc>
              <w:tc>
                <w:tcPr>
                  <w:tcW w:w="630" w:type="dxa"/>
                </w:tcPr>
                <w:p w:rsidR="004721F8" w:rsidRPr="007777E2" w:rsidRDefault="004721F8" w:rsidP="004B6EA8">
                  <w:pPr>
                    <w:tabs>
                      <w:tab w:val="num" w:pos="0"/>
                    </w:tabs>
                    <w:jc w:val="both"/>
                    <w:rPr>
                      <w:rFonts w:asciiTheme="minorHAnsi" w:hAnsiTheme="minorHAnsi"/>
                      <w:sz w:val="18"/>
                      <w:szCs w:val="18"/>
                    </w:rPr>
                  </w:pPr>
                  <w:r w:rsidRPr="007777E2">
                    <w:rPr>
                      <w:rFonts w:asciiTheme="minorHAnsi" w:hAnsiTheme="minorHAnsi"/>
                      <w:sz w:val="18"/>
                      <w:szCs w:val="18"/>
                    </w:rPr>
                    <w:t>3552</w:t>
                  </w:r>
                </w:p>
              </w:tc>
            </w:tr>
          </w:tbl>
          <w:p w:rsidR="004721F8" w:rsidRPr="007777E2" w:rsidRDefault="004721F8" w:rsidP="004B6EA8">
            <w:pPr>
              <w:pStyle w:val="ListParagraph"/>
              <w:tabs>
                <w:tab w:val="num" w:pos="0"/>
              </w:tabs>
              <w:spacing w:line="240" w:lineRule="auto"/>
              <w:ind w:left="0"/>
              <w:contextualSpacing w:val="0"/>
              <w:jc w:val="both"/>
              <w:rPr>
                <w:rFonts w:ascii="Times New Roman" w:hAnsi="Times New Roman"/>
                <w:sz w:val="18"/>
                <w:szCs w:val="18"/>
              </w:rPr>
            </w:pPr>
            <w:r w:rsidRPr="007777E2">
              <w:rPr>
                <w:rFonts w:ascii="Times New Roman" w:hAnsi="Times New Roman"/>
                <w:sz w:val="18"/>
                <w:szCs w:val="18"/>
              </w:rPr>
              <w:t>Source:</w:t>
            </w:r>
            <w:r w:rsidR="002B2A4E" w:rsidRPr="007777E2">
              <w:rPr>
                <w:rFonts w:ascii="Times New Roman" w:hAnsi="Times New Roman"/>
                <w:sz w:val="18"/>
                <w:szCs w:val="18"/>
              </w:rPr>
              <w:t xml:space="preserve"> Data provided by MOTC.</w:t>
            </w:r>
            <w:r w:rsidR="004C2458">
              <w:rPr>
                <w:rFonts w:ascii="Times New Roman" w:hAnsi="Times New Roman"/>
                <w:sz w:val="18"/>
                <w:szCs w:val="18"/>
              </w:rPr>
              <w:t xml:space="preserve"> Data provided by the Ministry of Internal Affairs of the Republic of Belarus present similar trends.</w:t>
            </w:r>
          </w:p>
        </w:tc>
      </w:tr>
    </w:tbl>
    <w:p w:rsidR="00135E44" w:rsidRPr="007777E2" w:rsidRDefault="00135E44" w:rsidP="004B6EA8">
      <w:pPr>
        <w:pStyle w:val="ListParagraph"/>
        <w:tabs>
          <w:tab w:val="num" w:pos="0"/>
        </w:tabs>
        <w:spacing w:line="240" w:lineRule="auto"/>
        <w:ind w:left="0"/>
        <w:contextualSpacing w:val="0"/>
        <w:jc w:val="both"/>
        <w:rPr>
          <w:rFonts w:ascii="Times New Roman" w:hAnsi="Times New Roman"/>
          <w:bCs/>
          <w:sz w:val="24"/>
          <w:szCs w:val="24"/>
        </w:rPr>
      </w:pPr>
    </w:p>
    <w:p w:rsidR="00094D19" w:rsidRPr="007777E2" w:rsidRDefault="00135E44" w:rsidP="00A63E59">
      <w:pPr>
        <w:pStyle w:val="Style2"/>
      </w:pPr>
      <w:r w:rsidRPr="007777E2">
        <w:rPr>
          <w:b/>
        </w:rPr>
        <w:t xml:space="preserve">Due to various Government initiatives, the overall trend </w:t>
      </w:r>
      <w:r w:rsidR="006C62E5" w:rsidRPr="007777E2">
        <w:rPr>
          <w:b/>
        </w:rPr>
        <w:t>for environmental protection in the road sector</w:t>
      </w:r>
      <w:r w:rsidRPr="007777E2">
        <w:rPr>
          <w:b/>
        </w:rPr>
        <w:t xml:space="preserve"> is improving. </w:t>
      </w:r>
      <w:r w:rsidRPr="007777E2">
        <w:t>These include (</w:t>
      </w:r>
      <w:proofErr w:type="spellStart"/>
      <w:r w:rsidRPr="007777E2">
        <w:t>i</w:t>
      </w:r>
      <w:proofErr w:type="spellEnd"/>
      <w:r w:rsidRPr="007777E2">
        <w:t>) a ban on the use of leaded petrol since 1997; (ii) restructuring of the transport sector since 1995, resulting in the increase of smaller and more fuel efficient cars, trucks, and buses used by enterprises</w:t>
      </w:r>
      <w:r w:rsidR="006C024E" w:rsidRPr="007777E2">
        <w:t>;</w:t>
      </w:r>
      <w:r w:rsidRPr="007777E2">
        <w:t xml:space="preserve"> and (iii) use of natural gas as a fuel.</w:t>
      </w:r>
      <w:r w:rsidRPr="007777E2">
        <w:rPr>
          <w:b/>
        </w:rPr>
        <w:t xml:space="preserve"> </w:t>
      </w:r>
      <w:r w:rsidRPr="007777E2">
        <w:t xml:space="preserve">In addition, the incentive-based policy </w:t>
      </w:r>
      <w:r w:rsidR="00FA44DC">
        <w:t>in</w:t>
      </w:r>
      <w:r w:rsidRPr="007777E2">
        <w:t xml:space="preserve"> the transport sector to replace old fleets of public and private vehicles with new and more fuel efficient private and public cars, buses, and trucks seems to be effective. Road </w:t>
      </w:r>
      <w:r w:rsidR="006C62E5" w:rsidRPr="007777E2">
        <w:t xml:space="preserve">traffic’s </w:t>
      </w:r>
      <w:r w:rsidRPr="007777E2">
        <w:t>contribution to total transport CO</w:t>
      </w:r>
      <w:r w:rsidRPr="007777E2">
        <w:rPr>
          <w:vertAlign w:val="superscript"/>
        </w:rPr>
        <w:t>2</w:t>
      </w:r>
      <w:r w:rsidRPr="007777E2">
        <w:t xml:space="preserve"> emissions is substantially lower than </w:t>
      </w:r>
      <w:r w:rsidR="00FA44DC">
        <w:t xml:space="preserve">in </w:t>
      </w:r>
      <w:r w:rsidR="006C62E5" w:rsidRPr="007777E2">
        <w:t xml:space="preserve">other CIS </w:t>
      </w:r>
      <w:r w:rsidRPr="007777E2">
        <w:t>countries (</w:t>
      </w:r>
      <w:fldSimple w:instr=" REF _Ref257206948 \h  \* MERGEFORMAT ">
        <w:r w:rsidR="00E85C5F" w:rsidRPr="00E85C5F">
          <w:t xml:space="preserve">Table </w:t>
        </w:r>
        <w:r w:rsidR="00E85C5F" w:rsidRPr="00E85C5F">
          <w:rPr>
            <w:noProof/>
          </w:rPr>
          <w:t>8</w:t>
        </w:r>
      </w:fldSimple>
      <w:r w:rsidRPr="007777E2">
        <w:t>).</w:t>
      </w:r>
    </w:p>
    <w:tbl>
      <w:tblPr>
        <w:tblStyle w:val="TableGrid"/>
        <w:tblW w:w="0" w:type="auto"/>
        <w:jc w:val="center"/>
        <w:tblInd w:w="-333" w:type="dxa"/>
        <w:tblLook w:val="04A0"/>
      </w:tblPr>
      <w:tblGrid>
        <w:gridCol w:w="9126"/>
      </w:tblGrid>
      <w:tr w:rsidR="004721F8" w:rsidRPr="007777E2" w:rsidTr="00A52D36">
        <w:trPr>
          <w:trHeight w:val="5207"/>
          <w:jc w:val="center"/>
        </w:trPr>
        <w:tc>
          <w:tcPr>
            <w:tcW w:w="9080" w:type="dxa"/>
          </w:tcPr>
          <w:p w:rsidR="004721F8" w:rsidRPr="007777E2" w:rsidRDefault="004721F8" w:rsidP="000548F7">
            <w:pPr>
              <w:pStyle w:val="Caption"/>
              <w:keepNext/>
              <w:tabs>
                <w:tab w:val="num" w:pos="0"/>
              </w:tabs>
              <w:rPr>
                <w:bCs w:val="0"/>
                <w:color w:val="000000"/>
                <w:sz w:val="24"/>
                <w:szCs w:val="24"/>
              </w:rPr>
            </w:pPr>
            <w:bookmarkStart w:id="141" w:name="_Ref257206948"/>
            <w:bookmarkStart w:id="142" w:name="_Toc264227135"/>
            <w:r w:rsidRPr="007777E2">
              <w:rPr>
                <w:color w:val="auto"/>
                <w:sz w:val="22"/>
                <w:szCs w:val="22"/>
              </w:rPr>
              <w:lastRenderedPageBreak/>
              <w:t xml:space="preserve">Table </w:t>
            </w:r>
            <w:r w:rsidR="006B40AE" w:rsidRPr="007777E2">
              <w:rPr>
                <w:color w:val="auto"/>
                <w:sz w:val="22"/>
                <w:szCs w:val="22"/>
              </w:rPr>
              <w:fldChar w:fldCharType="begin"/>
            </w:r>
            <w:r w:rsidRPr="007777E2">
              <w:rPr>
                <w:color w:val="auto"/>
                <w:sz w:val="22"/>
                <w:szCs w:val="22"/>
              </w:rPr>
              <w:instrText xml:space="preserve"> SEQ Table \* ARABIC </w:instrText>
            </w:r>
            <w:r w:rsidR="006B40AE" w:rsidRPr="007777E2">
              <w:rPr>
                <w:color w:val="auto"/>
                <w:sz w:val="22"/>
                <w:szCs w:val="22"/>
              </w:rPr>
              <w:fldChar w:fldCharType="separate"/>
            </w:r>
            <w:r w:rsidR="009E2C86">
              <w:rPr>
                <w:noProof/>
                <w:color w:val="auto"/>
                <w:sz w:val="22"/>
                <w:szCs w:val="22"/>
              </w:rPr>
              <w:t>8</w:t>
            </w:r>
            <w:r w:rsidR="006B40AE" w:rsidRPr="007777E2">
              <w:rPr>
                <w:color w:val="auto"/>
                <w:sz w:val="22"/>
                <w:szCs w:val="22"/>
              </w:rPr>
              <w:fldChar w:fldCharType="end"/>
            </w:r>
            <w:bookmarkEnd w:id="141"/>
            <w:r w:rsidRPr="007777E2">
              <w:rPr>
                <w:color w:val="auto"/>
                <w:sz w:val="22"/>
                <w:szCs w:val="22"/>
              </w:rPr>
              <w:t>. CO</w:t>
            </w:r>
            <w:r w:rsidRPr="007777E2">
              <w:rPr>
                <w:rFonts w:ascii="Times New Roman Bold" w:hAnsi="Times New Roman Bold"/>
                <w:color w:val="auto"/>
                <w:sz w:val="22"/>
                <w:szCs w:val="22"/>
                <w:vertAlign w:val="superscript"/>
              </w:rPr>
              <w:t>2</w:t>
            </w:r>
            <w:r w:rsidRPr="007777E2">
              <w:rPr>
                <w:color w:val="auto"/>
                <w:sz w:val="22"/>
                <w:szCs w:val="22"/>
              </w:rPr>
              <w:t xml:space="preserve"> Per Capita Emissions in Belarus and CIS countries 2007</w:t>
            </w:r>
            <w:bookmarkEnd w:id="142"/>
            <w:r w:rsidRPr="007777E2">
              <w:rPr>
                <w:color w:val="auto"/>
                <w:sz w:val="22"/>
                <w:szCs w:val="22"/>
              </w:rPr>
              <w:t xml:space="preserve"> </w:t>
            </w:r>
          </w:p>
          <w:p w:rsidR="004721F8" w:rsidRPr="007777E2" w:rsidRDefault="004721F8" w:rsidP="000548F7">
            <w:pPr>
              <w:pStyle w:val="ListParagraph"/>
              <w:tabs>
                <w:tab w:val="num" w:pos="0"/>
              </w:tabs>
              <w:spacing w:line="240" w:lineRule="auto"/>
              <w:ind w:left="0"/>
              <w:contextualSpacing w:val="0"/>
              <w:jc w:val="both"/>
              <w:rPr>
                <w:rFonts w:ascii="Times New Roman" w:hAnsi="Times New Roman"/>
                <w:bCs/>
                <w:color w:val="000000"/>
                <w:sz w:val="24"/>
                <w:szCs w:val="24"/>
              </w:rPr>
            </w:pPr>
            <w:r w:rsidRPr="007777E2">
              <w:rPr>
                <w:noProof/>
              </w:rPr>
              <w:drawing>
                <wp:inline distT="0" distB="0" distL="0" distR="0">
                  <wp:extent cx="5629865" cy="2552368"/>
                  <wp:effectExtent l="19050" t="0" r="8935"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5625667" cy="2550465"/>
                          </a:xfrm>
                          <a:prstGeom prst="rect">
                            <a:avLst/>
                          </a:prstGeom>
                          <a:noFill/>
                          <a:ln w="9525">
                            <a:noFill/>
                            <a:miter lim="800000"/>
                            <a:headEnd/>
                            <a:tailEnd/>
                          </a:ln>
                        </pic:spPr>
                      </pic:pic>
                    </a:graphicData>
                  </a:graphic>
                </wp:inline>
              </w:drawing>
            </w:r>
          </w:p>
          <w:p w:rsidR="004721F8" w:rsidRPr="007777E2" w:rsidRDefault="004721F8" w:rsidP="000548F7">
            <w:pPr>
              <w:pStyle w:val="ListParagraph"/>
              <w:tabs>
                <w:tab w:val="num" w:pos="0"/>
              </w:tabs>
              <w:spacing w:line="240" w:lineRule="auto"/>
              <w:ind w:left="0"/>
              <w:contextualSpacing w:val="0"/>
              <w:jc w:val="both"/>
              <w:rPr>
                <w:rFonts w:ascii="Times New Roman" w:hAnsi="Times New Roman"/>
                <w:bCs/>
                <w:color w:val="000000"/>
                <w:sz w:val="18"/>
                <w:szCs w:val="18"/>
              </w:rPr>
            </w:pPr>
            <w:r w:rsidRPr="007777E2">
              <w:rPr>
                <w:rFonts w:ascii="Times New Roman" w:hAnsi="Times New Roman"/>
                <w:bCs/>
                <w:color w:val="000000"/>
                <w:sz w:val="18"/>
                <w:szCs w:val="18"/>
              </w:rPr>
              <w:t xml:space="preserve">Source: </w:t>
            </w:r>
            <w:r w:rsidR="00AB5AA1">
              <w:rPr>
                <w:rFonts w:ascii="Times New Roman" w:hAnsi="Times New Roman"/>
                <w:bCs/>
                <w:color w:val="000000"/>
                <w:sz w:val="18"/>
                <w:szCs w:val="18"/>
              </w:rPr>
              <w:t>International Energy Agency. 2009</w:t>
            </w:r>
            <w:r w:rsidR="002B2A4E" w:rsidRPr="007777E2">
              <w:rPr>
                <w:rFonts w:ascii="Times New Roman" w:hAnsi="Times New Roman"/>
                <w:bCs/>
                <w:color w:val="000000"/>
                <w:sz w:val="18"/>
                <w:szCs w:val="18"/>
              </w:rPr>
              <w:t>.</w:t>
            </w:r>
          </w:p>
        </w:tc>
      </w:tr>
    </w:tbl>
    <w:p w:rsidR="004721F8" w:rsidRPr="007777E2" w:rsidRDefault="004721F8" w:rsidP="004B6EA8">
      <w:pPr>
        <w:pStyle w:val="ListParagraph"/>
        <w:tabs>
          <w:tab w:val="num" w:pos="0"/>
        </w:tabs>
        <w:spacing w:line="240" w:lineRule="auto"/>
        <w:ind w:left="0"/>
        <w:contextualSpacing w:val="0"/>
        <w:jc w:val="both"/>
        <w:rPr>
          <w:rFonts w:ascii="Times New Roman" w:hAnsi="Times New Roman"/>
          <w:bCs/>
          <w:color w:val="000000"/>
          <w:sz w:val="24"/>
          <w:szCs w:val="24"/>
        </w:rPr>
      </w:pPr>
    </w:p>
    <w:p w:rsidR="002F5D68" w:rsidRPr="007777E2" w:rsidRDefault="00135E44" w:rsidP="00A63E59">
      <w:pPr>
        <w:pStyle w:val="Style2"/>
      </w:pPr>
      <w:r w:rsidRPr="007777E2">
        <w:rPr>
          <w:b/>
        </w:rPr>
        <w:t>Like climate change, road safety is increasingly a social and economic issue, requiring a coordinated effort at all levels</w:t>
      </w:r>
      <w:r w:rsidRPr="007777E2">
        <w:t xml:space="preserve">. </w:t>
      </w:r>
      <w:r w:rsidR="002F5D68" w:rsidRPr="007777E2">
        <w:t>The impact of road traffic accidents is estimated at between 1.5-2.0 percent of GDP</w:t>
      </w:r>
      <w:r w:rsidR="006C62E5" w:rsidRPr="007777E2">
        <w:t>, as indicated in the World Bank’s recent assessment of road safety in Europe and Central Asia (World Bank, 2009)</w:t>
      </w:r>
      <w:r w:rsidR="002F5D68" w:rsidRPr="007777E2">
        <w:t xml:space="preserve">. In 2008, </w:t>
      </w:r>
      <w:r w:rsidR="005A3F15">
        <w:t>7,238</w:t>
      </w:r>
      <w:r w:rsidR="002F5D68" w:rsidRPr="007777E2">
        <w:t xml:space="preserve"> </w:t>
      </w:r>
      <w:r w:rsidR="00FA44DC">
        <w:t xml:space="preserve">registered road </w:t>
      </w:r>
      <w:r w:rsidR="002F5D68" w:rsidRPr="007777E2">
        <w:t xml:space="preserve">accidents occurred resulting in </w:t>
      </w:r>
      <w:r w:rsidR="005A3F15">
        <w:t>1,564</w:t>
      </w:r>
      <w:r w:rsidR="002F5D68" w:rsidRPr="007777E2">
        <w:t xml:space="preserve"> deaths and </w:t>
      </w:r>
      <w:r w:rsidR="005A3F15">
        <w:t xml:space="preserve">7,577 </w:t>
      </w:r>
      <w:r w:rsidR="002F5D68" w:rsidRPr="007777E2">
        <w:t xml:space="preserve">injuries. </w:t>
      </w:r>
      <w:r w:rsidR="004540E1" w:rsidRPr="007777E2">
        <w:t>According to official statistics, t</w:t>
      </w:r>
      <w:r w:rsidR="002F5D68" w:rsidRPr="007777E2">
        <w:t xml:space="preserve">he fatality rate of </w:t>
      </w:r>
      <w:r w:rsidR="004540E1" w:rsidRPr="007777E2">
        <w:t>1</w:t>
      </w:r>
      <w:r w:rsidR="005A3F15">
        <w:t>6</w:t>
      </w:r>
      <w:r w:rsidR="004540E1" w:rsidRPr="007777E2">
        <w:t>.</w:t>
      </w:r>
      <w:r w:rsidR="005A3F15">
        <w:t>2</w:t>
      </w:r>
      <w:r w:rsidR="002F5D68" w:rsidRPr="007777E2">
        <w:t xml:space="preserve"> per 100,000 people </w:t>
      </w:r>
      <w:r w:rsidR="00E07785" w:rsidRPr="007777E2">
        <w:t xml:space="preserve">is </w:t>
      </w:r>
      <w:r w:rsidR="005A3F15">
        <w:t>slightly above</w:t>
      </w:r>
      <w:r w:rsidR="004540E1" w:rsidRPr="007777E2">
        <w:t xml:space="preserve"> the</w:t>
      </w:r>
      <w:r w:rsidR="002F5D68" w:rsidRPr="007777E2">
        <w:t xml:space="preserve"> EU average of 13.4</w:t>
      </w:r>
      <w:r w:rsidR="006C024E" w:rsidRPr="007777E2">
        <w:t>.</w:t>
      </w:r>
      <w:r w:rsidR="004540E1" w:rsidRPr="007777E2">
        <w:rPr>
          <w:rStyle w:val="FootnoteReference"/>
          <w:sz w:val="24"/>
          <w:szCs w:val="24"/>
        </w:rPr>
        <w:footnoteReference w:id="15"/>
      </w:r>
      <w:r w:rsidR="002F5D68" w:rsidRPr="007777E2">
        <w:t xml:space="preserve"> </w:t>
      </w:r>
      <w:r w:rsidR="00FA44DC">
        <w:t>However,</w:t>
      </w:r>
      <w:r w:rsidR="002F5D68" w:rsidRPr="007777E2">
        <w:t xml:space="preserve"> pedestrian fatalities</w:t>
      </w:r>
      <w:r w:rsidR="00FA44DC">
        <w:t xml:space="preserve"> in particular</w:t>
      </w:r>
      <w:r w:rsidR="002F5D68" w:rsidRPr="007777E2">
        <w:t xml:space="preserve"> </w:t>
      </w:r>
      <w:r w:rsidR="00BA5805" w:rsidRPr="007777E2">
        <w:t xml:space="preserve">(including bicyclists) </w:t>
      </w:r>
      <w:r w:rsidR="002F5D68" w:rsidRPr="007777E2">
        <w:t>are high, accounting for about 4</w:t>
      </w:r>
      <w:r w:rsidR="005A3F15">
        <w:t>6.2</w:t>
      </w:r>
      <w:r w:rsidR="002F5D68" w:rsidRPr="007777E2">
        <w:t xml:space="preserve"> percent of all </w:t>
      </w:r>
      <w:r w:rsidR="00FA44DC">
        <w:t xml:space="preserve">traffic </w:t>
      </w:r>
      <w:r w:rsidR="002F5D68" w:rsidRPr="007777E2">
        <w:t xml:space="preserve">fatalities. </w:t>
      </w:r>
      <w:r w:rsidR="00E87165" w:rsidRPr="007777E2">
        <w:t>Recent data reported by national sources to the World Health Organization shows that alcohol consumption is estimated to be responsible for about 1</w:t>
      </w:r>
      <w:r w:rsidR="005A3F15">
        <w:t>6.7</w:t>
      </w:r>
      <w:r w:rsidR="00E87165" w:rsidRPr="007777E2">
        <w:t xml:space="preserve"> percent of all reported road traffic deaths in Belarus</w:t>
      </w:r>
      <w:r w:rsidR="005A21CD">
        <w:t>.</w:t>
      </w:r>
      <w:r w:rsidR="00E87165" w:rsidRPr="007777E2">
        <w:rPr>
          <w:rStyle w:val="FootnoteReference"/>
        </w:rPr>
        <w:footnoteReference w:id="16"/>
      </w:r>
    </w:p>
    <w:p w:rsidR="00C84101" w:rsidRDefault="00135E44" w:rsidP="00A63E59">
      <w:pPr>
        <w:pStyle w:val="Style2"/>
      </w:pPr>
      <w:r w:rsidRPr="007777E2">
        <w:rPr>
          <w:b/>
        </w:rPr>
        <w:t>The Government of Belarus is aware that more needs to be done to improve road safety in Belarus</w:t>
      </w:r>
      <w:r w:rsidRPr="007777E2">
        <w:t xml:space="preserve">. </w:t>
      </w:r>
      <w:r w:rsidR="00E87165" w:rsidRPr="007777E2">
        <w:t xml:space="preserve">Driver behavior, limited </w:t>
      </w:r>
      <w:r w:rsidR="006C62E5" w:rsidRPr="007777E2">
        <w:t xml:space="preserve">driver </w:t>
      </w:r>
      <w:r w:rsidR="00E87165" w:rsidRPr="007777E2">
        <w:t xml:space="preserve">education, and significant growth in vehicle ownership and use (3.3 fold increase of vehicle ownership from 1991 to 2009) contribute to make Belarus a country with road safety records that </w:t>
      </w:r>
      <w:r w:rsidR="006C024E" w:rsidRPr="007777E2">
        <w:t>need considerable</w:t>
      </w:r>
      <w:r w:rsidR="00E87165" w:rsidRPr="007777E2">
        <w:t xml:space="preserve"> improvements. </w:t>
      </w:r>
      <w:r w:rsidR="004721F8" w:rsidRPr="007777E2">
        <w:t xml:space="preserve">In 2008, a </w:t>
      </w:r>
      <w:r w:rsidR="00C84101" w:rsidRPr="007777E2">
        <w:t>“</w:t>
      </w:r>
      <w:r w:rsidR="004721F8" w:rsidRPr="007777E2">
        <w:t>Black</w:t>
      </w:r>
      <w:r w:rsidR="00C84101" w:rsidRPr="007777E2">
        <w:t xml:space="preserve"> S</w:t>
      </w:r>
      <w:r w:rsidR="004721F8" w:rsidRPr="007777E2">
        <w:t>pot Program</w:t>
      </w:r>
      <w:r w:rsidR="00C84101" w:rsidRPr="007777E2">
        <w:t>”</w:t>
      </w:r>
      <w:r w:rsidR="004721F8" w:rsidRPr="007777E2">
        <w:t xml:space="preserve"> was initiated </w:t>
      </w:r>
      <w:r w:rsidR="00C84101" w:rsidRPr="007777E2">
        <w:t xml:space="preserve">to identify the critical and most dangerous road locations </w:t>
      </w:r>
      <w:r w:rsidR="006C62E5" w:rsidRPr="007777E2">
        <w:t>and to improve them i</w:t>
      </w:r>
      <w:r w:rsidR="00C84101" w:rsidRPr="007777E2">
        <w:t>n order to mitigate the risks for road users</w:t>
      </w:r>
      <w:r w:rsidR="00CC435E" w:rsidRPr="007777E2">
        <w:t xml:space="preserve"> (</w:t>
      </w:r>
      <w:fldSimple w:instr=" REF _Ref257623290 \h  \* MERGEFORMAT ">
        <w:r w:rsidR="00E85C5F" w:rsidRPr="00E85C5F">
          <w:t xml:space="preserve">Table </w:t>
        </w:r>
        <w:r w:rsidR="00E85C5F" w:rsidRPr="00E85C5F">
          <w:rPr>
            <w:noProof/>
          </w:rPr>
          <w:t>9</w:t>
        </w:r>
      </w:fldSimple>
      <w:r w:rsidR="00CC435E" w:rsidRPr="007777E2">
        <w:t>)</w:t>
      </w:r>
      <w:r w:rsidR="00C84101" w:rsidRPr="007777E2">
        <w:t xml:space="preserve">. </w:t>
      </w:r>
      <w:r w:rsidR="00CC435E" w:rsidRPr="007777E2">
        <w:t xml:space="preserve">Since January 2009, </w:t>
      </w:r>
      <w:r w:rsidR="00C84101" w:rsidRPr="007777E2">
        <w:t xml:space="preserve">190 </w:t>
      </w:r>
      <w:r w:rsidR="00BA1174" w:rsidRPr="007777E2">
        <w:t xml:space="preserve">traffic accident </w:t>
      </w:r>
      <w:r w:rsidR="00C84101" w:rsidRPr="007777E2">
        <w:t>black</w:t>
      </w:r>
      <w:r w:rsidR="00BA1174" w:rsidRPr="007777E2">
        <w:t xml:space="preserve"> </w:t>
      </w:r>
      <w:r w:rsidR="00C84101" w:rsidRPr="007777E2">
        <w:t xml:space="preserve">spots </w:t>
      </w:r>
      <w:r w:rsidR="00CC435E" w:rsidRPr="007777E2">
        <w:t xml:space="preserve">were </w:t>
      </w:r>
      <w:r w:rsidR="00C84101" w:rsidRPr="007777E2">
        <w:t xml:space="preserve">identified. While the program has been developed, no funds have </w:t>
      </w:r>
      <w:r w:rsidR="00CC435E" w:rsidRPr="007777E2">
        <w:t xml:space="preserve">yet </w:t>
      </w:r>
      <w:r w:rsidR="00C84101" w:rsidRPr="007777E2">
        <w:t>been allocated</w:t>
      </w:r>
      <w:r w:rsidR="006C62E5" w:rsidRPr="007777E2">
        <w:t xml:space="preserve"> for their actual improvement</w:t>
      </w:r>
      <w:r w:rsidR="00C84101" w:rsidRPr="007777E2">
        <w:t xml:space="preserve">. </w:t>
      </w:r>
    </w:p>
    <w:p w:rsidR="00094D19" w:rsidRDefault="00094D19" w:rsidP="005958BE">
      <w:pPr>
        <w:pStyle w:val="Style2"/>
        <w:numPr>
          <w:ilvl w:val="0"/>
          <w:numId w:val="0"/>
        </w:numPr>
      </w:pPr>
    </w:p>
    <w:tbl>
      <w:tblPr>
        <w:tblStyle w:val="TableGrid"/>
        <w:tblW w:w="0" w:type="auto"/>
        <w:jc w:val="center"/>
        <w:tblLook w:val="04A0"/>
      </w:tblPr>
      <w:tblGrid>
        <w:gridCol w:w="7839"/>
      </w:tblGrid>
      <w:tr w:rsidR="00975628" w:rsidRPr="007777E2" w:rsidTr="00975628">
        <w:trPr>
          <w:cantSplit/>
          <w:jc w:val="center"/>
        </w:trPr>
        <w:tc>
          <w:tcPr>
            <w:tcW w:w="7839" w:type="dxa"/>
          </w:tcPr>
          <w:p w:rsidR="00975628" w:rsidRPr="007777E2" w:rsidRDefault="00975628" w:rsidP="004B6EA8">
            <w:pPr>
              <w:pStyle w:val="Caption"/>
              <w:keepNext/>
              <w:tabs>
                <w:tab w:val="num" w:pos="0"/>
              </w:tabs>
              <w:rPr>
                <w:color w:val="auto"/>
                <w:sz w:val="22"/>
                <w:szCs w:val="22"/>
              </w:rPr>
            </w:pPr>
            <w:bookmarkStart w:id="143" w:name="_Ref257623290"/>
            <w:bookmarkStart w:id="144" w:name="_Toc264227136"/>
            <w:r w:rsidRPr="007777E2">
              <w:rPr>
                <w:color w:val="auto"/>
                <w:sz w:val="22"/>
                <w:szCs w:val="22"/>
              </w:rPr>
              <w:lastRenderedPageBreak/>
              <w:t xml:space="preserve">Table </w:t>
            </w:r>
            <w:r w:rsidR="006B40AE" w:rsidRPr="007777E2">
              <w:rPr>
                <w:color w:val="auto"/>
                <w:sz w:val="22"/>
                <w:szCs w:val="22"/>
              </w:rPr>
              <w:fldChar w:fldCharType="begin"/>
            </w:r>
            <w:r w:rsidRPr="007777E2">
              <w:rPr>
                <w:color w:val="auto"/>
                <w:sz w:val="22"/>
                <w:szCs w:val="22"/>
              </w:rPr>
              <w:instrText xml:space="preserve"> SEQ Table \* ARABIC </w:instrText>
            </w:r>
            <w:r w:rsidR="006B40AE" w:rsidRPr="007777E2">
              <w:rPr>
                <w:color w:val="auto"/>
                <w:sz w:val="22"/>
                <w:szCs w:val="22"/>
              </w:rPr>
              <w:fldChar w:fldCharType="separate"/>
            </w:r>
            <w:r w:rsidR="009E2C86">
              <w:rPr>
                <w:noProof/>
                <w:color w:val="auto"/>
                <w:sz w:val="22"/>
                <w:szCs w:val="22"/>
              </w:rPr>
              <w:t>9</w:t>
            </w:r>
            <w:r w:rsidR="006B40AE" w:rsidRPr="007777E2">
              <w:rPr>
                <w:color w:val="auto"/>
                <w:sz w:val="22"/>
                <w:szCs w:val="22"/>
              </w:rPr>
              <w:fldChar w:fldCharType="end"/>
            </w:r>
            <w:bookmarkEnd w:id="143"/>
            <w:r w:rsidRPr="007777E2">
              <w:rPr>
                <w:color w:val="auto"/>
                <w:sz w:val="22"/>
                <w:szCs w:val="22"/>
              </w:rPr>
              <w:t>. Government of Belarus “Black Spot Program” in 2008</w:t>
            </w:r>
            <w:bookmarkEnd w:id="144"/>
          </w:p>
          <w:tbl>
            <w:tblPr>
              <w:tblW w:w="0" w:type="auto"/>
              <w:tblBorders>
                <w:top w:val="single" w:sz="4" w:space="0" w:color="auto"/>
                <w:bottom w:val="single" w:sz="4" w:space="0" w:color="auto"/>
                <w:insideH w:val="single" w:sz="4" w:space="0" w:color="auto"/>
              </w:tblBorders>
              <w:shd w:val="clear" w:color="auto" w:fill="FFFFFF" w:themeFill="background1"/>
              <w:tblLook w:val="01E0"/>
            </w:tblPr>
            <w:tblGrid>
              <w:gridCol w:w="5162"/>
              <w:gridCol w:w="1890"/>
            </w:tblGrid>
            <w:tr w:rsidR="00975628" w:rsidRPr="007777E2" w:rsidTr="00426F36">
              <w:tc>
                <w:tcPr>
                  <w:tcW w:w="5162" w:type="dxa"/>
                  <w:shd w:val="clear" w:color="auto" w:fill="FFFFFF" w:themeFill="background1"/>
                </w:tcPr>
                <w:p w:rsidR="00975628" w:rsidRPr="007777E2" w:rsidRDefault="00975628" w:rsidP="004B6EA8">
                  <w:pPr>
                    <w:pStyle w:val="ListParagraph"/>
                    <w:tabs>
                      <w:tab w:val="num" w:pos="0"/>
                    </w:tabs>
                    <w:autoSpaceDE w:val="0"/>
                    <w:autoSpaceDN w:val="0"/>
                    <w:adjustRightInd w:val="0"/>
                    <w:spacing w:after="0" w:line="240" w:lineRule="auto"/>
                    <w:ind w:left="180"/>
                    <w:rPr>
                      <w:rFonts w:asciiTheme="minorHAnsi" w:hAnsiTheme="minorHAnsi"/>
                      <w:b/>
                      <w:color w:val="000000"/>
                      <w:sz w:val="18"/>
                      <w:szCs w:val="18"/>
                    </w:rPr>
                  </w:pPr>
                </w:p>
                <w:p w:rsidR="00975628" w:rsidRPr="007777E2" w:rsidRDefault="00975628" w:rsidP="004B6EA8">
                  <w:pPr>
                    <w:pStyle w:val="ListParagraph"/>
                    <w:tabs>
                      <w:tab w:val="num" w:pos="0"/>
                    </w:tabs>
                    <w:autoSpaceDE w:val="0"/>
                    <w:autoSpaceDN w:val="0"/>
                    <w:adjustRightInd w:val="0"/>
                    <w:spacing w:after="0" w:line="240" w:lineRule="auto"/>
                    <w:ind w:left="180"/>
                    <w:rPr>
                      <w:rFonts w:asciiTheme="minorHAnsi" w:hAnsiTheme="minorHAnsi"/>
                      <w:b/>
                      <w:color w:val="000000"/>
                      <w:sz w:val="18"/>
                      <w:szCs w:val="18"/>
                    </w:rPr>
                  </w:pPr>
                  <w:r w:rsidRPr="007777E2">
                    <w:rPr>
                      <w:rFonts w:asciiTheme="minorHAnsi" w:hAnsiTheme="minorHAnsi"/>
                      <w:b/>
                      <w:color w:val="000000"/>
                      <w:sz w:val="18"/>
                      <w:szCs w:val="18"/>
                    </w:rPr>
                    <w:t>Measures</w:t>
                  </w:r>
                </w:p>
              </w:tc>
              <w:tc>
                <w:tcPr>
                  <w:tcW w:w="1890" w:type="dxa"/>
                  <w:shd w:val="clear" w:color="auto" w:fill="FFFFFF" w:themeFill="background1"/>
                </w:tcPr>
                <w:p w:rsidR="00975628" w:rsidRPr="007777E2" w:rsidRDefault="00975628" w:rsidP="004B6EA8">
                  <w:pPr>
                    <w:pStyle w:val="ListParagraph"/>
                    <w:tabs>
                      <w:tab w:val="num" w:pos="0"/>
                    </w:tabs>
                    <w:autoSpaceDE w:val="0"/>
                    <w:autoSpaceDN w:val="0"/>
                    <w:adjustRightInd w:val="0"/>
                    <w:spacing w:after="0" w:line="240" w:lineRule="auto"/>
                    <w:ind w:left="162"/>
                    <w:jc w:val="center"/>
                    <w:rPr>
                      <w:rFonts w:asciiTheme="minorHAnsi" w:hAnsiTheme="minorHAnsi"/>
                      <w:b/>
                      <w:color w:val="000000"/>
                      <w:sz w:val="18"/>
                      <w:szCs w:val="18"/>
                    </w:rPr>
                  </w:pPr>
                  <w:r w:rsidRPr="007777E2">
                    <w:rPr>
                      <w:rFonts w:asciiTheme="minorHAnsi" w:hAnsiTheme="minorHAnsi"/>
                      <w:b/>
                      <w:color w:val="000000"/>
                      <w:sz w:val="18"/>
                      <w:szCs w:val="18"/>
                    </w:rPr>
                    <w:t>Investment needed</w:t>
                  </w:r>
                </w:p>
                <w:p w:rsidR="00975628" w:rsidRPr="007777E2" w:rsidRDefault="00975628" w:rsidP="004B6EA8">
                  <w:pPr>
                    <w:pStyle w:val="ListParagraph"/>
                    <w:tabs>
                      <w:tab w:val="num" w:pos="0"/>
                    </w:tabs>
                    <w:autoSpaceDE w:val="0"/>
                    <w:autoSpaceDN w:val="0"/>
                    <w:adjustRightInd w:val="0"/>
                    <w:spacing w:after="0" w:line="240" w:lineRule="auto"/>
                    <w:ind w:left="162"/>
                    <w:jc w:val="center"/>
                    <w:rPr>
                      <w:rFonts w:asciiTheme="minorHAnsi" w:hAnsiTheme="minorHAnsi"/>
                      <w:b/>
                      <w:color w:val="000000"/>
                      <w:sz w:val="18"/>
                      <w:szCs w:val="18"/>
                    </w:rPr>
                  </w:pPr>
                  <w:r w:rsidRPr="007777E2">
                    <w:rPr>
                      <w:rFonts w:asciiTheme="minorHAnsi" w:hAnsiTheme="minorHAnsi"/>
                      <w:b/>
                      <w:color w:val="000000"/>
                      <w:sz w:val="18"/>
                      <w:szCs w:val="18"/>
                    </w:rPr>
                    <w:t>(USD million)</w:t>
                  </w:r>
                </w:p>
              </w:tc>
            </w:tr>
            <w:tr w:rsidR="00975628" w:rsidRPr="007777E2" w:rsidTr="00426F36">
              <w:tc>
                <w:tcPr>
                  <w:tcW w:w="5162" w:type="dxa"/>
                  <w:shd w:val="clear" w:color="auto" w:fill="FFFFFF" w:themeFill="background1"/>
                </w:tcPr>
                <w:p w:rsidR="00975628" w:rsidRPr="007777E2" w:rsidRDefault="00975628" w:rsidP="004B6EA8">
                  <w:pPr>
                    <w:pStyle w:val="ListParagraph"/>
                    <w:tabs>
                      <w:tab w:val="num" w:pos="0"/>
                    </w:tabs>
                    <w:autoSpaceDE w:val="0"/>
                    <w:autoSpaceDN w:val="0"/>
                    <w:adjustRightInd w:val="0"/>
                    <w:spacing w:after="0" w:line="240" w:lineRule="auto"/>
                    <w:ind w:left="90"/>
                    <w:rPr>
                      <w:rFonts w:asciiTheme="minorHAnsi" w:hAnsiTheme="minorHAnsi"/>
                      <w:color w:val="000000"/>
                      <w:sz w:val="18"/>
                      <w:szCs w:val="18"/>
                    </w:rPr>
                  </w:pPr>
                  <w:r w:rsidRPr="007777E2">
                    <w:rPr>
                      <w:rFonts w:asciiTheme="minorHAnsi" w:hAnsiTheme="minorHAnsi"/>
                      <w:color w:val="000000"/>
                      <w:sz w:val="18"/>
                      <w:szCs w:val="18"/>
                    </w:rPr>
                    <w:t xml:space="preserve">Restore adhesion coefficient on </w:t>
                  </w:r>
                  <w:smartTag w:uri="urn:schemas-microsoft-com:office:smarttags" w:element="metricconverter">
                    <w:smartTagPr>
                      <w:attr w:name="ProductID" w:val="3,000 km"/>
                    </w:smartTagPr>
                    <w:r w:rsidRPr="007777E2">
                      <w:rPr>
                        <w:rFonts w:asciiTheme="minorHAnsi" w:hAnsiTheme="minorHAnsi"/>
                        <w:color w:val="000000"/>
                        <w:sz w:val="18"/>
                        <w:szCs w:val="18"/>
                      </w:rPr>
                      <w:t>3,000 km</w:t>
                    </w:r>
                  </w:smartTag>
                  <w:r w:rsidRPr="007777E2">
                    <w:rPr>
                      <w:rFonts w:asciiTheme="minorHAnsi" w:hAnsiTheme="minorHAnsi"/>
                      <w:color w:val="000000"/>
                      <w:sz w:val="18"/>
                      <w:szCs w:val="18"/>
                    </w:rPr>
                    <w:t xml:space="preserve"> of national roads and on </w:t>
                  </w:r>
                  <w:smartTag w:uri="urn:schemas-microsoft-com:office:smarttags" w:element="metricconverter">
                    <w:smartTagPr>
                      <w:attr w:name="ProductID" w:val="5,600 km"/>
                    </w:smartTagPr>
                    <w:r w:rsidRPr="007777E2">
                      <w:rPr>
                        <w:rFonts w:asciiTheme="minorHAnsi" w:hAnsiTheme="minorHAnsi"/>
                        <w:color w:val="000000"/>
                        <w:sz w:val="18"/>
                        <w:szCs w:val="18"/>
                      </w:rPr>
                      <w:t>5,600 km</w:t>
                    </w:r>
                  </w:smartTag>
                  <w:r w:rsidRPr="007777E2">
                    <w:rPr>
                      <w:rFonts w:asciiTheme="minorHAnsi" w:hAnsiTheme="minorHAnsi"/>
                      <w:color w:val="000000"/>
                      <w:sz w:val="18"/>
                      <w:szCs w:val="18"/>
                    </w:rPr>
                    <w:t xml:space="preserve"> of local roads</w:t>
                  </w:r>
                </w:p>
              </w:tc>
              <w:tc>
                <w:tcPr>
                  <w:tcW w:w="1890" w:type="dxa"/>
                  <w:shd w:val="clear" w:color="auto" w:fill="FFFFFF" w:themeFill="background1"/>
                </w:tcPr>
                <w:p w:rsidR="00975628" w:rsidRPr="007777E2" w:rsidRDefault="00975628" w:rsidP="004B6EA8">
                  <w:pPr>
                    <w:pStyle w:val="ListParagraph"/>
                    <w:tabs>
                      <w:tab w:val="num" w:pos="0"/>
                    </w:tabs>
                    <w:autoSpaceDE w:val="0"/>
                    <w:autoSpaceDN w:val="0"/>
                    <w:adjustRightInd w:val="0"/>
                    <w:spacing w:after="0" w:line="240" w:lineRule="auto"/>
                    <w:ind w:left="162"/>
                    <w:jc w:val="center"/>
                    <w:rPr>
                      <w:rFonts w:asciiTheme="minorHAnsi" w:hAnsiTheme="minorHAnsi"/>
                      <w:b/>
                      <w:color w:val="000000"/>
                      <w:sz w:val="18"/>
                      <w:szCs w:val="18"/>
                    </w:rPr>
                  </w:pPr>
                  <w:r w:rsidRPr="007777E2">
                    <w:rPr>
                      <w:rFonts w:asciiTheme="minorHAnsi" w:hAnsiTheme="minorHAnsi"/>
                      <w:b/>
                      <w:color w:val="000000"/>
                      <w:sz w:val="18"/>
                      <w:szCs w:val="18"/>
                    </w:rPr>
                    <w:t>102.0</w:t>
                  </w:r>
                </w:p>
              </w:tc>
            </w:tr>
            <w:tr w:rsidR="00975628" w:rsidRPr="007777E2" w:rsidTr="00426F36">
              <w:tc>
                <w:tcPr>
                  <w:tcW w:w="5162" w:type="dxa"/>
                  <w:shd w:val="clear" w:color="auto" w:fill="FFFFFF" w:themeFill="background1"/>
                </w:tcPr>
                <w:p w:rsidR="00975628" w:rsidRPr="007777E2" w:rsidRDefault="00975628" w:rsidP="004B6EA8">
                  <w:pPr>
                    <w:pStyle w:val="ListParagraph"/>
                    <w:tabs>
                      <w:tab w:val="num" w:pos="0"/>
                    </w:tabs>
                    <w:autoSpaceDE w:val="0"/>
                    <w:autoSpaceDN w:val="0"/>
                    <w:adjustRightInd w:val="0"/>
                    <w:spacing w:after="0" w:line="240" w:lineRule="auto"/>
                    <w:ind w:left="90"/>
                    <w:rPr>
                      <w:rFonts w:asciiTheme="minorHAnsi" w:hAnsiTheme="minorHAnsi"/>
                      <w:color w:val="000000"/>
                      <w:sz w:val="18"/>
                      <w:szCs w:val="18"/>
                    </w:rPr>
                  </w:pPr>
                  <w:r w:rsidRPr="007777E2">
                    <w:rPr>
                      <w:rFonts w:asciiTheme="minorHAnsi" w:hAnsiTheme="minorHAnsi"/>
                      <w:color w:val="000000"/>
                      <w:sz w:val="18"/>
                      <w:szCs w:val="18"/>
                    </w:rPr>
                    <w:t>Improve road marking –   29,000 km</w:t>
                  </w:r>
                </w:p>
              </w:tc>
              <w:tc>
                <w:tcPr>
                  <w:tcW w:w="1890" w:type="dxa"/>
                  <w:shd w:val="clear" w:color="auto" w:fill="FFFFFF" w:themeFill="background1"/>
                </w:tcPr>
                <w:p w:rsidR="00975628" w:rsidRPr="007777E2" w:rsidRDefault="00975628" w:rsidP="004B6EA8">
                  <w:pPr>
                    <w:pStyle w:val="ListParagraph"/>
                    <w:tabs>
                      <w:tab w:val="num" w:pos="0"/>
                    </w:tabs>
                    <w:autoSpaceDE w:val="0"/>
                    <w:autoSpaceDN w:val="0"/>
                    <w:adjustRightInd w:val="0"/>
                    <w:spacing w:after="0" w:line="240" w:lineRule="auto"/>
                    <w:ind w:left="162"/>
                    <w:jc w:val="center"/>
                    <w:rPr>
                      <w:rFonts w:asciiTheme="minorHAnsi" w:hAnsiTheme="minorHAnsi"/>
                      <w:b/>
                      <w:color w:val="000000"/>
                      <w:sz w:val="18"/>
                      <w:szCs w:val="18"/>
                    </w:rPr>
                  </w:pPr>
                  <w:r w:rsidRPr="007777E2">
                    <w:rPr>
                      <w:rFonts w:asciiTheme="minorHAnsi" w:hAnsiTheme="minorHAnsi"/>
                      <w:b/>
                      <w:color w:val="000000"/>
                      <w:sz w:val="18"/>
                      <w:szCs w:val="18"/>
                    </w:rPr>
                    <w:t>15.9</w:t>
                  </w:r>
                </w:p>
              </w:tc>
            </w:tr>
            <w:tr w:rsidR="00975628" w:rsidRPr="007777E2" w:rsidTr="00426F36">
              <w:tc>
                <w:tcPr>
                  <w:tcW w:w="5162" w:type="dxa"/>
                  <w:shd w:val="clear" w:color="auto" w:fill="FFFFFF" w:themeFill="background1"/>
                </w:tcPr>
                <w:p w:rsidR="00975628" w:rsidRPr="007777E2" w:rsidRDefault="00975628" w:rsidP="004B6EA8">
                  <w:pPr>
                    <w:pStyle w:val="ListParagraph"/>
                    <w:tabs>
                      <w:tab w:val="num" w:pos="0"/>
                    </w:tabs>
                    <w:autoSpaceDE w:val="0"/>
                    <w:autoSpaceDN w:val="0"/>
                    <w:adjustRightInd w:val="0"/>
                    <w:spacing w:after="0" w:line="240" w:lineRule="auto"/>
                    <w:ind w:left="90"/>
                    <w:rPr>
                      <w:rFonts w:asciiTheme="minorHAnsi" w:hAnsiTheme="minorHAnsi"/>
                      <w:color w:val="000000"/>
                      <w:sz w:val="18"/>
                      <w:szCs w:val="18"/>
                    </w:rPr>
                  </w:pPr>
                  <w:r w:rsidRPr="007777E2">
                    <w:rPr>
                      <w:rFonts w:asciiTheme="minorHAnsi" w:hAnsiTheme="minorHAnsi"/>
                      <w:color w:val="000000"/>
                      <w:sz w:val="18"/>
                      <w:szCs w:val="18"/>
                    </w:rPr>
                    <w:t>Build and restore lighting of road sections – 187 km</w:t>
                  </w:r>
                </w:p>
              </w:tc>
              <w:tc>
                <w:tcPr>
                  <w:tcW w:w="1890" w:type="dxa"/>
                  <w:shd w:val="clear" w:color="auto" w:fill="FFFFFF" w:themeFill="background1"/>
                </w:tcPr>
                <w:p w:rsidR="00975628" w:rsidRPr="007777E2" w:rsidRDefault="00975628" w:rsidP="004B6EA8">
                  <w:pPr>
                    <w:pStyle w:val="ListParagraph"/>
                    <w:tabs>
                      <w:tab w:val="num" w:pos="0"/>
                    </w:tabs>
                    <w:autoSpaceDE w:val="0"/>
                    <w:autoSpaceDN w:val="0"/>
                    <w:adjustRightInd w:val="0"/>
                    <w:spacing w:after="0" w:line="240" w:lineRule="auto"/>
                    <w:ind w:left="162"/>
                    <w:jc w:val="center"/>
                    <w:rPr>
                      <w:rFonts w:asciiTheme="minorHAnsi" w:hAnsiTheme="minorHAnsi"/>
                      <w:b/>
                      <w:color w:val="000000"/>
                      <w:sz w:val="18"/>
                      <w:szCs w:val="18"/>
                    </w:rPr>
                  </w:pPr>
                  <w:r w:rsidRPr="007777E2">
                    <w:rPr>
                      <w:rFonts w:asciiTheme="minorHAnsi" w:hAnsiTheme="minorHAnsi"/>
                      <w:b/>
                      <w:color w:val="000000"/>
                      <w:sz w:val="18"/>
                      <w:szCs w:val="18"/>
                    </w:rPr>
                    <w:t>8.7</w:t>
                  </w:r>
                </w:p>
              </w:tc>
            </w:tr>
            <w:tr w:rsidR="00975628" w:rsidRPr="007777E2" w:rsidTr="00426F36">
              <w:tc>
                <w:tcPr>
                  <w:tcW w:w="5162" w:type="dxa"/>
                  <w:shd w:val="clear" w:color="auto" w:fill="FFFFFF" w:themeFill="background1"/>
                </w:tcPr>
                <w:p w:rsidR="00975628" w:rsidRPr="007777E2" w:rsidRDefault="00975628" w:rsidP="004B6EA8">
                  <w:pPr>
                    <w:pStyle w:val="ListParagraph"/>
                    <w:tabs>
                      <w:tab w:val="num" w:pos="0"/>
                    </w:tabs>
                    <w:autoSpaceDE w:val="0"/>
                    <w:autoSpaceDN w:val="0"/>
                    <w:adjustRightInd w:val="0"/>
                    <w:spacing w:after="0" w:line="240" w:lineRule="auto"/>
                    <w:ind w:left="90"/>
                    <w:rPr>
                      <w:rFonts w:asciiTheme="minorHAnsi" w:hAnsiTheme="minorHAnsi"/>
                      <w:color w:val="000000"/>
                      <w:sz w:val="18"/>
                      <w:szCs w:val="18"/>
                    </w:rPr>
                  </w:pPr>
                  <w:r w:rsidRPr="007777E2">
                    <w:rPr>
                      <w:rFonts w:asciiTheme="minorHAnsi" w:hAnsiTheme="minorHAnsi"/>
                      <w:color w:val="000000"/>
                      <w:sz w:val="18"/>
                      <w:szCs w:val="18"/>
                    </w:rPr>
                    <w:t xml:space="preserve">Build and repair pedestrian ways, and bike lanes – </w:t>
                  </w:r>
                  <w:smartTag w:uri="urn:schemas-microsoft-com:office:smarttags" w:element="metricconverter">
                    <w:smartTagPr>
                      <w:attr w:name="ProductID" w:val="122 km"/>
                    </w:smartTagPr>
                    <w:r w:rsidRPr="007777E2">
                      <w:rPr>
                        <w:rFonts w:asciiTheme="minorHAnsi" w:hAnsiTheme="minorHAnsi"/>
                        <w:color w:val="000000"/>
                        <w:sz w:val="18"/>
                        <w:szCs w:val="18"/>
                      </w:rPr>
                      <w:t>122 km</w:t>
                    </w:r>
                  </w:smartTag>
                </w:p>
              </w:tc>
              <w:tc>
                <w:tcPr>
                  <w:tcW w:w="1890" w:type="dxa"/>
                  <w:shd w:val="clear" w:color="auto" w:fill="FFFFFF" w:themeFill="background1"/>
                </w:tcPr>
                <w:p w:rsidR="00975628" w:rsidRPr="007777E2" w:rsidRDefault="00975628" w:rsidP="004B6EA8">
                  <w:pPr>
                    <w:pStyle w:val="ListParagraph"/>
                    <w:tabs>
                      <w:tab w:val="num" w:pos="0"/>
                    </w:tabs>
                    <w:autoSpaceDE w:val="0"/>
                    <w:autoSpaceDN w:val="0"/>
                    <w:adjustRightInd w:val="0"/>
                    <w:spacing w:after="0" w:line="240" w:lineRule="auto"/>
                    <w:ind w:left="162"/>
                    <w:jc w:val="center"/>
                    <w:rPr>
                      <w:rFonts w:asciiTheme="minorHAnsi" w:hAnsiTheme="minorHAnsi"/>
                      <w:b/>
                      <w:color w:val="000000"/>
                      <w:sz w:val="18"/>
                      <w:szCs w:val="18"/>
                    </w:rPr>
                  </w:pPr>
                  <w:r w:rsidRPr="007777E2">
                    <w:rPr>
                      <w:rFonts w:asciiTheme="minorHAnsi" w:hAnsiTheme="minorHAnsi"/>
                      <w:b/>
                      <w:color w:val="000000"/>
                      <w:sz w:val="18"/>
                      <w:szCs w:val="18"/>
                    </w:rPr>
                    <w:t>2.2</w:t>
                  </w:r>
                </w:p>
              </w:tc>
            </w:tr>
            <w:tr w:rsidR="00975628" w:rsidRPr="007777E2" w:rsidTr="00426F36">
              <w:tc>
                <w:tcPr>
                  <w:tcW w:w="5162" w:type="dxa"/>
                  <w:shd w:val="clear" w:color="auto" w:fill="FFFFFF" w:themeFill="background1"/>
                </w:tcPr>
                <w:p w:rsidR="00975628" w:rsidRPr="007777E2" w:rsidRDefault="00975628" w:rsidP="004B6EA8">
                  <w:pPr>
                    <w:pStyle w:val="ListParagraph"/>
                    <w:tabs>
                      <w:tab w:val="num" w:pos="0"/>
                    </w:tabs>
                    <w:autoSpaceDE w:val="0"/>
                    <w:autoSpaceDN w:val="0"/>
                    <w:adjustRightInd w:val="0"/>
                    <w:spacing w:after="0" w:line="240" w:lineRule="auto"/>
                    <w:ind w:left="90"/>
                    <w:rPr>
                      <w:rFonts w:asciiTheme="minorHAnsi" w:hAnsiTheme="minorHAnsi"/>
                      <w:color w:val="000000"/>
                      <w:sz w:val="18"/>
                      <w:szCs w:val="18"/>
                    </w:rPr>
                  </w:pPr>
                  <w:r w:rsidRPr="007777E2">
                    <w:rPr>
                      <w:rFonts w:asciiTheme="minorHAnsi" w:hAnsiTheme="minorHAnsi"/>
                      <w:color w:val="000000"/>
                      <w:sz w:val="18"/>
                      <w:szCs w:val="18"/>
                    </w:rPr>
                    <w:t>Install and replace road signs – 29,000 units</w:t>
                  </w:r>
                </w:p>
              </w:tc>
              <w:tc>
                <w:tcPr>
                  <w:tcW w:w="1890" w:type="dxa"/>
                  <w:shd w:val="clear" w:color="auto" w:fill="FFFFFF" w:themeFill="background1"/>
                </w:tcPr>
                <w:p w:rsidR="00975628" w:rsidRPr="007777E2" w:rsidRDefault="00975628" w:rsidP="004B6EA8">
                  <w:pPr>
                    <w:pStyle w:val="ListParagraph"/>
                    <w:tabs>
                      <w:tab w:val="num" w:pos="0"/>
                    </w:tabs>
                    <w:autoSpaceDE w:val="0"/>
                    <w:autoSpaceDN w:val="0"/>
                    <w:adjustRightInd w:val="0"/>
                    <w:spacing w:after="0" w:line="240" w:lineRule="auto"/>
                    <w:ind w:left="162"/>
                    <w:jc w:val="center"/>
                    <w:rPr>
                      <w:rFonts w:asciiTheme="minorHAnsi" w:hAnsiTheme="minorHAnsi"/>
                      <w:b/>
                      <w:color w:val="000000"/>
                      <w:sz w:val="18"/>
                      <w:szCs w:val="18"/>
                    </w:rPr>
                  </w:pPr>
                  <w:r w:rsidRPr="007777E2">
                    <w:rPr>
                      <w:rFonts w:asciiTheme="minorHAnsi" w:hAnsiTheme="minorHAnsi"/>
                      <w:b/>
                      <w:color w:val="000000"/>
                      <w:sz w:val="18"/>
                      <w:szCs w:val="18"/>
                    </w:rPr>
                    <w:t>0.7</w:t>
                  </w:r>
                </w:p>
              </w:tc>
            </w:tr>
            <w:tr w:rsidR="00975628" w:rsidRPr="007777E2" w:rsidTr="00426F36">
              <w:tc>
                <w:tcPr>
                  <w:tcW w:w="5162" w:type="dxa"/>
                  <w:shd w:val="clear" w:color="auto" w:fill="FFFFFF" w:themeFill="background1"/>
                </w:tcPr>
                <w:p w:rsidR="00975628" w:rsidRPr="007777E2" w:rsidRDefault="00975628" w:rsidP="004B6EA8">
                  <w:pPr>
                    <w:pStyle w:val="ListParagraph"/>
                    <w:tabs>
                      <w:tab w:val="num" w:pos="0"/>
                    </w:tabs>
                    <w:autoSpaceDE w:val="0"/>
                    <w:autoSpaceDN w:val="0"/>
                    <w:adjustRightInd w:val="0"/>
                    <w:spacing w:after="0" w:line="240" w:lineRule="auto"/>
                    <w:ind w:left="180"/>
                    <w:jc w:val="center"/>
                    <w:rPr>
                      <w:rFonts w:asciiTheme="minorHAnsi" w:hAnsiTheme="minorHAnsi"/>
                      <w:b/>
                      <w:color w:val="000000"/>
                      <w:sz w:val="18"/>
                      <w:szCs w:val="18"/>
                    </w:rPr>
                  </w:pPr>
                  <w:r w:rsidRPr="007777E2">
                    <w:rPr>
                      <w:rFonts w:asciiTheme="minorHAnsi" w:hAnsiTheme="minorHAnsi"/>
                      <w:b/>
                      <w:color w:val="000000"/>
                      <w:sz w:val="18"/>
                      <w:szCs w:val="18"/>
                    </w:rPr>
                    <w:t>Total</w:t>
                  </w:r>
                </w:p>
              </w:tc>
              <w:tc>
                <w:tcPr>
                  <w:tcW w:w="1890" w:type="dxa"/>
                  <w:shd w:val="clear" w:color="auto" w:fill="FFFFFF" w:themeFill="background1"/>
                </w:tcPr>
                <w:p w:rsidR="00975628" w:rsidRPr="007777E2" w:rsidRDefault="00975628" w:rsidP="004B6EA8">
                  <w:pPr>
                    <w:pStyle w:val="ListParagraph"/>
                    <w:tabs>
                      <w:tab w:val="num" w:pos="0"/>
                    </w:tabs>
                    <w:autoSpaceDE w:val="0"/>
                    <w:autoSpaceDN w:val="0"/>
                    <w:adjustRightInd w:val="0"/>
                    <w:spacing w:after="0" w:line="240" w:lineRule="auto"/>
                    <w:ind w:left="162"/>
                    <w:jc w:val="center"/>
                    <w:rPr>
                      <w:rFonts w:asciiTheme="minorHAnsi" w:hAnsiTheme="minorHAnsi"/>
                      <w:b/>
                      <w:color w:val="000000"/>
                      <w:sz w:val="18"/>
                      <w:szCs w:val="18"/>
                    </w:rPr>
                  </w:pPr>
                  <w:r w:rsidRPr="007777E2">
                    <w:rPr>
                      <w:rFonts w:asciiTheme="minorHAnsi" w:hAnsiTheme="minorHAnsi"/>
                      <w:b/>
                      <w:color w:val="000000"/>
                      <w:sz w:val="18"/>
                      <w:szCs w:val="18"/>
                    </w:rPr>
                    <w:t>129.5</w:t>
                  </w:r>
                </w:p>
              </w:tc>
            </w:tr>
          </w:tbl>
          <w:p w:rsidR="00975628" w:rsidRPr="007777E2" w:rsidRDefault="00975628" w:rsidP="004B6EA8">
            <w:pPr>
              <w:tabs>
                <w:tab w:val="num" w:pos="0"/>
              </w:tabs>
              <w:spacing w:after="200"/>
              <w:rPr>
                <w:sz w:val="18"/>
                <w:szCs w:val="18"/>
              </w:rPr>
            </w:pPr>
            <w:r w:rsidRPr="007777E2">
              <w:rPr>
                <w:sz w:val="18"/>
                <w:szCs w:val="18"/>
              </w:rPr>
              <w:t xml:space="preserve">Source: </w:t>
            </w:r>
            <w:proofErr w:type="spellStart"/>
            <w:r w:rsidRPr="007777E2">
              <w:rPr>
                <w:sz w:val="18"/>
                <w:szCs w:val="18"/>
              </w:rPr>
              <w:t>Belavtodor</w:t>
            </w:r>
            <w:proofErr w:type="spellEnd"/>
            <w:r w:rsidR="00ED7A9B">
              <w:rPr>
                <w:sz w:val="18"/>
                <w:szCs w:val="18"/>
              </w:rPr>
              <w:t>,</w:t>
            </w:r>
            <w:r w:rsidRPr="007777E2">
              <w:rPr>
                <w:sz w:val="18"/>
                <w:szCs w:val="18"/>
              </w:rPr>
              <w:t xml:space="preserve"> 2009.</w:t>
            </w:r>
          </w:p>
        </w:tc>
      </w:tr>
    </w:tbl>
    <w:p w:rsidR="00975628" w:rsidRDefault="00975628" w:rsidP="005958BE">
      <w:pPr>
        <w:pStyle w:val="Style2"/>
        <w:numPr>
          <w:ilvl w:val="0"/>
          <w:numId w:val="0"/>
        </w:numPr>
      </w:pPr>
    </w:p>
    <w:p w:rsidR="00B04B06" w:rsidRDefault="008530C1" w:rsidP="00963581">
      <w:pPr>
        <w:pStyle w:val="Heading1a"/>
      </w:pPr>
      <w:bookmarkStart w:id="145" w:name="_Toc244402532"/>
      <w:bookmarkStart w:id="146" w:name="_Toc282029946"/>
      <w:bookmarkStart w:id="147" w:name="_Toc253998911"/>
      <w:r w:rsidRPr="007777E2">
        <w:lastRenderedPageBreak/>
        <w:t>4.</w:t>
      </w:r>
      <w:r w:rsidRPr="007777E2">
        <w:tab/>
      </w:r>
      <w:bookmarkEnd w:id="145"/>
      <w:r w:rsidR="00B04B06">
        <w:t>The Road Sector</w:t>
      </w:r>
      <w:bookmarkEnd w:id="146"/>
    </w:p>
    <w:p w:rsidR="009D106A" w:rsidRPr="007777E2" w:rsidRDefault="009D106A" w:rsidP="009D106A">
      <w:pPr>
        <w:pStyle w:val="Heading3"/>
        <w:spacing w:after="240"/>
        <w:rPr>
          <w:rFonts w:ascii="Times New Roman" w:hAnsi="Times New Roman" w:cs="Times New Roman"/>
          <w:sz w:val="24"/>
          <w:szCs w:val="24"/>
        </w:rPr>
      </w:pPr>
      <w:bookmarkStart w:id="148" w:name="_Toc282029947"/>
      <w:r w:rsidRPr="007777E2">
        <w:rPr>
          <w:rFonts w:ascii="Times New Roman" w:hAnsi="Times New Roman" w:cs="Times New Roman"/>
          <w:sz w:val="24"/>
          <w:szCs w:val="24"/>
        </w:rPr>
        <w:t>Road Infrastructure and Service Provision</w:t>
      </w:r>
      <w:bookmarkEnd w:id="148"/>
    </w:p>
    <w:p w:rsidR="00094D19" w:rsidRPr="007777E2" w:rsidRDefault="009D106A" w:rsidP="00094D19">
      <w:pPr>
        <w:numPr>
          <w:ilvl w:val="0"/>
          <w:numId w:val="9"/>
        </w:numPr>
        <w:tabs>
          <w:tab w:val="num" w:pos="0"/>
        </w:tabs>
        <w:spacing w:after="120"/>
        <w:ind w:left="0" w:firstLine="0"/>
        <w:jc w:val="both"/>
      </w:pPr>
      <w:r w:rsidRPr="00094D19">
        <w:rPr>
          <w:b/>
        </w:rPr>
        <w:t>Belarus has a public road network that is mostly adequate for current traffic levels</w:t>
      </w:r>
      <w:r w:rsidR="00F02B3A" w:rsidRPr="00094D19">
        <w:rPr>
          <w:b/>
        </w:rPr>
        <w:t>.</w:t>
      </w:r>
      <w:r w:rsidRPr="007777E2">
        <w:t xml:space="preserve"> </w:t>
      </w:r>
      <w:r>
        <w:t>It comprises a</w:t>
      </w:r>
      <w:r w:rsidR="00F02B3A">
        <w:t xml:space="preserve"> relatively dense</w:t>
      </w:r>
      <w:r>
        <w:t xml:space="preserve"> </w:t>
      </w:r>
      <w:r w:rsidR="0004363C" w:rsidRPr="00094D19">
        <w:rPr>
          <w:i/>
        </w:rPr>
        <w:t>Republican</w:t>
      </w:r>
      <w:r>
        <w:t xml:space="preserve"> road network</w:t>
      </w:r>
      <w:r w:rsidR="00F02B3A">
        <w:rPr>
          <w:rStyle w:val="FootnoteReference"/>
        </w:rPr>
        <w:footnoteReference w:id="17"/>
      </w:r>
      <w:r>
        <w:t xml:space="preserve"> </w:t>
      </w:r>
      <w:r w:rsidR="00D023B0">
        <w:t xml:space="preserve">(including Main roads and Regional Roads) </w:t>
      </w:r>
      <w:r>
        <w:t>of about 15,000 km and a</w:t>
      </w:r>
      <w:r w:rsidR="0004363C" w:rsidRPr="00094D19">
        <w:rPr>
          <w:i/>
        </w:rPr>
        <w:t xml:space="preserve"> Local</w:t>
      </w:r>
      <w:r>
        <w:t xml:space="preserve"> road network of about </w:t>
      </w:r>
      <w:r w:rsidR="00EE0CB4">
        <w:t>70</w:t>
      </w:r>
      <w:r>
        <w:t xml:space="preserve">,000 km. </w:t>
      </w:r>
      <w:r w:rsidRPr="007777E2">
        <w:t xml:space="preserve">The </w:t>
      </w:r>
      <w:r w:rsidR="00F02B3A">
        <w:t xml:space="preserve">overall density of </w:t>
      </w:r>
      <w:r w:rsidRPr="007777E2">
        <w:t>Belarus</w:t>
      </w:r>
      <w:r w:rsidR="00D023B0">
        <w:t xml:space="preserve"> network of Category 1 roads (Motorways) </w:t>
      </w:r>
      <w:r w:rsidRPr="007777E2">
        <w:t xml:space="preserve">is 112 kilometers of network per 1 million people, which is far higher than the average </w:t>
      </w:r>
      <w:r w:rsidR="00D023B0">
        <w:t xml:space="preserve">motorway </w:t>
      </w:r>
      <w:r w:rsidR="00F02B3A">
        <w:t xml:space="preserve">density </w:t>
      </w:r>
      <w:r w:rsidRPr="007777E2">
        <w:t>in</w:t>
      </w:r>
      <w:r w:rsidR="00F02B3A">
        <w:t xml:space="preserve"> the </w:t>
      </w:r>
      <w:r w:rsidRPr="007777E2">
        <w:t>EU-25 countries</w:t>
      </w:r>
      <w:r w:rsidR="00D023B0">
        <w:t>,</w:t>
      </w:r>
      <w:r w:rsidRPr="007777E2">
        <w:t xml:space="preserve"> but slightly below the average for EU-15</w:t>
      </w:r>
      <w:r w:rsidRPr="005A21CD">
        <w:rPr>
          <w:rStyle w:val="FootnoteReference"/>
          <w:sz w:val="24"/>
        </w:rPr>
        <w:footnoteReference w:id="18"/>
      </w:r>
      <w:r w:rsidRPr="007777E2">
        <w:t xml:space="preserve"> countries</w:t>
      </w:r>
      <w:r w:rsidR="00F02B3A">
        <w:t>,</w:t>
      </w:r>
      <w:r w:rsidRPr="007777E2">
        <w:t xml:space="preserve"> as shown </w:t>
      </w:r>
      <w:r w:rsidRPr="00AC1BE0">
        <w:t xml:space="preserve">in </w:t>
      </w:r>
      <w:r w:rsidR="00F5412F">
        <w:t xml:space="preserve">Figure 19. </w:t>
      </w:r>
      <w:r w:rsidRPr="00AC1BE0">
        <w:t>As of</w:t>
      </w:r>
      <w:r w:rsidRPr="007777E2">
        <w:t xml:space="preserve"> 2009, 87 percent of the total length of its </w:t>
      </w:r>
      <w:r>
        <w:t xml:space="preserve">total </w:t>
      </w:r>
      <w:r w:rsidRPr="007777E2">
        <w:t>road network (</w:t>
      </w:r>
      <w:r>
        <w:t>R</w:t>
      </w:r>
      <w:r w:rsidRPr="007777E2">
        <w:t xml:space="preserve">epublican and </w:t>
      </w:r>
      <w:r>
        <w:t>L</w:t>
      </w:r>
      <w:r w:rsidRPr="007777E2">
        <w:t xml:space="preserve">ocal) was paved.  </w:t>
      </w:r>
      <w:r w:rsidR="00F02B3A">
        <w:t xml:space="preserve">About </w:t>
      </w:r>
      <w:r w:rsidRPr="007777E2">
        <w:t xml:space="preserve">58 percent </w:t>
      </w:r>
      <w:r w:rsidR="00F02B3A">
        <w:t xml:space="preserve">of the paved network </w:t>
      </w:r>
      <w:r w:rsidRPr="007777E2">
        <w:t xml:space="preserve">is in good or satisfactory condition (50 percent of the total network length). </w:t>
      </w:r>
      <w:r>
        <w:t xml:space="preserve">Whereas </w:t>
      </w:r>
      <w:r w:rsidR="00D023B0">
        <w:t>M</w:t>
      </w:r>
      <w:r>
        <w:t xml:space="preserve">ain roads are mostly in good or </w:t>
      </w:r>
      <w:r w:rsidR="00E62817">
        <w:t>satisfactory</w:t>
      </w:r>
      <w:r>
        <w:t xml:space="preserve"> condition (6</w:t>
      </w:r>
      <w:r w:rsidR="00F02B3A">
        <w:t>0</w:t>
      </w:r>
      <w:r>
        <w:t xml:space="preserve"> percent), only </w:t>
      </w:r>
      <w:r w:rsidR="00F02B3A">
        <w:t xml:space="preserve">less than </w:t>
      </w:r>
      <w:r>
        <w:t xml:space="preserve">20 percent of the </w:t>
      </w:r>
      <w:r w:rsidR="00D023B0">
        <w:t>R</w:t>
      </w:r>
      <w:r>
        <w:t xml:space="preserve">egional roads are in good or </w:t>
      </w:r>
      <w:r w:rsidR="00E62817">
        <w:t>satisfactory</w:t>
      </w:r>
      <w:r>
        <w:t xml:space="preserve"> condition. </w:t>
      </w:r>
      <w:r w:rsidR="00E62817">
        <w:t xml:space="preserve"> Overall, only about 35% of the network of </w:t>
      </w:r>
      <w:r w:rsidR="00F02B3A">
        <w:t>R</w:t>
      </w:r>
      <w:r>
        <w:t>epublican roads (</w:t>
      </w:r>
      <w:r w:rsidR="00E62817">
        <w:t>M</w:t>
      </w:r>
      <w:r>
        <w:t xml:space="preserve">ain and </w:t>
      </w:r>
      <w:r w:rsidR="00E62817">
        <w:t>R</w:t>
      </w:r>
      <w:r>
        <w:t>egional roads</w:t>
      </w:r>
      <w:r w:rsidR="00E62817">
        <w:t xml:space="preserve"> combined</w:t>
      </w:r>
      <w:r>
        <w:t xml:space="preserve">) </w:t>
      </w:r>
      <w:r w:rsidR="00E62817">
        <w:t xml:space="preserve">is in good or satisfactory </w:t>
      </w:r>
      <w:r>
        <w:t>condition</w:t>
      </w:r>
      <w:r w:rsidR="00EF7B80">
        <w:t>.</w:t>
      </w:r>
      <w:r>
        <w:t xml:space="preserve"> </w:t>
      </w:r>
    </w:p>
    <w:tbl>
      <w:tblPr>
        <w:tblStyle w:val="TableGrid"/>
        <w:tblW w:w="0" w:type="auto"/>
        <w:tblLayout w:type="fixed"/>
        <w:tblLook w:val="04A0"/>
      </w:tblPr>
      <w:tblGrid>
        <w:gridCol w:w="4698"/>
        <w:gridCol w:w="4878"/>
      </w:tblGrid>
      <w:tr w:rsidR="009D106A" w:rsidRPr="007777E2" w:rsidTr="00093652">
        <w:trPr>
          <w:trHeight w:val="4355"/>
        </w:trPr>
        <w:tc>
          <w:tcPr>
            <w:tcW w:w="4698" w:type="dxa"/>
          </w:tcPr>
          <w:p w:rsidR="009D106A" w:rsidRPr="007777E2" w:rsidRDefault="009D106A" w:rsidP="00093652">
            <w:pPr>
              <w:pStyle w:val="Caption"/>
              <w:rPr>
                <w:color w:val="auto"/>
                <w:sz w:val="22"/>
                <w:szCs w:val="22"/>
              </w:rPr>
            </w:pPr>
            <w:bookmarkStart w:id="149" w:name="_Ref264226739"/>
            <w:bookmarkStart w:id="150" w:name="_Toc264226776"/>
            <w:r w:rsidRPr="007777E2">
              <w:rPr>
                <w:color w:val="auto"/>
                <w:sz w:val="22"/>
                <w:szCs w:val="22"/>
              </w:rPr>
              <w:t xml:space="preserve">Figure </w:t>
            </w:r>
            <w:r w:rsidR="006B40AE" w:rsidRPr="007777E2">
              <w:rPr>
                <w:color w:val="auto"/>
                <w:sz w:val="22"/>
                <w:szCs w:val="22"/>
              </w:rPr>
              <w:fldChar w:fldCharType="begin"/>
            </w:r>
            <w:r w:rsidRPr="007777E2">
              <w:rPr>
                <w:color w:val="auto"/>
                <w:sz w:val="22"/>
                <w:szCs w:val="22"/>
              </w:rPr>
              <w:instrText xml:space="preserve"> SEQ Figure \* ARABIC </w:instrText>
            </w:r>
            <w:r w:rsidR="006B40AE" w:rsidRPr="007777E2">
              <w:rPr>
                <w:color w:val="auto"/>
                <w:sz w:val="22"/>
                <w:szCs w:val="22"/>
              </w:rPr>
              <w:fldChar w:fldCharType="separate"/>
            </w:r>
            <w:r w:rsidR="009E2C86">
              <w:rPr>
                <w:noProof/>
                <w:color w:val="auto"/>
                <w:sz w:val="22"/>
                <w:szCs w:val="22"/>
              </w:rPr>
              <w:t>19</w:t>
            </w:r>
            <w:r w:rsidR="006B40AE" w:rsidRPr="007777E2">
              <w:rPr>
                <w:color w:val="auto"/>
                <w:sz w:val="22"/>
                <w:szCs w:val="22"/>
              </w:rPr>
              <w:fldChar w:fldCharType="end"/>
            </w:r>
            <w:bookmarkEnd w:id="149"/>
            <w:r w:rsidRPr="007777E2">
              <w:rPr>
                <w:color w:val="auto"/>
                <w:sz w:val="22"/>
                <w:szCs w:val="22"/>
              </w:rPr>
              <w:t>. Motorway Network Density of Belarus and EU-15 Countries 2009 (km per one million people)</w:t>
            </w:r>
            <w:bookmarkEnd w:id="150"/>
          </w:p>
          <w:p w:rsidR="009D106A" w:rsidRPr="007777E2" w:rsidRDefault="009D106A" w:rsidP="00093652">
            <w:r w:rsidRPr="007777E2">
              <w:rPr>
                <w:noProof/>
              </w:rPr>
              <w:drawing>
                <wp:inline distT="0" distB="0" distL="0" distR="0">
                  <wp:extent cx="2857500" cy="1962150"/>
                  <wp:effectExtent l="0" t="0" r="0" b="0"/>
                  <wp:docPr id="8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9D106A" w:rsidRPr="007777E2" w:rsidRDefault="009D106A" w:rsidP="00093652">
            <w:r w:rsidRPr="007777E2">
              <w:rPr>
                <w:sz w:val="18"/>
                <w:szCs w:val="18"/>
              </w:rPr>
              <w:t xml:space="preserve">Source: </w:t>
            </w:r>
            <w:proofErr w:type="spellStart"/>
            <w:r w:rsidRPr="007777E2">
              <w:rPr>
                <w:sz w:val="18"/>
                <w:szCs w:val="18"/>
              </w:rPr>
              <w:t>Eurostat</w:t>
            </w:r>
            <w:proofErr w:type="spellEnd"/>
            <w:r w:rsidRPr="007777E2">
              <w:rPr>
                <w:sz w:val="18"/>
                <w:szCs w:val="18"/>
              </w:rPr>
              <w:t xml:space="preserve"> and data reported by </w:t>
            </w:r>
            <w:proofErr w:type="spellStart"/>
            <w:r w:rsidRPr="007777E2">
              <w:rPr>
                <w:sz w:val="18"/>
                <w:szCs w:val="18"/>
              </w:rPr>
              <w:t>Belavtodor</w:t>
            </w:r>
            <w:proofErr w:type="spellEnd"/>
            <w:r w:rsidRPr="007777E2">
              <w:rPr>
                <w:sz w:val="18"/>
                <w:szCs w:val="18"/>
              </w:rPr>
              <w:t>.</w:t>
            </w:r>
          </w:p>
        </w:tc>
        <w:tc>
          <w:tcPr>
            <w:tcW w:w="4878" w:type="dxa"/>
          </w:tcPr>
          <w:p w:rsidR="009D106A" w:rsidRPr="007777E2" w:rsidRDefault="009D106A" w:rsidP="00093652">
            <w:pPr>
              <w:pStyle w:val="Caption"/>
            </w:pPr>
            <w:bookmarkStart w:id="151" w:name="_Ref264226743"/>
            <w:bookmarkStart w:id="152" w:name="_Toc264226777"/>
            <w:r w:rsidRPr="007777E2">
              <w:rPr>
                <w:color w:val="auto"/>
                <w:sz w:val="22"/>
                <w:szCs w:val="22"/>
              </w:rPr>
              <w:t xml:space="preserve">Figure </w:t>
            </w:r>
            <w:r w:rsidR="006B40AE" w:rsidRPr="007777E2">
              <w:rPr>
                <w:color w:val="auto"/>
                <w:sz w:val="22"/>
                <w:szCs w:val="22"/>
              </w:rPr>
              <w:fldChar w:fldCharType="begin"/>
            </w:r>
            <w:r w:rsidRPr="007777E2">
              <w:rPr>
                <w:color w:val="auto"/>
                <w:sz w:val="22"/>
                <w:szCs w:val="22"/>
              </w:rPr>
              <w:instrText xml:space="preserve"> SEQ Figure \* ARABIC </w:instrText>
            </w:r>
            <w:r w:rsidR="006B40AE" w:rsidRPr="007777E2">
              <w:rPr>
                <w:color w:val="auto"/>
                <w:sz w:val="22"/>
                <w:szCs w:val="22"/>
              </w:rPr>
              <w:fldChar w:fldCharType="separate"/>
            </w:r>
            <w:r w:rsidR="009E2C86">
              <w:rPr>
                <w:noProof/>
                <w:color w:val="auto"/>
                <w:sz w:val="22"/>
                <w:szCs w:val="22"/>
              </w:rPr>
              <w:t>20</w:t>
            </w:r>
            <w:r w:rsidR="006B40AE" w:rsidRPr="007777E2">
              <w:rPr>
                <w:color w:val="auto"/>
                <w:sz w:val="22"/>
                <w:szCs w:val="22"/>
              </w:rPr>
              <w:fldChar w:fldCharType="end"/>
            </w:r>
            <w:bookmarkEnd w:id="151"/>
            <w:r w:rsidRPr="007777E2">
              <w:rPr>
                <w:color w:val="auto"/>
                <w:sz w:val="22"/>
                <w:szCs w:val="22"/>
              </w:rPr>
              <w:t>. Condition of the Road Network in Belarus 2008</w:t>
            </w:r>
            <w:r>
              <w:rPr>
                <w:color w:val="auto"/>
                <w:sz w:val="22"/>
                <w:szCs w:val="22"/>
              </w:rPr>
              <w:t xml:space="preserve"> (based on IRI)</w:t>
            </w:r>
            <w:bookmarkEnd w:id="152"/>
          </w:p>
          <w:p w:rsidR="009D106A" w:rsidRPr="007777E2" w:rsidRDefault="009D106A" w:rsidP="00093652">
            <w:pPr>
              <w:keepNext/>
              <w:tabs>
                <w:tab w:val="num" w:pos="3420"/>
              </w:tabs>
              <w:spacing w:after="120"/>
              <w:jc w:val="both"/>
            </w:pPr>
            <w:r w:rsidRPr="007777E2">
              <w:rPr>
                <w:noProof/>
              </w:rPr>
              <w:drawing>
                <wp:inline distT="0" distB="0" distL="0" distR="0">
                  <wp:extent cx="2828925" cy="2057400"/>
                  <wp:effectExtent l="19050" t="0" r="0" b="0"/>
                  <wp:docPr id="8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9D106A" w:rsidRPr="007777E2" w:rsidRDefault="009D106A" w:rsidP="00093652">
            <w:pPr>
              <w:keepNext/>
              <w:tabs>
                <w:tab w:val="num" w:pos="3420"/>
              </w:tabs>
              <w:spacing w:after="120"/>
              <w:jc w:val="both"/>
              <w:rPr>
                <w:sz w:val="18"/>
                <w:szCs w:val="18"/>
              </w:rPr>
            </w:pPr>
            <w:r w:rsidRPr="007777E2">
              <w:rPr>
                <w:sz w:val="18"/>
                <w:szCs w:val="18"/>
              </w:rPr>
              <w:t xml:space="preserve">Source: Data reported by </w:t>
            </w:r>
            <w:proofErr w:type="spellStart"/>
            <w:r w:rsidRPr="007777E2">
              <w:rPr>
                <w:sz w:val="18"/>
                <w:szCs w:val="18"/>
              </w:rPr>
              <w:t>Belavtodor</w:t>
            </w:r>
            <w:proofErr w:type="spellEnd"/>
            <w:r w:rsidRPr="007777E2">
              <w:rPr>
                <w:sz w:val="18"/>
                <w:szCs w:val="18"/>
              </w:rPr>
              <w:t>.</w:t>
            </w:r>
          </w:p>
        </w:tc>
      </w:tr>
    </w:tbl>
    <w:p w:rsidR="009D106A" w:rsidRPr="007777E2" w:rsidRDefault="009D106A" w:rsidP="009D106A">
      <w:pPr>
        <w:tabs>
          <w:tab w:val="num" w:pos="3420"/>
        </w:tabs>
        <w:spacing w:after="120"/>
        <w:jc w:val="both"/>
      </w:pPr>
    </w:p>
    <w:p w:rsidR="009D106A" w:rsidRPr="007777E2" w:rsidRDefault="009D106A" w:rsidP="00BE35AE">
      <w:pPr>
        <w:numPr>
          <w:ilvl w:val="0"/>
          <w:numId w:val="9"/>
        </w:numPr>
        <w:tabs>
          <w:tab w:val="num" w:pos="3420"/>
        </w:tabs>
        <w:spacing w:after="120"/>
        <w:ind w:left="0" w:firstLine="0"/>
        <w:jc w:val="both"/>
      </w:pPr>
      <w:r w:rsidRPr="007777E2">
        <w:rPr>
          <w:b/>
        </w:rPr>
        <w:t>Although Belarus ranked 54</w:t>
      </w:r>
      <w:r w:rsidRPr="007777E2">
        <w:rPr>
          <w:b/>
          <w:vertAlign w:val="superscript"/>
        </w:rPr>
        <w:t>th</w:t>
      </w:r>
      <w:r w:rsidRPr="007777E2">
        <w:rPr>
          <w:b/>
        </w:rPr>
        <w:t xml:space="preserve"> in infrastructure quality in the LPI (2007), 47 percent of the total road network </w:t>
      </w:r>
      <w:r>
        <w:rPr>
          <w:b/>
        </w:rPr>
        <w:t>is in poor or very poor condition</w:t>
      </w:r>
      <w:r w:rsidRPr="007777E2">
        <w:rPr>
          <w:b/>
        </w:rPr>
        <w:t xml:space="preserve">—mainly regional and local </w:t>
      </w:r>
      <w:r w:rsidRPr="007777E2">
        <w:rPr>
          <w:b/>
        </w:rPr>
        <w:lastRenderedPageBreak/>
        <w:t>roads</w:t>
      </w:r>
      <w:r w:rsidRPr="005A21CD">
        <w:rPr>
          <w:rStyle w:val="FootnoteReference"/>
          <w:sz w:val="24"/>
        </w:rPr>
        <w:footnoteReference w:id="19"/>
      </w:r>
      <w:r w:rsidRPr="007777E2">
        <w:rPr>
          <w:b/>
        </w:rPr>
        <w:t xml:space="preserve"> </w:t>
      </w:r>
      <w:r w:rsidRPr="00AC1BE0">
        <w:t xml:space="preserve">(see </w:t>
      </w:r>
      <w:fldSimple w:instr=" REF _Ref264226743 \h  \* MERGEFORMAT ">
        <w:r w:rsidR="00E85C5F" w:rsidRPr="00E85C5F">
          <w:t xml:space="preserve">Figure </w:t>
        </w:r>
        <w:r w:rsidR="00E85C5F" w:rsidRPr="00E85C5F">
          <w:rPr>
            <w:noProof/>
          </w:rPr>
          <w:t>20</w:t>
        </w:r>
      </w:fldSimple>
      <w:r w:rsidRPr="00AC1BE0">
        <w:t>).</w:t>
      </w:r>
      <w:r w:rsidRPr="007777E2">
        <w:rPr>
          <w:b/>
        </w:rPr>
        <w:t xml:space="preserve"> </w:t>
      </w:r>
      <w:r w:rsidRPr="007777E2">
        <w:t xml:space="preserve">While the overall condition of one third of the </w:t>
      </w:r>
      <w:r w:rsidR="004D133A">
        <w:t>R</w:t>
      </w:r>
      <w:r w:rsidRPr="007777E2">
        <w:t>epublican roads (main and regional roads</w:t>
      </w:r>
      <w:r w:rsidR="004D133A">
        <w:t xml:space="preserve"> combined</w:t>
      </w:r>
      <w:r w:rsidRPr="007777E2">
        <w:t>) is good and fair, two thirds need major repair</w:t>
      </w:r>
      <w:r w:rsidR="00E62817">
        <w:t>s</w:t>
      </w:r>
      <w:r w:rsidRPr="007777E2">
        <w:t xml:space="preserve"> or rehabilitation</w:t>
      </w:r>
      <w:r>
        <w:t xml:space="preserve">, according to </w:t>
      </w:r>
      <w:proofErr w:type="spellStart"/>
      <w:r>
        <w:t>Belavtodor</w:t>
      </w:r>
      <w:proofErr w:type="spellEnd"/>
      <w:r w:rsidRPr="007777E2">
        <w:t xml:space="preserve">. </w:t>
      </w:r>
      <w:r>
        <w:t xml:space="preserve">Republican roads carry more than 75 percent of the total traffic. </w:t>
      </w:r>
      <w:r w:rsidRPr="007777E2">
        <w:t xml:space="preserve">Delayed repair may result in irreversible deterioration of road condition and may require 2.5 to 3 times more funding for </w:t>
      </w:r>
      <w:r w:rsidR="004D133A">
        <w:t>deferred</w:t>
      </w:r>
      <w:r w:rsidRPr="007777E2">
        <w:t xml:space="preserve"> reconstruction.</w:t>
      </w:r>
    </w:p>
    <w:p w:rsidR="009D106A" w:rsidRPr="007777E2" w:rsidRDefault="009D106A" w:rsidP="00BE35AE">
      <w:pPr>
        <w:numPr>
          <w:ilvl w:val="0"/>
          <w:numId w:val="9"/>
        </w:numPr>
        <w:tabs>
          <w:tab w:val="num" w:pos="3420"/>
        </w:tabs>
        <w:spacing w:after="120"/>
        <w:ind w:left="0" w:firstLine="0"/>
        <w:jc w:val="both"/>
      </w:pPr>
      <w:r w:rsidRPr="007777E2">
        <w:rPr>
          <w:b/>
        </w:rPr>
        <w:t>A continued and intensified program for repair and rehabilitation of the road network is necessary</w:t>
      </w:r>
      <w:r w:rsidR="004D133A">
        <w:rPr>
          <w:b/>
        </w:rPr>
        <w:t>,</w:t>
      </w:r>
      <w:r w:rsidRPr="007777E2">
        <w:rPr>
          <w:b/>
        </w:rPr>
        <w:t xml:space="preserve"> given </w:t>
      </w:r>
      <w:r w:rsidR="004D133A">
        <w:rPr>
          <w:b/>
        </w:rPr>
        <w:t xml:space="preserve">the </w:t>
      </w:r>
      <w:r w:rsidRPr="007777E2">
        <w:rPr>
          <w:b/>
        </w:rPr>
        <w:t>significant increase in network use since 2000</w:t>
      </w:r>
      <w:r w:rsidRPr="007777E2">
        <w:t xml:space="preserve">. Freight traffic density (ton-km per one km of road) on public roads, for example, has increased significantly from 76,900 ton-km in 2000 to 187,000 ton-km in 2008 (increase of 143 percent). In the same period, public transport passenger-kilometers have decreased slightly, while the number of private cars has more than doubled. Currently there are </w:t>
      </w:r>
      <w:r>
        <w:t>about 2.2 million</w:t>
      </w:r>
      <w:r w:rsidRPr="007777E2">
        <w:t xml:space="preserve"> private cars using the road network in Belarus with the number projected to reach 4 million by 2015. </w:t>
      </w:r>
    </w:p>
    <w:p w:rsidR="009D106A" w:rsidRPr="000C3D75" w:rsidRDefault="00974C73" w:rsidP="00BE35AE">
      <w:pPr>
        <w:numPr>
          <w:ilvl w:val="0"/>
          <w:numId w:val="9"/>
        </w:numPr>
        <w:tabs>
          <w:tab w:val="num" w:pos="3420"/>
        </w:tabs>
        <w:spacing w:after="120"/>
        <w:ind w:left="0" w:firstLine="0"/>
        <w:jc w:val="both"/>
      </w:pPr>
      <w:r w:rsidRPr="000C3D75">
        <w:rPr>
          <w:b/>
        </w:rPr>
        <w:t>The Government is implementing a program to improve the overall condition of the road network and to expand capacity of parts of the Republican network</w:t>
      </w:r>
      <w:r w:rsidRPr="000C3D75">
        <w:t xml:space="preserve">. Only </w:t>
      </w:r>
      <w:r w:rsidR="00A566FC">
        <w:t>8.6</w:t>
      </w:r>
      <w:r w:rsidRPr="000C3D75">
        <w:t xml:space="preserve"> percent of Republi</w:t>
      </w:r>
      <w:r w:rsidR="00D74ABC">
        <w:t xml:space="preserve">can roads are designed to carry vehicles with single axle loads of 10 or 11.5 tons. Of the roads connecting Minsk with regional centers, </w:t>
      </w:r>
      <w:r w:rsidR="00A566FC">
        <w:t>89.4</w:t>
      </w:r>
      <w:r w:rsidRPr="000C3D75">
        <w:t xml:space="preserve"> percent have been built based on designs for single axle loads below 10 tons (</w:t>
      </w:r>
      <w:fldSimple w:instr=" REF _Ref264034919 \h  \* MERGEFORMAT ">
        <w:r w:rsidR="00E85C5F" w:rsidRPr="00E85C5F">
          <w:t xml:space="preserve">Figure </w:t>
        </w:r>
        <w:r w:rsidR="00E85C5F" w:rsidRPr="00E85C5F">
          <w:rPr>
            <w:noProof/>
          </w:rPr>
          <w:t>21</w:t>
        </w:r>
      </w:fldSimple>
      <w:r w:rsidRPr="000C3D75">
        <w:t>)</w:t>
      </w:r>
      <w:proofErr w:type="gramStart"/>
      <w:r w:rsidRPr="000C3D75">
        <w:t>..</w:t>
      </w:r>
      <w:proofErr w:type="gramEnd"/>
      <w:r w:rsidRPr="000C3D75">
        <w:t xml:space="preserve"> All roads are however being used by heavy vehicles with axle loads above 10 tons, resulting in accelerated road deterioration.</w:t>
      </w:r>
    </w:p>
    <w:tbl>
      <w:tblPr>
        <w:tblStyle w:val="TableGrid"/>
        <w:tblW w:w="0" w:type="auto"/>
        <w:jc w:val="center"/>
        <w:tblLayout w:type="fixed"/>
        <w:tblLook w:val="04A0"/>
      </w:tblPr>
      <w:tblGrid>
        <w:gridCol w:w="4854"/>
      </w:tblGrid>
      <w:tr w:rsidR="009D106A" w:rsidTr="00093652">
        <w:trPr>
          <w:trHeight w:val="3794"/>
          <w:jc w:val="center"/>
        </w:trPr>
        <w:tc>
          <w:tcPr>
            <w:tcW w:w="4854" w:type="dxa"/>
          </w:tcPr>
          <w:p w:rsidR="009D106A" w:rsidRPr="000C3D75" w:rsidRDefault="00D74ABC" w:rsidP="00093652">
            <w:pPr>
              <w:pStyle w:val="Caption"/>
              <w:spacing w:after="0"/>
              <w:rPr>
                <w:b w:val="0"/>
              </w:rPr>
            </w:pPr>
            <w:bookmarkStart w:id="153" w:name="_Ref264034919"/>
            <w:bookmarkStart w:id="154" w:name="_Toc264226778"/>
            <w:r>
              <w:rPr>
                <w:color w:val="auto"/>
                <w:sz w:val="22"/>
                <w:szCs w:val="22"/>
              </w:rPr>
              <w:t xml:space="preserve">Figure </w:t>
            </w:r>
            <w:r w:rsidR="006B40AE" w:rsidRPr="000C3D75">
              <w:rPr>
                <w:color w:val="auto"/>
                <w:sz w:val="22"/>
                <w:szCs w:val="22"/>
              </w:rPr>
              <w:fldChar w:fldCharType="begin"/>
            </w:r>
            <w:r>
              <w:rPr>
                <w:color w:val="auto"/>
                <w:sz w:val="22"/>
                <w:szCs w:val="22"/>
              </w:rPr>
              <w:instrText xml:space="preserve"> SEQ Figure \* ARABIC </w:instrText>
            </w:r>
            <w:r w:rsidR="006B40AE" w:rsidRPr="000C3D75">
              <w:rPr>
                <w:color w:val="auto"/>
                <w:sz w:val="22"/>
                <w:szCs w:val="22"/>
              </w:rPr>
              <w:fldChar w:fldCharType="separate"/>
            </w:r>
            <w:r w:rsidR="009E2C86">
              <w:rPr>
                <w:noProof/>
                <w:color w:val="auto"/>
                <w:sz w:val="22"/>
                <w:szCs w:val="22"/>
              </w:rPr>
              <w:t>21</w:t>
            </w:r>
            <w:r w:rsidR="006B40AE" w:rsidRPr="000C3D75">
              <w:rPr>
                <w:color w:val="auto"/>
                <w:sz w:val="22"/>
                <w:szCs w:val="22"/>
              </w:rPr>
              <w:fldChar w:fldCharType="end"/>
            </w:r>
            <w:bookmarkEnd w:id="153"/>
            <w:r>
              <w:rPr>
                <w:color w:val="auto"/>
                <w:sz w:val="22"/>
                <w:szCs w:val="22"/>
              </w:rPr>
              <w:t>. Load Carrying Capacity (axle load) on Republican and Local Roads (km) in Belarus (2010)</w:t>
            </w:r>
            <w:r w:rsidRPr="00D74ABC">
              <w:rPr>
                <w:b w:val="0"/>
              </w:rPr>
              <w:br/>
            </w:r>
            <w:bookmarkEnd w:id="154"/>
            <w:r w:rsidR="000C3D75" w:rsidRPr="000C3D75">
              <w:rPr>
                <w:b w:val="0"/>
                <w:noProof/>
              </w:rPr>
              <w:drawing>
                <wp:inline distT="0" distB="0" distL="0" distR="0">
                  <wp:extent cx="2998359" cy="2449002"/>
                  <wp:effectExtent l="19050" t="0" r="11541" b="8448"/>
                  <wp:docPr id="1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9D106A" w:rsidRDefault="00974C73" w:rsidP="002048E8">
            <w:pPr>
              <w:keepNext/>
              <w:tabs>
                <w:tab w:val="num" w:pos="3420"/>
              </w:tabs>
              <w:jc w:val="both"/>
              <w:rPr>
                <w:b/>
              </w:rPr>
            </w:pPr>
            <w:r w:rsidRPr="000C3D75">
              <w:rPr>
                <w:sz w:val="18"/>
                <w:szCs w:val="18"/>
              </w:rPr>
              <w:t xml:space="preserve">Source: Data reported by </w:t>
            </w:r>
            <w:proofErr w:type="spellStart"/>
            <w:r w:rsidRPr="000C3D75">
              <w:rPr>
                <w:sz w:val="18"/>
                <w:szCs w:val="18"/>
              </w:rPr>
              <w:t>Belgiprodor</w:t>
            </w:r>
            <w:proofErr w:type="spellEnd"/>
            <w:r w:rsidRPr="000C3D75">
              <w:rPr>
                <w:sz w:val="18"/>
                <w:szCs w:val="18"/>
              </w:rPr>
              <w:t>.</w:t>
            </w:r>
            <w:r w:rsidR="002048E8">
              <w:rPr>
                <w:sz w:val="18"/>
                <w:szCs w:val="18"/>
              </w:rPr>
              <w:t xml:space="preserve"> </w:t>
            </w:r>
          </w:p>
        </w:tc>
      </w:tr>
    </w:tbl>
    <w:p w:rsidR="004D133A" w:rsidRPr="004D133A" w:rsidRDefault="004D133A" w:rsidP="004D133A">
      <w:pPr>
        <w:tabs>
          <w:tab w:val="num" w:pos="3420"/>
        </w:tabs>
        <w:spacing w:after="120"/>
        <w:jc w:val="both"/>
      </w:pPr>
    </w:p>
    <w:p w:rsidR="009D106A" w:rsidRPr="007777E2" w:rsidRDefault="009D106A" w:rsidP="00BE35AE">
      <w:pPr>
        <w:numPr>
          <w:ilvl w:val="0"/>
          <w:numId w:val="9"/>
        </w:numPr>
        <w:tabs>
          <w:tab w:val="num" w:pos="3420"/>
        </w:tabs>
        <w:spacing w:after="120"/>
        <w:ind w:left="0" w:firstLine="0"/>
        <w:jc w:val="both"/>
      </w:pPr>
      <w:r w:rsidRPr="007777E2">
        <w:rPr>
          <w:b/>
        </w:rPr>
        <w:t>To support road transport operations, the Government has initiated various schemes to help transport companies upgrade their vehicle fleet</w:t>
      </w:r>
      <w:r w:rsidRPr="007777E2">
        <w:t xml:space="preserve">. In January 2009 the total Belarus truck fleet was </w:t>
      </w:r>
      <w:r w:rsidR="0010414D">
        <w:t>about 100,000.</w:t>
      </w:r>
      <w:r w:rsidRPr="007777E2">
        <w:t xml:space="preserve"> Truck import duties have been lowered, and duty free import made possible with domestic truck purchase. The purchase price of a Mercedes-Benz and a domestically produced MAZ trucks are practically the same</w:t>
      </w:r>
      <w:r>
        <w:t>.</w:t>
      </w:r>
    </w:p>
    <w:p w:rsidR="009D106A" w:rsidRDefault="009D106A" w:rsidP="00BE35AE">
      <w:pPr>
        <w:numPr>
          <w:ilvl w:val="0"/>
          <w:numId w:val="9"/>
        </w:numPr>
        <w:tabs>
          <w:tab w:val="num" w:pos="3420"/>
        </w:tabs>
        <w:spacing w:after="120"/>
        <w:ind w:left="0" w:firstLine="0"/>
        <w:jc w:val="both"/>
      </w:pPr>
      <w:r w:rsidRPr="007777E2">
        <w:rPr>
          <w:b/>
        </w:rPr>
        <w:lastRenderedPageBreak/>
        <w:t>The Belarus truck fleet serving international transport is still comprised mainly of low class, high emission vehicles</w:t>
      </w:r>
      <w:r w:rsidRPr="007777E2">
        <w:t xml:space="preserve">. In 2009, 38 percent of the total fleet for international transport (8,879 trucks), was of EURO 0 </w:t>
      </w:r>
      <w:r w:rsidR="004D133A">
        <w:t xml:space="preserve">emission </w:t>
      </w:r>
      <w:proofErr w:type="gramStart"/>
      <w:r w:rsidRPr="007777E2">
        <w:t>level</w:t>
      </w:r>
      <w:proofErr w:type="gramEnd"/>
      <w:r w:rsidRPr="007777E2">
        <w:t xml:space="preserve"> or unspecified</w:t>
      </w:r>
      <w:r w:rsidRPr="005A21CD">
        <w:rPr>
          <w:rStyle w:val="FootnoteReference"/>
          <w:sz w:val="24"/>
        </w:rPr>
        <w:footnoteReference w:id="20"/>
      </w:r>
      <w:r w:rsidRPr="007777E2">
        <w:t xml:space="preserve"> </w:t>
      </w:r>
      <w:r w:rsidRPr="000D66B6">
        <w:t>(</w:t>
      </w:r>
      <w:fldSimple w:instr=" REF _Ref264226133 \h  \* MERGEFORMAT ">
        <w:r w:rsidR="00E85C5F" w:rsidRPr="00E85C5F">
          <w:t xml:space="preserve">Figure </w:t>
        </w:r>
        <w:r w:rsidR="00E85C5F" w:rsidRPr="00E85C5F">
          <w:rPr>
            <w:noProof/>
          </w:rPr>
          <w:t>22</w:t>
        </w:r>
      </w:fldSimple>
      <w:r w:rsidRPr="000D66B6">
        <w:t>). The</w:t>
      </w:r>
      <w:r w:rsidRPr="007777E2">
        <w:t xml:space="preserve"> share of vehicles of EURO 2 standard was 11 percent; EURO 3 was 32 percent, and EURO 4, 5 and 6 combined at 13 percent, respectively. Since 2006 the trend has been towards higher-class vehicles. Leasing of trucks has been very popular, providing a way to acquire an environmentally friendly, high EURO class truck that can be used for transport to and from EU countries. By law, however, Belarusian trucking firms are required to own at least one truck per two leased trucks. </w:t>
      </w:r>
    </w:p>
    <w:tbl>
      <w:tblPr>
        <w:tblStyle w:val="TableGrid"/>
        <w:tblW w:w="0" w:type="auto"/>
        <w:jc w:val="center"/>
        <w:tblLook w:val="04A0"/>
      </w:tblPr>
      <w:tblGrid>
        <w:gridCol w:w="5136"/>
      </w:tblGrid>
      <w:tr w:rsidR="00EB1402" w:rsidRPr="007777E2" w:rsidTr="00EB4908">
        <w:trPr>
          <w:jc w:val="center"/>
        </w:trPr>
        <w:tc>
          <w:tcPr>
            <w:tcW w:w="5111" w:type="dxa"/>
          </w:tcPr>
          <w:p w:rsidR="00EB1402" w:rsidRPr="007777E2" w:rsidRDefault="00EB1402" w:rsidP="00EB1402">
            <w:pPr>
              <w:pStyle w:val="Caption"/>
            </w:pPr>
            <w:bookmarkStart w:id="155" w:name="_Ref264226133"/>
            <w:bookmarkStart w:id="156" w:name="_Toc264226779"/>
            <w:r w:rsidRPr="007777E2">
              <w:rPr>
                <w:color w:val="auto"/>
                <w:sz w:val="22"/>
                <w:szCs w:val="22"/>
              </w:rPr>
              <w:t xml:space="preserve">Figure </w:t>
            </w:r>
            <w:r w:rsidR="006B40AE" w:rsidRPr="007777E2">
              <w:rPr>
                <w:color w:val="auto"/>
                <w:sz w:val="22"/>
                <w:szCs w:val="22"/>
              </w:rPr>
              <w:fldChar w:fldCharType="begin"/>
            </w:r>
            <w:r w:rsidRPr="007777E2">
              <w:rPr>
                <w:color w:val="auto"/>
                <w:sz w:val="22"/>
                <w:szCs w:val="22"/>
              </w:rPr>
              <w:instrText xml:space="preserve"> SEQ Figure \* ARABIC </w:instrText>
            </w:r>
            <w:r w:rsidR="006B40AE" w:rsidRPr="007777E2">
              <w:rPr>
                <w:color w:val="auto"/>
                <w:sz w:val="22"/>
                <w:szCs w:val="22"/>
              </w:rPr>
              <w:fldChar w:fldCharType="separate"/>
            </w:r>
            <w:r w:rsidR="009E2C86">
              <w:rPr>
                <w:noProof/>
                <w:color w:val="auto"/>
                <w:sz w:val="22"/>
                <w:szCs w:val="22"/>
              </w:rPr>
              <w:t>22</w:t>
            </w:r>
            <w:r w:rsidR="006B40AE" w:rsidRPr="007777E2">
              <w:rPr>
                <w:color w:val="auto"/>
                <w:sz w:val="22"/>
                <w:szCs w:val="22"/>
              </w:rPr>
              <w:fldChar w:fldCharType="end"/>
            </w:r>
            <w:bookmarkEnd w:id="155"/>
            <w:r w:rsidRPr="007777E2">
              <w:rPr>
                <w:color w:val="auto"/>
                <w:sz w:val="22"/>
                <w:szCs w:val="22"/>
              </w:rPr>
              <w:t>. Heavy Goods Vehicles Registered for International Freight Transportation in 2006-2009 (number of vehicles)</w:t>
            </w:r>
            <w:r w:rsidRPr="007777E2">
              <w:rPr>
                <w:noProof/>
              </w:rPr>
              <w:drawing>
                <wp:inline distT="0" distB="0" distL="0" distR="0">
                  <wp:extent cx="3095625" cy="2105025"/>
                  <wp:effectExtent l="19050" t="0" r="9525" b="0"/>
                  <wp:docPr id="98"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bookmarkEnd w:id="156"/>
          </w:p>
          <w:p w:rsidR="00EB1402" w:rsidRPr="007777E2" w:rsidRDefault="00EB1402" w:rsidP="00EB1402">
            <w:pPr>
              <w:tabs>
                <w:tab w:val="num" w:pos="3420"/>
              </w:tabs>
              <w:spacing w:after="120"/>
              <w:jc w:val="both"/>
              <w:rPr>
                <w:sz w:val="18"/>
                <w:szCs w:val="18"/>
              </w:rPr>
            </w:pPr>
            <w:r w:rsidRPr="007777E2">
              <w:rPr>
                <w:sz w:val="18"/>
                <w:szCs w:val="18"/>
              </w:rPr>
              <w:t>Source: Data reported by Belarusian MOTC.</w:t>
            </w:r>
          </w:p>
        </w:tc>
      </w:tr>
    </w:tbl>
    <w:p w:rsidR="00EB1402" w:rsidRPr="007777E2" w:rsidRDefault="00EB1402" w:rsidP="00EB1402">
      <w:pPr>
        <w:pStyle w:val="Heading3"/>
        <w:spacing w:after="240"/>
        <w:rPr>
          <w:rFonts w:ascii="Times New Roman" w:hAnsi="Times New Roman" w:cs="Times New Roman"/>
          <w:sz w:val="24"/>
          <w:szCs w:val="24"/>
        </w:rPr>
      </w:pPr>
      <w:bookmarkStart w:id="157" w:name="_Toc282029948"/>
      <w:r>
        <w:rPr>
          <w:rFonts w:ascii="Times New Roman" w:hAnsi="Times New Roman" w:cs="Times New Roman"/>
          <w:sz w:val="24"/>
          <w:szCs w:val="24"/>
        </w:rPr>
        <w:t>Organizational Structure of the Roads Sector</w:t>
      </w:r>
      <w:bookmarkEnd w:id="157"/>
    </w:p>
    <w:p w:rsidR="00EB1402" w:rsidRDefault="00621857" w:rsidP="00BE35AE">
      <w:pPr>
        <w:numPr>
          <w:ilvl w:val="0"/>
          <w:numId w:val="9"/>
        </w:numPr>
        <w:tabs>
          <w:tab w:val="num" w:pos="3420"/>
        </w:tabs>
        <w:spacing w:after="120"/>
        <w:ind w:left="0" w:firstLine="0"/>
        <w:jc w:val="both"/>
      </w:pPr>
      <w:r w:rsidRPr="00EB1402">
        <w:rPr>
          <w:b/>
        </w:rPr>
        <w:t>The Law on Roads and Road Works</w:t>
      </w:r>
      <w:r w:rsidRPr="005A21CD">
        <w:rPr>
          <w:rStyle w:val="Style1Char"/>
          <w:rFonts w:eastAsia="MS Mincho"/>
          <w:sz w:val="22"/>
        </w:rPr>
        <w:footnoteReference w:id="21"/>
      </w:r>
      <w:r w:rsidRPr="00EB1402">
        <w:rPr>
          <w:b/>
        </w:rPr>
        <w:t xml:space="preserve"> defines the regulatory and management arrangements associated with public roads</w:t>
      </w:r>
      <w:r w:rsidRPr="007777E2">
        <w:t>, including their classification, planning, design, development, and maintenance. As the central institution for roads, the MOTC: (</w:t>
      </w:r>
      <w:proofErr w:type="spellStart"/>
      <w:r w:rsidRPr="007777E2">
        <w:t>i</w:t>
      </w:r>
      <w:proofErr w:type="spellEnd"/>
      <w:r w:rsidRPr="007777E2">
        <w:t xml:space="preserve">) </w:t>
      </w:r>
      <w:r w:rsidR="00E7299C">
        <w:t xml:space="preserve">defines and </w:t>
      </w:r>
      <w:r w:rsidRPr="007777E2">
        <w:t>implements road development programs; (ii) manages various government organizations related to the road</w:t>
      </w:r>
      <w:r w:rsidR="008046F3">
        <w:t>s</w:t>
      </w:r>
      <w:r w:rsidRPr="007777E2">
        <w:t xml:space="preserve"> sector; (iii) oversees road maintenance, repair, and construction; (iv) ensures safety; and (v) issues permits for the movement of heavy-weight and/or </w:t>
      </w:r>
      <w:r w:rsidR="00E7299C">
        <w:t>over</w:t>
      </w:r>
      <w:r w:rsidRPr="007777E2">
        <w:t>sized vehicles on public roads.</w:t>
      </w:r>
    </w:p>
    <w:p w:rsidR="00621857" w:rsidRPr="007777E2" w:rsidRDefault="00621857" w:rsidP="00BE35AE">
      <w:pPr>
        <w:numPr>
          <w:ilvl w:val="0"/>
          <w:numId w:val="9"/>
        </w:numPr>
        <w:tabs>
          <w:tab w:val="num" w:pos="3420"/>
        </w:tabs>
        <w:spacing w:after="120"/>
        <w:ind w:left="0" w:firstLine="0"/>
        <w:jc w:val="both"/>
      </w:pPr>
      <w:proofErr w:type="spellStart"/>
      <w:r w:rsidRPr="00EB1402">
        <w:rPr>
          <w:b/>
        </w:rPr>
        <w:t>Belavtodor</w:t>
      </w:r>
      <w:proofErr w:type="spellEnd"/>
      <w:r w:rsidRPr="00EB1402">
        <w:rPr>
          <w:b/>
        </w:rPr>
        <w:t xml:space="preserve">, a department within MOTC, manages </w:t>
      </w:r>
      <w:r w:rsidR="00E62817">
        <w:rPr>
          <w:b/>
        </w:rPr>
        <w:t xml:space="preserve">most of </w:t>
      </w:r>
      <w:r w:rsidRPr="00EB1402">
        <w:rPr>
          <w:b/>
        </w:rPr>
        <w:t xml:space="preserve">the </w:t>
      </w:r>
      <w:r w:rsidR="00E7299C">
        <w:rPr>
          <w:b/>
        </w:rPr>
        <w:t>Republican</w:t>
      </w:r>
      <w:r w:rsidRPr="00EB1402">
        <w:rPr>
          <w:b/>
        </w:rPr>
        <w:t xml:space="preserve"> road network; the Oblast Executive Committees with </w:t>
      </w:r>
      <w:proofErr w:type="spellStart"/>
      <w:r w:rsidRPr="00EB1402">
        <w:rPr>
          <w:b/>
        </w:rPr>
        <w:t>Belavtodor’s</w:t>
      </w:r>
      <w:proofErr w:type="spellEnd"/>
      <w:r w:rsidRPr="00EB1402">
        <w:rPr>
          <w:b/>
        </w:rPr>
        <w:t xml:space="preserve"> assistance manage </w:t>
      </w:r>
      <w:r w:rsidR="00E62817">
        <w:rPr>
          <w:b/>
        </w:rPr>
        <w:t xml:space="preserve">some Republican roads and most of the </w:t>
      </w:r>
      <w:r w:rsidR="00E7299C">
        <w:rPr>
          <w:b/>
        </w:rPr>
        <w:t>L</w:t>
      </w:r>
      <w:r w:rsidRPr="00EB1402">
        <w:rPr>
          <w:b/>
        </w:rPr>
        <w:t>ocal road network</w:t>
      </w:r>
      <w:r w:rsidRPr="007777E2">
        <w:t xml:space="preserve">. There </w:t>
      </w:r>
      <w:r w:rsidR="000C1E81">
        <w:t xml:space="preserve">is a variety of </w:t>
      </w:r>
      <w:r w:rsidRPr="007777E2">
        <w:t xml:space="preserve">entities dealing with </w:t>
      </w:r>
      <w:r w:rsidR="000C1E81">
        <w:t xml:space="preserve">the management of </w:t>
      </w:r>
      <w:r w:rsidR="00E7299C">
        <w:t>R</w:t>
      </w:r>
      <w:r w:rsidRPr="007777E2">
        <w:t xml:space="preserve">epublican and </w:t>
      </w:r>
      <w:r w:rsidR="00E7299C">
        <w:t>L</w:t>
      </w:r>
      <w:r w:rsidRPr="007777E2">
        <w:t>ocal roads</w:t>
      </w:r>
      <w:r w:rsidR="00E7299C">
        <w:t xml:space="preserve">; they are listed </w:t>
      </w:r>
      <w:r w:rsidRPr="00EB1402">
        <w:t xml:space="preserve">in </w:t>
      </w:r>
      <w:fldSimple w:instr=" REF _Ref256586465 \h  \* MERGEFORMAT ">
        <w:r w:rsidR="00E85C5F" w:rsidRPr="00E85C5F">
          <w:t>Table 10</w:t>
        </w:r>
      </w:fldSimple>
      <w:r w:rsidRPr="00EB1402">
        <w:t xml:space="preserve">. </w:t>
      </w:r>
      <w:r w:rsidR="00E7299C">
        <w:t xml:space="preserve"> Physical road works are executed on a contractual basis by </w:t>
      </w:r>
      <w:r w:rsidR="000C1E81">
        <w:t xml:space="preserve">construction firms </w:t>
      </w:r>
      <w:r w:rsidRPr="007777E2">
        <w:t>of various ownership</w:t>
      </w:r>
      <w:r w:rsidR="000C1E81">
        <w:t xml:space="preserve"> structures</w:t>
      </w:r>
      <w:r w:rsidRPr="007777E2">
        <w:t xml:space="preserve">, </w:t>
      </w:r>
      <w:r w:rsidRPr="007777E2">
        <w:lastRenderedPageBreak/>
        <w:t xml:space="preserve">most of them not controlled by MOTC or </w:t>
      </w:r>
      <w:proofErr w:type="spellStart"/>
      <w:r w:rsidRPr="007777E2">
        <w:t>Belavtodor</w:t>
      </w:r>
      <w:proofErr w:type="spellEnd"/>
      <w:r w:rsidR="00E7299C">
        <w:t xml:space="preserve">. </w:t>
      </w:r>
      <w:r w:rsidRPr="007777E2">
        <w:t xml:space="preserve">Responsibilities of the Oblast Executive Committee include prioritizing maintenance, securing funds and managing </w:t>
      </w:r>
      <w:r w:rsidR="00E7299C">
        <w:t>L</w:t>
      </w:r>
      <w:r w:rsidRPr="007777E2">
        <w:t xml:space="preserve">ocal road networks. This </w:t>
      </w:r>
      <w:r w:rsidR="00E7299C">
        <w:t xml:space="preserve">reflects </w:t>
      </w:r>
      <w:r w:rsidRPr="007777E2">
        <w:t xml:space="preserve">good </w:t>
      </w:r>
      <w:r w:rsidR="00E7299C">
        <w:t xml:space="preserve">international </w:t>
      </w:r>
      <w:r w:rsidRPr="007777E2">
        <w:t>practice in decentralizing the responsibility for local road networks to local governments. To ensure good road management, however, such decentralization must include adequate local-level capacity building and financing opportunities.</w:t>
      </w:r>
    </w:p>
    <w:p w:rsidR="00621857" w:rsidRPr="007777E2" w:rsidRDefault="00621857" w:rsidP="00621857">
      <w:pPr>
        <w:spacing w:after="120"/>
        <w:jc w:val="both"/>
        <w:rPr>
          <w:sz w:val="22"/>
          <w:szCs w:val="22"/>
        </w:rPr>
      </w:pPr>
    </w:p>
    <w:tbl>
      <w:tblPr>
        <w:tblStyle w:val="TableGrid"/>
        <w:tblW w:w="0" w:type="auto"/>
        <w:tblBorders>
          <w:left w:val="none" w:sz="0" w:space="0" w:color="auto"/>
          <w:right w:val="none" w:sz="0" w:space="0" w:color="auto"/>
        </w:tblBorders>
        <w:shd w:val="clear" w:color="auto" w:fill="FFFFFF" w:themeFill="background1"/>
        <w:tblLayout w:type="fixed"/>
        <w:tblLook w:val="0480"/>
      </w:tblPr>
      <w:tblGrid>
        <w:gridCol w:w="1818"/>
        <w:gridCol w:w="7758"/>
      </w:tblGrid>
      <w:tr w:rsidR="00621857" w:rsidRPr="007777E2" w:rsidTr="00EB4908">
        <w:trPr>
          <w:trHeight w:val="323"/>
        </w:trPr>
        <w:tc>
          <w:tcPr>
            <w:tcW w:w="9576" w:type="dxa"/>
            <w:gridSpan w:val="2"/>
            <w:shd w:val="clear" w:color="auto" w:fill="FFFFFF" w:themeFill="background1"/>
          </w:tcPr>
          <w:p w:rsidR="00621857" w:rsidRPr="007777E2" w:rsidRDefault="00621857" w:rsidP="00EB4908">
            <w:pPr>
              <w:pStyle w:val="Caption"/>
              <w:keepNext/>
              <w:rPr>
                <w:color w:val="auto"/>
                <w:sz w:val="22"/>
                <w:szCs w:val="22"/>
              </w:rPr>
            </w:pPr>
            <w:bookmarkStart w:id="158" w:name="_Ref256586465"/>
            <w:bookmarkStart w:id="159" w:name="_Toc264227137"/>
            <w:r w:rsidRPr="007777E2">
              <w:rPr>
                <w:color w:val="auto"/>
                <w:sz w:val="22"/>
                <w:szCs w:val="22"/>
              </w:rPr>
              <w:t xml:space="preserve">Table </w:t>
            </w:r>
            <w:r w:rsidR="006B40AE" w:rsidRPr="007777E2">
              <w:rPr>
                <w:color w:val="auto"/>
                <w:sz w:val="22"/>
                <w:szCs w:val="22"/>
              </w:rPr>
              <w:fldChar w:fldCharType="begin"/>
            </w:r>
            <w:r w:rsidRPr="007777E2">
              <w:rPr>
                <w:color w:val="auto"/>
                <w:sz w:val="22"/>
                <w:szCs w:val="22"/>
              </w:rPr>
              <w:instrText xml:space="preserve"> SEQ Table \* ARABIC </w:instrText>
            </w:r>
            <w:r w:rsidR="006B40AE" w:rsidRPr="007777E2">
              <w:rPr>
                <w:color w:val="auto"/>
                <w:sz w:val="22"/>
                <w:szCs w:val="22"/>
              </w:rPr>
              <w:fldChar w:fldCharType="separate"/>
            </w:r>
            <w:r w:rsidR="009E2C86">
              <w:rPr>
                <w:noProof/>
                <w:color w:val="auto"/>
                <w:sz w:val="22"/>
                <w:szCs w:val="22"/>
              </w:rPr>
              <w:t>10</w:t>
            </w:r>
            <w:r w:rsidR="006B40AE" w:rsidRPr="007777E2">
              <w:rPr>
                <w:color w:val="auto"/>
                <w:sz w:val="22"/>
                <w:szCs w:val="22"/>
              </w:rPr>
              <w:fldChar w:fldCharType="end"/>
            </w:r>
            <w:bookmarkEnd w:id="158"/>
            <w:r w:rsidRPr="007777E2">
              <w:rPr>
                <w:color w:val="auto"/>
                <w:sz w:val="22"/>
                <w:szCs w:val="22"/>
              </w:rPr>
              <w:t>. Organization</w:t>
            </w:r>
            <w:r w:rsidR="00E7299C">
              <w:rPr>
                <w:color w:val="auto"/>
                <w:sz w:val="22"/>
                <w:szCs w:val="22"/>
              </w:rPr>
              <w:t>al</w:t>
            </w:r>
            <w:r w:rsidRPr="007777E2">
              <w:rPr>
                <w:color w:val="auto"/>
                <w:sz w:val="22"/>
                <w:szCs w:val="22"/>
              </w:rPr>
              <w:t xml:space="preserve"> Structure of the Road Sector</w:t>
            </w:r>
            <w:bookmarkEnd w:id="159"/>
          </w:p>
        </w:tc>
      </w:tr>
      <w:tr w:rsidR="00621857" w:rsidRPr="007777E2" w:rsidTr="00EB4908">
        <w:tc>
          <w:tcPr>
            <w:tcW w:w="1818" w:type="dxa"/>
            <w:shd w:val="clear" w:color="auto" w:fill="FFFFFF" w:themeFill="background1"/>
          </w:tcPr>
          <w:p w:rsidR="00621857" w:rsidRPr="007777E2" w:rsidRDefault="00621857" w:rsidP="00EB4908">
            <w:pPr>
              <w:pStyle w:val="ListParagraph"/>
              <w:autoSpaceDE w:val="0"/>
              <w:autoSpaceDN w:val="0"/>
              <w:adjustRightInd w:val="0"/>
              <w:ind w:left="0"/>
              <w:jc w:val="center"/>
              <w:rPr>
                <w:rFonts w:asciiTheme="minorHAnsi" w:hAnsiTheme="minorHAnsi"/>
                <w:b/>
                <w:color w:val="000000"/>
                <w:sz w:val="18"/>
                <w:szCs w:val="18"/>
              </w:rPr>
            </w:pPr>
            <w:r w:rsidRPr="007777E2">
              <w:rPr>
                <w:rFonts w:asciiTheme="minorHAnsi" w:hAnsiTheme="minorHAnsi"/>
                <w:b/>
                <w:color w:val="000000"/>
                <w:sz w:val="18"/>
                <w:szCs w:val="18"/>
              </w:rPr>
              <w:t>Organization</w:t>
            </w:r>
          </w:p>
        </w:tc>
        <w:tc>
          <w:tcPr>
            <w:tcW w:w="7758" w:type="dxa"/>
            <w:shd w:val="clear" w:color="auto" w:fill="FFFFFF" w:themeFill="background1"/>
          </w:tcPr>
          <w:p w:rsidR="00621857" w:rsidRPr="007777E2" w:rsidRDefault="00E7299C" w:rsidP="00E7299C">
            <w:pPr>
              <w:pStyle w:val="ListParagraph"/>
              <w:autoSpaceDE w:val="0"/>
              <w:autoSpaceDN w:val="0"/>
              <w:adjustRightInd w:val="0"/>
              <w:ind w:left="0"/>
              <w:jc w:val="center"/>
              <w:rPr>
                <w:rFonts w:asciiTheme="minorHAnsi" w:hAnsiTheme="minorHAnsi"/>
                <w:b/>
                <w:color w:val="000000"/>
                <w:sz w:val="18"/>
                <w:szCs w:val="18"/>
              </w:rPr>
            </w:pPr>
            <w:r>
              <w:rPr>
                <w:rFonts w:asciiTheme="minorHAnsi" w:hAnsiTheme="minorHAnsi"/>
                <w:b/>
                <w:color w:val="000000"/>
                <w:sz w:val="18"/>
                <w:szCs w:val="18"/>
              </w:rPr>
              <w:t>M</w:t>
            </w:r>
            <w:r w:rsidR="00621857" w:rsidRPr="007777E2">
              <w:rPr>
                <w:rFonts w:asciiTheme="minorHAnsi" w:hAnsiTheme="minorHAnsi"/>
                <w:b/>
                <w:color w:val="000000"/>
                <w:sz w:val="18"/>
                <w:szCs w:val="18"/>
              </w:rPr>
              <w:t>ission and activities</w:t>
            </w:r>
          </w:p>
        </w:tc>
      </w:tr>
      <w:tr w:rsidR="00621857" w:rsidRPr="007777E2" w:rsidTr="00EB4908">
        <w:tc>
          <w:tcPr>
            <w:tcW w:w="1818" w:type="dxa"/>
            <w:shd w:val="clear" w:color="auto" w:fill="FFFFFF" w:themeFill="background1"/>
          </w:tcPr>
          <w:p w:rsidR="00621857" w:rsidRPr="007777E2" w:rsidRDefault="00621857" w:rsidP="00EB4908">
            <w:pPr>
              <w:pStyle w:val="ListParagraph"/>
              <w:autoSpaceDE w:val="0"/>
              <w:autoSpaceDN w:val="0"/>
              <w:adjustRightInd w:val="0"/>
              <w:spacing w:after="0"/>
              <w:ind w:left="0"/>
              <w:rPr>
                <w:rFonts w:asciiTheme="minorHAnsi" w:hAnsiTheme="minorHAnsi"/>
                <w:color w:val="000000"/>
                <w:sz w:val="18"/>
                <w:szCs w:val="18"/>
              </w:rPr>
            </w:pPr>
            <w:proofErr w:type="spellStart"/>
            <w:r w:rsidRPr="007777E2">
              <w:rPr>
                <w:rFonts w:asciiTheme="minorHAnsi" w:hAnsiTheme="minorHAnsi"/>
                <w:b/>
                <w:i/>
                <w:color w:val="000000"/>
                <w:sz w:val="18"/>
                <w:szCs w:val="18"/>
              </w:rPr>
              <w:t>Belavtodor</w:t>
            </w:r>
            <w:proofErr w:type="spellEnd"/>
          </w:p>
        </w:tc>
        <w:tc>
          <w:tcPr>
            <w:tcW w:w="7758" w:type="dxa"/>
            <w:shd w:val="clear" w:color="auto" w:fill="FFFFFF" w:themeFill="background1"/>
          </w:tcPr>
          <w:p w:rsidR="00621857" w:rsidRPr="007777E2" w:rsidRDefault="00621857" w:rsidP="00EB4908">
            <w:pPr>
              <w:pStyle w:val="ListParagraph"/>
              <w:autoSpaceDE w:val="0"/>
              <w:autoSpaceDN w:val="0"/>
              <w:adjustRightInd w:val="0"/>
              <w:spacing w:after="0"/>
              <w:ind w:left="0"/>
              <w:jc w:val="both"/>
              <w:rPr>
                <w:rFonts w:asciiTheme="minorHAnsi" w:hAnsiTheme="minorHAnsi"/>
                <w:color w:val="000000"/>
                <w:sz w:val="18"/>
                <w:szCs w:val="18"/>
              </w:rPr>
            </w:pPr>
            <w:r w:rsidRPr="007777E2">
              <w:rPr>
                <w:rFonts w:asciiTheme="minorHAnsi" w:hAnsiTheme="minorHAnsi"/>
                <w:color w:val="000000"/>
                <w:sz w:val="18"/>
                <w:szCs w:val="18"/>
              </w:rPr>
              <w:t xml:space="preserve">Central/national road managing entity with 51 </w:t>
            </w:r>
            <w:r>
              <w:rPr>
                <w:rFonts w:asciiTheme="minorHAnsi" w:hAnsiTheme="minorHAnsi"/>
                <w:color w:val="000000"/>
                <w:sz w:val="18"/>
                <w:szCs w:val="18"/>
              </w:rPr>
              <w:t xml:space="preserve">managerial </w:t>
            </w:r>
            <w:r w:rsidRPr="007777E2">
              <w:rPr>
                <w:rFonts w:asciiTheme="minorHAnsi" w:hAnsiTheme="minorHAnsi"/>
                <w:color w:val="000000"/>
                <w:sz w:val="18"/>
                <w:szCs w:val="18"/>
              </w:rPr>
              <w:t>staff, in charge of the general strategy and supervision of all activities.</w:t>
            </w:r>
          </w:p>
        </w:tc>
      </w:tr>
      <w:tr w:rsidR="00621857" w:rsidRPr="007777E2" w:rsidTr="00EB4908">
        <w:tc>
          <w:tcPr>
            <w:tcW w:w="1818" w:type="dxa"/>
            <w:shd w:val="clear" w:color="auto" w:fill="FFFFFF" w:themeFill="background1"/>
          </w:tcPr>
          <w:p w:rsidR="00621857" w:rsidRPr="007777E2" w:rsidRDefault="00621857" w:rsidP="00EB4908">
            <w:pPr>
              <w:pStyle w:val="ListParagraph"/>
              <w:autoSpaceDE w:val="0"/>
              <w:autoSpaceDN w:val="0"/>
              <w:adjustRightInd w:val="0"/>
              <w:spacing w:after="0"/>
              <w:ind w:left="0"/>
              <w:rPr>
                <w:rFonts w:asciiTheme="minorHAnsi" w:hAnsiTheme="minorHAnsi"/>
                <w:color w:val="000000"/>
                <w:sz w:val="18"/>
                <w:szCs w:val="18"/>
              </w:rPr>
            </w:pPr>
            <w:r w:rsidRPr="007777E2">
              <w:rPr>
                <w:rFonts w:asciiTheme="minorHAnsi" w:hAnsiTheme="minorHAnsi"/>
                <w:b/>
                <w:i/>
                <w:color w:val="000000"/>
                <w:sz w:val="18"/>
                <w:szCs w:val="18"/>
              </w:rPr>
              <w:t>Oblast Executive Committees</w:t>
            </w:r>
          </w:p>
        </w:tc>
        <w:tc>
          <w:tcPr>
            <w:tcW w:w="7758" w:type="dxa"/>
            <w:shd w:val="clear" w:color="auto" w:fill="FFFFFF" w:themeFill="background1"/>
          </w:tcPr>
          <w:p w:rsidR="00621857" w:rsidRPr="007777E2" w:rsidRDefault="00621857" w:rsidP="0083586F">
            <w:pPr>
              <w:autoSpaceDE w:val="0"/>
              <w:autoSpaceDN w:val="0"/>
              <w:adjustRightInd w:val="0"/>
              <w:jc w:val="both"/>
              <w:rPr>
                <w:rFonts w:asciiTheme="minorHAnsi" w:hAnsiTheme="minorHAnsi"/>
                <w:b/>
                <w:color w:val="000000"/>
                <w:sz w:val="18"/>
                <w:szCs w:val="18"/>
              </w:rPr>
            </w:pPr>
            <w:r>
              <w:rPr>
                <w:rFonts w:asciiTheme="minorHAnsi" w:hAnsiTheme="minorHAnsi"/>
                <w:color w:val="000000"/>
                <w:sz w:val="18"/>
                <w:szCs w:val="18"/>
              </w:rPr>
              <w:t>Regional</w:t>
            </w:r>
            <w:r w:rsidRPr="007777E2">
              <w:rPr>
                <w:rFonts w:asciiTheme="minorHAnsi" w:hAnsiTheme="minorHAnsi"/>
                <w:color w:val="000000"/>
                <w:sz w:val="18"/>
                <w:szCs w:val="18"/>
              </w:rPr>
              <w:t xml:space="preserve"> entit</w:t>
            </w:r>
            <w:r w:rsidR="0083586F">
              <w:rPr>
                <w:rFonts w:asciiTheme="minorHAnsi" w:hAnsiTheme="minorHAnsi"/>
                <w:color w:val="000000"/>
                <w:sz w:val="18"/>
                <w:szCs w:val="18"/>
              </w:rPr>
              <w:t>ies</w:t>
            </w:r>
            <w:r w:rsidRPr="007777E2">
              <w:rPr>
                <w:rFonts w:asciiTheme="minorHAnsi" w:hAnsiTheme="minorHAnsi"/>
                <w:color w:val="000000"/>
                <w:sz w:val="18"/>
                <w:szCs w:val="18"/>
              </w:rPr>
              <w:t xml:space="preserve"> </w:t>
            </w:r>
            <w:r>
              <w:rPr>
                <w:rFonts w:asciiTheme="minorHAnsi" w:hAnsiTheme="minorHAnsi"/>
                <w:color w:val="000000"/>
                <w:sz w:val="18"/>
                <w:szCs w:val="18"/>
              </w:rPr>
              <w:t xml:space="preserve">(one per oblast) </w:t>
            </w:r>
            <w:r w:rsidRPr="007777E2">
              <w:rPr>
                <w:rFonts w:asciiTheme="minorHAnsi" w:hAnsiTheme="minorHAnsi"/>
                <w:color w:val="000000"/>
                <w:sz w:val="18"/>
                <w:szCs w:val="18"/>
              </w:rPr>
              <w:t>in charge of the strategy for local roads</w:t>
            </w:r>
            <w:r w:rsidR="0083586F">
              <w:rPr>
                <w:rFonts w:asciiTheme="minorHAnsi" w:hAnsiTheme="minorHAnsi"/>
                <w:color w:val="000000"/>
                <w:sz w:val="18"/>
                <w:szCs w:val="18"/>
              </w:rPr>
              <w:t xml:space="preserve">. Since the dissolution </w:t>
            </w:r>
            <w:r w:rsidRPr="007777E2">
              <w:rPr>
                <w:rFonts w:asciiTheme="minorHAnsi" w:hAnsiTheme="minorHAnsi"/>
                <w:color w:val="000000"/>
                <w:sz w:val="18"/>
                <w:szCs w:val="18"/>
              </w:rPr>
              <w:t>of the Road Fund</w:t>
            </w:r>
            <w:r w:rsidR="0083586F">
              <w:rPr>
                <w:rFonts w:asciiTheme="minorHAnsi" w:hAnsiTheme="minorHAnsi"/>
                <w:color w:val="000000"/>
                <w:sz w:val="18"/>
                <w:szCs w:val="18"/>
              </w:rPr>
              <w:t xml:space="preserve"> in 2010</w:t>
            </w:r>
            <w:r w:rsidRPr="007777E2">
              <w:rPr>
                <w:rFonts w:asciiTheme="minorHAnsi" w:hAnsiTheme="minorHAnsi"/>
                <w:color w:val="000000"/>
                <w:sz w:val="18"/>
                <w:szCs w:val="18"/>
              </w:rPr>
              <w:t xml:space="preserve"> </w:t>
            </w:r>
            <w:r>
              <w:rPr>
                <w:rFonts w:asciiTheme="minorHAnsi" w:hAnsiTheme="minorHAnsi"/>
                <w:color w:val="000000"/>
                <w:sz w:val="18"/>
                <w:szCs w:val="18"/>
              </w:rPr>
              <w:t xml:space="preserve">they </w:t>
            </w:r>
            <w:r w:rsidRPr="007777E2">
              <w:rPr>
                <w:rFonts w:asciiTheme="minorHAnsi" w:hAnsiTheme="minorHAnsi"/>
                <w:color w:val="000000"/>
                <w:sz w:val="18"/>
                <w:szCs w:val="18"/>
              </w:rPr>
              <w:t xml:space="preserve">now supervise the collection of revenues at the local level and </w:t>
            </w:r>
            <w:r w:rsidR="0083586F">
              <w:rPr>
                <w:rFonts w:asciiTheme="minorHAnsi" w:hAnsiTheme="minorHAnsi"/>
                <w:color w:val="000000"/>
                <w:sz w:val="18"/>
                <w:szCs w:val="18"/>
              </w:rPr>
              <w:t xml:space="preserve">monitor </w:t>
            </w:r>
            <w:r w:rsidRPr="007777E2">
              <w:rPr>
                <w:rFonts w:asciiTheme="minorHAnsi" w:hAnsiTheme="minorHAnsi"/>
                <w:color w:val="000000"/>
                <w:sz w:val="18"/>
                <w:szCs w:val="18"/>
              </w:rPr>
              <w:t xml:space="preserve">current annual expenditures. Since 2010, </w:t>
            </w:r>
            <w:r>
              <w:rPr>
                <w:rFonts w:asciiTheme="minorHAnsi" w:hAnsiTheme="minorHAnsi"/>
                <w:color w:val="000000"/>
                <w:sz w:val="18"/>
                <w:szCs w:val="18"/>
              </w:rPr>
              <w:t>they</w:t>
            </w:r>
            <w:r w:rsidRPr="007777E2">
              <w:rPr>
                <w:rFonts w:asciiTheme="minorHAnsi" w:hAnsiTheme="minorHAnsi"/>
                <w:color w:val="000000"/>
                <w:sz w:val="18"/>
                <w:szCs w:val="18"/>
              </w:rPr>
              <w:t xml:space="preserve"> approve the budget for local roads</w:t>
            </w:r>
            <w:r>
              <w:rPr>
                <w:rFonts w:asciiTheme="minorHAnsi" w:hAnsiTheme="minorHAnsi"/>
                <w:color w:val="000000"/>
                <w:sz w:val="18"/>
                <w:szCs w:val="18"/>
              </w:rPr>
              <w:t xml:space="preserve"> at the regional (oblast) level</w:t>
            </w:r>
            <w:r w:rsidRPr="007777E2">
              <w:rPr>
                <w:rFonts w:asciiTheme="minorHAnsi" w:hAnsiTheme="minorHAnsi"/>
                <w:color w:val="000000"/>
                <w:sz w:val="18"/>
                <w:szCs w:val="18"/>
              </w:rPr>
              <w:t>.</w:t>
            </w:r>
          </w:p>
        </w:tc>
      </w:tr>
      <w:tr w:rsidR="00621857" w:rsidRPr="007777E2" w:rsidTr="00EB4908">
        <w:tc>
          <w:tcPr>
            <w:tcW w:w="1818" w:type="dxa"/>
            <w:shd w:val="clear" w:color="auto" w:fill="FFFFFF" w:themeFill="background1"/>
          </w:tcPr>
          <w:p w:rsidR="00621857" w:rsidRPr="007777E2" w:rsidRDefault="00621857" w:rsidP="00EB4908">
            <w:pPr>
              <w:pStyle w:val="ListParagraph"/>
              <w:autoSpaceDE w:val="0"/>
              <w:autoSpaceDN w:val="0"/>
              <w:adjustRightInd w:val="0"/>
              <w:spacing w:after="0"/>
              <w:ind w:left="0"/>
              <w:rPr>
                <w:rFonts w:asciiTheme="minorHAnsi" w:hAnsiTheme="minorHAnsi"/>
                <w:color w:val="000000"/>
                <w:sz w:val="18"/>
                <w:szCs w:val="18"/>
              </w:rPr>
            </w:pPr>
            <w:proofErr w:type="spellStart"/>
            <w:r w:rsidRPr="007777E2">
              <w:rPr>
                <w:rFonts w:asciiTheme="minorHAnsi" w:hAnsiTheme="minorHAnsi"/>
                <w:b/>
                <w:i/>
                <w:color w:val="000000"/>
                <w:sz w:val="18"/>
                <w:szCs w:val="18"/>
              </w:rPr>
              <w:t>BeldorCenter</w:t>
            </w:r>
            <w:proofErr w:type="spellEnd"/>
          </w:p>
        </w:tc>
        <w:tc>
          <w:tcPr>
            <w:tcW w:w="7758" w:type="dxa"/>
            <w:shd w:val="clear" w:color="auto" w:fill="FFFFFF" w:themeFill="background1"/>
          </w:tcPr>
          <w:p w:rsidR="00621857" w:rsidRPr="007777E2" w:rsidRDefault="00621857" w:rsidP="000C1E81">
            <w:pPr>
              <w:pStyle w:val="ListParagraph"/>
              <w:autoSpaceDE w:val="0"/>
              <w:autoSpaceDN w:val="0"/>
              <w:adjustRightInd w:val="0"/>
              <w:spacing w:after="0"/>
              <w:ind w:left="0"/>
              <w:jc w:val="both"/>
              <w:rPr>
                <w:rFonts w:asciiTheme="minorHAnsi" w:hAnsiTheme="minorHAnsi"/>
                <w:color w:val="000000"/>
                <w:sz w:val="18"/>
                <w:szCs w:val="18"/>
              </w:rPr>
            </w:pPr>
            <w:r w:rsidRPr="007777E2">
              <w:rPr>
                <w:rFonts w:asciiTheme="minorHAnsi" w:hAnsiTheme="minorHAnsi"/>
                <w:color w:val="000000"/>
                <w:sz w:val="18"/>
                <w:szCs w:val="18"/>
              </w:rPr>
              <w:t xml:space="preserve">Technical organization in charge of </w:t>
            </w:r>
            <w:r w:rsidR="0083586F">
              <w:rPr>
                <w:rFonts w:asciiTheme="minorHAnsi" w:hAnsiTheme="minorHAnsi"/>
                <w:color w:val="000000"/>
                <w:sz w:val="18"/>
                <w:szCs w:val="18"/>
              </w:rPr>
              <w:t xml:space="preserve">setting </w:t>
            </w:r>
            <w:r w:rsidRPr="007777E2">
              <w:rPr>
                <w:rFonts w:asciiTheme="minorHAnsi" w:hAnsiTheme="minorHAnsi"/>
                <w:color w:val="000000"/>
                <w:sz w:val="18"/>
                <w:szCs w:val="18"/>
              </w:rPr>
              <w:t xml:space="preserve">standards, norms, and policies </w:t>
            </w:r>
            <w:r>
              <w:rPr>
                <w:rFonts w:asciiTheme="minorHAnsi" w:hAnsiTheme="minorHAnsi"/>
                <w:color w:val="000000"/>
                <w:sz w:val="18"/>
                <w:szCs w:val="18"/>
              </w:rPr>
              <w:t>in the road sector</w:t>
            </w:r>
            <w:r w:rsidR="000C1E81">
              <w:rPr>
                <w:rFonts w:asciiTheme="minorHAnsi" w:hAnsiTheme="minorHAnsi"/>
                <w:color w:val="000000"/>
                <w:sz w:val="18"/>
                <w:szCs w:val="18"/>
              </w:rPr>
              <w:t xml:space="preserve"> and </w:t>
            </w:r>
            <w:r w:rsidRPr="007777E2">
              <w:rPr>
                <w:rFonts w:asciiTheme="minorHAnsi" w:hAnsiTheme="minorHAnsi"/>
                <w:color w:val="000000"/>
                <w:sz w:val="18"/>
                <w:szCs w:val="18"/>
              </w:rPr>
              <w:t>provid</w:t>
            </w:r>
            <w:r w:rsidR="0083586F">
              <w:rPr>
                <w:rFonts w:asciiTheme="minorHAnsi" w:hAnsiTheme="minorHAnsi"/>
                <w:color w:val="000000"/>
                <w:sz w:val="18"/>
                <w:szCs w:val="18"/>
              </w:rPr>
              <w:t>ing</w:t>
            </w:r>
            <w:r w:rsidRPr="007777E2">
              <w:rPr>
                <w:rFonts w:asciiTheme="minorHAnsi" w:hAnsiTheme="minorHAnsi"/>
                <w:color w:val="000000"/>
                <w:sz w:val="18"/>
                <w:szCs w:val="18"/>
              </w:rPr>
              <w:t xml:space="preserve"> technical and financial expertise to the road administration entities</w:t>
            </w:r>
            <w:r w:rsidR="000C1E81">
              <w:rPr>
                <w:rFonts w:asciiTheme="minorHAnsi" w:hAnsiTheme="minorHAnsi"/>
                <w:color w:val="000000"/>
                <w:sz w:val="18"/>
                <w:szCs w:val="18"/>
              </w:rPr>
              <w:t xml:space="preserve"> (290 staff)</w:t>
            </w:r>
            <w:r w:rsidRPr="007777E2">
              <w:rPr>
                <w:rFonts w:asciiTheme="minorHAnsi" w:hAnsiTheme="minorHAnsi"/>
                <w:color w:val="000000"/>
                <w:sz w:val="18"/>
                <w:szCs w:val="18"/>
              </w:rPr>
              <w:t>.</w:t>
            </w:r>
          </w:p>
        </w:tc>
      </w:tr>
      <w:tr w:rsidR="00621857" w:rsidRPr="007777E2" w:rsidTr="00EB4908">
        <w:tc>
          <w:tcPr>
            <w:tcW w:w="1818" w:type="dxa"/>
            <w:shd w:val="clear" w:color="auto" w:fill="FFFFFF" w:themeFill="background1"/>
          </w:tcPr>
          <w:p w:rsidR="00621857" w:rsidRPr="007777E2" w:rsidRDefault="00621857" w:rsidP="00EB4908">
            <w:pPr>
              <w:pStyle w:val="ListParagraph"/>
              <w:autoSpaceDE w:val="0"/>
              <w:autoSpaceDN w:val="0"/>
              <w:adjustRightInd w:val="0"/>
              <w:spacing w:after="0"/>
              <w:ind w:left="0"/>
              <w:rPr>
                <w:rFonts w:asciiTheme="minorHAnsi" w:hAnsiTheme="minorHAnsi"/>
                <w:color w:val="000000"/>
                <w:sz w:val="18"/>
                <w:szCs w:val="18"/>
              </w:rPr>
            </w:pPr>
            <w:proofErr w:type="spellStart"/>
            <w:r w:rsidRPr="007777E2">
              <w:rPr>
                <w:rFonts w:asciiTheme="minorHAnsi" w:hAnsiTheme="minorHAnsi"/>
                <w:b/>
                <w:i/>
                <w:color w:val="000000"/>
                <w:sz w:val="18"/>
                <w:szCs w:val="18"/>
              </w:rPr>
              <w:t>Belgiprodor</w:t>
            </w:r>
            <w:proofErr w:type="spellEnd"/>
          </w:p>
        </w:tc>
        <w:tc>
          <w:tcPr>
            <w:tcW w:w="7758" w:type="dxa"/>
            <w:shd w:val="clear" w:color="auto" w:fill="FFFFFF" w:themeFill="background1"/>
          </w:tcPr>
          <w:p w:rsidR="00621857" w:rsidRPr="007777E2" w:rsidRDefault="000C1E81" w:rsidP="000C1E81">
            <w:pPr>
              <w:pStyle w:val="ListParagraph"/>
              <w:autoSpaceDE w:val="0"/>
              <w:autoSpaceDN w:val="0"/>
              <w:adjustRightInd w:val="0"/>
              <w:spacing w:after="0"/>
              <w:ind w:left="0"/>
              <w:jc w:val="both"/>
              <w:rPr>
                <w:rFonts w:asciiTheme="minorHAnsi" w:hAnsiTheme="minorHAnsi"/>
                <w:color w:val="000000"/>
                <w:sz w:val="18"/>
                <w:szCs w:val="18"/>
              </w:rPr>
            </w:pPr>
            <w:r>
              <w:rPr>
                <w:rFonts w:asciiTheme="minorHAnsi" w:hAnsiTheme="minorHAnsi"/>
                <w:color w:val="000000"/>
                <w:sz w:val="18"/>
                <w:szCs w:val="18"/>
              </w:rPr>
              <w:t>L</w:t>
            </w:r>
            <w:r w:rsidR="00621857" w:rsidRPr="007777E2">
              <w:rPr>
                <w:rFonts w:asciiTheme="minorHAnsi" w:hAnsiTheme="minorHAnsi"/>
                <w:color w:val="000000"/>
                <w:sz w:val="18"/>
                <w:szCs w:val="18"/>
              </w:rPr>
              <w:t>ead</w:t>
            </w:r>
            <w:r>
              <w:rPr>
                <w:rFonts w:asciiTheme="minorHAnsi" w:hAnsiTheme="minorHAnsi"/>
                <w:color w:val="000000"/>
                <w:sz w:val="18"/>
                <w:szCs w:val="18"/>
              </w:rPr>
              <w:t>ing</w:t>
            </w:r>
            <w:r w:rsidR="00621857" w:rsidRPr="007777E2">
              <w:rPr>
                <w:rFonts w:asciiTheme="minorHAnsi" w:hAnsiTheme="minorHAnsi"/>
                <w:color w:val="000000"/>
                <w:sz w:val="18"/>
                <w:szCs w:val="18"/>
              </w:rPr>
              <w:t xml:space="preserve"> design institute for road and airport infrastructure</w:t>
            </w:r>
            <w:r>
              <w:rPr>
                <w:rFonts w:asciiTheme="minorHAnsi" w:hAnsiTheme="minorHAnsi"/>
                <w:color w:val="000000"/>
                <w:sz w:val="18"/>
                <w:szCs w:val="18"/>
              </w:rPr>
              <w:t xml:space="preserve"> </w:t>
            </w:r>
            <w:r w:rsidR="00621857" w:rsidRPr="007777E2">
              <w:rPr>
                <w:rFonts w:asciiTheme="minorHAnsi" w:hAnsiTheme="minorHAnsi"/>
                <w:color w:val="000000"/>
                <w:sz w:val="18"/>
                <w:szCs w:val="18"/>
              </w:rPr>
              <w:t>in Belarus for the past 78 years</w:t>
            </w:r>
            <w:r>
              <w:rPr>
                <w:rFonts w:asciiTheme="minorHAnsi" w:hAnsiTheme="minorHAnsi"/>
                <w:color w:val="000000"/>
                <w:sz w:val="18"/>
                <w:szCs w:val="18"/>
              </w:rPr>
              <w:t>. C</w:t>
            </w:r>
            <w:r w:rsidRPr="007777E2">
              <w:rPr>
                <w:rFonts w:asciiTheme="minorHAnsi" w:hAnsiTheme="minorHAnsi"/>
                <w:color w:val="000000"/>
                <w:sz w:val="18"/>
                <w:szCs w:val="18"/>
              </w:rPr>
              <w:t>ertified ISO 9001:2008</w:t>
            </w:r>
            <w:r>
              <w:rPr>
                <w:rFonts w:asciiTheme="minorHAnsi" w:hAnsiTheme="minorHAnsi"/>
                <w:color w:val="000000"/>
                <w:sz w:val="18"/>
                <w:szCs w:val="18"/>
              </w:rPr>
              <w:t>. (</w:t>
            </w:r>
            <w:r w:rsidRPr="007777E2">
              <w:rPr>
                <w:rFonts w:asciiTheme="minorHAnsi" w:hAnsiTheme="minorHAnsi"/>
                <w:color w:val="000000"/>
                <w:sz w:val="18"/>
                <w:szCs w:val="18"/>
              </w:rPr>
              <w:t>450 staff</w:t>
            </w:r>
            <w:r>
              <w:rPr>
                <w:rFonts w:asciiTheme="minorHAnsi" w:hAnsiTheme="minorHAnsi"/>
                <w:color w:val="000000"/>
                <w:sz w:val="18"/>
                <w:szCs w:val="18"/>
              </w:rPr>
              <w:t>)</w:t>
            </w:r>
          </w:p>
        </w:tc>
      </w:tr>
      <w:tr w:rsidR="00621857" w:rsidRPr="007777E2" w:rsidTr="00EB4908">
        <w:tc>
          <w:tcPr>
            <w:tcW w:w="1818" w:type="dxa"/>
            <w:shd w:val="clear" w:color="auto" w:fill="FFFFFF" w:themeFill="background1"/>
          </w:tcPr>
          <w:p w:rsidR="00621857" w:rsidRPr="007777E2" w:rsidRDefault="00621857" w:rsidP="00EB4908">
            <w:pPr>
              <w:pStyle w:val="ListParagraph"/>
              <w:autoSpaceDE w:val="0"/>
              <w:autoSpaceDN w:val="0"/>
              <w:adjustRightInd w:val="0"/>
              <w:spacing w:after="0"/>
              <w:ind w:left="0"/>
              <w:rPr>
                <w:rFonts w:asciiTheme="minorHAnsi" w:hAnsiTheme="minorHAnsi"/>
                <w:color w:val="000000"/>
                <w:sz w:val="18"/>
                <w:szCs w:val="18"/>
              </w:rPr>
            </w:pPr>
            <w:proofErr w:type="spellStart"/>
            <w:r w:rsidRPr="007777E2">
              <w:rPr>
                <w:rFonts w:asciiTheme="minorHAnsi" w:hAnsiTheme="minorHAnsi"/>
                <w:b/>
                <w:i/>
                <w:color w:val="000000"/>
                <w:sz w:val="18"/>
                <w:szCs w:val="18"/>
              </w:rPr>
              <w:t>Avtodor</w:t>
            </w:r>
            <w:proofErr w:type="spellEnd"/>
          </w:p>
        </w:tc>
        <w:tc>
          <w:tcPr>
            <w:tcW w:w="7758" w:type="dxa"/>
            <w:shd w:val="clear" w:color="auto" w:fill="FFFFFF" w:themeFill="background1"/>
          </w:tcPr>
          <w:p w:rsidR="00621857" w:rsidRPr="007777E2" w:rsidRDefault="00621857" w:rsidP="000C1E81">
            <w:pPr>
              <w:pStyle w:val="ListParagraph"/>
              <w:autoSpaceDE w:val="0"/>
              <w:autoSpaceDN w:val="0"/>
              <w:adjustRightInd w:val="0"/>
              <w:spacing w:after="0"/>
              <w:ind w:left="0"/>
              <w:jc w:val="both"/>
              <w:rPr>
                <w:rFonts w:asciiTheme="minorHAnsi" w:hAnsiTheme="minorHAnsi"/>
                <w:color w:val="000000"/>
                <w:sz w:val="18"/>
                <w:szCs w:val="18"/>
              </w:rPr>
            </w:pPr>
            <w:r w:rsidRPr="007777E2">
              <w:rPr>
                <w:rFonts w:asciiTheme="minorHAnsi" w:hAnsiTheme="minorHAnsi"/>
                <w:color w:val="000000"/>
                <w:sz w:val="18"/>
                <w:szCs w:val="18"/>
              </w:rPr>
              <w:t xml:space="preserve">One in each of the six regions, </w:t>
            </w:r>
            <w:r>
              <w:rPr>
                <w:rFonts w:asciiTheme="minorHAnsi" w:hAnsiTheme="minorHAnsi"/>
                <w:color w:val="000000"/>
                <w:sz w:val="18"/>
                <w:szCs w:val="18"/>
              </w:rPr>
              <w:t>managing and operating</w:t>
            </w:r>
            <w:r w:rsidRPr="007777E2">
              <w:rPr>
                <w:rFonts w:asciiTheme="minorHAnsi" w:hAnsiTheme="minorHAnsi"/>
                <w:color w:val="000000"/>
                <w:sz w:val="18"/>
                <w:szCs w:val="18"/>
              </w:rPr>
              <w:t xml:space="preserve"> </w:t>
            </w:r>
            <w:r w:rsidR="0083586F">
              <w:rPr>
                <w:rFonts w:asciiTheme="minorHAnsi" w:hAnsiTheme="minorHAnsi"/>
                <w:color w:val="000000"/>
                <w:sz w:val="18"/>
                <w:szCs w:val="18"/>
              </w:rPr>
              <w:t xml:space="preserve">Republican </w:t>
            </w:r>
            <w:r w:rsidRPr="007777E2">
              <w:rPr>
                <w:rFonts w:asciiTheme="minorHAnsi" w:hAnsiTheme="minorHAnsi"/>
                <w:color w:val="000000"/>
                <w:sz w:val="18"/>
                <w:szCs w:val="18"/>
              </w:rPr>
              <w:t>roads</w:t>
            </w:r>
            <w:bookmarkStart w:id="160" w:name="OCRUncertain1553"/>
            <w:r w:rsidR="0083586F">
              <w:rPr>
                <w:rFonts w:asciiTheme="minorHAnsi" w:hAnsiTheme="minorHAnsi"/>
                <w:color w:val="000000"/>
                <w:sz w:val="18"/>
                <w:szCs w:val="18"/>
              </w:rPr>
              <w:t>. E</w:t>
            </w:r>
            <w:bookmarkEnd w:id="160"/>
            <w:r w:rsidRPr="007777E2">
              <w:rPr>
                <w:rFonts w:asciiTheme="minorHAnsi" w:hAnsiTheme="minorHAnsi"/>
                <w:color w:val="000000"/>
                <w:sz w:val="18"/>
                <w:szCs w:val="18"/>
              </w:rPr>
              <w:t xml:space="preserve">ach </w:t>
            </w:r>
            <w:proofErr w:type="spellStart"/>
            <w:r w:rsidRPr="000C1E81">
              <w:rPr>
                <w:rFonts w:asciiTheme="minorHAnsi" w:hAnsiTheme="minorHAnsi"/>
                <w:color w:val="000000"/>
                <w:sz w:val="18"/>
                <w:szCs w:val="18"/>
              </w:rPr>
              <w:t>Avtodor</w:t>
            </w:r>
            <w:proofErr w:type="spellEnd"/>
            <w:r w:rsidR="0004363C" w:rsidRPr="0004363C">
              <w:rPr>
                <w:rFonts w:asciiTheme="minorHAnsi" w:hAnsiTheme="minorHAnsi"/>
                <w:color w:val="000000"/>
                <w:sz w:val="18"/>
                <w:szCs w:val="18"/>
              </w:rPr>
              <w:t xml:space="preserve"> has</w:t>
            </w:r>
            <w:r w:rsidRPr="000C1E81">
              <w:rPr>
                <w:rFonts w:asciiTheme="minorHAnsi" w:hAnsiTheme="minorHAnsi"/>
                <w:color w:val="000000"/>
                <w:sz w:val="18"/>
                <w:szCs w:val="18"/>
              </w:rPr>
              <w:t xml:space="preserve"> about</w:t>
            </w:r>
            <w:r w:rsidRPr="007777E2">
              <w:rPr>
                <w:rFonts w:asciiTheme="minorHAnsi" w:hAnsiTheme="minorHAnsi"/>
                <w:color w:val="000000"/>
                <w:sz w:val="18"/>
                <w:szCs w:val="18"/>
              </w:rPr>
              <w:t xml:space="preserve"> 1,100 staff on average and is in charge of about 2,000 to 3,800 km of the road network.</w:t>
            </w:r>
          </w:p>
        </w:tc>
      </w:tr>
      <w:tr w:rsidR="00621857" w:rsidRPr="007777E2" w:rsidTr="00EB4908">
        <w:tc>
          <w:tcPr>
            <w:tcW w:w="1818" w:type="dxa"/>
            <w:shd w:val="clear" w:color="auto" w:fill="FFFFFF" w:themeFill="background1"/>
          </w:tcPr>
          <w:p w:rsidR="00621857" w:rsidRPr="007777E2" w:rsidRDefault="00621857" w:rsidP="00EB4908">
            <w:pPr>
              <w:pStyle w:val="ListParagraph"/>
              <w:autoSpaceDE w:val="0"/>
              <w:autoSpaceDN w:val="0"/>
              <w:adjustRightInd w:val="0"/>
              <w:spacing w:after="0"/>
              <w:ind w:left="0"/>
              <w:rPr>
                <w:rFonts w:asciiTheme="minorHAnsi" w:hAnsiTheme="minorHAnsi"/>
                <w:color w:val="000000"/>
                <w:sz w:val="18"/>
                <w:szCs w:val="18"/>
              </w:rPr>
            </w:pPr>
            <w:proofErr w:type="spellStart"/>
            <w:r w:rsidRPr="007777E2">
              <w:rPr>
                <w:rFonts w:asciiTheme="minorHAnsi" w:hAnsiTheme="minorHAnsi"/>
                <w:b/>
                <w:i/>
                <w:color w:val="000000"/>
                <w:sz w:val="18"/>
                <w:szCs w:val="18"/>
              </w:rPr>
              <w:t>OblDorstroy</w:t>
            </w:r>
            <w:proofErr w:type="spellEnd"/>
          </w:p>
        </w:tc>
        <w:tc>
          <w:tcPr>
            <w:tcW w:w="7758" w:type="dxa"/>
            <w:shd w:val="clear" w:color="auto" w:fill="FFFFFF" w:themeFill="background1"/>
          </w:tcPr>
          <w:p w:rsidR="00621857" w:rsidRPr="007777E2" w:rsidRDefault="00621857" w:rsidP="000C1E81">
            <w:pPr>
              <w:pStyle w:val="ListParagraph"/>
              <w:autoSpaceDE w:val="0"/>
              <w:autoSpaceDN w:val="0"/>
              <w:adjustRightInd w:val="0"/>
              <w:spacing w:after="0"/>
              <w:ind w:left="0"/>
              <w:jc w:val="both"/>
              <w:rPr>
                <w:rFonts w:asciiTheme="minorHAnsi" w:hAnsiTheme="minorHAnsi"/>
                <w:color w:val="000000"/>
                <w:sz w:val="18"/>
                <w:szCs w:val="18"/>
              </w:rPr>
            </w:pPr>
            <w:r w:rsidRPr="007777E2">
              <w:rPr>
                <w:rFonts w:asciiTheme="minorHAnsi" w:hAnsiTheme="minorHAnsi"/>
                <w:color w:val="000000"/>
                <w:sz w:val="18"/>
                <w:szCs w:val="18"/>
              </w:rPr>
              <w:t xml:space="preserve">One in each of the six regions, </w:t>
            </w:r>
            <w:r>
              <w:rPr>
                <w:rFonts w:asciiTheme="minorHAnsi" w:hAnsiTheme="minorHAnsi"/>
                <w:color w:val="000000"/>
                <w:sz w:val="18"/>
                <w:szCs w:val="18"/>
              </w:rPr>
              <w:t>managing and operating</w:t>
            </w:r>
            <w:r w:rsidRPr="007777E2">
              <w:rPr>
                <w:rFonts w:asciiTheme="minorHAnsi" w:hAnsiTheme="minorHAnsi"/>
                <w:color w:val="000000"/>
                <w:sz w:val="18"/>
                <w:szCs w:val="18"/>
              </w:rPr>
              <w:t xml:space="preserve"> local roads. </w:t>
            </w:r>
            <w:r w:rsidR="0083586F">
              <w:rPr>
                <w:rFonts w:asciiTheme="minorHAnsi" w:hAnsiTheme="minorHAnsi"/>
                <w:color w:val="000000"/>
                <w:sz w:val="18"/>
                <w:szCs w:val="18"/>
              </w:rPr>
              <w:t xml:space="preserve">Since the dissolution of </w:t>
            </w:r>
            <w:r w:rsidRPr="007777E2">
              <w:rPr>
                <w:rFonts w:asciiTheme="minorHAnsi" w:hAnsiTheme="minorHAnsi"/>
                <w:color w:val="000000"/>
                <w:sz w:val="18"/>
                <w:szCs w:val="18"/>
              </w:rPr>
              <w:t xml:space="preserve">the Road Fund, they now collect local taxes </w:t>
            </w:r>
            <w:r w:rsidR="000C1E81">
              <w:rPr>
                <w:rFonts w:asciiTheme="minorHAnsi" w:hAnsiTheme="minorHAnsi"/>
                <w:color w:val="000000"/>
                <w:sz w:val="18"/>
                <w:szCs w:val="18"/>
              </w:rPr>
              <w:t xml:space="preserve">for </w:t>
            </w:r>
            <w:r w:rsidRPr="007777E2">
              <w:rPr>
                <w:rFonts w:asciiTheme="minorHAnsi" w:hAnsiTheme="minorHAnsi"/>
                <w:color w:val="000000"/>
                <w:sz w:val="18"/>
                <w:szCs w:val="18"/>
              </w:rPr>
              <w:t>the</w:t>
            </w:r>
            <w:r w:rsidR="000C1E81">
              <w:rPr>
                <w:rFonts w:asciiTheme="minorHAnsi" w:hAnsiTheme="minorHAnsi"/>
                <w:color w:val="000000"/>
                <w:sz w:val="18"/>
                <w:szCs w:val="18"/>
              </w:rPr>
              <w:t xml:space="preserve"> </w:t>
            </w:r>
            <w:r w:rsidRPr="007777E2">
              <w:rPr>
                <w:rFonts w:asciiTheme="minorHAnsi" w:hAnsiTheme="minorHAnsi"/>
                <w:color w:val="000000"/>
                <w:sz w:val="18"/>
                <w:szCs w:val="18"/>
              </w:rPr>
              <w:t>local budget</w:t>
            </w:r>
            <w:r w:rsidR="000C1E81">
              <w:rPr>
                <w:rFonts w:asciiTheme="minorHAnsi" w:hAnsiTheme="minorHAnsi"/>
                <w:color w:val="000000"/>
                <w:sz w:val="18"/>
                <w:szCs w:val="18"/>
              </w:rPr>
              <w:t>s</w:t>
            </w:r>
            <w:r w:rsidRPr="007777E2">
              <w:rPr>
                <w:rFonts w:asciiTheme="minorHAnsi" w:hAnsiTheme="minorHAnsi"/>
                <w:color w:val="000000"/>
                <w:sz w:val="18"/>
                <w:szCs w:val="18"/>
              </w:rPr>
              <w:t xml:space="preserve">. Each </w:t>
            </w:r>
            <w:proofErr w:type="spellStart"/>
            <w:r w:rsidRPr="0083586F">
              <w:rPr>
                <w:rFonts w:asciiTheme="minorHAnsi" w:hAnsiTheme="minorHAnsi"/>
                <w:color w:val="000000"/>
                <w:sz w:val="18"/>
                <w:szCs w:val="18"/>
              </w:rPr>
              <w:t>OblDorstroy</w:t>
            </w:r>
            <w:proofErr w:type="spellEnd"/>
            <w:r w:rsidR="0004363C" w:rsidRPr="0004363C">
              <w:rPr>
                <w:rFonts w:asciiTheme="minorHAnsi" w:hAnsiTheme="minorHAnsi"/>
                <w:color w:val="000000"/>
                <w:sz w:val="18"/>
                <w:szCs w:val="18"/>
              </w:rPr>
              <w:t xml:space="preserve"> has</w:t>
            </w:r>
            <w:r w:rsidRPr="0083586F">
              <w:rPr>
                <w:rFonts w:asciiTheme="minorHAnsi" w:hAnsiTheme="minorHAnsi"/>
                <w:color w:val="000000"/>
                <w:sz w:val="18"/>
                <w:szCs w:val="18"/>
              </w:rPr>
              <w:t xml:space="preserve"> about</w:t>
            </w:r>
            <w:r w:rsidRPr="007777E2">
              <w:rPr>
                <w:rFonts w:asciiTheme="minorHAnsi" w:hAnsiTheme="minorHAnsi"/>
                <w:color w:val="000000"/>
                <w:sz w:val="18"/>
                <w:szCs w:val="18"/>
              </w:rPr>
              <w:t xml:space="preserve"> 2,600 staff and is in charge of about 8,000 to 15,000 km of roads. </w:t>
            </w:r>
          </w:p>
        </w:tc>
      </w:tr>
    </w:tbl>
    <w:p w:rsidR="00EB1402" w:rsidRPr="00EB1402" w:rsidRDefault="00EB1402" w:rsidP="00EB1402">
      <w:pPr>
        <w:pStyle w:val="ListParagraph"/>
        <w:tabs>
          <w:tab w:val="left" w:pos="0"/>
        </w:tabs>
        <w:spacing w:after="240" w:line="240" w:lineRule="auto"/>
        <w:ind w:left="0"/>
        <w:jc w:val="both"/>
        <w:rPr>
          <w:rFonts w:ascii="Times New Roman" w:hAnsi="Times New Roman"/>
          <w:bCs/>
          <w:color w:val="000000"/>
          <w:sz w:val="24"/>
          <w:szCs w:val="24"/>
        </w:rPr>
      </w:pPr>
    </w:p>
    <w:p w:rsidR="00EB1402" w:rsidRPr="00EB1402" w:rsidRDefault="00621857" w:rsidP="00BE35AE">
      <w:pPr>
        <w:pStyle w:val="ListParagraph"/>
        <w:numPr>
          <w:ilvl w:val="0"/>
          <w:numId w:val="9"/>
        </w:numPr>
        <w:tabs>
          <w:tab w:val="clear" w:pos="720"/>
          <w:tab w:val="left" w:pos="0"/>
        </w:tabs>
        <w:spacing w:after="240" w:line="240" w:lineRule="auto"/>
        <w:ind w:left="0" w:firstLine="0"/>
        <w:contextualSpacing w:val="0"/>
        <w:jc w:val="both"/>
        <w:rPr>
          <w:rFonts w:ascii="Times New Roman" w:hAnsi="Times New Roman"/>
          <w:bCs/>
          <w:color w:val="000000"/>
          <w:sz w:val="24"/>
          <w:szCs w:val="24"/>
        </w:rPr>
      </w:pPr>
      <w:r w:rsidRPr="00EB1402">
        <w:rPr>
          <w:rFonts w:ascii="Times New Roman" w:hAnsi="Times New Roman"/>
          <w:b/>
          <w:bCs/>
          <w:sz w:val="24"/>
          <w:szCs w:val="24"/>
        </w:rPr>
        <w:t xml:space="preserve">It remains to be seen if the recent transfer of the </w:t>
      </w:r>
      <w:r w:rsidR="0083586F">
        <w:rPr>
          <w:rFonts w:ascii="Times New Roman" w:hAnsi="Times New Roman"/>
          <w:b/>
          <w:bCs/>
          <w:sz w:val="24"/>
          <w:szCs w:val="24"/>
        </w:rPr>
        <w:t>L</w:t>
      </w:r>
      <w:r w:rsidRPr="00EB1402">
        <w:rPr>
          <w:rFonts w:ascii="Times New Roman" w:hAnsi="Times New Roman"/>
          <w:b/>
          <w:bCs/>
          <w:sz w:val="24"/>
          <w:szCs w:val="24"/>
        </w:rPr>
        <w:t>ocal road network to local authorities in early 2010 will trigger similar deficiencies observed in other countries in the region</w:t>
      </w:r>
      <w:r w:rsidRPr="00EB1402">
        <w:rPr>
          <w:rFonts w:ascii="Times New Roman" w:hAnsi="Times New Roman"/>
          <w:bCs/>
          <w:sz w:val="24"/>
          <w:szCs w:val="24"/>
        </w:rPr>
        <w:t xml:space="preserve">. These deficiencies </w:t>
      </w:r>
      <w:r w:rsidR="0083586F">
        <w:rPr>
          <w:rFonts w:ascii="Times New Roman" w:hAnsi="Times New Roman"/>
          <w:bCs/>
          <w:sz w:val="24"/>
          <w:szCs w:val="24"/>
        </w:rPr>
        <w:t xml:space="preserve">that </w:t>
      </w:r>
      <w:r w:rsidR="000C1E81">
        <w:rPr>
          <w:rFonts w:ascii="Times New Roman" w:hAnsi="Times New Roman"/>
          <w:bCs/>
          <w:sz w:val="24"/>
          <w:szCs w:val="24"/>
        </w:rPr>
        <w:t xml:space="preserve">have been </w:t>
      </w:r>
      <w:r w:rsidRPr="00EB1402">
        <w:rPr>
          <w:rFonts w:ascii="Times New Roman" w:hAnsi="Times New Roman"/>
          <w:bCs/>
          <w:sz w:val="24"/>
          <w:szCs w:val="24"/>
        </w:rPr>
        <w:t>observed elsewhere include (</w:t>
      </w:r>
      <w:proofErr w:type="spellStart"/>
      <w:r w:rsidRPr="00EB1402">
        <w:rPr>
          <w:rFonts w:ascii="Times New Roman" w:hAnsi="Times New Roman"/>
          <w:bCs/>
          <w:sz w:val="24"/>
          <w:szCs w:val="24"/>
        </w:rPr>
        <w:t>i</w:t>
      </w:r>
      <w:proofErr w:type="spellEnd"/>
      <w:r w:rsidRPr="00EB1402">
        <w:rPr>
          <w:rFonts w:ascii="Times New Roman" w:hAnsi="Times New Roman"/>
          <w:bCs/>
          <w:sz w:val="24"/>
          <w:szCs w:val="24"/>
        </w:rPr>
        <w:t xml:space="preserve">) </w:t>
      </w:r>
      <w:r w:rsidR="0083586F">
        <w:rPr>
          <w:rFonts w:ascii="Times New Roman" w:hAnsi="Times New Roman"/>
          <w:bCs/>
          <w:sz w:val="24"/>
          <w:szCs w:val="24"/>
        </w:rPr>
        <w:t xml:space="preserve">unclear definition </w:t>
      </w:r>
      <w:r w:rsidRPr="00EB1402">
        <w:rPr>
          <w:rFonts w:ascii="Times New Roman" w:hAnsi="Times New Roman"/>
          <w:bCs/>
          <w:sz w:val="24"/>
          <w:szCs w:val="24"/>
        </w:rPr>
        <w:t xml:space="preserve">of responsibilities; (ii) lack of </w:t>
      </w:r>
      <w:r w:rsidR="0083586F">
        <w:rPr>
          <w:rFonts w:ascii="Times New Roman" w:hAnsi="Times New Roman"/>
          <w:bCs/>
          <w:sz w:val="24"/>
          <w:szCs w:val="24"/>
        </w:rPr>
        <w:t xml:space="preserve">technical and managerial </w:t>
      </w:r>
      <w:r w:rsidRPr="00EB1402">
        <w:rPr>
          <w:rFonts w:ascii="Times New Roman" w:hAnsi="Times New Roman"/>
          <w:bCs/>
          <w:sz w:val="24"/>
          <w:szCs w:val="24"/>
        </w:rPr>
        <w:t xml:space="preserve">capacity; (iii) lack of appropriate design standards for local roads; and most importantly </w:t>
      </w:r>
      <w:proofErr w:type="gramStart"/>
      <w:r w:rsidRPr="00EB1402">
        <w:rPr>
          <w:rFonts w:ascii="Times New Roman" w:hAnsi="Times New Roman"/>
          <w:bCs/>
          <w:sz w:val="24"/>
          <w:szCs w:val="24"/>
        </w:rPr>
        <w:t>(iv) insufficient</w:t>
      </w:r>
      <w:proofErr w:type="gramEnd"/>
      <w:r w:rsidRPr="00EB1402">
        <w:rPr>
          <w:rFonts w:ascii="Times New Roman" w:hAnsi="Times New Roman"/>
          <w:bCs/>
          <w:sz w:val="24"/>
          <w:szCs w:val="24"/>
        </w:rPr>
        <w:t xml:space="preserve"> financing. </w:t>
      </w:r>
      <w:r w:rsidR="000C1E81">
        <w:rPr>
          <w:rFonts w:ascii="Times New Roman" w:hAnsi="Times New Roman"/>
          <w:bCs/>
          <w:sz w:val="24"/>
          <w:szCs w:val="24"/>
        </w:rPr>
        <w:t xml:space="preserve"> </w:t>
      </w:r>
      <w:r w:rsidRPr="00EB1402">
        <w:rPr>
          <w:rFonts w:ascii="Times New Roman" w:hAnsi="Times New Roman"/>
          <w:bCs/>
          <w:sz w:val="24"/>
          <w:szCs w:val="24"/>
        </w:rPr>
        <w:t>In some countries, the length of the “active” local road network is simply not known, and the usage of the assets is not monitored. Consequently, proper planning and prioritizing for interventions on local roads is often not done.</w:t>
      </w:r>
    </w:p>
    <w:p w:rsidR="00621857" w:rsidRPr="00EB1402" w:rsidRDefault="00621857" w:rsidP="00BE35AE">
      <w:pPr>
        <w:pStyle w:val="ListParagraph"/>
        <w:numPr>
          <w:ilvl w:val="0"/>
          <w:numId w:val="9"/>
        </w:numPr>
        <w:tabs>
          <w:tab w:val="clear" w:pos="720"/>
          <w:tab w:val="left" w:pos="0"/>
        </w:tabs>
        <w:spacing w:after="120" w:line="240" w:lineRule="auto"/>
        <w:ind w:left="0" w:firstLine="0"/>
        <w:contextualSpacing w:val="0"/>
        <w:jc w:val="both"/>
        <w:rPr>
          <w:rFonts w:ascii="Times New Roman" w:hAnsi="Times New Roman"/>
          <w:bCs/>
          <w:color w:val="000000"/>
          <w:sz w:val="24"/>
          <w:szCs w:val="24"/>
        </w:rPr>
      </w:pPr>
      <w:r w:rsidRPr="00EB1402">
        <w:rPr>
          <w:rFonts w:ascii="Times New Roman" w:hAnsi="Times New Roman"/>
          <w:b/>
          <w:sz w:val="24"/>
          <w:szCs w:val="24"/>
        </w:rPr>
        <w:t>Belarus has adopted a detailed road classification system and has initiated general revisions of its technical norms and standards in line with European standards and directives</w:t>
      </w:r>
      <w:r w:rsidRPr="00EB1402">
        <w:rPr>
          <w:rFonts w:ascii="Times New Roman" w:hAnsi="Times New Roman"/>
          <w:sz w:val="24"/>
          <w:szCs w:val="24"/>
        </w:rPr>
        <w:t xml:space="preserve">. Belarus uses a detailed </w:t>
      </w:r>
      <w:r w:rsidR="0083586F">
        <w:rPr>
          <w:rFonts w:ascii="Times New Roman" w:hAnsi="Times New Roman"/>
          <w:sz w:val="24"/>
          <w:szCs w:val="24"/>
        </w:rPr>
        <w:t xml:space="preserve">set </w:t>
      </w:r>
      <w:r w:rsidRPr="00EB1402">
        <w:rPr>
          <w:rFonts w:ascii="Times New Roman" w:hAnsi="Times New Roman"/>
          <w:sz w:val="24"/>
          <w:szCs w:val="24"/>
        </w:rPr>
        <w:t xml:space="preserve">of norms and standards elaborated originally on the basis of the Russian </w:t>
      </w:r>
      <w:proofErr w:type="spellStart"/>
      <w:r w:rsidRPr="00EB1402">
        <w:rPr>
          <w:rFonts w:ascii="Times New Roman" w:hAnsi="Times New Roman"/>
          <w:sz w:val="24"/>
          <w:szCs w:val="24"/>
        </w:rPr>
        <w:t>SNiP</w:t>
      </w:r>
      <w:proofErr w:type="spellEnd"/>
      <w:r w:rsidRPr="00EB1402">
        <w:rPr>
          <w:rFonts w:ascii="Times New Roman" w:hAnsi="Times New Roman"/>
          <w:sz w:val="24"/>
          <w:szCs w:val="24"/>
        </w:rPr>
        <w:t xml:space="preserve"> and GOST norms</w:t>
      </w:r>
      <w:r w:rsidR="000C1E81">
        <w:rPr>
          <w:rFonts w:ascii="Times New Roman" w:hAnsi="Times New Roman"/>
          <w:sz w:val="24"/>
          <w:szCs w:val="24"/>
        </w:rPr>
        <w:t xml:space="preserve">; these have been </w:t>
      </w:r>
      <w:r w:rsidRPr="00EB1402">
        <w:rPr>
          <w:rFonts w:ascii="Times New Roman" w:hAnsi="Times New Roman"/>
          <w:sz w:val="24"/>
          <w:szCs w:val="24"/>
        </w:rPr>
        <w:t>continuously adapted to match Belarusian road and climate conditions and the local environment.</w:t>
      </w:r>
      <w:r w:rsidRPr="00EB1402">
        <w:rPr>
          <w:rFonts w:ascii="Times New Roman" w:hAnsi="Times New Roman"/>
          <w:bCs/>
          <w:sz w:val="24"/>
          <w:szCs w:val="24"/>
        </w:rPr>
        <w:t xml:space="preserve"> </w:t>
      </w:r>
      <w:r w:rsidRPr="00EB1402">
        <w:rPr>
          <w:rFonts w:ascii="Times New Roman" w:hAnsi="Times New Roman"/>
          <w:sz w:val="24"/>
          <w:szCs w:val="24"/>
        </w:rPr>
        <w:t xml:space="preserve">The inclusion of EUROCODES, EUROCODES-equivalent, and Harmonized Standards on different areas (e.g. 11.5 ton axle load, road safety standards, etc.) has </w:t>
      </w:r>
      <w:r w:rsidR="000C1E81">
        <w:rPr>
          <w:rFonts w:ascii="Times New Roman" w:hAnsi="Times New Roman"/>
          <w:sz w:val="24"/>
          <w:szCs w:val="24"/>
        </w:rPr>
        <w:t xml:space="preserve">also </w:t>
      </w:r>
      <w:r w:rsidRPr="00EB1402">
        <w:rPr>
          <w:rFonts w:ascii="Times New Roman" w:hAnsi="Times New Roman"/>
          <w:sz w:val="24"/>
          <w:szCs w:val="24"/>
        </w:rPr>
        <w:t xml:space="preserve">shaped the </w:t>
      </w:r>
      <w:r w:rsidR="0083586F">
        <w:rPr>
          <w:rFonts w:ascii="Times New Roman" w:hAnsi="Times New Roman"/>
          <w:sz w:val="24"/>
          <w:szCs w:val="24"/>
        </w:rPr>
        <w:t xml:space="preserve">continuing </w:t>
      </w:r>
      <w:r w:rsidR="00F83AAC">
        <w:rPr>
          <w:rFonts w:ascii="Times New Roman" w:hAnsi="Times New Roman"/>
          <w:sz w:val="24"/>
          <w:szCs w:val="24"/>
        </w:rPr>
        <w:t xml:space="preserve">process of </w:t>
      </w:r>
      <w:r w:rsidR="0083586F">
        <w:rPr>
          <w:rFonts w:ascii="Times New Roman" w:hAnsi="Times New Roman"/>
          <w:sz w:val="24"/>
          <w:szCs w:val="24"/>
        </w:rPr>
        <w:t xml:space="preserve">updating </w:t>
      </w:r>
      <w:r w:rsidR="00F83AAC">
        <w:rPr>
          <w:rFonts w:ascii="Times New Roman" w:hAnsi="Times New Roman"/>
          <w:sz w:val="24"/>
          <w:szCs w:val="24"/>
        </w:rPr>
        <w:t xml:space="preserve">the Belarusian </w:t>
      </w:r>
      <w:r w:rsidR="0083586F">
        <w:rPr>
          <w:rFonts w:ascii="Times New Roman" w:hAnsi="Times New Roman"/>
          <w:sz w:val="24"/>
          <w:szCs w:val="24"/>
        </w:rPr>
        <w:t>road standards</w:t>
      </w:r>
      <w:r w:rsidR="00F83AAC">
        <w:rPr>
          <w:rFonts w:ascii="Times New Roman" w:hAnsi="Times New Roman"/>
          <w:sz w:val="24"/>
          <w:szCs w:val="24"/>
        </w:rPr>
        <w:t>.</w:t>
      </w:r>
      <w:r w:rsidRPr="00EB1402">
        <w:rPr>
          <w:rFonts w:ascii="Times New Roman" w:hAnsi="Times New Roman"/>
          <w:sz w:val="24"/>
          <w:szCs w:val="24"/>
        </w:rPr>
        <w:t xml:space="preserve"> </w:t>
      </w:r>
    </w:p>
    <w:p w:rsidR="00EB1402" w:rsidRPr="007777E2" w:rsidRDefault="00EB1402" w:rsidP="00EB1402">
      <w:pPr>
        <w:pStyle w:val="Heading3"/>
        <w:spacing w:after="240"/>
        <w:rPr>
          <w:rFonts w:ascii="Times New Roman" w:hAnsi="Times New Roman" w:cs="Times New Roman"/>
          <w:sz w:val="24"/>
          <w:szCs w:val="24"/>
        </w:rPr>
      </w:pPr>
      <w:bookmarkStart w:id="161" w:name="_Toc282029949"/>
      <w:r w:rsidRPr="007777E2">
        <w:rPr>
          <w:rFonts w:ascii="Times New Roman" w:hAnsi="Times New Roman" w:cs="Times New Roman"/>
          <w:sz w:val="24"/>
          <w:szCs w:val="24"/>
        </w:rPr>
        <w:t xml:space="preserve">Sources of </w:t>
      </w:r>
      <w:r>
        <w:rPr>
          <w:rFonts w:ascii="Times New Roman" w:hAnsi="Times New Roman" w:cs="Times New Roman"/>
          <w:sz w:val="24"/>
          <w:szCs w:val="24"/>
        </w:rPr>
        <w:t>Finance</w:t>
      </w:r>
      <w:r w:rsidRPr="007777E2">
        <w:rPr>
          <w:rFonts w:ascii="Times New Roman" w:hAnsi="Times New Roman" w:cs="Times New Roman"/>
          <w:sz w:val="24"/>
          <w:szCs w:val="24"/>
        </w:rPr>
        <w:t xml:space="preserve"> and </w:t>
      </w:r>
      <w:r>
        <w:rPr>
          <w:rFonts w:ascii="Times New Roman" w:hAnsi="Times New Roman" w:cs="Times New Roman"/>
          <w:sz w:val="24"/>
          <w:szCs w:val="24"/>
        </w:rPr>
        <w:t>Road Sector</w:t>
      </w:r>
      <w:r w:rsidRPr="007777E2">
        <w:rPr>
          <w:rFonts w:ascii="Times New Roman" w:hAnsi="Times New Roman" w:cs="Times New Roman"/>
          <w:sz w:val="24"/>
          <w:szCs w:val="24"/>
        </w:rPr>
        <w:t xml:space="preserve"> Spending</w:t>
      </w:r>
      <w:bookmarkEnd w:id="161"/>
    </w:p>
    <w:p w:rsidR="00EB1402" w:rsidRPr="00EB1402" w:rsidRDefault="008046F3" w:rsidP="00BE35AE">
      <w:pPr>
        <w:pStyle w:val="ListParagraph"/>
        <w:numPr>
          <w:ilvl w:val="0"/>
          <w:numId w:val="9"/>
        </w:numPr>
        <w:tabs>
          <w:tab w:val="clear" w:pos="720"/>
          <w:tab w:val="left" w:pos="0"/>
        </w:tabs>
        <w:spacing w:after="120" w:line="240" w:lineRule="auto"/>
        <w:ind w:left="0" w:firstLine="0"/>
        <w:contextualSpacing w:val="0"/>
        <w:jc w:val="both"/>
        <w:rPr>
          <w:rFonts w:ascii="Times New Roman" w:hAnsi="Times New Roman"/>
          <w:bCs/>
          <w:color w:val="000000"/>
          <w:sz w:val="24"/>
          <w:szCs w:val="24"/>
        </w:rPr>
      </w:pPr>
      <w:r w:rsidRPr="00EB1402">
        <w:rPr>
          <w:rFonts w:ascii="Times New Roman" w:hAnsi="Times New Roman"/>
          <w:b/>
          <w:sz w:val="24"/>
          <w:szCs w:val="24"/>
        </w:rPr>
        <w:t xml:space="preserve">As in other sectors of the Belarusian economy, the public budget funds most </w:t>
      </w:r>
      <w:r w:rsidR="00F83AAC">
        <w:rPr>
          <w:rFonts w:ascii="Times New Roman" w:hAnsi="Times New Roman"/>
          <w:b/>
          <w:sz w:val="24"/>
          <w:szCs w:val="24"/>
        </w:rPr>
        <w:t xml:space="preserve">of the </w:t>
      </w:r>
      <w:r w:rsidRPr="00EB1402">
        <w:rPr>
          <w:rFonts w:ascii="Times New Roman" w:hAnsi="Times New Roman"/>
          <w:b/>
          <w:sz w:val="24"/>
          <w:szCs w:val="24"/>
        </w:rPr>
        <w:t>public spending in the transport sector (with the exception of railways).</w:t>
      </w:r>
      <w:r w:rsidRPr="00EB1402">
        <w:rPr>
          <w:rFonts w:ascii="Times New Roman" w:hAnsi="Times New Roman"/>
          <w:sz w:val="24"/>
          <w:szCs w:val="24"/>
        </w:rPr>
        <w:t xml:space="preserve"> In the period between 2005 and 2009, Belarus </w:t>
      </w:r>
      <w:r w:rsidR="00F83AAC">
        <w:rPr>
          <w:rFonts w:ascii="Times New Roman" w:hAnsi="Times New Roman"/>
          <w:sz w:val="24"/>
          <w:szCs w:val="24"/>
        </w:rPr>
        <w:t xml:space="preserve">dedicated </w:t>
      </w:r>
      <w:r w:rsidRPr="00EB1402">
        <w:rPr>
          <w:rFonts w:ascii="Times New Roman" w:hAnsi="Times New Roman"/>
          <w:sz w:val="24"/>
          <w:szCs w:val="24"/>
        </w:rPr>
        <w:t xml:space="preserve">between 4 and 6 percent of total annual </w:t>
      </w:r>
      <w:r w:rsidR="00F83AAC">
        <w:rPr>
          <w:rFonts w:ascii="Times New Roman" w:hAnsi="Times New Roman"/>
          <w:sz w:val="24"/>
          <w:szCs w:val="24"/>
        </w:rPr>
        <w:t xml:space="preserve">public </w:t>
      </w:r>
      <w:r w:rsidRPr="00EB1402">
        <w:rPr>
          <w:rFonts w:ascii="Times New Roman" w:hAnsi="Times New Roman"/>
          <w:sz w:val="24"/>
          <w:szCs w:val="24"/>
        </w:rPr>
        <w:lastRenderedPageBreak/>
        <w:t>expenditures to build, operate, and maintain transport infrastructure. Most of these expenditures were for road</w:t>
      </w:r>
      <w:r w:rsidR="000C1E81">
        <w:rPr>
          <w:rFonts w:ascii="Times New Roman" w:hAnsi="Times New Roman"/>
          <w:sz w:val="24"/>
          <w:szCs w:val="24"/>
        </w:rPr>
        <w:t>s</w:t>
      </w:r>
      <w:r w:rsidRPr="00EB1402">
        <w:rPr>
          <w:rFonts w:ascii="Times New Roman" w:hAnsi="Times New Roman"/>
          <w:sz w:val="24"/>
          <w:szCs w:val="24"/>
        </w:rPr>
        <w:t xml:space="preserve">, representing about 65 percent in 2009; down from 80 percent in 2006. Between 2005 and 2009, overall transport infrastructure expenditures as </w:t>
      </w:r>
      <w:r w:rsidR="00F83AAC">
        <w:rPr>
          <w:rFonts w:ascii="Times New Roman" w:hAnsi="Times New Roman"/>
          <w:sz w:val="24"/>
          <w:szCs w:val="24"/>
        </w:rPr>
        <w:t xml:space="preserve">a </w:t>
      </w:r>
      <w:r w:rsidRPr="00EB1402">
        <w:rPr>
          <w:rFonts w:ascii="Times New Roman" w:hAnsi="Times New Roman"/>
          <w:sz w:val="24"/>
          <w:szCs w:val="24"/>
        </w:rPr>
        <w:t xml:space="preserve">percentage of GDP have fallen from 3 percent to less than 2 percent. For 2010, planned expenditures represent about 1.6 percent of GDP which is lower than the average spending by EU countries and in the other CIS countries. </w:t>
      </w:r>
    </w:p>
    <w:p w:rsidR="008046F3" w:rsidRPr="00EB1402" w:rsidRDefault="008046F3" w:rsidP="00BE35AE">
      <w:pPr>
        <w:pStyle w:val="ListParagraph"/>
        <w:numPr>
          <w:ilvl w:val="0"/>
          <w:numId w:val="9"/>
        </w:numPr>
        <w:tabs>
          <w:tab w:val="clear" w:pos="720"/>
          <w:tab w:val="left" w:pos="0"/>
        </w:tabs>
        <w:spacing w:after="120" w:line="240" w:lineRule="auto"/>
        <w:ind w:left="0" w:firstLine="0"/>
        <w:contextualSpacing w:val="0"/>
        <w:jc w:val="both"/>
        <w:rPr>
          <w:rFonts w:ascii="Times New Roman" w:hAnsi="Times New Roman"/>
          <w:bCs/>
          <w:color w:val="000000"/>
          <w:sz w:val="24"/>
          <w:szCs w:val="24"/>
        </w:rPr>
      </w:pPr>
      <w:r w:rsidRPr="00EB1402">
        <w:rPr>
          <w:rFonts w:ascii="Times New Roman" w:hAnsi="Times New Roman"/>
          <w:b/>
          <w:sz w:val="24"/>
          <w:szCs w:val="24"/>
        </w:rPr>
        <w:t>Over the period 2005-2009, Belarus earned more revenues from fuel taxes and road user charges (tariffs levied for the use of roads) than was actually spent on road maintenance and investment.</w:t>
      </w:r>
      <w:r w:rsidRPr="00EB1402">
        <w:rPr>
          <w:rFonts w:ascii="Times New Roman" w:hAnsi="Times New Roman"/>
          <w:sz w:val="24"/>
          <w:szCs w:val="24"/>
        </w:rPr>
        <w:t xml:space="preserve"> As shown in </w:t>
      </w:r>
      <w:fldSimple w:instr=" REF _Ref257276262 \h  \* MERGEFORMAT ">
        <w:r w:rsidR="00E85C5F" w:rsidRPr="00E85C5F">
          <w:rPr>
            <w:rFonts w:ascii="Times New Roman" w:hAnsi="Times New Roman"/>
            <w:sz w:val="24"/>
            <w:szCs w:val="24"/>
          </w:rPr>
          <w:t>Figure 23</w:t>
        </w:r>
      </w:fldSimple>
      <w:r w:rsidRPr="00EB1402">
        <w:rPr>
          <w:rFonts w:ascii="Times New Roman" w:hAnsi="Times New Roman"/>
          <w:sz w:val="24"/>
          <w:szCs w:val="24"/>
        </w:rPr>
        <w:t>, in recent years taxes on road users</w:t>
      </w:r>
      <w:r w:rsidR="00EA1755">
        <w:rPr>
          <w:rStyle w:val="FootnoteReference"/>
        </w:rPr>
        <w:footnoteReference w:id="22"/>
      </w:r>
      <w:r w:rsidR="00EA1755">
        <w:rPr>
          <w:rFonts w:ascii="Times New Roman" w:hAnsi="Times New Roman"/>
          <w:sz w:val="24"/>
          <w:szCs w:val="24"/>
        </w:rPr>
        <w:t xml:space="preserve"> </w:t>
      </w:r>
      <w:r w:rsidRPr="00EB1402">
        <w:rPr>
          <w:rFonts w:ascii="Times New Roman" w:hAnsi="Times New Roman"/>
          <w:sz w:val="24"/>
          <w:szCs w:val="24"/>
        </w:rPr>
        <w:t xml:space="preserve"> and fuel accounted for over 90 percent of revenues from the sector. </w:t>
      </w:r>
      <w:r w:rsidR="00F83AAC">
        <w:rPr>
          <w:rFonts w:ascii="Times New Roman" w:hAnsi="Times New Roman"/>
          <w:sz w:val="24"/>
          <w:szCs w:val="24"/>
        </w:rPr>
        <w:t xml:space="preserve"> </w:t>
      </w:r>
      <w:r w:rsidRPr="00EB1402">
        <w:rPr>
          <w:rFonts w:ascii="Times New Roman" w:hAnsi="Times New Roman"/>
          <w:sz w:val="24"/>
          <w:szCs w:val="24"/>
        </w:rPr>
        <w:t xml:space="preserve">Revenues from road tolls, vehicle purchase taxes and other road user charges were </w:t>
      </w:r>
      <w:r w:rsidR="00F83AAC">
        <w:rPr>
          <w:rFonts w:ascii="Times New Roman" w:hAnsi="Times New Roman"/>
          <w:sz w:val="24"/>
          <w:szCs w:val="24"/>
        </w:rPr>
        <w:t>small in comparison</w:t>
      </w:r>
      <w:r w:rsidRPr="00EB1402">
        <w:rPr>
          <w:rFonts w:ascii="Times New Roman" w:hAnsi="Times New Roman"/>
          <w:sz w:val="24"/>
          <w:szCs w:val="24"/>
        </w:rPr>
        <w:t xml:space="preserve">. </w:t>
      </w:r>
      <w:r w:rsidR="00F83AAC">
        <w:rPr>
          <w:rFonts w:ascii="Times New Roman" w:hAnsi="Times New Roman"/>
          <w:sz w:val="24"/>
          <w:szCs w:val="24"/>
        </w:rPr>
        <w:t xml:space="preserve">A part of the </w:t>
      </w:r>
      <w:r w:rsidRPr="00EB1402">
        <w:rPr>
          <w:rFonts w:ascii="Times New Roman" w:hAnsi="Times New Roman"/>
          <w:sz w:val="24"/>
          <w:szCs w:val="24"/>
        </w:rPr>
        <w:t xml:space="preserve">revenues collected from road user taxes </w:t>
      </w:r>
      <w:r w:rsidR="00EA1755">
        <w:rPr>
          <w:rFonts w:ascii="Times New Roman" w:hAnsi="Times New Roman"/>
          <w:sz w:val="24"/>
          <w:szCs w:val="24"/>
        </w:rPr>
        <w:t xml:space="preserve">and a part of the </w:t>
      </w:r>
      <w:r w:rsidR="00F83AAC">
        <w:rPr>
          <w:rFonts w:ascii="Times New Roman" w:hAnsi="Times New Roman"/>
          <w:sz w:val="24"/>
          <w:szCs w:val="24"/>
        </w:rPr>
        <w:t xml:space="preserve">fuel excise tax </w:t>
      </w:r>
      <w:r w:rsidRPr="00EB1402">
        <w:rPr>
          <w:rFonts w:ascii="Times New Roman" w:hAnsi="Times New Roman"/>
          <w:sz w:val="24"/>
          <w:szCs w:val="24"/>
        </w:rPr>
        <w:t xml:space="preserve">were transferred into the National Road Fund (NRF). Over the period 2005-2007, about 60 to 70 percent of all road sector revenues were allocated </w:t>
      </w:r>
      <w:r w:rsidR="00EA1755">
        <w:rPr>
          <w:rFonts w:ascii="Times New Roman" w:hAnsi="Times New Roman"/>
          <w:sz w:val="24"/>
          <w:szCs w:val="24"/>
        </w:rPr>
        <w:t xml:space="preserve">to the NRF and used for road infrastructure. </w:t>
      </w:r>
      <w:r w:rsidRPr="00EB1402">
        <w:rPr>
          <w:rFonts w:ascii="Times New Roman" w:hAnsi="Times New Roman"/>
          <w:sz w:val="24"/>
          <w:szCs w:val="24"/>
        </w:rPr>
        <w:t>The remainder was used for other general purposes by the Government. As of 2008, revenue collection by the NRF ended</w:t>
      </w:r>
      <w:r w:rsidR="00F83AAC">
        <w:rPr>
          <w:rFonts w:ascii="Times New Roman" w:hAnsi="Times New Roman"/>
          <w:sz w:val="24"/>
          <w:szCs w:val="24"/>
        </w:rPr>
        <w:t xml:space="preserve"> and </w:t>
      </w:r>
      <w:r w:rsidRPr="00EB1402">
        <w:rPr>
          <w:rFonts w:ascii="Times New Roman" w:hAnsi="Times New Roman"/>
          <w:sz w:val="24"/>
          <w:szCs w:val="24"/>
        </w:rPr>
        <w:t>road sector funding reverted to the general Government budget. As new budget guidelines were adopted on January 1, 2010, the NRF and the associated tax on road users</w:t>
      </w:r>
      <w:r w:rsidR="00EA1755">
        <w:rPr>
          <w:rFonts w:ascii="Times New Roman" w:hAnsi="Times New Roman"/>
          <w:sz w:val="24"/>
          <w:szCs w:val="24"/>
        </w:rPr>
        <w:t xml:space="preserve"> (business turnover tax)</w:t>
      </w:r>
      <w:r w:rsidRPr="00EB1402">
        <w:rPr>
          <w:rFonts w:ascii="Times New Roman" w:hAnsi="Times New Roman"/>
          <w:sz w:val="24"/>
          <w:szCs w:val="24"/>
        </w:rPr>
        <w:t xml:space="preserve"> w</w:t>
      </w:r>
      <w:r w:rsidR="00F83AAC">
        <w:rPr>
          <w:rFonts w:ascii="Times New Roman" w:hAnsi="Times New Roman"/>
          <w:sz w:val="24"/>
          <w:szCs w:val="24"/>
        </w:rPr>
        <w:t>ere</w:t>
      </w:r>
      <w:r w:rsidRPr="00EB1402">
        <w:rPr>
          <w:rFonts w:ascii="Times New Roman" w:hAnsi="Times New Roman"/>
          <w:sz w:val="24"/>
          <w:szCs w:val="24"/>
        </w:rPr>
        <w:t xml:space="preserve"> formally abolished. The road sector thus lost its specific earmarked sources of f</w:t>
      </w:r>
      <w:r w:rsidR="00F83AAC">
        <w:rPr>
          <w:rFonts w:ascii="Times New Roman" w:hAnsi="Times New Roman"/>
          <w:sz w:val="24"/>
          <w:szCs w:val="24"/>
        </w:rPr>
        <w:t xml:space="preserve">unding </w:t>
      </w:r>
      <w:r w:rsidRPr="00EB1402">
        <w:rPr>
          <w:rFonts w:ascii="Times New Roman" w:hAnsi="Times New Roman"/>
          <w:sz w:val="24"/>
          <w:szCs w:val="24"/>
        </w:rPr>
        <w:t xml:space="preserve">and is now fully dependent on allocations from the general Government budget. </w:t>
      </w:r>
      <w:r w:rsidR="000D4FCF">
        <w:rPr>
          <w:rFonts w:ascii="Times New Roman" w:hAnsi="Times New Roman"/>
          <w:sz w:val="24"/>
          <w:szCs w:val="24"/>
        </w:rPr>
        <w:t xml:space="preserve"> Experience from other countries suggests that t</w:t>
      </w:r>
      <w:r w:rsidR="00F83AAC">
        <w:rPr>
          <w:rFonts w:ascii="Times New Roman" w:hAnsi="Times New Roman"/>
          <w:sz w:val="24"/>
          <w:szCs w:val="24"/>
        </w:rPr>
        <w:t xml:space="preserve">his </w:t>
      </w:r>
      <w:r w:rsidR="00EA1755">
        <w:rPr>
          <w:rFonts w:ascii="Times New Roman" w:hAnsi="Times New Roman"/>
          <w:sz w:val="24"/>
          <w:szCs w:val="24"/>
        </w:rPr>
        <w:t xml:space="preserve">could </w:t>
      </w:r>
      <w:r w:rsidR="00F83AAC">
        <w:rPr>
          <w:rFonts w:ascii="Times New Roman" w:hAnsi="Times New Roman"/>
          <w:sz w:val="24"/>
          <w:szCs w:val="24"/>
        </w:rPr>
        <w:t>entail the risk of a serious deterioration</w:t>
      </w:r>
      <w:r w:rsidR="000D4FCF">
        <w:rPr>
          <w:rFonts w:ascii="Times New Roman" w:hAnsi="Times New Roman"/>
          <w:sz w:val="24"/>
          <w:szCs w:val="24"/>
        </w:rPr>
        <w:t xml:space="preserve"> of road sector funding in the medium term. </w:t>
      </w:r>
      <w:r w:rsidR="00F83AAC">
        <w:rPr>
          <w:rFonts w:ascii="Times New Roman" w:hAnsi="Times New Roman"/>
          <w:sz w:val="24"/>
          <w:szCs w:val="24"/>
        </w:rPr>
        <w:t xml:space="preserve"> </w:t>
      </w:r>
    </w:p>
    <w:tbl>
      <w:tblPr>
        <w:tblStyle w:val="TableGrid"/>
        <w:tblpPr w:leftFromText="180" w:rightFromText="180" w:vertAnchor="text" w:horzAnchor="margin" w:tblpY="59"/>
        <w:tblW w:w="0" w:type="auto"/>
        <w:tblLook w:val="04A0"/>
      </w:tblPr>
      <w:tblGrid>
        <w:gridCol w:w="4937"/>
        <w:gridCol w:w="4639"/>
      </w:tblGrid>
      <w:tr w:rsidR="00ED7A9B" w:rsidRPr="007777E2" w:rsidTr="00AD4440">
        <w:tc>
          <w:tcPr>
            <w:tcW w:w="4937" w:type="dxa"/>
          </w:tcPr>
          <w:p w:rsidR="00ED7A9B" w:rsidRPr="007777E2" w:rsidRDefault="00ED7A9B" w:rsidP="00AD4440">
            <w:pPr>
              <w:pStyle w:val="Caption"/>
              <w:rPr>
                <w:color w:val="auto"/>
                <w:sz w:val="22"/>
                <w:szCs w:val="22"/>
              </w:rPr>
            </w:pPr>
            <w:bookmarkStart w:id="162" w:name="_Ref257276262"/>
            <w:bookmarkStart w:id="163" w:name="_Toc264226780"/>
            <w:r w:rsidRPr="007777E2">
              <w:rPr>
                <w:color w:val="auto"/>
                <w:sz w:val="22"/>
                <w:szCs w:val="22"/>
              </w:rPr>
              <w:t xml:space="preserve">Figure </w:t>
            </w:r>
            <w:r w:rsidR="006B40AE" w:rsidRPr="007777E2">
              <w:rPr>
                <w:color w:val="auto"/>
                <w:sz w:val="22"/>
                <w:szCs w:val="22"/>
              </w:rPr>
              <w:fldChar w:fldCharType="begin"/>
            </w:r>
            <w:r w:rsidRPr="007777E2">
              <w:rPr>
                <w:color w:val="auto"/>
                <w:sz w:val="22"/>
                <w:szCs w:val="22"/>
              </w:rPr>
              <w:instrText xml:space="preserve"> SEQ Figure \* ARABIC </w:instrText>
            </w:r>
            <w:r w:rsidR="006B40AE" w:rsidRPr="007777E2">
              <w:rPr>
                <w:color w:val="auto"/>
                <w:sz w:val="22"/>
                <w:szCs w:val="22"/>
              </w:rPr>
              <w:fldChar w:fldCharType="separate"/>
            </w:r>
            <w:r w:rsidR="009E2C86">
              <w:rPr>
                <w:noProof/>
                <w:color w:val="auto"/>
                <w:sz w:val="22"/>
                <w:szCs w:val="22"/>
              </w:rPr>
              <w:t>23</w:t>
            </w:r>
            <w:r w:rsidR="006B40AE" w:rsidRPr="007777E2">
              <w:rPr>
                <w:color w:val="auto"/>
                <w:sz w:val="22"/>
                <w:szCs w:val="22"/>
              </w:rPr>
              <w:fldChar w:fldCharType="end"/>
            </w:r>
            <w:bookmarkEnd w:id="162"/>
            <w:r w:rsidRPr="007777E2">
              <w:rPr>
                <w:color w:val="auto"/>
                <w:sz w:val="22"/>
                <w:szCs w:val="22"/>
              </w:rPr>
              <w:t>. Road Sector: Sources of Funds in 2005-20</w:t>
            </w:r>
            <w:r>
              <w:rPr>
                <w:color w:val="auto"/>
                <w:sz w:val="22"/>
                <w:szCs w:val="22"/>
              </w:rPr>
              <w:t>10</w:t>
            </w:r>
            <w:r w:rsidRPr="007777E2">
              <w:rPr>
                <w:color w:val="auto"/>
                <w:sz w:val="22"/>
                <w:szCs w:val="22"/>
              </w:rPr>
              <w:t xml:space="preserve"> </w:t>
            </w:r>
            <w:r>
              <w:rPr>
                <w:color w:val="auto"/>
                <w:sz w:val="22"/>
                <w:szCs w:val="22"/>
              </w:rPr>
              <w:t>(in billion BYR)</w:t>
            </w:r>
            <w:bookmarkEnd w:id="163"/>
          </w:p>
          <w:p w:rsidR="00ED7A9B" w:rsidRPr="007777E2" w:rsidRDefault="00ED7A9B" w:rsidP="00AD4440">
            <w:pPr>
              <w:autoSpaceDE w:val="0"/>
              <w:autoSpaceDN w:val="0"/>
              <w:adjustRightInd w:val="0"/>
              <w:spacing w:after="120"/>
              <w:jc w:val="both"/>
            </w:pPr>
            <w:r>
              <w:rPr>
                <w:noProof/>
              </w:rPr>
              <w:drawing>
                <wp:inline distT="0" distB="0" distL="0" distR="0">
                  <wp:extent cx="2933700" cy="2228850"/>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srcRect/>
                          <a:stretch>
                            <a:fillRect/>
                          </a:stretch>
                        </pic:blipFill>
                        <pic:spPr bwMode="auto">
                          <a:xfrm>
                            <a:off x="0" y="0"/>
                            <a:ext cx="2933700" cy="2228850"/>
                          </a:xfrm>
                          <a:prstGeom prst="rect">
                            <a:avLst/>
                          </a:prstGeom>
                          <a:noFill/>
                          <a:ln w="9525">
                            <a:noFill/>
                            <a:miter lim="800000"/>
                            <a:headEnd/>
                            <a:tailEnd/>
                          </a:ln>
                        </pic:spPr>
                      </pic:pic>
                    </a:graphicData>
                  </a:graphic>
                </wp:inline>
              </w:drawing>
            </w:r>
          </w:p>
          <w:p w:rsidR="00ED7A9B" w:rsidRPr="007777E2" w:rsidRDefault="00ED7A9B" w:rsidP="00AD4440">
            <w:pPr>
              <w:autoSpaceDE w:val="0"/>
              <w:autoSpaceDN w:val="0"/>
              <w:adjustRightInd w:val="0"/>
              <w:spacing w:after="120"/>
              <w:jc w:val="both"/>
              <w:rPr>
                <w:sz w:val="18"/>
                <w:szCs w:val="18"/>
              </w:rPr>
            </w:pPr>
            <w:r w:rsidRPr="007777E2">
              <w:rPr>
                <w:sz w:val="18"/>
                <w:szCs w:val="18"/>
              </w:rPr>
              <w:t xml:space="preserve">Source: </w:t>
            </w:r>
            <w:r w:rsidRPr="007777E2">
              <w:rPr>
                <w:iCs/>
                <w:color w:val="000000"/>
                <w:sz w:val="18"/>
                <w:szCs w:val="18"/>
              </w:rPr>
              <w:t xml:space="preserve">Data Reported by </w:t>
            </w:r>
            <w:r>
              <w:rPr>
                <w:iCs/>
                <w:color w:val="000000"/>
                <w:sz w:val="18"/>
                <w:szCs w:val="18"/>
              </w:rPr>
              <w:t>Ministry of Finance.</w:t>
            </w:r>
            <w:r w:rsidRPr="007777E2">
              <w:rPr>
                <w:color w:val="000000"/>
                <w:sz w:val="18"/>
                <w:szCs w:val="18"/>
              </w:rPr>
              <w:t> </w:t>
            </w:r>
          </w:p>
        </w:tc>
        <w:tc>
          <w:tcPr>
            <w:tcW w:w="4639" w:type="dxa"/>
          </w:tcPr>
          <w:p w:rsidR="00ED7A9B" w:rsidRPr="007777E2" w:rsidRDefault="00ED7A9B" w:rsidP="00AD4440">
            <w:pPr>
              <w:pStyle w:val="Caption"/>
              <w:rPr>
                <w:color w:val="auto"/>
                <w:sz w:val="22"/>
                <w:szCs w:val="22"/>
              </w:rPr>
            </w:pPr>
            <w:bookmarkStart w:id="164" w:name="_Ref257277059"/>
            <w:bookmarkStart w:id="165" w:name="_Toc264226781"/>
            <w:r w:rsidRPr="007777E2">
              <w:rPr>
                <w:color w:val="auto"/>
                <w:sz w:val="22"/>
                <w:szCs w:val="22"/>
              </w:rPr>
              <w:t xml:space="preserve">Figure </w:t>
            </w:r>
            <w:r w:rsidR="006B40AE" w:rsidRPr="007777E2">
              <w:rPr>
                <w:color w:val="auto"/>
                <w:sz w:val="22"/>
                <w:szCs w:val="22"/>
              </w:rPr>
              <w:fldChar w:fldCharType="begin"/>
            </w:r>
            <w:r w:rsidRPr="007777E2">
              <w:rPr>
                <w:color w:val="auto"/>
                <w:sz w:val="22"/>
                <w:szCs w:val="22"/>
              </w:rPr>
              <w:instrText xml:space="preserve"> SEQ Figure \* ARABIC </w:instrText>
            </w:r>
            <w:r w:rsidR="006B40AE" w:rsidRPr="007777E2">
              <w:rPr>
                <w:color w:val="auto"/>
                <w:sz w:val="22"/>
                <w:szCs w:val="22"/>
              </w:rPr>
              <w:fldChar w:fldCharType="separate"/>
            </w:r>
            <w:r w:rsidR="009E2C86">
              <w:rPr>
                <w:noProof/>
                <w:color w:val="auto"/>
                <w:sz w:val="22"/>
                <w:szCs w:val="22"/>
              </w:rPr>
              <w:t>24</w:t>
            </w:r>
            <w:r w:rsidR="006B40AE" w:rsidRPr="007777E2">
              <w:rPr>
                <w:color w:val="auto"/>
                <w:sz w:val="22"/>
                <w:szCs w:val="22"/>
              </w:rPr>
              <w:fldChar w:fldCharType="end"/>
            </w:r>
            <w:bookmarkEnd w:id="164"/>
            <w:r w:rsidRPr="007777E2">
              <w:rPr>
                <w:color w:val="auto"/>
                <w:sz w:val="22"/>
                <w:szCs w:val="22"/>
              </w:rPr>
              <w:t>. Road Sector: Capital Expenditure and Maintenance Spending 2005-20</w:t>
            </w:r>
            <w:r>
              <w:rPr>
                <w:color w:val="auto"/>
                <w:sz w:val="22"/>
                <w:szCs w:val="22"/>
              </w:rPr>
              <w:t>10</w:t>
            </w:r>
            <w:r w:rsidRPr="007777E2">
              <w:rPr>
                <w:color w:val="auto"/>
                <w:sz w:val="22"/>
                <w:szCs w:val="22"/>
              </w:rPr>
              <w:t xml:space="preserve"> (in </w:t>
            </w:r>
            <w:r>
              <w:rPr>
                <w:color w:val="auto"/>
                <w:sz w:val="22"/>
                <w:szCs w:val="22"/>
              </w:rPr>
              <w:t xml:space="preserve">billion </w:t>
            </w:r>
            <w:r w:rsidRPr="007777E2">
              <w:rPr>
                <w:color w:val="auto"/>
                <w:sz w:val="22"/>
                <w:szCs w:val="22"/>
              </w:rPr>
              <w:t>BYR)</w:t>
            </w:r>
            <w:bookmarkEnd w:id="165"/>
          </w:p>
          <w:p w:rsidR="00ED7A9B" w:rsidRPr="007777E2" w:rsidRDefault="00ED7A9B" w:rsidP="00AD4440">
            <w:pPr>
              <w:keepNext/>
              <w:autoSpaceDE w:val="0"/>
              <w:autoSpaceDN w:val="0"/>
              <w:adjustRightInd w:val="0"/>
              <w:spacing w:after="120"/>
              <w:jc w:val="both"/>
            </w:pPr>
            <w:r>
              <w:rPr>
                <w:noProof/>
              </w:rPr>
              <w:drawing>
                <wp:inline distT="0" distB="0" distL="0" distR="0">
                  <wp:extent cx="2781300" cy="2066925"/>
                  <wp:effectExtent l="1905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srcRect/>
                          <a:stretch>
                            <a:fillRect/>
                          </a:stretch>
                        </pic:blipFill>
                        <pic:spPr bwMode="auto">
                          <a:xfrm>
                            <a:off x="0" y="0"/>
                            <a:ext cx="2781300" cy="2066925"/>
                          </a:xfrm>
                          <a:prstGeom prst="rect">
                            <a:avLst/>
                          </a:prstGeom>
                          <a:noFill/>
                          <a:ln w="9525">
                            <a:noFill/>
                            <a:miter lim="800000"/>
                            <a:headEnd/>
                            <a:tailEnd/>
                          </a:ln>
                        </pic:spPr>
                      </pic:pic>
                    </a:graphicData>
                  </a:graphic>
                </wp:inline>
              </w:drawing>
            </w:r>
          </w:p>
          <w:p w:rsidR="00ED7A9B" w:rsidRPr="007777E2" w:rsidRDefault="00ED7A9B" w:rsidP="00AD4440">
            <w:pPr>
              <w:keepNext/>
              <w:autoSpaceDE w:val="0"/>
              <w:autoSpaceDN w:val="0"/>
              <w:adjustRightInd w:val="0"/>
              <w:spacing w:after="120"/>
              <w:jc w:val="both"/>
              <w:rPr>
                <w:sz w:val="18"/>
                <w:szCs w:val="18"/>
              </w:rPr>
            </w:pPr>
            <w:r w:rsidRPr="007777E2">
              <w:rPr>
                <w:iCs/>
                <w:color w:val="000000"/>
                <w:sz w:val="18"/>
                <w:szCs w:val="18"/>
              </w:rPr>
              <w:t xml:space="preserve">Source: Data Reported by </w:t>
            </w:r>
            <w:r>
              <w:rPr>
                <w:iCs/>
                <w:color w:val="000000"/>
                <w:sz w:val="18"/>
                <w:szCs w:val="18"/>
              </w:rPr>
              <w:t>Ministry of Finance</w:t>
            </w:r>
            <w:r w:rsidRPr="007777E2">
              <w:rPr>
                <w:iCs/>
                <w:color w:val="000000"/>
                <w:sz w:val="18"/>
                <w:szCs w:val="18"/>
              </w:rPr>
              <w:t>.</w:t>
            </w:r>
            <w:r w:rsidRPr="007777E2">
              <w:rPr>
                <w:color w:val="000000"/>
                <w:sz w:val="18"/>
                <w:szCs w:val="18"/>
              </w:rPr>
              <w:t> </w:t>
            </w:r>
          </w:p>
        </w:tc>
      </w:tr>
    </w:tbl>
    <w:p w:rsidR="00EB1402" w:rsidRPr="00EB1402" w:rsidRDefault="00EB1402" w:rsidP="00EB1402">
      <w:pPr>
        <w:pStyle w:val="ListParagraph"/>
        <w:tabs>
          <w:tab w:val="left" w:pos="0"/>
        </w:tabs>
        <w:spacing w:after="120" w:line="240" w:lineRule="auto"/>
        <w:ind w:left="0"/>
        <w:contextualSpacing w:val="0"/>
        <w:jc w:val="both"/>
        <w:rPr>
          <w:rFonts w:ascii="Times New Roman" w:hAnsi="Times New Roman"/>
          <w:bCs/>
          <w:color w:val="000000"/>
          <w:sz w:val="24"/>
          <w:szCs w:val="24"/>
        </w:rPr>
      </w:pPr>
    </w:p>
    <w:p w:rsidR="00EB1402" w:rsidRPr="00EB1402" w:rsidRDefault="008046F3" w:rsidP="00BE35AE">
      <w:pPr>
        <w:pStyle w:val="ListParagraph"/>
        <w:numPr>
          <w:ilvl w:val="0"/>
          <w:numId w:val="9"/>
        </w:numPr>
        <w:tabs>
          <w:tab w:val="clear" w:pos="720"/>
          <w:tab w:val="left" w:pos="0"/>
        </w:tabs>
        <w:spacing w:after="120" w:line="240" w:lineRule="auto"/>
        <w:ind w:left="0" w:firstLine="0"/>
        <w:contextualSpacing w:val="0"/>
        <w:jc w:val="both"/>
        <w:rPr>
          <w:rFonts w:ascii="Times New Roman" w:hAnsi="Times New Roman"/>
          <w:bCs/>
          <w:color w:val="000000"/>
          <w:sz w:val="24"/>
          <w:szCs w:val="24"/>
        </w:rPr>
      </w:pPr>
      <w:r w:rsidRPr="00EB1402">
        <w:rPr>
          <w:rFonts w:ascii="Times New Roman" w:hAnsi="Times New Roman"/>
          <w:b/>
          <w:sz w:val="24"/>
          <w:szCs w:val="24"/>
        </w:rPr>
        <w:t xml:space="preserve">Despite the abolishment of the NRF and associated </w:t>
      </w:r>
      <w:r w:rsidR="000D4FCF">
        <w:rPr>
          <w:rFonts w:ascii="Times New Roman" w:hAnsi="Times New Roman"/>
          <w:b/>
          <w:sz w:val="24"/>
          <w:szCs w:val="24"/>
        </w:rPr>
        <w:t xml:space="preserve">road </w:t>
      </w:r>
      <w:r w:rsidRPr="00EB1402">
        <w:rPr>
          <w:rFonts w:ascii="Times New Roman" w:hAnsi="Times New Roman"/>
          <w:b/>
          <w:sz w:val="24"/>
          <w:szCs w:val="24"/>
        </w:rPr>
        <w:t xml:space="preserve">user charges, expenditures geared towards </w:t>
      </w:r>
      <w:r w:rsidR="00EA1755">
        <w:rPr>
          <w:rFonts w:ascii="Times New Roman" w:hAnsi="Times New Roman"/>
          <w:b/>
          <w:sz w:val="24"/>
          <w:szCs w:val="24"/>
        </w:rPr>
        <w:t>R</w:t>
      </w:r>
      <w:r w:rsidRPr="00EB1402">
        <w:rPr>
          <w:rFonts w:ascii="Times New Roman" w:hAnsi="Times New Roman"/>
          <w:b/>
          <w:sz w:val="24"/>
          <w:szCs w:val="24"/>
        </w:rPr>
        <w:t xml:space="preserve">epublican and </w:t>
      </w:r>
      <w:r w:rsidR="00EA1755">
        <w:rPr>
          <w:rFonts w:ascii="Times New Roman" w:hAnsi="Times New Roman"/>
          <w:b/>
          <w:sz w:val="24"/>
          <w:szCs w:val="24"/>
        </w:rPr>
        <w:t>L</w:t>
      </w:r>
      <w:r w:rsidRPr="00EB1402">
        <w:rPr>
          <w:rFonts w:ascii="Times New Roman" w:hAnsi="Times New Roman"/>
          <w:b/>
          <w:sz w:val="24"/>
          <w:szCs w:val="24"/>
        </w:rPr>
        <w:t>ocal road networks</w:t>
      </w:r>
      <w:r w:rsidR="00AD4440">
        <w:rPr>
          <w:rFonts w:ascii="Times New Roman" w:hAnsi="Times New Roman"/>
          <w:b/>
          <w:sz w:val="24"/>
          <w:szCs w:val="24"/>
        </w:rPr>
        <w:t>, when combined,</w:t>
      </w:r>
      <w:r w:rsidRPr="00EB1402">
        <w:rPr>
          <w:rFonts w:ascii="Times New Roman" w:hAnsi="Times New Roman"/>
          <w:b/>
          <w:sz w:val="24"/>
          <w:szCs w:val="24"/>
        </w:rPr>
        <w:t xml:space="preserve"> have been modestly rising in recent years</w:t>
      </w:r>
      <w:r w:rsidRPr="00EB1402">
        <w:rPr>
          <w:rFonts w:ascii="Times New Roman" w:hAnsi="Times New Roman"/>
          <w:sz w:val="24"/>
          <w:szCs w:val="24"/>
        </w:rPr>
        <w:t>. The funds spent on routine maintenance remained stable over the period 2005-2007, rising thereafter from a</w:t>
      </w:r>
      <w:r w:rsidR="000D4FCF">
        <w:rPr>
          <w:rFonts w:ascii="Times New Roman" w:hAnsi="Times New Roman"/>
          <w:sz w:val="24"/>
          <w:szCs w:val="24"/>
        </w:rPr>
        <w:t xml:space="preserve">n annual allocation of about </w:t>
      </w:r>
      <w:r w:rsidRPr="00EB1402">
        <w:rPr>
          <w:rFonts w:ascii="Times New Roman" w:hAnsi="Times New Roman"/>
          <w:sz w:val="24"/>
          <w:szCs w:val="24"/>
        </w:rPr>
        <w:t xml:space="preserve">BYR 688 billion to </w:t>
      </w:r>
      <w:r w:rsidRPr="00EB1402">
        <w:rPr>
          <w:rFonts w:ascii="Times New Roman" w:hAnsi="Times New Roman"/>
          <w:sz w:val="24"/>
          <w:szCs w:val="24"/>
        </w:rPr>
        <w:lastRenderedPageBreak/>
        <w:t xml:space="preserve">approximately BYR 780 billion in </w:t>
      </w:r>
      <w:r w:rsidR="000D4FCF">
        <w:rPr>
          <w:rFonts w:ascii="Times New Roman" w:hAnsi="Times New Roman"/>
          <w:sz w:val="24"/>
          <w:szCs w:val="24"/>
        </w:rPr>
        <w:t xml:space="preserve">the period </w:t>
      </w:r>
      <w:r w:rsidRPr="00EB1402">
        <w:rPr>
          <w:rFonts w:ascii="Times New Roman" w:hAnsi="Times New Roman"/>
          <w:sz w:val="24"/>
          <w:szCs w:val="24"/>
        </w:rPr>
        <w:t xml:space="preserve">2008-2009 (see </w:t>
      </w:r>
      <w:fldSimple w:instr=" REF _Ref257277059 \h  \* MERGEFORMAT ">
        <w:r w:rsidR="00E85C5F" w:rsidRPr="00E85C5F">
          <w:rPr>
            <w:rFonts w:ascii="Times New Roman" w:hAnsi="Times New Roman"/>
            <w:sz w:val="24"/>
            <w:szCs w:val="24"/>
          </w:rPr>
          <w:t xml:space="preserve">Figure </w:t>
        </w:r>
        <w:r w:rsidR="00E85C5F" w:rsidRPr="00E85C5F">
          <w:rPr>
            <w:rFonts w:ascii="Times New Roman" w:hAnsi="Times New Roman"/>
            <w:noProof/>
            <w:sz w:val="24"/>
            <w:szCs w:val="24"/>
          </w:rPr>
          <w:t>24</w:t>
        </w:r>
      </w:fldSimple>
      <w:r w:rsidRPr="00EB1402">
        <w:rPr>
          <w:rFonts w:ascii="Times New Roman" w:hAnsi="Times New Roman"/>
          <w:sz w:val="24"/>
          <w:szCs w:val="24"/>
        </w:rPr>
        <w:t xml:space="preserve">). During the same period, budget resources for capital expenditures similarly increased from an average BYR 224 billion to BYR 319 billion. These increases coincided with a noticeable </w:t>
      </w:r>
      <w:r w:rsidR="000D4FCF">
        <w:rPr>
          <w:rFonts w:ascii="Times New Roman" w:hAnsi="Times New Roman"/>
          <w:sz w:val="24"/>
          <w:szCs w:val="24"/>
        </w:rPr>
        <w:t xml:space="preserve">drop </w:t>
      </w:r>
      <w:r w:rsidRPr="00EB1402">
        <w:rPr>
          <w:rFonts w:ascii="Times New Roman" w:hAnsi="Times New Roman"/>
          <w:sz w:val="24"/>
          <w:szCs w:val="24"/>
        </w:rPr>
        <w:t>in annual</w:t>
      </w:r>
      <w:r w:rsidR="000D4FCF">
        <w:rPr>
          <w:rFonts w:ascii="Times New Roman" w:hAnsi="Times New Roman"/>
          <w:sz w:val="24"/>
          <w:szCs w:val="24"/>
        </w:rPr>
        <w:t xml:space="preserve"> </w:t>
      </w:r>
      <w:r w:rsidRPr="00EB1402">
        <w:rPr>
          <w:rFonts w:ascii="Times New Roman" w:hAnsi="Times New Roman"/>
          <w:sz w:val="24"/>
          <w:szCs w:val="24"/>
        </w:rPr>
        <w:t>expenditures</w:t>
      </w:r>
      <w:r w:rsidR="000D4FCF">
        <w:rPr>
          <w:rFonts w:ascii="Times New Roman" w:hAnsi="Times New Roman"/>
          <w:sz w:val="24"/>
          <w:szCs w:val="24"/>
        </w:rPr>
        <w:t xml:space="preserve"> for road repair</w:t>
      </w:r>
      <w:r w:rsidRPr="00EB1402">
        <w:rPr>
          <w:rFonts w:ascii="Times New Roman" w:hAnsi="Times New Roman"/>
          <w:sz w:val="24"/>
          <w:szCs w:val="24"/>
        </w:rPr>
        <w:t xml:space="preserve"> which fell by almost 40 percent. The planned general budget for 2010 shows total </w:t>
      </w:r>
      <w:r w:rsidR="000D4FCF">
        <w:rPr>
          <w:rFonts w:ascii="Times New Roman" w:hAnsi="Times New Roman"/>
          <w:sz w:val="24"/>
          <w:szCs w:val="24"/>
        </w:rPr>
        <w:t xml:space="preserve">road </w:t>
      </w:r>
      <w:r w:rsidRPr="00EB1402">
        <w:rPr>
          <w:rFonts w:ascii="Times New Roman" w:hAnsi="Times New Roman"/>
          <w:sz w:val="24"/>
          <w:szCs w:val="24"/>
        </w:rPr>
        <w:t xml:space="preserve">expenditures to remain at </w:t>
      </w:r>
      <w:r w:rsidR="000D4FCF">
        <w:rPr>
          <w:rFonts w:ascii="Times New Roman" w:hAnsi="Times New Roman"/>
          <w:sz w:val="24"/>
          <w:szCs w:val="24"/>
        </w:rPr>
        <w:t xml:space="preserve">the </w:t>
      </w:r>
      <w:r w:rsidRPr="00EB1402">
        <w:rPr>
          <w:rFonts w:ascii="Times New Roman" w:hAnsi="Times New Roman"/>
          <w:sz w:val="24"/>
          <w:szCs w:val="24"/>
        </w:rPr>
        <w:t xml:space="preserve">2009 level. In 2010, the </w:t>
      </w:r>
      <w:r w:rsidR="00EA1755">
        <w:rPr>
          <w:rFonts w:ascii="Times New Roman" w:hAnsi="Times New Roman"/>
          <w:sz w:val="24"/>
          <w:szCs w:val="24"/>
        </w:rPr>
        <w:t xml:space="preserve">total </w:t>
      </w:r>
      <w:r w:rsidRPr="00EB1402">
        <w:rPr>
          <w:rFonts w:ascii="Times New Roman" w:hAnsi="Times New Roman"/>
          <w:sz w:val="24"/>
          <w:szCs w:val="24"/>
        </w:rPr>
        <w:t xml:space="preserve">expected spending from the general budget on maintenance and repair geared towards the </w:t>
      </w:r>
      <w:r w:rsidR="000D4FCF">
        <w:rPr>
          <w:rFonts w:ascii="Times New Roman" w:hAnsi="Times New Roman"/>
          <w:sz w:val="24"/>
          <w:szCs w:val="24"/>
        </w:rPr>
        <w:t>R</w:t>
      </w:r>
      <w:r w:rsidRPr="00EB1402">
        <w:rPr>
          <w:rFonts w:ascii="Times New Roman" w:hAnsi="Times New Roman"/>
          <w:sz w:val="24"/>
          <w:szCs w:val="24"/>
        </w:rPr>
        <w:t xml:space="preserve">epublican and </w:t>
      </w:r>
      <w:r w:rsidR="000D4FCF">
        <w:rPr>
          <w:rFonts w:ascii="Times New Roman" w:hAnsi="Times New Roman"/>
          <w:sz w:val="24"/>
          <w:szCs w:val="24"/>
        </w:rPr>
        <w:t>L</w:t>
      </w:r>
      <w:r w:rsidRPr="00EB1402">
        <w:rPr>
          <w:rFonts w:ascii="Times New Roman" w:hAnsi="Times New Roman"/>
          <w:sz w:val="24"/>
          <w:szCs w:val="24"/>
        </w:rPr>
        <w:t>ocal road network is about BYR 1 trillion</w:t>
      </w:r>
      <w:r w:rsidR="005A21CD">
        <w:rPr>
          <w:rFonts w:ascii="Times New Roman" w:hAnsi="Times New Roman"/>
          <w:sz w:val="24"/>
          <w:szCs w:val="24"/>
        </w:rPr>
        <w:t>.</w:t>
      </w:r>
      <w:r w:rsidRPr="00EB1402">
        <w:rPr>
          <w:rStyle w:val="FootnoteReference"/>
          <w:sz w:val="24"/>
          <w:szCs w:val="24"/>
        </w:rPr>
        <w:footnoteReference w:id="23"/>
      </w:r>
      <w:r w:rsidR="005A21CD">
        <w:rPr>
          <w:rFonts w:ascii="Times New Roman" w:hAnsi="Times New Roman"/>
          <w:sz w:val="24"/>
          <w:szCs w:val="24"/>
        </w:rPr>
        <w:t xml:space="preserve"> </w:t>
      </w:r>
      <w:r w:rsidRPr="00EB1402">
        <w:rPr>
          <w:rFonts w:ascii="Times New Roman" w:hAnsi="Times New Roman"/>
          <w:sz w:val="24"/>
          <w:szCs w:val="24"/>
        </w:rPr>
        <w:t xml:space="preserve"> The above estimates do not take into consideration external financing</w:t>
      </w:r>
      <w:r w:rsidR="00EB1402" w:rsidRPr="00EB1402">
        <w:rPr>
          <w:rFonts w:ascii="Times New Roman" w:hAnsi="Times New Roman"/>
          <w:sz w:val="24"/>
          <w:szCs w:val="24"/>
        </w:rPr>
        <w:t>.</w:t>
      </w:r>
    </w:p>
    <w:p w:rsidR="00EB1402" w:rsidRPr="00EB1402" w:rsidRDefault="008046F3" w:rsidP="00BE35AE">
      <w:pPr>
        <w:pStyle w:val="ListParagraph"/>
        <w:numPr>
          <w:ilvl w:val="0"/>
          <w:numId w:val="9"/>
        </w:numPr>
        <w:tabs>
          <w:tab w:val="clear" w:pos="720"/>
          <w:tab w:val="left" w:pos="0"/>
        </w:tabs>
        <w:spacing w:after="120" w:line="240" w:lineRule="auto"/>
        <w:ind w:left="0" w:firstLine="0"/>
        <w:contextualSpacing w:val="0"/>
        <w:jc w:val="both"/>
        <w:rPr>
          <w:rFonts w:ascii="Times New Roman" w:hAnsi="Times New Roman"/>
          <w:bCs/>
          <w:color w:val="000000"/>
          <w:sz w:val="24"/>
          <w:szCs w:val="24"/>
        </w:rPr>
      </w:pPr>
      <w:proofErr w:type="spellStart"/>
      <w:r w:rsidRPr="00EB1402">
        <w:rPr>
          <w:rFonts w:ascii="Times New Roman" w:hAnsi="Times New Roman"/>
          <w:b/>
          <w:sz w:val="24"/>
          <w:szCs w:val="24"/>
        </w:rPr>
        <w:t>Belavtodor’s</w:t>
      </w:r>
      <w:proofErr w:type="spellEnd"/>
      <w:r w:rsidRPr="00EB1402">
        <w:rPr>
          <w:rFonts w:ascii="Times New Roman" w:hAnsi="Times New Roman"/>
          <w:b/>
          <w:sz w:val="24"/>
          <w:szCs w:val="24"/>
        </w:rPr>
        <w:t xml:space="preserve"> current road sector development program states that additional resources are urgently needed to address the consequences of underfunding of maintenance expenditures from previous years (backlog)</w:t>
      </w:r>
      <w:r w:rsidRPr="00EB1402">
        <w:rPr>
          <w:rFonts w:ascii="Times New Roman" w:hAnsi="Times New Roman"/>
          <w:sz w:val="24"/>
          <w:szCs w:val="24"/>
        </w:rPr>
        <w:t>. A review of the development of road network conditions over time (2006-2009) indicates that the annualized expenditure requirements necessary to clear the essential par</w:t>
      </w:r>
      <w:r w:rsidRPr="00EB1402">
        <w:rPr>
          <w:rFonts w:ascii="Times New Roman" w:hAnsi="Times New Roman"/>
          <w:noProof/>
          <w:sz w:val="24"/>
          <w:szCs w:val="24"/>
        </w:rPr>
        <w:t xml:space="preserve">t </w:t>
      </w:r>
      <w:r w:rsidRPr="00EB1402">
        <w:rPr>
          <w:rFonts w:ascii="Times New Roman" w:hAnsi="Times New Roman"/>
          <w:sz w:val="24"/>
          <w:szCs w:val="24"/>
        </w:rPr>
        <w:t xml:space="preserve">of the current maintenance backlog have not been met, </w:t>
      </w:r>
      <w:r w:rsidR="00AD4440">
        <w:rPr>
          <w:rFonts w:ascii="Times New Roman" w:hAnsi="Times New Roman"/>
          <w:sz w:val="24"/>
          <w:szCs w:val="24"/>
        </w:rPr>
        <w:t>especially for Local</w:t>
      </w:r>
      <w:r w:rsidRPr="00EB1402">
        <w:rPr>
          <w:rFonts w:ascii="Times New Roman" w:hAnsi="Times New Roman"/>
          <w:sz w:val="24"/>
          <w:szCs w:val="24"/>
        </w:rPr>
        <w:t xml:space="preserve"> roads</w:t>
      </w:r>
      <w:r w:rsidR="00311D43">
        <w:rPr>
          <w:rFonts w:ascii="Times New Roman" w:hAnsi="Times New Roman"/>
          <w:sz w:val="24"/>
          <w:szCs w:val="24"/>
        </w:rPr>
        <w:t xml:space="preserve">. </w:t>
      </w:r>
      <w:r w:rsidRPr="00EB1402">
        <w:rPr>
          <w:rFonts w:ascii="Times New Roman" w:hAnsi="Times New Roman"/>
          <w:sz w:val="24"/>
          <w:szCs w:val="24"/>
        </w:rPr>
        <w:t xml:space="preserve">Some slight improvements in the riding quality (roughness pattern) of the road network can be found, but about half of the </w:t>
      </w:r>
      <w:r w:rsidR="00311D43">
        <w:rPr>
          <w:rFonts w:ascii="Times New Roman" w:hAnsi="Times New Roman"/>
          <w:sz w:val="24"/>
          <w:szCs w:val="24"/>
        </w:rPr>
        <w:t>R</w:t>
      </w:r>
      <w:r w:rsidRPr="00EB1402">
        <w:rPr>
          <w:rFonts w:ascii="Times New Roman" w:hAnsi="Times New Roman"/>
          <w:sz w:val="24"/>
          <w:szCs w:val="24"/>
        </w:rPr>
        <w:t xml:space="preserve">epublican roads (main roads, but mainly regional roads) are still in poor to very poor condition (45 percent), according to </w:t>
      </w:r>
      <w:proofErr w:type="spellStart"/>
      <w:r w:rsidRPr="00EB1402">
        <w:rPr>
          <w:rFonts w:ascii="Times New Roman" w:hAnsi="Times New Roman"/>
          <w:sz w:val="24"/>
          <w:szCs w:val="24"/>
        </w:rPr>
        <w:t>Belavtodor’s</w:t>
      </w:r>
      <w:proofErr w:type="spellEnd"/>
      <w:r w:rsidRPr="00EB1402">
        <w:rPr>
          <w:rFonts w:ascii="Times New Roman" w:hAnsi="Times New Roman"/>
          <w:sz w:val="24"/>
          <w:szCs w:val="24"/>
        </w:rPr>
        <w:t xml:space="preserve"> condition survey of the network (see </w:t>
      </w:r>
      <w:r w:rsidR="00971CE8">
        <w:rPr>
          <w:rFonts w:ascii="Times New Roman" w:hAnsi="Times New Roman"/>
          <w:sz w:val="24"/>
          <w:szCs w:val="24"/>
        </w:rPr>
        <w:t>Figure 20</w:t>
      </w:r>
      <w:r w:rsidR="006B40AE">
        <w:fldChar w:fldCharType="begin"/>
      </w:r>
      <w:r w:rsidR="00885A89">
        <w:instrText xml:space="preserve"> REF _Ref257273633 \h  \* MERGEFORMAT </w:instrText>
      </w:r>
      <w:r w:rsidR="006B40AE">
        <w:fldChar w:fldCharType="separate"/>
      </w:r>
      <w:r w:rsidR="009E2C86">
        <w:rPr>
          <w:b/>
          <w:bCs/>
        </w:rPr>
        <w:t>Error! Reference source not found.</w:t>
      </w:r>
      <w:r w:rsidR="006B40AE">
        <w:fldChar w:fldCharType="end"/>
      </w:r>
      <w:r w:rsidRPr="00EB1402">
        <w:rPr>
          <w:rFonts w:ascii="Times New Roman" w:hAnsi="Times New Roman"/>
          <w:sz w:val="24"/>
          <w:szCs w:val="24"/>
        </w:rPr>
        <w:t xml:space="preserve">). </w:t>
      </w:r>
    </w:p>
    <w:p w:rsidR="00EB1402" w:rsidRPr="00EB1402" w:rsidRDefault="008046F3" w:rsidP="00BE35AE">
      <w:pPr>
        <w:pStyle w:val="ListParagraph"/>
        <w:numPr>
          <w:ilvl w:val="0"/>
          <w:numId w:val="9"/>
        </w:numPr>
        <w:tabs>
          <w:tab w:val="clear" w:pos="720"/>
          <w:tab w:val="left" w:pos="0"/>
        </w:tabs>
        <w:spacing w:after="120" w:line="240" w:lineRule="auto"/>
        <w:ind w:left="0" w:firstLine="0"/>
        <w:contextualSpacing w:val="0"/>
        <w:jc w:val="both"/>
        <w:rPr>
          <w:rFonts w:ascii="Times New Roman" w:hAnsi="Times New Roman"/>
          <w:bCs/>
          <w:color w:val="000000"/>
          <w:sz w:val="24"/>
          <w:szCs w:val="24"/>
        </w:rPr>
      </w:pPr>
      <w:r w:rsidRPr="00EB1402">
        <w:rPr>
          <w:rFonts w:ascii="Times New Roman" w:hAnsi="Times New Roman"/>
          <w:b/>
          <w:sz w:val="24"/>
          <w:szCs w:val="24"/>
        </w:rPr>
        <w:t xml:space="preserve">While general taxation and budget allocations may provide a steady stream of funding for the </w:t>
      </w:r>
      <w:r w:rsidR="00311D43">
        <w:rPr>
          <w:rFonts w:ascii="Times New Roman" w:hAnsi="Times New Roman"/>
          <w:b/>
          <w:sz w:val="24"/>
          <w:szCs w:val="24"/>
        </w:rPr>
        <w:t xml:space="preserve">normal </w:t>
      </w:r>
      <w:r w:rsidRPr="00EB1402">
        <w:rPr>
          <w:rFonts w:ascii="Times New Roman" w:hAnsi="Times New Roman"/>
          <w:b/>
          <w:sz w:val="24"/>
          <w:szCs w:val="24"/>
        </w:rPr>
        <w:t xml:space="preserve">operation and maintenance of road infrastructure in Belarus, it seems unlikely that it will provide sufficient funding to finance the full cost of rehabilitation or upgrading </w:t>
      </w:r>
      <w:r w:rsidR="00EA1755">
        <w:rPr>
          <w:rFonts w:ascii="Times New Roman" w:hAnsi="Times New Roman"/>
          <w:b/>
          <w:sz w:val="24"/>
          <w:szCs w:val="24"/>
        </w:rPr>
        <w:t xml:space="preserve">of </w:t>
      </w:r>
      <w:r w:rsidRPr="00EB1402">
        <w:rPr>
          <w:rFonts w:ascii="Times New Roman" w:hAnsi="Times New Roman"/>
          <w:b/>
          <w:sz w:val="24"/>
          <w:szCs w:val="24"/>
        </w:rPr>
        <w:t>roads.</w:t>
      </w:r>
      <w:r w:rsidRPr="00EB1402">
        <w:rPr>
          <w:rFonts w:ascii="Times New Roman" w:hAnsi="Times New Roman"/>
          <w:sz w:val="24"/>
          <w:szCs w:val="24"/>
        </w:rPr>
        <w:t xml:space="preserve"> To finance </w:t>
      </w:r>
      <w:r w:rsidR="00311D43">
        <w:rPr>
          <w:rFonts w:ascii="Times New Roman" w:hAnsi="Times New Roman"/>
          <w:sz w:val="24"/>
          <w:szCs w:val="24"/>
        </w:rPr>
        <w:t xml:space="preserve">a part of </w:t>
      </w:r>
      <w:r w:rsidRPr="00EB1402">
        <w:rPr>
          <w:rFonts w:ascii="Times New Roman" w:hAnsi="Times New Roman"/>
          <w:sz w:val="24"/>
          <w:szCs w:val="24"/>
        </w:rPr>
        <w:t xml:space="preserve">road network rehabilitation and upgrading, the Government of Belarus plans to borrow from international financial institutions (IFIs), such as the World Bank and the European Bank for Reconstruction and Development (EBRD) as well as other domestic and foreign sources. Because infrastructure assets have long </w:t>
      </w:r>
      <w:r w:rsidR="00311D43">
        <w:rPr>
          <w:rFonts w:ascii="Times New Roman" w:hAnsi="Times New Roman"/>
          <w:sz w:val="24"/>
          <w:szCs w:val="24"/>
        </w:rPr>
        <w:t xml:space="preserve">service </w:t>
      </w:r>
      <w:r w:rsidRPr="00EB1402">
        <w:rPr>
          <w:rFonts w:ascii="Times New Roman" w:hAnsi="Times New Roman"/>
          <w:sz w:val="24"/>
          <w:szCs w:val="24"/>
        </w:rPr>
        <w:t>lives, domestic and foreign financial markets can provide alternative funding sources. Government b</w:t>
      </w:r>
      <w:r w:rsidRPr="00EB1402">
        <w:rPr>
          <w:rFonts w:ascii="Times New Roman" w:hAnsi="Times New Roman"/>
          <w:noProof/>
          <w:sz w:val="24"/>
          <w:szCs w:val="24"/>
        </w:rPr>
        <w:t>or</w:t>
      </w:r>
      <w:r w:rsidRPr="00EB1402">
        <w:rPr>
          <w:rFonts w:ascii="Times New Roman" w:hAnsi="Times New Roman"/>
          <w:sz w:val="24"/>
          <w:szCs w:val="24"/>
        </w:rPr>
        <w:t xml:space="preserve">rowing however can have adverse macroeconomic consequences due to interest rate and exchange rate impacts. Such considerations place clear limits on borrowing for roads. </w:t>
      </w:r>
    </w:p>
    <w:p w:rsidR="008046F3" w:rsidRPr="00EB4908" w:rsidRDefault="008046F3" w:rsidP="00BE35AE">
      <w:pPr>
        <w:pStyle w:val="ListParagraph"/>
        <w:numPr>
          <w:ilvl w:val="0"/>
          <w:numId w:val="9"/>
        </w:numPr>
        <w:tabs>
          <w:tab w:val="clear" w:pos="720"/>
          <w:tab w:val="left" w:pos="0"/>
        </w:tabs>
        <w:spacing w:after="120" w:line="240" w:lineRule="auto"/>
        <w:ind w:left="0" w:firstLine="0"/>
        <w:contextualSpacing w:val="0"/>
        <w:jc w:val="both"/>
        <w:rPr>
          <w:rFonts w:ascii="Times New Roman" w:hAnsi="Times New Roman"/>
          <w:bCs/>
          <w:color w:val="000000"/>
          <w:sz w:val="24"/>
          <w:szCs w:val="24"/>
        </w:rPr>
      </w:pPr>
      <w:r w:rsidRPr="00EB1402">
        <w:rPr>
          <w:rFonts w:ascii="Times New Roman" w:hAnsi="Times New Roman"/>
          <w:b/>
          <w:sz w:val="24"/>
          <w:szCs w:val="24"/>
        </w:rPr>
        <w:t xml:space="preserve">Budgeted road expenditures have fallen behind the plan laid out in the </w:t>
      </w:r>
      <w:r w:rsidR="0004363C" w:rsidRPr="0004363C">
        <w:rPr>
          <w:rFonts w:ascii="Times New Roman" w:hAnsi="Times New Roman"/>
          <w:b/>
          <w:i/>
          <w:sz w:val="24"/>
          <w:szCs w:val="24"/>
        </w:rPr>
        <w:t>Roads of Belarus</w:t>
      </w:r>
      <w:r w:rsidRPr="00EB1402">
        <w:rPr>
          <w:rFonts w:ascii="Times New Roman" w:hAnsi="Times New Roman"/>
          <w:b/>
          <w:sz w:val="24"/>
          <w:szCs w:val="24"/>
        </w:rPr>
        <w:t xml:space="preserve"> Program for 2006-2015; however, the plan may have been too optimistic.</w:t>
      </w:r>
      <w:r w:rsidRPr="00EB1402">
        <w:rPr>
          <w:rFonts w:ascii="Times New Roman" w:hAnsi="Times New Roman"/>
          <w:sz w:val="24"/>
          <w:szCs w:val="24"/>
        </w:rPr>
        <w:t xml:space="preserve"> In the first year of the </w:t>
      </w:r>
      <w:r w:rsidR="0004363C" w:rsidRPr="0004363C">
        <w:rPr>
          <w:rFonts w:ascii="Times New Roman" w:hAnsi="Times New Roman"/>
          <w:i/>
          <w:sz w:val="24"/>
          <w:szCs w:val="24"/>
        </w:rPr>
        <w:t>Roads of Belarus</w:t>
      </w:r>
      <w:r w:rsidRPr="00EB1402">
        <w:rPr>
          <w:rFonts w:ascii="Times New Roman" w:hAnsi="Times New Roman"/>
          <w:sz w:val="24"/>
          <w:szCs w:val="24"/>
        </w:rPr>
        <w:t xml:space="preserve"> program, which is the guiding document of </w:t>
      </w:r>
      <w:r w:rsidR="00311D43">
        <w:rPr>
          <w:rFonts w:ascii="Times New Roman" w:hAnsi="Times New Roman"/>
          <w:sz w:val="24"/>
          <w:szCs w:val="24"/>
        </w:rPr>
        <w:t xml:space="preserve">planned </w:t>
      </w:r>
      <w:r w:rsidRPr="00EB1402">
        <w:rPr>
          <w:rFonts w:ascii="Times New Roman" w:hAnsi="Times New Roman"/>
          <w:sz w:val="24"/>
          <w:szCs w:val="24"/>
        </w:rPr>
        <w:t>expenditure</w:t>
      </w:r>
      <w:r w:rsidR="00311D43">
        <w:rPr>
          <w:rFonts w:ascii="Times New Roman" w:hAnsi="Times New Roman"/>
          <w:sz w:val="24"/>
          <w:szCs w:val="24"/>
        </w:rPr>
        <w:t>s</w:t>
      </w:r>
      <w:r w:rsidRPr="00EB1402">
        <w:rPr>
          <w:rFonts w:ascii="Times New Roman" w:hAnsi="Times New Roman"/>
          <w:sz w:val="24"/>
          <w:szCs w:val="24"/>
        </w:rPr>
        <w:t xml:space="preserve"> in the road sector (covering both </w:t>
      </w:r>
      <w:r w:rsidR="00311D43">
        <w:rPr>
          <w:rFonts w:ascii="Times New Roman" w:hAnsi="Times New Roman"/>
          <w:sz w:val="24"/>
          <w:szCs w:val="24"/>
        </w:rPr>
        <w:t>R</w:t>
      </w:r>
      <w:r w:rsidRPr="00EB1402">
        <w:rPr>
          <w:rFonts w:ascii="Times New Roman" w:hAnsi="Times New Roman"/>
          <w:sz w:val="24"/>
          <w:szCs w:val="24"/>
        </w:rPr>
        <w:t xml:space="preserve">epublican and </w:t>
      </w:r>
      <w:r w:rsidR="00311D43">
        <w:rPr>
          <w:rFonts w:ascii="Times New Roman" w:hAnsi="Times New Roman"/>
          <w:sz w:val="24"/>
          <w:szCs w:val="24"/>
        </w:rPr>
        <w:t>L</w:t>
      </w:r>
      <w:r w:rsidRPr="00EB1402">
        <w:rPr>
          <w:rFonts w:ascii="Times New Roman" w:hAnsi="Times New Roman"/>
          <w:sz w:val="24"/>
          <w:szCs w:val="24"/>
        </w:rPr>
        <w:t xml:space="preserve">ocal roads), most of the planned spending was met from the general budget (see </w:t>
      </w:r>
      <w:fldSimple w:instr=" REF _Ref258505613 \h  \* MERGEFORMAT ">
        <w:r w:rsidR="00E85C5F" w:rsidRPr="00E85C5F">
          <w:rPr>
            <w:rFonts w:ascii="Times New Roman" w:hAnsi="Times New Roman"/>
            <w:sz w:val="24"/>
            <w:szCs w:val="24"/>
          </w:rPr>
          <w:t>Figure 38</w:t>
        </w:r>
      </w:fldSimple>
      <w:r w:rsidRPr="00EB1402">
        <w:rPr>
          <w:rFonts w:ascii="Times New Roman" w:hAnsi="Times New Roman"/>
          <w:sz w:val="24"/>
          <w:szCs w:val="24"/>
        </w:rPr>
        <w:t>). After 2006 however</w:t>
      </w:r>
      <w:r w:rsidR="00311D43">
        <w:rPr>
          <w:rFonts w:ascii="Times New Roman" w:hAnsi="Times New Roman"/>
          <w:sz w:val="24"/>
          <w:szCs w:val="24"/>
        </w:rPr>
        <w:t>,</w:t>
      </w:r>
      <w:r w:rsidRPr="00EB1402">
        <w:rPr>
          <w:rFonts w:ascii="Times New Roman" w:hAnsi="Times New Roman"/>
          <w:sz w:val="24"/>
          <w:szCs w:val="24"/>
        </w:rPr>
        <w:t xml:space="preserve"> expenditures grew only moderately </w:t>
      </w:r>
      <w:r w:rsidR="00311D43">
        <w:rPr>
          <w:rFonts w:ascii="Times New Roman" w:hAnsi="Times New Roman"/>
          <w:sz w:val="24"/>
          <w:szCs w:val="24"/>
        </w:rPr>
        <w:t xml:space="preserve">and </w:t>
      </w:r>
      <w:r w:rsidRPr="00EB1402">
        <w:rPr>
          <w:rFonts w:ascii="Times New Roman" w:hAnsi="Times New Roman"/>
          <w:sz w:val="24"/>
          <w:szCs w:val="24"/>
        </w:rPr>
        <w:t>fail</w:t>
      </w:r>
      <w:r w:rsidR="00311D43">
        <w:rPr>
          <w:rFonts w:ascii="Times New Roman" w:hAnsi="Times New Roman"/>
          <w:sz w:val="24"/>
          <w:szCs w:val="24"/>
        </w:rPr>
        <w:t>ed</w:t>
      </w:r>
      <w:r w:rsidRPr="00EB1402">
        <w:rPr>
          <w:rFonts w:ascii="Times New Roman" w:hAnsi="Times New Roman"/>
          <w:sz w:val="24"/>
          <w:szCs w:val="24"/>
        </w:rPr>
        <w:t xml:space="preserve"> to meet </w:t>
      </w:r>
      <w:r w:rsidR="00311D43">
        <w:rPr>
          <w:rFonts w:ascii="Times New Roman" w:hAnsi="Times New Roman"/>
          <w:sz w:val="24"/>
          <w:szCs w:val="24"/>
        </w:rPr>
        <w:t xml:space="preserve">the </w:t>
      </w:r>
      <w:r w:rsidRPr="00EB1402">
        <w:rPr>
          <w:rFonts w:ascii="Times New Roman" w:hAnsi="Times New Roman"/>
          <w:sz w:val="24"/>
          <w:szCs w:val="24"/>
        </w:rPr>
        <w:t xml:space="preserve">established targets of the program. In 2008, loans provided by the state-owned </w:t>
      </w:r>
      <w:r w:rsidR="0004363C" w:rsidRPr="0004363C">
        <w:rPr>
          <w:rFonts w:ascii="Times New Roman" w:hAnsi="Times New Roman"/>
          <w:i/>
          <w:sz w:val="24"/>
          <w:szCs w:val="24"/>
        </w:rPr>
        <w:t>Bank of Belarus</w:t>
      </w:r>
      <w:r w:rsidRPr="00EB1402">
        <w:rPr>
          <w:rFonts w:ascii="Times New Roman" w:hAnsi="Times New Roman"/>
          <w:sz w:val="24"/>
          <w:szCs w:val="24"/>
        </w:rPr>
        <w:t xml:space="preserve"> provided additional financing</w:t>
      </w:r>
      <w:r w:rsidR="00311D43">
        <w:rPr>
          <w:rFonts w:ascii="Times New Roman" w:hAnsi="Times New Roman"/>
          <w:sz w:val="24"/>
          <w:szCs w:val="24"/>
        </w:rPr>
        <w:t xml:space="preserve"> and </w:t>
      </w:r>
      <w:r w:rsidRPr="00EB1402">
        <w:rPr>
          <w:rFonts w:ascii="Times New Roman" w:hAnsi="Times New Roman"/>
          <w:sz w:val="24"/>
          <w:szCs w:val="24"/>
        </w:rPr>
        <w:t xml:space="preserve">total spending (budget plus loan) exceeded the </w:t>
      </w:r>
      <w:r w:rsidR="00311D43">
        <w:rPr>
          <w:rFonts w:ascii="Times New Roman" w:hAnsi="Times New Roman"/>
          <w:sz w:val="24"/>
          <w:szCs w:val="24"/>
        </w:rPr>
        <w:t xml:space="preserve">amounts </w:t>
      </w:r>
      <w:r w:rsidRPr="00EB1402">
        <w:rPr>
          <w:rFonts w:ascii="Times New Roman" w:hAnsi="Times New Roman"/>
          <w:sz w:val="24"/>
          <w:szCs w:val="24"/>
        </w:rPr>
        <w:t>indicated in the program. In 2009 however</w:t>
      </w:r>
      <w:r w:rsidR="00311D43">
        <w:rPr>
          <w:rFonts w:ascii="Times New Roman" w:hAnsi="Times New Roman"/>
          <w:sz w:val="24"/>
          <w:szCs w:val="24"/>
        </w:rPr>
        <w:t>,</w:t>
      </w:r>
      <w:r w:rsidRPr="00EB1402">
        <w:rPr>
          <w:rFonts w:ascii="Times New Roman" w:hAnsi="Times New Roman"/>
          <w:sz w:val="24"/>
          <w:szCs w:val="24"/>
        </w:rPr>
        <w:t xml:space="preserve"> only 71 percent of the program was implemented due to lack of financing. The gap between </w:t>
      </w:r>
      <w:r w:rsidR="00311D43">
        <w:rPr>
          <w:rFonts w:ascii="Times New Roman" w:hAnsi="Times New Roman"/>
          <w:sz w:val="24"/>
          <w:szCs w:val="24"/>
        </w:rPr>
        <w:t xml:space="preserve">stated </w:t>
      </w:r>
      <w:r w:rsidRPr="00EB1402">
        <w:rPr>
          <w:rFonts w:ascii="Times New Roman" w:hAnsi="Times New Roman"/>
          <w:sz w:val="24"/>
          <w:szCs w:val="24"/>
        </w:rPr>
        <w:t xml:space="preserve">needs and </w:t>
      </w:r>
      <w:r w:rsidR="00311D43">
        <w:rPr>
          <w:rFonts w:ascii="Times New Roman" w:hAnsi="Times New Roman"/>
          <w:sz w:val="24"/>
          <w:szCs w:val="24"/>
        </w:rPr>
        <w:t xml:space="preserve">the </w:t>
      </w:r>
      <w:r w:rsidRPr="00EB1402">
        <w:rPr>
          <w:rFonts w:ascii="Times New Roman" w:hAnsi="Times New Roman"/>
          <w:sz w:val="24"/>
          <w:szCs w:val="24"/>
        </w:rPr>
        <w:t xml:space="preserve">resources </w:t>
      </w:r>
      <w:r w:rsidR="00311D43">
        <w:rPr>
          <w:rFonts w:ascii="Times New Roman" w:hAnsi="Times New Roman"/>
          <w:sz w:val="24"/>
          <w:szCs w:val="24"/>
        </w:rPr>
        <w:t xml:space="preserve">actually </w:t>
      </w:r>
      <w:r w:rsidRPr="00EB1402">
        <w:rPr>
          <w:rFonts w:ascii="Times New Roman" w:hAnsi="Times New Roman"/>
          <w:sz w:val="24"/>
          <w:szCs w:val="24"/>
        </w:rPr>
        <w:t xml:space="preserve">allocated would warrant a closer examination of the budget planning process. In light of the discrepancy between established needs and actual implementation, the Ministry of Finance and </w:t>
      </w:r>
      <w:proofErr w:type="spellStart"/>
      <w:r w:rsidRPr="00EB1402">
        <w:rPr>
          <w:rFonts w:ascii="Times New Roman" w:hAnsi="Times New Roman"/>
          <w:sz w:val="24"/>
          <w:szCs w:val="24"/>
        </w:rPr>
        <w:t>Belavtodor</w:t>
      </w:r>
      <w:proofErr w:type="spellEnd"/>
      <w:r w:rsidRPr="00EB1402">
        <w:rPr>
          <w:rFonts w:ascii="Times New Roman" w:hAnsi="Times New Roman"/>
          <w:sz w:val="24"/>
          <w:szCs w:val="24"/>
        </w:rPr>
        <w:t xml:space="preserve"> would be well-advised to develop a </w:t>
      </w:r>
      <w:r w:rsidR="00311D43">
        <w:rPr>
          <w:rFonts w:ascii="Times New Roman" w:hAnsi="Times New Roman"/>
          <w:sz w:val="24"/>
          <w:szCs w:val="24"/>
        </w:rPr>
        <w:t xml:space="preserve">coordinated </w:t>
      </w:r>
      <w:r w:rsidRPr="00EB1402">
        <w:rPr>
          <w:rFonts w:ascii="Times New Roman" w:hAnsi="Times New Roman"/>
          <w:sz w:val="24"/>
          <w:szCs w:val="24"/>
        </w:rPr>
        <w:t xml:space="preserve">program that </w:t>
      </w:r>
      <w:r w:rsidR="00311D43">
        <w:rPr>
          <w:rFonts w:ascii="Times New Roman" w:hAnsi="Times New Roman"/>
          <w:sz w:val="24"/>
          <w:szCs w:val="24"/>
        </w:rPr>
        <w:t xml:space="preserve">strikes a balance between the needs and the </w:t>
      </w:r>
      <w:r w:rsidRPr="00EB1402">
        <w:rPr>
          <w:rFonts w:ascii="Times New Roman" w:hAnsi="Times New Roman"/>
          <w:sz w:val="24"/>
          <w:szCs w:val="24"/>
        </w:rPr>
        <w:t>resources available</w:t>
      </w:r>
      <w:r w:rsidR="00311D43">
        <w:rPr>
          <w:rFonts w:ascii="Times New Roman" w:hAnsi="Times New Roman"/>
          <w:sz w:val="24"/>
          <w:szCs w:val="24"/>
        </w:rPr>
        <w:t>,</w:t>
      </w:r>
      <w:r w:rsidRPr="00EB1402">
        <w:rPr>
          <w:rFonts w:ascii="Times New Roman" w:hAnsi="Times New Roman"/>
          <w:sz w:val="24"/>
          <w:szCs w:val="24"/>
        </w:rPr>
        <w:t xml:space="preserve"> and </w:t>
      </w:r>
      <w:r w:rsidR="00311D43">
        <w:rPr>
          <w:rFonts w:ascii="Times New Roman" w:hAnsi="Times New Roman"/>
          <w:sz w:val="24"/>
          <w:szCs w:val="24"/>
        </w:rPr>
        <w:t xml:space="preserve">which </w:t>
      </w:r>
      <w:r w:rsidRPr="00EB1402">
        <w:rPr>
          <w:rFonts w:ascii="Times New Roman" w:hAnsi="Times New Roman"/>
          <w:sz w:val="24"/>
          <w:szCs w:val="24"/>
        </w:rPr>
        <w:t>is updated on a yearly basis.</w:t>
      </w:r>
    </w:p>
    <w:p w:rsidR="00EB4908" w:rsidRDefault="00EB4908" w:rsidP="00EB4908">
      <w:pPr>
        <w:pStyle w:val="ListParagraph"/>
        <w:tabs>
          <w:tab w:val="left" w:pos="0"/>
        </w:tabs>
        <w:spacing w:after="120" w:line="240" w:lineRule="auto"/>
        <w:ind w:left="0"/>
        <w:contextualSpacing w:val="0"/>
        <w:jc w:val="both"/>
        <w:rPr>
          <w:rFonts w:ascii="Times New Roman" w:hAnsi="Times New Roman"/>
          <w:bCs/>
          <w:color w:val="000000"/>
          <w:sz w:val="24"/>
          <w:szCs w:val="24"/>
        </w:rPr>
      </w:pPr>
    </w:p>
    <w:p w:rsidR="00EB4908" w:rsidRDefault="00EB4908" w:rsidP="00EB4908">
      <w:pPr>
        <w:pStyle w:val="ListParagraph"/>
        <w:tabs>
          <w:tab w:val="left" w:pos="0"/>
        </w:tabs>
        <w:spacing w:after="120" w:line="240" w:lineRule="auto"/>
        <w:ind w:left="0"/>
        <w:contextualSpacing w:val="0"/>
        <w:jc w:val="both"/>
        <w:rPr>
          <w:rFonts w:ascii="Times New Roman" w:hAnsi="Times New Roman"/>
          <w:bCs/>
          <w:color w:val="000000"/>
          <w:sz w:val="24"/>
          <w:szCs w:val="24"/>
        </w:rPr>
      </w:pPr>
    </w:p>
    <w:tbl>
      <w:tblPr>
        <w:tblStyle w:val="TableGrid"/>
        <w:tblW w:w="0" w:type="auto"/>
        <w:jc w:val="center"/>
        <w:tblCellMar>
          <w:left w:w="115" w:type="dxa"/>
          <w:right w:w="115" w:type="dxa"/>
        </w:tblCellMar>
        <w:tblLook w:val="04A0"/>
      </w:tblPr>
      <w:tblGrid>
        <w:gridCol w:w="4790"/>
      </w:tblGrid>
      <w:tr w:rsidR="00EB4908" w:rsidTr="000D66B6">
        <w:trPr>
          <w:cantSplit/>
          <w:jc w:val="center"/>
        </w:trPr>
        <w:tc>
          <w:tcPr>
            <w:tcW w:w="4790" w:type="dxa"/>
          </w:tcPr>
          <w:p w:rsidR="00EB4908" w:rsidRPr="005A2BC4" w:rsidRDefault="00EB4908" w:rsidP="00EB4908">
            <w:pPr>
              <w:pStyle w:val="Caption"/>
              <w:rPr>
                <w:b w:val="0"/>
                <w:color w:val="auto"/>
                <w:sz w:val="20"/>
                <w:szCs w:val="20"/>
              </w:rPr>
            </w:pPr>
            <w:bookmarkStart w:id="166" w:name="_Toc264226782"/>
            <w:r w:rsidRPr="005A2BC4">
              <w:rPr>
                <w:color w:val="auto"/>
                <w:sz w:val="20"/>
                <w:szCs w:val="20"/>
              </w:rPr>
              <w:t xml:space="preserve">Figure </w:t>
            </w:r>
            <w:r w:rsidR="006B40AE" w:rsidRPr="005A2BC4">
              <w:rPr>
                <w:color w:val="auto"/>
                <w:sz w:val="20"/>
                <w:szCs w:val="20"/>
              </w:rPr>
              <w:fldChar w:fldCharType="begin"/>
            </w:r>
            <w:r w:rsidRPr="005A2BC4">
              <w:rPr>
                <w:color w:val="auto"/>
                <w:sz w:val="20"/>
                <w:szCs w:val="20"/>
              </w:rPr>
              <w:instrText xml:space="preserve"> SEQ Figure \* ARABIC </w:instrText>
            </w:r>
            <w:r w:rsidR="006B40AE" w:rsidRPr="005A2BC4">
              <w:rPr>
                <w:color w:val="auto"/>
                <w:sz w:val="20"/>
                <w:szCs w:val="20"/>
              </w:rPr>
              <w:fldChar w:fldCharType="separate"/>
            </w:r>
            <w:r w:rsidR="009E2C86">
              <w:rPr>
                <w:noProof/>
                <w:color w:val="auto"/>
                <w:sz w:val="20"/>
                <w:szCs w:val="20"/>
              </w:rPr>
              <w:t>25</w:t>
            </w:r>
            <w:r w:rsidR="006B40AE" w:rsidRPr="005A2BC4">
              <w:rPr>
                <w:color w:val="auto"/>
                <w:sz w:val="20"/>
                <w:szCs w:val="20"/>
              </w:rPr>
              <w:fldChar w:fldCharType="end"/>
            </w:r>
            <w:r>
              <w:rPr>
                <w:color w:val="auto"/>
                <w:sz w:val="20"/>
                <w:szCs w:val="20"/>
              </w:rPr>
              <w:t>. Planned versus Budgeted Road Expenditures 2006-2010 (BYR billion)</w:t>
            </w:r>
            <w:bookmarkEnd w:id="166"/>
          </w:p>
          <w:p w:rsidR="00EB4908" w:rsidRPr="00CF01D4" w:rsidRDefault="00EB4908" w:rsidP="00EB4908">
            <w:pPr>
              <w:keepNext/>
              <w:autoSpaceDE w:val="0"/>
              <w:autoSpaceDN w:val="0"/>
              <w:adjustRightInd w:val="0"/>
              <w:spacing w:after="120"/>
              <w:jc w:val="both"/>
              <w:rPr>
                <w:b/>
              </w:rPr>
            </w:pPr>
            <w:r w:rsidRPr="00CF01D4">
              <w:rPr>
                <w:b/>
                <w:noProof/>
              </w:rPr>
              <w:drawing>
                <wp:inline distT="0" distB="0" distL="0" distR="0">
                  <wp:extent cx="2863139" cy="2304288"/>
                  <wp:effectExtent l="19050" t="0" r="13411" b="762"/>
                  <wp:docPr id="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EB4908" w:rsidRPr="005A2BC4" w:rsidRDefault="00EB4908" w:rsidP="00EB4908">
            <w:pPr>
              <w:rPr>
                <w:sz w:val="18"/>
                <w:szCs w:val="18"/>
              </w:rPr>
            </w:pPr>
            <w:r w:rsidRPr="005A2BC4">
              <w:rPr>
                <w:sz w:val="18"/>
                <w:szCs w:val="18"/>
              </w:rPr>
              <w:t xml:space="preserve">Source: Data provided by the Ministry of Finance of Belarus and </w:t>
            </w:r>
            <w:proofErr w:type="spellStart"/>
            <w:r w:rsidRPr="005A2BC4">
              <w:rPr>
                <w:sz w:val="18"/>
                <w:szCs w:val="18"/>
              </w:rPr>
              <w:t>Belavtodor</w:t>
            </w:r>
            <w:proofErr w:type="spellEnd"/>
            <w:r w:rsidRPr="005A2BC4">
              <w:rPr>
                <w:sz w:val="18"/>
                <w:szCs w:val="18"/>
              </w:rPr>
              <w:t xml:space="preserve">. </w:t>
            </w:r>
          </w:p>
        </w:tc>
      </w:tr>
    </w:tbl>
    <w:p w:rsidR="00EB4908" w:rsidRDefault="00EB4908" w:rsidP="00EB4908">
      <w:pPr>
        <w:pStyle w:val="ListParagraph"/>
        <w:tabs>
          <w:tab w:val="left" w:pos="0"/>
        </w:tabs>
        <w:spacing w:after="120" w:line="240" w:lineRule="auto"/>
        <w:ind w:left="0"/>
        <w:contextualSpacing w:val="0"/>
        <w:jc w:val="both"/>
        <w:rPr>
          <w:rFonts w:ascii="Times New Roman" w:hAnsi="Times New Roman"/>
          <w:bCs/>
          <w:color w:val="000000"/>
          <w:sz w:val="24"/>
          <w:szCs w:val="24"/>
        </w:rPr>
      </w:pPr>
    </w:p>
    <w:p w:rsidR="00EB4908" w:rsidRPr="00E9005A" w:rsidRDefault="008046F3" w:rsidP="00BE35AE">
      <w:pPr>
        <w:pStyle w:val="ListParagraph"/>
        <w:numPr>
          <w:ilvl w:val="0"/>
          <w:numId w:val="9"/>
        </w:numPr>
        <w:tabs>
          <w:tab w:val="clear" w:pos="720"/>
          <w:tab w:val="left" w:pos="0"/>
        </w:tabs>
        <w:spacing w:after="120" w:line="240" w:lineRule="auto"/>
        <w:ind w:left="0" w:firstLine="0"/>
        <w:contextualSpacing w:val="0"/>
        <w:jc w:val="both"/>
        <w:rPr>
          <w:rFonts w:ascii="Times New Roman" w:hAnsi="Times New Roman"/>
          <w:bCs/>
          <w:color w:val="000000"/>
          <w:sz w:val="24"/>
          <w:szCs w:val="24"/>
        </w:rPr>
      </w:pPr>
      <w:r w:rsidRPr="00EB4908">
        <w:rPr>
          <w:rFonts w:ascii="Times New Roman" w:hAnsi="Times New Roman"/>
          <w:b/>
          <w:sz w:val="24"/>
          <w:szCs w:val="24"/>
        </w:rPr>
        <w:t>Given fiscal space considerations and the significant financing required for upgrades to the main road network to cope with future traffic demands, the Government has identified priority road investment projects on the basis of strategic assessments</w:t>
      </w:r>
      <w:r w:rsidRPr="00EB4908">
        <w:rPr>
          <w:rFonts w:ascii="Times New Roman" w:hAnsi="Times New Roman"/>
          <w:sz w:val="24"/>
          <w:szCs w:val="24"/>
        </w:rPr>
        <w:t xml:space="preserve">. In line with the government’s transport policy, </w:t>
      </w:r>
      <w:r w:rsidR="0097725A">
        <w:rPr>
          <w:rFonts w:ascii="Times New Roman" w:hAnsi="Times New Roman"/>
          <w:sz w:val="24"/>
          <w:szCs w:val="24"/>
        </w:rPr>
        <w:t xml:space="preserve">the </w:t>
      </w:r>
      <w:r w:rsidRPr="00EB4908">
        <w:rPr>
          <w:rFonts w:ascii="Times New Roman" w:hAnsi="Times New Roman"/>
          <w:sz w:val="24"/>
          <w:szCs w:val="24"/>
        </w:rPr>
        <w:t xml:space="preserve">priority investments </w:t>
      </w:r>
      <w:r w:rsidR="0097725A">
        <w:rPr>
          <w:rFonts w:ascii="Times New Roman" w:hAnsi="Times New Roman"/>
          <w:sz w:val="24"/>
          <w:szCs w:val="24"/>
        </w:rPr>
        <w:t xml:space="preserve">that have been </w:t>
      </w:r>
      <w:r w:rsidRPr="00EB4908">
        <w:rPr>
          <w:rFonts w:ascii="Times New Roman" w:hAnsi="Times New Roman"/>
          <w:sz w:val="24"/>
          <w:szCs w:val="24"/>
        </w:rPr>
        <w:t xml:space="preserve">identified are the upgrading of the </w:t>
      </w:r>
      <w:r w:rsidRPr="00EB4908">
        <w:rPr>
          <w:rFonts w:ascii="Times New Roman" w:hAnsi="Times New Roman"/>
          <w:spacing w:val="-3"/>
          <w:sz w:val="24"/>
          <w:szCs w:val="24"/>
        </w:rPr>
        <w:t xml:space="preserve">M4 and M5 roads to Category 1, and the construction of a new ring road around Minsk. Regarding the upgrade of </w:t>
      </w:r>
      <w:r w:rsidR="0097725A">
        <w:rPr>
          <w:rFonts w:ascii="Times New Roman" w:hAnsi="Times New Roman"/>
          <w:spacing w:val="-3"/>
          <w:sz w:val="24"/>
          <w:szCs w:val="24"/>
        </w:rPr>
        <w:t xml:space="preserve">the </w:t>
      </w:r>
      <w:r w:rsidRPr="00EB4908">
        <w:rPr>
          <w:rFonts w:ascii="Times New Roman" w:hAnsi="Times New Roman"/>
          <w:spacing w:val="-3"/>
          <w:sz w:val="24"/>
          <w:szCs w:val="24"/>
        </w:rPr>
        <w:t>M5</w:t>
      </w:r>
      <w:r w:rsidR="0097725A">
        <w:rPr>
          <w:rFonts w:ascii="Times New Roman" w:hAnsi="Times New Roman"/>
          <w:spacing w:val="-3"/>
          <w:sz w:val="24"/>
          <w:szCs w:val="24"/>
        </w:rPr>
        <w:t xml:space="preserve"> road</w:t>
      </w:r>
      <w:r w:rsidRPr="00EB4908">
        <w:rPr>
          <w:rFonts w:ascii="Times New Roman" w:hAnsi="Times New Roman"/>
          <w:spacing w:val="-3"/>
          <w:sz w:val="24"/>
          <w:szCs w:val="24"/>
        </w:rPr>
        <w:t xml:space="preserve">, the Government </w:t>
      </w:r>
      <w:r w:rsidR="00536846">
        <w:rPr>
          <w:rFonts w:ascii="Times New Roman" w:hAnsi="Times New Roman"/>
          <w:spacing w:val="-3"/>
          <w:sz w:val="24"/>
          <w:szCs w:val="24"/>
        </w:rPr>
        <w:t xml:space="preserve">has obtained a </w:t>
      </w:r>
      <w:r w:rsidRPr="00EB4908">
        <w:rPr>
          <w:rFonts w:ascii="Times New Roman" w:hAnsi="Times New Roman"/>
          <w:spacing w:val="-3"/>
          <w:sz w:val="24"/>
          <w:szCs w:val="24"/>
        </w:rPr>
        <w:t xml:space="preserve">World Bank </w:t>
      </w:r>
      <w:r w:rsidR="00536846">
        <w:rPr>
          <w:rFonts w:ascii="Times New Roman" w:hAnsi="Times New Roman"/>
          <w:spacing w:val="-3"/>
          <w:sz w:val="24"/>
          <w:szCs w:val="24"/>
        </w:rPr>
        <w:t xml:space="preserve">loan </w:t>
      </w:r>
      <w:r w:rsidRPr="00EB4908">
        <w:rPr>
          <w:rFonts w:ascii="Times New Roman" w:hAnsi="Times New Roman"/>
          <w:spacing w:val="-3"/>
          <w:sz w:val="24"/>
          <w:szCs w:val="24"/>
        </w:rPr>
        <w:t>of US$ 1</w:t>
      </w:r>
      <w:r w:rsidR="00E9005A">
        <w:rPr>
          <w:rFonts w:ascii="Times New Roman" w:hAnsi="Times New Roman"/>
          <w:spacing w:val="-3"/>
          <w:sz w:val="24"/>
          <w:szCs w:val="24"/>
        </w:rPr>
        <w:t>5</w:t>
      </w:r>
      <w:r w:rsidRPr="00EB4908">
        <w:rPr>
          <w:rFonts w:ascii="Times New Roman" w:hAnsi="Times New Roman"/>
          <w:spacing w:val="-3"/>
          <w:sz w:val="24"/>
          <w:szCs w:val="24"/>
        </w:rPr>
        <w:t>0 million.</w:t>
      </w:r>
      <w:r w:rsidRPr="00EB4908">
        <w:rPr>
          <w:rStyle w:val="FootnoteReference"/>
          <w:rFonts w:eastAsiaTheme="majorEastAsia"/>
          <w:spacing w:val="-3"/>
          <w:sz w:val="24"/>
          <w:szCs w:val="24"/>
        </w:rPr>
        <w:footnoteReference w:id="24"/>
      </w:r>
      <w:r w:rsidRPr="00EB4908">
        <w:rPr>
          <w:rFonts w:ascii="Times New Roman" w:hAnsi="Times New Roman"/>
          <w:spacing w:val="-3"/>
          <w:sz w:val="24"/>
          <w:szCs w:val="24"/>
        </w:rPr>
        <w:t xml:space="preserve"> </w:t>
      </w:r>
      <w:r w:rsidR="005A21CD">
        <w:rPr>
          <w:rFonts w:ascii="Times New Roman" w:hAnsi="Times New Roman"/>
          <w:spacing w:val="-3"/>
          <w:sz w:val="24"/>
          <w:szCs w:val="24"/>
        </w:rPr>
        <w:t xml:space="preserve"> </w:t>
      </w:r>
      <w:r w:rsidRPr="00EB4908">
        <w:rPr>
          <w:rFonts w:ascii="Times New Roman" w:hAnsi="Times New Roman"/>
          <w:spacing w:val="-3"/>
          <w:sz w:val="24"/>
          <w:szCs w:val="24"/>
        </w:rPr>
        <w:t>Additionally, the Government of Belarus is negotiating a l</w:t>
      </w:r>
      <w:r w:rsidR="0097725A">
        <w:rPr>
          <w:rFonts w:ascii="Times New Roman" w:hAnsi="Times New Roman"/>
          <w:spacing w:val="-3"/>
          <w:sz w:val="24"/>
          <w:szCs w:val="24"/>
        </w:rPr>
        <w:t xml:space="preserve">ine of credit </w:t>
      </w:r>
      <w:r w:rsidRPr="00EB4908">
        <w:rPr>
          <w:rFonts w:ascii="Times New Roman" w:hAnsi="Times New Roman"/>
          <w:spacing w:val="-3"/>
          <w:sz w:val="24"/>
          <w:szCs w:val="24"/>
        </w:rPr>
        <w:t xml:space="preserve">of up to US$ 10 billion with the </w:t>
      </w:r>
      <w:r w:rsidR="0097725A">
        <w:rPr>
          <w:rFonts w:ascii="Times New Roman" w:hAnsi="Times New Roman"/>
          <w:spacing w:val="-3"/>
          <w:sz w:val="24"/>
          <w:szCs w:val="24"/>
        </w:rPr>
        <w:t xml:space="preserve">Government of </w:t>
      </w:r>
      <w:r w:rsidRPr="00EB4908">
        <w:rPr>
          <w:rFonts w:ascii="Times New Roman" w:hAnsi="Times New Roman"/>
          <w:spacing w:val="-3"/>
          <w:sz w:val="24"/>
          <w:szCs w:val="24"/>
        </w:rPr>
        <w:t>Chin</w:t>
      </w:r>
      <w:r w:rsidR="0097725A">
        <w:rPr>
          <w:rFonts w:ascii="Times New Roman" w:hAnsi="Times New Roman"/>
          <w:spacing w:val="-3"/>
          <w:sz w:val="24"/>
          <w:szCs w:val="24"/>
        </w:rPr>
        <w:t>a</w:t>
      </w:r>
      <w:r w:rsidRPr="00EB4908">
        <w:rPr>
          <w:rFonts w:ascii="Times New Roman" w:hAnsi="Times New Roman"/>
          <w:spacing w:val="-3"/>
          <w:sz w:val="24"/>
          <w:szCs w:val="24"/>
        </w:rPr>
        <w:t>, which would support projects in all sectors, including transport. The details of the l</w:t>
      </w:r>
      <w:r w:rsidR="0097725A">
        <w:rPr>
          <w:rFonts w:ascii="Times New Roman" w:hAnsi="Times New Roman"/>
          <w:spacing w:val="-3"/>
          <w:sz w:val="24"/>
          <w:szCs w:val="24"/>
        </w:rPr>
        <w:t xml:space="preserve">ine of credit </w:t>
      </w:r>
      <w:r w:rsidRPr="00EB4908">
        <w:rPr>
          <w:rFonts w:ascii="Times New Roman" w:hAnsi="Times New Roman"/>
          <w:spacing w:val="-3"/>
          <w:sz w:val="24"/>
          <w:szCs w:val="24"/>
        </w:rPr>
        <w:t xml:space="preserve">are under discussion, but preliminary plans indicate that Chinese </w:t>
      </w:r>
      <w:r w:rsidR="0097725A">
        <w:rPr>
          <w:rFonts w:ascii="Times New Roman" w:hAnsi="Times New Roman"/>
          <w:spacing w:val="-3"/>
          <w:sz w:val="24"/>
          <w:szCs w:val="24"/>
        </w:rPr>
        <w:t xml:space="preserve">loans </w:t>
      </w:r>
      <w:r w:rsidRPr="00EB4908">
        <w:rPr>
          <w:rFonts w:ascii="Times New Roman" w:hAnsi="Times New Roman"/>
          <w:spacing w:val="-3"/>
          <w:sz w:val="24"/>
          <w:szCs w:val="24"/>
        </w:rPr>
        <w:t>could be used to upgrade the roads from Minsk to oblast centers and the Minsk</w:t>
      </w:r>
      <w:r w:rsidR="0097725A">
        <w:rPr>
          <w:rFonts w:ascii="Times New Roman" w:hAnsi="Times New Roman"/>
          <w:spacing w:val="-3"/>
          <w:sz w:val="24"/>
          <w:szCs w:val="24"/>
        </w:rPr>
        <w:t xml:space="preserve"> ring road</w:t>
      </w:r>
      <w:r w:rsidRPr="00EB4908">
        <w:rPr>
          <w:rFonts w:ascii="Times New Roman" w:hAnsi="Times New Roman"/>
          <w:spacing w:val="-3"/>
          <w:sz w:val="24"/>
          <w:szCs w:val="24"/>
        </w:rPr>
        <w:t xml:space="preserve">, as shown in </w:t>
      </w:r>
      <w:fldSimple w:instr=" REF _Ref257623392 \h  \* MERGEFORMAT ">
        <w:r w:rsidR="00E85C5F" w:rsidRPr="00E85C5F">
          <w:rPr>
            <w:rFonts w:ascii="Times New Roman" w:hAnsi="Times New Roman"/>
            <w:sz w:val="24"/>
            <w:szCs w:val="24"/>
          </w:rPr>
          <w:t xml:space="preserve">Table </w:t>
        </w:r>
        <w:r w:rsidR="00E85C5F" w:rsidRPr="00E85C5F">
          <w:rPr>
            <w:rFonts w:ascii="Times New Roman" w:hAnsi="Times New Roman"/>
            <w:noProof/>
            <w:sz w:val="24"/>
            <w:szCs w:val="24"/>
          </w:rPr>
          <w:t>11</w:t>
        </w:r>
      </w:fldSimple>
      <w:r w:rsidRPr="00EB4908">
        <w:rPr>
          <w:rFonts w:ascii="Times New Roman" w:hAnsi="Times New Roman"/>
          <w:spacing w:val="-3"/>
          <w:sz w:val="24"/>
          <w:szCs w:val="24"/>
        </w:rPr>
        <w:t xml:space="preserve">. The potential financing deal would however require 15 percent of co-financing from the Government of Belarus, which </w:t>
      </w:r>
      <w:r w:rsidR="0097725A">
        <w:rPr>
          <w:rFonts w:ascii="Times New Roman" w:hAnsi="Times New Roman"/>
          <w:spacing w:val="-3"/>
          <w:sz w:val="24"/>
          <w:szCs w:val="24"/>
        </w:rPr>
        <w:t xml:space="preserve">may </w:t>
      </w:r>
      <w:r w:rsidRPr="00EB4908">
        <w:rPr>
          <w:rFonts w:ascii="Times New Roman" w:hAnsi="Times New Roman"/>
          <w:spacing w:val="-3"/>
          <w:sz w:val="24"/>
          <w:szCs w:val="24"/>
        </w:rPr>
        <w:t>be difficult to arrange in the current fiscal environment.</w:t>
      </w:r>
    </w:p>
    <w:p w:rsidR="00EB4908" w:rsidRPr="007777E2" w:rsidRDefault="00EB4908" w:rsidP="00A52D36">
      <w:pPr>
        <w:pStyle w:val="Caption"/>
        <w:keepNext/>
        <w:ind w:left="720"/>
        <w:rPr>
          <w:color w:val="auto"/>
          <w:sz w:val="22"/>
          <w:szCs w:val="22"/>
        </w:rPr>
      </w:pPr>
      <w:bookmarkStart w:id="167" w:name="_Ref257623392"/>
      <w:bookmarkStart w:id="168" w:name="_Ref257277588"/>
      <w:bookmarkStart w:id="169" w:name="_Toc264227138"/>
      <w:proofErr w:type="gramStart"/>
      <w:r w:rsidRPr="007777E2">
        <w:rPr>
          <w:color w:val="auto"/>
          <w:sz w:val="22"/>
          <w:szCs w:val="22"/>
        </w:rPr>
        <w:lastRenderedPageBreak/>
        <w:t xml:space="preserve">Table </w:t>
      </w:r>
      <w:r w:rsidR="006B40AE" w:rsidRPr="007777E2">
        <w:rPr>
          <w:color w:val="auto"/>
          <w:sz w:val="22"/>
          <w:szCs w:val="22"/>
        </w:rPr>
        <w:fldChar w:fldCharType="begin"/>
      </w:r>
      <w:r w:rsidRPr="007777E2">
        <w:rPr>
          <w:color w:val="auto"/>
          <w:sz w:val="22"/>
          <w:szCs w:val="22"/>
        </w:rPr>
        <w:instrText xml:space="preserve"> SEQ Table \* ARABIC </w:instrText>
      </w:r>
      <w:r w:rsidR="006B40AE" w:rsidRPr="007777E2">
        <w:rPr>
          <w:color w:val="auto"/>
          <w:sz w:val="22"/>
          <w:szCs w:val="22"/>
        </w:rPr>
        <w:fldChar w:fldCharType="separate"/>
      </w:r>
      <w:r w:rsidR="009E2C86">
        <w:rPr>
          <w:noProof/>
          <w:color w:val="auto"/>
          <w:sz w:val="22"/>
          <w:szCs w:val="22"/>
        </w:rPr>
        <w:t>11</w:t>
      </w:r>
      <w:r w:rsidR="006B40AE" w:rsidRPr="007777E2">
        <w:rPr>
          <w:color w:val="auto"/>
          <w:sz w:val="22"/>
          <w:szCs w:val="22"/>
        </w:rPr>
        <w:fldChar w:fldCharType="end"/>
      </w:r>
      <w:bookmarkEnd w:id="167"/>
      <w:r w:rsidRPr="007777E2">
        <w:rPr>
          <w:color w:val="auto"/>
          <w:sz w:val="22"/>
          <w:szCs w:val="22"/>
        </w:rPr>
        <w:t>.</w:t>
      </w:r>
      <w:proofErr w:type="gramEnd"/>
      <w:r w:rsidRPr="007777E2">
        <w:rPr>
          <w:color w:val="auto"/>
          <w:sz w:val="22"/>
          <w:szCs w:val="22"/>
        </w:rPr>
        <w:t xml:space="preserve"> Road Sector in Belarus: Priority Investment Projects (as of January 2010)</w:t>
      </w:r>
      <w:bookmarkEnd w:id="168"/>
      <w:bookmarkEnd w:id="169"/>
    </w:p>
    <w:tbl>
      <w:tblPr>
        <w:tblW w:w="9465" w:type="dxa"/>
        <w:tblInd w:w="93" w:type="dxa"/>
        <w:tblBorders>
          <w:top w:val="single" w:sz="8" w:space="0" w:color="auto"/>
          <w:bottom w:val="single" w:sz="8" w:space="0" w:color="auto"/>
          <w:insideH w:val="single" w:sz="8" w:space="0" w:color="auto"/>
        </w:tblBorders>
        <w:tblLayout w:type="fixed"/>
        <w:tblLook w:val="04A0"/>
      </w:tblPr>
      <w:tblGrid>
        <w:gridCol w:w="2445"/>
        <w:gridCol w:w="810"/>
        <w:gridCol w:w="1350"/>
        <w:gridCol w:w="2250"/>
        <w:gridCol w:w="1440"/>
        <w:gridCol w:w="1170"/>
      </w:tblGrid>
      <w:tr w:rsidR="00EB4908" w:rsidRPr="007777E2" w:rsidTr="00EB4908">
        <w:trPr>
          <w:trHeight w:val="430"/>
        </w:trPr>
        <w:tc>
          <w:tcPr>
            <w:tcW w:w="2445" w:type="dxa"/>
            <w:shd w:val="clear" w:color="000000" w:fill="auto"/>
            <w:hideMark/>
          </w:tcPr>
          <w:p w:rsidR="00EB4908" w:rsidRPr="007777E2" w:rsidRDefault="00EB4908" w:rsidP="00A52D36">
            <w:pPr>
              <w:keepNext/>
              <w:tabs>
                <w:tab w:val="num" w:pos="720"/>
              </w:tabs>
              <w:rPr>
                <w:rFonts w:asciiTheme="minorHAnsi" w:hAnsiTheme="minorHAnsi"/>
                <w:b/>
                <w:bCs/>
                <w:color w:val="000000"/>
                <w:sz w:val="18"/>
                <w:szCs w:val="18"/>
              </w:rPr>
            </w:pPr>
            <w:r w:rsidRPr="007777E2">
              <w:rPr>
                <w:rFonts w:asciiTheme="minorHAnsi" w:hAnsiTheme="minorHAnsi"/>
                <w:b/>
                <w:bCs/>
                <w:color w:val="000000"/>
                <w:sz w:val="18"/>
                <w:szCs w:val="18"/>
              </w:rPr>
              <w:t>Description</w:t>
            </w:r>
          </w:p>
        </w:tc>
        <w:tc>
          <w:tcPr>
            <w:tcW w:w="810" w:type="dxa"/>
            <w:shd w:val="clear" w:color="000000" w:fill="auto"/>
            <w:hideMark/>
          </w:tcPr>
          <w:p w:rsidR="00EB4908" w:rsidRPr="007777E2" w:rsidRDefault="00EB4908" w:rsidP="00A52D36">
            <w:pPr>
              <w:keepNext/>
              <w:tabs>
                <w:tab w:val="num" w:pos="720"/>
              </w:tabs>
              <w:rPr>
                <w:rFonts w:asciiTheme="minorHAnsi" w:hAnsiTheme="minorHAnsi"/>
                <w:b/>
                <w:bCs/>
                <w:color w:val="000000"/>
                <w:sz w:val="18"/>
                <w:szCs w:val="18"/>
              </w:rPr>
            </w:pPr>
            <w:r w:rsidRPr="007777E2">
              <w:rPr>
                <w:rFonts w:asciiTheme="minorHAnsi" w:hAnsiTheme="minorHAnsi"/>
                <w:b/>
                <w:bCs/>
                <w:color w:val="000000"/>
                <w:sz w:val="18"/>
                <w:szCs w:val="18"/>
              </w:rPr>
              <w:t>Length</w:t>
            </w:r>
          </w:p>
        </w:tc>
        <w:tc>
          <w:tcPr>
            <w:tcW w:w="1350" w:type="dxa"/>
            <w:shd w:val="clear" w:color="000000" w:fill="auto"/>
            <w:hideMark/>
          </w:tcPr>
          <w:p w:rsidR="00EB4908" w:rsidRPr="007777E2" w:rsidRDefault="00EB4908" w:rsidP="00A52D36">
            <w:pPr>
              <w:keepNext/>
              <w:tabs>
                <w:tab w:val="num" w:pos="720"/>
              </w:tabs>
              <w:jc w:val="center"/>
              <w:rPr>
                <w:rFonts w:asciiTheme="minorHAnsi" w:hAnsiTheme="minorHAnsi"/>
                <w:b/>
                <w:bCs/>
                <w:color w:val="000000"/>
                <w:sz w:val="18"/>
                <w:szCs w:val="18"/>
              </w:rPr>
            </w:pPr>
            <w:r w:rsidRPr="007777E2">
              <w:rPr>
                <w:rFonts w:asciiTheme="minorHAnsi" w:hAnsiTheme="minorHAnsi"/>
                <w:b/>
                <w:bCs/>
                <w:color w:val="000000"/>
                <w:sz w:val="18"/>
                <w:szCs w:val="18"/>
              </w:rPr>
              <w:t>Cost estimate</w:t>
            </w:r>
          </w:p>
        </w:tc>
        <w:tc>
          <w:tcPr>
            <w:tcW w:w="2250" w:type="dxa"/>
            <w:shd w:val="clear" w:color="000000" w:fill="auto"/>
            <w:hideMark/>
          </w:tcPr>
          <w:p w:rsidR="00EB4908" w:rsidRPr="007777E2" w:rsidRDefault="00EB4908" w:rsidP="00A52D36">
            <w:pPr>
              <w:keepNext/>
              <w:tabs>
                <w:tab w:val="num" w:pos="720"/>
              </w:tabs>
              <w:rPr>
                <w:rFonts w:asciiTheme="minorHAnsi" w:hAnsiTheme="minorHAnsi"/>
                <w:b/>
                <w:bCs/>
                <w:color w:val="000000"/>
                <w:sz w:val="18"/>
                <w:szCs w:val="18"/>
              </w:rPr>
            </w:pPr>
            <w:r w:rsidRPr="007777E2">
              <w:rPr>
                <w:rFonts w:asciiTheme="minorHAnsi" w:hAnsiTheme="minorHAnsi"/>
                <w:b/>
                <w:bCs/>
                <w:color w:val="000000"/>
                <w:sz w:val="18"/>
                <w:szCs w:val="18"/>
              </w:rPr>
              <w:t>Possible sources of funding</w:t>
            </w:r>
          </w:p>
        </w:tc>
        <w:tc>
          <w:tcPr>
            <w:tcW w:w="1440" w:type="dxa"/>
            <w:shd w:val="clear" w:color="000000" w:fill="auto"/>
            <w:hideMark/>
          </w:tcPr>
          <w:p w:rsidR="00EB4908" w:rsidRPr="007777E2" w:rsidRDefault="00EB4908" w:rsidP="00A52D36">
            <w:pPr>
              <w:keepNext/>
              <w:tabs>
                <w:tab w:val="num" w:pos="720"/>
              </w:tabs>
              <w:rPr>
                <w:rFonts w:asciiTheme="minorHAnsi" w:hAnsiTheme="minorHAnsi"/>
                <w:b/>
                <w:bCs/>
                <w:color w:val="000000"/>
                <w:sz w:val="18"/>
                <w:szCs w:val="18"/>
              </w:rPr>
            </w:pPr>
            <w:r w:rsidRPr="007777E2">
              <w:rPr>
                <w:rFonts w:asciiTheme="minorHAnsi" w:hAnsiTheme="minorHAnsi"/>
                <w:b/>
                <w:bCs/>
                <w:color w:val="000000"/>
                <w:sz w:val="18"/>
                <w:szCs w:val="18"/>
              </w:rPr>
              <w:t>Implementation timeframe</w:t>
            </w:r>
          </w:p>
        </w:tc>
        <w:tc>
          <w:tcPr>
            <w:tcW w:w="1170" w:type="dxa"/>
            <w:shd w:val="clear" w:color="000000" w:fill="auto"/>
            <w:hideMark/>
          </w:tcPr>
          <w:p w:rsidR="00EB4908" w:rsidRPr="007777E2" w:rsidRDefault="00EB4908" w:rsidP="00A52D36">
            <w:pPr>
              <w:keepNext/>
              <w:tabs>
                <w:tab w:val="num" w:pos="720"/>
              </w:tabs>
              <w:rPr>
                <w:rFonts w:asciiTheme="minorHAnsi" w:hAnsiTheme="minorHAnsi"/>
                <w:b/>
                <w:bCs/>
                <w:color w:val="000000"/>
                <w:sz w:val="18"/>
                <w:szCs w:val="18"/>
              </w:rPr>
            </w:pPr>
            <w:r w:rsidRPr="007777E2">
              <w:rPr>
                <w:rFonts w:asciiTheme="minorHAnsi" w:hAnsiTheme="minorHAnsi"/>
                <w:b/>
                <w:bCs/>
                <w:color w:val="000000"/>
                <w:sz w:val="18"/>
                <w:szCs w:val="18"/>
              </w:rPr>
              <w:t>Status</w:t>
            </w:r>
          </w:p>
        </w:tc>
      </w:tr>
      <w:tr w:rsidR="00EB4908" w:rsidRPr="007777E2" w:rsidTr="00EB4908">
        <w:trPr>
          <w:trHeight w:val="458"/>
        </w:trPr>
        <w:tc>
          <w:tcPr>
            <w:tcW w:w="2445" w:type="dxa"/>
            <w:shd w:val="clear" w:color="000000" w:fill="auto"/>
            <w:hideMark/>
          </w:tcPr>
          <w:p w:rsidR="00EB4908" w:rsidRPr="007777E2" w:rsidRDefault="00EB4908" w:rsidP="00A52D36">
            <w:pPr>
              <w:keepNext/>
              <w:tabs>
                <w:tab w:val="num" w:pos="720"/>
              </w:tabs>
              <w:rPr>
                <w:rFonts w:asciiTheme="minorHAnsi" w:hAnsiTheme="minorHAnsi"/>
                <w:color w:val="000000"/>
                <w:sz w:val="18"/>
                <w:szCs w:val="18"/>
              </w:rPr>
            </w:pPr>
            <w:r w:rsidRPr="007777E2">
              <w:rPr>
                <w:rFonts w:asciiTheme="minorHAnsi" w:hAnsiTheme="minorHAnsi"/>
                <w:color w:val="000000"/>
                <w:sz w:val="18"/>
                <w:szCs w:val="18"/>
              </w:rPr>
              <w:t>Upgrade of M4 to Category 1 road (km 79-km 176)</w:t>
            </w:r>
          </w:p>
        </w:tc>
        <w:tc>
          <w:tcPr>
            <w:tcW w:w="810" w:type="dxa"/>
            <w:shd w:val="clear" w:color="000000" w:fill="auto"/>
            <w:hideMark/>
          </w:tcPr>
          <w:p w:rsidR="00EB4908" w:rsidRPr="007777E2" w:rsidRDefault="00EB4908" w:rsidP="00A52D36">
            <w:pPr>
              <w:keepNext/>
              <w:tabs>
                <w:tab w:val="num" w:pos="720"/>
              </w:tabs>
              <w:jc w:val="center"/>
              <w:rPr>
                <w:rFonts w:asciiTheme="minorHAnsi" w:hAnsiTheme="minorHAnsi"/>
                <w:color w:val="000000"/>
                <w:sz w:val="18"/>
                <w:szCs w:val="18"/>
              </w:rPr>
            </w:pPr>
            <w:r w:rsidRPr="007777E2">
              <w:rPr>
                <w:rFonts w:asciiTheme="minorHAnsi" w:hAnsiTheme="minorHAnsi"/>
                <w:color w:val="000000"/>
                <w:sz w:val="18"/>
                <w:szCs w:val="18"/>
              </w:rPr>
              <w:t>97km</w:t>
            </w:r>
          </w:p>
        </w:tc>
        <w:tc>
          <w:tcPr>
            <w:tcW w:w="1350" w:type="dxa"/>
            <w:shd w:val="clear" w:color="000000" w:fill="auto"/>
            <w:hideMark/>
          </w:tcPr>
          <w:p w:rsidR="00EB4908" w:rsidRPr="007777E2" w:rsidRDefault="00EB4908" w:rsidP="00A52D36">
            <w:pPr>
              <w:keepNext/>
              <w:tabs>
                <w:tab w:val="num" w:pos="720"/>
              </w:tabs>
              <w:rPr>
                <w:rFonts w:asciiTheme="minorHAnsi" w:hAnsiTheme="minorHAnsi"/>
                <w:color w:val="000000"/>
                <w:sz w:val="18"/>
                <w:szCs w:val="18"/>
              </w:rPr>
            </w:pPr>
            <w:r w:rsidRPr="007777E2">
              <w:rPr>
                <w:rFonts w:asciiTheme="minorHAnsi" w:hAnsiTheme="minorHAnsi"/>
                <w:color w:val="000000"/>
                <w:sz w:val="18"/>
                <w:szCs w:val="18"/>
              </w:rPr>
              <w:t>US$ 340 million</w:t>
            </w:r>
          </w:p>
        </w:tc>
        <w:tc>
          <w:tcPr>
            <w:tcW w:w="2250" w:type="dxa"/>
            <w:shd w:val="clear" w:color="000000" w:fill="auto"/>
            <w:hideMark/>
          </w:tcPr>
          <w:p w:rsidR="00EB4908" w:rsidRPr="007777E2" w:rsidRDefault="00EB4908" w:rsidP="00A52D36">
            <w:pPr>
              <w:keepNext/>
              <w:tabs>
                <w:tab w:val="num" w:pos="720"/>
              </w:tabs>
              <w:rPr>
                <w:rFonts w:asciiTheme="minorHAnsi" w:hAnsiTheme="minorHAnsi"/>
                <w:color w:val="000000"/>
                <w:sz w:val="18"/>
                <w:szCs w:val="18"/>
              </w:rPr>
            </w:pPr>
            <w:r w:rsidRPr="007777E2">
              <w:rPr>
                <w:rFonts w:asciiTheme="minorHAnsi" w:hAnsiTheme="minorHAnsi"/>
                <w:color w:val="000000"/>
                <w:sz w:val="18"/>
                <w:szCs w:val="18"/>
              </w:rPr>
              <w:t xml:space="preserve">Government of Belarus, loans arranged by Chinese government </w:t>
            </w:r>
          </w:p>
        </w:tc>
        <w:tc>
          <w:tcPr>
            <w:tcW w:w="1440" w:type="dxa"/>
            <w:shd w:val="clear" w:color="000000" w:fill="auto"/>
            <w:hideMark/>
          </w:tcPr>
          <w:p w:rsidR="00EB4908" w:rsidRPr="007777E2" w:rsidRDefault="00EB4908" w:rsidP="00A52D36">
            <w:pPr>
              <w:keepNext/>
              <w:tabs>
                <w:tab w:val="num" w:pos="720"/>
              </w:tabs>
              <w:jc w:val="center"/>
              <w:rPr>
                <w:rFonts w:asciiTheme="minorHAnsi" w:hAnsiTheme="minorHAnsi"/>
                <w:color w:val="000000"/>
                <w:sz w:val="18"/>
                <w:szCs w:val="18"/>
              </w:rPr>
            </w:pPr>
            <w:r w:rsidRPr="007777E2">
              <w:rPr>
                <w:rFonts w:asciiTheme="minorHAnsi" w:hAnsiTheme="minorHAnsi"/>
                <w:color w:val="000000"/>
                <w:sz w:val="18"/>
                <w:szCs w:val="18"/>
              </w:rPr>
              <w:t>2011-2012</w:t>
            </w:r>
          </w:p>
        </w:tc>
        <w:tc>
          <w:tcPr>
            <w:tcW w:w="1170" w:type="dxa"/>
            <w:shd w:val="clear" w:color="000000" w:fill="auto"/>
            <w:hideMark/>
          </w:tcPr>
          <w:p w:rsidR="00EB4908" w:rsidRPr="007777E2" w:rsidRDefault="00EB4908" w:rsidP="00A52D36">
            <w:pPr>
              <w:keepNext/>
              <w:tabs>
                <w:tab w:val="num" w:pos="720"/>
              </w:tabs>
              <w:rPr>
                <w:rFonts w:asciiTheme="minorHAnsi" w:hAnsiTheme="minorHAnsi"/>
                <w:color w:val="000000"/>
                <w:sz w:val="18"/>
                <w:szCs w:val="18"/>
              </w:rPr>
            </w:pPr>
            <w:r w:rsidRPr="007777E2">
              <w:rPr>
                <w:rFonts w:asciiTheme="minorHAnsi" w:hAnsiTheme="minorHAnsi"/>
                <w:color w:val="000000"/>
                <w:sz w:val="18"/>
                <w:szCs w:val="18"/>
              </w:rPr>
              <w:t>Under construction</w:t>
            </w:r>
          </w:p>
        </w:tc>
      </w:tr>
      <w:tr w:rsidR="00EB4908" w:rsidRPr="007777E2" w:rsidTr="00EB4908">
        <w:trPr>
          <w:trHeight w:val="620"/>
        </w:trPr>
        <w:tc>
          <w:tcPr>
            <w:tcW w:w="2445" w:type="dxa"/>
            <w:shd w:val="clear" w:color="000000" w:fill="auto"/>
            <w:hideMark/>
          </w:tcPr>
          <w:p w:rsidR="00EB4908" w:rsidRPr="007777E2" w:rsidRDefault="00EB4908" w:rsidP="00A52D36">
            <w:pPr>
              <w:keepNext/>
              <w:tabs>
                <w:tab w:val="num" w:pos="720"/>
              </w:tabs>
              <w:rPr>
                <w:rFonts w:asciiTheme="minorHAnsi" w:hAnsiTheme="minorHAnsi"/>
                <w:color w:val="000000"/>
                <w:sz w:val="18"/>
                <w:szCs w:val="18"/>
              </w:rPr>
            </w:pPr>
            <w:r w:rsidRPr="007777E2">
              <w:rPr>
                <w:rFonts w:asciiTheme="minorHAnsi" w:hAnsiTheme="minorHAnsi"/>
                <w:color w:val="000000"/>
                <w:sz w:val="18"/>
                <w:szCs w:val="18"/>
              </w:rPr>
              <w:t>Upgrade of M5 to Category 1 road (km 57-km 131)</w:t>
            </w:r>
          </w:p>
        </w:tc>
        <w:tc>
          <w:tcPr>
            <w:tcW w:w="810" w:type="dxa"/>
            <w:shd w:val="clear" w:color="000000" w:fill="auto"/>
            <w:hideMark/>
          </w:tcPr>
          <w:p w:rsidR="00EB4908" w:rsidRPr="007777E2" w:rsidRDefault="00EB4908" w:rsidP="00A52D36">
            <w:pPr>
              <w:keepNext/>
              <w:tabs>
                <w:tab w:val="num" w:pos="720"/>
              </w:tabs>
              <w:jc w:val="center"/>
              <w:rPr>
                <w:rFonts w:asciiTheme="minorHAnsi" w:hAnsiTheme="minorHAnsi"/>
                <w:color w:val="000000"/>
                <w:sz w:val="18"/>
                <w:szCs w:val="18"/>
              </w:rPr>
            </w:pPr>
            <w:r w:rsidRPr="007777E2">
              <w:rPr>
                <w:rFonts w:asciiTheme="minorHAnsi" w:hAnsiTheme="minorHAnsi"/>
                <w:color w:val="000000"/>
                <w:sz w:val="18"/>
                <w:szCs w:val="18"/>
              </w:rPr>
              <w:t>74km</w:t>
            </w:r>
          </w:p>
        </w:tc>
        <w:tc>
          <w:tcPr>
            <w:tcW w:w="1350" w:type="dxa"/>
            <w:shd w:val="clear" w:color="000000" w:fill="auto"/>
            <w:hideMark/>
          </w:tcPr>
          <w:p w:rsidR="00EB4908" w:rsidRPr="007777E2" w:rsidRDefault="00EB4908" w:rsidP="00A52D36">
            <w:pPr>
              <w:keepNext/>
              <w:tabs>
                <w:tab w:val="num" w:pos="720"/>
              </w:tabs>
              <w:rPr>
                <w:rFonts w:asciiTheme="minorHAnsi" w:hAnsiTheme="minorHAnsi"/>
                <w:color w:val="000000"/>
                <w:sz w:val="18"/>
                <w:szCs w:val="18"/>
              </w:rPr>
            </w:pPr>
            <w:r w:rsidRPr="007777E2">
              <w:rPr>
                <w:rFonts w:asciiTheme="minorHAnsi" w:hAnsiTheme="minorHAnsi"/>
                <w:color w:val="000000"/>
                <w:sz w:val="18"/>
                <w:szCs w:val="18"/>
              </w:rPr>
              <w:t>US$ 164 million</w:t>
            </w:r>
          </w:p>
        </w:tc>
        <w:tc>
          <w:tcPr>
            <w:tcW w:w="2250" w:type="dxa"/>
            <w:shd w:val="clear" w:color="000000" w:fill="auto"/>
            <w:hideMark/>
          </w:tcPr>
          <w:p w:rsidR="00EB4908" w:rsidRPr="007777E2" w:rsidRDefault="00EB4908" w:rsidP="00A52D36">
            <w:pPr>
              <w:keepNext/>
              <w:tabs>
                <w:tab w:val="num" w:pos="720"/>
              </w:tabs>
              <w:rPr>
                <w:rFonts w:asciiTheme="minorHAnsi" w:hAnsiTheme="minorHAnsi"/>
                <w:color w:val="000000"/>
                <w:sz w:val="18"/>
                <w:szCs w:val="18"/>
              </w:rPr>
            </w:pPr>
            <w:r w:rsidRPr="007777E2">
              <w:rPr>
                <w:rFonts w:asciiTheme="minorHAnsi" w:hAnsiTheme="minorHAnsi"/>
                <w:color w:val="000000"/>
                <w:sz w:val="18"/>
                <w:szCs w:val="18"/>
              </w:rPr>
              <w:t>World Bank loan ($US 131 million), Government co-financing ($US 33 million)</w:t>
            </w:r>
          </w:p>
        </w:tc>
        <w:tc>
          <w:tcPr>
            <w:tcW w:w="1440" w:type="dxa"/>
            <w:shd w:val="clear" w:color="000000" w:fill="auto"/>
            <w:hideMark/>
          </w:tcPr>
          <w:p w:rsidR="00EB4908" w:rsidRPr="007777E2" w:rsidRDefault="00EB4908" w:rsidP="00A52D36">
            <w:pPr>
              <w:keepNext/>
              <w:tabs>
                <w:tab w:val="num" w:pos="720"/>
              </w:tabs>
              <w:jc w:val="center"/>
              <w:rPr>
                <w:rFonts w:asciiTheme="minorHAnsi" w:hAnsiTheme="minorHAnsi"/>
                <w:color w:val="000000"/>
                <w:sz w:val="18"/>
                <w:szCs w:val="18"/>
              </w:rPr>
            </w:pPr>
            <w:r w:rsidRPr="007777E2">
              <w:rPr>
                <w:rFonts w:asciiTheme="minorHAnsi" w:hAnsiTheme="minorHAnsi"/>
                <w:color w:val="000000"/>
                <w:sz w:val="18"/>
                <w:szCs w:val="18"/>
              </w:rPr>
              <w:t>2011-2012</w:t>
            </w:r>
          </w:p>
        </w:tc>
        <w:tc>
          <w:tcPr>
            <w:tcW w:w="1170" w:type="dxa"/>
            <w:shd w:val="clear" w:color="000000" w:fill="auto"/>
            <w:hideMark/>
          </w:tcPr>
          <w:p w:rsidR="00EB4908" w:rsidRPr="007777E2" w:rsidRDefault="00EB4908" w:rsidP="00A52D36">
            <w:pPr>
              <w:keepNext/>
              <w:tabs>
                <w:tab w:val="num" w:pos="720"/>
              </w:tabs>
              <w:rPr>
                <w:rFonts w:asciiTheme="minorHAnsi" w:hAnsiTheme="minorHAnsi"/>
                <w:color w:val="000000"/>
                <w:sz w:val="18"/>
                <w:szCs w:val="18"/>
              </w:rPr>
            </w:pPr>
            <w:r w:rsidRPr="007777E2">
              <w:rPr>
                <w:rFonts w:asciiTheme="minorHAnsi" w:hAnsiTheme="minorHAnsi"/>
                <w:color w:val="000000"/>
                <w:sz w:val="18"/>
                <w:szCs w:val="18"/>
              </w:rPr>
              <w:t>Preparations underway</w:t>
            </w:r>
          </w:p>
        </w:tc>
      </w:tr>
      <w:tr w:rsidR="00EB4908" w:rsidRPr="007777E2" w:rsidTr="00EB4908">
        <w:trPr>
          <w:trHeight w:val="620"/>
        </w:trPr>
        <w:tc>
          <w:tcPr>
            <w:tcW w:w="2445" w:type="dxa"/>
            <w:shd w:val="clear" w:color="000000" w:fill="auto"/>
            <w:hideMark/>
          </w:tcPr>
          <w:p w:rsidR="00EB4908" w:rsidRPr="007777E2" w:rsidRDefault="00EB4908" w:rsidP="00A52D36">
            <w:pPr>
              <w:keepNext/>
              <w:tabs>
                <w:tab w:val="num" w:pos="720"/>
              </w:tabs>
              <w:rPr>
                <w:rFonts w:asciiTheme="minorHAnsi" w:hAnsiTheme="minorHAnsi"/>
                <w:color w:val="000000"/>
                <w:sz w:val="18"/>
                <w:szCs w:val="18"/>
              </w:rPr>
            </w:pPr>
            <w:r w:rsidRPr="007777E2">
              <w:rPr>
                <w:rFonts w:asciiTheme="minorHAnsi" w:hAnsiTheme="minorHAnsi"/>
                <w:color w:val="000000"/>
                <w:sz w:val="18"/>
                <w:szCs w:val="18"/>
              </w:rPr>
              <w:t>New ring road around Minsk</w:t>
            </w:r>
          </w:p>
        </w:tc>
        <w:tc>
          <w:tcPr>
            <w:tcW w:w="810" w:type="dxa"/>
            <w:shd w:val="clear" w:color="000000" w:fill="auto"/>
            <w:hideMark/>
          </w:tcPr>
          <w:p w:rsidR="00EB4908" w:rsidRPr="007777E2" w:rsidRDefault="00EB4908" w:rsidP="00A52D36">
            <w:pPr>
              <w:keepNext/>
              <w:tabs>
                <w:tab w:val="num" w:pos="720"/>
              </w:tabs>
              <w:jc w:val="center"/>
              <w:rPr>
                <w:rFonts w:asciiTheme="minorHAnsi" w:hAnsiTheme="minorHAnsi"/>
                <w:color w:val="000000"/>
                <w:sz w:val="18"/>
                <w:szCs w:val="18"/>
              </w:rPr>
            </w:pPr>
            <w:r w:rsidRPr="007777E2">
              <w:rPr>
                <w:rFonts w:asciiTheme="minorHAnsi" w:hAnsiTheme="minorHAnsi"/>
                <w:color w:val="000000"/>
                <w:sz w:val="18"/>
                <w:szCs w:val="18"/>
              </w:rPr>
              <w:t>70km</w:t>
            </w:r>
          </w:p>
        </w:tc>
        <w:tc>
          <w:tcPr>
            <w:tcW w:w="1350" w:type="dxa"/>
            <w:shd w:val="clear" w:color="000000" w:fill="auto"/>
            <w:hideMark/>
          </w:tcPr>
          <w:p w:rsidR="00EB4908" w:rsidRPr="007777E2" w:rsidRDefault="00EB4908" w:rsidP="00A52D36">
            <w:pPr>
              <w:keepNext/>
              <w:tabs>
                <w:tab w:val="num" w:pos="720"/>
              </w:tabs>
              <w:rPr>
                <w:rFonts w:asciiTheme="minorHAnsi" w:hAnsiTheme="minorHAnsi"/>
                <w:color w:val="000000"/>
                <w:sz w:val="18"/>
                <w:szCs w:val="18"/>
              </w:rPr>
            </w:pPr>
            <w:r w:rsidRPr="007777E2">
              <w:rPr>
                <w:rFonts w:asciiTheme="minorHAnsi" w:hAnsiTheme="minorHAnsi"/>
                <w:color w:val="000000"/>
                <w:sz w:val="18"/>
                <w:szCs w:val="18"/>
              </w:rPr>
              <w:t>US$ 140 million</w:t>
            </w:r>
          </w:p>
        </w:tc>
        <w:tc>
          <w:tcPr>
            <w:tcW w:w="2250" w:type="dxa"/>
            <w:shd w:val="clear" w:color="000000" w:fill="auto"/>
            <w:hideMark/>
          </w:tcPr>
          <w:p w:rsidR="00EB4908" w:rsidRPr="007777E2" w:rsidRDefault="00EB4908" w:rsidP="00A52D36">
            <w:pPr>
              <w:keepNext/>
              <w:tabs>
                <w:tab w:val="num" w:pos="720"/>
              </w:tabs>
              <w:rPr>
                <w:rFonts w:asciiTheme="minorHAnsi" w:hAnsiTheme="minorHAnsi"/>
                <w:color w:val="000000"/>
                <w:sz w:val="18"/>
                <w:szCs w:val="18"/>
              </w:rPr>
            </w:pPr>
            <w:r w:rsidRPr="007777E2">
              <w:rPr>
                <w:rFonts w:asciiTheme="minorHAnsi" w:hAnsiTheme="minorHAnsi"/>
                <w:color w:val="000000"/>
                <w:sz w:val="18"/>
                <w:szCs w:val="18"/>
              </w:rPr>
              <w:t>Government of Belarus, loans arranged by Chinese government</w:t>
            </w:r>
          </w:p>
        </w:tc>
        <w:tc>
          <w:tcPr>
            <w:tcW w:w="1440" w:type="dxa"/>
            <w:shd w:val="clear" w:color="000000" w:fill="auto"/>
            <w:hideMark/>
          </w:tcPr>
          <w:p w:rsidR="00EB4908" w:rsidRPr="007777E2" w:rsidRDefault="00EB4908" w:rsidP="00A52D36">
            <w:pPr>
              <w:keepNext/>
              <w:tabs>
                <w:tab w:val="num" w:pos="720"/>
              </w:tabs>
              <w:jc w:val="center"/>
              <w:rPr>
                <w:rFonts w:asciiTheme="minorHAnsi" w:hAnsiTheme="minorHAnsi"/>
                <w:color w:val="000000"/>
                <w:sz w:val="18"/>
                <w:szCs w:val="18"/>
              </w:rPr>
            </w:pPr>
            <w:r w:rsidRPr="007777E2">
              <w:rPr>
                <w:rFonts w:asciiTheme="minorHAnsi" w:hAnsiTheme="minorHAnsi"/>
                <w:color w:val="000000"/>
                <w:sz w:val="18"/>
                <w:szCs w:val="18"/>
              </w:rPr>
              <w:t>2011-2012</w:t>
            </w:r>
          </w:p>
        </w:tc>
        <w:tc>
          <w:tcPr>
            <w:tcW w:w="1170" w:type="dxa"/>
            <w:shd w:val="clear" w:color="000000" w:fill="auto"/>
            <w:hideMark/>
          </w:tcPr>
          <w:p w:rsidR="00EB4908" w:rsidRPr="007777E2" w:rsidRDefault="00EB4908" w:rsidP="00A52D36">
            <w:pPr>
              <w:keepNext/>
              <w:tabs>
                <w:tab w:val="num" w:pos="720"/>
              </w:tabs>
              <w:rPr>
                <w:rFonts w:asciiTheme="minorHAnsi" w:hAnsiTheme="minorHAnsi"/>
                <w:color w:val="000000"/>
                <w:sz w:val="18"/>
                <w:szCs w:val="18"/>
              </w:rPr>
            </w:pPr>
            <w:r w:rsidRPr="007777E2">
              <w:rPr>
                <w:rFonts w:asciiTheme="minorHAnsi" w:hAnsiTheme="minorHAnsi"/>
                <w:color w:val="000000"/>
                <w:sz w:val="18"/>
                <w:szCs w:val="18"/>
              </w:rPr>
              <w:t>Feasibility study being prepared</w:t>
            </w:r>
          </w:p>
        </w:tc>
      </w:tr>
      <w:tr w:rsidR="00EB4908" w:rsidRPr="007777E2" w:rsidTr="00EB4908">
        <w:trPr>
          <w:trHeight w:val="170"/>
        </w:trPr>
        <w:tc>
          <w:tcPr>
            <w:tcW w:w="9465" w:type="dxa"/>
            <w:gridSpan w:val="6"/>
            <w:shd w:val="clear" w:color="000000" w:fill="auto"/>
            <w:noWrap/>
            <w:hideMark/>
          </w:tcPr>
          <w:p w:rsidR="00EB4908" w:rsidRPr="007777E2" w:rsidRDefault="00EB4908" w:rsidP="00EB4908">
            <w:pPr>
              <w:tabs>
                <w:tab w:val="num" w:pos="720"/>
              </w:tabs>
              <w:rPr>
                <w:color w:val="000000"/>
                <w:sz w:val="18"/>
                <w:szCs w:val="18"/>
              </w:rPr>
            </w:pPr>
            <w:r w:rsidRPr="007777E2">
              <w:rPr>
                <w:iCs/>
                <w:color w:val="000000"/>
                <w:sz w:val="18"/>
                <w:szCs w:val="18"/>
              </w:rPr>
              <w:t xml:space="preserve">Source: Data reported by </w:t>
            </w:r>
            <w:proofErr w:type="spellStart"/>
            <w:r w:rsidRPr="007777E2">
              <w:rPr>
                <w:iCs/>
                <w:color w:val="000000"/>
                <w:sz w:val="18"/>
                <w:szCs w:val="18"/>
              </w:rPr>
              <w:t>Belavtodor</w:t>
            </w:r>
            <w:proofErr w:type="spellEnd"/>
            <w:r w:rsidRPr="007777E2">
              <w:rPr>
                <w:iCs/>
                <w:color w:val="000000"/>
                <w:sz w:val="18"/>
                <w:szCs w:val="18"/>
              </w:rPr>
              <w:t>.</w:t>
            </w:r>
            <w:r w:rsidRPr="007777E2">
              <w:rPr>
                <w:color w:val="000000"/>
                <w:sz w:val="18"/>
                <w:szCs w:val="18"/>
              </w:rPr>
              <w:t> </w:t>
            </w:r>
          </w:p>
        </w:tc>
      </w:tr>
    </w:tbl>
    <w:p w:rsidR="00EB4908" w:rsidRPr="00EB4908" w:rsidRDefault="00EB4908" w:rsidP="00EB4908">
      <w:pPr>
        <w:pStyle w:val="ListParagraph"/>
        <w:tabs>
          <w:tab w:val="left" w:pos="0"/>
        </w:tabs>
        <w:spacing w:after="120" w:line="240" w:lineRule="auto"/>
        <w:ind w:left="0"/>
        <w:contextualSpacing w:val="0"/>
        <w:jc w:val="both"/>
        <w:rPr>
          <w:rFonts w:ascii="Times New Roman" w:hAnsi="Times New Roman"/>
          <w:bCs/>
          <w:color w:val="000000"/>
          <w:sz w:val="24"/>
          <w:szCs w:val="24"/>
        </w:rPr>
      </w:pPr>
    </w:p>
    <w:p w:rsidR="00EB4908" w:rsidRPr="00EB4908" w:rsidRDefault="008046F3" w:rsidP="00BE35AE">
      <w:pPr>
        <w:pStyle w:val="ListParagraph"/>
        <w:numPr>
          <w:ilvl w:val="0"/>
          <w:numId w:val="9"/>
        </w:numPr>
        <w:tabs>
          <w:tab w:val="clear" w:pos="720"/>
          <w:tab w:val="left" w:pos="0"/>
        </w:tabs>
        <w:spacing w:after="120" w:line="240" w:lineRule="auto"/>
        <w:ind w:left="0" w:firstLine="0"/>
        <w:contextualSpacing w:val="0"/>
        <w:jc w:val="both"/>
        <w:rPr>
          <w:rFonts w:ascii="Times New Roman" w:hAnsi="Times New Roman"/>
          <w:bCs/>
          <w:color w:val="000000"/>
          <w:sz w:val="24"/>
          <w:szCs w:val="24"/>
        </w:rPr>
      </w:pPr>
      <w:r w:rsidRPr="00EB4908">
        <w:rPr>
          <w:rFonts w:ascii="Times New Roman" w:hAnsi="Times New Roman"/>
          <w:b/>
          <w:sz w:val="24"/>
          <w:szCs w:val="24"/>
        </w:rPr>
        <w:t xml:space="preserve">It is unclear if the Government’s other investment priorities </w:t>
      </w:r>
      <w:r w:rsidR="0097725A">
        <w:rPr>
          <w:rFonts w:ascii="Times New Roman" w:hAnsi="Times New Roman"/>
          <w:b/>
          <w:sz w:val="24"/>
          <w:szCs w:val="24"/>
        </w:rPr>
        <w:t xml:space="preserve">in the road sector </w:t>
      </w:r>
      <w:r w:rsidRPr="00EB4908">
        <w:rPr>
          <w:rFonts w:ascii="Times New Roman" w:hAnsi="Times New Roman"/>
          <w:b/>
          <w:sz w:val="24"/>
          <w:szCs w:val="24"/>
        </w:rPr>
        <w:t xml:space="preserve">are justified by traffic demand. </w:t>
      </w:r>
      <w:r w:rsidRPr="00EB4908">
        <w:rPr>
          <w:rFonts w:ascii="Times New Roman" w:hAnsi="Times New Roman"/>
          <w:sz w:val="24"/>
          <w:szCs w:val="24"/>
        </w:rPr>
        <w:t xml:space="preserve">In addition to the projects identified in </w:t>
      </w:r>
      <w:fldSimple w:instr=" REF _Ref257623392 \h  \* MERGEFORMAT ">
        <w:r w:rsidR="00E85C5F" w:rsidRPr="00E85C5F">
          <w:rPr>
            <w:rFonts w:ascii="Times New Roman" w:hAnsi="Times New Roman"/>
            <w:sz w:val="24"/>
            <w:szCs w:val="24"/>
          </w:rPr>
          <w:t xml:space="preserve">Table </w:t>
        </w:r>
        <w:r w:rsidR="00E85C5F" w:rsidRPr="00E85C5F">
          <w:rPr>
            <w:rFonts w:ascii="Times New Roman" w:hAnsi="Times New Roman"/>
            <w:noProof/>
            <w:sz w:val="24"/>
            <w:szCs w:val="24"/>
          </w:rPr>
          <w:t>11</w:t>
        </w:r>
      </w:fldSimple>
      <w:r w:rsidRPr="00EB4908">
        <w:rPr>
          <w:rFonts w:ascii="Times New Roman" w:hAnsi="Times New Roman"/>
          <w:sz w:val="24"/>
          <w:szCs w:val="24"/>
        </w:rPr>
        <w:t xml:space="preserve">, the Government has developed plans to upgrade close to 500 kilometers on the remaining part of M5 and on some sections on M3, M5, M6, M7 and M8 roads. According to 2005 data, traffic on these sections had not reached the existing </w:t>
      </w:r>
      <w:r w:rsidR="0097725A">
        <w:rPr>
          <w:rFonts w:ascii="Times New Roman" w:hAnsi="Times New Roman"/>
          <w:sz w:val="24"/>
          <w:szCs w:val="24"/>
        </w:rPr>
        <w:t xml:space="preserve">road </w:t>
      </w:r>
      <w:r w:rsidRPr="00EB4908">
        <w:rPr>
          <w:rFonts w:ascii="Times New Roman" w:hAnsi="Times New Roman"/>
          <w:sz w:val="24"/>
          <w:szCs w:val="24"/>
        </w:rPr>
        <w:t xml:space="preserve">capacity. While </w:t>
      </w:r>
      <w:r w:rsidR="0097725A">
        <w:rPr>
          <w:rFonts w:ascii="Times New Roman" w:hAnsi="Times New Roman"/>
          <w:sz w:val="24"/>
          <w:szCs w:val="24"/>
        </w:rPr>
        <w:t xml:space="preserve">a </w:t>
      </w:r>
      <w:r w:rsidRPr="00EB4908">
        <w:rPr>
          <w:rFonts w:ascii="Times New Roman" w:hAnsi="Times New Roman"/>
          <w:sz w:val="24"/>
          <w:szCs w:val="24"/>
        </w:rPr>
        <w:t xml:space="preserve">traffic </w:t>
      </w:r>
      <w:r w:rsidR="0097725A">
        <w:rPr>
          <w:rFonts w:ascii="Times New Roman" w:hAnsi="Times New Roman"/>
          <w:sz w:val="24"/>
          <w:szCs w:val="24"/>
        </w:rPr>
        <w:t xml:space="preserve">volume </w:t>
      </w:r>
      <w:r w:rsidRPr="00EB4908">
        <w:rPr>
          <w:rFonts w:ascii="Times New Roman" w:hAnsi="Times New Roman"/>
          <w:sz w:val="24"/>
          <w:szCs w:val="24"/>
        </w:rPr>
        <w:t xml:space="preserve">analysis was carried out in 2009 and clearly justified the upgrade of </w:t>
      </w:r>
      <w:r w:rsidR="00536846">
        <w:rPr>
          <w:rFonts w:ascii="Times New Roman" w:hAnsi="Times New Roman"/>
          <w:sz w:val="24"/>
          <w:szCs w:val="24"/>
        </w:rPr>
        <w:t xml:space="preserve">the </w:t>
      </w:r>
      <w:r w:rsidR="0097725A">
        <w:rPr>
          <w:rFonts w:ascii="Times New Roman" w:hAnsi="Times New Roman"/>
          <w:sz w:val="24"/>
          <w:szCs w:val="24"/>
        </w:rPr>
        <w:t xml:space="preserve">section of the </w:t>
      </w:r>
      <w:r w:rsidRPr="00EB4908">
        <w:rPr>
          <w:rFonts w:ascii="Times New Roman" w:hAnsi="Times New Roman"/>
          <w:sz w:val="24"/>
          <w:szCs w:val="24"/>
        </w:rPr>
        <w:t xml:space="preserve">M5 </w:t>
      </w:r>
      <w:r w:rsidR="0097725A">
        <w:rPr>
          <w:rFonts w:ascii="Times New Roman" w:hAnsi="Times New Roman"/>
          <w:sz w:val="24"/>
          <w:szCs w:val="24"/>
        </w:rPr>
        <w:t xml:space="preserve">road </w:t>
      </w:r>
      <w:r w:rsidR="00536846">
        <w:rPr>
          <w:rFonts w:ascii="Times New Roman" w:hAnsi="Times New Roman"/>
          <w:sz w:val="24"/>
          <w:szCs w:val="24"/>
        </w:rPr>
        <w:t xml:space="preserve">to be funded through </w:t>
      </w:r>
      <w:proofErr w:type="gramStart"/>
      <w:r w:rsidR="00536846">
        <w:rPr>
          <w:rFonts w:ascii="Times New Roman" w:hAnsi="Times New Roman"/>
          <w:sz w:val="24"/>
          <w:szCs w:val="24"/>
        </w:rPr>
        <w:t xml:space="preserve">the </w:t>
      </w:r>
      <w:r w:rsidRPr="00EB4908">
        <w:rPr>
          <w:rFonts w:ascii="Times New Roman" w:hAnsi="Times New Roman"/>
          <w:sz w:val="24"/>
          <w:szCs w:val="24"/>
        </w:rPr>
        <w:t xml:space="preserve"> World</w:t>
      </w:r>
      <w:proofErr w:type="gramEnd"/>
      <w:r w:rsidRPr="00EB4908">
        <w:rPr>
          <w:rFonts w:ascii="Times New Roman" w:hAnsi="Times New Roman"/>
          <w:sz w:val="24"/>
          <w:szCs w:val="24"/>
        </w:rPr>
        <w:t xml:space="preserve"> Bank loan, such up-to-date </w:t>
      </w:r>
      <w:r w:rsidR="0097725A">
        <w:rPr>
          <w:rFonts w:ascii="Times New Roman" w:hAnsi="Times New Roman"/>
          <w:sz w:val="24"/>
          <w:szCs w:val="24"/>
        </w:rPr>
        <w:t xml:space="preserve">traffic demand </w:t>
      </w:r>
      <w:r w:rsidRPr="00EB4908">
        <w:rPr>
          <w:rFonts w:ascii="Times New Roman" w:hAnsi="Times New Roman"/>
          <w:sz w:val="24"/>
          <w:szCs w:val="24"/>
        </w:rPr>
        <w:t xml:space="preserve">analysis is missing for the other projects. A new ring road around Minsk would probably generate sufficient traffic based on the high traffic levels on the existing ring road. Similarly, traffic on the M4 road is probably also sufficiently high to warrant an upgrade. However, only detailed traffic analysis on the </w:t>
      </w:r>
      <w:r w:rsidR="0097725A">
        <w:rPr>
          <w:rFonts w:ascii="Times New Roman" w:hAnsi="Times New Roman"/>
          <w:sz w:val="24"/>
          <w:szCs w:val="24"/>
        </w:rPr>
        <w:t xml:space="preserve">other </w:t>
      </w:r>
      <w:r w:rsidRPr="00EB4908">
        <w:rPr>
          <w:rFonts w:ascii="Times New Roman" w:hAnsi="Times New Roman"/>
          <w:sz w:val="24"/>
          <w:szCs w:val="24"/>
        </w:rPr>
        <w:t>main sections of the road network would tell whether the investments could be justified by traffic demand.</w:t>
      </w:r>
    </w:p>
    <w:p w:rsidR="00EB4908" w:rsidRPr="00EB4908" w:rsidRDefault="008046F3" w:rsidP="00BE35AE">
      <w:pPr>
        <w:pStyle w:val="ListParagraph"/>
        <w:numPr>
          <w:ilvl w:val="0"/>
          <w:numId w:val="9"/>
        </w:numPr>
        <w:tabs>
          <w:tab w:val="clear" w:pos="720"/>
          <w:tab w:val="left" w:pos="0"/>
        </w:tabs>
        <w:spacing w:after="120" w:line="240" w:lineRule="auto"/>
        <w:ind w:left="0" w:firstLine="0"/>
        <w:contextualSpacing w:val="0"/>
        <w:jc w:val="both"/>
        <w:rPr>
          <w:rFonts w:ascii="Times New Roman" w:hAnsi="Times New Roman"/>
          <w:bCs/>
          <w:color w:val="000000"/>
          <w:sz w:val="24"/>
          <w:szCs w:val="24"/>
        </w:rPr>
      </w:pPr>
      <w:r w:rsidRPr="00EB4908">
        <w:rPr>
          <w:rFonts w:ascii="Times New Roman" w:hAnsi="Times New Roman"/>
          <w:b/>
          <w:sz w:val="24"/>
          <w:szCs w:val="24"/>
        </w:rPr>
        <w:t xml:space="preserve">With the transfer of management of the </w:t>
      </w:r>
      <w:r w:rsidR="0097725A">
        <w:rPr>
          <w:rFonts w:ascii="Times New Roman" w:hAnsi="Times New Roman"/>
          <w:b/>
          <w:sz w:val="24"/>
          <w:szCs w:val="24"/>
        </w:rPr>
        <w:t>L</w:t>
      </w:r>
      <w:r w:rsidRPr="00EB4908">
        <w:rPr>
          <w:rFonts w:ascii="Times New Roman" w:hAnsi="Times New Roman"/>
          <w:b/>
          <w:sz w:val="24"/>
          <w:szCs w:val="24"/>
        </w:rPr>
        <w:t xml:space="preserve">ocal road network to the oblasts in 2010, recurrent and capital expenditures for the local road network will be the responsibility of the regions. </w:t>
      </w:r>
      <w:r w:rsidRPr="00EB4908">
        <w:rPr>
          <w:rFonts w:ascii="Times New Roman" w:hAnsi="Times New Roman"/>
          <w:sz w:val="24"/>
          <w:szCs w:val="24"/>
        </w:rPr>
        <w:t xml:space="preserve">The </w:t>
      </w:r>
      <w:r w:rsidR="002E24BC">
        <w:rPr>
          <w:rFonts w:ascii="Times New Roman" w:hAnsi="Times New Roman"/>
          <w:sz w:val="24"/>
          <w:szCs w:val="24"/>
        </w:rPr>
        <w:t xml:space="preserve">regions and </w:t>
      </w:r>
      <w:r w:rsidRPr="00EB4908">
        <w:rPr>
          <w:rFonts w:ascii="Times New Roman" w:hAnsi="Times New Roman"/>
          <w:sz w:val="24"/>
          <w:szCs w:val="24"/>
        </w:rPr>
        <w:t xml:space="preserve">municipalities are expected to fund these expenditures from a reallocation of VAT and profit taxes, land and real estate taxes and subsidies from the central government. While the Government undertook </w:t>
      </w:r>
      <w:r w:rsidR="002E24BC">
        <w:rPr>
          <w:rFonts w:ascii="Times New Roman" w:hAnsi="Times New Roman"/>
          <w:sz w:val="24"/>
          <w:szCs w:val="24"/>
        </w:rPr>
        <w:t xml:space="preserve">an </w:t>
      </w:r>
      <w:r w:rsidRPr="00EB4908">
        <w:rPr>
          <w:rFonts w:ascii="Times New Roman" w:hAnsi="Times New Roman"/>
          <w:sz w:val="24"/>
          <w:szCs w:val="24"/>
        </w:rPr>
        <w:t xml:space="preserve">administrative reform to increase the efficiency of spending, it is questionable whether sufficient capacity exists at the local level for project identification, design, appraisal, contracting and supervision. While the regions will receive more funding to finance their new spending mandates, institutional capacity may take longer to develop and may need special support from central road sector organizations. Regions (oblasts) will be held responsible for maintaining local roads in good condition with adequate planning and control. </w:t>
      </w:r>
    </w:p>
    <w:p w:rsidR="00EB4908" w:rsidRPr="00EB4908" w:rsidRDefault="008046F3" w:rsidP="00BE35AE">
      <w:pPr>
        <w:pStyle w:val="ListParagraph"/>
        <w:numPr>
          <w:ilvl w:val="0"/>
          <w:numId w:val="9"/>
        </w:numPr>
        <w:tabs>
          <w:tab w:val="clear" w:pos="720"/>
          <w:tab w:val="left" w:pos="0"/>
        </w:tabs>
        <w:spacing w:after="120" w:line="240" w:lineRule="auto"/>
        <w:ind w:left="0" w:firstLine="0"/>
        <w:contextualSpacing w:val="0"/>
        <w:jc w:val="both"/>
        <w:rPr>
          <w:rFonts w:ascii="Times New Roman" w:hAnsi="Times New Roman"/>
          <w:bCs/>
          <w:color w:val="000000"/>
          <w:sz w:val="24"/>
          <w:szCs w:val="24"/>
        </w:rPr>
      </w:pPr>
      <w:r w:rsidRPr="00EB4908">
        <w:rPr>
          <w:rFonts w:ascii="Times New Roman" w:hAnsi="Times New Roman"/>
          <w:b/>
          <w:sz w:val="24"/>
          <w:szCs w:val="24"/>
        </w:rPr>
        <w:t xml:space="preserve">The central government will support regional governments by covering any financing shortfall for expected local road expenditures. </w:t>
      </w:r>
      <w:r w:rsidRPr="00EB4908">
        <w:rPr>
          <w:rFonts w:ascii="Times New Roman" w:hAnsi="Times New Roman"/>
          <w:sz w:val="24"/>
          <w:szCs w:val="24"/>
        </w:rPr>
        <w:t>Under the new budget guidelines, if the expected expenditures exceed the available financial resources of regional governments, the central government will provide an up-front subsidy to close the financing gap. This arrangement will in principle help to guarantee adequate funding for local roads, which until 2010 were solely funded from the general budget. However, careful need assessment</w:t>
      </w:r>
      <w:r w:rsidR="002E24BC">
        <w:rPr>
          <w:rFonts w:ascii="Times New Roman" w:hAnsi="Times New Roman"/>
          <w:sz w:val="24"/>
          <w:szCs w:val="24"/>
        </w:rPr>
        <w:t>s</w:t>
      </w:r>
      <w:r w:rsidRPr="00EB4908">
        <w:rPr>
          <w:rFonts w:ascii="Times New Roman" w:hAnsi="Times New Roman"/>
          <w:sz w:val="24"/>
          <w:szCs w:val="24"/>
        </w:rPr>
        <w:t xml:space="preserve"> and coordination with national budget planning is required for the new arrangement to work</w:t>
      </w:r>
      <w:r w:rsidR="002E24BC">
        <w:rPr>
          <w:rFonts w:ascii="Times New Roman" w:hAnsi="Times New Roman"/>
          <w:sz w:val="24"/>
          <w:szCs w:val="24"/>
        </w:rPr>
        <w:t xml:space="preserve"> in practice</w:t>
      </w:r>
      <w:r w:rsidRPr="00EB4908">
        <w:rPr>
          <w:rFonts w:ascii="Times New Roman" w:hAnsi="Times New Roman"/>
          <w:sz w:val="24"/>
          <w:szCs w:val="24"/>
        </w:rPr>
        <w:t xml:space="preserve">. Regions may therefore need central government support to develop capacity for needs planning and budgeting. </w:t>
      </w:r>
    </w:p>
    <w:p w:rsidR="008046F3" w:rsidRPr="00EB4908" w:rsidRDefault="008046F3" w:rsidP="00BE35AE">
      <w:pPr>
        <w:pStyle w:val="ListParagraph"/>
        <w:numPr>
          <w:ilvl w:val="0"/>
          <w:numId w:val="9"/>
        </w:numPr>
        <w:tabs>
          <w:tab w:val="clear" w:pos="720"/>
          <w:tab w:val="left" w:pos="0"/>
        </w:tabs>
        <w:spacing w:after="120" w:line="240" w:lineRule="auto"/>
        <w:ind w:left="0" w:firstLine="0"/>
        <w:contextualSpacing w:val="0"/>
        <w:jc w:val="both"/>
        <w:rPr>
          <w:rFonts w:ascii="Times New Roman" w:hAnsi="Times New Roman"/>
          <w:bCs/>
          <w:color w:val="000000"/>
          <w:sz w:val="24"/>
          <w:szCs w:val="24"/>
        </w:rPr>
      </w:pPr>
      <w:r w:rsidRPr="00EB4908">
        <w:rPr>
          <w:rFonts w:ascii="Times New Roman" w:hAnsi="Times New Roman"/>
          <w:b/>
          <w:sz w:val="24"/>
          <w:szCs w:val="24"/>
        </w:rPr>
        <w:t xml:space="preserve">Historical budget allocation patterns indicate that considerably more funding was allocated to maintenance of the </w:t>
      </w:r>
      <w:r w:rsidR="002E24BC">
        <w:rPr>
          <w:rFonts w:ascii="Times New Roman" w:hAnsi="Times New Roman"/>
          <w:b/>
          <w:sz w:val="24"/>
          <w:szCs w:val="24"/>
        </w:rPr>
        <w:t>R</w:t>
      </w:r>
      <w:r w:rsidRPr="00EB4908">
        <w:rPr>
          <w:rFonts w:ascii="Times New Roman" w:hAnsi="Times New Roman"/>
          <w:b/>
          <w:sz w:val="24"/>
          <w:szCs w:val="24"/>
        </w:rPr>
        <w:t xml:space="preserve">epublican road network than to the </w:t>
      </w:r>
      <w:r w:rsidR="002E24BC">
        <w:rPr>
          <w:rFonts w:ascii="Times New Roman" w:hAnsi="Times New Roman"/>
          <w:b/>
          <w:sz w:val="24"/>
          <w:szCs w:val="24"/>
        </w:rPr>
        <w:t>L</w:t>
      </w:r>
      <w:r w:rsidRPr="00EB4908">
        <w:rPr>
          <w:rFonts w:ascii="Times New Roman" w:hAnsi="Times New Roman"/>
          <w:b/>
          <w:sz w:val="24"/>
          <w:szCs w:val="24"/>
        </w:rPr>
        <w:t>ocal road network.</w:t>
      </w:r>
      <w:r w:rsidRPr="00EB4908">
        <w:rPr>
          <w:rFonts w:ascii="Times New Roman" w:hAnsi="Times New Roman"/>
          <w:sz w:val="24"/>
          <w:szCs w:val="24"/>
        </w:rPr>
        <w:t xml:space="preserve"> </w:t>
      </w:r>
      <w:r w:rsidRPr="00EB4908">
        <w:rPr>
          <w:rFonts w:ascii="Times New Roman" w:hAnsi="Times New Roman"/>
          <w:spacing w:val="-3"/>
          <w:sz w:val="24"/>
          <w:szCs w:val="24"/>
        </w:rPr>
        <w:lastRenderedPageBreak/>
        <w:t xml:space="preserve">In 2009, total spending on </w:t>
      </w:r>
      <w:r w:rsidR="002E24BC">
        <w:rPr>
          <w:rFonts w:ascii="Times New Roman" w:hAnsi="Times New Roman"/>
          <w:spacing w:val="-3"/>
          <w:sz w:val="24"/>
          <w:szCs w:val="24"/>
        </w:rPr>
        <w:t>R</w:t>
      </w:r>
      <w:r w:rsidRPr="00EB4908">
        <w:rPr>
          <w:rFonts w:ascii="Times New Roman" w:hAnsi="Times New Roman"/>
          <w:spacing w:val="-3"/>
          <w:sz w:val="24"/>
          <w:szCs w:val="24"/>
        </w:rPr>
        <w:t xml:space="preserve">epublican roads was BYR </w:t>
      </w:r>
      <w:r w:rsidR="00DA4A91" w:rsidRPr="00EB4908">
        <w:rPr>
          <w:rFonts w:ascii="Times New Roman" w:hAnsi="Times New Roman"/>
          <w:spacing w:val="-3"/>
          <w:sz w:val="24"/>
          <w:szCs w:val="24"/>
        </w:rPr>
        <w:t>8</w:t>
      </w:r>
      <w:r w:rsidR="00DA4A91">
        <w:rPr>
          <w:rFonts w:ascii="Times New Roman" w:hAnsi="Times New Roman"/>
          <w:spacing w:val="-3"/>
          <w:sz w:val="24"/>
          <w:szCs w:val="24"/>
        </w:rPr>
        <w:t>81</w:t>
      </w:r>
      <w:r w:rsidR="00DA4A91" w:rsidRPr="00EB4908">
        <w:rPr>
          <w:rFonts w:ascii="Times New Roman" w:hAnsi="Times New Roman"/>
          <w:spacing w:val="-3"/>
          <w:sz w:val="24"/>
          <w:szCs w:val="24"/>
        </w:rPr>
        <w:t xml:space="preserve"> </w:t>
      </w:r>
      <w:r w:rsidRPr="00EB4908">
        <w:rPr>
          <w:rFonts w:ascii="Times New Roman" w:hAnsi="Times New Roman"/>
          <w:spacing w:val="-3"/>
          <w:sz w:val="24"/>
          <w:szCs w:val="24"/>
        </w:rPr>
        <w:t xml:space="preserve">billion, twice as much as the basic maintenance needs of BYR 413 billion. This means that funds were available not only to maintain the current condition of the network, but also to repair and upgrade the network to improve its quality. As noted previously, the condition of </w:t>
      </w:r>
      <w:r w:rsidR="002E24BC">
        <w:rPr>
          <w:rFonts w:ascii="Times New Roman" w:hAnsi="Times New Roman"/>
          <w:spacing w:val="-3"/>
          <w:sz w:val="24"/>
          <w:szCs w:val="24"/>
        </w:rPr>
        <w:t>R</w:t>
      </w:r>
      <w:r w:rsidRPr="00EB4908">
        <w:rPr>
          <w:rFonts w:ascii="Times New Roman" w:hAnsi="Times New Roman"/>
          <w:spacing w:val="-3"/>
          <w:sz w:val="24"/>
          <w:szCs w:val="24"/>
        </w:rPr>
        <w:t xml:space="preserve">epublican roads has in fact improved in recent years. The situation of the </w:t>
      </w:r>
      <w:r w:rsidR="002E24BC">
        <w:rPr>
          <w:rFonts w:ascii="Times New Roman" w:hAnsi="Times New Roman"/>
          <w:spacing w:val="-3"/>
          <w:sz w:val="24"/>
          <w:szCs w:val="24"/>
        </w:rPr>
        <w:t>R</w:t>
      </w:r>
      <w:r w:rsidRPr="00EB4908">
        <w:rPr>
          <w:rFonts w:ascii="Times New Roman" w:hAnsi="Times New Roman"/>
          <w:spacing w:val="-3"/>
          <w:sz w:val="24"/>
          <w:szCs w:val="24"/>
        </w:rPr>
        <w:t xml:space="preserve">epublican roads contrasts sharply with the funding for </w:t>
      </w:r>
      <w:r w:rsidR="002E24BC">
        <w:rPr>
          <w:rFonts w:ascii="Times New Roman" w:hAnsi="Times New Roman"/>
          <w:spacing w:val="-3"/>
          <w:sz w:val="24"/>
          <w:szCs w:val="24"/>
        </w:rPr>
        <w:t>L</w:t>
      </w:r>
      <w:r w:rsidRPr="00EB4908">
        <w:rPr>
          <w:rFonts w:ascii="Times New Roman" w:hAnsi="Times New Roman"/>
          <w:spacing w:val="-3"/>
          <w:sz w:val="24"/>
          <w:szCs w:val="24"/>
        </w:rPr>
        <w:t xml:space="preserve">ocal roads.  Also in 2009, </w:t>
      </w:r>
      <w:r w:rsidR="002E24BC">
        <w:rPr>
          <w:rFonts w:ascii="Times New Roman" w:hAnsi="Times New Roman"/>
          <w:spacing w:val="-3"/>
          <w:sz w:val="24"/>
          <w:szCs w:val="24"/>
        </w:rPr>
        <w:t>L</w:t>
      </w:r>
      <w:r w:rsidRPr="00EB4908">
        <w:rPr>
          <w:rFonts w:ascii="Times New Roman" w:hAnsi="Times New Roman"/>
          <w:spacing w:val="-3"/>
          <w:sz w:val="24"/>
          <w:szCs w:val="24"/>
        </w:rPr>
        <w:t>ocal roads received less than half of the amount required to maintain th</w:t>
      </w:r>
      <w:r w:rsidR="002E24BC">
        <w:rPr>
          <w:rFonts w:ascii="Times New Roman" w:hAnsi="Times New Roman"/>
          <w:spacing w:val="-3"/>
          <w:sz w:val="24"/>
          <w:szCs w:val="24"/>
        </w:rPr>
        <w:t xml:space="preserve">ose roads </w:t>
      </w:r>
      <w:r w:rsidRPr="00EB4908">
        <w:rPr>
          <w:rFonts w:ascii="Times New Roman" w:hAnsi="Times New Roman"/>
          <w:spacing w:val="-3"/>
          <w:sz w:val="24"/>
          <w:szCs w:val="24"/>
        </w:rPr>
        <w:t xml:space="preserve">in </w:t>
      </w:r>
      <w:r w:rsidR="002E24BC">
        <w:rPr>
          <w:rFonts w:ascii="Times New Roman" w:hAnsi="Times New Roman"/>
          <w:spacing w:val="-3"/>
          <w:sz w:val="24"/>
          <w:szCs w:val="24"/>
        </w:rPr>
        <w:t xml:space="preserve">their </w:t>
      </w:r>
      <w:r w:rsidRPr="00EB4908">
        <w:rPr>
          <w:rFonts w:ascii="Times New Roman" w:hAnsi="Times New Roman"/>
          <w:spacing w:val="-3"/>
          <w:sz w:val="24"/>
          <w:szCs w:val="24"/>
        </w:rPr>
        <w:t xml:space="preserve">current condition and prevent further deterioration, based on the analysis undertaken by the World Bank for this report (see paragraph </w:t>
      </w:r>
      <w:r w:rsidR="00E9005A">
        <w:rPr>
          <w:rFonts w:ascii="Times New Roman" w:hAnsi="Times New Roman"/>
          <w:spacing w:val="-3"/>
          <w:sz w:val="24"/>
          <w:szCs w:val="24"/>
        </w:rPr>
        <w:t xml:space="preserve">4.25 </w:t>
      </w:r>
      <w:r w:rsidRPr="00EB4908">
        <w:rPr>
          <w:rFonts w:ascii="Times New Roman" w:hAnsi="Times New Roman"/>
          <w:spacing w:val="-3"/>
          <w:sz w:val="24"/>
          <w:szCs w:val="24"/>
        </w:rPr>
        <w:t xml:space="preserve">onwards). However, </w:t>
      </w:r>
      <w:r w:rsidR="002E24BC">
        <w:rPr>
          <w:rFonts w:ascii="Times New Roman" w:hAnsi="Times New Roman"/>
          <w:spacing w:val="-3"/>
          <w:sz w:val="24"/>
          <w:szCs w:val="24"/>
        </w:rPr>
        <w:t xml:space="preserve">an assessment of optimum spending on </w:t>
      </w:r>
      <w:r w:rsidR="00E9005A">
        <w:rPr>
          <w:rFonts w:ascii="Times New Roman" w:hAnsi="Times New Roman"/>
          <w:spacing w:val="-3"/>
          <w:sz w:val="24"/>
          <w:szCs w:val="24"/>
        </w:rPr>
        <w:t>L</w:t>
      </w:r>
      <w:r w:rsidR="002E24BC">
        <w:rPr>
          <w:rFonts w:ascii="Times New Roman" w:hAnsi="Times New Roman"/>
          <w:spacing w:val="-3"/>
          <w:sz w:val="24"/>
          <w:szCs w:val="24"/>
        </w:rPr>
        <w:t xml:space="preserve">ocal roads is needed; it must take into account the traffic levels on these roads, which are generally low.  Such an assessment will also </w:t>
      </w:r>
      <w:r w:rsidRPr="00EB4908">
        <w:rPr>
          <w:rFonts w:ascii="Times New Roman" w:hAnsi="Times New Roman"/>
          <w:spacing w:val="-3"/>
          <w:sz w:val="24"/>
          <w:szCs w:val="24"/>
        </w:rPr>
        <w:t xml:space="preserve">require more comprehensive </w:t>
      </w:r>
      <w:r w:rsidR="002E24BC">
        <w:rPr>
          <w:rFonts w:ascii="Times New Roman" w:hAnsi="Times New Roman"/>
          <w:spacing w:val="-3"/>
          <w:sz w:val="24"/>
          <w:szCs w:val="24"/>
        </w:rPr>
        <w:t xml:space="preserve">traffic </w:t>
      </w:r>
      <w:r w:rsidRPr="00EB4908">
        <w:rPr>
          <w:rFonts w:ascii="Times New Roman" w:hAnsi="Times New Roman"/>
          <w:spacing w:val="-3"/>
          <w:sz w:val="24"/>
          <w:szCs w:val="24"/>
        </w:rPr>
        <w:t xml:space="preserve">data </w:t>
      </w:r>
      <w:r w:rsidR="002E24BC">
        <w:rPr>
          <w:rFonts w:ascii="Times New Roman" w:hAnsi="Times New Roman"/>
          <w:spacing w:val="-3"/>
          <w:sz w:val="24"/>
          <w:szCs w:val="24"/>
        </w:rPr>
        <w:t xml:space="preserve">for Local roads </w:t>
      </w:r>
      <w:r w:rsidRPr="00EB4908">
        <w:rPr>
          <w:rFonts w:ascii="Times New Roman" w:hAnsi="Times New Roman"/>
          <w:spacing w:val="-3"/>
          <w:sz w:val="24"/>
          <w:szCs w:val="24"/>
        </w:rPr>
        <w:t xml:space="preserve">and </w:t>
      </w:r>
      <w:r w:rsidR="002E24BC">
        <w:rPr>
          <w:rFonts w:ascii="Times New Roman" w:hAnsi="Times New Roman"/>
          <w:spacing w:val="-3"/>
          <w:sz w:val="24"/>
          <w:szCs w:val="24"/>
        </w:rPr>
        <w:t xml:space="preserve">new traffic </w:t>
      </w:r>
      <w:r w:rsidRPr="00EB4908">
        <w:rPr>
          <w:rFonts w:ascii="Times New Roman" w:hAnsi="Times New Roman"/>
          <w:spacing w:val="-3"/>
          <w:sz w:val="24"/>
          <w:szCs w:val="24"/>
        </w:rPr>
        <w:t>counts</w:t>
      </w:r>
      <w:r w:rsidR="002E24BC">
        <w:rPr>
          <w:rFonts w:ascii="Times New Roman" w:hAnsi="Times New Roman"/>
          <w:spacing w:val="-3"/>
          <w:sz w:val="24"/>
          <w:szCs w:val="24"/>
        </w:rPr>
        <w:t xml:space="preserve">; these </w:t>
      </w:r>
      <w:r w:rsidRPr="00EB4908">
        <w:rPr>
          <w:rFonts w:ascii="Times New Roman" w:hAnsi="Times New Roman"/>
          <w:spacing w:val="-3"/>
          <w:sz w:val="24"/>
          <w:szCs w:val="24"/>
        </w:rPr>
        <w:t xml:space="preserve">were </w:t>
      </w:r>
      <w:r w:rsidR="002E24BC">
        <w:rPr>
          <w:rFonts w:ascii="Times New Roman" w:hAnsi="Times New Roman"/>
          <w:spacing w:val="-3"/>
          <w:sz w:val="24"/>
          <w:szCs w:val="24"/>
        </w:rPr>
        <w:t xml:space="preserve">however </w:t>
      </w:r>
      <w:r w:rsidRPr="00EB4908">
        <w:rPr>
          <w:rFonts w:ascii="Times New Roman" w:hAnsi="Times New Roman"/>
          <w:spacing w:val="-3"/>
          <w:sz w:val="24"/>
          <w:szCs w:val="24"/>
        </w:rPr>
        <w:t xml:space="preserve">not available at the time of the data collection for this </w:t>
      </w:r>
      <w:r w:rsidR="00E9005A">
        <w:rPr>
          <w:rFonts w:ascii="Times New Roman" w:hAnsi="Times New Roman"/>
          <w:spacing w:val="-3"/>
          <w:sz w:val="24"/>
          <w:szCs w:val="24"/>
        </w:rPr>
        <w:t>report</w:t>
      </w:r>
      <w:r w:rsidR="00E9005A">
        <w:rPr>
          <w:spacing w:val="-3"/>
        </w:rPr>
        <w:t>.</w:t>
      </w:r>
    </w:p>
    <w:p w:rsidR="00EB4908" w:rsidRPr="007777E2" w:rsidRDefault="00EB4908" w:rsidP="00EB4908">
      <w:pPr>
        <w:pStyle w:val="Heading3"/>
        <w:tabs>
          <w:tab w:val="num" w:pos="720"/>
        </w:tabs>
        <w:spacing w:after="240"/>
        <w:rPr>
          <w:rFonts w:ascii="Times New Roman" w:hAnsi="Times New Roman" w:cs="Times New Roman"/>
          <w:sz w:val="24"/>
          <w:szCs w:val="24"/>
        </w:rPr>
      </w:pPr>
      <w:bookmarkStart w:id="170" w:name="_Toc282029950"/>
      <w:r w:rsidRPr="007777E2">
        <w:rPr>
          <w:rFonts w:ascii="Times New Roman" w:hAnsi="Times New Roman" w:cs="Times New Roman"/>
          <w:sz w:val="24"/>
          <w:szCs w:val="24"/>
        </w:rPr>
        <w:t>Estimated Financing Requirements</w:t>
      </w:r>
      <w:r w:rsidR="006F0F97">
        <w:rPr>
          <w:rFonts w:ascii="Times New Roman" w:hAnsi="Times New Roman" w:cs="Times New Roman"/>
          <w:sz w:val="24"/>
          <w:szCs w:val="24"/>
        </w:rPr>
        <w:t xml:space="preserve"> for </w:t>
      </w:r>
      <w:r w:rsidRPr="007777E2">
        <w:rPr>
          <w:rFonts w:ascii="Times New Roman" w:hAnsi="Times New Roman" w:cs="Times New Roman"/>
          <w:sz w:val="24"/>
          <w:szCs w:val="24"/>
        </w:rPr>
        <w:t>Road Infrastructure</w:t>
      </w:r>
      <w:bookmarkEnd w:id="170"/>
    </w:p>
    <w:p w:rsidR="008046F3" w:rsidRPr="00EB4908" w:rsidRDefault="008046F3" w:rsidP="00BE35AE">
      <w:pPr>
        <w:pStyle w:val="ListParagraph"/>
        <w:numPr>
          <w:ilvl w:val="0"/>
          <w:numId w:val="9"/>
        </w:numPr>
        <w:tabs>
          <w:tab w:val="clear" w:pos="720"/>
          <w:tab w:val="left" w:pos="0"/>
        </w:tabs>
        <w:spacing w:after="120" w:line="240" w:lineRule="auto"/>
        <w:ind w:left="0" w:firstLine="0"/>
        <w:contextualSpacing w:val="0"/>
        <w:jc w:val="both"/>
        <w:rPr>
          <w:rFonts w:ascii="Times New Roman" w:hAnsi="Times New Roman"/>
          <w:bCs/>
          <w:color w:val="000000"/>
          <w:sz w:val="24"/>
          <w:szCs w:val="24"/>
        </w:rPr>
      </w:pPr>
      <w:bookmarkStart w:id="171" w:name="_Ref258482680"/>
      <w:r w:rsidRPr="00EB4908">
        <w:rPr>
          <w:rFonts w:ascii="Times New Roman" w:hAnsi="Times New Roman"/>
          <w:b/>
          <w:sz w:val="24"/>
          <w:szCs w:val="24"/>
        </w:rPr>
        <w:t>The financing requirements of the road network include three categories of future expenditure needs</w:t>
      </w:r>
      <w:r w:rsidRPr="00EB4908">
        <w:rPr>
          <w:rFonts w:ascii="Times New Roman" w:hAnsi="Times New Roman"/>
          <w:sz w:val="24"/>
          <w:szCs w:val="24"/>
        </w:rPr>
        <w:t>: (</w:t>
      </w:r>
      <w:proofErr w:type="spellStart"/>
      <w:r w:rsidRPr="00EB4908">
        <w:rPr>
          <w:rFonts w:ascii="Times New Roman" w:hAnsi="Times New Roman"/>
          <w:sz w:val="24"/>
          <w:szCs w:val="24"/>
        </w:rPr>
        <w:t>i</w:t>
      </w:r>
      <w:proofErr w:type="spellEnd"/>
      <w:r w:rsidRPr="00EB4908">
        <w:rPr>
          <w:rFonts w:ascii="Times New Roman" w:hAnsi="Times New Roman"/>
          <w:sz w:val="24"/>
          <w:szCs w:val="24"/>
        </w:rPr>
        <w:t>) recurrent expenditure needs in terms of routine, winter and scheduled periodic maintenance that are necessary to ensure that the road network is maintained in good condition (what can be termed as the “normal maintenance needs”); (ii) annualized capital expenditure</w:t>
      </w:r>
      <w:r w:rsidR="00E9005A">
        <w:rPr>
          <w:rFonts w:ascii="Times New Roman" w:hAnsi="Times New Roman"/>
          <w:sz w:val="24"/>
          <w:szCs w:val="24"/>
        </w:rPr>
        <w:t xml:space="preserve">s </w:t>
      </w:r>
      <w:r w:rsidRPr="00EB4908">
        <w:rPr>
          <w:rFonts w:ascii="Times New Roman" w:hAnsi="Times New Roman"/>
          <w:sz w:val="24"/>
          <w:szCs w:val="24"/>
        </w:rPr>
        <w:t xml:space="preserve">necessary to clear any maintenance backlog and return the road network to </w:t>
      </w:r>
      <w:r w:rsidR="00044350">
        <w:rPr>
          <w:rFonts w:ascii="Times New Roman" w:hAnsi="Times New Roman"/>
          <w:sz w:val="24"/>
          <w:szCs w:val="24"/>
        </w:rPr>
        <w:t xml:space="preserve">a </w:t>
      </w:r>
      <w:r w:rsidRPr="00EB4908">
        <w:rPr>
          <w:rFonts w:ascii="Times New Roman" w:hAnsi="Times New Roman"/>
          <w:sz w:val="24"/>
          <w:szCs w:val="24"/>
        </w:rPr>
        <w:t>good condition; and (iii) additional capital expenditure</w:t>
      </w:r>
      <w:r w:rsidR="00E9005A">
        <w:rPr>
          <w:rFonts w:ascii="Times New Roman" w:hAnsi="Times New Roman"/>
          <w:sz w:val="24"/>
          <w:szCs w:val="24"/>
        </w:rPr>
        <w:t>s</w:t>
      </w:r>
      <w:r w:rsidRPr="00EB4908">
        <w:rPr>
          <w:rFonts w:ascii="Times New Roman" w:hAnsi="Times New Roman"/>
          <w:sz w:val="24"/>
          <w:szCs w:val="24"/>
        </w:rPr>
        <w:t xml:space="preserve"> to upgrade the network</w:t>
      </w:r>
      <w:r w:rsidR="00E9005A">
        <w:rPr>
          <w:rFonts w:ascii="Times New Roman" w:hAnsi="Times New Roman"/>
          <w:sz w:val="24"/>
          <w:szCs w:val="24"/>
        </w:rPr>
        <w:t xml:space="preserve"> and</w:t>
      </w:r>
      <w:r w:rsidRPr="00EB4908">
        <w:rPr>
          <w:rFonts w:ascii="Times New Roman" w:hAnsi="Times New Roman"/>
          <w:sz w:val="24"/>
          <w:szCs w:val="24"/>
        </w:rPr>
        <w:t xml:space="preserve"> to keep pace with growing traffic volumes.</w:t>
      </w:r>
      <w:bookmarkEnd w:id="171"/>
      <w:r w:rsidRPr="00EB4908">
        <w:rPr>
          <w:rFonts w:ascii="Times New Roman" w:hAnsi="Times New Roman"/>
          <w:sz w:val="24"/>
          <w:szCs w:val="24"/>
        </w:rPr>
        <w:t xml:space="preserve"> </w:t>
      </w:r>
      <w:fldSimple w:instr=" REF _Ref257282772 \h  \* MERGEFORMAT ">
        <w:r w:rsidR="00E85C5F" w:rsidRPr="00E85C5F">
          <w:rPr>
            <w:rFonts w:ascii="Times New Roman" w:hAnsi="Times New Roman"/>
            <w:sz w:val="24"/>
            <w:szCs w:val="24"/>
          </w:rPr>
          <w:t xml:space="preserve">Table </w:t>
        </w:r>
        <w:r w:rsidR="00E85C5F" w:rsidRPr="00E85C5F">
          <w:rPr>
            <w:rFonts w:ascii="Times New Roman" w:hAnsi="Times New Roman"/>
            <w:noProof/>
            <w:sz w:val="24"/>
            <w:szCs w:val="24"/>
          </w:rPr>
          <w:t>12</w:t>
        </w:r>
      </w:fldSimple>
      <w:r w:rsidRPr="00EB4908">
        <w:rPr>
          <w:rFonts w:ascii="Times New Roman" w:hAnsi="Times New Roman"/>
          <w:sz w:val="24"/>
          <w:szCs w:val="24"/>
        </w:rPr>
        <w:t xml:space="preserve"> presents the </w:t>
      </w:r>
      <w:r w:rsidR="00044350">
        <w:rPr>
          <w:rFonts w:ascii="Times New Roman" w:hAnsi="Times New Roman"/>
          <w:sz w:val="24"/>
          <w:szCs w:val="24"/>
        </w:rPr>
        <w:t xml:space="preserve">results of a brief </w:t>
      </w:r>
      <w:r w:rsidRPr="00EB4908">
        <w:rPr>
          <w:rFonts w:ascii="Times New Roman" w:hAnsi="Times New Roman"/>
          <w:sz w:val="24"/>
          <w:szCs w:val="24"/>
        </w:rPr>
        <w:t>analysis</w:t>
      </w:r>
      <w:r w:rsidR="00044350">
        <w:rPr>
          <w:rFonts w:ascii="Times New Roman" w:hAnsi="Times New Roman"/>
          <w:sz w:val="24"/>
          <w:szCs w:val="24"/>
        </w:rPr>
        <w:t xml:space="preserve"> carried out by the World Bank</w:t>
      </w:r>
      <w:r w:rsidRPr="00EB4908">
        <w:rPr>
          <w:rFonts w:ascii="Times New Roman" w:hAnsi="Times New Roman"/>
          <w:sz w:val="24"/>
          <w:szCs w:val="24"/>
        </w:rPr>
        <w:t xml:space="preserve"> on </w:t>
      </w:r>
      <w:r w:rsidR="00044350">
        <w:rPr>
          <w:rFonts w:ascii="Times New Roman" w:hAnsi="Times New Roman"/>
          <w:sz w:val="24"/>
          <w:szCs w:val="24"/>
        </w:rPr>
        <w:t>the first and second of those categories (“</w:t>
      </w:r>
      <w:r w:rsidR="0004363C" w:rsidRPr="0004363C">
        <w:rPr>
          <w:rFonts w:ascii="Times New Roman" w:hAnsi="Times New Roman"/>
          <w:i/>
          <w:sz w:val="24"/>
          <w:szCs w:val="24"/>
        </w:rPr>
        <w:t>normal road maintenance needs</w:t>
      </w:r>
      <w:r w:rsidR="00044350">
        <w:rPr>
          <w:rFonts w:ascii="Times New Roman" w:hAnsi="Times New Roman"/>
          <w:sz w:val="24"/>
          <w:szCs w:val="24"/>
        </w:rPr>
        <w:t>” and “</w:t>
      </w:r>
      <w:r w:rsidR="0004363C" w:rsidRPr="0004363C">
        <w:rPr>
          <w:rFonts w:ascii="Times New Roman" w:hAnsi="Times New Roman"/>
          <w:i/>
          <w:sz w:val="24"/>
          <w:szCs w:val="24"/>
        </w:rPr>
        <w:t>eliminating backlog</w:t>
      </w:r>
      <w:r w:rsidR="00044350">
        <w:rPr>
          <w:rFonts w:ascii="Times New Roman" w:hAnsi="Times New Roman"/>
          <w:sz w:val="24"/>
          <w:szCs w:val="24"/>
        </w:rPr>
        <w:t>”)</w:t>
      </w:r>
      <w:r w:rsidRPr="00EB4908">
        <w:rPr>
          <w:rFonts w:ascii="Times New Roman" w:hAnsi="Times New Roman"/>
          <w:sz w:val="24"/>
          <w:szCs w:val="24"/>
        </w:rPr>
        <w:t xml:space="preserve"> for the period of 2010-2020. It does include recurrent expenditures (routine, winter and periodic maintenance) for both the </w:t>
      </w:r>
      <w:r w:rsidR="00044350">
        <w:rPr>
          <w:rFonts w:ascii="Times New Roman" w:hAnsi="Times New Roman"/>
          <w:sz w:val="24"/>
          <w:szCs w:val="24"/>
        </w:rPr>
        <w:t>R</w:t>
      </w:r>
      <w:r w:rsidRPr="00EB4908">
        <w:rPr>
          <w:rFonts w:ascii="Times New Roman" w:hAnsi="Times New Roman"/>
          <w:sz w:val="24"/>
          <w:szCs w:val="24"/>
        </w:rPr>
        <w:t xml:space="preserve">epublican and </w:t>
      </w:r>
      <w:r w:rsidR="00044350">
        <w:rPr>
          <w:rFonts w:ascii="Times New Roman" w:hAnsi="Times New Roman"/>
          <w:sz w:val="24"/>
          <w:szCs w:val="24"/>
        </w:rPr>
        <w:t>L</w:t>
      </w:r>
      <w:r w:rsidRPr="00EB4908">
        <w:rPr>
          <w:rFonts w:ascii="Times New Roman" w:hAnsi="Times New Roman"/>
          <w:sz w:val="24"/>
          <w:szCs w:val="24"/>
        </w:rPr>
        <w:t xml:space="preserve">ocal roads. Annualized capital expenditures </w:t>
      </w:r>
      <w:r w:rsidR="00536846">
        <w:rPr>
          <w:rFonts w:ascii="Times New Roman" w:hAnsi="Times New Roman"/>
          <w:sz w:val="24"/>
          <w:szCs w:val="24"/>
        </w:rPr>
        <w:t xml:space="preserve">that are </w:t>
      </w:r>
      <w:r w:rsidRPr="00EB4908">
        <w:rPr>
          <w:rFonts w:ascii="Times New Roman" w:hAnsi="Times New Roman"/>
          <w:sz w:val="24"/>
          <w:szCs w:val="24"/>
        </w:rPr>
        <w:t xml:space="preserve">necessary to address maintenance backlogs </w:t>
      </w:r>
      <w:r w:rsidR="00F304CE">
        <w:rPr>
          <w:rFonts w:ascii="Times New Roman" w:hAnsi="Times New Roman"/>
          <w:sz w:val="24"/>
          <w:szCs w:val="24"/>
        </w:rPr>
        <w:t xml:space="preserve">are included </w:t>
      </w:r>
      <w:r w:rsidRPr="00EB4908">
        <w:rPr>
          <w:rFonts w:ascii="Times New Roman" w:hAnsi="Times New Roman"/>
          <w:sz w:val="24"/>
          <w:szCs w:val="24"/>
        </w:rPr>
        <w:t xml:space="preserve">for </w:t>
      </w:r>
      <w:r w:rsidR="00044350">
        <w:rPr>
          <w:rFonts w:ascii="Times New Roman" w:hAnsi="Times New Roman"/>
          <w:sz w:val="24"/>
          <w:szCs w:val="24"/>
        </w:rPr>
        <w:t>R</w:t>
      </w:r>
      <w:r w:rsidRPr="00EB4908">
        <w:rPr>
          <w:rFonts w:ascii="Times New Roman" w:hAnsi="Times New Roman"/>
          <w:sz w:val="24"/>
          <w:szCs w:val="24"/>
        </w:rPr>
        <w:t>epublican roads only</w:t>
      </w:r>
      <w:r w:rsidR="00F304CE">
        <w:rPr>
          <w:rFonts w:ascii="Times New Roman" w:hAnsi="Times New Roman"/>
          <w:sz w:val="24"/>
          <w:szCs w:val="24"/>
        </w:rPr>
        <w:t xml:space="preserve"> because it is certain that t</w:t>
      </w:r>
      <w:r w:rsidRPr="00EB4908">
        <w:rPr>
          <w:rFonts w:ascii="Times New Roman" w:hAnsi="Times New Roman"/>
          <w:sz w:val="24"/>
          <w:szCs w:val="24"/>
        </w:rPr>
        <w:t xml:space="preserve">he traffic levels on </w:t>
      </w:r>
      <w:r w:rsidR="00044350">
        <w:rPr>
          <w:rFonts w:ascii="Times New Roman" w:hAnsi="Times New Roman"/>
          <w:sz w:val="24"/>
          <w:szCs w:val="24"/>
        </w:rPr>
        <w:t>R</w:t>
      </w:r>
      <w:r w:rsidRPr="00EB4908">
        <w:rPr>
          <w:rFonts w:ascii="Times New Roman" w:hAnsi="Times New Roman"/>
          <w:sz w:val="24"/>
          <w:szCs w:val="24"/>
        </w:rPr>
        <w:t xml:space="preserve">epublican roads </w:t>
      </w:r>
      <w:r w:rsidR="00044350">
        <w:rPr>
          <w:rFonts w:ascii="Times New Roman" w:hAnsi="Times New Roman"/>
          <w:sz w:val="24"/>
          <w:szCs w:val="24"/>
        </w:rPr>
        <w:t xml:space="preserve">are sufficiently high to </w:t>
      </w:r>
      <w:r w:rsidRPr="00EB4908">
        <w:rPr>
          <w:rFonts w:ascii="Times New Roman" w:hAnsi="Times New Roman"/>
          <w:sz w:val="24"/>
          <w:szCs w:val="24"/>
        </w:rPr>
        <w:t xml:space="preserve">economically justify addressing </w:t>
      </w:r>
      <w:r w:rsidR="00044350">
        <w:rPr>
          <w:rFonts w:ascii="Times New Roman" w:hAnsi="Times New Roman"/>
          <w:sz w:val="24"/>
          <w:szCs w:val="24"/>
        </w:rPr>
        <w:t xml:space="preserve">the </w:t>
      </w:r>
      <w:r w:rsidRPr="00EB4908">
        <w:rPr>
          <w:rFonts w:ascii="Times New Roman" w:hAnsi="Times New Roman"/>
          <w:sz w:val="24"/>
          <w:szCs w:val="24"/>
        </w:rPr>
        <w:t>maintenance backlog</w:t>
      </w:r>
      <w:r w:rsidR="00F304CE">
        <w:rPr>
          <w:rFonts w:ascii="Times New Roman" w:hAnsi="Times New Roman"/>
          <w:sz w:val="24"/>
          <w:szCs w:val="24"/>
        </w:rPr>
        <w:t>, while this is not certain for all Local roads</w:t>
      </w:r>
      <w:r w:rsidR="005A21CD">
        <w:rPr>
          <w:rFonts w:ascii="Times New Roman" w:hAnsi="Times New Roman"/>
          <w:sz w:val="24"/>
          <w:szCs w:val="24"/>
        </w:rPr>
        <w:t>.</w:t>
      </w:r>
      <w:r w:rsidRPr="00EB4908">
        <w:rPr>
          <w:rStyle w:val="FootnoteReference"/>
          <w:sz w:val="24"/>
          <w:szCs w:val="24"/>
        </w:rPr>
        <w:footnoteReference w:id="25"/>
      </w:r>
      <w:r w:rsidRPr="00EB4908">
        <w:rPr>
          <w:rFonts w:ascii="Times New Roman" w:hAnsi="Times New Roman"/>
          <w:sz w:val="24"/>
          <w:szCs w:val="24"/>
        </w:rPr>
        <w:t xml:space="preserve"> </w:t>
      </w:r>
      <w:r w:rsidR="005A21CD">
        <w:rPr>
          <w:rFonts w:ascii="Times New Roman" w:hAnsi="Times New Roman"/>
          <w:sz w:val="24"/>
          <w:szCs w:val="24"/>
        </w:rPr>
        <w:t xml:space="preserve"> </w:t>
      </w:r>
      <w:r w:rsidRPr="00EB4908">
        <w:rPr>
          <w:rFonts w:ascii="Times New Roman" w:hAnsi="Times New Roman"/>
          <w:sz w:val="24"/>
          <w:szCs w:val="24"/>
        </w:rPr>
        <w:t xml:space="preserve">The scenario </w:t>
      </w:r>
      <w:r w:rsidR="00044350">
        <w:rPr>
          <w:rFonts w:ascii="Times New Roman" w:hAnsi="Times New Roman"/>
          <w:sz w:val="24"/>
          <w:szCs w:val="24"/>
        </w:rPr>
        <w:t xml:space="preserve">presented </w:t>
      </w:r>
      <w:r w:rsidRPr="00EB4908">
        <w:rPr>
          <w:rFonts w:ascii="Times New Roman" w:hAnsi="Times New Roman"/>
          <w:sz w:val="24"/>
          <w:szCs w:val="24"/>
        </w:rPr>
        <w:t xml:space="preserve">proposes to </w:t>
      </w:r>
      <w:r w:rsidR="00044350">
        <w:rPr>
          <w:rFonts w:ascii="Times New Roman" w:hAnsi="Times New Roman"/>
          <w:sz w:val="24"/>
          <w:szCs w:val="24"/>
        </w:rPr>
        <w:t xml:space="preserve">fully eliminate the backlog on </w:t>
      </w:r>
      <w:r w:rsidRPr="00EB4908">
        <w:rPr>
          <w:rFonts w:ascii="Times New Roman" w:hAnsi="Times New Roman"/>
          <w:sz w:val="24"/>
          <w:szCs w:val="24"/>
        </w:rPr>
        <w:t xml:space="preserve">the </w:t>
      </w:r>
      <w:r w:rsidR="00044350">
        <w:rPr>
          <w:rFonts w:ascii="Times New Roman" w:hAnsi="Times New Roman"/>
          <w:sz w:val="24"/>
          <w:szCs w:val="24"/>
        </w:rPr>
        <w:t>R</w:t>
      </w:r>
      <w:r w:rsidRPr="00EB4908">
        <w:rPr>
          <w:rFonts w:ascii="Times New Roman" w:hAnsi="Times New Roman"/>
          <w:sz w:val="24"/>
          <w:szCs w:val="24"/>
        </w:rPr>
        <w:t xml:space="preserve">epublican road network within 10 years. </w:t>
      </w:r>
    </w:p>
    <w:p w:rsidR="00EB4908" w:rsidRPr="007777E2" w:rsidRDefault="00EB4908" w:rsidP="00A52D36">
      <w:pPr>
        <w:pStyle w:val="Caption"/>
        <w:keepNext/>
        <w:ind w:left="720"/>
        <w:rPr>
          <w:color w:val="auto"/>
          <w:sz w:val="22"/>
          <w:szCs w:val="22"/>
        </w:rPr>
      </w:pPr>
      <w:bookmarkStart w:id="172" w:name="_Ref257282772"/>
      <w:bookmarkStart w:id="173" w:name="_Toc264227139"/>
      <w:proofErr w:type="gramStart"/>
      <w:r w:rsidRPr="007777E2">
        <w:rPr>
          <w:color w:val="auto"/>
          <w:sz w:val="22"/>
          <w:szCs w:val="22"/>
        </w:rPr>
        <w:lastRenderedPageBreak/>
        <w:t xml:space="preserve">Table </w:t>
      </w:r>
      <w:r w:rsidR="006B40AE" w:rsidRPr="007777E2">
        <w:rPr>
          <w:color w:val="auto"/>
          <w:sz w:val="22"/>
          <w:szCs w:val="22"/>
        </w:rPr>
        <w:fldChar w:fldCharType="begin"/>
      </w:r>
      <w:r w:rsidRPr="007777E2">
        <w:rPr>
          <w:color w:val="auto"/>
          <w:sz w:val="22"/>
          <w:szCs w:val="22"/>
        </w:rPr>
        <w:instrText xml:space="preserve"> SEQ Table \* ARABIC </w:instrText>
      </w:r>
      <w:r w:rsidR="006B40AE" w:rsidRPr="007777E2">
        <w:rPr>
          <w:color w:val="auto"/>
          <w:sz w:val="22"/>
          <w:szCs w:val="22"/>
        </w:rPr>
        <w:fldChar w:fldCharType="separate"/>
      </w:r>
      <w:r w:rsidR="009E2C86">
        <w:rPr>
          <w:noProof/>
          <w:color w:val="auto"/>
          <w:sz w:val="22"/>
          <w:szCs w:val="22"/>
        </w:rPr>
        <w:t>12</w:t>
      </w:r>
      <w:r w:rsidR="006B40AE" w:rsidRPr="007777E2">
        <w:rPr>
          <w:color w:val="auto"/>
          <w:sz w:val="22"/>
          <w:szCs w:val="22"/>
        </w:rPr>
        <w:fldChar w:fldCharType="end"/>
      </w:r>
      <w:bookmarkEnd w:id="172"/>
      <w:r w:rsidRPr="007777E2">
        <w:rPr>
          <w:color w:val="auto"/>
          <w:sz w:val="22"/>
          <w:szCs w:val="22"/>
        </w:rPr>
        <w:t>.</w:t>
      </w:r>
      <w:proofErr w:type="gramEnd"/>
      <w:r w:rsidRPr="007777E2">
        <w:rPr>
          <w:color w:val="auto"/>
          <w:sz w:val="22"/>
          <w:szCs w:val="22"/>
        </w:rPr>
        <w:t xml:space="preserve"> </w:t>
      </w:r>
      <w:r w:rsidR="00934C6E">
        <w:rPr>
          <w:color w:val="auto"/>
          <w:sz w:val="22"/>
          <w:szCs w:val="22"/>
        </w:rPr>
        <w:t xml:space="preserve"> World Bank e</w:t>
      </w:r>
      <w:r w:rsidRPr="007777E2">
        <w:rPr>
          <w:color w:val="auto"/>
          <w:sz w:val="22"/>
          <w:szCs w:val="22"/>
        </w:rPr>
        <w:t>stimate</w:t>
      </w:r>
      <w:r w:rsidR="00934C6E">
        <w:rPr>
          <w:color w:val="auto"/>
          <w:sz w:val="22"/>
          <w:szCs w:val="22"/>
        </w:rPr>
        <w:t xml:space="preserve"> for</w:t>
      </w:r>
      <w:r w:rsidRPr="007777E2">
        <w:rPr>
          <w:color w:val="auto"/>
          <w:sz w:val="22"/>
          <w:szCs w:val="22"/>
        </w:rPr>
        <w:t xml:space="preserve"> Road Maintenance </w:t>
      </w:r>
      <w:r w:rsidR="00934C6E">
        <w:rPr>
          <w:color w:val="auto"/>
          <w:sz w:val="22"/>
          <w:szCs w:val="22"/>
        </w:rPr>
        <w:t>n</w:t>
      </w:r>
      <w:r w:rsidRPr="007777E2">
        <w:rPr>
          <w:color w:val="auto"/>
          <w:sz w:val="22"/>
          <w:szCs w:val="22"/>
        </w:rPr>
        <w:t>eeds 2010-2020 (US$ million)</w:t>
      </w:r>
      <w:bookmarkEnd w:id="173"/>
    </w:p>
    <w:tbl>
      <w:tblPr>
        <w:tblStyle w:val="TableGrid"/>
        <w:tblW w:w="0" w:type="auto"/>
        <w:tblBorders>
          <w:left w:val="none" w:sz="0" w:space="0" w:color="auto"/>
          <w:right w:val="none" w:sz="0" w:space="0" w:color="auto"/>
          <w:insideV w:val="none" w:sz="0" w:space="0" w:color="auto"/>
        </w:tblBorders>
        <w:tblLook w:val="04A0"/>
      </w:tblPr>
      <w:tblGrid>
        <w:gridCol w:w="1049"/>
        <w:gridCol w:w="1369"/>
        <w:gridCol w:w="721"/>
        <w:gridCol w:w="622"/>
        <w:gridCol w:w="622"/>
        <w:gridCol w:w="622"/>
        <w:gridCol w:w="653"/>
        <w:gridCol w:w="653"/>
        <w:gridCol w:w="653"/>
        <w:gridCol w:w="653"/>
        <w:gridCol w:w="653"/>
        <w:gridCol w:w="653"/>
        <w:gridCol w:w="653"/>
      </w:tblGrid>
      <w:tr w:rsidR="00EB4908" w:rsidRPr="007777E2" w:rsidTr="002048E8">
        <w:trPr>
          <w:cantSplit/>
          <w:trHeight w:val="439"/>
        </w:trPr>
        <w:tc>
          <w:tcPr>
            <w:tcW w:w="1048" w:type="dxa"/>
          </w:tcPr>
          <w:p w:rsidR="00EB4908" w:rsidRPr="007777E2" w:rsidRDefault="00EB4908" w:rsidP="00A52D36">
            <w:pPr>
              <w:keepNext/>
              <w:tabs>
                <w:tab w:val="num" w:pos="720"/>
              </w:tabs>
              <w:autoSpaceDE w:val="0"/>
              <w:autoSpaceDN w:val="0"/>
              <w:adjustRightInd w:val="0"/>
              <w:spacing w:after="120"/>
              <w:jc w:val="both"/>
              <w:rPr>
                <w:rFonts w:asciiTheme="minorHAnsi" w:hAnsiTheme="minorHAnsi"/>
                <w:b/>
                <w:sz w:val="18"/>
                <w:szCs w:val="18"/>
              </w:rPr>
            </w:pPr>
            <w:r w:rsidRPr="007777E2">
              <w:rPr>
                <w:rFonts w:asciiTheme="minorHAnsi" w:hAnsiTheme="minorHAnsi"/>
                <w:b/>
                <w:sz w:val="18"/>
                <w:szCs w:val="18"/>
              </w:rPr>
              <w:t>Road Class</w:t>
            </w:r>
          </w:p>
        </w:tc>
        <w:tc>
          <w:tcPr>
            <w:tcW w:w="1368" w:type="dxa"/>
          </w:tcPr>
          <w:p w:rsidR="00EB4908" w:rsidRPr="007777E2" w:rsidRDefault="00EB4908" w:rsidP="00A52D36">
            <w:pPr>
              <w:keepNext/>
              <w:tabs>
                <w:tab w:val="num" w:pos="720"/>
              </w:tabs>
              <w:autoSpaceDE w:val="0"/>
              <w:autoSpaceDN w:val="0"/>
              <w:adjustRightInd w:val="0"/>
              <w:spacing w:after="120"/>
              <w:jc w:val="both"/>
              <w:rPr>
                <w:rFonts w:asciiTheme="minorHAnsi" w:hAnsiTheme="minorHAnsi"/>
                <w:b/>
                <w:sz w:val="18"/>
                <w:szCs w:val="18"/>
              </w:rPr>
            </w:pPr>
            <w:r w:rsidRPr="007777E2">
              <w:rPr>
                <w:rFonts w:asciiTheme="minorHAnsi" w:hAnsiTheme="minorHAnsi"/>
                <w:b/>
                <w:sz w:val="18"/>
                <w:szCs w:val="18"/>
              </w:rPr>
              <w:t>Activity</w:t>
            </w:r>
          </w:p>
        </w:tc>
        <w:tc>
          <w:tcPr>
            <w:tcW w:w="628" w:type="dxa"/>
          </w:tcPr>
          <w:p w:rsidR="00EB4908" w:rsidRPr="007777E2" w:rsidRDefault="00EB4908" w:rsidP="00A52D36">
            <w:pPr>
              <w:keepNext/>
              <w:tabs>
                <w:tab w:val="num" w:pos="720"/>
              </w:tabs>
              <w:autoSpaceDE w:val="0"/>
              <w:autoSpaceDN w:val="0"/>
              <w:adjustRightInd w:val="0"/>
              <w:spacing w:after="120"/>
              <w:jc w:val="right"/>
              <w:rPr>
                <w:rFonts w:asciiTheme="minorHAnsi" w:hAnsiTheme="minorHAnsi"/>
                <w:b/>
                <w:sz w:val="18"/>
                <w:szCs w:val="18"/>
              </w:rPr>
            </w:pPr>
            <w:r w:rsidRPr="007777E2">
              <w:rPr>
                <w:rFonts w:asciiTheme="minorHAnsi" w:hAnsiTheme="minorHAnsi"/>
                <w:b/>
                <w:sz w:val="18"/>
                <w:szCs w:val="18"/>
              </w:rPr>
              <w:t>2010</w:t>
            </w:r>
            <w:r w:rsidR="00DA4A91" w:rsidRPr="005A21CD">
              <w:rPr>
                <w:rStyle w:val="FootnoteReference"/>
              </w:rPr>
              <w:footnoteReference w:id="26"/>
            </w:r>
          </w:p>
        </w:tc>
        <w:tc>
          <w:tcPr>
            <w:tcW w:w="628" w:type="dxa"/>
          </w:tcPr>
          <w:p w:rsidR="00EB4908" w:rsidRPr="007777E2" w:rsidRDefault="00EB4908" w:rsidP="00A52D36">
            <w:pPr>
              <w:keepNext/>
              <w:tabs>
                <w:tab w:val="num" w:pos="720"/>
              </w:tabs>
              <w:autoSpaceDE w:val="0"/>
              <w:autoSpaceDN w:val="0"/>
              <w:adjustRightInd w:val="0"/>
              <w:spacing w:after="120"/>
              <w:jc w:val="right"/>
              <w:rPr>
                <w:rFonts w:asciiTheme="minorHAnsi" w:hAnsiTheme="minorHAnsi"/>
                <w:b/>
                <w:sz w:val="18"/>
                <w:szCs w:val="18"/>
              </w:rPr>
            </w:pPr>
            <w:r w:rsidRPr="007777E2">
              <w:rPr>
                <w:rFonts w:asciiTheme="minorHAnsi" w:hAnsiTheme="minorHAnsi"/>
                <w:b/>
                <w:sz w:val="18"/>
                <w:szCs w:val="18"/>
              </w:rPr>
              <w:t>2011</w:t>
            </w:r>
          </w:p>
        </w:tc>
        <w:tc>
          <w:tcPr>
            <w:tcW w:w="628" w:type="dxa"/>
          </w:tcPr>
          <w:p w:rsidR="00EB4908" w:rsidRPr="007777E2" w:rsidRDefault="00EB4908" w:rsidP="00A52D36">
            <w:pPr>
              <w:keepNext/>
              <w:tabs>
                <w:tab w:val="num" w:pos="720"/>
              </w:tabs>
              <w:autoSpaceDE w:val="0"/>
              <w:autoSpaceDN w:val="0"/>
              <w:adjustRightInd w:val="0"/>
              <w:spacing w:after="120"/>
              <w:jc w:val="right"/>
              <w:rPr>
                <w:rFonts w:asciiTheme="minorHAnsi" w:hAnsiTheme="minorHAnsi"/>
                <w:b/>
                <w:sz w:val="18"/>
                <w:szCs w:val="18"/>
              </w:rPr>
            </w:pPr>
            <w:r w:rsidRPr="007777E2">
              <w:rPr>
                <w:rFonts w:asciiTheme="minorHAnsi" w:hAnsiTheme="minorHAnsi"/>
                <w:b/>
                <w:sz w:val="18"/>
                <w:szCs w:val="18"/>
              </w:rPr>
              <w:t>2012</w:t>
            </w:r>
          </w:p>
        </w:tc>
        <w:tc>
          <w:tcPr>
            <w:tcW w:w="628" w:type="dxa"/>
          </w:tcPr>
          <w:p w:rsidR="00EB4908" w:rsidRPr="007777E2" w:rsidRDefault="00EB4908" w:rsidP="00A52D36">
            <w:pPr>
              <w:keepNext/>
              <w:tabs>
                <w:tab w:val="num" w:pos="720"/>
              </w:tabs>
              <w:autoSpaceDE w:val="0"/>
              <w:autoSpaceDN w:val="0"/>
              <w:adjustRightInd w:val="0"/>
              <w:spacing w:after="120"/>
              <w:jc w:val="right"/>
              <w:rPr>
                <w:rFonts w:asciiTheme="minorHAnsi" w:hAnsiTheme="minorHAnsi"/>
                <w:b/>
                <w:sz w:val="18"/>
                <w:szCs w:val="18"/>
              </w:rPr>
            </w:pPr>
            <w:r w:rsidRPr="007777E2">
              <w:rPr>
                <w:rFonts w:asciiTheme="minorHAnsi" w:hAnsiTheme="minorHAnsi"/>
                <w:b/>
                <w:sz w:val="18"/>
                <w:szCs w:val="18"/>
              </w:rPr>
              <w:t>2013</w:t>
            </w:r>
          </w:p>
        </w:tc>
        <w:tc>
          <w:tcPr>
            <w:tcW w:w="664" w:type="dxa"/>
          </w:tcPr>
          <w:p w:rsidR="00EB4908" w:rsidRPr="007777E2" w:rsidRDefault="00EB4908" w:rsidP="00A52D36">
            <w:pPr>
              <w:keepNext/>
              <w:tabs>
                <w:tab w:val="num" w:pos="720"/>
              </w:tabs>
              <w:autoSpaceDE w:val="0"/>
              <w:autoSpaceDN w:val="0"/>
              <w:adjustRightInd w:val="0"/>
              <w:spacing w:after="120"/>
              <w:jc w:val="right"/>
              <w:rPr>
                <w:rFonts w:asciiTheme="minorHAnsi" w:hAnsiTheme="minorHAnsi"/>
                <w:b/>
                <w:sz w:val="18"/>
                <w:szCs w:val="18"/>
              </w:rPr>
            </w:pPr>
            <w:r w:rsidRPr="007777E2">
              <w:rPr>
                <w:rFonts w:asciiTheme="minorHAnsi" w:hAnsiTheme="minorHAnsi"/>
                <w:b/>
                <w:sz w:val="18"/>
                <w:szCs w:val="18"/>
              </w:rPr>
              <w:t>2014</w:t>
            </w:r>
          </w:p>
        </w:tc>
        <w:tc>
          <w:tcPr>
            <w:tcW w:w="664" w:type="dxa"/>
          </w:tcPr>
          <w:p w:rsidR="00EB4908" w:rsidRPr="007777E2" w:rsidRDefault="00EB4908" w:rsidP="00A52D36">
            <w:pPr>
              <w:keepNext/>
              <w:tabs>
                <w:tab w:val="num" w:pos="720"/>
              </w:tabs>
              <w:autoSpaceDE w:val="0"/>
              <w:autoSpaceDN w:val="0"/>
              <w:adjustRightInd w:val="0"/>
              <w:spacing w:after="120"/>
              <w:jc w:val="right"/>
              <w:rPr>
                <w:rFonts w:asciiTheme="minorHAnsi" w:hAnsiTheme="minorHAnsi"/>
                <w:b/>
                <w:sz w:val="18"/>
                <w:szCs w:val="18"/>
              </w:rPr>
            </w:pPr>
            <w:r w:rsidRPr="007777E2">
              <w:rPr>
                <w:rFonts w:asciiTheme="minorHAnsi" w:hAnsiTheme="minorHAnsi"/>
                <w:b/>
                <w:sz w:val="18"/>
                <w:szCs w:val="18"/>
              </w:rPr>
              <w:t>2015</w:t>
            </w:r>
          </w:p>
        </w:tc>
        <w:tc>
          <w:tcPr>
            <w:tcW w:w="664" w:type="dxa"/>
          </w:tcPr>
          <w:p w:rsidR="00EB4908" w:rsidRPr="007777E2" w:rsidRDefault="00EB4908" w:rsidP="00A52D36">
            <w:pPr>
              <w:keepNext/>
              <w:tabs>
                <w:tab w:val="num" w:pos="720"/>
              </w:tabs>
              <w:autoSpaceDE w:val="0"/>
              <w:autoSpaceDN w:val="0"/>
              <w:adjustRightInd w:val="0"/>
              <w:spacing w:after="120"/>
              <w:jc w:val="right"/>
              <w:rPr>
                <w:rFonts w:asciiTheme="minorHAnsi" w:hAnsiTheme="minorHAnsi"/>
                <w:b/>
                <w:sz w:val="18"/>
                <w:szCs w:val="18"/>
              </w:rPr>
            </w:pPr>
            <w:r w:rsidRPr="007777E2">
              <w:rPr>
                <w:rFonts w:asciiTheme="minorHAnsi" w:hAnsiTheme="minorHAnsi"/>
                <w:b/>
                <w:sz w:val="18"/>
                <w:szCs w:val="18"/>
              </w:rPr>
              <w:t>2016</w:t>
            </w:r>
          </w:p>
        </w:tc>
        <w:tc>
          <w:tcPr>
            <w:tcW w:w="664" w:type="dxa"/>
          </w:tcPr>
          <w:p w:rsidR="00EB4908" w:rsidRPr="007777E2" w:rsidRDefault="00EB4908" w:rsidP="00A52D36">
            <w:pPr>
              <w:keepNext/>
              <w:tabs>
                <w:tab w:val="num" w:pos="720"/>
              </w:tabs>
              <w:autoSpaceDE w:val="0"/>
              <w:autoSpaceDN w:val="0"/>
              <w:adjustRightInd w:val="0"/>
              <w:spacing w:after="120"/>
              <w:jc w:val="right"/>
              <w:rPr>
                <w:rFonts w:asciiTheme="minorHAnsi" w:hAnsiTheme="minorHAnsi"/>
                <w:b/>
                <w:sz w:val="18"/>
                <w:szCs w:val="18"/>
              </w:rPr>
            </w:pPr>
            <w:r w:rsidRPr="007777E2">
              <w:rPr>
                <w:rFonts w:asciiTheme="minorHAnsi" w:hAnsiTheme="minorHAnsi"/>
                <w:b/>
                <w:sz w:val="18"/>
                <w:szCs w:val="18"/>
              </w:rPr>
              <w:t>2017</w:t>
            </w:r>
          </w:p>
        </w:tc>
        <w:tc>
          <w:tcPr>
            <w:tcW w:w="664" w:type="dxa"/>
          </w:tcPr>
          <w:p w:rsidR="00EB4908" w:rsidRPr="007777E2" w:rsidRDefault="00EB4908" w:rsidP="00A52D36">
            <w:pPr>
              <w:keepNext/>
              <w:tabs>
                <w:tab w:val="num" w:pos="720"/>
              </w:tabs>
              <w:autoSpaceDE w:val="0"/>
              <w:autoSpaceDN w:val="0"/>
              <w:adjustRightInd w:val="0"/>
              <w:spacing w:after="120"/>
              <w:jc w:val="right"/>
              <w:rPr>
                <w:rFonts w:asciiTheme="minorHAnsi" w:hAnsiTheme="minorHAnsi"/>
                <w:b/>
                <w:sz w:val="18"/>
                <w:szCs w:val="18"/>
              </w:rPr>
            </w:pPr>
            <w:r w:rsidRPr="007777E2">
              <w:rPr>
                <w:rFonts w:asciiTheme="minorHAnsi" w:hAnsiTheme="minorHAnsi"/>
                <w:b/>
                <w:sz w:val="18"/>
                <w:szCs w:val="18"/>
              </w:rPr>
              <w:t xml:space="preserve">2018 </w:t>
            </w:r>
          </w:p>
        </w:tc>
        <w:tc>
          <w:tcPr>
            <w:tcW w:w="664" w:type="dxa"/>
          </w:tcPr>
          <w:p w:rsidR="00EB4908" w:rsidRPr="007777E2" w:rsidRDefault="00EB4908" w:rsidP="00A52D36">
            <w:pPr>
              <w:keepNext/>
              <w:tabs>
                <w:tab w:val="num" w:pos="720"/>
              </w:tabs>
              <w:autoSpaceDE w:val="0"/>
              <w:autoSpaceDN w:val="0"/>
              <w:adjustRightInd w:val="0"/>
              <w:spacing w:after="120"/>
              <w:jc w:val="right"/>
              <w:rPr>
                <w:rFonts w:asciiTheme="minorHAnsi" w:hAnsiTheme="minorHAnsi"/>
                <w:b/>
                <w:sz w:val="18"/>
                <w:szCs w:val="18"/>
              </w:rPr>
            </w:pPr>
            <w:r w:rsidRPr="007777E2">
              <w:rPr>
                <w:rFonts w:asciiTheme="minorHAnsi" w:hAnsiTheme="minorHAnsi"/>
                <w:b/>
                <w:sz w:val="18"/>
                <w:szCs w:val="18"/>
              </w:rPr>
              <w:t>2019</w:t>
            </w:r>
          </w:p>
        </w:tc>
        <w:tc>
          <w:tcPr>
            <w:tcW w:w="664" w:type="dxa"/>
          </w:tcPr>
          <w:p w:rsidR="00EB4908" w:rsidRPr="007777E2" w:rsidRDefault="00EB4908" w:rsidP="00A52D36">
            <w:pPr>
              <w:keepNext/>
              <w:tabs>
                <w:tab w:val="num" w:pos="720"/>
              </w:tabs>
              <w:autoSpaceDE w:val="0"/>
              <w:autoSpaceDN w:val="0"/>
              <w:adjustRightInd w:val="0"/>
              <w:spacing w:after="120"/>
              <w:jc w:val="right"/>
              <w:rPr>
                <w:rFonts w:asciiTheme="minorHAnsi" w:hAnsiTheme="minorHAnsi"/>
                <w:b/>
                <w:sz w:val="18"/>
                <w:szCs w:val="18"/>
              </w:rPr>
            </w:pPr>
            <w:r w:rsidRPr="007777E2">
              <w:rPr>
                <w:rFonts w:asciiTheme="minorHAnsi" w:hAnsiTheme="minorHAnsi"/>
                <w:b/>
                <w:sz w:val="18"/>
                <w:szCs w:val="18"/>
              </w:rPr>
              <w:t>2020</w:t>
            </w:r>
          </w:p>
        </w:tc>
      </w:tr>
      <w:tr w:rsidR="00EB4908" w:rsidRPr="007777E2" w:rsidTr="002048E8">
        <w:trPr>
          <w:cantSplit/>
          <w:trHeight w:val="439"/>
        </w:trPr>
        <w:tc>
          <w:tcPr>
            <w:tcW w:w="1048" w:type="dxa"/>
            <w:vMerge w:val="restart"/>
          </w:tcPr>
          <w:p w:rsidR="00EB4908" w:rsidRPr="007777E2" w:rsidRDefault="00EB4908" w:rsidP="00A52D36">
            <w:pPr>
              <w:keepNext/>
              <w:tabs>
                <w:tab w:val="num" w:pos="720"/>
              </w:tabs>
              <w:rPr>
                <w:rFonts w:asciiTheme="minorHAnsi" w:hAnsiTheme="minorHAnsi"/>
                <w:b/>
                <w:color w:val="000000"/>
                <w:sz w:val="18"/>
                <w:szCs w:val="18"/>
              </w:rPr>
            </w:pPr>
            <w:r w:rsidRPr="007777E2">
              <w:rPr>
                <w:rFonts w:asciiTheme="minorHAnsi" w:hAnsiTheme="minorHAnsi"/>
                <w:b/>
                <w:color w:val="000000"/>
                <w:sz w:val="18"/>
                <w:szCs w:val="18"/>
              </w:rPr>
              <w:t>Republican</w:t>
            </w:r>
          </w:p>
          <w:p w:rsidR="00EB4908" w:rsidRPr="007777E2" w:rsidRDefault="00EB4908" w:rsidP="00A52D36">
            <w:pPr>
              <w:keepNext/>
              <w:tabs>
                <w:tab w:val="num" w:pos="720"/>
              </w:tabs>
              <w:rPr>
                <w:rFonts w:asciiTheme="minorHAnsi" w:hAnsiTheme="minorHAnsi"/>
                <w:b/>
                <w:color w:val="000000"/>
                <w:sz w:val="18"/>
                <w:szCs w:val="18"/>
              </w:rPr>
            </w:pPr>
            <w:r w:rsidRPr="007777E2">
              <w:rPr>
                <w:rFonts w:asciiTheme="minorHAnsi" w:hAnsiTheme="minorHAnsi"/>
                <w:b/>
                <w:color w:val="000000"/>
                <w:sz w:val="18"/>
                <w:szCs w:val="18"/>
              </w:rPr>
              <w:t> </w:t>
            </w:r>
          </w:p>
          <w:p w:rsidR="00EB4908" w:rsidRPr="007777E2" w:rsidRDefault="00EB4908" w:rsidP="00A52D36">
            <w:pPr>
              <w:keepNext/>
              <w:tabs>
                <w:tab w:val="num" w:pos="720"/>
              </w:tabs>
              <w:rPr>
                <w:rFonts w:asciiTheme="minorHAnsi" w:hAnsiTheme="minorHAnsi"/>
                <w:b/>
                <w:color w:val="000000"/>
                <w:sz w:val="18"/>
                <w:szCs w:val="18"/>
              </w:rPr>
            </w:pPr>
            <w:r w:rsidRPr="007777E2">
              <w:rPr>
                <w:rFonts w:asciiTheme="minorHAnsi" w:hAnsiTheme="minorHAnsi"/>
                <w:b/>
                <w:color w:val="000000"/>
                <w:sz w:val="18"/>
                <w:szCs w:val="18"/>
              </w:rPr>
              <w:t> </w:t>
            </w:r>
          </w:p>
          <w:p w:rsidR="00EB4908" w:rsidRPr="007777E2" w:rsidRDefault="00EB4908" w:rsidP="00A52D36">
            <w:pPr>
              <w:keepNext/>
              <w:tabs>
                <w:tab w:val="num" w:pos="720"/>
              </w:tabs>
              <w:rPr>
                <w:rFonts w:asciiTheme="minorHAnsi" w:hAnsiTheme="minorHAnsi"/>
                <w:b/>
                <w:color w:val="000000"/>
                <w:sz w:val="18"/>
                <w:szCs w:val="18"/>
              </w:rPr>
            </w:pPr>
            <w:r w:rsidRPr="007777E2">
              <w:rPr>
                <w:rFonts w:asciiTheme="minorHAnsi" w:hAnsiTheme="minorHAnsi"/>
                <w:b/>
                <w:color w:val="000000"/>
                <w:sz w:val="18"/>
                <w:szCs w:val="18"/>
              </w:rPr>
              <w:t> </w:t>
            </w:r>
          </w:p>
        </w:tc>
        <w:tc>
          <w:tcPr>
            <w:tcW w:w="1368" w:type="dxa"/>
            <w:vAlign w:val="center"/>
          </w:tcPr>
          <w:p w:rsidR="00EB4908" w:rsidRPr="007777E2" w:rsidRDefault="00EB4908" w:rsidP="00A52D36">
            <w:pPr>
              <w:keepNext/>
              <w:tabs>
                <w:tab w:val="num" w:pos="720"/>
              </w:tabs>
              <w:rPr>
                <w:rFonts w:asciiTheme="minorHAnsi" w:hAnsiTheme="minorHAnsi"/>
                <w:color w:val="000000"/>
                <w:sz w:val="18"/>
                <w:szCs w:val="18"/>
              </w:rPr>
            </w:pPr>
            <w:r w:rsidRPr="007777E2">
              <w:rPr>
                <w:rFonts w:asciiTheme="minorHAnsi" w:hAnsiTheme="minorHAnsi"/>
                <w:color w:val="000000"/>
                <w:sz w:val="18"/>
                <w:szCs w:val="18"/>
              </w:rPr>
              <w:t>Addressing Backlog</w:t>
            </w:r>
          </w:p>
        </w:tc>
        <w:tc>
          <w:tcPr>
            <w:tcW w:w="628" w:type="dxa"/>
            <w:vAlign w:val="center"/>
          </w:tcPr>
          <w:p w:rsidR="00EB4908" w:rsidRPr="007777E2" w:rsidRDefault="00EB4908" w:rsidP="00A52D36">
            <w:pPr>
              <w:keepNext/>
              <w:tabs>
                <w:tab w:val="num" w:pos="720"/>
              </w:tabs>
              <w:jc w:val="right"/>
              <w:rPr>
                <w:rFonts w:ascii="Calibri" w:hAnsi="Calibri"/>
                <w:color w:val="000000"/>
                <w:sz w:val="18"/>
                <w:szCs w:val="18"/>
              </w:rPr>
            </w:pPr>
            <w:r w:rsidRPr="007777E2">
              <w:rPr>
                <w:rFonts w:ascii="Calibri" w:hAnsi="Calibri"/>
                <w:color w:val="000000"/>
                <w:sz w:val="18"/>
                <w:szCs w:val="18"/>
              </w:rPr>
              <w:t>195</w:t>
            </w:r>
          </w:p>
        </w:tc>
        <w:tc>
          <w:tcPr>
            <w:tcW w:w="628" w:type="dxa"/>
            <w:vAlign w:val="center"/>
          </w:tcPr>
          <w:p w:rsidR="00EB4908" w:rsidRPr="007777E2" w:rsidRDefault="00EB4908" w:rsidP="00A52D36">
            <w:pPr>
              <w:keepNext/>
              <w:tabs>
                <w:tab w:val="num" w:pos="720"/>
              </w:tabs>
              <w:jc w:val="right"/>
              <w:rPr>
                <w:rFonts w:ascii="Calibri" w:hAnsi="Calibri"/>
                <w:color w:val="000000"/>
                <w:sz w:val="18"/>
                <w:szCs w:val="18"/>
              </w:rPr>
            </w:pPr>
            <w:r w:rsidRPr="007777E2">
              <w:rPr>
                <w:rFonts w:ascii="Calibri" w:hAnsi="Calibri"/>
                <w:color w:val="000000"/>
                <w:sz w:val="18"/>
                <w:szCs w:val="18"/>
              </w:rPr>
              <w:t>196</w:t>
            </w:r>
          </w:p>
        </w:tc>
        <w:tc>
          <w:tcPr>
            <w:tcW w:w="628" w:type="dxa"/>
            <w:vAlign w:val="center"/>
          </w:tcPr>
          <w:p w:rsidR="00EB4908" w:rsidRPr="007777E2" w:rsidRDefault="00EB4908" w:rsidP="00A52D36">
            <w:pPr>
              <w:keepNext/>
              <w:tabs>
                <w:tab w:val="num" w:pos="720"/>
              </w:tabs>
              <w:jc w:val="right"/>
              <w:rPr>
                <w:rFonts w:ascii="Calibri" w:hAnsi="Calibri"/>
                <w:color w:val="000000"/>
                <w:sz w:val="18"/>
                <w:szCs w:val="18"/>
              </w:rPr>
            </w:pPr>
            <w:r w:rsidRPr="007777E2">
              <w:rPr>
                <w:rFonts w:ascii="Calibri" w:hAnsi="Calibri"/>
                <w:color w:val="000000"/>
                <w:sz w:val="18"/>
                <w:szCs w:val="18"/>
              </w:rPr>
              <w:t>178</w:t>
            </w:r>
          </w:p>
        </w:tc>
        <w:tc>
          <w:tcPr>
            <w:tcW w:w="628" w:type="dxa"/>
            <w:vAlign w:val="center"/>
          </w:tcPr>
          <w:p w:rsidR="00EB4908" w:rsidRPr="007777E2" w:rsidRDefault="00EB4908" w:rsidP="00A52D36">
            <w:pPr>
              <w:keepNext/>
              <w:tabs>
                <w:tab w:val="num" w:pos="720"/>
              </w:tabs>
              <w:jc w:val="right"/>
              <w:rPr>
                <w:rFonts w:ascii="Calibri" w:hAnsi="Calibri"/>
                <w:color w:val="000000"/>
                <w:sz w:val="18"/>
                <w:szCs w:val="18"/>
              </w:rPr>
            </w:pPr>
            <w:r w:rsidRPr="007777E2">
              <w:rPr>
                <w:rFonts w:ascii="Calibri" w:hAnsi="Calibri"/>
                <w:color w:val="000000"/>
                <w:sz w:val="18"/>
                <w:szCs w:val="18"/>
              </w:rPr>
              <w:t>201</w:t>
            </w:r>
          </w:p>
        </w:tc>
        <w:tc>
          <w:tcPr>
            <w:tcW w:w="664" w:type="dxa"/>
            <w:vAlign w:val="center"/>
          </w:tcPr>
          <w:p w:rsidR="00EB4908" w:rsidRPr="007777E2" w:rsidRDefault="00EB4908" w:rsidP="00A52D36">
            <w:pPr>
              <w:keepNext/>
              <w:tabs>
                <w:tab w:val="num" w:pos="720"/>
              </w:tabs>
              <w:jc w:val="right"/>
              <w:rPr>
                <w:rFonts w:ascii="Calibri" w:hAnsi="Calibri"/>
                <w:color w:val="000000"/>
                <w:sz w:val="18"/>
                <w:szCs w:val="18"/>
              </w:rPr>
            </w:pPr>
            <w:r w:rsidRPr="007777E2">
              <w:rPr>
                <w:rFonts w:ascii="Calibri" w:hAnsi="Calibri"/>
                <w:color w:val="000000"/>
                <w:sz w:val="18"/>
                <w:szCs w:val="18"/>
              </w:rPr>
              <w:t>201</w:t>
            </w:r>
          </w:p>
        </w:tc>
        <w:tc>
          <w:tcPr>
            <w:tcW w:w="664" w:type="dxa"/>
            <w:vAlign w:val="center"/>
          </w:tcPr>
          <w:p w:rsidR="00EB4908" w:rsidRPr="007777E2" w:rsidRDefault="00EB4908" w:rsidP="00A52D36">
            <w:pPr>
              <w:keepNext/>
              <w:tabs>
                <w:tab w:val="num" w:pos="720"/>
              </w:tabs>
              <w:jc w:val="right"/>
              <w:rPr>
                <w:rFonts w:ascii="Calibri" w:hAnsi="Calibri"/>
                <w:color w:val="000000"/>
                <w:sz w:val="18"/>
                <w:szCs w:val="18"/>
              </w:rPr>
            </w:pPr>
            <w:r w:rsidRPr="007777E2">
              <w:rPr>
                <w:rFonts w:ascii="Calibri" w:hAnsi="Calibri"/>
                <w:color w:val="000000"/>
                <w:sz w:val="18"/>
                <w:szCs w:val="18"/>
              </w:rPr>
              <w:t>201</w:t>
            </w:r>
          </w:p>
        </w:tc>
        <w:tc>
          <w:tcPr>
            <w:tcW w:w="664" w:type="dxa"/>
            <w:vAlign w:val="center"/>
          </w:tcPr>
          <w:p w:rsidR="00EB4908" w:rsidRPr="007777E2" w:rsidRDefault="00EB4908" w:rsidP="00A52D36">
            <w:pPr>
              <w:keepNext/>
              <w:tabs>
                <w:tab w:val="num" w:pos="720"/>
              </w:tabs>
              <w:jc w:val="right"/>
              <w:rPr>
                <w:rFonts w:ascii="Calibri" w:hAnsi="Calibri"/>
                <w:color w:val="000000"/>
                <w:sz w:val="18"/>
                <w:szCs w:val="18"/>
              </w:rPr>
            </w:pPr>
            <w:r w:rsidRPr="007777E2">
              <w:rPr>
                <w:rFonts w:ascii="Calibri" w:hAnsi="Calibri"/>
                <w:color w:val="000000"/>
                <w:sz w:val="18"/>
                <w:szCs w:val="18"/>
              </w:rPr>
              <w:t>201</w:t>
            </w:r>
          </w:p>
        </w:tc>
        <w:tc>
          <w:tcPr>
            <w:tcW w:w="664" w:type="dxa"/>
            <w:vAlign w:val="center"/>
          </w:tcPr>
          <w:p w:rsidR="00EB4908" w:rsidRPr="007777E2" w:rsidRDefault="00EB4908" w:rsidP="00A52D36">
            <w:pPr>
              <w:keepNext/>
              <w:tabs>
                <w:tab w:val="num" w:pos="720"/>
              </w:tabs>
              <w:jc w:val="right"/>
              <w:rPr>
                <w:rFonts w:ascii="Calibri" w:hAnsi="Calibri"/>
                <w:color w:val="000000"/>
                <w:sz w:val="18"/>
                <w:szCs w:val="18"/>
              </w:rPr>
            </w:pPr>
            <w:r w:rsidRPr="007777E2">
              <w:rPr>
                <w:rFonts w:ascii="Calibri" w:hAnsi="Calibri"/>
                <w:color w:val="000000"/>
                <w:sz w:val="18"/>
                <w:szCs w:val="18"/>
              </w:rPr>
              <w:t>201</w:t>
            </w:r>
          </w:p>
        </w:tc>
        <w:tc>
          <w:tcPr>
            <w:tcW w:w="664" w:type="dxa"/>
            <w:vAlign w:val="center"/>
          </w:tcPr>
          <w:p w:rsidR="00EB4908" w:rsidRPr="007777E2" w:rsidRDefault="00EB4908" w:rsidP="00A52D36">
            <w:pPr>
              <w:keepNext/>
              <w:tabs>
                <w:tab w:val="num" w:pos="720"/>
              </w:tabs>
              <w:jc w:val="right"/>
              <w:rPr>
                <w:rFonts w:ascii="Calibri" w:hAnsi="Calibri"/>
                <w:color w:val="000000"/>
                <w:sz w:val="18"/>
                <w:szCs w:val="18"/>
              </w:rPr>
            </w:pPr>
            <w:r w:rsidRPr="007777E2">
              <w:rPr>
                <w:rFonts w:ascii="Calibri" w:hAnsi="Calibri"/>
                <w:color w:val="000000"/>
                <w:sz w:val="18"/>
                <w:szCs w:val="18"/>
              </w:rPr>
              <w:t>201</w:t>
            </w:r>
          </w:p>
        </w:tc>
        <w:tc>
          <w:tcPr>
            <w:tcW w:w="664" w:type="dxa"/>
            <w:vAlign w:val="center"/>
          </w:tcPr>
          <w:p w:rsidR="00EB4908" w:rsidRPr="007777E2" w:rsidRDefault="00EB4908" w:rsidP="00A52D36">
            <w:pPr>
              <w:keepNext/>
              <w:tabs>
                <w:tab w:val="num" w:pos="720"/>
              </w:tabs>
              <w:jc w:val="right"/>
              <w:rPr>
                <w:rFonts w:ascii="Calibri" w:hAnsi="Calibri"/>
                <w:color w:val="000000"/>
                <w:sz w:val="18"/>
                <w:szCs w:val="18"/>
              </w:rPr>
            </w:pPr>
            <w:r w:rsidRPr="007777E2">
              <w:rPr>
                <w:rFonts w:ascii="Calibri" w:hAnsi="Calibri"/>
                <w:color w:val="000000"/>
                <w:sz w:val="18"/>
                <w:szCs w:val="18"/>
              </w:rPr>
              <w:t>201</w:t>
            </w:r>
          </w:p>
        </w:tc>
        <w:tc>
          <w:tcPr>
            <w:tcW w:w="664" w:type="dxa"/>
            <w:vAlign w:val="center"/>
          </w:tcPr>
          <w:p w:rsidR="00EB4908" w:rsidRPr="007777E2" w:rsidRDefault="00EB4908" w:rsidP="00A52D36">
            <w:pPr>
              <w:keepNext/>
              <w:tabs>
                <w:tab w:val="num" w:pos="720"/>
              </w:tabs>
              <w:jc w:val="right"/>
              <w:rPr>
                <w:rFonts w:ascii="Calibri" w:hAnsi="Calibri"/>
                <w:color w:val="000000"/>
                <w:sz w:val="18"/>
                <w:szCs w:val="18"/>
              </w:rPr>
            </w:pPr>
            <w:r w:rsidRPr="007777E2">
              <w:rPr>
                <w:rFonts w:ascii="Calibri" w:hAnsi="Calibri"/>
                <w:color w:val="000000"/>
                <w:sz w:val="18"/>
                <w:szCs w:val="18"/>
              </w:rPr>
              <w:t>201</w:t>
            </w:r>
          </w:p>
        </w:tc>
      </w:tr>
      <w:tr w:rsidR="00EB4908" w:rsidRPr="007777E2" w:rsidTr="002048E8">
        <w:trPr>
          <w:cantSplit/>
          <w:trHeight w:val="368"/>
        </w:trPr>
        <w:tc>
          <w:tcPr>
            <w:tcW w:w="1048" w:type="dxa"/>
            <w:vMerge/>
          </w:tcPr>
          <w:p w:rsidR="00EB4908" w:rsidRPr="007777E2" w:rsidRDefault="00EB4908" w:rsidP="00A52D36">
            <w:pPr>
              <w:keepNext/>
              <w:tabs>
                <w:tab w:val="num" w:pos="720"/>
              </w:tabs>
              <w:rPr>
                <w:rFonts w:asciiTheme="minorHAnsi" w:hAnsiTheme="minorHAnsi"/>
                <w:color w:val="000000"/>
                <w:sz w:val="18"/>
                <w:szCs w:val="18"/>
              </w:rPr>
            </w:pPr>
          </w:p>
        </w:tc>
        <w:tc>
          <w:tcPr>
            <w:tcW w:w="1368" w:type="dxa"/>
            <w:vAlign w:val="center"/>
          </w:tcPr>
          <w:p w:rsidR="00EB4908" w:rsidRPr="007777E2" w:rsidRDefault="00EB4908" w:rsidP="00A52D36">
            <w:pPr>
              <w:keepNext/>
              <w:tabs>
                <w:tab w:val="num" w:pos="720"/>
              </w:tabs>
              <w:rPr>
                <w:rFonts w:asciiTheme="minorHAnsi" w:hAnsiTheme="minorHAnsi"/>
                <w:color w:val="000000"/>
                <w:sz w:val="18"/>
                <w:szCs w:val="18"/>
              </w:rPr>
            </w:pPr>
            <w:r w:rsidRPr="007777E2">
              <w:rPr>
                <w:rFonts w:asciiTheme="minorHAnsi" w:hAnsiTheme="minorHAnsi"/>
                <w:color w:val="000000"/>
                <w:sz w:val="18"/>
                <w:szCs w:val="18"/>
              </w:rPr>
              <w:t>Routine/Winter</w:t>
            </w:r>
          </w:p>
        </w:tc>
        <w:tc>
          <w:tcPr>
            <w:tcW w:w="628" w:type="dxa"/>
            <w:vAlign w:val="center"/>
          </w:tcPr>
          <w:p w:rsidR="00EB4908" w:rsidRPr="007777E2" w:rsidRDefault="00EB4908" w:rsidP="00A52D36">
            <w:pPr>
              <w:keepNext/>
              <w:tabs>
                <w:tab w:val="num" w:pos="720"/>
              </w:tabs>
              <w:jc w:val="right"/>
              <w:rPr>
                <w:rFonts w:ascii="Calibri" w:hAnsi="Calibri"/>
                <w:color w:val="000000"/>
                <w:sz w:val="18"/>
                <w:szCs w:val="18"/>
              </w:rPr>
            </w:pPr>
            <w:r w:rsidRPr="007777E2">
              <w:rPr>
                <w:rFonts w:ascii="Calibri" w:hAnsi="Calibri"/>
                <w:color w:val="000000"/>
                <w:sz w:val="18"/>
                <w:szCs w:val="18"/>
              </w:rPr>
              <w:t>78</w:t>
            </w:r>
          </w:p>
        </w:tc>
        <w:tc>
          <w:tcPr>
            <w:tcW w:w="628" w:type="dxa"/>
            <w:vAlign w:val="center"/>
          </w:tcPr>
          <w:p w:rsidR="00EB4908" w:rsidRPr="007777E2" w:rsidRDefault="00EB4908" w:rsidP="00A52D36">
            <w:pPr>
              <w:keepNext/>
              <w:tabs>
                <w:tab w:val="num" w:pos="720"/>
              </w:tabs>
              <w:jc w:val="right"/>
              <w:rPr>
                <w:rFonts w:ascii="Calibri" w:hAnsi="Calibri"/>
                <w:color w:val="000000"/>
                <w:sz w:val="18"/>
                <w:szCs w:val="18"/>
              </w:rPr>
            </w:pPr>
            <w:r w:rsidRPr="007777E2">
              <w:rPr>
                <w:rFonts w:ascii="Calibri" w:hAnsi="Calibri"/>
                <w:color w:val="000000"/>
                <w:sz w:val="18"/>
                <w:szCs w:val="18"/>
              </w:rPr>
              <w:t>82</w:t>
            </w:r>
          </w:p>
        </w:tc>
        <w:tc>
          <w:tcPr>
            <w:tcW w:w="628" w:type="dxa"/>
            <w:vAlign w:val="center"/>
          </w:tcPr>
          <w:p w:rsidR="00EB4908" w:rsidRPr="007777E2" w:rsidRDefault="00EB4908" w:rsidP="00A52D36">
            <w:pPr>
              <w:keepNext/>
              <w:tabs>
                <w:tab w:val="num" w:pos="720"/>
              </w:tabs>
              <w:jc w:val="right"/>
              <w:rPr>
                <w:rFonts w:ascii="Calibri" w:hAnsi="Calibri"/>
                <w:color w:val="000000"/>
                <w:sz w:val="18"/>
                <w:szCs w:val="18"/>
              </w:rPr>
            </w:pPr>
            <w:r w:rsidRPr="007777E2">
              <w:rPr>
                <w:rFonts w:ascii="Calibri" w:hAnsi="Calibri"/>
                <w:color w:val="000000"/>
                <w:sz w:val="18"/>
                <w:szCs w:val="18"/>
              </w:rPr>
              <w:t>86</w:t>
            </w:r>
          </w:p>
        </w:tc>
        <w:tc>
          <w:tcPr>
            <w:tcW w:w="628" w:type="dxa"/>
            <w:vAlign w:val="center"/>
          </w:tcPr>
          <w:p w:rsidR="00EB4908" w:rsidRPr="007777E2" w:rsidRDefault="00EB4908" w:rsidP="00A52D36">
            <w:pPr>
              <w:keepNext/>
              <w:tabs>
                <w:tab w:val="num" w:pos="720"/>
              </w:tabs>
              <w:jc w:val="right"/>
              <w:rPr>
                <w:rFonts w:ascii="Calibri" w:hAnsi="Calibri"/>
                <w:color w:val="000000"/>
                <w:sz w:val="18"/>
                <w:szCs w:val="18"/>
              </w:rPr>
            </w:pPr>
            <w:r w:rsidRPr="007777E2">
              <w:rPr>
                <w:rFonts w:ascii="Calibri" w:hAnsi="Calibri"/>
                <w:color w:val="000000"/>
                <w:sz w:val="18"/>
                <w:szCs w:val="18"/>
              </w:rPr>
              <w:t>90</w:t>
            </w:r>
          </w:p>
        </w:tc>
        <w:tc>
          <w:tcPr>
            <w:tcW w:w="664" w:type="dxa"/>
            <w:vAlign w:val="center"/>
          </w:tcPr>
          <w:p w:rsidR="00EB4908" w:rsidRPr="007777E2" w:rsidRDefault="00EB4908" w:rsidP="00A52D36">
            <w:pPr>
              <w:keepNext/>
              <w:tabs>
                <w:tab w:val="num" w:pos="720"/>
              </w:tabs>
              <w:jc w:val="right"/>
              <w:rPr>
                <w:rFonts w:ascii="Calibri" w:hAnsi="Calibri"/>
                <w:color w:val="000000"/>
                <w:sz w:val="18"/>
                <w:szCs w:val="18"/>
              </w:rPr>
            </w:pPr>
            <w:r w:rsidRPr="007777E2">
              <w:rPr>
                <w:rFonts w:ascii="Calibri" w:hAnsi="Calibri"/>
                <w:color w:val="000000"/>
                <w:sz w:val="18"/>
                <w:szCs w:val="18"/>
              </w:rPr>
              <w:t>94</w:t>
            </w:r>
          </w:p>
        </w:tc>
        <w:tc>
          <w:tcPr>
            <w:tcW w:w="664" w:type="dxa"/>
            <w:vAlign w:val="center"/>
          </w:tcPr>
          <w:p w:rsidR="00EB4908" w:rsidRPr="007777E2" w:rsidRDefault="00EB4908" w:rsidP="00A52D36">
            <w:pPr>
              <w:keepNext/>
              <w:tabs>
                <w:tab w:val="num" w:pos="720"/>
              </w:tabs>
              <w:jc w:val="right"/>
              <w:rPr>
                <w:rFonts w:ascii="Calibri" w:hAnsi="Calibri"/>
                <w:color w:val="000000"/>
                <w:sz w:val="18"/>
                <w:szCs w:val="18"/>
              </w:rPr>
            </w:pPr>
            <w:r w:rsidRPr="007777E2">
              <w:rPr>
                <w:rFonts w:ascii="Calibri" w:hAnsi="Calibri"/>
                <w:color w:val="000000"/>
                <w:sz w:val="18"/>
                <w:szCs w:val="18"/>
              </w:rPr>
              <w:t>99</w:t>
            </w:r>
          </w:p>
        </w:tc>
        <w:tc>
          <w:tcPr>
            <w:tcW w:w="664" w:type="dxa"/>
            <w:vAlign w:val="center"/>
          </w:tcPr>
          <w:p w:rsidR="00EB4908" w:rsidRPr="007777E2" w:rsidRDefault="00EB4908" w:rsidP="00A52D36">
            <w:pPr>
              <w:keepNext/>
              <w:tabs>
                <w:tab w:val="num" w:pos="720"/>
              </w:tabs>
              <w:jc w:val="right"/>
              <w:rPr>
                <w:rFonts w:ascii="Calibri" w:hAnsi="Calibri"/>
                <w:color w:val="000000"/>
                <w:sz w:val="18"/>
                <w:szCs w:val="18"/>
              </w:rPr>
            </w:pPr>
            <w:r w:rsidRPr="007777E2">
              <w:rPr>
                <w:rFonts w:ascii="Calibri" w:hAnsi="Calibri"/>
                <w:color w:val="000000"/>
                <w:sz w:val="18"/>
                <w:szCs w:val="18"/>
              </w:rPr>
              <w:t>104</w:t>
            </w:r>
          </w:p>
        </w:tc>
        <w:tc>
          <w:tcPr>
            <w:tcW w:w="664" w:type="dxa"/>
            <w:vAlign w:val="center"/>
          </w:tcPr>
          <w:p w:rsidR="00EB4908" w:rsidRPr="007777E2" w:rsidRDefault="00EB4908" w:rsidP="00A52D36">
            <w:pPr>
              <w:keepNext/>
              <w:tabs>
                <w:tab w:val="num" w:pos="720"/>
              </w:tabs>
              <w:jc w:val="right"/>
              <w:rPr>
                <w:rFonts w:ascii="Calibri" w:hAnsi="Calibri"/>
                <w:color w:val="000000"/>
                <w:sz w:val="18"/>
                <w:szCs w:val="18"/>
              </w:rPr>
            </w:pPr>
            <w:r w:rsidRPr="007777E2">
              <w:rPr>
                <w:rFonts w:ascii="Calibri" w:hAnsi="Calibri"/>
                <w:color w:val="000000"/>
                <w:sz w:val="18"/>
                <w:szCs w:val="18"/>
              </w:rPr>
              <w:t>109</w:t>
            </w:r>
          </w:p>
        </w:tc>
        <w:tc>
          <w:tcPr>
            <w:tcW w:w="664" w:type="dxa"/>
            <w:vAlign w:val="center"/>
          </w:tcPr>
          <w:p w:rsidR="00EB4908" w:rsidRPr="007777E2" w:rsidRDefault="00EB4908" w:rsidP="00A52D36">
            <w:pPr>
              <w:keepNext/>
              <w:tabs>
                <w:tab w:val="num" w:pos="720"/>
              </w:tabs>
              <w:jc w:val="right"/>
              <w:rPr>
                <w:rFonts w:ascii="Calibri" w:hAnsi="Calibri"/>
                <w:color w:val="000000"/>
                <w:sz w:val="18"/>
                <w:szCs w:val="18"/>
              </w:rPr>
            </w:pPr>
            <w:r w:rsidRPr="007777E2">
              <w:rPr>
                <w:rFonts w:ascii="Calibri" w:hAnsi="Calibri"/>
                <w:color w:val="000000"/>
                <w:sz w:val="18"/>
                <w:szCs w:val="18"/>
              </w:rPr>
              <w:t>115</w:t>
            </w:r>
          </w:p>
        </w:tc>
        <w:tc>
          <w:tcPr>
            <w:tcW w:w="664" w:type="dxa"/>
            <w:vAlign w:val="center"/>
          </w:tcPr>
          <w:p w:rsidR="00EB4908" w:rsidRPr="007777E2" w:rsidRDefault="00EB4908" w:rsidP="00A52D36">
            <w:pPr>
              <w:keepNext/>
              <w:tabs>
                <w:tab w:val="num" w:pos="720"/>
              </w:tabs>
              <w:jc w:val="right"/>
              <w:rPr>
                <w:rFonts w:ascii="Calibri" w:hAnsi="Calibri"/>
                <w:color w:val="000000"/>
                <w:sz w:val="18"/>
                <w:szCs w:val="18"/>
              </w:rPr>
            </w:pPr>
            <w:r w:rsidRPr="007777E2">
              <w:rPr>
                <w:rFonts w:ascii="Calibri" w:hAnsi="Calibri"/>
                <w:color w:val="000000"/>
                <w:sz w:val="18"/>
                <w:szCs w:val="18"/>
              </w:rPr>
              <w:t>121</w:t>
            </w:r>
          </w:p>
        </w:tc>
        <w:tc>
          <w:tcPr>
            <w:tcW w:w="664" w:type="dxa"/>
            <w:vAlign w:val="center"/>
          </w:tcPr>
          <w:p w:rsidR="00EB4908" w:rsidRPr="007777E2" w:rsidRDefault="00EB4908" w:rsidP="00A52D36">
            <w:pPr>
              <w:keepNext/>
              <w:tabs>
                <w:tab w:val="num" w:pos="720"/>
              </w:tabs>
              <w:jc w:val="right"/>
              <w:rPr>
                <w:rFonts w:ascii="Calibri" w:hAnsi="Calibri"/>
                <w:color w:val="000000"/>
                <w:sz w:val="18"/>
                <w:szCs w:val="18"/>
              </w:rPr>
            </w:pPr>
            <w:r w:rsidRPr="007777E2">
              <w:rPr>
                <w:rFonts w:ascii="Calibri" w:hAnsi="Calibri"/>
                <w:color w:val="000000"/>
                <w:sz w:val="18"/>
                <w:szCs w:val="18"/>
              </w:rPr>
              <w:t>127</w:t>
            </w:r>
          </w:p>
        </w:tc>
      </w:tr>
      <w:tr w:rsidR="00EB4908" w:rsidRPr="007777E2" w:rsidTr="002048E8">
        <w:trPr>
          <w:cantSplit/>
          <w:trHeight w:val="368"/>
        </w:trPr>
        <w:tc>
          <w:tcPr>
            <w:tcW w:w="1048" w:type="dxa"/>
            <w:vMerge/>
          </w:tcPr>
          <w:p w:rsidR="00EB4908" w:rsidRPr="007777E2" w:rsidRDefault="00EB4908" w:rsidP="00A52D36">
            <w:pPr>
              <w:keepNext/>
              <w:tabs>
                <w:tab w:val="num" w:pos="720"/>
              </w:tabs>
              <w:rPr>
                <w:rFonts w:asciiTheme="minorHAnsi" w:hAnsiTheme="minorHAnsi"/>
                <w:color w:val="000000"/>
                <w:sz w:val="18"/>
                <w:szCs w:val="18"/>
              </w:rPr>
            </w:pPr>
          </w:p>
        </w:tc>
        <w:tc>
          <w:tcPr>
            <w:tcW w:w="1368" w:type="dxa"/>
            <w:vAlign w:val="center"/>
          </w:tcPr>
          <w:p w:rsidR="00EB4908" w:rsidRPr="007777E2" w:rsidRDefault="00EB4908" w:rsidP="00A52D36">
            <w:pPr>
              <w:keepNext/>
              <w:tabs>
                <w:tab w:val="num" w:pos="720"/>
              </w:tabs>
              <w:rPr>
                <w:rFonts w:asciiTheme="minorHAnsi" w:hAnsiTheme="minorHAnsi"/>
                <w:color w:val="000000"/>
                <w:sz w:val="18"/>
                <w:szCs w:val="18"/>
              </w:rPr>
            </w:pPr>
            <w:r w:rsidRPr="007777E2">
              <w:rPr>
                <w:rFonts w:asciiTheme="minorHAnsi" w:hAnsiTheme="minorHAnsi"/>
                <w:color w:val="000000"/>
                <w:sz w:val="18"/>
                <w:szCs w:val="18"/>
              </w:rPr>
              <w:t>Periodic</w:t>
            </w:r>
          </w:p>
        </w:tc>
        <w:tc>
          <w:tcPr>
            <w:tcW w:w="628" w:type="dxa"/>
            <w:vAlign w:val="center"/>
          </w:tcPr>
          <w:p w:rsidR="00EB4908" w:rsidRPr="007777E2" w:rsidRDefault="00EB4908" w:rsidP="00A52D36">
            <w:pPr>
              <w:keepNext/>
              <w:tabs>
                <w:tab w:val="num" w:pos="720"/>
              </w:tabs>
              <w:jc w:val="right"/>
              <w:rPr>
                <w:rFonts w:ascii="Calibri" w:hAnsi="Calibri"/>
                <w:color w:val="000000"/>
                <w:sz w:val="18"/>
                <w:szCs w:val="18"/>
              </w:rPr>
            </w:pPr>
            <w:r w:rsidRPr="007777E2">
              <w:rPr>
                <w:rFonts w:ascii="Calibri" w:hAnsi="Calibri"/>
                <w:color w:val="000000"/>
                <w:sz w:val="18"/>
                <w:szCs w:val="18"/>
              </w:rPr>
              <w:t>49</w:t>
            </w:r>
          </w:p>
        </w:tc>
        <w:tc>
          <w:tcPr>
            <w:tcW w:w="628" w:type="dxa"/>
            <w:vAlign w:val="center"/>
          </w:tcPr>
          <w:p w:rsidR="00EB4908" w:rsidRPr="007777E2" w:rsidRDefault="00EB4908" w:rsidP="00A52D36">
            <w:pPr>
              <w:keepNext/>
              <w:tabs>
                <w:tab w:val="num" w:pos="720"/>
              </w:tabs>
              <w:jc w:val="right"/>
              <w:rPr>
                <w:rFonts w:ascii="Calibri" w:hAnsi="Calibri"/>
                <w:color w:val="000000"/>
                <w:sz w:val="18"/>
                <w:szCs w:val="18"/>
              </w:rPr>
            </w:pPr>
            <w:r w:rsidRPr="007777E2">
              <w:rPr>
                <w:rFonts w:ascii="Calibri" w:hAnsi="Calibri"/>
                <w:color w:val="000000"/>
                <w:sz w:val="18"/>
                <w:szCs w:val="18"/>
              </w:rPr>
              <w:t>54</w:t>
            </w:r>
          </w:p>
        </w:tc>
        <w:tc>
          <w:tcPr>
            <w:tcW w:w="628" w:type="dxa"/>
            <w:vAlign w:val="center"/>
          </w:tcPr>
          <w:p w:rsidR="00EB4908" w:rsidRPr="007777E2" w:rsidRDefault="00EB4908" w:rsidP="00A52D36">
            <w:pPr>
              <w:keepNext/>
              <w:tabs>
                <w:tab w:val="num" w:pos="720"/>
              </w:tabs>
              <w:jc w:val="right"/>
              <w:rPr>
                <w:rFonts w:ascii="Calibri" w:hAnsi="Calibri"/>
                <w:color w:val="000000"/>
                <w:sz w:val="18"/>
                <w:szCs w:val="18"/>
              </w:rPr>
            </w:pPr>
            <w:r w:rsidRPr="007777E2">
              <w:rPr>
                <w:rFonts w:ascii="Calibri" w:hAnsi="Calibri"/>
                <w:color w:val="000000"/>
                <w:sz w:val="18"/>
                <w:szCs w:val="18"/>
              </w:rPr>
              <w:t>60</w:t>
            </w:r>
          </w:p>
        </w:tc>
        <w:tc>
          <w:tcPr>
            <w:tcW w:w="628" w:type="dxa"/>
            <w:vAlign w:val="center"/>
          </w:tcPr>
          <w:p w:rsidR="00EB4908" w:rsidRPr="007777E2" w:rsidRDefault="00EB4908" w:rsidP="00A52D36">
            <w:pPr>
              <w:keepNext/>
              <w:tabs>
                <w:tab w:val="num" w:pos="720"/>
              </w:tabs>
              <w:jc w:val="right"/>
              <w:rPr>
                <w:rFonts w:ascii="Calibri" w:hAnsi="Calibri"/>
                <w:color w:val="000000"/>
                <w:sz w:val="18"/>
                <w:szCs w:val="18"/>
              </w:rPr>
            </w:pPr>
            <w:r w:rsidRPr="007777E2">
              <w:rPr>
                <w:rFonts w:ascii="Calibri" w:hAnsi="Calibri"/>
                <w:color w:val="000000"/>
                <w:sz w:val="18"/>
                <w:szCs w:val="18"/>
              </w:rPr>
              <w:t>62</w:t>
            </w:r>
          </w:p>
        </w:tc>
        <w:tc>
          <w:tcPr>
            <w:tcW w:w="664" w:type="dxa"/>
            <w:vAlign w:val="center"/>
          </w:tcPr>
          <w:p w:rsidR="00EB4908" w:rsidRPr="007777E2" w:rsidRDefault="00EB4908" w:rsidP="00A52D36">
            <w:pPr>
              <w:keepNext/>
              <w:tabs>
                <w:tab w:val="num" w:pos="720"/>
              </w:tabs>
              <w:jc w:val="right"/>
              <w:rPr>
                <w:rFonts w:ascii="Calibri" w:hAnsi="Calibri"/>
                <w:color w:val="000000"/>
                <w:sz w:val="18"/>
                <w:szCs w:val="18"/>
              </w:rPr>
            </w:pPr>
            <w:r w:rsidRPr="007777E2">
              <w:rPr>
                <w:rFonts w:ascii="Calibri" w:hAnsi="Calibri"/>
                <w:color w:val="000000"/>
                <w:sz w:val="18"/>
                <w:szCs w:val="18"/>
              </w:rPr>
              <w:t>62</w:t>
            </w:r>
          </w:p>
        </w:tc>
        <w:tc>
          <w:tcPr>
            <w:tcW w:w="664" w:type="dxa"/>
            <w:vAlign w:val="center"/>
          </w:tcPr>
          <w:p w:rsidR="00EB4908" w:rsidRPr="007777E2" w:rsidRDefault="00EB4908" w:rsidP="00A52D36">
            <w:pPr>
              <w:keepNext/>
              <w:tabs>
                <w:tab w:val="num" w:pos="720"/>
              </w:tabs>
              <w:jc w:val="right"/>
              <w:rPr>
                <w:rFonts w:ascii="Calibri" w:hAnsi="Calibri"/>
                <w:color w:val="000000"/>
                <w:sz w:val="18"/>
                <w:szCs w:val="18"/>
              </w:rPr>
            </w:pPr>
            <w:r w:rsidRPr="007777E2">
              <w:rPr>
                <w:rFonts w:ascii="Calibri" w:hAnsi="Calibri"/>
                <w:color w:val="000000"/>
                <w:sz w:val="18"/>
                <w:szCs w:val="18"/>
              </w:rPr>
              <w:t>67</w:t>
            </w:r>
          </w:p>
        </w:tc>
        <w:tc>
          <w:tcPr>
            <w:tcW w:w="664" w:type="dxa"/>
            <w:vAlign w:val="center"/>
          </w:tcPr>
          <w:p w:rsidR="00EB4908" w:rsidRPr="007777E2" w:rsidRDefault="00EB4908" w:rsidP="00A52D36">
            <w:pPr>
              <w:keepNext/>
              <w:tabs>
                <w:tab w:val="num" w:pos="720"/>
              </w:tabs>
              <w:jc w:val="right"/>
              <w:rPr>
                <w:rFonts w:ascii="Calibri" w:hAnsi="Calibri"/>
                <w:color w:val="000000"/>
                <w:sz w:val="18"/>
                <w:szCs w:val="18"/>
              </w:rPr>
            </w:pPr>
            <w:r w:rsidRPr="007777E2">
              <w:rPr>
                <w:rFonts w:ascii="Calibri" w:hAnsi="Calibri"/>
                <w:color w:val="000000"/>
                <w:sz w:val="18"/>
                <w:szCs w:val="18"/>
              </w:rPr>
              <w:t>67</w:t>
            </w:r>
          </w:p>
        </w:tc>
        <w:tc>
          <w:tcPr>
            <w:tcW w:w="664" w:type="dxa"/>
            <w:vAlign w:val="center"/>
          </w:tcPr>
          <w:p w:rsidR="00EB4908" w:rsidRPr="007777E2" w:rsidRDefault="00EB4908" w:rsidP="00A52D36">
            <w:pPr>
              <w:keepNext/>
              <w:tabs>
                <w:tab w:val="num" w:pos="720"/>
              </w:tabs>
              <w:jc w:val="right"/>
              <w:rPr>
                <w:rFonts w:ascii="Calibri" w:hAnsi="Calibri"/>
                <w:color w:val="000000"/>
                <w:sz w:val="18"/>
                <w:szCs w:val="18"/>
              </w:rPr>
            </w:pPr>
            <w:r w:rsidRPr="007777E2">
              <w:rPr>
                <w:rFonts w:ascii="Calibri" w:hAnsi="Calibri"/>
                <w:color w:val="000000"/>
                <w:sz w:val="18"/>
                <w:szCs w:val="18"/>
              </w:rPr>
              <w:t>73</w:t>
            </w:r>
          </w:p>
        </w:tc>
        <w:tc>
          <w:tcPr>
            <w:tcW w:w="664" w:type="dxa"/>
            <w:vAlign w:val="center"/>
          </w:tcPr>
          <w:p w:rsidR="00EB4908" w:rsidRPr="007777E2" w:rsidRDefault="00EB4908" w:rsidP="00A52D36">
            <w:pPr>
              <w:keepNext/>
              <w:tabs>
                <w:tab w:val="num" w:pos="720"/>
              </w:tabs>
              <w:jc w:val="right"/>
              <w:rPr>
                <w:rFonts w:ascii="Calibri" w:hAnsi="Calibri"/>
                <w:color w:val="000000"/>
                <w:sz w:val="18"/>
                <w:szCs w:val="18"/>
              </w:rPr>
            </w:pPr>
            <w:r w:rsidRPr="007777E2">
              <w:rPr>
                <w:rFonts w:ascii="Calibri" w:hAnsi="Calibri"/>
                <w:color w:val="000000"/>
                <w:sz w:val="18"/>
                <w:szCs w:val="18"/>
              </w:rPr>
              <w:t>73</w:t>
            </w:r>
          </w:p>
        </w:tc>
        <w:tc>
          <w:tcPr>
            <w:tcW w:w="664" w:type="dxa"/>
            <w:vAlign w:val="center"/>
          </w:tcPr>
          <w:p w:rsidR="00EB4908" w:rsidRPr="007777E2" w:rsidRDefault="00EB4908" w:rsidP="00A52D36">
            <w:pPr>
              <w:keepNext/>
              <w:tabs>
                <w:tab w:val="num" w:pos="720"/>
              </w:tabs>
              <w:jc w:val="right"/>
              <w:rPr>
                <w:rFonts w:ascii="Calibri" w:hAnsi="Calibri"/>
                <w:color w:val="000000"/>
                <w:sz w:val="18"/>
                <w:szCs w:val="18"/>
              </w:rPr>
            </w:pPr>
            <w:r w:rsidRPr="007777E2">
              <w:rPr>
                <w:rFonts w:ascii="Calibri" w:hAnsi="Calibri"/>
                <w:color w:val="000000"/>
                <w:sz w:val="18"/>
                <w:szCs w:val="18"/>
              </w:rPr>
              <w:t>78</w:t>
            </w:r>
          </w:p>
        </w:tc>
        <w:tc>
          <w:tcPr>
            <w:tcW w:w="664" w:type="dxa"/>
            <w:vAlign w:val="center"/>
          </w:tcPr>
          <w:p w:rsidR="00EB4908" w:rsidRPr="007777E2" w:rsidRDefault="00EB4908" w:rsidP="00A52D36">
            <w:pPr>
              <w:keepNext/>
              <w:tabs>
                <w:tab w:val="num" w:pos="720"/>
              </w:tabs>
              <w:jc w:val="right"/>
              <w:rPr>
                <w:rFonts w:ascii="Calibri" w:hAnsi="Calibri"/>
                <w:color w:val="000000"/>
                <w:sz w:val="18"/>
                <w:szCs w:val="18"/>
              </w:rPr>
            </w:pPr>
            <w:r w:rsidRPr="007777E2">
              <w:rPr>
                <w:rFonts w:ascii="Calibri" w:hAnsi="Calibri"/>
                <w:color w:val="000000"/>
                <w:sz w:val="18"/>
                <w:szCs w:val="18"/>
              </w:rPr>
              <w:t>78</w:t>
            </w:r>
          </w:p>
        </w:tc>
      </w:tr>
      <w:tr w:rsidR="00EB4908" w:rsidRPr="007777E2" w:rsidTr="002048E8">
        <w:trPr>
          <w:cantSplit/>
          <w:trHeight w:val="323"/>
        </w:trPr>
        <w:tc>
          <w:tcPr>
            <w:tcW w:w="1048" w:type="dxa"/>
            <w:vMerge/>
          </w:tcPr>
          <w:p w:rsidR="00EB4908" w:rsidRPr="007777E2" w:rsidRDefault="00EB4908" w:rsidP="00A52D36">
            <w:pPr>
              <w:keepNext/>
              <w:tabs>
                <w:tab w:val="num" w:pos="720"/>
              </w:tabs>
              <w:rPr>
                <w:rFonts w:asciiTheme="minorHAnsi" w:hAnsiTheme="minorHAnsi"/>
                <w:color w:val="000000"/>
                <w:sz w:val="18"/>
                <w:szCs w:val="18"/>
              </w:rPr>
            </w:pPr>
          </w:p>
        </w:tc>
        <w:tc>
          <w:tcPr>
            <w:tcW w:w="1368" w:type="dxa"/>
            <w:vAlign w:val="center"/>
          </w:tcPr>
          <w:p w:rsidR="00EB4908" w:rsidRPr="007777E2" w:rsidRDefault="00EB4908" w:rsidP="00A52D36">
            <w:pPr>
              <w:keepNext/>
              <w:tabs>
                <w:tab w:val="num" w:pos="720"/>
              </w:tabs>
              <w:rPr>
                <w:rFonts w:asciiTheme="minorHAnsi" w:hAnsiTheme="minorHAnsi"/>
                <w:b/>
                <w:color w:val="000000"/>
                <w:sz w:val="18"/>
                <w:szCs w:val="18"/>
              </w:rPr>
            </w:pPr>
            <w:r w:rsidRPr="007777E2">
              <w:rPr>
                <w:rFonts w:asciiTheme="minorHAnsi" w:hAnsiTheme="minorHAnsi"/>
                <w:b/>
                <w:color w:val="000000"/>
                <w:sz w:val="18"/>
                <w:szCs w:val="18"/>
              </w:rPr>
              <w:t>Total</w:t>
            </w:r>
          </w:p>
        </w:tc>
        <w:tc>
          <w:tcPr>
            <w:tcW w:w="628" w:type="dxa"/>
            <w:vAlign w:val="center"/>
          </w:tcPr>
          <w:p w:rsidR="00EB4908" w:rsidRPr="007777E2" w:rsidRDefault="00EB4908" w:rsidP="00A52D36">
            <w:pPr>
              <w:keepNext/>
              <w:tabs>
                <w:tab w:val="num" w:pos="720"/>
              </w:tabs>
              <w:jc w:val="right"/>
              <w:rPr>
                <w:rFonts w:ascii="Calibri" w:hAnsi="Calibri"/>
                <w:b/>
                <w:color w:val="000000"/>
                <w:sz w:val="18"/>
                <w:szCs w:val="18"/>
              </w:rPr>
            </w:pPr>
            <w:r w:rsidRPr="007777E2">
              <w:rPr>
                <w:rFonts w:ascii="Calibri" w:hAnsi="Calibri"/>
                <w:b/>
                <w:color w:val="000000"/>
                <w:sz w:val="18"/>
                <w:szCs w:val="18"/>
              </w:rPr>
              <w:t>322</w:t>
            </w:r>
          </w:p>
        </w:tc>
        <w:tc>
          <w:tcPr>
            <w:tcW w:w="628" w:type="dxa"/>
            <w:vAlign w:val="center"/>
          </w:tcPr>
          <w:p w:rsidR="00EB4908" w:rsidRPr="007777E2" w:rsidRDefault="00EB4908" w:rsidP="00A52D36">
            <w:pPr>
              <w:keepNext/>
              <w:tabs>
                <w:tab w:val="num" w:pos="720"/>
              </w:tabs>
              <w:jc w:val="right"/>
              <w:rPr>
                <w:rFonts w:ascii="Calibri" w:hAnsi="Calibri"/>
                <w:b/>
                <w:color w:val="000000"/>
                <w:sz w:val="18"/>
                <w:szCs w:val="18"/>
              </w:rPr>
            </w:pPr>
            <w:r w:rsidRPr="007777E2">
              <w:rPr>
                <w:rFonts w:ascii="Calibri" w:hAnsi="Calibri"/>
                <w:b/>
                <w:color w:val="000000"/>
                <w:sz w:val="18"/>
                <w:szCs w:val="18"/>
              </w:rPr>
              <w:t>332</w:t>
            </w:r>
          </w:p>
        </w:tc>
        <w:tc>
          <w:tcPr>
            <w:tcW w:w="628" w:type="dxa"/>
            <w:vAlign w:val="center"/>
          </w:tcPr>
          <w:p w:rsidR="00EB4908" w:rsidRPr="007777E2" w:rsidRDefault="00EB4908" w:rsidP="00A52D36">
            <w:pPr>
              <w:keepNext/>
              <w:tabs>
                <w:tab w:val="num" w:pos="720"/>
              </w:tabs>
              <w:jc w:val="right"/>
              <w:rPr>
                <w:rFonts w:ascii="Calibri" w:hAnsi="Calibri"/>
                <w:b/>
                <w:color w:val="000000"/>
                <w:sz w:val="18"/>
                <w:szCs w:val="18"/>
              </w:rPr>
            </w:pPr>
            <w:r w:rsidRPr="007777E2">
              <w:rPr>
                <w:rFonts w:ascii="Calibri" w:hAnsi="Calibri"/>
                <w:b/>
                <w:color w:val="000000"/>
                <w:sz w:val="18"/>
                <w:szCs w:val="18"/>
              </w:rPr>
              <w:t>323</w:t>
            </w:r>
          </w:p>
        </w:tc>
        <w:tc>
          <w:tcPr>
            <w:tcW w:w="628" w:type="dxa"/>
            <w:vAlign w:val="center"/>
          </w:tcPr>
          <w:p w:rsidR="00EB4908" w:rsidRPr="007777E2" w:rsidRDefault="00EB4908" w:rsidP="00A52D36">
            <w:pPr>
              <w:keepNext/>
              <w:tabs>
                <w:tab w:val="num" w:pos="720"/>
              </w:tabs>
              <w:jc w:val="right"/>
              <w:rPr>
                <w:rFonts w:ascii="Calibri" w:hAnsi="Calibri"/>
                <w:b/>
                <w:color w:val="000000"/>
                <w:sz w:val="18"/>
                <w:szCs w:val="18"/>
              </w:rPr>
            </w:pPr>
            <w:r w:rsidRPr="007777E2">
              <w:rPr>
                <w:rFonts w:ascii="Calibri" w:hAnsi="Calibri"/>
                <w:b/>
                <w:color w:val="000000"/>
                <w:sz w:val="18"/>
                <w:szCs w:val="18"/>
              </w:rPr>
              <w:t>353</w:t>
            </w:r>
          </w:p>
        </w:tc>
        <w:tc>
          <w:tcPr>
            <w:tcW w:w="664" w:type="dxa"/>
            <w:vAlign w:val="center"/>
          </w:tcPr>
          <w:p w:rsidR="00EB4908" w:rsidRPr="007777E2" w:rsidRDefault="00EB4908" w:rsidP="00A52D36">
            <w:pPr>
              <w:keepNext/>
              <w:tabs>
                <w:tab w:val="num" w:pos="720"/>
              </w:tabs>
              <w:jc w:val="right"/>
              <w:rPr>
                <w:rFonts w:ascii="Calibri" w:hAnsi="Calibri"/>
                <w:b/>
                <w:color w:val="000000"/>
                <w:sz w:val="18"/>
                <w:szCs w:val="18"/>
              </w:rPr>
            </w:pPr>
            <w:r w:rsidRPr="007777E2">
              <w:rPr>
                <w:rFonts w:ascii="Calibri" w:hAnsi="Calibri"/>
                <w:b/>
                <w:color w:val="000000"/>
                <w:sz w:val="18"/>
                <w:szCs w:val="18"/>
              </w:rPr>
              <w:t>358</w:t>
            </w:r>
          </w:p>
        </w:tc>
        <w:tc>
          <w:tcPr>
            <w:tcW w:w="664" w:type="dxa"/>
            <w:vAlign w:val="center"/>
          </w:tcPr>
          <w:p w:rsidR="00EB4908" w:rsidRPr="007777E2" w:rsidRDefault="00EB4908" w:rsidP="00A52D36">
            <w:pPr>
              <w:keepNext/>
              <w:tabs>
                <w:tab w:val="num" w:pos="720"/>
              </w:tabs>
              <w:jc w:val="right"/>
              <w:rPr>
                <w:rFonts w:ascii="Calibri" w:hAnsi="Calibri"/>
                <w:b/>
                <w:color w:val="000000"/>
                <w:sz w:val="18"/>
                <w:szCs w:val="18"/>
              </w:rPr>
            </w:pPr>
            <w:r w:rsidRPr="007777E2">
              <w:rPr>
                <w:rFonts w:ascii="Calibri" w:hAnsi="Calibri"/>
                <w:b/>
                <w:color w:val="000000"/>
                <w:sz w:val="18"/>
                <w:szCs w:val="18"/>
              </w:rPr>
              <w:t>368</w:t>
            </w:r>
          </w:p>
        </w:tc>
        <w:tc>
          <w:tcPr>
            <w:tcW w:w="664" w:type="dxa"/>
            <w:vAlign w:val="center"/>
          </w:tcPr>
          <w:p w:rsidR="00EB4908" w:rsidRPr="007777E2" w:rsidRDefault="00EB4908" w:rsidP="00A52D36">
            <w:pPr>
              <w:keepNext/>
              <w:tabs>
                <w:tab w:val="num" w:pos="720"/>
              </w:tabs>
              <w:jc w:val="right"/>
              <w:rPr>
                <w:rFonts w:ascii="Calibri" w:hAnsi="Calibri"/>
                <w:b/>
                <w:color w:val="000000"/>
                <w:sz w:val="18"/>
                <w:szCs w:val="18"/>
              </w:rPr>
            </w:pPr>
            <w:r w:rsidRPr="007777E2">
              <w:rPr>
                <w:rFonts w:ascii="Calibri" w:hAnsi="Calibri"/>
                <w:b/>
                <w:color w:val="000000"/>
                <w:sz w:val="18"/>
                <w:szCs w:val="18"/>
              </w:rPr>
              <w:t>373</w:t>
            </w:r>
          </w:p>
        </w:tc>
        <w:tc>
          <w:tcPr>
            <w:tcW w:w="664" w:type="dxa"/>
            <w:vAlign w:val="center"/>
          </w:tcPr>
          <w:p w:rsidR="00EB4908" w:rsidRPr="007777E2" w:rsidRDefault="00EB4908" w:rsidP="00A52D36">
            <w:pPr>
              <w:keepNext/>
              <w:tabs>
                <w:tab w:val="num" w:pos="720"/>
              </w:tabs>
              <w:jc w:val="right"/>
              <w:rPr>
                <w:rFonts w:ascii="Calibri" w:hAnsi="Calibri"/>
                <w:b/>
                <w:color w:val="000000"/>
                <w:sz w:val="18"/>
                <w:szCs w:val="18"/>
              </w:rPr>
            </w:pPr>
            <w:r w:rsidRPr="007777E2">
              <w:rPr>
                <w:rFonts w:ascii="Calibri" w:hAnsi="Calibri"/>
                <w:b/>
                <w:color w:val="000000"/>
                <w:sz w:val="18"/>
                <w:szCs w:val="18"/>
              </w:rPr>
              <w:t>383</w:t>
            </w:r>
          </w:p>
        </w:tc>
        <w:tc>
          <w:tcPr>
            <w:tcW w:w="664" w:type="dxa"/>
            <w:vAlign w:val="center"/>
          </w:tcPr>
          <w:p w:rsidR="00EB4908" w:rsidRPr="007777E2" w:rsidRDefault="00EB4908" w:rsidP="00A52D36">
            <w:pPr>
              <w:keepNext/>
              <w:tabs>
                <w:tab w:val="num" w:pos="720"/>
              </w:tabs>
              <w:jc w:val="right"/>
              <w:rPr>
                <w:rFonts w:ascii="Calibri" w:hAnsi="Calibri"/>
                <w:b/>
                <w:color w:val="000000"/>
                <w:sz w:val="18"/>
                <w:szCs w:val="18"/>
              </w:rPr>
            </w:pPr>
            <w:r w:rsidRPr="007777E2">
              <w:rPr>
                <w:rFonts w:ascii="Calibri" w:hAnsi="Calibri"/>
                <w:b/>
                <w:color w:val="000000"/>
                <w:sz w:val="18"/>
                <w:szCs w:val="18"/>
              </w:rPr>
              <w:t>389</w:t>
            </w:r>
          </w:p>
        </w:tc>
        <w:tc>
          <w:tcPr>
            <w:tcW w:w="664" w:type="dxa"/>
            <w:vAlign w:val="center"/>
          </w:tcPr>
          <w:p w:rsidR="00EB4908" w:rsidRPr="007777E2" w:rsidRDefault="00EB4908" w:rsidP="00A52D36">
            <w:pPr>
              <w:keepNext/>
              <w:tabs>
                <w:tab w:val="num" w:pos="720"/>
              </w:tabs>
              <w:jc w:val="right"/>
              <w:rPr>
                <w:rFonts w:ascii="Calibri" w:hAnsi="Calibri"/>
                <w:b/>
                <w:color w:val="000000"/>
                <w:sz w:val="18"/>
                <w:szCs w:val="18"/>
              </w:rPr>
            </w:pPr>
            <w:r w:rsidRPr="007777E2">
              <w:rPr>
                <w:rFonts w:ascii="Calibri" w:hAnsi="Calibri"/>
                <w:b/>
                <w:color w:val="000000"/>
                <w:sz w:val="18"/>
                <w:szCs w:val="18"/>
              </w:rPr>
              <w:t>399</w:t>
            </w:r>
          </w:p>
        </w:tc>
        <w:tc>
          <w:tcPr>
            <w:tcW w:w="664" w:type="dxa"/>
            <w:vAlign w:val="center"/>
          </w:tcPr>
          <w:p w:rsidR="00EB4908" w:rsidRPr="007777E2" w:rsidRDefault="00EB4908" w:rsidP="00A52D36">
            <w:pPr>
              <w:keepNext/>
              <w:tabs>
                <w:tab w:val="num" w:pos="720"/>
              </w:tabs>
              <w:jc w:val="right"/>
              <w:rPr>
                <w:rFonts w:ascii="Calibri" w:hAnsi="Calibri"/>
                <w:b/>
                <w:color w:val="000000"/>
                <w:sz w:val="18"/>
                <w:szCs w:val="18"/>
              </w:rPr>
            </w:pPr>
            <w:r w:rsidRPr="007777E2">
              <w:rPr>
                <w:rFonts w:ascii="Calibri" w:hAnsi="Calibri"/>
                <w:b/>
                <w:color w:val="000000"/>
                <w:sz w:val="18"/>
                <w:szCs w:val="18"/>
              </w:rPr>
              <w:t>405</w:t>
            </w:r>
          </w:p>
        </w:tc>
      </w:tr>
      <w:tr w:rsidR="00EB4908" w:rsidRPr="00934C6E" w:rsidTr="002048E8">
        <w:trPr>
          <w:cantSplit/>
          <w:trHeight w:val="439"/>
        </w:trPr>
        <w:tc>
          <w:tcPr>
            <w:tcW w:w="1048" w:type="dxa"/>
            <w:vMerge w:val="restart"/>
          </w:tcPr>
          <w:p w:rsidR="00EB4908" w:rsidRPr="00934C6E" w:rsidRDefault="00EB4908" w:rsidP="00A52D36">
            <w:pPr>
              <w:keepNext/>
              <w:tabs>
                <w:tab w:val="num" w:pos="720"/>
              </w:tabs>
              <w:rPr>
                <w:rFonts w:asciiTheme="minorHAnsi" w:hAnsiTheme="minorHAnsi"/>
                <w:b/>
                <w:color w:val="000000"/>
                <w:sz w:val="18"/>
                <w:szCs w:val="18"/>
              </w:rPr>
            </w:pPr>
            <w:r w:rsidRPr="007777E2">
              <w:rPr>
                <w:rFonts w:asciiTheme="minorHAnsi" w:hAnsiTheme="minorHAnsi"/>
                <w:color w:val="000000"/>
                <w:sz w:val="18"/>
                <w:szCs w:val="18"/>
              </w:rPr>
              <w:t> </w:t>
            </w:r>
            <w:r w:rsidR="0004363C" w:rsidRPr="0004363C">
              <w:rPr>
                <w:rFonts w:asciiTheme="minorHAnsi" w:hAnsiTheme="minorHAnsi"/>
                <w:b/>
                <w:color w:val="000000"/>
                <w:sz w:val="18"/>
                <w:szCs w:val="18"/>
              </w:rPr>
              <w:t>Local</w:t>
            </w:r>
          </w:p>
        </w:tc>
        <w:tc>
          <w:tcPr>
            <w:tcW w:w="1368" w:type="dxa"/>
            <w:vAlign w:val="center"/>
          </w:tcPr>
          <w:p w:rsidR="00EB4908" w:rsidRPr="00934C6E" w:rsidRDefault="0004363C" w:rsidP="00A52D36">
            <w:pPr>
              <w:keepNext/>
              <w:tabs>
                <w:tab w:val="num" w:pos="720"/>
              </w:tabs>
              <w:rPr>
                <w:rFonts w:asciiTheme="minorHAnsi" w:hAnsiTheme="minorHAnsi"/>
                <w:color w:val="000000"/>
                <w:sz w:val="18"/>
                <w:szCs w:val="18"/>
              </w:rPr>
            </w:pPr>
            <w:r w:rsidRPr="0004363C">
              <w:rPr>
                <w:rFonts w:asciiTheme="minorHAnsi" w:hAnsiTheme="minorHAnsi"/>
                <w:color w:val="000000"/>
                <w:sz w:val="18"/>
                <w:szCs w:val="18"/>
              </w:rPr>
              <w:t>Routine/Winter</w:t>
            </w:r>
          </w:p>
        </w:tc>
        <w:tc>
          <w:tcPr>
            <w:tcW w:w="628" w:type="dxa"/>
            <w:vAlign w:val="center"/>
          </w:tcPr>
          <w:p w:rsidR="00EB4908" w:rsidRPr="00934C6E" w:rsidRDefault="0004363C" w:rsidP="00A52D36">
            <w:pPr>
              <w:keepNext/>
              <w:tabs>
                <w:tab w:val="num" w:pos="720"/>
              </w:tabs>
              <w:jc w:val="right"/>
              <w:rPr>
                <w:rFonts w:ascii="Calibri" w:hAnsi="Calibri"/>
                <w:color w:val="000000"/>
                <w:sz w:val="18"/>
                <w:szCs w:val="18"/>
              </w:rPr>
            </w:pPr>
            <w:r w:rsidRPr="0004363C">
              <w:rPr>
                <w:rFonts w:ascii="Calibri" w:hAnsi="Calibri"/>
                <w:color w:val="000000"/>
                <w:sz w:val="18"/>
                <w:szCs w:val="18"/>
              </w:rPr>
              <w:t>56</w:t>
            </w:r>
          </w:p>
        </w:tc>
        <w:tc>
          <w:tcPr>
            <w:tcW w:w="628" w:type="dxa"/>
            <w:vAlign w:val="center"/>
          </w:tcPr>
          <w:p w:rsidR="00EB4908" w:rsidRPr="00934C6E" w:rsidRDefault="0004363C" w:rsidP="00A52D36">
            <w:pPr>
              <w:keepNext/>
              <w:tabs>
                <w:tab w:val="num" w:pos="720"/>
              </w:tabs>
              <w:jc w:val="right"/>
              <w:rPr>
                <w:rFonts w:ascii="Calibri" w:hAnsi="Calibri"/>
                <w:color w:val="000000"/>
                <w:sz w:val="18"/>
                <w:szCs w:val="18"/>
              </w:rPr>
            </w:pPr>
            <w:r w:rsidRPr="0004363C">
              <w:rPr>
                <w:rFonts w:ascii="Calibri" w:hAnsi="Calibri"/>
                <w:color w:val="000000"/>
                <w:sz w:val="18"/>
                <w:szCs w:val="18"/>
              </w:rPr>
              <w:t>61</w:t>
            </w:r>
          </w:p>
        </w:tc>
        <w:tc>
          <w:tcPr>
            <w:tcW w:w="628" w:type="dxa"/>
            <w:vAlign w:val="center"/>
          </w:tcPr>
          <w:p w:rsidR="00EB4908" w:rsidRPr="00934C6E" w:rsidRDefault="0004363C" w:rsidP="00A52D36">
            <w:pPr>
              <w:keepNext/>
              <w:tabs>
                <w:tab w:val="num" w:pos="720"/>
              </w:tabs>
              <w:jc w:val="right"/>
              <w:rPr>
                <w:rFonts w:ascii="Calibri" w:hAnsi="Calibri"/>
                <w:color w:val="000000"/>
                <w:sz w:val="18"/>
                <w:szCs w:val="18"/>
              </w:rPr>
            </w:pPr>
            <w:r w:rsidRPr="0004363C">
              <w:rPr>
                <w:rFonts w:ascii="Calibri" w:hAnsi="Calibri"/>
                <w:color w:val="000000"/>
                <w:sz w:val="18"/>
                <w:szCs w:val="18"/>
              </w:rPr>
              <w:t>67</w:t>
            </w:r>
          </w:p>
        </w:tc>
        <w:tc>
          <w:tcPr>
            <w:tcW w:w="628" w:type="dxa"/>
            <w:vAlign w:val="center"/>
          </w:tcPr>
          <w:p w:rsidR="00EB4908" w:rsidRPr="00934C6E" w:rsidRDefault="0004363C" w:rsidP="00A52D36">
            <w:pPr>
              <w:keepNext/>
              <w:tabs>
                <w:tab w:val="num" w:pos="720"/>
              </w:tabs>
              <w:jc w:val="right"/>
              <w:rPr>
                <w:rFonts w:ascii="Calibri" w:hAnsi="Calibri"/>
                <w:color w:val="000000"/>
                <w:sz w:val="18"/>
                <w:szCs w:val="18"/>
              </w:rPr>
            </w:pPr>
            <w:r w:rsidRPr="0004363C">
              <w:rPr>
                <w:rFonts w:ascii="Calibri" w:hAnsi="Calibri"/>
                <w:color w:val="000000"/>
                <w:sz w:val="18"/>
                <w:szCs w:val="18"/>
              </w:rPr>
              <w:t>74</w:t>
            </w:r>
          </w:p>
        </w:tc>
        <w:tc>
          <w:tcPr>
            <w:tcW w:w="664" w:type="dxa"/>
            <w:vAlign w:val="center"/>
          </w:tcPr>
          <w:p w:rsidR="00EB4908" w:rsidRPr="00934C6E" w:rsidRDefault="0004363C" w:rsidP="00A52D36">
            <w:pPr>
              <w:keepNext/>
              <w:tabs>
                <w:tab w:val="num" w:pos="720"/>
              </w:tabs>
              <w:jc w:val="right"/>
              <w:rPr>
                <w:rFonts w:ascii="Calibri" w:hAnsi="Calibri"/>
                <w:color w:val="000000"/>
                <w:sz w:val="18"/>
                <w:szCs w:val="18"/>
              </w:rPr>
            </w:pPr>
            <w:r w:rsidRPr="0004363C">
              <w:rPr>
                <w:rFonts w:ascii="Calibri" w:hAnsi="Calibri"/>
                <w:color w:val="000000"/>
                <w:sz w:val="18"/>
                <w:szCs w:val="18"/>
              </w:rPr>
              <w:t>82</w:t>
            </w:r>
          </w:p>
        </w:tc>
        <w:tc>
          <w:tcPr>
            <w:tcW w:w="664" w:type="dxa"/>
            <w:vAlign w:val="center"/>
          </w:tcPr>
          <w:p w:rsidR="00EB4908" w:rsidRPr="00934C6E" w:rsidRDefault="0004363C" w:rsidP="00A52D36">
            <w:pPr>
              <w:keepNext/>
              <w:tabs>
                <w:tab w:val="num" w:pos="720"/>
              </w:tabs>
              <w:jc w:val="right"/>
              <w:rPr>
                <w:rFonts w:ascii="Calibri" w:hAnsi="Calibri"/>
                <w:color w:val="000000"/>
                <w:sz w:val="18"/>
                <w:szCs w:val="18"/>
              </w:rPr>
            </w:pPr>
            <w:r w:rsidRPr="0004363C">
              <w:rPr>
                <w:rFonts w:ascii="Calibri" w:hAnsi="Calibri"/>
                <w:color w:val="000000"/>
                <w:sz w:val="18"/>
                <w:szCs w:val="18"/>
              </w:rPr>
              <w:t>90</w:t>
            </w:r>
          </w:p>
        </w:tc>
        <w:tc>
          <w:tcPr>
            <w:tcW w:w="664" w:type="dxa"/>
            <w:vAlign w:val="center"/>
          </w:tcPr>
          <w:p w:rsidR="00EB4908" w:rsidRPr="00934C6E" w:rsidRDefault="0004363C" w:rsidP="00A52D36">
            <w:pPr>
              <w:keepNext/>
              <w:tabs>
                <w:tab w:val="num" w:pos="720"/>
              </w:tabs>
              <w:jc w:val="right"/>
              <w:rPr>
                <w:rFonts w:ascii="Calibri" w:hAnsi="Calibri"/>
                <w:color w:val="000000"/>
                <w:sz w:val="18"/>
                <w:szCs w:val="18"/>
              </w:rPr>
            </w:pPr>
            <w:r w:rsidRPr="0004363C">
              <w:rPr>
                <w:rFonts w:ascii="Calibri" w:hAnsi="Calibri"/>
                <w:color w:val="000000"/>
                <w:sz w:val="18"/>
                <w:szCs w:val="18"/>
              </w:rPr>
              <w:t>99</w:t>
            </w:r>
          </w:p>
        </w:tc>
        <w:tc>
          <w:tcPr>
            <w:tcW w:w="664" w:type="dxa"/>
            <w:vAlign w:val="center"/>
          </w:tcPr>
          <w:p w:rsidR="00EB4908" w:rsidRPr="00934C6E" w:rsidRDefault="0004363C" w:rsidP="00A52D36">
            <w:pPr>
              <w:keepNext/>
              <w:tabs>
                <w:tab w:val="num" w:pos="720"/>
              </w:tabs>
              <w:jc w:val="right"/>
              <w:rPr>
                <w:rFonts w:ascii="Calibri" w:hAnsi="Calibri"/>
                <w:color w:val="000000"/>
                <w:sz w:val="18"/>
                <w:szCs w:val="18"/>
              </w:rPr>
            </w:pPr>
            <w:r w:rsidRPr="0004363C">
              <w:rPr>
                <w:rFonts w:ascii="Calibri" w:hAnsi="Calibri"/>
                <w:color w:val="000000"/>
                <w:sz w:val="18"/>
                <w:szCs w:val="18"/>
              </w:rPr>
              <w:t>108</w:t>
            </w:r>
          </w:p>
        </w:tc>
        <w:tc>
          <w:tcPr>
            <w:tcW w:w="664" w:type="dxa"/>
            <w:vAlign w:val="center"/>
          </w:tcPr>
          <w:p w:rsidR="00EB4908" w:rsidRPr="00934C6E" w:rsidRDefault="0004363C" w:rsidP="00A52D36">
            <w:pPr>
              <w:keepNext/>
              <w:tabs>
                <w:tab w:val="num" w:pos="720"/>
              </w:tabs>
              <w:jc w:val="right"/>
              <w:rPr>
                <w:rFonts w:ascii="Calibri" w:hAnsi="Calibri"/>
                <w:color w:val="000000"/>
                <w:sz w:val="18"/>
                <w:szCs w:val="18"/>
              </w:rPr>
            </w:pPr>
            <w:r w:rsidRPr="0004363C">
              <w:rPr>
                <w:rFonts w:ascii="Calibri" w:hAnsi="Calibri"/>
                <w:color w:val="000000"/>
                <w:sz w:val="18"/>
                <w:szCs w:val="18"/>
              </w:rPr>
              <w:t>119</w:t>
            </w:r>
          </w:p>
        </w:tc>
        <w:tc>
          <w:tcPr>
            <w:tcW w:w="664" w:type="dxa"/>
            <w:vAlign w:val="center"/>
          </w:tcPr>
          <w:p w:rsidR="00EB4908" w:rsidRPr="00934C6E" w:rsidRDefault="0004363C" w:rsidP="00A52D36">
            <w:pPr>
              <w:keepNext/>
              <w:tabs>
                <w:tab w:val="num" w:pos="720"/>
              </w:tabs>
              <w:jc w:val="right"/>
              <w:rPr>
                <w:rFonts w:ascii="Calibri" w:hAnsi="Calibri"/>
                <w:color w:val="000000"/>
                <w:sz w:val="18"/>
                <w:szCs w:val="18"/>
              </w:rPr>
            </w:pPr>
            <w:r w:rsidRPr="0004363C">
              <w:rPr>
                <w:rFonts w:ascii="Calibri" w:hAnsi="Calibri"/>
                <w:color w:val="000000"/>
                <w:sz w:val="18"/>
                <w:szCs w:val="18"/>
              </w:rPr>
              <w:t>131</w:t>
            </w:r>
          </w:p>
        </w:tc>
        <w:tc>
          <w:tcPr>
            <w:tcW w:w="664" w:type="dxa"/>
            <w:vAlign w:val="center"/>
          </w:tcPr>
          <w:p w:rsidR="00EB4908" w:rsidRPr="00934C6E" w:rsidRDefault="0004363C" w:rsidP="00A52D36">
            <w:pPr>
              <w:keepNext/>
              <w:tabs>
                <w:tab w:val="num" w:pos="720"/>
              </w:tabs>
              <w:jc w:val="right"/>
              <w:rPr>
                <w:rFonts w:ascii="Calibri" w:hAnsi="Calibri"/>
                <w:color w:val="000000"/>
                <w:sz w:val="18"/>
                <w:szCs w:val="18"/>
              </w:rPr>
            </w:pPr>
            <w:r w:rsidRPr="0004363C">
              <w:rPr>
                <w:rFonts w:ascii="Calibri" w:hAnsi="Calibri"/>
                <w:color w:val="000000"/>
                <w:sz w:val="18"/>
                <w:szCs w:val="18"/>
              </w:rPr>
              <w:t>144</w:t>
            </w:r>
          </w:p>
        </w:tc>
      </w:tr>
      <w:tr w:rsidR="00EB4908" w:rsidRPr="00934C6E" w:rsidTr="002048E8">
        <w:trPr>
          <w:cantSplit/>
          <w:trHeight w:val="350"/>
        </w:trPr>
        <w:tc>
          <w:tcPr>
            <w:tcW w:w="1048" w:type="dxa"/>
            <w:vMerge/>
          </w:tcPr>
          <w:p w:rsidR="00EB4908" w:rsidRPr="00934C6E" w:rsidRDefault="00EB4908" w:rsidP="00A52D36">
            <w:pPr>
              <w:keepNext/>
              <w:tabs>
                <w:tab w:val="num" w:pos="720"/>
              </w:tabs>
              <w:rPr>
                <w:rFonts w:asciiTheme="minorHAnsi" w:hAnsiTheme="minorHAnsi"/>
                <w:color w:val="000000"/>
                <w:sz w:val="18"/>
                <w:szCs w:val="18"/>
              </w:rPr>
            </w:pPr>
          </w:p>
        </w:tc>
        <w:tc>
          <w:tcPr>
            <w:tcW w:w="1368" w:type="dxa"/>
            <w:vAlign w:val="center"/>
          </w:tcPr>
          <w:p w:rsidR="00EB4908" w:rsidRPr="00934C6E" w:rsidRDefault="0004363C" w:rsidP="00A52D36">
            <w:pPr>
              <w:keepNext/>
              <w:tabs>
                <w:tab w:val="num" w:pos="720"/>
              </w:tabs>
              <w:rPr>
                <w:rFonts w:asciiTheme="minorHAnsi" w:hAnsiTheme="minorHAnsi"/>
                <w:color w:val="000000"/>
                <w:sz w:val="18"/>
                <w:szCs w:val="18"/>
              </w:rPr>
            </w:pPr>
            <w:r w:rsidRPr="0004363C">
              <w:rPr>
                <w:rFonts w:asciiTheme="minorHAnsi" w:hAnsiTheme="minorHAnsi"/>
                <w:color w:val="000000"/>
                <w:sz w:val="18"/>
                <w:szCs w:val="18"/>
              </w:rPr>
              <w:t>Periodic</w:t>
            </w:r>
          </w:p>
        </w:tc>
        <w:tc>
          <w:tcPr>
            <w:tcW w:w="628" w:type="dxa"/>
            <w:vAlign w:val="center"/>
          </w:tcPr>
          <w:p w:rsidR="00EB4908" w:rsidRPr="00934C6E" w:rsidRDefault="0004363C" w:rsidP="00A52D36">
            <w:pPr>
              <w:keepNext/>
              <w:tabs>
                <w:tab w:val="num" w:pos="720"/>
              </w:tabs>
              <w:jc w:val="right"/>
              <w:rPr>
                <w:rFonts w:ascii="Calibri" w:hAnsi="Calibri"/>
                <w:color w:val="000000"/>
                <w:sz w:val="18"/>
                <w:szCs w:val="18"/>
              </w:rPr>
            </w:pPr>
            <w:r w:rsidRPr="0004363C">
              <w:rPr>
                <w:rFonts w:ascii="Calibri" w:hAnsi="Calibri"/>
                <w:color w:val="000000"/>
                <w:sz w:val="18"/>
                <w:szCs w:val="18"/>
              </w:rPr>
              <w:t>61</w:t>
            </w:r>
          </w:p>
        </w:tc>
        <w:tc>
          <w:tcPr>
            <w:tcW w:w="628" w:type="dxa"/>
            <w:vAlign w:val="center"/>
          </w:tcPr>
          <w:p w:rsidR="00EB4908" w:rsidRPr="00934C6E" w:rsidRDefault="0004363C" w:rsidP="00A52D36">
            <w:pPr>
              <w:keepNext/>
              <w:tabs>
                <w:tab w:val="num" w:pos="720"/>
              </w:tabs>
              <w:jc w:val="right"/>
              <w:rPr>
                <w:rFonts w:ascii="Calibri" w:hAnsi="Calibri"/>
                <w:color w:val="000000"/>
                <w:sz w:val="18"/>
                <w:szCs w:val="18"/>
              </w:rPr>
            </w:pPr>
            <w:r w:rsidRPr="0004363C">
              <w:rPr>
                <w:rFonts w:ascii="Calibri" w:hAnsi="Calibri"/>
                <w:color w:val="000000"/>
                <w:sz w:val="18"/>
                <w:szCs w:val="18"/>
              </w:rPr>
              <w:t>68</w:t>
            </w:r>
          </w:p>
        </w:tc>
        <w:tc>
          <w:tcPr>
            <w:tcW w:w="628" w:type="dxa"/>
            <w:vAlign w:val="center"/>
          </w:tcPr>
          <w:p w:rsidR="00EB4908" w:rsidRPr="00934C6E" w:rsidRDefault="0004363C" w:rsidP="00A52D36">
            <w:pPr>
              <w:keepNext/>
              <w:tabs>
                <w:tab w:val="num" w:pos="720"/>
              </w:tabs>
              <w:jc w:val="right"/>
              <w:rPr>
                <w:rFonts w:ascii="Calibri" w:hAnsi="Calibri"/>
                <w:color w:val="000000"/>
                <w:sz w:val="18"/>
                <w:szCs w:val="18"/>
              </w:rPr>
            </w:pPr>
            <w:r w:rsidRPr="0004363C">
              <w:rPr>
                <w:rFonts w:ascii="Calibri" w:hAnsi="Calibri"/>
                <w:color w:val="000000"/>
                <w:sz w:val="18"/>
                <w:szCs w:val="18"/>
              </w:rPr>
              <w:t>74</w:t>
            </w:r>
          </w:p>
        </w:tc>
        <w:tc>
          <w:tcPr>
            <w:tcW w:w="628" w:type="dxa"/>
            <w:vAlign w:val="center"/>
          </w:tcPr>
          <w:p w:rsidR="00EB4908" w:rsidRPr="00934C6E" w:rsidRDefault="0004363C" w:rsidP="00A52D36">
            <w:pPr>
              <w:keepNext/>
              <w:tabs>
                <w:tab w:val="num" w:pos="720"/>
              </w:tabs>
              <w:jc w:val="right"/>
              <w:rPr>
                <w:rFonts w:ascii="Calibri" w:hAnsi="Calibri"/>
                <w:color w:val="000000"/>
                <w:sz w:val="18"/>
                <w:szCs w:val="18"/>
              </w:rPr>
            </w:pPr>
            <w:r w:rsidRPr="0004363C">
              <w:rPr>
                <w:rFonts w:ascii="Calibri" w:hAnsi="Calibri"/>
                <w:color w:val="000000"/>
                <w:sz w:val="18"/>
                <w:szCs w:val="18"/>
              </w:rPr>
              <w:t>89</w:t>
            </w:r>
          </w:p>
        </w:tc>
        <w:tc>
          <w:tcPr>
            <w:tcW w:w="664" w:type="dxa"/>
            <w:vAlign w:val="center"/>
          </w:tcPr>
          <w:p w:rsidR="00EB4908" w:rsidRPr="00934C6E" w:rsidRDefault="0004363C" w:rsidP="00A52D36">
            <w:pPr>
              <w:keepNext/>
              <w:tabs>
                <w:tab w:val="num" w:pos="720"/>
              </w:tabs>
              <w:jc w:val="right"/>
              <w:rPr>
                <w:rFonts w:ascii="Calibri" w:hAnsi="Calibri"/>
                <w:color w:val="000000"/>
                <w:sz w:val="18"/>
                <w:szCs w:val="18"/>
              </w:rPr>
            </w:pPr>
            <w:r w:rsidRPr="0004363C">
              <w:rPr>
                <w:rFonts w:ascii="Calibri" w:hAnsi="Calibri"/>
                <w:color w:val="000000"/>
                <w:sz w:val="18"/>
                <w:szCs w:val="18"/>
              </w:rPr>
              <w:t>89</w:t>
            </w:r>
          </w:p>
        </w:tc>
        <w:tc>
          <w:tcPr>
            <w:tcW w:w="664" w:type="dxa"/>
            <w:vAlign w:val="center"/>
          </w:tcPr>
          <w:p w:rsidR="00EB4908" w:rsidRPr="00934C6E" w:rsidRDefault="0004363C" w:rsidP="00A52D36">
            <w:pPr>
              <w:keepNext/>
              <w:tabs>
                <w:tab w:val="num" w:pos="720"/>
              </w:tabs>
              <w:jc w:val="right"/>
              <w:rPr>
                <w:rFonts w:ascii="Calibri" w:hAnsi="Calibri"/>
                <w:color w:val="000000"/>
                <w:sz w:val="18"/>
                <w:szCs w:val="18"/>
              </w:rPr>
            </w:pPr>
            <w:r w:rsidRPr="0004363C">
              <w:rPr>
                <w:rFonts w:ascii="Calibri" w:hAnsi="Calibri"/>
                <w:color w:val="000000"/>
                <w:sz w:val="18"/>
                <w:szCs w:val="18"/>
              </w:rPr>
              <w:t>89</w:t>
            </w:r>
          </w:p>
        </w:tc>
        <w:tc>
          <w:tcPr>
            <w:tcW w:w="664" w:type="dxa"/>
            <w:vAlign w:val="center"/>
          </w:tcPr>
          <w:p w:rsidR="00EB4908" w:rsidRPr="00934C6E" w:rsidRDefault="0004363C" w:rsidP="00A52D36">
            <w:pPr>
              <w:keepNext/>
              <w:tabs>
                <w:tab w:val="num" w:pos="720"/>
              </w:tabs>
              <w:jc w:val="right"/>
              <w:rPr>
                <w:rFonts w:ascii="Calibri" w:hAnsi="Calibri"/>
                <w:color w:val="000000"/>
                <w:sz w:val="18"/>
                <w:szCs w:val="18"/>
              </w:rPr>
            </w:pPr>
            <w:r w:rsidRPr="0004363C">
              <w:rPr>
                <w:rFonts w:ascii="Calibri" w:hAnsi="Calibri"/>
                <w:color w:val="000000"/>
                <w:sz w:val="18"/>
                <w:szCs w:val="18"/>
              </w:rPr>
              <w:t>111</w:t>
            </w:r>
          </w:p>
        </w:tc>
        <w:tc>
          <w:tcPr>
            <w:tcW w:w="664" w:type="dxa"/>
            <w:vAlign w:val="center"/>
          </w:tcPr>
          <w:p w:rsidR="00EB4908" w:rsidRPr="00934C6E" w:rsidRDefault="0004363C" w:rsidP="00A52D36">
            <w:pPr>
              <w:keepNext/>
              <w:tabs>
                <w:tab w:val="num" w:pos="720"/>
              </w:tabs>
              <w:jc w:val="right"/>
              <w:rPr>
                <w:rFonts w:ascii="Calibri" w:hAnsi="Calibri"/>
                <w:color w:val="000000"/>
                <w:sz w:val="18"/>
                <w:szCs w:val="18"/>
              </w:rPr>
            </w:pPr>
            <w:r w:rsidRPr="0004363C">
              <w:rPr>
                <w:rFonts w:ascii="Calibri" w:hAnsi="Calibri"/>
                <w:color w:val="000000"/>
                <w:sz w:val="18"/>
                <w:szCs w:val="18"/>
              </w:rPr>
              <w:t>111</w:t>
            </w:r>
          </w:p>
        </w:tc>
        <w:tc>
          <w:tcPr>
            <w:tcW w:w="664" w:type="dxa"/>
            <w:vAlign w:val="center"/>
          </w:tcPr>
          <w:p w:rsidR="00EB4908" w:rsidRPr="00934C6E" w:rsidRDefault="0004363C" w:rsidP="00A52D36">
            <w:pPr>
              <w:keepNext/>
              <w:tabs>
                <w:tab w:val="num" w:pos="720"/>
              </w:tabs>
              <w:jc w:val="right"/>
              <w:rPr>
                <w:rFonts w:ascii="Calibri" w:hAnsi="Calibri"/>
                <w:color w:val="000000"/>
                <w:sz w:val="18"/>
                <w:szCs w:val="18"/>
              </w:rPr>
            </w:pPr>
            <w:r w:rsidRPr="0004363C">
              <w:rPr>
                <w:rFonts w:ascii="Calibri" w:hAnsi="Calibri"/>
                <w:color w:val="000000"/>
                <w:sz w:val="18"/>
                <w:szCs w:val="18"/>
              </w:rPr>
              <w:t>111</w:t>
            </w:r>
          </w:p>
        </w:tc>
        <w:tc>
          <w:tcPr>
            <w:tcW w:w="664" w:type="dxa"/>
            <w:vAlign w:val="center"/>
          </w:tcPr>
          <w:p w:rsidR="00EB4908" w:rsidRPr="00934C6E" w:rsidRDefault="0004363C" w:rsidP="00A52D36">
            <w:pPr>
              <w:keepNext/>
              <w:tabs>
                <w:tab w:val="num" w:pos="720"/>
              </w:tabs>
              <w:jc w:val="right"/>
              <w:rPr>
                <w:rFonts w:ascii="Calibri" w:hAnsi="Calibri"/>
                <w:color w:val="000000"/>
                <w:sz w:val="18"/>
                <w:szCs w:val="18"/>
              </w:rPr>
            </w:pPr>
            <w:r w:rsidRPr="0004363C">
              <w:rPr>
                <w:rFonts w:ascii="Calibri" w:hAnsi="Calibri"/>
                <w:color w:val="000000"/>
                <w:sz w:val="18"/>
                <w:szCs w:val="18"/>
              </w:rPr>
              <w:t>134</w:t>
            </w:r>
          </w:p>
        </w:tc>
        <w:tc>
          <w:tcPr>
            <w:tcW w:w="664" w:type="dxa"/>
            <w:vAlign w:val="center"/>
          </w:tcPr>
          <w:p w:rsidR="00EB4908" w:rsidRPr="00934C6E" w:rsidRDefault="0004363C" w:rsidP="00A52D36">
            <w:pPr>
              <w:keepNext/>
              <w:tabs>
                <w:tab w:val="num" w:pos="720"/>
              </w:tabs>
              <w:jc w:val="right"/>
              <w:rPr>
                <w:rFonts w:ascii="Calibri" w:hAnsi="Calibri"/>
                <w:color w:val="000000"/>
                <w:sz w:val="18"/>
                <w:szCs w:val="18"/>
              </w:rPr>
            </w:pPr>
            <w:r w:rsidRPr="0004363C">
              <w:rPr>
                <w:rFonts w:ascii="Calibri" w:hAnsi="Calibri"/>
                <w:color w:val="000000"/>
                <w:sz w:val="18"/>
                <w:szCs w:val="18"/>
              </w:rPr>
              <w:t>134</w:t>
            </w:r>
          </w:p>
        </w:tc>
      </w:tr>
      <w:tr w:rsidR="00EB4908" w:rsidRPr="007777E2" w:rsidTr="002048E8">
        <w:trPr>
          <w:cantSplit/>
          <w:trHeight w:val="350"/>
        </w:trPr>
        <w:tc>
          <w:tcPr>
            <w:tcW w:w="1048" w:type="dxa"/>
            <w:vMerge/>
          </w:tcPr>
          <w:p w:rsidR="00EB4908" w:rsidRPr="00934C6E" w:rsidRDefault="00EB4908" w:rsidP="00A52D36">
            <w:pPr>
              <w:keepNext/>
              <w:tabs>
                <w:tab w:val="num" w:pos="720"/>
              </w:tabs>
              <w:rPr>
                <w:rFonts w:asciiTheme="minorHAnsi" w:hAnsiTheme="minorHAnsi"/>
                <w:color w:val="000000"/>
                <w:sz w:val="18"/>
                <w:szCs w:val="18"/>
              </w:rPr>
            </w:pPr>
          </w:p>
        </w:tc>
        <w:tc>
          <w:tcPr>
            <w:tcW w:w="1368" w:type="dxa"/>
            <w:vAlign w:val="center"/>
          </w:tcPr>
          <w:p w:rsidR="00EB4908" w:rsidRPr="00934C6E" w:rsidRDefault="0004363C" w:rsidP="00A52D36">
            <w:pPr>
              <w:keepNext/>
              <w:tabs>
                <w:tab w:val="num" w:pos="720"/>
              </w:tabs>
              <w:rPr>
                <w:rFonts w:asciiTheme="minorHAnsi" w:hAnsiTheme="minorHAnsi"/>
                <w:b/>
                <w:color w:val="000000"/>
                <w:sz w:val="18"/>
                <w:szCs w:val="18"/>
              </w:rPr>
            </w:pPr>
            <w:r w:rsidRPr="0004363C">
              <w:rPr>
                <w:rFonts w:asciiTheme="minorHAnsi" w:hAnsiTheme="minorHAnsi"/>
                <w:b/>
                <w:color w:val="000000"/>
                <w:sz w:val="18"/>
                <w:szCs w:val="18"/>
              </w:rPr>
              <w:t>Total</w:t>
            </w:r>
          </w:p>
        </w:tc>
        <w:tc>
          <w:tcPr>
            <w:tcW w:w="628" w:type="dxa"/>
            <w:vAlign w:val="center"/>
          </w:tcPr>
          <w:p w:rsidR="00EB4908" w:rsidRPr="00934C6E" w:rsidRDefault="0004363C" w:rsidP="00A52D36">
            <w:pPr>
              <w:keepNext/>
              <w:jc w:val="right"/>
              <w:rPr>
                <w:rFonts w:ascii="Calibri" w:hAnsi="Calibri"/>
                <w:b/>
                <w:color w:val="000000"/>
                <w:sz w:val="18"/>
                <w:szCs w:val="18"/>
              </w:rPr>
            </w:pPr>
            <w:r w:rsidRPr="0004363C">
              <w:rPr>
                <w:rFonts w:ascii="Calibri" w:hAnsi="Calibri"/>
                <w:b/>
                <w:color w:val="000000"/>
                <w:sz w:val="18"/>
                <w:szCs w:val="18"/>
              </w:rPr>
              <w:t>117</w:t>
            </w:r>
          </w:p>
        </w:tc>
        <w:tc>
          <w:tcPr>
            <w:tcW w:w="628" w:type="dxa"/>
            <w:vAlign w:val="center"/>
          </w:tcPr>
          <w:p w:rsidR="00EB4908" w:rsidRPr="00934C6E" w:rsidRDefault="0004363C" w:rsidP="00A52D36">
            <w:pPr>
              <w:keepNext/>
              <w:jc w:val="right"/>
              <w:rPr>
                <w:rFonts w:ascii="Calibri" w:hAnsi="Calibri"/>
                <w:b/>
                <w:color w:val="000000"/>
                <w:sz w:val="18"/>
                <w:szCs w:val="18"/>
              </w:rPr>
            </w:pPr>
            <w:r w:rsidRPr="0004363C">
              <w:rPr>
                <w:rFonts w:ascii="Calibri" w:hAnsi="Calibri"/>
                <w:b/>
                <w:color w:val="000000"/>
                <w:sz w:val="18"/>
                <w:szCs w:val="18"/>
              </w:rPr>
              <w:t>129</w:t>
            </w:r>
          </w:p>
        </w:tc>
        <w:tc>
          <w:tcPr>
            <w:tcW w:w="628" w:type="dxa"/>
            <w:vAlign w:val="center"/>
          </w:tcPr>
          <w:p w:rsidR="00EB4908" w:rsidRPr="00934C6E" w:rsidRDefault="0004363C" w:rsidP="00A52D36">
            <w:pPr>
              <w:keepNext/>
              <w:jc w:val="right"/>
              <w:rPr>
                <w:rFonts w:ascii="Calibri" w:hAnsi="Calibri"/>
                <w:b/>
                <w:color w:val="000000"/>
                <w:sz w:val="18"/>
                <w:szCs w:val="18"/>
              </w:rPr>
            </w:pPr>
            <w:r w:rsidRPr="0004363C">
              <w:rPr>
                <w:rFonts w:ascii="Calibri" w:hAnsi="Calibri"/>
                <w:b/>
                <w:color w:val="000000"/>
                <w:sz w:val="18"/>
                <w:szCs w:val="18"/>
              </w:rPr>
              <w:t>141</w:t>
            </w:r>
          </w:p>
        </w:tc>
        <w:tc>
          <w:tcPr>
            <w:tcW w:w="628" w:type="dxa"/>
            <w:vAlign w:val="center"/>
          </w:tcPr>
          <w:p w:rsidR="00EB4908" w:rsidRPr="00934C6E" w:rsidRDefault="0004363C" w:rsidP="00A52D36">
            <w:pPr>
              <w:keepNext/>
              <w:jc w:val="right"/>
              <w:rPr>
                <w:rFonts w:ascii="Calibri" w:hAnsi="Calibri"/>
                <w:b/>
                <w:color w:val="000000"/>
                <w:sz w:val="18"/>
                <w:szCs w:val="18"/>
              </w:rPr>
            </w:pPr>
            <w:r w:rsidRPr="0004363C">
              <w:rPr>
                <w:rFonts w:ascii="Calibri" w:hAnsi="Calibri"/>
                <w:b/>
                <w:color w:val="000000"/>
                <w:sz w:val="18"/>
                <w:szCs w:val="18"/>
              </w:rPr>
              <w:t>163</w:t>
            </w:r>
          </w:p>
        </w:tc>
        <w:tc>
          <w:tcPr>
            <w:tcW w:w="664" w:type="dxa"/>
            <w:vAlign w:val="center"/>
          </w:tcPr>
          <w:p w:rsidR="00EB4908" w:rsidRPr="00934C6E" w:rsidRDefault="0004363C" w:rsidP="00A52D36">
            <w:pPr>
              <w:keepNext/>
              <w:jc w:val="right"/>
              <w:rPr>
                <w:rFonts w:ascii="Calibri" w:hAnsi="Calibri"/>
                <w:b/>
                <w:color w:val="000000"/>
                <w:sz w:val="18"/>
                <w:szCs w:val="18"/>
              </w:rPr>
            </w:pPr>
            <w:r w:rsidRPr="0004363C">
              <w:rPr>
                <w:rFonts w:ascii="Calibri" w:hAnsi="Calibri"/>
                <w:b/>
                <w:color w:val="000000"/>
                <w:sz w:val="18"/>
                <w:szCs w:val="18"/>
              </w:rPr>
              <w:t>171</w:t>
            </w:r>
          </w:p>
        </w:tc>
        <w:tc>
          <w:tcPr>
            <w:tcW w:w="664" w:type="dxa"/>
            <w:vAlign w:val="center"/>
          </w:tcPr>
          <w:p w:rsidR="00EB4908" w:rsidRPr="00934C6E" w:rsidRDefault="0004363C" w:rsidP="00A52D36">
            <w:pPr>
              <w:keepNext/>
              <w:jc w:val="right"/>
              <w:rPr>
                <w:rFonts w:ascii="Calibri" w:hAnsi="Calibri"/>
                <w:b/>
                <w:color w:val="000000"/>
                <w:sz w:val="18"/>
                <w:szCs w:val="18"/>
              </w:rPr>
            </w:pPr>
            <w:r w:rsidRPr="0004363C">
              <w:rPr>
                <w:rFonts w:ascii="Calibri" w:hAnsi="Calibri"/>
                <w:b/>
                <w:color w:val="000000"/>
                <w:sz w:val="18"/>
                <w:szCs w:val="18"/>
              </w:rPr>
              <w:t>179</w:t>
            </w:r>
          </w:p>
        </w:tc>
        <w:tc>
          <w:tcPr>
            <w:tcW w:w="664" w:type="dxa"/>
            <w:vAlign w:val="center"/>
          </w:tcPr>
          <w:p w:rsidR="00EB4908" w:rsidRPr="00934C6E" w:rsidRDefault="0004363C" w:rsidP="00A52D36">
            <w:pPr>
              <w:keepNext/>
              <w:jc w:val="right"/>
              <w:rPr>
                <w:rFonts w:ascii="Calibri" w:hAnsi="Calibri"/>
                <w:b/>
                <w:color w:val="000000"/>
                <w:sz w:val="18"/>
                <w:szCs w:val="18"/>
              </w:rPr>
            </w:pPr>
            <w:r w:rsidRPr="0004363C">
              <w:rPr>
                <w:rFonts w:ascii="Calibri" w:hAnsi="Calibri"/>
                <w:b/>
                <w:color w:val="000000"/>
                <w:sz w:val="18"/>
                <w:szCs w:val="18"/>
              </w:rPr>
              <w:t>210</w:t>
            </w:r>
          </w:p>
        </w:tc>
        <w:tc>
          <w:tcPr>
            <w:tcW w:w="664" w:type="dxa"/>
            <w:vAlign w:val="center"/>
          </w:tcPr>
          <w:p w:rsidR="00EB4908" w:rsidRPr="00934C6E" w:rsidRDefault="0004363C" w:rsidP="00A52D36">
            <w:pPr>
              <w:keepNext/>
              <w:jc w:val="right"/>
              <w:rPr>
                <w:rFonts w:ascii="Calibri" w:hAnsi="Calibri"/>
                <w:b/>
                <w:color w:val="000000"/>
                <w:sz w:val="18"/>
                <w:szCs w:val="18"/>
              </w:rPr>
            </w:pPr>
            <w:r w:rsidRPr="0004363C">
              <w:rPr>
                <w:rFonts w:ascii="Calibri" w:hAnsi="Calibri"/>
                <w:b/>
                <w:color w:val="000000"/>
                <w:sz w:val="18"/>
                <w:szCs w:val="18"/>
              </w:rPr>
              <w:t>219</w:t>
            </w:r>
          </w:p>
        </w:tc>
        <w:tc>
          <w:tcPr>
            <w:tcW w:w="664" w:type="dxa"/>
            <w:vAlign w:val="center"/>
          </w:tcPr>
          <w:p w:rsidR="00EB4908" w:rsidRPr="00934C6E" w:rsidRDefault="0004363C" w:rsidP="00A52D36">
            <w:pPr>
              <w:keepNext/>
              <w:jc w:val="right"/>
              <w:rPr>
                <w:rFonts w:ascii="Calibri" w:hAnsi="Calibri"/>
                <w:b/>
                <w:color w:val="000000"/>
                <w:sz w:val="18"/>
                <w:szCs w:val="18"/>
              </w:rPr>
            </w:pPr>
            <w:r w:rsidRPr="0004363C">
              <w:rPr>
                <w:rFonts w:ascii="Calibri" w:hAnsi="Calibri"/>
                <w:b/>
                <w:color w:val="000000"/>
                <w:sz w:val="18"/>
                <w:szCs w:val="18"/>
              </w:rPr>
              <w:t>230</w:t>
            </w:r>
          </w:p>
        </w:tc>
        <w:tc>
          <w:tcPr>
            <w:tcW w:w="664" w:type="dxa"/>
            <w:vAlign w:val="center"/>
          </w:tcPr>
          <w:p w:rsidR="00EB4908" w:rsidRPr="00934C6E" w:rsidRDefault="0004363C" w:rsidP="00A52D36">
            <w:pPr>
              <w:keepNext/>
              <w:jc w:val="right"/>
              <w:rPr>
                <w:rFonts w:ascii="Calibri" w:hAnsi="Calibri"/>
                <w:b/>
                <w:color w:val="000000"/>
                <w:sz w:val="18"/>
                <w:szCs w:val="18"/>
              </w:rPr>
            </w:pPr>
            <w:r w:rsidRPr="0004363C">
              <w:rPr>
                <w:rFonts w:ascii="Calibri" w:hAnsi="Calibri"/>
                <w:b/>
                <w:color w:val="000000"/>
                <w:sz w:val="18"/>
                <w:szCs w:val="18"/>
              </w:rPr>
              <w:t>265</w:t>
            </w:r>
          </w:p>
        </w:tc>
        <w:tc>
          <w:tcPr>
            <w:tcW w:w="664" w:type="dxa"/>
            <w:vAlign w:val="center"/>
          </w:tcPr>
          <w:p w:rsidR="00EB4908" w:rsidRPr="00470480" w:rsidRDefault="0004363C" w:rsidP="00A52D36">
            <w:pPr>
              <w:keepNext/>
              <w:jc w:val="right"/>
              <w:rPr>
                <w:rFonts w:ascii="Calibri" w:hAnsi="Calibri"/>
                <w:b/>
                <w:color w:val="000000"/>
                <w:sz w:val="18"/>
                <w:szCs w:val="18"/>
              </w:rPr>
            </w:pPr>
            <w:r w:rsidRPr="0004363C">
              <w:rPr>
                <w:rFonts w:ascii="Calibri" w:hAnsi="Calibri"/>
                <w:b/>
                <w:color w:val="000000"/>
                <w:sz w:val="18"/>
                <w:szCs w:val="18"/>
              </w:rPr>
              <w:t>278</w:t>
            </w:r>
          </w:p>
        </w:tc>
      </w:tr>
      <w:tr w:rsidR="00EB4908" w:rsidRPr="007777E2" w:rsidTr="002048E8">
        <w:trPr>
          <w:cantSplit/>
          <w:trHeight w:val="439"/>
        </w:trPr>
        <w:tc>
          <w:tcPr>
            <w:tcW w:w="2416" w:type="dxa"/>
            <w:gridSpan w:val="2"/>
            <w:vAlign w:val="center"/>
          </w:tcPr>
          <w:p w:rsidR="00EB4908" w:rsidRPr="007777E2" w:rsidRDefault="00EB4908" w:rsidP="00A52D36">
            <w:pPr>
              <w:keepNext/>
              <w:tabs>
                <w:tab w:val="num" w:pos="720"/>
              </w:tabs>
              <w:rPr>
                <w:rFonts w:asciiTheme="minorHAnsi" w:hAnsiTheme="minorHAnsi"/>
                <w:b/>
                <w:color w:val="000000"/>
                <w:sz w:val="18"/>
                <w:szCs w:val="18"/>
              </w:rPr>
            </w:pPr>
            <w:r w:rsidRPr="007777E2">
              <w:rPr>
                <w:rFonts w:asciiTheme="minorHAnsi" w:hAnsiTheme="minorHAnsi"/>
                <w:b/>
                <w:color w:val="000000"/>
                <w:sz w:val="18"/>
                <w:szCs w:val="18"/>
              </w:rPr>
              <w:t>Grand Total</w:t>
            </w:r>
          </w:p>
        </w:tc>
        <w:tc>
          <w:tcPr>
            <w:tcW w:w="628" w:type="dxa"/>
            <w:vAlign w:val="center"/>
          </w:tcPr>
          <w:p w:rsidR="00EB4908" w:rsidRPr="00470480" w:rsidRDefault="00EB4908" w:rsidP="00A52D36">
            <w:pPr>
              <w:keepNext/>
              <w:jc w:val="right"/>
              <w:rPr>
                <w:rFonts w:ascii="Calibri" w:hAnsi="Calibri"/>
                <w:b/>
                <w:color w:val="000000"/>
                <w:sz w:val="18"/>
                <w:szCs w:val="18"/>
              </w:rPr>
            </w:pPr>
            <w:r w:rsidRPr="00470480">
              <w:rPr>
                <w:rFonts w:ascii="Calibri" w:hAnsi="Calibri"/>
                <w:b/>
                <w:color w:val="000000"/>
                <w:sz w:val="18"/>
                <w:szCs w:val="18"/>
              </w:rPr>
              <w:t>439</w:t>
            </w:r>
          </w:p>
        </w:tc>
        <w:tc>
          <w:tcPr>
            <w:tcW w:w="628" w:type="dxa"/>
            <w:vAlign w:val="center"/>
          </w:tcPr>
          <w:p w:rsidR="00EB4908" w:rsidRPr="00470480" w:rsidRDefault="00EB4908" w:rsidP="00A52D36">
            <w:pPr>
              <w:keepNext/>
              <w:jc w:val="right"/>
              <w:rPr>
                <w:rFonts w:ascii="Calibri" w:hAnsi="Calibri"/>
                <w:b/>
                <w:color w:val="000000"/>
                <w:sz w:val="18"/>
                <w:szCs w:val="18"/>
              </w:rPr>
            </w:pPr>
            <w:r w:rsidRPr="00470480">
              <w:rPr>
                <w:rFonts w:ascii="Calibri" w:hAnsi="Calibri"/>
                <w:b/>
                <w:color w:val="000000"/>
                <w:sz w:val="18"/>
                <w:szCs w:val="18"/>
              </w:rPr>
              <w:t>461</w:t>
            </w:r>
          </w:p>
        </w:tc>
        <w:tc>
          <w:tcPr>
            <w:tcW w:w="628" w:type="dxa"/>
            <w:vAlign w:val="center"/>
          </w:tcPr>
          <w:p w:rsidR="00EB4908" w:rsidRPr="00470480" w:rsidRDefault="00EB4908" w:rsidP="00A52D36">
            <w:pPr>
              <w:keepNext/>
              <w:jc w:val="right"/>
              <w:rPr>
                <w:rFonts w:ascii="Calibri" w:hAnsi="Calibri"/>
                <w:b/>
                <w:color w:val="000000"/>
                <w:sz w:val="18"/>
                <w:szCs w:val="18"/>
              </w:rPr>
            </w:pPr>
            <w:r w:rsidRPr="00470480">
              <w:rPr>
                <w:rFonts w:ascii="Calibri" w:hAnsi="Calibri"/>
                <w:b/>
                <w:color w:val="000000"/>
                <w:sz w:val="18"/>
                <w:szCs w:val="18"/>
              </w:rPr>
              <w:t>464</w:t>
            </w:r>
          </w:p>
        </w:tc>
        <w:tc>
          <w:tcPr>
            <w:tcW w:w="628" w:type="dxa"/>
            <w:vAlign w:val="center"/>
          </w:tcPr>
          <w:p w:rsidR="00EB4908" w:rsidRPr="00470480" w:rsidRDefault="00EB4908" w:rsidP="00A52D36">
            <w:pPr>
              <w:keepNext/>
              <w:jc w:val="right"/>
              <w:rPr>
                <w:rFonts w:ascii="Calibri" w:hAnsi="Calibri"/>
                <w:b/>
                <w:color w:val="000000"/>
                <w:sz w:val="18"/>
                <w:szCs w:val="18"/>
              </w:rPr>
            </w:pPr>
            <w:r w:rsidRPr="00470480">
              <w:rPr>
                <w:rFonts w:ascii="Calibri" w:hAnsi="Calibri"/>
                <w:b/>
                <w:color w:val="000000"/>
                <w:sz w:val="18"/>
                <w:szCs w:val="18"/>
              </w:rPr>
              <w:t>516</w:t>
            </w:r>
          </w:p>
        </w:tc>
        <w:tc>
          <w:tcPr>
            <w:tcW w:w="664" w:type="dxa"/>
            <w:vAlign w:val="center"/>
          </w:tcPr>
          <w:p w:rsidR="00EB4908" w:rsidRPr="00470480" w:rsidRDefault="00EB4908" w:rsidP="00A52D36">
            <w:pPr>
              <w:keepNext/>
              <w:jc w:val="right"/>
              <w:rPr>
                <w:rFonts w:ascii="Calibri" w:hAnsi="Calibri"/>
                <w:b/>
                <w:color w:val="000000"/>
                <w:sz w:val="18"/>
                <w:szCs w:val="18"/>
              </w:rPr>
            </w:pPr>
            <w:r w:rsidRPr="00470480">
              <w:rPr>
                <w:rFonts w:ascii="Calibri" w:hAnsi="Calibri"/>
                <w:b/>
                <w:color w:val="000000"/>
                <w:sz w:val="18"/>
                <w:szCs w:val="18"/>
              </w:rPr>
              <w:t>529</w:t>
            </w:r>
          </w:p>
        </w:tc>
        <w:tc>
          <w:tcPr>
            <w:tcW w:w="664" w:type="dxa"/>
            <w:vAlign w:val="center"/>
          </w:tcPr>
          <w:p w:rsidR="00EB4908" w:rsidRPr="00470480" w:rsidRDefault="00EB4908" w:rsidP="00A52D36">
            <w:pPr>
              <w:keepNext/>
              <w:jc w:val="right"/>
              <w:rPr>
                <w:rFonts w:ascii="Calibri" w:hAnsi="Calibri"/>
                <w:b/>
                <w:color w:val="000000"/>
                <w:sz w:val="18"/>
                <w:szCs w:val="18"/>
              </w:rPr>
            </w:pPr>
            <w:r w:rsidRPr="00470480">
              <w:rPr>
                <w:rFonts w:ascii="Calibri" w:hAnsi="Calibri"/>
                <w:b/>
                <w:color w:val="000000"/>
                <w:sz w:val="18"/>
                <w:szCs w:val="18"/>
              </w:rPr>
              <w:t>547</w:t>
            </w:r>
          </w:p>
        </w:tc>
        <w:tc>
          <w:tcPr>
            <w:tcW w:w="664" w:type="dxa"/>
            <w:vAlign w:val="center"/>
          </w:tcPr>
          <w:p w:rsidR="00EB4908" w:rsidRPr="00470480" w:rsidRDefault="00EB4908" w:rsidP="00A52D36">
            <w:pPr>
              <w:keepNext/>
              <w:jc w:val="right"/>
              <w:rPr>
                <w:rFonts w:ascii="Calibri" w:hAnsi="Calibri"/>
                <w:b/>
                <w:color w:val="000000"/>
                <w:sz w:val="18"/>
                <w:szCs w:val="18"/>
              </w:rPr>
            </w:pPr>
            <w:r w:rsidRPr="00470480">
              <w:rPr>
                <w:rFonts w:ascii="Calibri" w:hAnsi="Calibri"/>
                <w:b/>
                <w:color w:val="000000"/>
                <w:sz w:val="18"/>
                <w:szCs w:val="18"/>
              </w:rPr>
              <w:t>583</w:t>
            </w:r>
          </w:p>
        </w:tc>
        <w:tc>
          <w:tcPr>
            <w:tcW w:w="664" w:type="dxa"/>
            <w:vAlign w:val="center"/>
          </w:tcPr>
          <w:p w:rsidR="00EB4908" w:rsidRPr="00470480" w:rsidRDefault="00EB4908" w:rsidP="00A52D36">
            <w:pPr>
              <w:keepNext/>
              <w:jc w:val="right"/>
              <w:rPr>
                <w:rFonts w:ascii="Calibri" w:hAnsi="Calibri"/>
                <w:b/>
                <w:color w:val="000000"/>
                <w:sz w:val="18"/>
                <w:szCs w:val="18"/>
              </w:rPr>
            </w:pPr>
            <w:r w:rsidRPr="00470480">
              <w:rPr>
                <w:rFonts w:ascii="Calibri" w:hAnsi="Calibri"/>
                <w:b/>
                <w:color w:val="000000"/>
                <w:sz w:val="18"/>
                <w:szCs w:val="18"/>
              </w:rPr>
              <w:t>602</w:t>
            </w:r>
          </w:p>
        </w:tc>
        <w:tc>
          <w:tcPr>
            <w:tcW w:w="664" w:type="dxa"/>
            <w:vAlign w:val="center"/>
          </w:tcPr>
          <w:p w:rsidR="00EB4908" w:rsidRPr="00470480" w:rsidRDefault="00EB4908" w:rsidP="00A52D36">
            <w:pPr>
              <w:keepNext/>
              <w:jc w:val="right"/>
              <w:rPr>
                <w:rFonts w:ascii="Calibri" w:hAnsi="Calibri"/>
                <w:b/>
                <w:color w:val="000000"/>
                <w:sz w:val="18"/>
                <w:szCs w:val="18"/>
              </w:rPr>
            </w:pPr>
            <w:r w:rsidRPr="00470480">
              <w:rPr>
                <w:rFonts w:ascii="Calibri" w:hAnsi="Calibri"/>
                <w:b/>
                <w:color w:val="000000"/>
                <w:sz w:val="18"/>
                <w:szCs w:val="18"/>
              </w:rPr>
              <w:t>619</w:t>
            </w:r>
          </w:p>
        </w:tc>
        <w:tc>
          <w:tcPr>
            <w:tcW w:w="664" w:type="dxa"/>
            <w:vAlign w:val="center"/>
          </w:tcPr>
          <w:p w:rsidR="00EB4908" w:rsidRPr="00470480" w:rsidRDefault="00EB4908" w:rsidP="00A52D36">
            <w:pPr>
              <w:keepNext/>
              <w:jc w:val="right"/>
              <w:rPr>
                <w:rFonts w:ascii="Calibri" w:hAnsi="Calibri"/>
                <w:b/>
                <w:color w:val="000000"/>
                <w:sz w:val="18"/>
                <w:szCs w:val="18"/>
              </w:rPr>
            </w:pPr>
            <w:r w:rsidRPr="00470480">
              <w:rPr>
                <w:rFonts w:ascii="Calibri" w:hAnsi="Calibri"/>
                <w:b/>
                <w:color w:val="000000"/>
                <w:sz w:val="18"/>
                <w:szCs w:val="18"/>
              </w:rPr>
              <w:t>664</w:t>
            </w:r>
          </w:p>
        </w:tc>
        <w:tc>
          <w:tcPr>
            <w:tcW w:w="664" w:type="dxa"/>
            <w:vAlign w:val="center"/>
          </w:tcPr>
          <w:p w:rsidR="00EB4908" w:rsidRPr="00470480" w:rsidRDefault="00EB4908" w:rsidP="00A52D36">
            <w:pPr>
              <w:keepNext/>
              <w:jc w:val="right"/>
              <w:rPr>
                <w:rFonts w:ascii="Calibri" w:hAnsi="Calibri"/>
                <w:b/>
                <w:color w:val="000000"/>
                <w:sz w:val="18"/>
                <w:szCs w:val="18"/>
              </w:rPr>
            </w:pPr>
            <w:r w:rsidRPr="00470480">
              <w:rPr>
                <w:rFonts w:ascii="Calibri" w:hAnsi="Calibri"/>
                <w:b/>
                <w:color w:val="000000"/>
                <w:sz w:val="18"/>
                <w:szCs w:val="18"/>
              </w:rPr>
              <w:t>683</w:t>
            </w:r>
          </w:p>
        </w:tc>
      </w:tr>
      <w:tr w:rsidR="00EB4908" w:rsidRPr="007777E2" w:rsidTr="002048E8">
        <w:trPr>
          <w:cantSplit/>
          <w:trHeight w:val="350"/>
        </w:trPr>
        <w:tc>
          <w:tcPr>
            <w:tcW w:w="9576" w:type="dxa"/>
            <w:gridSpan w:val="13"/>
          </w:tcPr>
          <w:p w:rsidR="00EB4908" w:rsidRDefault="00EB4908" w:rsidP="00EB4908">
            <w:pPr>
              <w:tabs>
                <w:tab w:val="num" w:pos="720"/>
              </w:tabs>
              <w:autoSpaceDE w:val="0"/>
              <w:autoSpaceDN w:val="0"/>
              <w:adjustRightInd w:val="0"/>
              <w:spacing w:after="120"/>
              <w:jc w:val="both"/>
              <w:rPr>
                <w:rFonts w:asciiTheme="minorHAnsi" w:hAnsiTheme="minorHAnsi"/>
                <w:sz w:val="18"/>
                <w:szCs w:val="18"/>
              </w:rPr>
            </w:pPr>
            <w:r w:rsidRPr="007777E2">
              <w:rPr>
                <w:rFonts w:asciiTheme="minorHAnsi" w:hAnsiTheme="minorHAnsi"/>
                <w:sz w:val="18"/>
                <w:szCs w:val="18"/>
              </w:rPr>
              <w:t xml:space="preserve">Source: </w:t>
            </w:r>
            <w:r>
              <w:rPr>
                <w:rFonts w:asciiTheme="minorHAnsi" w:hAnsiTheme="minorHAnsi"/>
                <w:sz w:val="18"/>
                <w:szCs w:val="18"/>
              </w:rPr>
              <w:t xml:space="preserve">Road Condition </w:t>
            </w:r>
            <w:r w:rsidRPr="007777E2">
              <w:rPr>
                <w:rFonts w:asciiTheme="minorHAnsi" w:hAnsiTheme="minorHAnsi"/>
                <w:sz w:val="18"/>
                <w:szCs w:val="18"/>
              </w:rPr>
              <w:t xml:space="preserve">Data provided by </w:t>
            </w:r>
            <w:proofErr w:type="spellStart"/>
            <w:r w:rsidRPr="007777E2">
              <w:rPr>
                <w:rFonts w:asciiTheme="minorHAnsi" w:hAnsiTheme="minorHAnsi"/>
                <w:sz w:val="18"/>
                <w:szCs w:val="18"/>
              </w:rPr>
              <w:t>Belavtodor</w:t>
            </w:r>
            <w:proofErr w:type="spellEnd"/>
            <w:r w:rsidRPr="007777E2">
              <w:rPr>
                <w:rFonts w:asciiTheme="minorHAnsi" w:hAnsiTheme="minorHAnsi"/>
                <w:sz w:val="18"/>
                <w:szCs w:val="18"/>
              </w:rPr>
              <w:t xml:space="preserve">. Estimates developed by the </w:t>
            </w:r>
            <w:r w:rsidR="00044350">
              <w:rPr>
                <w:rFonts w:asciiTheme="minorHAnsi" w:hAnsiTheme="minorHAnsi"/>
                <w:sz w:val="18"/>
                <w:szCs w:val="18"/>
              </w:rPr>
              <w:t xml:space="preserve">World </w:t>
            </w:r>
            <w:r w:rsidRPr="007777E2">
              <w:rPr>
                <w:rFonts w:asciiTheme="minorHAnsi" w:hAnsiTheme="minorHAnsi"/>
                <w:sz w:val="18"/>
                <w:szCs w:val="18"/>
              </w:rPr>
              <w:t xml:space="preserve">Bank team. </w:t>
            </w:r>
          </w:p>
          <w:p w:rsidR="00EB4908" w:rsidRPr="00044350" w:rsidRDefault="00EB4908" w:rsidP="00044350">
            <w:pPr>
              <w:tabs>
                <w:tab w:val="num" w:pos="720"/>
              </w:tabs>
              <w:autoSpaceDE w:val="0"/>
              <w:autoSpaceDN w:val="0"/>
              <w:adjustRightInd w:val="0"/>
              <w:spacing w:after="120"/>
              <w:jc w:val="both"/>
              <w:rPr>
                <w:rFonts w:asciiTheme="minorHAnsi" w:hAnsiTheme="minorHAnsi"/>
                <w:sz w:val="18"/>
                <w:szCs w:val="18"/>
              </w:rPr>
            </w:pPr>
            <w:r>
              <w:rPr>
                <w:rFonts w:asciiTheme="minorHAnsi" w:hAnsiTheme="minorHAnsi"/>
                <w:sz w:val="18"/>
                <w:szCs w:val="18"/>
              </w:rPr>
              <w:t xml:space="preserve">Average unit costs (as provided by </w:t>
            </w:r>
            <w:proofErr w:type="spellStart"/>
            <w:r>
              <w:rPr>
                <w:rFonts w:asciiTheme="minorHAnsi" w:hAnsiTheme="minorHAnsi"/>
                <w:sz w:val="18"/>
                <w:szCs w:val="18"/>
              </w:rPr>
              <w:t>Belavtodor</w:t>
            </w:r>
            <w:proofErr w:type="spellEnd"/>
            <w:r>
              <w:rPr>
                <w:rFonts w:asciiTheme="minorHAnsi" w:hAnsiTheme="minorHAnsi"/>
                <w:sz w:val="18"/>
                <w:szCs w:val="18"/>
              </w:rPr>
              <w:t xml:space="preserve"> and compared with international prices) used for the analysis include</w:t>
            </w:r>
            <w:r w:rsidR="00044350">
              <w:rPr>
                <w:rFonts w:asciiTheme="minorHAnsi" w:hAnsiTheme="minorHAnsi"/>
                <w:sz w:val="18"/>
                <w:szCs w:val="18"/>
              </w:rPr>
              <w:t xml:space="preserve"> the following cost items</w:t>
            </w:r>
            <w:r>
              <w:rPr>
                <w:rFonts w:asciiTheme="minorHAnsi" w:hAnsiTheme="minorHAnsi"/>
                <w:sz w:val="18"/>
                <w:szCs w:val="18"/>
              </w:rPr>
              <w:t>:</w:t>
            </w:r>
            <w:r w:rsidR="00044350">
              <w:rPr>
                <w:rFonts w:asciiTheme="minorHAnsi" w:hAnsiTheme="minorHAnsi"/>
                <w:sz w:val="18"/>
                <w:szCs w:val="18"/>
              </w:rPr>
              <w:t xml:space="preserve"> (</w:t>
            </w:r>
            <w:proofErr w:type="spellStart"/>
            <w:r w:rsidR="00044350">
              <w:rPr>
                <w:rFonts w:asciiTheme="minorHAnsi" w:hAnsiTheme="minorHAnsi"/>
                <w:sz w:val="18"/>
                <w:szCs w:val="18"/>
              </w:rPr>
              <w:t>i</w:t>
            </w:r>
            <w:proofErr w:type="spellEnd"/>
            <w:r w:rsidR="00044350">
              <w:rPr>
                <w:rFonts w:asciiTheme="minorHAnsi" w:hAnsiTheme="minorHAnsi"/>
                <w:sz w:val="18"/>
                <w:szCs w:val="18"/>
              </w:rPr>
              <w:t xml:space="preserve">) </w:t>
            </w:r>
            <w:r w:rsidR="0004363C" w:rsidRPr="0004363C">
              <w:rPr>
                <w:rFonts w:asciiTheme="minorHAnsi" w:hAnsiTheme="minorHAnsi"/>
                <w:sz w:val="18"/>
                <w:szCs w:val="18"/>
              </w:rPr>
              <w:t>Milling (3cm), application of upper asphalt-concrete cover (4cm) with establishment of a leveling course: BYR50,000/m2</w:t>
            </w:r>
            <w:r w:rsidR="00044350">
              <w:rPr>
                <w:rFonts w:asciiTheme="minorHAnsi" w:hAnsiTheme="minorHAnsi"/>
                <w:sz w:val="18"/>
                <w:szCs w:val="18"/>
              </w:rPr>
              <w:t>; (ii) Single-</w:t>
            </w:r>
            <w:r w:rsidR="0004363C" w:rsidRPr="0004363C">
              <w:rPr>
                <w:rFonts w:asciiTheme="minorHAnsi" w:hAnsiTheme="minorHAnsi"/>
                <w:sz w:val="18"/>
                <w:szCs w:val="18"/>
              </w:rPr>
              <w:t>layer surface treatment with establishment of a leveling course: BYR30,450/m2</w:t>
            </w:r>
            <w:r w:rsidR="00044350">
              <w:rPr>
                <w:rFonts w:asciiTheme="minorHAnsi" w:hAnsiTheme="minorHAnsi"/>
                <w:sz w:val="18"/>
                <w:szCs w:val="18"/>
              </w:rPr>
              <w:t>;</w:t>
            </w:r>
            <w:r w:rsidR="0004363C" w:rsidRPr="0004363C">
              <w:rPr>
                <w:rFonts w:asciiTheme="minorHAnsi" w:hAnsiTheme="minorHAnsi"/>
                <w:sz w:val="18"/>
                <w:szCs w:val="18"/>
              </w:rPr>
              <w:t xml:space="preserve"> </w:t>
            </w:r>
            <w:r w:rsidR="00044350">
              <w:rPr>
                <w:rFonts w:asciiTheme="minorHAnsi" w:hAnsiTheme="minorHAnsi"/>
                <w:sz w:val="18"/>
                <w:szCs w:val="18"/>
              </w:rPr>
              <w:t xml:space="preserve">(iii) </w:t>
            </w:r>
            <w:r w:rsidR="0004363C" w:rsidRPr="0004363C">
              <w:rPr>
                <w:rFonts w:asciiTheme="minorHAnsi" w:hAnsiTheme="minorHAnsi"/>
                <w:sz w:val="18"/>
                <w:szCs w:val="18"/>
              </w:rPr>
              <w:t>Routine maintenance/patchwork: BYR27,000/m2</w:t>
            </w:r>
            <w:r w:rsidR="00044350">
              <w:rPr>
                <w:rFonts w:asciiTheme="minorHAnsi" w:hAnsiTheme="minorHAnsi"/>
                <w:sz w:val="18"/>
                <w:szCs w:val="18"/>
              </w:rPr>
              <w:t>;</w:t>
            </w:r>
            <w:r w:rsidR="0004363C" w:rsidRPr="0004363C">
              <w:rPr>
                <w:rFonts w:asciiTheme="minorHAnsi" w:hAnsiTheme="minorHAnsi"/>
                <w:sz w:val="18"/>
                <w:szCs w:val="18"/>
              </w:rPr>
              <w:t xml:space="preserve"> </w:t>
            </w:r>
            <w:r w:rsidR="00044350">
              <w:rPr>
                <w:rFonts w:asciiTheme="minorHAnsi" w:hAnsiTheme="minorHAnsi"/>
                <w:sz w:val="18"/>
                <w:szCs w:val="18"/>
              </w:rPr>
              <w:t>(iv) other s</w:t>
            </w:r>
            <w:r w:rsidR="0004363C" w:rsidRPr="0004363C">
              <w:rPr>
                <w:rFonts w:asciiTheme="minorHAnsi" w:hAnsiTheme="minorHAnsi"/>
                <w:sz w:val="18"/>
                <w:szCs w:val="18"/>
              </w:rPr>
              <w:t xml:space="preserve">tandard maintenance works: BYR32,000,000 BYR/km.  </w:t>
            </w:r>
          </w:p>
        </w:tc>
      </w:tr>
    </w:tbl>
    <w:p w:rsidR="00EB4908" w:rsidRPr="00EB4908" w:rsidRDefault="00EB4908" w:rsidP="00EB4908">
      <w:pPr>
        <w:pStyle w:val="ListParagraph"/>
        <w:tabs>
          <w:tab w:val="left" w:pos="0"/>
        </w:tabs>
        <w:spacing w:after="120" w:line="240" w:lineRule="auto"/>
        <w:ind w:left="0"/>
        <w:contextualSpacing w:val="0"/>
        <w:jc w:val="both"/>
        <w:rPr>
          <w:rFonts w:ascii="Times New Roman" w:hAnsi="Times New Roman"/>
          <w:bCs/>
          <w:color w:val="000000"/>
          <w:sz w:val="24"/>
          <w:szCs w:val="24"/>
        </w:rPr>
      </w:pPr>
    </w:p>
    <w:p w:rsidR="002D05CB" w:rsidRPr="002D05CB" w:rsidRDefault="008046F3" w:rsidP="00BE35AE">
      <w:pPr>
        <w:pStyle w:val="ListParagraph"/>
        <w:numPr>
          <w:ilvl w:val="0"/>
          <w:numId w:val="9"/>
        </w:numPr>
        <w:tabs>
          <w:tab w:val="clear" w:pos="720"/>
          <w:tab w:val="left" w:pos="0"/>
        </w:tabs>
        <w:spacing w:after="120" w:line="240" w:lineRule="auto"/>
        <w:ind w:left="0" w:firstLine="0"/>
        <w:contextualSpacing w:val="0"/>
        <w:jc w:val="both"/>
        <w:rPr>
          <w:rFonts w:ascii="Times New Roman" w:hAnsi="Times New Roman"/>
          <w:bCs/>
          <w:color w:val="000000"/>
          <w:sz w:val="24"/>
          <w:szCs w:val="24"/>
        </w:rPr>
      </w:pPr>
      <w:r w:rsidRPr="00EB4908">
        <w:rPr>
          <w:rFonts w:ascii="Times New Roman" w:hAnsi="Times New Roman"/>
          <w:b/>
          <w:sz w:val="24"/>
          <w:szCs w:val="24"/>
        </w:rPr>
        <w:t xml:space="preserve">The </w:t>
      </w:r>
      <w:r w:rsidR="00406C76">
        <w:rPr>
          <w:rFonts w:ascii="Times New Roman" w:hAnsi="Times New Roman"/>
          <w:b/>
          <w:sz w:val="24"/>
          <w:szCs w:val="24"/>
        </w:rPr>
        <w:t xml:space="preserve">World Bank </w:t>
      </w:r>
      <w:r w:rsidRPr="00EB4908">
        <w:rPr>
          <w:rFonts w:ascii="Times New Roman" w:hAnsi="Times New Roman"/>
          <w:b/>
          <w:sz w:val="24"/>
          <w:szCs w:val="24"/>
        </w:rPr>
        <w:t>estimate</w:t>
      </w:r>
      <w:r w:rsidR="00406C76">
        <w:rPr>
          <w:rFonts w:ascii="Times New Roman" w:hAnsi="Times New Roman"/>
          <w:b/>
          <w:sz w:val="24"/>
          <w:szCs w:val="24"/>
        </w:rPr>
        <w:t>s that</w:t>
      </w:r>
      <w:r w:rsidRPr="00EB4908">
        <w:rPr>
          <w:rFonts w:ascii="Times New Roman" w:hAnsi="Times New Roman"/>
          <w:b/>
          <w:sz w:val="24"/>
          <w:szCs w:val="24"/>
        </w:rPr>
        <w:t xml:space="preserve"> </w:t>
      </w:r>
      <w:r w:rsidR="00406C76">
        <w:rPr>
          <w:rFonts w:ascii="Times New Roman" w:hAnsi="Times New Roman"/>
          <w:b/>
          <w:sz w:val="24"/>
          <w:szCs w:val="24"/>
        </w:rPr>
        <w:t xml:space="preserve">the level of </w:t>
      </w:r>
      <w:r w:rsidRPr="00EB4908">
        <w:rPr>
          <w:rFonts w:ascii="Times New Roman" w:hAnsi="Times New Roman"/>
          <w:b/>
          <w:sz w:val="24"/>
          <w:szCs w:val="24"/>
        </w:rPr>
        <w:t>recurrent expenditure</w:t>
      </w:r>
      <w:r w:rsidR="00406C76">
        <w:rPr>
          <w:rFonts w:ascii="Times New Roman" w:hAnsi="Times New Roman"/>
          <w:b/>
          <w:sz w:val="24"/>
          <w:szCs w:val="24"/>
        </w:rPr>
        <w:t>s</w:t>
      </w:r>
      <w:r w:rsidRPr="00EB4908">
        <w:rPr>
          <w:rFonts w:ascii="Times New Roman" w:hAnsi="Times New Roman"/>
          <w:b/>
          <w:sz w:val="24"/>
          <w:szCs w:val="24"/>
        </w:rPr>
        <w:t xml:space="preserve"> required to </w:t>
      </w:r>
      <w:r w:rsidR="00F304CE">
        <w:rPr>
          <w:rFonts w:ascii="Times New Roman" w:hAnsi="Times New Roman"/>
          <w:b/>
          <w:sz w:val="24"/>
          <w:szCs w:val="24"/>
        </w:rPr>
        <w:t xml:space="preserve">simply </w:t>
      </w:r>
      <w:r w:rsidRPr="00EB4908">
        <w:rPr>
          <w:rFonts w:ascii="Times New Roman" w:hAnsi="Times New Roman"/>
          <w:b/>
          <w:sz w:val="24"/>
          <w:szCs w:val="24"/>
        </w:rPr>
        <w:t xml:space="preserve">maintain the </w:t>
      </w:r>
      <w:r w:rsidR="009C6D5E">
        <w:rPr>
          <w:rFonts w:ascii="Times New Roman" w:hAnsi="Times New Roman"/>
          <w:b/>
          <w:sz w:val="24"/>
          <w:szCs w:val="24"/>
        </w:rPr>
        <w:t>R</w:t>
      </w:r>
      <w:r w:rsidRPr="00EB4908">
        <w:rPr>
          <w:rFonts w:ascii="Times New Roman" w:hAnsi="Times New Roman"/>
          <w:b/>
          <w:sz w:val="24"/>
          <w:szCs w:val="24"/>
        </w:rPr>
        <w:t xml:space="preserve">epublican and </w:t>
      </w:r>
      <w:r w:rsidR="009C6D5E">
        <w:rPr>
          <w:rFonts w:ascii="Times New Roman" w:hAnsi="Times New Roman"/>
          <w:b/>
          <w:sz w:val="24"/>
          <w:szCs w:val="24"/>
        </w:rPr>
        <w:t>L</w:t>
      </w:r>
      <w:r w:rsidRPr="00EB4908">
        <w:rPr>
          <w:rFonts w:ascii="Times New Roman" w:hAnsi="Times New Roman"/>
          <w:b/>
          <w:sz w:val="24"/>
          <w:szCs w:val="24"/>
        </w:rPr>
        <w:t xml:space="preserve">ocal road networks </w:t>
      </w:r>
      <w:r w:rsidR="00F304CE">
        <w:rPr>
          <w:rFonts w:ascii="Times New Roman" w:hAnsi="Times New Roman"/>
          <w:b/>
          <w:sz w:val="24"/>
          <w:szCs w:val="24"/>
        </w:rPr>
        <w:t>(</w:t>
      </w:r>
      <w:r w:rsidR="00406C76">
        <w:rPr>
          <w:rFonts w:ascii="Times New Roman" w:hAnsi="Times New Roman"/>
          <w:b/>
          <w:sz w:val="24"/>
          <w:szCs w:val="24"/>
        </w:rPr>
        <w:t xml:space="preserve">without eliminating the </w:t>
      </w:r>
      <w:r w:rsidR="00F304CE">
        <w:rPr>
          <w:rFonts w:ascii="Times New Roman" w:hAnsi="Times New Roman"/>
          <w:b/>
          <w:sz w:val="24"/>
          <w:szCs w:val="24"/>
        </w:rPr>
        <w:t xml:space="preserve">backlog) is </w:t>
      </w:r>
      <w:r w:rsidRPr="00EB4908">
        <w:rPr>
          <w:rFonts w:ascii="Times New Roman" w:hAnsi="Times New Roman"/>
          <w:b/>
          <w:sz w:val="24"/>
          <w:szCs w:val="24"/>
        </w:rPr>
        <w:t xml:space="preserve">BYR1,060 (US$360 million) on average per year (see </w:t>
      </w:r>
      <w:fldSimple w:instr=" REF _Ref257282772 \h  \* MERGEFORMAT ">
        <w:r w:rsidR="00E85C5F" w:rsidRPr="00E85C5F">
          <w:rPr>
            <w:rFonts w:ascii="Times New Roman" w:hAnsi="Times New Roman"/>
            <w:b/>
            <w:sz w:val="24"/>
            <w:szCs w:val="24"/>
          </w:rPr>
          <w:t xml:space="preserve">Table </w:t>
        </w:r>
        <w:r w:rsidR="00E85C5F" w:rsidRPr="00E85C5F">
          <w:rPr>
            <w:rFonts w:ascii="Times New Roman" w:hAnsi="Times New Roman"/>
            <w:b/>
            <w:noProof/>
            <w:sz w:val="24"/>
            <w:szCs w:val="24"/>
          </w:rPr>
          <w:t>12</w:t>
        </w:r>
      </w:fldSimple>
      <w:r w:rsidRPr="00EB4908">
        <w:rPr>
          <w:rFonts w:ascii="Times New Roman" w:hAnsi="Times New Roman"/>
          <w:b/>
          <w:sz w:val="24"/>
          <w:szCs w:val="24"/>
        </w:rPr>
        <w:t>)</w:t>
      </w:r>
      <w:r w:rsidR="00F304CE">
        <w:rPr>
          <w:rFonts w:ascii="Times New Roman" w:hAnsi="Times New Roman"/>
          <w:sz w:val="24"/>
          <w:szCs w:val="24"/>
        </w:rPr>
        <w:t xml:space="preserve">.  </w:t>
      </w:r>
      <w:r w:rsidR="00406C76">
        <w:rPr>
          <w:rFonts w:ascii="Times New Roman" w:hAnsi="Times New Roman"/>
          <w:sz w:val="24"/>
          <w:szCs w:val="24"/>
        </w:rPr>
        <w:t xml:space="preserve">Within this </w:t>
      </w:r>
      <w:r w:rsidR="00F304CE">
        <w:rPr>
          <w:rFonts w:ascii="Times New Roman" w:hAnsi="Times New Roman"/>
          <w:sz w:val="24"/>
          <w:szCs w:val="24"/>
        </w:rPr>
        <w:t xml:space="preserve">amount, </w:t>
      </w:r>
      <w:r w:rsidRPr="00EB4908">
        <w:rPr>
          <w:rFonts w:ascii="Times New Roman" w:hAnsi="Times New Roman"/>
          <w:sz w:val="24"/>
          <w:szCs w:val="24"/>
        </w:rPr>
        <w:t xml:space="preserve">about US$166 million would be needed on average to maintain the </w:t>
      </w:r>
      <w:r w:rsidR="00F304CE">
        <w:rPr>
          <w:rFonts w:ascii="Times New Roman" w:hAnsi="Times New Roman"/>
          <w:sz w:val="24"/>
          <w:szCs w:val="24"/>
        </w:rPr>
        <w:t>R</w:t>
      </w:r>
      <w:r w:rsidRPr="00EB4908">
        <w:rPr>
          <w:rFonts w:ascii="Times New Roman" w:hAnsi="Times New Roman"/>
          <w:sz w:val="24"/>
          <w:szCs w:val="24"/>
        </w:rPr>
        <w:t xml:space="preserve">epublican roads only. This represents an average </w:t>
      </w:r>
      <w:r w:rsidR="00F304CE">
        <w:rPr>
          <w:rFonts w:ascii="Times New Roman" w:hAnsi="Times New Roman"/>
          <w:sz w:val="24"/>
          <w:szCs w:val="24"/>
        </w:rPr>
        <w:t xml:space="preserve">maintenance </w:t>
      </w:r>
      <w:r w:rsidRPr="00EB4908">
        <w:rPr>
          <w:rFonts w:ascii="Times New Roman" w:hAnsi="Times New Roman"/>
          <w:sz w:val="24"/>
          <w:szCs w:val="24"/>
        </w:rPr>
        <w:t xml:space="preserve">cost </w:t>
      </w:r>
      <w:r w:rsidR="00406C76">
        <w:rPr>
          <w:rFonts w:ascii="Times New Roman" w:hAnsi="Times New Roman"/>
          <w:sz w:val="24"/>
          <w:szCs w:val="24"/>
        </w:rPr>
        <w:t xml:space="preserve">for Republican roads </w:t>
      </w:r>
      <w:r w:rsidRPr="00EB4908">
        <w:rPr>
          <w:rFonts w:ascii="Times New Roman" w:hAnsi="Times New Roman"/>
          <w:sz w:val="24"/>
          <w:szCs w:val="24"/>
        </w:rPr>
        <w:t>of about US$11,000 per year per kilometer</w:t>
      </w:r>
      <w:r w:rsidR="005A21CD">
        <w:rPr>
          <w:rFonts w:ascii="Times New Roman" w:hAnsi="Times New Roman"/>
          <w:sz w:val="24"/>
          <w:szCs w:val="24"/>
        </w:rPr>
        <w:t>.</w:t>
      </w:r>
      <w:r w:rsidR="00406C76">
        <w:rPr>
          <w:rStyle w:val="FootnoteReference"/>
        </w:rPr>
        <w:footnoteReference w:id="27"/>
      </w:r>
      <w:r w:rsidR="005A21CD">
        <w:rPr>
          <w:rFonts w:ascii="Times New Roman" w:hAnsi="Times New Roman"/>
          <w:sz w:val="24"/>
          <w:szCs w:val="24"/>
        </w:rPr>
        <w:t xml:space="preserve"> </w:t>
      </w:r>
      <w:r w:rsidR="00F304CE">
        <w:rPr>
          <w:rFonts w:ascii="Times New Roman" w:hAnsi="Times New Roman"/>
          <w:sz w:val="24"/>
          <w:szCs w:val="24"/>
        </w:rPr>
        <w:t xml:space="preserve"> </w:t>
      </w:r>
      <w:r w:rsidRPr="00EB4908">
        <w:rPr>
          <w:rFonts w:ascii="Times New Roman" w:hAnsi="Times New Roman"/>
          <w:sz w:val="24"/>
          <w:szCs w:val="24"/>
        </w:rPr>
        <w:t xml:space="preserve">This </w:t>
      </w:r>
      <w:r w:rsidR="00F304CE">
        <w:rPr>
          <w:rFonts w:ascii="Times New Roman" w:hAnsi="Times New Roman"/>
          <w:sz w:val="24"/>
          <w:szCs w:val="24"/>
        </w:rPr>
        <w:t xml:space="preserve">average </w:t>
      </w:r>
      <w:r w:rsidR="00406C76">
        <w:rPr>
          <w:rFonts w:ascii="Times New Roman" w:hAnsi="Times New Roman"/>
          <w:sz w:val="24"/>
          <w:szCs w:val="24"/>
        </w:rPr>
        <w:t xml:space="preserve">estimated </w:t>
      </w:r>
      <w:r w:rsidRPr="00EB4908">
        <w:rPr>
          <w:rFonts w:ascii="Times New Roman" w:hAnsi="Times New Roman"/>
          <w:sz w:val="24"/>
          <w:szCs w:val="24"/>
        </w:rPr>
        <w:t xml:space="preserve">unit cost </w:t>
      </w:r>
      <w:r w:rsidR="00F304CE">
        <w:rPr>
          <w:rFonts w:ascii="Times New Roman" w:hAnsi="Times New Roman"/>
          <w:sz w:val="24"/>
          <w:szCs w:val="24"/>
        </w:rPr>
        <w:t xml:space="preserve">of US$ 11.000 per km </w:t>
      </w:r>
      <w:r w:rsidR="002D05CB">
        <w:rPr>
          <w:rFonts w:ascii="Times New Roman" w:hAnsi="Times New Roman"/>
          <w:sz w:val="24"/>
          <w:szCs w:val="24"/>
        </w:rPr>
        <w:t>and y</w:t>
      </w:r>
      <w:r w:rsidR="00F304CE">
        <w:rPr>
          <w:rFonts w:ascii="Times New Roman" w:hAnsi="Times New Roman"/>
          <w:sz w:val="24"/>
          <w:szCs w:val="24"/>
        </w:rPr>
        <w:t xml:space="preserve">ear </w:t>
      </w:r>
      <w:r w:rsidR="00406C76">
        <w:rPr>
          <w:rFonts w:ascii="Times New Roman" w:hAnsi="Times New Roman"/>
          <w:sz w:val="24"/>
          <w:szCs w:val="24"/>
        </w:rPr>
        <w:t xml:space="preserve">takes into account the local cost levels </w:t>
      </w:r>
      <w:r w:rsidRPr="00EB4908">
        <w:rPr>
          <w:rFonts w:ascii="Times New Roman" w:hAnsi="Times New Roman"/>
          <w:sz w:val="24"/>
          <w:szCs w:val="24"/>
        </w:rPr>
        <w:t>in Belarus</w:t>
      </w:r>
      <w:r w:rsidR="00406C76">
        <w:rPr>
          <w:rFonts w:ascii="Times New Roman" w:hAnsi="Times New Roman"/>
          <w:sz w:val="24"/>
          <w:szCs w:val="24"/>
        </w:rPr>
        <w:t xml:space="preserve">.  However, actual </w:t>
      </w:r>
      <w:r w:rsidRPr="00EB4908">
        <w:rPr>
          <w:rFonts w:ascii="Times New Roman" w:hAnsi="Times New Roman"/>
          <w:sz w:val="24"/>
          <w:szCs w:val="24"/>
        </w:rPr>
        <w:t xml:space="preserve">average </w:t>
      </w:r>
      <w:r w:rsidR="00406C76">
        <w:rPr>
          <w:rFonts w:ascii="Times New Roman" w:hAnsi="Times New Roman"/>
          <w:sz w:val="24"/>
          <w:szCs w:val="24"/>
        </w:rPr>
        <w:t xml:space="preserve">maintenance </w:t>
      </w:r>
      <w:r w:rsidRPr="00EB4908">
        <w:rPr>
          <w:rFonts w:ascii="Times New Roman" w:hAnsi="Times New Roman"/>
          <w:sz w:val="24"/>
          <w:szCs w:val="24"/>
        </w:rPr>
        <w:t xml:space="preserve">spending </w:t>
      </w:r>
      <w:r w:rsidR="00406C76">
        <w:rPr>
          <w:rFonts w:ascii="Times New Roman" w:hAnsi="Times New Roman"/>
          <w:sz w:val="24"/>
          <w:szCs w:val="24"/>
        </w:rPr>
        <w:t xml:space="preserve">for Republican roads in Belarus is only </w:t>
      </w:r>
      <w:r w:rsidRPr="00EB4908">
        <w:rPr>
          <w:rFonts w:ascii="Times New Roman" w:hAnsi="Times New Roman"/>
          <w:sz w:val="24"/>
          <w:szCs w:val="24"/>
        </w:rPr>
        <w:t>US$8,200 per year per kilometer</w:t>
      </w:r>
      <w:r w:rsidR="00406C76">
        <w:rPr>
          <w:rFonts w:ascii="Times New Roman" w:hAnsi="Times New Roman"/>
          <w:sz w:val="24"/>
          <w:szCs w:val="24"/>
        </w:rPr>
        <w:t xml:space="preserve"> (</w:t>
      </w:r>
      <w:r w:rsidRPr="00EB4908">
        <w:rPr>
          <w:rFonts w:ascii="Times New Roman" w:hAnsi="Times New Roman"/>
          <w:sz w:val="24"/>
          <w:szCs w:val="24"/>
        </w:rPr>
        <w:t>as budgeted in the 2009 general budget)</w:t>
      </w:r>
      <w:r w:rsidR="005A21CD">
        <w:rPr>
          <w:rFonts w:ascii="Times New Roman" w:hAnsi="Times New Roman"/>
          <w:sz w:val="24"/>
          <w:szCs w:val="24"/>
        </w:rPr>
        <w:t>,</w:t>
      </w:r>
      <w:r w:rsidRPr="00EB4908">
        <w:rPr>
          <w:rStyle w:val="FootnoteReference"/>
          <w:sz w:val="24"/>
          <w:szCs w:val="24"/>
        </w:rPr>
        <w:footnoteReference w:id="28"/>
      </w:r>
      <w:r w:rsidR="00406C76">
        <w:rPr>
          <w:rFonts w:ascii="Times New Roman" w:hAnsi="Times New Roman"/>
          <w:sz w:val="24"/>
          <w:szCs w:val="24"/>
        </w:rPr>
        <w:t xml:space="preserve"> which </w:t>
      </w:r>
      <w:r w:rsidR="00934C6E">
        <w:rPr>
          <w:rFonts w:ascii="Times New Roman" w:hAnsi="Times New Roman"/>
          <w:sz w:val="24"/>
          <w:szCs w:val="24"/>
        </w:rPr>
        <w:t xml:space="preserve">is 25 percent lower than the World Bank estimate; this may be </w:t>
      </w:r>
      <w:r w:rsidR="00406C76">
        <w:rPr>
          <w:rFonts w:ascii="Times New Roman" w:hAnsi="Times New Roman"/>
          <w:sz w:val="24"/>
          <w:szCs w:val="24"/>
        </w:rPr>
        <w:t>too low to ensure appropriate maintenance</w:t>
      </w:r>
      <w:r w:rsidR="00934C6E">
        <w:rPr>
          <w:rFonts w:ascii="Times New Roman" w:hAnsi="Times New Roman"/>
          <w:sz w:val="24"/>
          <w:szCs w:val="24"/>
        </w:rPr>
        <w:t xml:space="preserve"> in the medium and long term</w:t>
      </w:r>
      <w:r w:rsidRPr="00EB4908">
        <w:rPr>
          <w:rFonts w:ascii="Times New Roman" w:hAnsi="Times New Roman"/>
          <w:sz w:val="24"/>
          <w:szCs w:val="24"/>
        </w:rPr>
        <w:t xml:space="preserve">. </w:t>
      </w:r>
    </w:p>
    <w:p w:rsidR="00FD617A" w:rsidRPr="00FD617A" w:rsidRDefault="008046F3" w:rsidP="00BE35AE">
      <w:pPr>
        <w:pStyle w:val="ListParagraph"/>
        <w:numPr>
          <w:ilvl w:val="0"/>
          <w:numId w:val="9"/>
        </w:numPr>
        <w:tabs>
          <w:tab w:val="clear" w:pos="720"/>
          <w:tab w:val="left" w:pos="0"/>
        </w:tabs>
        <w:spacing w:after="120" w:line="240" w:lineRule="auto"/>
        <w:ind w:left="0" w:firstLine="0"/>
        <w:contextualSpacing w:val="0"/>
        <w:jc w:val="both"/>
        <w:rPr>
          <w:rFonts w:ascii="Times New Roman" w:hAnsi="Times New Roman"/>
          <w:bCs/>
          <w:color w:val="000000"/>
          <w:sz w:val="24"/>
          <w:szCs w:val="24"/>
        </w:rPr>
      </w:pPr>
      <w:r w:rsidRPr="00EB4908">
        <w:rPr>
          <w:rFonts w:ascii="Times New Roman" w:hAnsi="Times New Roman"/>
          <w:sz w:val="24"/>
          <w:szCs w:val="24"/>
        </w:rPr>
        <w:t xml:space="preserve">For </w:t>
      </w:r>
      <w:r w:rsidR="002D05CB">
        <w:rPr>
          <w:rFonts w:ascii="Times New Roman" w:hAnsi="Times New Roman"/>
          <w:sz w:val="24"/>
          <w:szCs w:val="24"/>
        </w:rPr>
        <w:t>L</w:t>
      </w:r>
      <w:r w:rsidRPr="00EB4908">
        <w:rPr>
          <w:rFonts w:ascii="Times New Roman" w:hAnsi="Times New Roman"/>
          <w:sz w:val="24"/>
          <w:szCs w:val="24"/>
        </w:rPr>
        <w:t xml:space="preserve">ocal roads, the average </w:t>
      </w:r>
      <w:r w:rsidR="00C81A01">
        <w:rPr>
          <w:rFonts w:ascii="Times New Roman" w:hAnsi="Times New Roman"/>
          <w:sz w:val="24"/>
          <w:szCs w:val="24"/>
        </w:rPr>
        <w:t>m</w:t>
      </w:r>
      <w:r w:rsidRPr="00EB4908">
        <w:rPr>
          <w:rFonts w:ascii="Times New Roman" w:hAnsi="Times New Roman"/>
          <w:sz w:val="24"/>
          <w:szCs w:val="24"/>
        </w:rPr>
        <w:t xml:space="preserve">aintenance cost </w:t>
      </w:r>
      <w:r w:rsidR="00C81A01">
        <w:rPr>
          <w:rFonts w:ascii="Times New Roman" w:hAnsi="Times New Roman"/>
          <w:sz w:val="24"/>
          <w:szCs w:val="24"/>
        </w:rPr>
        <w:t xml:space="preserve">estimated by the World Bank </w:t>
      </w:r>
      <w:r w:rsidRPr="00EB4908">
        <w:rPr>
          <w:rFonts w:ascii="Times New Roman" w:hAnsi="Times New Roman"/>
          <w:sz w:val="24"/>
          <w:szCs w:val="24"/>
        </w:rPr>
        <w:t>for one kilometer is about US$</w:t>
      </w:r>
      <w:r w:rsidR="00BC219B">
        <w:rPr>
          <w:rFonts w:ascii="Times New Roman" w:hAnsi="Times New Roman"/>
          <w:sz w:val="24"/>
          <w:szCs w:val="24"/>
        </w:rPr>
        <w:t>2</w:t>
      </w:r>
      <w:r w:rsidRPr="00EB4908">
        <w:rPr>
          <w:rFonts w:ascii="Times New Roman" w:hAnsi="Times New Roman"/>
          <w:sz w:val="24"/>
          <w:szCs w:val="24"/>
        </w:rPr>
        <w:t>,</w:t>
      </w:r>
      <w:r w:rsidR="00BC219B">
        <w:rPr>
          <w:rFonts w:ascii="Times New Roman" w:hAnsi="Times New Roman"/>
          <w:sz w:val="24"/>
          <w:szCs w:val="24"/>
        </w:rPr>
        <w:t>6</w:t>
      </w:r>
      <w:r w:rsidRPr="00EB4908">
        <w:rPr>
          <w:rFonts w:ascii="Times New Roman" w:hAnsi="Times New Roman"/>
          <w:sz w:val="24"/>
          <w:szCs w:val="24"/>
        </w:rPr>
        <w:t>00 per year</w:t>
      </w:r>
      <w:r w:rsidR="00BC219B">
        <w:rPr>
          <w:rFonts w:ascii="Times New Roman" w:hAnsi="Times New Roman"/>
          <w:sz w:val="24"/>
          <w:szCs w:val="24"/>
        </w:rPr>
        <w:t>.  This figure is higher than the actual spending of US$ 1,</w:t>
      </w:r>
      <w:r w:rsidR="00D036BA">
        <w:rPr>
          <w:rFonts w:ascii="Times New Roman" w:hAnsi="Times New Roman"/>
          <w:sz w:val="24"/>
          <w:szCs w:val="24"/>
        </w:rPr>
        <w:t>7</w:t>
      </w:r>
      <w:r w:rsidR="00BC219B">
        <w:rPr>
          <w:rFonts w:ascii="Times New Roman" w:hAnsi="Times New Roman"/>
          <w:sz w:val="24"/>
          <w:szCs w:val="24"/>
        </w:rPr>
        <w:t xml:space="preserve">00 per km and year because the average condition of Local roads is expected to deteriorate in </w:t>
      </w:r>
      <w:r w:rsidR="00BC219B">
        <w:rPr>
          <w:rFonts w:ascii="Times New Roman" w:hAnsi="Times New Roman"/>
          <w:sz w:val="24"/>
          <w:szCs w:val="24"/>
        </w:rPr>
        <w:lastRenderedPageBreak/>
        <w:t>the coming years.</w:t>
      </w:r>
      <w:r w:rsidRPr="00EB4908">
        <w:rPr>
          <w:rStyle w:val="FootnoteReference"/>
          <w:sz w:val="24"/>
          <w:szCs w:val="24"/>
        </w:rPr>
        <w:footnoteReference w:id="29"/>
      </w:r>
      <w:r w:rsidRPr="00EB4908">
        <w:rPr>
          <w:rFonts w:ascii="Times New Roman" w:hAnsi="Times New Roman"/>
          <w:sz w:val="24"/>
          <w:szCs w:val="24"/>
        </w:rPr>
        <w:t xml:space="preserve"> Actual spending for the maintenance of the </w:t>
      </w:r>
      <w:r w:rsidR="002D05CB">
        <w:rPr>
          <w:rFonts w:ascii="Times New Roman" w:hAnsi="Times New Roman"/>
          <w:sz w:val="24"/>
          <w:szCs w:val="24"/>
        </w:rPr>
        <w:t>L</w:t>
      </w:r>
      <w:r w:rsidRPr="00EB4908">
        <w:rPr>
          <w:rFonts w:ascii="Times New Roman" w:hAnsi="Times New Roman"/>
          <w:sz w:val="24"/>
          <w:szCs w:val="24"/>
        </w:rPr>
        <w:t xml:space="preserve">ocal road network </w:t>
      </w:r>
      <w:r w:rsidR="002D05CB">
        <w:rPr>
          <w:rFonts w:ascii="Times New Roman" w:hAnsi="Times New Roman"/>
          <w:sz w:val="24"/>
          <w:szCs w:val="24"/>
        </w:rPr>
        <w:t xml:space="preserve">in Belarus </w:t>
      </w:r>
      <w:r w:rsidRPr="00EB4908">
        <w:rPr>
          <w:rFonts w:ascii="Times New Roman" w:hAnsi="Times New Roman"/>
          <w:sz w:val="24"/>
          <w:szCs w:val="24"/>
        </w:rPr>
        <w:t xml:space="preserve">seems </w:t>
      </w:r>
      <w:r w:rsidR="002D05CB">
        <w:rPr>
          <w:rFonts w:ascii="Times New Roman" w:hAnsi="Times New Roman"/>
          <w:sz w:val="24"/>
          <w:szCs w:val="24"/>
        </w:rPr>
        <w:t xml:space="preserve">roughly </w:t>
      </w:r>
      <w:r w:rsidRPr="00EB4908">
        <w:rPr>
          <w:rFonts w:ascii="Times New Roman" w:hAnsi="Times New Roman"/>
          <w:sz w:val="24"/>
          <w:szCs w:val="24"/>
        </w:rPr>
        <w:t>adequate</w:t>
      </w:r>
      <w:r w:rsidR="00BC219B">
        <w:rPr>
          <w:rFonts w:ascii="Times New Roman" w:hAnsi="Times New Roman"/>
          <w:sz w:val="24"/>
          <w:szCs w:val="24"/>
        </w:rPr>
        <w:t xml:space="preserve"> today, but will need to increase gradually by about 30 percent in order to avoid further deterioration of Local roads</w:t>
      </w:r>
      <w:r w:rsidRPr="00EB4908">
        <w:rPr>
          <w:rFonts w:ascii="Times New Roman" w:hAnsi="Times New Roman"/>
          <w:sz w:val="24"/>
          <w:szCs w:val="24"/>
        </w:rPr>
        <w:t>. Th</w:t>
      </w:r>
      <w:r w:rsidR="00FD617A">
        <w:rPr>
          <w:rFonts w:ascii="Times New Roman" w:hAnsi="Times New Roman"/>
          <w:sz w:val="24"/>
          <w:szCs w:val="24"/>
        </w:rPr>
        <w:t xml:space="preserve">e World Bank </w:t>
      </w:r>
      <w:r w:rsidRPr="00EB4908">
        <w:rPr>
          <w:rFonts w:ascii="Times New Roman" w:hAnsi="Times New Roman"/>
          <w:sz w:val="24"/>
          <w:szCs w:val="24"/>
        </w:rPr>
        <w:t xml:space="preserve">estimate is based on </w:t>
      </w:r>
      <w:r w:rsidR="00FD617A">
        <w:rPr>
          <w:rFonts w:ascii="Times New Roman" w:hAnsi="Times New Roman"/>
          <w:sz w:val="24"/>
          <w:szCs w:val="24"/>
        </w:rPr>
        <w:t>(</w:t>
      </w:r>
      <w:proofErr w:type="spellStart"/>
      <w:r w:rsidR="00FD617A">
        <w:rPr>
          <w:rFonts w:ascii="Times New Roman" w:hAnsi="Times New Roman"/>
          <w:sz w:val="24"/>
          <w:szCs w:val="24"/>
        </w:rPr>
        <w:t>i</w:t>
      </w:r>
      <w:proofErr w:type="spellEnd"/>
      <w:r w:rsidR="00FD617A">
        <w:rPr>
          <w:rFonts w:ascii="Times New Roman" w:hAnsi="Times New Roman"/>
          <w:sz w:val="24"/>
          <w:szCs w:val="24"/>
        </w:rPr>
        <w:t xml:space="preserve">) </w:t>
      </w:r>
      <w:r w:rsidRPr="00EB4908">
        <w:rPr>
          <w:rFonts w:ascii="Times New Roman" w:hAnsi="Times New Roman"/>
          <w:sz w:val="24"/>
          <w:szCs w:val="24"/>
        </w:rPr>
        <w:t xml:space="preserve">the unit costs for specific activities, </w:t>
      </w:r>
      <w:r w:rsidR="00FD617A">
        <w:rPr>
          <w:rFonts w:ascii="Times New Roman" w:hAnsi="Times New Roman"/>
          <w:sz w:val="24"/>
          <w:szCs w:val="24"/>
        </w:rPr>
        <w:t xml:space="preserve">(ii) </w:t>
      </w:r>
      <w:r w:rsidRPr="00EB4908">
        <w:rPr>
          <w:rFonts w:ascii="Times New Roman" w:hAnsi="Times New Roman"/>
          <w:sz w:val="24"/>
          <w:szCs w:val="24"/>
        </w:rPr>
        <w:t xml:space="preserve">the </w:t>
      </w:r>
      <w:r w:rsidR="002D05CB">
        <w:rPr>
          <w:rFonts w:ascii="Times New Roman" w:hAnsi="Times New Roman"/>
          <w:sz w:val="24"/>
          <w:szCs w:val="24"/>
        </w:rPr>
        <w:t>low traffic levels</w:t>
      </w:r>
      <w:r w:rsidR="00FD617A">
        <w:rPr>
          <w:rFonts w:ascii="Times New Roman" w:hAnsi="Times New Roman"/>
          <w:sz w:val="24"/>
          <w:szCs w:val="24"/>
        </w:rPr>
        <w:t xml:space="preserve"> on Local roads, (iii) the </w:t>
      </w:r>
      <w:r w:rsidRPr="00EB4908">
        <w:rPr>
          <w:rFonts w:ascii="Times New Roman" w:hAnsi="Times New Roman"/>
          <w:sz w:val="24"/>
          <w:szCs w:val="24"/>
        </w:rPr>
        <w:t xml:space="preserve">current length </w:t>
      </w:r>
      <w:r w:rsidR="00FD617A">
        <w:rPr>
          <w:rFonts w:ascii="Times New Roman" w:hAnsi="Times New Roman"/>
          <w:sz w:val="24"/>
          <w:szCs w:val="24"/>
        </w:rPr>
        <w:t xml:space="preserve">and type of Local roads, </w:t>
      </w:r>
      <w:proofErr w:type="gramStart"/>
      <w:r w:rsidR="00FD617A">
        <w:rPr>
          <w:rFonts w:ascii="Times New Roman" w:hAnsi="Times New Roman"/>
          <w:sz w:val="24"/>
          <w:szCs w:val="24"/>
        </w:rPr>
        <w:t>(iv)</w:t>
      </w:r>
      <w:r w:rsidR="00BD087B">
        <w:rPr>
          <w:rFonts w:ascii="Times New Roman" w:hAnsi="Times New Roman"/>
          <w:sz w:val="24"/>
          <w:szCs w:val="24"/>
        </w:rPr>
        <w:t xml:space="preserve"> </w:t>
      </w:r>
      <w:r w:rsidRPr="00EB4908">
        <w:rPr>
          <w:rFonts w:ascii="Times New Roman" w:hAnsi="Times New Roman"/>
          <w:sz w:val="24"/>
          <w:szCs w:val="24"/>
        </w:rPr>
        <w:t>the</w:t>
      </w:r>
      <w:proofErr w:type="gramEnd"/>
      <w:r w:rsidRPr="00EB4908">
        <w:rPr>
          <w:rFonts w:ascii="Times New Roman" w:hAnsi="Times New Roman"/>
          <w:sz w:val="24"/>
          <w:szCs w:val="24"/>
        </w:rPr>
        <w:t xml:space="preserve"> current condition of the </w:t>
      </w:r>
      <w:r w:rsidR="002D05CB">
        <w:rPr>
          <w:rFonts w:ascii="Times New Roman" w:hAnsi="Times New Roman"/>
          <w:sz w:val="24"/>
          <w:szCs w:val="24"/>
        </w:rPr>
        <w:t xml:space="preserve">Local </w:t>
      </w:r>
      <w:r w:rsidRPr="00EB4908">
        <w:rPr>
          <w:rFonts w:ascii="Times New Roman" w:hAnsi="Times New Roman"/>
          <w:sz w:val="24"/>
          <w:szCs w:val="24"/>
        </w:rPr>
        <w:t xml:space="preserve">road network, </w:t>
      </w:r>
      <w:r w:rsidR="00FD617A">
        <w:rPr>
          <w:rFonts w:ascii="Times New Roman" w:hAnsi="Times New Roman"/>
          <w:sz w:val="24"/>
          <w:szCs w:val="24"/>
        </w:rPr>
        <w:t xml:space="preserve">(v) </w:t>
      </w:r>
      <w:r w:rsidRPr="00EB4908">
        <w:rPr>
          <w:rFonts w:ascii="Times New Roman" w:hAnsi="Times New Roman"/>
          <w:sz w:val="24"/>
          <w:szCs w:val="24"/>
        </w:rPr>
        <w:t xml:space="preserve">the </w:t>
      </w:r>
      <w:r w:rsidR="002D05CB">
        <w:rPr>
          <w:rFonts w:ascii="Times New Roman" w:hAnsi="Times New Roman"/>
          <w:sz w:val="24"/>
          <w:szCs w:val="24"/>
        </w:rPr>
        <w:t>needed i</w:t>
      </w:r>
      <w:r w:rsidRPr="00EB4908">
        <w:rPr>
          <w:rFonts w:ascii="Times New Roman" w:hAnsi="Times New Roman"/>
          <w:sz w:val="24"/>
          <w:szCs w:val="24"/>
        </w:rPr>
        <w:t xml:space="preserve">nterventions, and </w:t>
      </w:r>
      <w:r w:rsidR="00FD617A">
        <w:rPr>
          <w:rFonts w:ascii="Times New Roman" w:hAnsi="Times New Roman"/>
          <w:sz w:val="24"/>
          <w:szCs w:val="24"/>
        </w:rPr>
        <w:t xml:space="preserve">(vi) </w:t>
      </w:r>
      <w:r w:rsidR="002D05CB">
        <w:rPr>
          <w:rFonts w:ascii="Times New Roman" w:hAnsi="Times New Roman"/>
          <w:sz w:val="24"/>
          <w:szCs w:val="24"/>
        </w:rPr>
        <w:t xml:space="preserve">the </w:t>
      </w:r>
      <w:r w:rsidRPr="00EB4908">
        <w:rPr>
          <w:rFonts w:ascii="Times New Roman" w:hAnsi="Times New Roman"/>
          <w:sz w:val="24"/>
          <w:szCs w:val="24"/>
        </w:rPr>
        <w:t xml:space="preserve">overall objective of sustaining the current condition of the </w:t>
      </w:r>
      <w:r w:rsidR="002D05CB">
        <w:rPr>
          <w:rFonts w:ascii="Times New Roman" w:hAnsi="Times New Roman"/>
          <w:sz w:val="24"/>
          <w:szCs w:val="24"/>
        </w:rPr>
        <w:t xml:space="preserve">Local </w:t>
      </w:r>
      <w:r w:rsidRPr="00EB4908">
        <w:rPr>
          <w:rFonts w:ascii="Times New Roman" w:hAnsi="Times New Roman"/>
          <w:sz w:val="24"/>
          <w:szCs w:val="24"/>
        </w:rPr>
        <w:t xml:space="preserve">road network. </w:t>
      </w:r>
    </w:p>
    <w:p w:rsidR="00A41454" w:rsidRDefault="00A41454">
      <w:pPr>
        <w:pStyle w:val="ListParagraph"/>
        <w:tabs>
          <w:tab w:val="left" w:pos="0"/>
        </w:tabs>
        <w:spacing w:after="120" w:line="240" w:lineRule="auto"/>
        <w:ind w:left="0"/>
        <w:contextualSpacing w:val="0"/>
        <w:jc w:val="both"/>
        <w:rPr>
          <w:rFonts w:ascii="Times New Roman" w:hAnsi="Times New Roman"/>
          <w:bCs/>
          <w:color w:val="000000"/>
          <w:sz w:val="24"/>
          <w:szCs w:val="24"/>
        </w:rPr>
      </w:pPr>
    </w:p>
    <w:p w:rsidR="00EB4908" w:rsidRPr="00C876B6" w:rsidRDefault="00EB4908" w:rsidP="00EB4908">
      <w:pPr>
        <w:pStyle w:val="Caption"/>
        <w:jc w:val="center"/>
        <w:rPr>
          <w:color w:val="auto"/>
          <w:sz w:val="22"/>
          <w:szCs w:val="22"/>
        </w:rPr>
      </w:pPr>
      <w:bookmarkStart w:id="174" w:name="_Ref264022194"/>
      <w:bookmarkStart w:id="175" w:name="_Toc264227140"/>
      <w:proofErr w:type="gramStart"/>
      <w:r w:rsidRPr="00C876B6">
        <w:rPr>
          <w:color w:val="auto"/>
          <w:sz w:val="22"/>
          <w:szCs w:val="22"/>
        </w:rPr>
        <w:t xml:space="preserve">Table </w:t>
      </w:r>
      <w:r w:rsidR="006B40AE" w:rsidRPr="00C876B6">
        <w:rPr>
          <w:color w:val="auto"/>
          <w:sz w:val="22"/>
          <w:szCs w:val="22"/>
        </w:rPr>
        <w:fldChar w:fldCharType="begin"/>
      </w:r>
      <w:r w:rsidRPr="00C876B6">
        <w:rPr>
          <w:color w:val="auto"/>
          <w:sz w:val="22"/>
          <w:szCs w:val="22"/>
        </w:rPr>
        <w:instrText xml:space="preserve"> SEQ Table \* ARABIC </w:instrText>
      </w:r>
      <w:r w:rsidR="006B40AE" w:rsidRPr="00C876B6">
        <w:rPr>
          <w:color w:val="auto"/>
          <w:sz w:val="22"/>
          <w:szCs w:val="22"/>
        </w:rPr>
        <w:fldChar w:fldCharType="separate"/>
      </w:r>
      <w:r w:rsidR="009E2C86">
        <w:rPr>
          <w:noProof/>
          <w:color w:val="auto"/>
          <w:sz w:val="22"/>
          <w:szCs w:val="22"/>
        </w:rPr>
        <w:t>13</w:t>
      </w:r>
      <w:r w:rsidR="006B40AE" w:rsidRPr="00C876B6">
        <w:rPr>
          <w:color w:val="auto"/>
          <w:sz w:val="22"/>
          <w:szCs w:val="22"/>
        </w:rPr>
        <w:fldChar w:fldCharType="end"/>
      </w:r>
      <w:bookmarkEnd w:id="174"/>
      <w:r w:rsidRPr="00C876B6">
        <w:rPr>
          <w:color w:val="auto"/>
          <w:sz w:val="22"/>
          <w:szCs w:val="22"/>
        </w:rPr>
        <w:t>.</w:t>
      </w:r>
      <w:proofErr w:type="gramEnd"/>
      <w:r w:rsidRPr="00C876B6">
        <w:rPr>
          <w:color w:val="auto"/>
          <w:sz w:val="22"/>
          <w:szCs w:val="22"/>
        </w:rPr>
        <w:t xml:space="preserve"> Standard Unit Costs of Maintenance for </w:t>
      </w:r>
      <w:r w:rsidR="003B7723">
        <w:rPr>
          <w:color w:val="auto"/>
          <w:sz w:val="22"/>
          <w:szCs w:val="22"/>
        </w:rPr>
        <w:t>Highways</w:t>
      </w:r>
      <w:r w:rsidRPr="00C876B6">
        <w:rPr>
          <w:color w:val="auto"/>
          <w:sz w:val="22"/>
          <w:szCs w:val="22"/>
        </w:rPr>
        <w:t>, Belarus and France in 2010 (US$)</w:t>
      </w:r>
      <w:bookmarkEnd w:id="175"/>
    </w:p>
    <w:tbl>
      <w:tblPr>
        <w:tblW w:w="8983" w:type="dxa"/>
        <w:jc w:val="center"/>
        <w:tblInd w:w="-6247" w:type="dxa"/>
        <w:tblBorders>
          <w:top w:val="single" w:sz="4" w:space="0" w:color="auto"/>
          <w:bottom w:val="single" w:sz="4" w:space="0" w:color="auto"/>
          <w:insideH w:val="single" w:sz="4" w:space="0" w:color="auto"/>
        </w:tblBorders>
        <w:tblLook w:val="04A0"/>
      </w:tblPr>
      <w:tblGrid>
        <w:gridCol w:w="4213"/>
        <w:gridCol w:w="2160"/>
        <w:gridCol w:w="2610"/>
      </w:tblGrid>
      <w:tr w:rsidR="00EB4908" w:rsidRPr="00A52D36" w:rsidTr="00A52D36">
        <w:trPr>
          <w:trHeight w:val="720"/>
          <w:jc w:val="center"/>
        </w:trPr>
        <w:tc>
          <w:tcPr>
            <w:tcW w:w="4213" w:type="dxa"/>
            <w:shd w:val="clear" w:color="auto" w:fill="auto"/>
            <w:vAlign w:val="center"/>
            <w:hideMark/>
          </w:tcPr>
          <w:p w:rsidR="00EB4908" w:rsidRPr="00A52D36" w:rsidRDefault="00EB4908" w:rsidP="00EB4908">
            <w:pPr>
              <w:jc w:val="center"/>
              <w:rPr>
                <w:rFonts w:asciiTheme="minorHAnsi" w:hAnsiTheme="minorHAnsi"/>
                <w:b/>
                <w:bCs/>
                <w:sz w:val="18"/>
                <w:szCs w:val="16"/>
              </w:rPr>
            </w:pPr>
            <w:r w:rsidRPr="00A52D36">
              <w:rPr>
                <w:rFonts w:asciiTheme="minorHAnsi" w:hAnsiTheme="minorHAnsi"/>
                <w:b/>
                <w:bCs/>
                <w:sz w:val="18"/>
                <w:szCs w:val="16"/>
              </w:rPr>
              <w:t>Unit cost of maintenance on national roads in France (in US$, 2010)</w:t>
            </w:r>
          </w:p>
        </w:tc>
        <w:tc>
          <w:tcPr>
            <w:tcW w:w="2160" w:type="dxa"/>
            <w:shd w:val="clear" w:color="auto" w:fill="auto"/>
            <w:vAlign w:val="center"/>
            <w:hideMark/>
          </w:tcPr>
          <w:p w:rsidR="00EB4908" w:rsidRPr="00A52D36" w:rsidRDefault="00EB4908" w:rsidP="00EB4908">
            <w:pPr>
              <w:jc w:val="center"/>
              <w:rPr>
                <w:rFonts w:asciiTheme="minorHAnsi" w:hAnsiTheme="minorHAnsi"/>
                <w:b/>
                <w:bCs/>
                <w:sz w:val="18"/>
                <w:szCs w:val="16"/>
              </w:rPr>
            </w:pPr>
            <w:r w:rsidRPr="00A52D36">
              <w:rPr>
                <w:rFonts w:asciiTheme="minorHAnsi" w:hAnsiTheme="minorHAnsi"/>
                <w:b/>
                <w:bCs/>
                <w:sz w:val="18"/>
                <w:szCs w:val="16"/>
              </w:rPr>
              <w:t>Unit cost for 1,000 km (France)</w:t>
            </w:r>
          </w:p>
        </w:tc>
        <w:tc>
          <w:tcPr>
            <w:tcW w:w="2610" w:type="dxa"/>
            <w:shd w:val="clear" w:color="auto" w:fill="auto"/>
            <w:vAlign w:val="center"/>
            <w:hideMark/>
          </w:tcPr>
          <w:p w:rsidR="00EB4908" w:rsidRPr="00A52D36" w:rsidRDefault="00C81A01" w:rsidP="00C81A01">
            <w:pPr>
              <w:jc w:val="center"/>
              <w:rPr>
                <w:rFonts w:asciiTheme="minorHAnsi" w:hAnsiTheme="minorHAnsi"/>
                <w:b/>
                <w:bCs/>
                <w:sz w:val="18"/>
                <w:szCs w:val="16"/>
              </w:rPr>
            </w:pPr>
            <w:r w:rsidRPr="00A52D36">
              <w:rPr>
                <w:rFonts w:asciiTheme="minorHAnsi" w:hAnsiTheme="minorHAnsi"/>
                <w:b/>
                <w:bCs/>
                <w:sz w:val="18"/>
                <w:szCs w:val="16"/>
              </w:rPr>
              <w:t>World Bank e</w:t>
            </w:r>
            <w:r w:rsidR="002D05CB" w:rsidRPr="00A52D36">
              <w:rPr>
                <w:rFonts w:asciiTheme="minorHAnsi" w:hAnsiTheme="minorHAnsi"/>
                <w:b/>
                <w:bCs/>
                <w:sz w:val="18"/>
                <w:szCs w:val="16"/>
              </w:rPr>
              <w:t>stimate</w:t>
            </w:r>
            <w:r w:rsidRPr="00A52D36">
              <w:rPr>
                <w:rFonts w:asciiTheme="minorHAnsi" w:hAnsiTheme="minorHAnsi"/>
                <w:b/>
                <w:bCs/>
                <w:sz w:val="18"/>
                <w:szCs w:val="16"/>
              </w:rPr>
              <w:t xml:space="preserve"> for</w:t>
            </w:r>
            <w:r w:rsidR="002D05CB" w:rsidRPr="00A52D36">
              <w:rPr>
                <w:rFonts w:asciiTheme="minorHAnsi" w:hAnsiTheme="minorHAnsi"/>
                <w:b/>
                <w:bCs/>
                <w:sz w:val="18"/>
                <w:szCs w:val="16"/>
              </w:rPr>
              <w:t xml:space="preserve"> </w:t>
            </w:r>
            <w:r w:rsidR="00EB4908" w:rsidRPr="00A52D36">
              <w:rPr>
                <w:rFonts w:asciiTheme="minorHAnsi" w:hAnsiTheme="minorHAnsi"/>
                <w:b/>
                <w:bCs/>
                <w:sz w:val="18"/>
                <w:szCs w:val="16"/>
              </w:rPr>
              <w:t>unit cost</w:t>
            </w:r>
            <w:r w:rsidRPr="00A52D36">
              <w:rPr>
                <w:rFonts w:asciiTheme="minorHAnsi" w:hAnsiTheme="minorHAnsi"/>
                <w:b/>
                <w:bCs/>
                <w:sz w:val="18"/>
                <w:szCs w:val="16"/>
              </w:rPr>
              <w:t>,</w:t>
            </w:r>
            <w:r w:rsidR="00EB4908" w:rsidRPr="00A52D36">
              <w:rPr>
                <w:rFonts w:asciiTheme="minorHAnsi" w:hAnsiTheme="minorHAnsi"/>
                <w:b/>
                <w:bCs/>
                <w:sz w:val="18"/>
                <w:szCs w:val="16"/>
              </w:rPr>
              <w:t xml:space="preserve"> for 1,000 km (Belarus)</w:t>
            </w:r>
          </w:p>
        </w:tc>
      </w:tr>
      <w:tr w:rsidR="00EB4908" w:rsidRPr="00A52D36" w:rsidTr="00A52D36">
        <w:trPr>
          <w:trHeight w:val="300"/>
          <w:jc w:val="center"/>
        </w:trPr>
        <w:tc>
          <w:tcPr>
            <w:tcW w:w="4213" w:type="dxa"/>
            <w:shd w:val="clear" w:color="auto" w:fill="auto"/>
            <w:vAlign w:val="center"/>
            <w:hideMark/>
          </w:tcPr>
          <w:p w:rsidR="00EB4908" w:rsidRPr="00A52D36" w:rsidRDefault="00EB4908" w:rsidP="00EB4908">
            <w:pPr>
              <w:rPr>
                <w:rFonts w:asciiTheme="minorHAnsi" w:hAnsiTheme="minorHAnsi"/>
                <w:b/>
                <w:bCs/>
                <w:sz w:val="18"/>
                <w:szCs w:val="16"/>
              </w:rPr>
            </w:pPr>
            <w:r w:rsidRPr="00A52D36">
              <w:rPr>
                <w:rFonts w:asciiTheme="minorHAnsi" w:hAnsiTheme="minorHAnsi"/>
                <w:b/>
                <w:bCs/>
                <w:sz w:val="18"/>
                <w:szCs w:val="16"/>
              </w:rPr>
              <w:t>Winter maintenance, including</w:t>
            </w:r>
          </w:p>
        </w:tc>
        <w:tc>
          <w:tcPr>
            <w:tcW w:w="2160" w:type="dxa"/>
            <w:shd w:val="clear" w:color="auto" w:fill="auto"/>
            <w:vAlign w:val="center"/>
            <w:hideMark/>
          </w:tcPr>
          <w:p w:rsidR="00EB4908" w:rsidRPr="00A52D36" w:rsidRDefault="00EB4908" w:rsidP="00EB4908">
            <w:pPr>
              <w:jc w:val="right"/>
              <w:rPr>
                <w:rFonts w:asciiTheme="minorHAnsi" w:hAnsiTheme="minorHAnsi"/>
                <w:sz w:val="18"/>
                <w:szCs w:val="16"/>
              </w:rPr>
            </w:pPr>
          </w:p>
        </w:tc>
        <w:tc>
          <w:tcPr>
            <w:tcW w:w="2610" w:type="dxa"/>
            <w:shd w:val="clear" w:color="auto" w:fill="auto"/>
            <w:vAlign w:val="center"/>
            <w:hideMark/>
          </w:tcPr>
          <w:p w:rsidR="00EB4908" w:rsidRPr="00A52D36" w:rsidRDefault="00EB4908" w:rsidP="00EB4908">
            <w:pPr>
              <w:jc w:val="right"/>
              <w:rPr>
                <w:rFonts w:asciiTheme="minorHAnsi" w:hAnsiTheme="minorHAnsi"/>
                <w:sz w:val="18"/>
                <w:szCs w:val="16"/>
              </w:rPr>
            </w:pPr>
          </w:p>
        </w:tc>
      </w:tr>
      <w:tr w:rsidR="00EB4908" w:rsidRPr="00A52D36" w:rsidTr="00A52D36">
        <w:trPr>
          <w:trHeight w:val="300"/>
          <w:jc w:val="center"/>
        </w:trPr>
        <w:tc>
          <w:tcPr>
            <w:tcW w:w="4213" w:type="dxa"/>
            <w:shd w:val="clear" w:color="auto" w:fill="auto"/>
            <w:vAlign w:val="center"/>
            <w:hideMark/>
          </w:tcPr>
          <w:p w:rsidR="00EB4908" w:rsidRPr="00A52D36" w:rsidRDefault="00C81A01" w:rsidP="00C81A01">
            <w:pPr>
              <w:rPr>
                <w:rFonts w:asciiTheme="minorHAnsi" w:hAnsiTheme="minorHAnsi"/>
                <w:sz w:val="18"/>
                <w:szCs w:val="16"/>
              </w:rPr>
            </w:pPr>
            <w:r w:rsidRPr="00A52D36">
              <w:rPr>
                <w:rFonts w:asciiTheme="minorHAnsi" w:hAnsiTheme="minorHAnsi"/>
                <w:sz w:val="18"/>
                <w:szCs w:val="16"/>
              </w:rPr>
              <w:t>W</w:t>
            </w:r>
            <w:r w:rsidR="00EB4908" w:rsidRPr="00A52D36">
              <w:rPr>
                <w:rFonts w:asciiTheme="minorHAnsi" w:hAnsiTheme="minorHAnsi"/>
                <w:sz w:val="18"/>
                <w:szCs w:val="16"/>
              </w:rPr>
              <w:t>eather stations</w:t>
            </w:r>
          </w:p>
        </w:tc>
        <w:tc>
          <w:tcPr>
            <w:tcW w:w="2160" w:type="dxa"/>
            <w:shd w:val="clear" w:color="auto" w:fill="auto"/>
            <w:vAlign w:val="center"/>
            <w:hideMark/>
          </w:tcPr>
          <w:p w:rsidR="00EB4908" w:rsidRPr="00A52D36" w:rsidRDefault="00EB4908" w:rsidP="00EB4908">
            <w:pPr>
              <w:jc w:val="right"/>
              <w:rPr>
                <w:rFonts w:asciiTheme="minorHAnsi" w:hAnsiTheme="minorHAnsi"/>
                <w:sz w:val="18"/>
                <w:szCs w:val="16"/>
              </w:rPr>
            </w:pPr>
            <w:r w:rsidRPr="00A52D36">
              <w:rPr>
                <w:rFonts w:asciiTheme="minorHAnsi" w:hAnsiTheme="minorHAnsi"/>
                <w:sz w:val="18"/>
                <w:szCs w:val="16"/>
              </w:rPr>
              <w:t>286,000</w:t>
            </w:r>
          </w:p>
        </w:tc>
        <w:tc>
          <w:tcPr>
            <w:tcW w:w="2610" w:type="dxa"/>
            <w:shd w:val="clear" w:color="auto" w:fill="auto"/>
            <w:vAlign w:val="center"/>
            <w:hideMark/>
          </w:tcPr>
          <w:p w:rsidR="00EB4908" w:rsidRPr="00A52D36" w:rsidRDefault="00EB4908" w:rsidP="00EB4908">
            <w:pPr>
              <w:jc w:val="right"/>
              <w:rPr>
                <w:rFonts w:asciiTheme="minorHAnsi" w:hAnsiTheme="minorHAnsi"/>
                <w:sz w:val="18"/>
                <w:szCs w:val="16"/>
              </w:rPr>
            </w:pPr>
            <w:r w:rsidRPr="00A52D36">
              <w:rPr>
                <w:rFonts w:asciiTheme="minorHAnsi" w:hAnsiTheme="minorHAnsi"/>
                <w:sz w:val="18"/>
                <w:szCs w:val="16"/>
              </w:rPr>
              <w:t>165,880</w:t>
            </w:r>
          </w:p>
        </w:tc>
      </w:tr>
      <w:tr w:rsidR="00EB4908" w:rsidRPr="00A52D36" w:rsidTr="00A52D36">
        <w:trPr>
          <w:trHeight w:val="300"/>
          <w:jc w:val="center"/>
        </w:trPr>
        <w:tc>
          <w:tcPr>
            <w:tcW w:w="4213" w:type="dxa"/>
            <w:shd w:val="clear" w:color="auto" w:fill="auto"/>
            <w:vAlign w:val="center"/>
            <w:hideMark/>
          </w:tcPr>
          <w:p w:rsidR="00EB4908" w:rsidRPr="00A52D36" w:rsidRDefault="00C81A01" w:rsidP="00C81A01">
            <w:pPr>
              <w:rPr>
                <w:rFonts w:asciiTheme="minorHAnsi" w:hAnsiTheme="minorHAnsi"/>
                <w:sz w:val="18"/>
                <w:szCs w:val="16"/>
              </w:rPr>
            </w:pPr>
            <w:r w:rsidRPr="00A52D36">
              <w:rPr>
                <w:rFonts w:asciiTheme="minorHAnsi" w:hAnsiTheme="minorHAnsi"/>
                <w:sz w:val="18"/>
                <w:szCs w:val="16"/>
              </w:rPr>
              <w:t xml:space="preserve">Snow and Ice Removal </w:t>
            </w:r>
          </w:p>
        </w:tc>
        <w:tc>
          <w:tcPr>
            <w:tcW w:w="2160" w:type="dxa"/>
            <w:shd w:val="clear" w:color="auto" w:fill="auto"/>
            <w:vAlign w:val="center"/>
            <w:hideMark/>
          </w:tcPr>
          <w:p w:rsidR="00EB4908" w:rsidRPr="00A52D36" w:rsidRDefault="00C81A01" w:rsidP="00C81A01">
            <w:pPr>
              <w:jc w:val="right"/>
              <w:rPr>
                <w:rFonts w:asciiTheme="minorHAnsi" w:hAnsiTheme="minorHAnsi"/>
                <w:sz w:val="18"/>
                <w:szCs w:val="16"/>
              </w:rPr>
            </w:pPr>
            <w:r w:rsidRPr="00A52D36">
              <w:rPr>
                <w:rFonts w:asciiTheme="minorHAnsi" w:hAnsiTheme="minorHAnsi"/>
                <w:sz w:val="18"/>
                <w:szCs w:val="16"/>
              </w:rPr>
              <w:t>1,170</w:t>
            </w:r>
            <w:r w:rsidR="00EB4908" w:rsidRPr="00A52D36">
              <w:rPr>
                <w:rFonts w:asciiTheme="minorHAnsi" w:hAnsiTheme="minorHAnsi"/>
                <w:sz w:val="18"/>
                <w:szCs w:val="16"/>
              </w:rPr>
              <w:t>,000</w:t>
            </w:r>
          </w:p>
        </w:tc>
        <w:tc>
          <w:tcPr>
            <w:tcW w:w="2610" w:type="dxa"/>
            <w:shd w:val="clear" w:color="auto" w:fill="auto"/>
            <w:vAlign w:val="center"/>
            <w:hideMark/>
          </w:tcPr>
          <w:p w:rsidR="00EB4908" w:rsidRPr="00A52D36" w:rsidRDefault="00C81A01" w:rsidP="00C81A01">
            <w:pPr>
              <w:jc w:val="right"/>
              <w:rPr>
                <w:rFonts w:asciiTheme="minorHAnsi" w:hAnsiTheme="minorHAnsi"/>
                <w:sz w:val="18"/>
                <w:szCs w:val="16"/>
              </w:rPr>
            </w:pPr>
            <w:r w:rsidRPr="00A52D36">
              <w:rPr>
                <w:rFonts w:asciiTheme="minorHAnsi" w:hAnsiTheme="minorHAnsi"/>
                <w:sz w:val="18"/>
                <w:szCs w:val="16"/>
              </w:rPr>
              <w:t>678,600</w:t>
            </w:r>
          </w:p>
        </w:tc>
      </w:tr>
      <w:tr w:rsidR="00EB4908" w:rsidRPr="00A52D36" w:rsidTr="00A52D36">
        <w:trPr>
          <w:trHeight w:val="300"/>
          <w:jc w:val="center"/>
        </w:trPr>
        <w:tc>
          <w:tcPr>
            <w:tcW w:w="4213" w:type="dxa"/>
            <w:shd w:val="clear" w:color="auto" w:fill="auto"/>
            <w:vAlign w:val="center"/>
            <w:hideMark/>
          </w:tcPr>
          <w:p w:rsidR="00EB4908" w:rsidRPr="00A52D36" w:rsidRDefault="00EB4908" w:rsidP="00EB4908">
            <w:pPr>
              <w:rPr>
                <w:rFonts w:asciiTheme="minorHAnsi" w:hAnsiTheme="minorHAnsi"/>
                <w:sz w:val="18"/>
                <w:szCs w:val="16"/>
              </w:rPr>
            </w:pPr>
            <w:r w:rsidRPr="00A52D36">
              <w:rPr>
                <w:rFonts w:asciiTheme="minorHAnsi" w:hAnsiTheme="minorHAnsi"/>
                <w:sz w:val="18"/>
                <w:szCs w:val="16"/>
              </w:rPr>
              <w:t>Silos</w:t>
            </w:r>
            <w:r w:rsidR="003B7723" w:rsidRPr="00A52D36">
              <w:rPr>
                <w:rFonts w:asciiTheme="minorHAnsi" w:hAnsiTheme="minorHAnsi"/>
                <w:sz w:val="18"/>
                <w:szCs w:val="16"/>
              </w:rPr>
              <w:t xml:space="preserve"> for salt and fine gravel</w:t>
            </w:r>
          </w:p>
        </w:tc>
        <w:tc>
          <w:tcPr>
            <w:tcW w:w="2160" w:type="dxa"/>
            <w:shd w:val="clear" w:color="auto" w:fill="auto"/>
            <w:vAlign w:val="center"/>
            <w:hideMark/>
          </w:tcPr>
          <w:p w:rsidR="00EB4908" w:rsidRPr="00A52D36" w:rsidRDefault="00EB4908" w:rsidP="00EB4908">
            <w:pPr>
              <w:jc w:val="right"/>
              <w:rPr>
                <w:rFonts w:asciiTheme="minorHAnsi" w:hAnsiTheme="minorHAnsi"/>
                <w:sz w:val="18"/>
                <w:szCs w:val="16"/>
              </w:rPr>
            </w:pPr>
            <w:r w:rsidRPr="00A52D36">
              <w:rPr>
                <w:rFonts w:asciiTheme="minorHAnsi" w:hAnsiTheme="minorHAnsi"/>
                <w:sz w:val="18"/>
                <w:szCs w:val="16"/>
              </w:rPr>
              <w:t>260,000</w:t>
            </w:r>
          </w:p>
        </w:tc>
        <w:tc>
          <w:tcPr>
            <w:tcW w:w="2610" w:type="dxa"/>
            <w:shd w:val="clear" w:color="auto" w:fill="auto"/>
            <w:vAlign w:val="center"/>
            <w:hideMark/>
          </w:tcPr>
          <w:p w:rsidR="00EB4908" w:rsidRPr="00A52D36" w:rsidRDefault="00EB4908" w:rsidP="00EB4908">
            <w:pPr>
              <w:jc w:val="right"/>
              <w:rPr>
                <w:rFonts w:asciiTheme="minorHAnsi" w:hAnsiTheme="minorHAnsi"/>
                <w:sz w:val="18"/>
                <w:szCs w:val="16"/>
              </w:rPr>
            </w:pPr>
            <w:r w:rsidRPr="00A52D36">
              <w:rPr>
                <w:rFonts w:asciiTheme="minorHAnsi" w:hAnsiTheme="minorHAnsi"/>
                <w:sz w:val="18"/>
                <w:szCs w:val="16"/>
              </w:rPr>
              <w:t>150,800</w:t>
            </w:r>
          </w:p>
        </w:tc>
      </w:tr>
      <w:tr w:rsidR="00EB4908" w:rsidRPr="00A52D36" w:rsidTr="00A52D36">
        <w:trPr>
          <w:trHeight w:val="315"/>
          <w:jc w:val="center"/>
        </w:trPr>
        <w:tc>
          <w:tcPr>
            <w:tcW w:w="4213" w:type="dxa"/>
            <w:shd w:val="clear" w:color="auto" w:fill="auto"/>
            <w:vAlign w:val="center"/>
            <w:hideMark/>
          </w:tcPr>
          <w:p w:rsidR="00EB4908" w:rsidRPr="00A52D36" w:rsidRDefault="00EB4908" w:rsidP="00EB4908">
            <w:pPr>
              <w:rPr>
                <w:rFonts w:asciiTheme="minorHAnsi" w:hAnsiTheme="minorHAnsi"/>
                <w:b/>
                <w:bCs/>
                <w:sz w:val="18"/>
                <w:szCs w:val="16"/>
              </w:rPr>
            </w:pPr>
            <w:r w:rsidRPr="00A52D36">
              <w:rPr>
                <w:rFonts w:asciiTheme="minorHAnsi" w:hAnsiTheme="minorHAnsi"/>
                <w:b/>
                <w:bCs/>
                <w:sz w:val="18"/>
                <w:szCs w:val="16"/>
              </w:rPr>
              <w:t>Current maintenance, including</w:t>
            </w:r>
          </w:p>
        </w:tc>
        <w:tc>
          <w:tcPr>
            <w:tcW w:w="2160" w:type="dxa"/>
            <w:shd w:val="clear" w:color="auto" w:fill="auto"/>
            <w:vAlign w:val="center"/>
            <w:hideMark/>
          </w:tcPr>
          <w:p w:rsidR="00EB4908" w:rsidRPr="00A52D36" w:rsidRDefault="00EB4908" w:rsidP="00EB4908">
            <w:pPr>
              <w:jc w:val="right"/>
              <w:rPr>
                <w:rFonts w:asciiTheme="minorHAnsi" w:hAnsiTheme="minorHAnsi"/>
                <w:sz w:val="18"/>
                <w:szCs w:val="16"/>
              </w:rPr>
            </w:pPr>
          </w:p>
        </w:tc>
        <w:tc>
          <w:tcPr>
            <w:tcW w:w="2610" w:type="dxa"/>
            <w:shd w:val="clear" w:color="auto" w:fill="auto"/>
            <w:vAlign w:val="center"/>
            <w:hideMark/>
          </w:tcPr>
          <w:p w:rsidR="00EB4908" w:rsidRPr="00A52D36" w:rsidRDefault="00EB4908" w:rsidP="00EB4908">
            <w:pPr>
              <w:jc w:val="right"/>
              <w:rPr>
                <w:rFonts w:asciiTheme="minorHAnsi" w:hAnsiTheme="minorHAnsi"/>
                <w:sz w:val="18"/>
                <w:szCs w:val="16"/>
              </w:rPr>
            </w:pPr>
          </w:p>
        </w:tc>
      </w:tr>
      <w:tr w:rsidR="00EB4908" w:rsidRPr="00A52D36" w:rsidTr="00A52D36">
        <w:trPr>
          <w:trHeight w:val="300"/>
          <w:jc w:val="center"/>
        </w:trPr>
        <w:tc>
          <w:tcPr>
            <w:tcW w:w="4213" w:type="dxa"/>
            <w:shd w:val="clear" w:color="auto" w:fill="auto"/>
            <w:vAlign w:val="center"/>
            <w:hideMark/>
          </w:tcPr>
          <w:p w:rsidR="00EB4908" w:rsidRPr="00A52D36" w:rsidRDefault="00EB4908" w:rsidP="00C81A01">
            <w:pPr>
              <w:rPr>
                <w:rFonts w:asciiTheme="minorHAnsi" w:hAnsiTheme="minorHAnsi"/>
                <w:sz w:val="18"/>
                <w:szCs w:val="16"/>
              </w:rPr>
            </w:pPr>
            <w:r w:rsidRPr="00A52D36">
              <w:rPr>
                <w:rFonts w:asciiTheme="minorHAnsi" w:hAnsiTheme="minorHAnsi"/>
                <w:sz w:val="18"/>
                <w:szCs w:val="16"/>
              </w:rPr>
              <w:t>Road operation</w:t>
            </w:r>
            <w:r w:rsidR="00C81A01" w:rsidRPr="00A52D36">
              <w:rPr>
                <w:rFonts w:asciiTheme="minorHAnsi" w:hAnsiTheme="minorHAnsi"/>
                <w:sz w:val="18"/>
                <w:szCs w:val="16"/>
              </w:rPr>
              <w:t xml:space="preserve"> and incident response</w:t>
            </w:r>
          </w:p>
        </w:tc>
        <w:tc>
          <w:tcPr>
            <w:tcW w:w="2160" w:type="dxa"/>
            <w:shd w:val="clear" w:color="auto" w:fill="auto"/>
            <w:vAlign w:val="center"/>
            <w:hideMark/>
          </w:tcPr>
          <w:p w:rsidR="00EB4908" w:rsidRPr="00A52D36" w:rsidRDefault="00EB4908" w:rsidP="00EB4908">
            <w:pPr>
              <w:jc w:val="right"/>
              <w:rPr>
                <w:rFonts w:asciiTheme="minorHAnsi" w:hAnsiTheme="minorHAnsi"/>
                <w:sz w:val="18"/>
                <w:szCs w:val="16"/>
              </w:rPr>
            </w:pPr>
            <w:r w:rsidRPr="00A52D36">
              <w:rPr>
                <w:rFonts w:asciiTheme="minorHAnsi" w:hAnsiTheme="minorHAnsi"/>
                <w:sz w:val="18"/>
                <w:szCs w:val="16"/>
              </w:rPr>
              <w:t>5,200,000</w:t>
            </w:r>
          </w:p>
        </w:tc>
        <w:tc>
          <w:tcPr>
            <w:tcW w:w="2610" w:type="dxa"/>
            <w:shd w:val="clear" w:color="auto" w:fill="auto"/>
            <w:vAlign w:val="center"/>
            <w:hideMark/>
          </w:tcPr>
          <w:p w:rsidR="00EB4908" w:rsidRPr="00A52D36" w:rsidRDefault="00EB4908" w:rsidP="00EB4908">
            <w:pPr>
              <w:jc w:val="right"/>
              <w:rPr>
                <w:rFonts w:asciiTheme="minorHAnsi" w:hAnsiTheme="minorHAnsi"/>
                <w:sz w:val="18"/>
                <w:szCs w:val="16"/>
              </w:rPr>
            </w:pPr>
            <w:r w:rsidRPr="00A52D36">
              <w:rPr>
                <w:rFonts w:asciiTheme="minorHAnsi" w:hAnsiTheme="minorHAnsi"/>
                <w:sz w:val="18"/>
                <w:szCs w:val="16"/>
              </w:rPr>
              <w:t>3,016,000</w:t>
            </w:r>
          </w:p>
        </w:tc>
      </w:tr>
      <w:tr w:rsidR="00EB4908" w:rsidRPr="00A52D36" w:rsidTr="00A52D36">
        <w:trPr>
          <w:trHeight w:val="300"/>
          <w:jc w:val="center"/>
        </w:trPr>
        <w:tc>
          <w:tcPr>
            <w:tcW w:w="4213" w:type="dxa"/>
            <w:shd w:val="clear" w:color="auto" w:fill="auto"/>
            <w:vAlign w:val="center"/>
            <w:hideMark/>
          </w:tcPr>
          <w:p w:rsidR="00EB4908" w:rsidRPr="00A52D36" w:rsidRDefault="00EB4908" w:rsidP="00EB4908">
            <w:pPr>
              <w:rPr>
                <w:rFonts w:asciiTheme="minorHAnsi" w:hAnsiTheme="minorHAnsi"/>
                <w:sz w:val="18"/>
                <w:szCs w:val="16"/>
              </w:rPr>
            </w:pPr>
            <w:r w:rsidRPr="00A52D36">
              <w:rPr>
                <w:rFonts w:asciiTheme="minorHAnsi" w:hAnsiTheme="minorHAnsi"/>
                <w:sz w:val="18"/>
                <w:szCs w:val="16"/>
              </w:rPr>
              <w:t>Road marking</w:t>
            </w:r>
          </w:p>
        </w:tc>
        <w:tc>
          <w:tcPr>
            <w:tcW w:w="2160" w:type="dxa"/>
            <w:shd w:val="clear" w:color="auto" w:fill="auto"/>
            <w:vAlign w:val="center"/>
            <w:hideMark/>
          </w:tcPr>
          <w:p w:rsidR="00EB4908" w:rsidRPr="00A52D36" w:rsidRDefault="00EB4908" w:rsidP="00EB4908">
            <w:pPr>
              <w:jc w:val="right"/>
              <w:rPr>
                <w:rFonts w:asciiTheme="minorHAnsi" w:hAnsiTheme="minorHAnsi"/>
                <w:sz w:val="18"/>
                <w:szCs w:val="16"/>
              </w:rPr>
            </w:pPr>
            <w:r w:rsidRPr="00A52D36">
              <w:rPr>
                <w:rFonts w:asciiTheme="minorHAnsi" w:hAnsiTheme="minorHAnsi"/>
                <w:sz w:val="18"/>
                <w:szCs w:val="16"/>
              </w:rPr>
              <w:t>1,170,000</w:t>
            </w:r>
          </w:p>
        </w:tc>
        <w:tc>
          <w:tcPr>
            <w:tcW w:w="2610" w:type="dxa"/>
            <w:shd w:val="clear" w:color="auto" w:fill="auto"/>
            <w:vAlign w:val="center"/>
            <w:hideMark/>
          </w:tcPr>
          <w:p w:rsidR="00EB4908" w:rsidRPr="00A52D36" w:rsidRDefault="00EB4908" w:rsidP="00EB4908">
            <w:pPr>
              <w:jc w:val="right"/>
              <w:rPr>
                <w:rFonts w:asciiTheme="minorHAnsi" w:hAnsiTheme="minorHAnsi"/>
                <w:sz w:val="18"/>
                <w:szCs w:val="16"/>
              </w:rPr>
            </w:pPr>
            <w:r w:rsidRPr="00A52D36">
              <w:rPr>
                <w:rFonts w:asciiTheme="minorHAnsi" w:hAnsiTheme="minorHAnsi"/>
                <w:sz w:val="18"/>
                <w:szCs w:val="16"/>
              </w:rPr>
              <w:t>678,600</w:t>
            </w:r>
          </w:p>
        </w:tc>
      </w:tr>
      <w:tr w:rsidR="00EB4908" w:rsidRPr="00A52D36" w:rsidTr="00A52D36">
        <w:trPr>
          <w:trHeight w:val="300"/>
          <w:jc w:val="center"/>
        </w:trPr>
        <w:tc>
          <w:tcPr>
            <w:tcW w:w="4213" w:type="dxa"/>
            <w:shd w:val="clear" w:color="auto" w:fill="auto"/>
            <w:vAlign w:val="center"/>
            <w:hideMark/>
          </w:tcPr>
          <w:p w:rsidR="00EB4908" w:rsidRPr="00A52D36" w:rsidRDefault="00EB4908" w:rsidP="00EB4908">
            <w:pPr>
              <w:rPr>
                <w:rFonts w:asciiTheme="minorHAnsi" w:hAnsiTheme="minorHAnsi"/>
                <w:sz w:val="18"/>
                <w:szCs w:val="16"/>
              </w:rPr>
            </w:pPr>
            <w:r w:rsidRPr="00A52D36">
              <w:rPr>
                <w:rFonts w:asciiTheme="minorHAnsi" w:hAnsiTheme="minorHAnsi"/>
                <w:sz w:val="18"/>
                <w:szCs w:val="16"/>
              </w:rPr>
              <w:t>Drainage and water management</w:t>
            </w:r>
          </w:p>
        </w:tc>
        <w:tc>
          <w:tcPr>
            <w:tcW w:w="2160" w:type="dxa"/>
            <w:shd w:val="clear" w:color="auto" w:fill="auto"/>
            <w:vAlign w:val="center"/>
            <w:hideMark/>
          </w:tcPr>
          <w:p w:rsidR="00EB4908" w:rsidRPr="00A52D36" w:rsidRDefault="00EB4908" w:rsidP="00EB4908">
            <w:pPr>
              <w:jc w:val="right"/>
              <w:rPr>
                <w:rFonts w:asciiTheme="minorHAnsi" w:hAnsiTheme="minorHAnsi"/>
                <w:sz w:val="18"/>
                <w:szCs w:val="16"/>
              </w:rPr>
            </w:pPr>
            <w:r w:rsidRPr="00A52D36">
              <w:rPr>
                <w:rFonts w:asciiTheme="minorHAnsi" w:hAnsiTheme="minorHAnsi"/>
                <w:sz w:val="18"/>
                <w:szCs w:val="16"/>
              </w:rPr>
              <w:t>650,000</w:t>
            </w:r>
          </w:p>
        </w:tc>
        <w:tc>
          <w:tcPr>
            <w:tcW w:w="2610" w:type="dxa"/>
            <w:shd w:val="clear" w:color="auto" w:fill="auto"/>
            <w:vAlign w:val="center"/>
            <w:hideMark/>
          </w:tcPr>
          <w:p w:rsidR="00EB4908" w:rsidRPr="00A52D36" w:rsidRDefault="00EB4908" w:rsidP="00EB4908">
            <w:pPr>
              <w:jc w:val="right"/>
              <w:rPr>
                <w:rFonts w:asciiTheme="minorHAnsi" w:hAnsiTheme="minorHAnsi"/>
                <w:sz w:val="18"/>
                <w:szCs w:val="16"/>
              </w:rPr>
            </w:pPr>
            <w:r w:rsidRPr="00A52D36">
              <w:rPr>
                <w:rFonts w:asciiTheme="minorHAnsi" w:hAnsiTheme="minorHAnsi"/>
                <w:sz w:val="18"/>
                <w:szCs w:val="16"/>
              </w:rPr>
              <w:t>377,000</w:t>
            </w:r>
          </w:p>
        </w:tc>
      </w:tr>
      <w:tr w:rsidR="00EB4908" w:rsidRPr="00A52D36" w:rsidTr="00A52D36">
        <w:trPr>
          <w:trHeight w:val="300"/>
          <w:jc w:val="center"/>
        </w:trPr>
        <w:tc>
          <w:tcPr>
            <w:tcW w:w="4213" w:type="dxa"/>
            <w:shd w:val="clear" w:color="auto" w:fill="auto"/>
            <w:vAlign w:val="center"/>
            <w:hideMark/>
          </w:tcPr>
          <w:p w:rsidR="00EB4908" w:rsidRPr="00A52D36" w:rsidRDefault="00C81A01" w:rsidP="00C81A01">
            <w:pPr>
              <w:rPr>
                <w:rFonts w:asciiTheme="minorHAnsi" w:hAnsiTheme="minorHAnsi"/>
                <w:sz w:val="18"/>
                <w:szCs w:val="16"/>
              </w:rPr>
            </w:pPr>
            <w:r w:rsidRPr="00A52D36">
              <w:rPr>
                <w:rFonts w:asciiTheme="minorHAnsi" w:hAnsiTheme="minorHAnsi"/>
                <w:sz w:val="18"/>
                <w:szCs w:val="16"/>
              </w:rPr>
              <w:t>Management of g</w:t>
            </w:r>
            <w:r w:rsidR="00EB4908" w:rsidRPr="00A52D36">
              <w:rPr>
                <w:rFonts w:asciiTheme="minorHAnsi" w:hAnsiTheme="minorHAnsi"/>
                <w:sz w:val="18"/>
                <w:szCs w:val="16"/>
              </w:rPr>
              <w:t xml:space="preserve">reen </w:t>
            </w:r>
            <w:r w:rsidRPr="00A52D36">
              <w:rPr>
                <w:rFonts w:asciiTheme="minorHAnsi" w:hAnsiTheme="minorHAnsi"/>
                <w:sz w:val="18"/>
                <w:szCs w:val="16"/>
              </w:rPr>
              <w:t xml:space="preserve">areas </w:t>
            </w:r>
          </w:p>
        </w:tc>
        <w:tc>
          <w:tcPr>
            <w:tcW w:w="2160" w:type="dxa"/>
            <w:shd w:val="clear" w:color="auto" w:fill="auto"/>
            <w:vAlign w:val="center"/>
            <w:hideMark/>
          </w:tcPr>
          <w:p w:rsidR="00EB4908" w:rsidRPr="00A52D36" w:rsidRDefault="00EB4908" w:rsidP="00EB4908">
            <w:pPr>
              <w:jc w:val="right"/>
              <w:rPr>
                <w:rFonts w:asciiTheme="minorHAnsi" w:hAnsiTheme="minorHAnsi"/>
                <w:sz w:val="18"/>
                <w:szCs w:val="16"/>
              </w:rPr>
            </w:pPr>
            <w:r w:rsidRPr="00A52D36">
              <w:rPr>
                <w:rFonts w:asciiTheme="minorHAnsi" w:hAnsiTheme="minorHAnsi"/>
                <w:sz w:val="18"/>
                <w:szCs w:val="16"/>
              </w:rPr>
              <w:t>520,000</w:t>
            </w:r>
          </w:p>
        </w:tc>
        <w:tc>
          <w:tcPr>
            <w:tcW w:w="2610" w:type="dxa"/>
            <w:shd w:val="clear" w:color="auto" w:fill="auto"/>
            <w:vAlign w:val="center"/>
            <w:hideMark/>
          </w:tcPr>
          <w:p w:rsidR="00EB4908" w:rsidRPr="00A52D36" w:rsidRDefault="00EB4908" w:rsidP="00EB4908">
            <w:pPr>
              <w:jc w:val="right"/>
              <w:rPr>
                <w:rFonts w:asciiTheme="minorHAnsi" w:hAnsiTheme="minorHAnsi"/>
                <w:sz w:val="18"/>
                <w:szCs w:val="16"/>
              </w:rPr>
            </w:pPr>
            <w:r w:rsidRPr="00A52D36">
              <w:rPr>
                <w:rFonts w:asciiTheme="minorHAnsi" w:hAnsiTheme="minorHAnsi"/>
                <w:sz w:val="18"/>
                <w:szCs w:val="16"/>
              </w:rPr>
              <w:t>301,600</w:t>
            </w:r>
          </w:p>
        </w:tc>
      </w:tr>
      <w:tr w:rsidR="00EB4908" w:rsidRPr="00A52D36" w:rsidTr="00A52D36">
        <w:trPr>
          <w:trHeight w:val="300"/>
          <w:jc w:val="center"/>
        </w:trPr>
        <w:tc>
          <w:tcPr>
            <w:tcW w:w="4213" w:type="dxa"/>
            <w:shd w:val="clear" w:color="auto" w:fill="auto"/>
            <w:vAlign w:val="center"/>
            <w:hideMark/>
          </w:tcPr>
          <w:p w:rsidR="00EB4908" w:rsidRPr="00A52D36" w:rsidRDefault="00EB4908" w:rsidP="00EB4908">
            <w:pPr>
              <w:rPr>
                <w:rFonts w:asciiTheme="minorHAnsi" w:hAnsiTheme="minorHAnsi"/>
                <w:sz w:val="18"/>
                <w:szCs w:val="16"/>
              </w:rPr>
            </w:pPr>
            <w:r w:rsidRPr="00A52D36">
              <w:rPr>
                <w:rFonts w:asciiTheme="minorHAnsi" w:hAnsiTheme="minorHAnsi"/>
                <w:sz w:val="18"/>
                <w:szCs w:val="16"/>
              </w:rPr>
              <w:t>Guardrails</w:t>
            </w:r>
          </w:p>
        </w:tc>
        <w:tc>
          <w:tcPr>
            <w:tcW w:w="2160" w:type="dxa"/>
            <w:shd w:val="clear" w:color="auto" w:fill="auto"/>
            <w:vAlign w:val="center"/>
            <w:hideMark/>
          </w:tcPr>
          <w:p w:rsidR="00EB4908" w:rsidRPr="00A52D36" w:rsidRDefault="00EB4908" w:rsidP="00EB4908">
            <w:pPr>
              <w:jc w:val="right"/>
              <w:rPr>
                <w:rFonts w:asciiTheme="minorHAnsi" w:hAnsiTheme="minorHAnsi"/>
                <w:sz w:val="18"/>
                <w:szCs w:val="16"/>
              </w:rPr>
            </w:pPr>
            <w:r w:rsidRPr="00A52D36">
              <w:rPr>
                <w:rFonts w:asciiTheme="minorHAnsi" w:hAnsiTheme="minorHAnsi"/>
                <w:sz w:val="18"/>
                <w:szCs w:val="16"/>
              </w:rPr>
              <w:t>650,000</w:t>
            </w:r>
          </w:p>
        </w:tc>
        <w:tc>
          <w:tcPr>
            <w:tcW w:w="2610" w:type="dxa"/>
            <w:shd w:val="clear" w:color="auto" w:fill="auto"/>
            <w:vAlign w:val="center"/>
            <w:hideMark/>
          </w:tcPr>
          <w:p w:rsidR="00EB4908" w:rsidRPr="00A52D36" w:rsidRDefault="00EB4908" w:rsidP="00EB4908">
            <w:pPr>
              <w:jc w:val="right"/>
              <w:rPr>
                <w:rFonts w:asciiTheme="minorHAnsi" w:hAnsiTheme="minorHAnsi"/>
                <w:sz w:val="18"/>
                <w:szCs w:val="16"/>
              </w:rPr>
            </w:pPr>
            <w:r w:rsidRPr="00A52D36">
              <w:rPr>
                <w:rFonts w:asciiTheme="minorHAnsi" w:hAnsiTheme="minorHAnsi"/>
                <w:sz w:val="18"/>
                <w:szCs w:val="16"/>
              </w:rPr>
              <w:t>377,000</w:t>
            </w:r>
          </w:p>
        </w:tc>
      </w:tr>
      <w:tr w:rsidR="00BE35AE" w:rsidRPr="00A52D36" w:rsidTr="00A52D36">
        <w:trPr>
          <w:trHeight w:val="300"/>
          <w:jc w:val="center"/>
        </w:trPr>
        <w:tc>
          <w:tcPr>
            <w:tcW w:w="4213" w:type="dxa"/>
            <w:shd w:val="clear" w:color="auto" w:fill="auto"/>
            <w:vAlign w:val="center"/>
            <w:hideMark/>
          </w:tcPr>
          <w:p w:rsidR="00BE35AE" w:rsidRPr="00A52D36" w:rsidRDefault="00BE35AE" w:rsidP="000D66B6">
            <w:pPr>
              <w:rPr>
                <w:rFonts w:asciiTheme="minorHAnsi" w:hAnsiTheme="minorHAnsi"/>
                <w:sz w:val="18"/>
                <w:szCs w:val="16"/>
              </w:rPr>
            </w:pPr>
            <w:r w:rsidRPr="00A52D36">
              <w:rPr>
                <w:rFonts w:asciiTheme="minorHAnsi" w:hAnsiTheme="minorHAnsi"/>
                <w:sz w:val="18"/>
                <w:szCs w:val="16"/>
              </w:rPr>
              <w:t>Dynamic signs</w:t>
            </w:r>
          </w:p>
        </w:tc>
        <w:tc>
          <w:tcPr>
            <w:tcW w:w="2160" w:type="dxa"/>
            <w:shd w:val="clear" w:color="auto" w:fill="auto"/>
            <w:vAlign w:val="center"/>
            <w:hideMark/>
          </w:tcPr>
          <w:p w:rsidR="00BE35AE" w:rsidRPr="00A52D36" w:rsidRDefault="00BE35AE" w:rsidP="000D66B6">
            <w:pPr>
              <w:jc w:val="right"/>
              <w:rPr>
                <w:rFonts w:asciiTheme="minorHAnsi" w:hAnsiTheme="minorHAnsi"/>
                <w:sz w:val="18"/>
                <w:szCs w:val="16"/>
              </w:rPr>
            </w:pPr>
            <w:r w:rsidRPr="00A52D36">
              <w:rPr>
                <w:rFonts w:asciiTheme="minorHAnsi" w:hAnsiTheme="minorHAnsi"/>
                <w:sz w:val="18"/>
                <w:szCs w:val="16"/>
              </w:rPr>
              <w:t>260,000</w:t>
            </w:r>
          </w:p>
        </w:tc>
        <w:tc>
          <w:tcPr>
            <w:tcW w:w="2610" w:type="dxa"/>
            <w:shd w:val="clear" w:color="auto" w:fill="auto"/>
            <w:vAlign w:val="center"/>
            <w:hideMark/>
          </w:tcPr>
          <w:p w:rsidR="00BE35AE" w:rsidRPr="00A52D36" w:rsidRDefault="00BE35AE" w:rsidP="000D66B6">
            <w:pPr>
              <w:jc w:val="right"/>
              <w:rPr>
                <w:rFonts w:asciiTheme="minorHAnsi" w:hAnsiTheme="minorHAnsi"/>
                <w:sz w:val="18"/>
                <w:szCs w:val="16"/>
              </w:rPr>
            </w:pPr>
            <w:r w:rsidRPr="00A52D36">
              <w:rPr>
                <w:rFonts w:asciiTheme="minorHAnsi" w:hAnsiTheme="minorHAnsi"/>
                <w:sz w:val="18"/>
                <w:szCs w:val="16"/>
              </w:rPr>
              <w:t>150,800</w:t>
            </w:r>
          </w:p>
        </w:tc>
      </w:tr>
      <w:tr w:rsidR="00BE35AE" w:rsidRPr="00A52D36" w:rsidTr="00A52D36">
        <w:trPr>
          <w:trHeight w:val="300"/>
          <w:jc w:val="center"/>
        </w:trPr>
        <w:tc>
          <w:tcPr>
            <w:tcW w:w="4213" w:type="dxa"/>
            <w:shd w:val="clear" w:color="auto" w:fill="auto"/>
            <w:vAlign w:val="center"/>
            <w:hideMark/>
          </w:tcPr>
          <w:p w:rsidR="00BE35AE" w:rsidRPr="00A52D36" w:rsidRDefault="00BE35AE" w:rsidP="000D66B6">
            <w:pPr>
              <w:rPr>
                <w:rFonts w:asciiTheme="minorHAnsi" w:hAnsiTheme="minorHAnsi"/>
                <w:b/>
                <w:bCs/>
                <w:sz w:val="18"/>
                <w:szCs w:val="16"/>
              </w:rPr>
            </w:pPr>
            <w:r w:rsidRPr="00A52D36">
              <w:rPr>
                <w:rFonts w:asciiTheme="minorHAnsi" w:hAnsiTheme="minorHAnsi"/>
                <w:b/>
                <w:bCs/>
                <w:sz w:val="18"/>
                <w:szCs w:val="16"/>
              </w:rPr>
              <w:t xml:space="preserve">Current maintenance </w:t>
            </w:r>
          </w:p>
        </w:tc>
        <w:tc>
          <w:tcPr>
            <w:tcW w:w="2160" w:type="dxa"/>
            <w:shd w:val="clear" w:color="auto" w:fill="auto"/>
            <w:vAlign w:val="center"/>
            <w:hideMark/>
          </w:tcPr>
          <w:p w:rsidR="00BE35AE" w:rsidRPr="00A52D36" w:rsidRDefault="00BE35AE" w:rsidP="000D66B6">
            <w:pPr>
              <w:jc w:val="right"/>
              <w:rPr>
                <w:rFonts w:asciiTheme="minorHAnsi" w:hAnsiTheme="minorHAnsi"/>
                <w:sz w:val="18"/>
                <w:szCs w:val="16"/>
              </w:rPr>
            </w:pPr>
            <w:r w:rsidRPr="00A52D36">
              <w:rPr>
                <w:rFonts w:asciiTheme="minorHAnsi" w:hAnsiTheme="minorHAnsi"/>
                <w:sz w:val="18"/>
                <w:szCs w:val="16"/>
              </w:rPr>
              <w:t>8,450,000</w:t>
            </w:r>
          </w:p>
        </w:tc>
        <w:tc>
          <w:tcPr>
            <w:tcW w:w="2610" w:type="dxa"/>
            <w:shd w:val="clear" w:color="auto" w:fill="auto"/>
            <w:vAlign w:val="center"/>
            <w:hideMark/>
          </w:tcPr>
          <w:p w:rsidR="00BE35AE" w:rsidRPr="00A52D36" w:rsidRDefault="00BE35AE" w:rsidP="000D66B6">
            <w:pPr>
              <w:jc w:val="right"/>
              <w:rPr>
                <w:rFonts w:asciiTheme="minorHAnsi" w:hAnsiTheme="minorHAnsi"/>
                <w:sz w:val="18"/>
                <w:szCs w:val="16"/>
              </w:rPr>
            </w:pPr>
            <w:r w:rsidRPr="00A52D36">
              <w:rPr>
                <w:rFonts w:asciiTheme="minorHAnsi" w:hAnsiTheme="minorHAnsi"/>
                <w:sz w:val="18"/>
                <w:szCs w:val="16"/>
              </w:rPr>
              <w:t>4,901,000</w:t>
            </w:r>
          </w:p>
        </w:tc>
      </w:tr>
      <w:tr w:rsidR="00BE35AE" w:rsidRPr="00A52D36" w:rsidTr="00A52D36">
        <w:trPr>
          <w:trHeight w:val="300"/>
          <w:jc w:val="center"/>
        </w:trPr>
        <w:tc>
          <w:tcPr>
            <w:tcW w:w="4213" w:type="dxa"/>
            <w:shd w:val="clear" w:color="auto" w:fill="auto"/>
            <w:vAlign w:val="center"/>
            <w:hideMark/>
          </w:tcPr>
          <w:p w:rsidR="00BE35AE" w:rsidRPr="00A52D36" w:rsidRDefault="00BE35AE" w:rsidP="000D66B6">
            <w:pPr>
              <w:rPr>
                <w:rFonts w:asciiTheme="minorHAnsi" w:hAnsiTheme="minorHAnsi"/>
                <w:b/>
                <w:bCs/>
                <w:sz w:val="18"/>
                <w:szCs w:val="16"/>
              </w:rPr>
            </w:pPr>
            <w:r w:rsidRPr="00A52D36">
              <w:rPr>
                <w:rFonts w:asciiTheme="minorHAnsi" w:hAnsiTheme="minorHAnsi"/>
                <w:b/>
                <w:bCs/>
                <w:sz w:val="18"/>
                <w:szCs w:val="16"/>
              </w:rPr>
              <w:t>Winter maintenance</w:t>
            </w:r>
          </w:p>
        </w:tc>
        <w:tc>
          <w:tcPr>
            <w:tcW w:w="2160" w:type="dxa"/>
            <w:shd w:val="clear" w:color="auto" w:fill="auto"/>
            <w:vAlign w:val="center"/>
            <w:hideMark/>
          </w:tcPr>
          <w:p w:rsidR="00BE35AE" w:rsidRPr="00A52D36" w:rsidRDefault="00BE35AE" w:rsidP="000D66B6">
            <w:pPr>
              <w:jc w:val="right"/>
              <w:rPr>
                <w:rFonts w:asciiTheme="minorHAnsi" w:hAnsiTheme="minorHAnsi"/>
                <w:sz w:val="18"/>
                <w:szCs w:val="16"/>
              </w:rPr>
            </w:pPr>
            <w:r w:rsidRPr="00A52D36">
              <w:rPr>
                <w:rFonts w:asciiTheme="minorHAnsi" w:hAnsiTheme="minorHAnsi"/>
                <w:sz w:val="18"/>
                <w:szCs w:val="16"/>
              </w:rPr>
              <w:t>1,716,000</w:t>
            </w:r>
          </w:p>
        </w:tc>
        <w:tc>
          <w:tcPr>
            <w:tcW w:w="2610" w:type="dxa"/>
            <w:shd w:val="clear" w:color="auto" w:fill="auto"/>
            <w:vAlign w:val="center"/>
            <w:hideMark/>
          </w:tcPr>
          <w:p w:rsidR="00BE35AE" w:rsidRPr="00A52D36" w:rsidRDefault="00BE35AE" w:rsidP="000D66B6">
            <w:pPr>
              <w:jc w:val="right"/>
              <w:rPr>
                <w:rFonts w:asciiTheme="minorHAnsi" w:hAnsiTheme="minorHAnsi"/>
                <w:sz w:val="18"/>
                <w:szCs w:val="16"/>
              </w:rPr>
            </w:pPr>
            <w:r w:rsidRPr="00A52D36">
              <w:rPr>
                <w:rFonts w:asciiTheme="minorHAnsi" w:hAnsiTheme="minorHAnsi"/>
                <w:sz w:val="18"/>
                <w:szCs w:val="16"/>
              </w:rPr>
              <w:t>995,280</w:t>
            </w:r>
          </w:p>
        </w:tc>
      </w:tr>
      <w:tr w:rsidR="00BE35AE" w:rsidRPr="00A52D36" w:rsidTr="00A52D36">
        <w:trPr>
          <w:trHeight w:val="300"/>
          <w:jc w:val="center"/>
        </w:trPr>
        <w:tc>
          <w:tcPr>
            <w:tcW w:w="4213" w:type="dxa"/>
            <w:shd w:val="clear" w:color="auto" w:fill="auto"/>
            <w:vAlign w:val="center"/>
            <w:hideMark/>
          </w:tcPr>
          <w:p w:rsidR="00BE35AE" w:rsidRPr="00A52D36" w:rsidRDefault="00BE35AE" w:rsidP="000D66B6">
            <w:pPr>
              <w:rPr>
                <w:rFonts w:asciiTheme="minorHAnsi" w:hAnsiTheme="minorHAnsi"/>
                <w:b/>
                <w:bCs/>
                <w:sz w:val="18"/>
                <w:szCs w:val="16"/>
              </w:rPr>
            </w:pPr>
            <w:r w:rsidRPr="00A52D36">
              <w:rPr>
                <w:rFonts w:asciiTheme="minorHAnsi" w:hAnsiTheme="minorHAnsi"/>
                <w:b/>
                <w:bCs/>
                <w:sz w:val="18"/>
                <w:szCs w:val="16"/>
              </w:rPr>
              <w:t>Routine specific maintenance</w:t>
            </w:r>
          </w:p>
        </w:tc>
        <w:tc>
          <w:tcPr>
            <w:tcW w:w="2160" w:type="dxa"/>
            <w:shd w:val="clear" w:color="auto" w:fill="auto"/>
            <w:vAlign w:val="center"/>
            <w:hideMark/>
          </w:tcPr>
          <w:p w:rsidR="00BE35AE" w:rsidRPr="00A52D36" w:rsidRDefault="00BE35AE" w:rsidP="000D66B6">
            <w:pPr>
              <w:jc w:val="right"/>
              <w:rPr>
                <w:rFonts w:asciiTheme="minorHAnsi" w:hAnsiTheme="minorHAnsi"/>
                <w:sz w:val="18"/>
                <w:szCs w:val="16"/>
              </w:rPr>
            </w:pPr>
            <w:r w:rsidRPr="00A52D36">
              <w:rPr>
                <w:rFonts w:asciiTheme="minorHAnsi" w:hAnsiTheme="minorHAnsi"/>
                <w:sz w:val="18"/>
                <w:szCs w:val="16"/>
              </w:rPr>
              <w:t>1,300,000</w:t>
            </w:r>
          </w:p>
        </w:tc>
        <w:tc>
          <w:tcPr>
            <w:tcW w:w="2610" w:type="dxa"/>
            <w:shd w:val="clear" w:color="auto" w:fill="auto"/>
            <w:vAlign w:val="center"/>
            <w:hideMark/>
          </w:tcPr>
          <w:p w:rsidR="00BE35AE" w:rsidRPr="00A52D36" w:rsidRDefault="00BE35AE" w:rsidP="000D66B6">
            <w:pPr>
              <w:jc w:val="right"/>
              <w:rPr>
                <w:rFonts w:asciiTheme="minorHAnsi" w:hAnsiTheme="minorHAnsi"/>
                <w:sz w:val="18"/>
                <w:szCs w:val="16"/>
              </w:rPr>
            </w:pPr>
            <w:r w:rsidRPr="00A52D36">
              <w:rPr>
                <w:rFonts w:asciiTheme="minorHAnsi" w:hAnsiTheme="minorHAnsi"/>
                <w:sz w:val="18"/>
                <w:szCs w:val="16"/>
              </w:rPr>
              <w:t>754,000</w:t>
            </w:r>
          </w:p>
        </w:tc>
      </w:tr>
      <w:tr w:rsidR="00BE35AE" w:rsidRPr="00A52D36" w:rsidTr="00A52D36">
        <w:trPr>
          <w:trHeight w:val="300"/>
          <w:jc w:val="center"/>
        </w:trPr>
        <w:tc>
          <w:tcPr>
            <w:tcW w:w="4213" w:type="dxa"/>
            <w:shd w:val="clear" w:color="auto" w:fill="auto"/>
            <w:vAlign w:val="center"/>
            <w:hideMark/>
          </w:tcPr>
          <w:p w:rsidR="00BE35AE" w:rsidRPr="00A52D36" w:rsidRDefault="00BE35AE" w:rsidP="000D66B6">
            <w:pPr>
              <w:rPr>
                <w:rFonts w:asciiTheme="minorHAnsi" w:hAnsiTheme="minorHAnsi"/>
                <w:b/>
                <w:bCs/>
                <w:sz w:val="18"/>
                <w:szCs w:val="16"/>
              </w:rPr>
            </w:pPr>
            <w:r w:rsidRPr="00A52D36">
              <w:rPr>
                <w:rFonts w:asciiTheme="minorHAnsi" w:hAnsiTheme="minorHAnsi"/>
                <w:b/>
                <w:bCs/>
                <w:sz w:val="18"/>
                <w:szCs w:val="16"/>
              </w:rPr>
              <w:t>Maintenance of Bridges</w:t>
            </w:r>
          </w:p>
        </w:tc>
        <w:tc>
          <w:tcPr>
            <w:tcW w:w="2160" w:type="dxa"/>
            <w:shd w:val="clear" w:color="auto" w:fill="auto"/>
            <w:vAlign w:val="center"/>
            <w:hideMark/>
          </w:tcPr>
          <w:p w:rsidR="00BE35AE" w:rsidRPr="00A52D36" w:rsidRDefault="00BE35AE" w:rsidP="000D66B6">
            <w:pPr>
              <w:jc w:val="right"/>
              <w:rPr>
                <w:rFonts w:asciiTheme="minorHAnsi" w:hAnsiTheme="minorHAnsi"/>
                <w:sz w:val="18"/>
                <w:szCs w:val="16"/>
              </w:rPr>
            </w:pPr>
            <w:r w:rsidRPr="00A52D36">
              <w:rPr>
                <w:rFonts w:asciiTheme="minorHAnsi" w:hAnsiTheme="minorHAnsi"/>
                <w:sz w:val="18"/>
                <w:szCs w:val="16"/>
              </w:rPr>
              <w:t>1,560,000</w:t>
            </w:r>
          </w:p>
        </w:tc>
        <w:tc>
          <w:tcPr>
            <w:tcW w:w="2610" w:type="dxa"/>
            <w:shd w:val="clear" w:color="auto" w:fill="auto"/>
            <w:vAlign w:val="center"/>
            <w:hideMark/>
          </w:tcPr>
          <w:p w:rsidR="00BE35AE" w:rsidRPr="00A52D36" w:rsidRDefault="00BE35AE" w:rsidP="000D66B6">
            <w:pPr>
              <w:jc w:val="right"/>
              <w:rPr>
                <w:rFonts w:asciiTheme="minorHAnsi" w:hAnsiTheme="minorHAnsi"/>
                <w:sz w:val="18"/>
                <w:szCs w:val="16"/>
              </w:rPr>
            </w:pPr>
            <w:r w:rsidRPr="00A52D36">
              <w:rPr>
                <w:rFonts w:asciiTheme="minorHAnsi" w:hAnsiTheme="minorHAnsi"/>
                <w:sz w:val="18"/>
                <w:szCs w:val="16"/>
              </w:rPr>
              <w:t>904,800</w:t>
            </w:r>
          </w:p>
        </w:tc>
      </w:tr>
      <w:tr w:rsidR="00BE35AE" w:rsidRPr="00A52D36" w:rsidTr="00A52D36">
        <w:trPr>
          <w:trHeight w:val="300"/>
          <w:jc w:val="center"/>
        </w:trPr>
        <w:tc>
          <w:tcPr>
            <w:tcW w:w="4213" w:type="dxa"/>
            <w:shd w:val="clear" w:color="auto" w:fill="auto"/>
            <w:vAlign w:val="center"/>
            <w:hideMark/>
          </w:tcPr>
          <w:p w:rsidR="00BE35AE" w:rsidRPr="00A52D36" w:rsidRDefault="00BE35AE" w:rsidP="000D66B6">
            <w:pPr>
              <w:rPr>
                <w:rFonts w:asciiTheme="minorHAnsi" w:hAnsiTheme="minorHAnsi"/>
                <w:b/>
                <w:bCs/>
                <w:sz w:val="18"/>
                <w:szCs w:val="16"/>
              </w:rPr>
            </w:pPr>
            <w:r w:rsidRPr="00A52D36">
              <w:rPr>
                <w:rFonts w:asciiTheme="minorHAnsi" w:hAnsiTheme="minorHAnsi"/>
                <w:b/>
                <w:bCs/>
                <w:sz w:val="18"/>
                <w:szCs w:val="16"/>
              </w:rPr>
              <w:t>Maintenance of tunnels</w:t>
            </w:r>
          </w:p>
        </w:tc>
        <w:tc>
          <w:tcPr>
            <w:tcW w:w="2160" w:type="dxa"/>
            <w:shd w:val="clear" w:color="auto" w:fill="auto"/>
            <w:vAlign w:val="center"/>
            <w:hideMark/>
          </w:tcPr>
          <w:p w:rsidR="00BE35AE" w:rsidRPr="00A52D36" w:rsidRDefault="00BE35AE" w:rsidP="000D66B6">
            <w:pPr>
              <w:jc w:val="right"/>
              <w:rPr>
                <w:rFonts w:asciiTheme="minorHAnsi" w:hAnsiTheme="minorHAnsi"/>
                <w:sz w:val="18"/>
                <w:szCs w:val="16"/>
              </w:rPr>
            </w:pPr>
            <w:r w:rsidRPr="00A52D36">
              <w:rPr>
                <w:rFonts w:asciiTheme="minorHAnsi" w:hAnsiTheme="minorHAnsi"/>
                <w:sz w:val="18"/>
                <w:szCs w:val="16"/>
              </w:rPr>
              <w:t>1,040,000</w:t>
            </w:r>
          </w:p>
        </w:tc>
        <w:tc>
          <w:tcPr>
            <w:tcW w:w="2610" w:type="dxa"/>
            <w:shd w:val="clear" w:color="auto" w:fill="auto"/>
            <w:vAlign w:val="center"/>
            <w:hideMark/>
          </w:tcPr>
          <w:p w:rsidR="00BE35AE" w:rsidRPr="00A52D36" w:rsidRDefault="00BE35AE" w:rsidP="000D66B6">
            <w:pPr>
              <w:jc w:val="right"/>
              <w:rPr>
                <w:rFonts w:asciiTheme="minorHAnsi" w:hAnsiTheme="minorHAnsi"/>
                <w:sz w:val="18"/>
                <w:szCs w:val="16"/>
              </w:rPr>
            </w:pPr>
            <w:r w:rsidRPr="00A52D36">
              <w:rPr>
                <w:rFonts w:asciiTheme="minorHAnsi" w:hAnsiTheme="minorHAnsi"/>
                <w:sz w:val="18"/>
                <w:szCs w:val="16"/>
              </w:rPr>
              <w:t>603,200</w:t>
            </w:r>
          </w:p>
        </w:tc>
      </w:tr>
      <w:tr w:rsidR="00BE35AE" w:rsidRPr="00A52D36" w:rsidTr="00A52D36">
        <w:trPr>
          <w:trHeight w:val="300"/>
          <w:jc w:val="center"/>
        </w:trPr>
        <w:tc>
          <w:tcPr>
            <w:tcW w:w="4213" w:type="dxa"/>
            <w:shd w:val="clear" w:color="auto" w:fill="auto"/>
            <w:vAlign w:val="center"/>
            <w:hideMark/>
          </w:tcPr>
          <w:p w:rsidR="00BE35AE" w:rsidRPr="00A52D36" w:rsidRDefault="00BE35AE" w:rsidP="000D66B6">
            <w:pPr>
              <w:rPr>
                <w:rFonts w:asciiTheme="minorHAnsi" w:hAnsiTheme="minorHAnsi"/>
                <w:b/>
                <w:bCs/>
                <w:sz w:val="18"/>
                <w:szCs w:val="16"/>
              </w:rPr>
            </w:pPr>
            <w:r w:rsidRPr="00A52D36">
              <w:rPr>
                <w:rFonts w:asciiTheme="minorHAnsi" w:hAnsiTheme="minorHAnsi"/>
                <w:b/>
                <w:bCs/>
                <w:sz w:val="18"/>
                <w:szCs w:val="16"/>
              </w:rPr>
              <w:t>Specific road safety</w:t>
            </w:r>
          </w:p>
        </w:tc>
        <w:tc>
          <w:tcPr>
            <w:tcW w:w="2160" w:type="dxa"/>
            <w:shd w:val="clear" w:color="auto" w:fill="auto"/>
            <w:vAlign w:val="center"/>
            <w:hideMark/>
          </w:tcPr>
          <w:p w:rsidR="00BE35AE" w:rsidRPr="00A52D36" w:rsidRDefault="00BE35AE" w:rsidP="000D66B6">
            <w:pPr>
              <w:jc w:val="right"/>
              <w:rPr>
                <w:rFonts w:asciiTheme="minorHAnsi" w:hAnsiTheme="minorHAnsi"/>
                <w:sz w:val="18"/>
                <w:szCs w:val="16"/>
              </w:rPr>
            </w:pPr>
            <w:r w:rsidRPr="00A52D36">
              <w:rPr>
                <w:rFonts w:asciiTheme="minorHAnsi" w:hAnsiTheme="minorHAnsi"/>
                <w:sz w:val="18"/>
                <w:szCs w:val="16"/>
              </w:rPr>
              <w:t>520,000</w:t>
            </w:r>
          </w:p>
        </w:tc>
        <w:tc>
          <w:tcPr>
            <w:tcW w:w="2610" w:type="dxa"/>
            <w:shd w:val="clear" w:color="auto" w:fill="auto"/>
            <w:vAlign w:val="center"/>
            <w:hideMark/>
          </w:tcPr>
          <w:p w:rsidR="00BE35AE" w:rsidRPr="00A52D36" w:rsidRDefault="00BE35AE" w:rsidP="000D66B6">
            <w:pPr>
              <w:jc w:val="right"/>
              <w:rPr>
                <w:rFonts w:asciiTheme="minorHAnsi" w:hAnsiTheme="minorHAnsi"/>
                <w:sz w:val="18"/>
                <w:szCs w:val="16"/>
              </w:rPr>
            </w:pPr>
            <w:r w:rsidRPr="00A52D36">
              <w:rPr>
                <w:rFonts w:asciiTheme="minorHAnsi" w:hAnsiTheme="minorHAnsi"/>
                <w:sz w:val="18"/>
                <w:szCs w:val="16"/>
              </w:rPr>
              <w:t>301,600</w:t>
            </w:r>
          </w:p>
        </w:tc>
      </w:tr>
      <w:tr w:rsidR="00BE35AE" w:rsidRPr="00A52D36" w:rsidTr="00A52D36">
        <w:trPr>
          <w:trHeight w:val="300"/>
          <w:jc w:val="center"/>
        </w:trPr>
        <w:tc>
          <w:tcPr>
            <w:tcW w:w="4213" w:type="dxa"/>
            <w:shd w:val="clear" w:color="auto" w:fill="auto"/>
            <w:vAlign w:val="center"/>
            <w:hideMark/>
          </w:tcPr>
          <w:p w:rsidR="00BE35AE" w:rsidRPr="00A52D36" w:rsidRDefault="00BE35AE" w:rsidP="000D66B6">
            <w:pPr>
              <w:rPr>
                <w:rFonts w:asciiTheme="minorHAnsi" w:hAnsiTheme="minorHAnsi"/>
                <w:b/>
                <w:bCs/>
                <w:sz w:val="18"/>
                <w:szCs w:val="16"/>
              </w:rPr>
            </w:pPr>
            <w:r w:rsidRPr="00A52D36">
              <w:rPr>
                <w:rFonts w:asciiTheme="minorHAnsi" w:hAnsiTheme="minorHAnsi"/>
                <w:b/>
                <w:bCs/>
                <w:sz w:val="18"/>
                <w:szCs w:val="16"/>
              </w:rPr>
              <w:t xml:space="preserve">Total </w:t>
            </w:r>
          </w:p>
        </w:tc>
        <w:tc>
          <w:tcPr>
            <w:tcW w:w="2160" w:type="dxa"/>
            <w:shd w:val="clear" w:color="auto" w:fill="auto"/>
            <w:vAlign w:val="center"/>
            <w:hideMark/>
          </w:tcPr>
          <w:p w:rsidR="00BE35AE" w:rsidRPr="00A52D36" w:rsidRDefault="00BE35AE" w:rsidP="000D66B6">
            <w:pPr>
              <w:jc w:val="right"/>
              <w:rPr>
                <w:rFonts w:asciiTheme="minorHAnsi" w:hAnsiTheme="minorHAnsi"/>
                <w:b/>
                <w:bCs/>
                <w:sz w:val="18"/>
                <w:szCs w:val="16"/>
              </w:rPr>
            </w:pPr>
            <w:r w:rsidRPr="00A52D36">
              <w:rPr>
                <w:rFonts w:asciiTheme="minorHAnsi" w:hAnsiTheme="minorHAnsi"/>
                <w:b/>
                <w:bCs/>
                <w:sz w:val="18"/>
                <w:szCs w:val="16"/>
              </w:rPr>
              <w:t>14,586,000</w:t>
            </w:r>
          </w:p>
        </w:tc>
        <w:tc>
          <w:tcPr>
            <w:tcW w:w="2610" w:type="dxa"/>
            <w:shd w:val="clear" w:color="auto" w:fill="auto"/>
            <w:vAlign w:val="center"/>
            <w:hideMark/>
          </w:tcPr>
          <w:p w:rsidR="00BE35AE" w:rsidRPr="00A52D36" w:rsidRDefault="00BE35AE" w:rsidP="000D66B6">
            <w:pPr>
              <w:jc w:val="right"/>
              <w:rPr>
                <w:rFonts w:asciiTheme="minorHAnsi" w:hAnsiTheme="minorHAnsi"/>
                <w:b/>
                <w:bCs/>
                <w:sz w:val="18"/>
                <w:szCs w:val="16"/>
              </w:rPr>
            </w:pPr>
            <w:r w:rsidRPr="00A52D36">
              <w:rPr>
                <w:rFonts w:asciiTheme="minorHAnsi" w:hAnsiTheme="minorHAnsi"/>
                <w:b/>
                <w:bCs/>
                <w:sz w:val="18"/>
                <w:szCs w:val="16"/>
              </w:rPr>
              <w:t>8,459,880</w:t>
            </w:r>
          </w:p>
        </w:tc>
      </w:tr>
    </w:tbl>
    <w:p w:rsidR="00EB4908" w:rsidRPr="00EB4908" w:rsidRDefault="00EB4908" w:rsidP="00EB4908">
      <w:pPr>
        <w:pStyle w:val="ListParagraph"/>
        <w:tabs>
          <w:tab w:val="left" w:pos="0"/>
        </w:tabs>
        <w:spacing w:after="120" w:line="240" w:lineRule="auto"/>
        <w:ind w:left="0"/>
        <w:contextualSpacing w:val="0"/>
        <w:jc w:val="both"/>
        <w:rPr>
          <w:rFonts w:ascii="Times New Roman" w:hAnsi="Times New Roman"/>
          <w:bCs/>
          <w:color w:val="000000"/>
          <w:sz w:val="24"/>
          <w:szCs w:val="24"/>
        </w:rPr>
      </w:pPr>
    </w:p>
    <w:p w:rsidR="00BE35AE" w:rsidRPr="00BE35AE" w:rsidRDefault="008046F3" w:rsidP="00BE35AE">
      <w:pPr>
        <w:pStyle w:val="ListParagraph"/>
        <w:numPr>
          <w:ilvl w:val="0"/>
          <w:numId w:val="9"/>
        </w:numPr>
        <w:tabs>
          <w:tab w:val="clear" w:pos="720"/>
          <w:tab w:val="left" w:pos="0"/>
        </w:tabs>
        <w:spacing w:after="120" w:line="240" w:lineRule="auto"/>
        <w:ind w:left="0" w:firstLine="0"/>
        <w:contextualSpacing w:val="0"/>
        <w:jc w:val="both"/>
        <w:rPr>
          <w:rFonts w:ascii="Times New Roman" w:hAnsi="Times New Roman"/>
          <w:bCs/>
          <w:color w:val="000000"/>
          <w:sz w:val="24"/>
          <w:szCs w:val="24"/>
        </w:rPr>
      </w:pPr>
      <w:r w:rsidRPr="00BE35AE">
        <w:rPr>
          <w:rFonts w:ascii="Times New Roman" w:hAnsi="Times New Roman"/>
          <w:b/>
          <w:sz w:val="24"/>
          <w:szCs w:val="24"/>
        </w:rPr>
        <w:t xml:space="preserve">The capital expenditure necessary to address the backlog of maintenance for the </w:t>
      </w:r>
      <w:r w:rsidR="00BB1E85">
        <w:rPr>
          <w:rFonts w:ascii="Times New Roman" w:hAnsi="Times New Roman"/>
          <w:b/>
          <w:sz w:val="24"/>
          <w:szCs w:val="24"/>
        </w:rPr>
        <w:t>R</w:t>
      </w:r>
      <w:r w:rsidRPr="00BE35AE">
        <w:rPr>
          <w:rFonts w:ascii="Times New Roman" w:hAnsi="Times New Roman"/>
          <w:b/>
          <w:sz w:val="24"/>
          <w:szCs w:val="24"/>
        </w:rPr>
        <w:t xml:space="preserve">epublican road network has been estimated </w:t>
      </w:r>
      <w:r w:rsidR="00BB1E85">
        <w:rPr>
          <w:rFonts w:ascii="Times New Roman" w:hAnsi="Times New Roman"/>
          <w:b/>
          <w:sz w:val="24"/>
          <w:szCs w:val="24"/>
        </w:rPr>
        <w:t xml:space="preserve">by the World Bank </w:t>
      </w:r>
      <w:r w:rsidRPr="00BE35AE">
        <w:rPr>
          <w:rFonts w:ascii="Times New Roman" w:hAnsi="Times New Roman"/>
          <w:b/>
          <w:sz w:val="24"/>
          <w:szCs w:val="24"/>
        </w:rPr>
        <w:t>at BYR588 billion (US$200 million) on average per year</w:t>
      </w:r>
      <w:r w:rsidR="0004363C" w:rsidRPr="0004363C">
        <w:rPr>
          <w:rFonts w:ascii="Times New Roman" w:hAnsi="Times New Roman"/>
          <w:sz w:val="24"/>
          <w:szCs w:val="24"/>
        </w:rPr>
        <w:t>, assuming a ten-year period for the full elimination of the backlog.</w:t>
      </w:r>
      <w:r w:rsidR="00BB1E85">
        <w:rPr>
          <w:rFonts w:ascii="Times New Roman" w:hAnsi="Times New Roman"/>
          <w:b/>
          <w:sz w:val="24"/>
          <w:szCs w:val="24"/>
        </w:rPr>
        <w:t xml:space="preserve"> </w:t>
      </w:r>
      <w:r w:rsidRPr="00BE35AE">
        <w:rPr>
          <w:rFonts w:ascii="Times New Roman" w:hAnsi="Times New Roman"/>
          <w:sz w:val="24"/>
          <w:szCs w:val="24"/>
        </w:rPr>
        <w:t xml:space="preserve"> When compared with actual spending in 2009, </w:t>
      </w:r>
      <w:r w:rsidR="00BB1E85">
        <w:rPr>
          <w:rFonts w:ascii="Times New Roman" w:hAnsi="Times New Roman"/>
          <w:sz w:val="24"/>
          <w:szCs w:val="24"/>
        </w:rPr>
        <w:t xml:space="preserve">it is however clear that at the current level of spending on Republican roads it will take longer than ten years to eliminate the backlog. </w:t>
      </w:r>
    </w:p>
    <w:p w:rsidR="00BE35AE" w:rsidRPr="00BE35AE" w:rsidRDefault="008046F3" w:rsidP="00BE35AE">
      <w:pPr>
        <w:pStyle w:val="ListParagraph"/>
        <w:numPr>
          <w:ilvl w:val="0"/>
          <w:numId w:val="9"/>
        </w:numPr>
        <w:tabs>
          <w:tab w:val="clear" w:pos="720"/>
          <w:tab w:val="left" w:pos="0"/>
        </w:tabs>
        <w:spacing w:after="120" w:line="240" w:lineRule="auto"/>
        <w:ind w:left="0" w:firstLine="0"/>
        <w:contextualSpacing w:val="0"/>
        <w:jc w:val="both"/>
        <w:rPr>
          <w:rFonts w:ascii="Times New Roman" w:hAnsi="Times New Roman"/>
          <w:bCs/>
          <w:color w:val="000000"/>
          <w:sz w:val="24"/>
          <w:szCs w:val="24"/>
        </w:rPr>
      </w:pPr>
      <w:r w:rsidRPr="00BE35AE">
        <w:rPr>
          <w:rFonts w:ascii="Times New Roman" w:hAnsi="Times New Roman"/>
          <w:b/>
          <w:sz w:val="24"/>
          <w:szCs w:val="24"/>
        </w:rPr>
        <w:t xml:space="preserve">According to the Government’s </w:t>
      </w:r>
      <w:r w:rsidRPr="00BE35AE">
        <w:rPr>
          <w:rFonts w:ascii="Times New Roman" w:hAnsi="Times New Roman"/>
          <w:b/>
          <w:i/>
          <w:sz w:val="24"/>
          <w:szCs w:val="24"/>
        </w:rPr>
        <w:t>Roads of Belarus</w:t>
      </w:r>
      <w:r w:rsidRPr="00BE35AE">
        <w:rPr>
          <w:rFonts w:ascii="Times New Roman" w:hAnsi="Times New Roman"/>
          <w:b/>
          <w:sz w:val="24"/>
          <w:szCs w:val="24"/>
        </w:rPr>
        <w:t xml:space="preserve"> program, the development needs of the network entail spending additional BYR2,243 billion (US$ 756 million) on </w:t>
      </w:r>
      <w:r w:rsidR="008D30D0">
        <w:rPr>
          <w:rFonts w:ascii="Times New Roman" w:hAnsi="Times New Roman"/>
          <w:b/>
          <w:sz w:val="24"/>
          <w:szCs w:val="24"/>
        </w:rPr>
        <w:t>R</w:t>
      </w:r>
      <w:r w:rsidRPr="00BE35AE">
        <w:rPr>
          <w:rFonts w:ascii="Times New Roman" w:hAnsi="Times New Roman"/>
          <w:b/>
          <w:sz w:val="24"/>
          <w:szCs w:val="24"/>
        </w:rPr>
        <w:t>epublican roads over the period of 2011-2016</w:t>
      </w:r>
      <w:r w:rsidRPr="00BE35AE">
        <w:rPr>
          <w:rFonts w:ascii="Times New Roman" w:hAnsi="Times New Roman"/>
          <w:sz w:val="24"/>
          <w:szCs w:val="24"/>
        </w:rPr>
        <w:t xml:space="preserve">. As noted previously, the upgrading of </w:t>
      </w:r>
      <w:r w:rsidR="008D30D0">
        <w:rPr>
          <w:rFonts w:ascii="Times New Roman" w:hAnsi="Times New Roman"/>
          <w:sz w:val="24"/>
          <w:szCs w:val="24"/>
        </w:rPr>
        <w:t xml:space="preserve">certain sections of the </w:t>
      </w:r>
      <w:r w:rsidRPr="00BE35AE">
        <w:rPr>
          <w:rFonts w:ascii="Times New Roman" w:hAnsi="Times New Roman"/>
          <w:spacing w:val="-3"/>
          <w:sz w:val="24"/>
          <w:szCs w:val="24"/>
        </w:rPr>
        <w:t xml:space="preserve">M4 and M5 roads to Category 1 standard and the construction of a new ring road </w:t>
      </w:r>
      <w:r w:rsidRPr="00BE35AE">
        <w:rPr>
          <w:rFonts w:ascii="Times New Roman" w:hAnsi="Times New Roman"/>
          <w:spacing w:val="-3"/>
          <w:sz w:val="24"/>
          <w:szCs w:val="24"/>
        </w:rPr>
        <w:lastRenderedPageBreak/>
        <w:t xml:space="preserve">around Minsk have recently been identified as priority investments in the sector. The M5 upgrade project </w:t>
      </w:r>
      <w:r w:rsidR="008D30D0">
        <w:rPr>
          <w:rFonts w:ascii="Times New Roman" w:hAnsi="Times New Roman"/>
          <w:spacing w:val="-3"/>
          <w:sz w:val="24"/>
          <w:szCs w:val="24"/>
        </w:rPr>
        <w:t xml:space="preserve">(a section between Minsk – </w:t>
      </w:r>
      <w:proofErr w:type="spellStart"/>
      <w:r w:rsidR="008D30D0">
        <w:rPr>
          <w:rFonts w:ascii="Times New Roman" w:hAnsi="Times New Roman"/>
          <w:spacing w:val="-3"/>
          <w:sz w:val="24"/>
          <w:szCs w:val="24"/>
        </w:rPr>
        <w:t>Bobrujsk</w:t>
      </w:r>
      <w:proofErr w:type="spellEnd"/>
      <w:r w:rsidR="008D30D0">
        <w:rPr>
          <w:rFonts w:ascii="Times New Roman" w:hAnsi="Times New Roman"/>
          <w:spacing w:val="-3"/>
          <w:sz w:val="24"/>
          <w:szCs w:val="24"/>
        </w:rPr>
        <w:t xml:space="preserve">) </w:t>
      </w:r>
      <w:r w:rsidRPr="00BE35AE">
        <w:rPr>
          <w:rFonts w:ascii="Times New Roman" w:hAnsi="Times New Roman"/>
          <w:spacing w:val="-3"/>
          <w:sz w:val="24"/>
          <w:szCs w:val="24"/>
        </w:rPr>
        <w:t>is the first to be implemented,</w:t>
      </w:r>
      <w:r w:rsidR="00536846">
        <w:rPr>
          <w:rFonts w:ascii="Times New Roman" w:hAnsi="Times New Roman"/>
          <w:spacing w:val="-3"/>
          <w:sz w:val="24"/>
          <w:szCs w:val="24"/>
        </w:rPr>
        <w:t xml:space="preserve"> with funding from </w:t>
      </w:r>
      <w:proofErr w:type="gramStart"/>
      <w:r w:rsidR="00536846">
        <w:rPr>
          <w:rFonts w:ascii="Times New Roman" w:hAnsi="Times New Roman"/>
          <w:spacing w:val="-3"/>
          <w:sz w:val="24"/>
          <w:szCs w:val="24"/>
        </w:rPr>
        <w:t xml:space="preserve">the </w:t>
      </w:r>
      <w:r w:rsidRPr="00BE35AE">
        <w:rPr>
          <w:rFonts w:ascii="Times New Roman" w:hAnsi="Times New Roman"/>
          <w:spacing w:val="-3"/>
          <w:sz w:val="24"/>
          <w:szCs w:val="24"/>
        </w:rPr>
        <w:t xml:space="preserve"> World</w:t>
      </w:r>
      <w:proofErr w:type="gramEnd"/>
      <w:r w:rsidRPr="00BE35AE">
        <w:rPr>
          <w:rFonts w:ascii="Times New Roman" w:hAnsi="Times New Roman"/>
          <w:spacing w:val="-3"/>
          <w:sz w:val="24"/>
          <w:szCs w:val="24"/>
        </w:rPr>
        <w:t xml:space="preserve"> Bank loan. Building a new ring road around Minsk and upgrading the M4 road depend on the availability of financing and </w:t>
      </w:r>
      <w:r w:rsidR="008D30D0">
        <w:rPr>
          <w:rFonts w:ascii="Times New Roman" w:hAnsi="Times New Roman"/>
          <w:spacing w:val="-3"/>
          <w:sz w:val="24"/>
          <w:szCs w:val="24"/>
        </w:rPr>
        <w:t xml:space="preserve">are expected to be completed </w:t>
      </w:r>
      <w:r w:rsidRPr="00BE35AE">
        <w:rPr>
          <w:rFonts w:ascii="Times New Roman" w:hAnsi="Times New Roman"/>
          <w:spacing w:val="-3"/>
          <w:sz w:val="24"/>
          <w:szCs w:val="24"/>
        </w:rPr>
        <w:t xml:space="preserve">by 2014 and 2016 respectively. </w:t>
      </w:r>
      <w:r w:rsidR="008D30D0">
        <w:rPr>
          <w:rFonts w:ascii="Times New Roman" w:hAnsi="Times New Roman"/>
          <w:spacing w:val="-3"/>
          <w:sz w:val="24"/>
          <w:szCs w:val="24"/>
        </w:rPr>
        <w:t xml:space="preserve">The </w:t>
      </w:r>
      <w:r w:rsidRPr="00BE35AE">
        <w:rPr>
          <w:rFonts w:ascii="Times New Roman" w:hAnsi="Times New Roman"/>
          <w:spacing w:val="-3"/>
          <w:sz w:val="24"/>
          <w:szCs w:val="24"/>
        </w:rPr>
        <w:t>M4 and M5 projects are included in the “</w:t>
      </w:r>
      <w:r w:rsidRPr="00BE35AE">
        <w:rPr>
          <w:rFonts w:ascii="Times New Roman" w:hAnsi="Times New Roman"/>
          <w:i/>
          <w:spacing w:val="-3"/>
          <w:sz w:val="24"/>
          <w:szCs w:val="24"/>
        </w:rPr>
        <w:t>Roads of Belarus</w:t>
      </w:r>
      <w:r w:rsidRPr="00BE35AE">
        <w:rPr>
          <w:rFonts w:ascii="Times New Roman" w:hAnsi="Times New Roman"/>
          <w:spacing w:val="-3"/>
          <w:sz w:val="24"/>
          <w:szCs w:val="24"/>
        </w:rPr>
        <w:t xml:space="preserve">” program and thus reflect the Government’s long-term plan to improve the carrying capacity of those roads. The new ring road is not included in Roads of Belarus program but rather represents a new initiative by the Government to respond to increasing traffic demand in the Minsk area. For the Government, these three projects are central to developing the road network in the next 6 years. </w:t>
      </w:r>
      <w:r w:rsidR="008D30D0">
        <w:rPr>
          <w:rFonts w:ascii="Times New Roman" w:hAnsi="Times New Roman"/>
          <w:spacing w:val="-3"/>
          <w:sz w:val="24"/>
          <w:szCs w:val="24"/>
        </w:rPr>
        <w:t>A f</w:t>
      </w:r>
      <w:r w:rsidRPr="00BE35AE">
        <w:rPr>
          <w:rFonts w:ascii="Times New Roman" w:hAnsi="Times New Roman"/>
          <w:spacing w:val="-3"/>
          <w:sz w:val="24"/>
          <w:szCs w:val="24"/>
        </w:rPr>
        <w:t>easibility stud</w:t>
      </w:r>
      <w:r w:rsidR="008D30D0">
        <w:rPr>
          <w:rFonts w:ascii="Times New Roman" w:hAnsi="Times New Roman"/>
          <w:spacing w:val="-3"/>
          <w:sz w:val="24"/>
          <w:szCs w:val="24"/>
        </w:rPr>
        <w:t xml:space="preserve">y for the upgrading of a section of the M5 </w:t>
      </w:r>
      <w:r w:rsidR="00536846">
        <w:rPr>
          <w:rFonts w:ascii="Times New Roman" w:hAnsi="Times New Roman"/>
          <w:spacing w:val="-3"/>
          <w:sz w:val="24"/>
          <w:szCs w:val="24"/>
        </w:rPr>
        <w:t xml:space="preserve">between Minsk and </w:t>
      </w:r>
      <w:proofErr w:type="spellStart"/>
      <w:r w:rsidR="00536846">
        <w:rPr>
          <w:rFonts w:ascii="Times New Roman" w:hAnsi="Times New Roman"/>
          <w:spacing w:val="-3"/>
          <w:sz w:val="24"/>
          <w:szCs w:val="24"/>
        </w:rPr>
        <w:t>Bobrujsk</w:t>
      </w:r>
      <w:proofErr w:type="spellEnd"/>
      <w:r w:rsidR="00536846">
        <w:rPr>
          <w:rFonts w:ascii="Times New Roman" w:hAnsi="Times New Roman"/>
          <w:spacing w:val="-3"/>
          <w:sz w:val="24"/>
          <w:szCs w:val="24"/>
        </w:rPr>
        <w:t xml:space="preserve"> </w:t>
      </w:r>
      <w:r w:rsidR="008D30D0">
        <w:rPr>
          <w:rFonts w:ascii="Times New Roman" w:hAnsi="Times New Roman"/>
          <w:spacing w:val="-3"/>
          <w:sz w:val="24"/>
          <w:szCs w:val="24"/>
        </w:rPr>
        <w:t xml:space="preserve">has been completed, confirming the economic viability of the project.  </w:t>
      </w:r>
      <w:r w:rsidR="005E031F">
        <w:rPr>
          <w:rFonts w:ascii="Times New Roman" w:hAnsi="Times New Roman"/>
          <w:spacing w:val="-3"/>
          <w:sz w:val="24"/>
          <w:szCs w:val="24"/>
        </w:rPr>
        <w:t xml:space="preserve">The feasibility studies for the other two projects </w:t>
      </w:r>
      <w:r w:rsidRPr="00BE35AE">
        <w:rPr>
          <w:rFonts w:ascii="Times New Roman" w:hAnsi="Times New Roman"/>
          <w:spacing w:val="-3"/>
          <w:sz w:val="24"/>
          <w:szCs w:val="24"/>
        </w:rPr>
        <w:t>are currently under preparation</w:t>
      </w:r>
      <w:r w:rsidR="005E031F">
        <w:rPr>
          <w:rFonts w:ascii="Times New Roman" w:hAnsi="Times New Roman"/>
          <w:spacing w:val="-3"/>
          <w:sz w:val="24"/>
          <w:szCs w:val="24"/>
        </w:rPr>
        <w:t xml:space="preserve">. </w:t>
      </w:r>
      <w:r w:rsidRPr="00BE35AE">
        <w:rPr>
          <w:rFonts w:ascii="Times New Roman" w:hAnsi="Times New Roman"/>
          <w:spacing w:val="-3"/>
          <w:sz w:val="24"/>
          <w:szCs w:val="24"/>
        </w:rPr>
        <w:t>Whether the M4 upgrade and the new ring road can be economically justified w</w:t>
      </w:r>
      <w:r w:rsidR="005E031F">
        <w:rPr>
          <w:rFonts w:ascii="Times New Roman" w:hAnsi="Times New Roman"/>
          <w:spacing w:val="-3"/>
          <w:sz w:val="24"/>
          <w:szCs w:val="24"/>
        </w:rPr>
        <w:t xml:space="preserve">ill essentially </w:t>
      </w:r>
      <w:r w:rsidRPr="00BE35AE">
        <w:rPr>
          <w:rFonts w:ascii="Times New Roman" w:hAnsi="Times New Roman"/>
          <w:spacing w:val="-3"/>
          <w:sz w:val="24"/>
          <w:szCs w:val="24"/>
        </w:rPr>
        <w:t xml:space="preserve">depend on </w:t>
      </w:r>
      <w:r w:rsidR="005E031F">
        <w:rPr>
          <w:rFonts w:ascii="Times New Roman" w:hAnsi="Times New Roman"/>
          <w:spacing w:val="-3"/>
          <w:sz w:val="24"/>
          <w:szCs w:val="24"/>
        </w:rPr>
        <w:t xml:space="preserve">the </w:t>
      </w:r>
      <w:r w:rsidRPr="00BE35AE">
        <w:rPr>
          <w:rFonts w:ascii="Times New Roman" w:hAnsi="Times New Roman"/>
          <w:spacing w:val="-3"/>
          <w:sz w:val="24"/>
          <w:szCs w:val="24"/>
        </w:rPr>
        <w:t xml:space="preserve">results of </w:t>
      </w:r>
      <w:r w:rsidR="005E031F">
        <w:rPr>
          <w:rFonts w:ascii="Times New Roman" w:hAnsi="Times New Roman"/>
          <w:spacing w:val="-3"/>
          <w:sz w:val="24"/>
          <w:szCs w:val="24"/>
        </w:rPr>
        <w:t xml:space="preserve">the </w:t>
      </w:r>
      <w:r w:rsidRPr="00BE35AE">
        <w:rPr>
          <w:rFonts w:ascii="Times New Roman" w:hAnsi="Times New Roman"/>
          <w:spacing w:val="-3"/>
          <w:sz w:val="24"/>
          <w:szCs w:val="24"/>
        </w:rPr>
        <w:t>traffic demand analysis</w:t>
      </w:r>
      <w:r w:rsidR="005E031F">
        <w:rPr>
          <w:rFonts w:ascii="Times New Roman" w:hAnsi="Times New Roman"/>
          <w:spacing w:val="-3"/>
          <w:sz w:val="24"/>
          <w:szCs w:val="24"/>
        </w:rPr>
        <w:t xml:space="preserve">. </w:t>
      </w:r>
    </w:p>
    <w:p w:rsidR="00BE35AE" w:rsidRPr="00BE35AE" w:rsidRDefault="00B54707" w:rsidP="00BE35AE">
      <w:pPr>
        <w:pStyle w:val="ListParagraph"/>
        <w:numPr>
          <w:ilvl w:val="0"/>
          <w:numId w:val="9"/>
        </w:numPr>
        <w:tabs>
          <w:tab w:val="clear" w:pos="720"/>
          <w:tab w:val="left" w:pos="0"/>
        </w:tabs>
        <w:spacing w:after="120" w:line="240" w:lineRule="auto"/>
        <w:ind w:left="0" w:firstLine="0"/>
        <w:contextualSpacing w:val="0"/>
        <w:jc w:val="both"/>
        <w:rPr>
          <w:rFonts w:ascii="Times New Roman" w:hAnsi="Times New Roman"/>
          <w:bCs/>
          <w:color w:val="000000"/>
          <w:sz w:val="24"/>
          <w:szCs w:val="24"/>
        </w:rPr>
      </w:pPr>
      <w:r w:rsidRPr="00BE35AE">
        <w:rPr>
          <w:rFonts w:ascii="Times New Roman" w:hAnsi="Times New Roman"/>
          <w:b/>
          <w:sz w:val="24"/>
          <w:szCs w:val="24"/>
        </w:rPr>
        <w:t xml:space="preserve">A significant financing </w:t>
      </w:r>
      <w:r w:rsidR="002553BA">
        <w:rPr>
          <w:rFonts w:ascii="Times New Roman" w:hAnsi="Times New Roman"/>
          <w:b/>
          <w:sz w:val="24"/>
          <w:szCs w:val="24"/>
        </w:rPr>
        <w:t>need</w:t>
      </w:r>
      <w:r w:rsidR="002553BA" w:rsidRPr="00BE35AE">
        <w:rPr>
          <w:rFonts w:ascii="Times New Roman" w:hAnsi="Times New Roman"/>
          <w:b/>
          <w:sz w:val="24"/>
          <w:szCs w:val="24"/>
        </w:rPr>
        <w:t xml:space="preserve"> </w:t>
      </w:r>
      <w:r w:rsidRPr="00BE35AE">
        <w:rPr>
          <w:rFonts w:ascii="Times New Roman" w:hAnsi="Times New Roman"/>
          <w:b/>
          <w:sz w:val="24"/>
          <w:szCs w:val="24"/>
        </w:rPr>
        <w:t xml:space="preserve">exists in the area of road infrastructure; but this relates not only to the level of spending but also to the </w:t>
      </w:r>
      <w:r w:rsidR="002553BA">
        <w:rPr>
          <w:rFonts w:ascii="Times New Roman" w:hAnsi="Times New Roman"/>
          <w:b/>
          <w:sz w:val="24"/>
          <w:szCs w:val="24"/>
        </w:rPr>
        <w:t>management</w:t>
      </w:r>
      <w:r w:rsidR="00310EC7">
        <w:rPr>
          <w:rFonts w:ascii="Times New Roman" w:hAnsi="Times New Roman"/>
          <w:b/>
          <w:sz w:val="24"/>
          <w:szCs w:val="24"/>
        </w:rPr>
        <w:t xml:space="preserve"> and allocation</w:t>
      </w:r>
      <w:r w:rsidR="002553BA">
        <w:rPr>
          <w:rFonts w:ascii="Times New Roman" w:hAnsi="Times New Roman"/>
          <w:b/>
          <w:sz w:val="24"/>
          <w:szCs w:val="24"/>
        </w:rPr>
        <w:t xml:space="preserve"> of these funds</w:t>
      </w:r>
      <w:r w:rsidR="00310EC7">
        <w:rPr>
          <w:rFonts w:ascii="Times New Roman" w:hAnsi="Times New Roman"/>
          <w:b/>
          <w:sz w:val="24"/>
          <w:szCs w:val="24"/>
        </w:rPr>
        <w:t xml:space="preserve">, in terms of efficiency of road maintenance related </w:t>
      </w:r>
      <w:r w:rsidR="00104EEF">
        <w:rPr>
          <w:rFonts w:ascii="Times New Roman" w:hAnsi="Times New Roman"/>
          <w:b/>
          <w:sz w:val="24"/>
          <w:szCs w:val="24"/>
        </w:rPr>
        <w:t>activities</w:t>
      </w:r>
      <w:r w:rsidR="00310EC7">
        <w:rPr>
          <w:rFonts w:ascii="Times New Roman" w:hAnsi="Times New Roman"/>
          <w:b/>
          <w:sz w:val="24"/>
          <w:szCs w:val="24"/>
        </w:rPr>
        <w:t xml:space="preserve"> and level of service</w:t>
      </w:r>
      <w:r w:rsidR="00262B32">
        <w:rPr>
          <w:rFonts w:ascii="Times New Roman" w:hAnsi="Times New Roman"/>
          <w:b/>
          <w:sz w:val="24"/>
          <w:szCs w:val="24"/>
        </w:rPr>
        <w:t>s</w:t>
      </w:r>
      <w:r w:rsidRPr="00BE35AE">
        <w:rPr>
          <w:rFonts w:ascii="Times New Roman" w:hAnsi="Times New Roman"/>
          <w:sz w:val="24"/>
          <w:szCs w:val="24"/>
        </w:rPr>
        <w:t xml:space="preserve">. There appears to be a significant financing gap without considering development plan requirements in the sector. Road network sustainability requires the timely execution of routine and periodic maintenance, which is in turn dependent on the existence of a steady and adequate flow of funds, good management, sufficient implementation capacity, and effective use of funds. While the issue of sufficient finance is a necessary condition, it is not a sufficient condition. The need to improve </w:t>
      </w:r>
      <w:r w:rsidR="00310EC7">
        <w:rPr>
          <w:rFonts w:ascii="Times New Roman" w:hAnsi="Times New Roman"/>
          <w:sz w:val="24"/>
          <w:szCs w:val="24"/>
        </w:rPr>
        <w:t>efficiency of road maintenance related activities</w:t>
      </w:r>
      <w:r w:rsidRPr="00BE35AE">
        <w:rPr>
          <w:rFonts w:ascii="Times New Roman" w:hAnsi="Times New Roman"/>
          <w:sz w:val="24"/>
          <w:szCs w:val="24"/>
        </w:rPr>
        <w:t xml:space="preserve"> is of equal, if not higher rank.</w:t>
      </w:r>
    </w:p>
    <w:p w:rsidR="009D106A" w:rsidRPr="00BE35AE" w:rsidRDefault="00B54707" w:rsidP="00BE35AE">
      <w:pPr>
        <w:pStyle w:val="ListParagraph"/>
        <w:numPr>
          <w:ilvl w:val="0"/>
          <w:numId w:val="9"/>
        </w:numPr>
        <w:tabs>
          <w:tab w:val="clear" w:pos="720"/>
          <w:tab w:val="left" w:pos="0"/>
        </w:tabs>
        <w:spacing w:after="120" w:line="240" w:lineRule="auto"/>
        <w:ind w:left="0" w:firstLine="0"/>
        <w:contextualSpacing w:val="0"/>
        <w:jc w:val="both"/>
        <w:rPr>
          <w:rFonts w:ascii="Times New Roman" w:hAnsi="Times New Roman"/>
          <w:bCs/>
          <w:color w:val="000000"/>
          <w:sz w:val="24"/>
          <w:szCs w:val="24"/>
        </w:rPr>
      </w:pPr>
      <w:r w:rsidRPr="00BE35AE">
        <w:rPr>
          <w:rFonts w:ascii="Times New Roman" w:hAnsi="Times New Roman"/>
          <w:b/>
          <w:sz w:val="24"/>
          <w:szCs w:val="24"/>
        </w:rPr>
        <w:t xml:space="preserve">The Government plans to close part of the financing </w:t>
      </w:r>
      <w:r w:rsidR="00943104">
        <w:rPr>
          <w:rFonts w:ascii="Times New Roman" w:hAnsi="Times New Roman"/>
          <w:b/>
          <w:sz w:val="24"/>
          <w:szCs w:val="24"/>
        </w:rPr>
        <w:t>need</w:t>
      </w:r>
      <w:r w:rsidR="00943104" w:rsidRPr="00BE35AE">
        <w:rPr>
          <w:rFonts w:ascii="Times New Roman" w:hAnsi="Times New Roman"/>
          <w:b/>
          <w:sz w:val="24"/>
          <w:szCs w:val="24"/>
        </w:rPr>
        <w:t xml:space="preserve"> </w:t>
      </w:r>
      <w:r w:rsidRPr="00BE35AE">
        <w:rPr>
          <w:rFonts w:ascii="Times New Roman" w:hAnsi="Times New Roman"/>
          <w:b/>
          <w:sz w:val="24"/>
          <w:szCs w:val="24"/>
        </w:rPr>
        <w:t xml:space="preserve">in the road sector through the collection of road tolls. </w:t>
      </w:r>
      <w:r w:rsidRPr="00BE35AE">
        <w:rPr>
          <w:rFonts w:ascii="Times New Roman" w:hAnsi="Times New Roman"/>
          <w:sz w:val="24"/>
          <w:szCs w:val="24"/>
        </w:rPr>
        <w:t>With the abolition of Road Fund and the associated 1 percent turnover tax on businesses</w:t>
      </w:r>
      <w:r w:rsidR="00111D71">
        <w:rPr>
          <w:rFonts w:ascii="Times New Roman" w:hAnsi="Times New Roman"/>
          <w:sz w:val="24"/>
          <w:szCs w:val="24"/>
        </w:rPr>
        <w:t>,</w:t>
      </w:r>
      <w:r w:rsidRPr="00BE35AE">
        <w:rPr>
          <w:rFonts w:ascii="Times New Roman" w:hAnsi="Times New Roman"/>
          <w:sz w:val="24"/>
          <w:szCs w:val="24"/>
        </w:rPr>
        <w:t xml:space="preserve"> cost recovery in the road sector relies mainly on fuel taxes with some contribution from road user charges. Toll revenues would increase financial resources available for the road sector</w:t>
      </w:r>
      <w:r w:rsidR="00943104">
        <w:rPr>
          <w:rFonts w:ascii="Times New Roman" w:hAnsi="Times New Roman"/>
          <w:sz w:val="24"/>
          <w:szCs w:val="24"/>
        </w:rPr>
        <w:t xml:space="preserve"> through a greater available government budget</w:t>
      </w:r>
      <w:r w:rsidRPr="00BE35AE">
        <w:rPr>
          <w:rFonts w:ascii="Times New Roman" w:hAnsi="Times New Roman"/>
          <w:sz w:val="24"/>
          <w:szCs w:val="24"/>
        </w:rPr>
        <w:t>, which could be used to cover not only the basic maintenance needs but also improve network characteristics.</w:t>
      </w:r>
      <w:r w:rsidR="00C0587A">
        <w:rPr>
          <w:rFonts w:ascii="Times New Roman" w:hAnsi="Times New Roman"/>
          <w:sz w:val="24"/>
          <w:szCs w:val="24"/>
        </w:rPr>
        <w:t xml:space="preserve"> The World Bank fully supports the Government’s strategy to expand road tolling to the main motorways and to introduce modern free-flow tolling technology.  </w:t>
      </w:r>
    </w:p>
    <w:p w:rsidR="001F55E1" w:rsidRDefault="00B04B06" w:rsidP="00963581">
      <w:pPr>
        <w:pStyle w:val="Heading1a"/>
      </w:pPr>
      <w:bookmarkStart w:id="176" w:name="_Toc282029951"/>
      <w:r>
        <w:lastRenderedPageBreak/>
        <w:t xml:space="preserve">5. </w:t>
      </w:r>
      <w:r w:rsidR="002E3059">
        <w:t xml:space="preserve"> </w:t>
      </w:r>
      <w:r w:rsidR="006D7C30">
        <w:t>The R</w:t>
      </w:r>
      <w:r>
        <w:t>ailway Sector</w:t>
      </w:r>
      <w:bookmarkEnd w:id="176"/>
    </w:p>
    <w:p w:rsidR="009D106A" w:rsidRPr="007777E2" w:rsidRDefault="009D106A" w:rsidP="009D106A">
      <w:pPr>
        <w:pStyle w:val="Heading3"/>
        <w:spacing w:after="240"/>
      </w:pPr>
      <w:bookmarkStart w:id="177" w:name="_Toc282029952"/>
      <w:r w:rsidRPr="007777E2">
        <w:rPr>
          <w:rFonts w:ascii="Times New Roman" w:hAnsi="Times New Roman" w:cs="Times New Roman"/>
          <w:sz w:val="24"/>
          <w:szCs w:val="24"/>
        </w:rPr>
        <w:t>Railway Infrastructure and Service Provision</w:t>
      </w:r>
      <w:bookmarkEnd w:id="177"/>
    </w:p>
    <w:p w:rsidR="009D106A" w:rsidRPr="00FC5575" w:rsidRDefault="00FC5575" w:rsidP="00FC5575">
      <w:pPr>
        <w:numPr>
          <w:ilvl w:val="0"/>
          <w:numId w:val="20"/>
        </w:numPr>
        <w:autoSpaceDE w:val="0"/>
        <w:autoSpaceDN w:val="0"/>
        <w:adjustRightInd w:val="0"/>
        <w:spacing w:after="120"/>
        <w:ind w:left="0" w:firstLine="0"/>
        <w:jc w:val="both"/>
      </w:pPr>
      <w:r>
        <w:rPr>
          <w:b/>
        </w:rPr>
        <w:tab/>
      </w:r>
      <w:r w:rsidR="009D106A" w:rsidRPr="00FC5575">
        <w:rPr>
          <w:b/>
        </w:rPr>
        <w:t xml:space="preserve">The density and accessibility of the railway network in Belarus is comparable to other Central European countries.  </w:t>
      </w:r>
      <w:r w:rsidR="009D106A" w:rsidRPr="00FC5575">
        <w:t xml:space="preserve">In general, the network density for railway lines at the national level is high in central Europe (including the Benelux countries, Germany, Czech Republic and Poland) and lower in the peripheral countries (including Scandinavia, the Iberian peninsula, western France, the Baltic States, Turkey, and Bulgaria). The highest network density can be found in the Czech Republic, Belgium, Luxembourg, and Germany (all above 100 km/1,000 km2). These nations are followed by Hungary, Austria, Poland, United Kingdom, Netherlands, and Slovakia with 65–80 km/1,000 km2. At the lower end of the range are Norway, Finland, Turkey, Greece, and </w:t>
      </w:r>
      <w:r w:rsidR="005E031F" w:rsidRPr="00FC5575">
        <w:t xml:space="preserve">the </w:t>
      </w:r>
      <w:r w:rsidR="009D106A" w:rsidRPr="00FC5575">
        <w:t>Baltic countries with values of 20 km /1,000 km2 or below.</w:t>
      </w:r>
      <w:r w:rsidR="009D106A" w:rsidRPr="005A21CD">
        <w:rPr>
          <w:sz w:val="22"/>
          <w:vertAlign w:val="superscript"/>
        </w:rPr>
        <w:footnoteReference w:id="30"/>
      </w:r>
      <w:r w:rsidR="009D106A" w:rsidRPr="00FC5575">
        <w:t xml:space="preserve"> With 26.5 km/1,000 km2, Belarus has a railway network density similar to the other countries in the same region of the continent. Since 1990, there has been a significant drop in rail freight transport in many Central and Eastern European countries in terms of both total volume and modal share. Many of these countries have therefore reduced the size of their rail networks and as a result, the densities of their railway networks have decreased. This is not the case in Belarus where the railway transportation market is still significant and the traffic intensity is very high—well above the European average.</w:t>
      </w:r>
    </w:p>
    <w:p w:rsidR="009D106A" w:rsidRPr="00FC5575" w:rsidRDefault="00FC5575" w:rsidP="00FC5575">
      <w:pPr>
        <w:pStyle w:val="Style3"/>
        <w:rPr>
          <w:b w:val="0"/>
        </w:rPr>
      </w:pPr>
      <w:r>
        <w:tab/>
      </w:r>
      <w:r w:rsidR="009D106A" w:rsidRPr="00FC5575">
        <w:t xml:space="preserve">The technical condition of railway infrastructure is satisfactory. </w:t>
      </w:r>
      <w:r w:rsidR="009D106A" w:rsidRPr="00FC5575">
        <w:rPr>
          <w:b w:val="0"/>
        </w:rPr>
        <w:t>The Belarusian railway infrastructure needs an annual rhythm of track renewal works of about 175-250 km in order to preserve the designed parameters of operations</w:t>
      </w:r>
      <w:r w:rsidR="009D106A" w:rsidRPr="005A21CD">
        <w:rPr>
          <w:b w:val="0"/>
          <w:vertAlign w:val="superscript"/>
        </w:rPr>
        <w:footnoteReference w:id="31"/>
      </w:r>
      <w:r w:rsidR="009D106A" w:rsidRPr="00FC5575">
        <w:rPr>
          <w:b w:val="0"/>
        </w:rPr>
        <w:t xml:space="preserve"> on the existing 5,514.4 km of railway lines. Belarusian Railways has generally been able to carry out the necessary annual track renewal, thus avoiding the accumulation of backlogs and allowing the operation of traffic according to the designed functional parameters of the railway infrastructure. </w:t>
      </w:r>
      <w:r w:rsidR="00F5412F" w:rsidRPr="00FC5575">
        <w:rPr>
          <w:b w:val="0"/>
        </w:rPr>
        <w:t xml:space="preserve">Table 14 </w:t>
      </w:r>
      <w:r w:rsidR="009D106A" w:rsidRPr="00FC5575">
        <w:rPr>
          <w:b w:val="0"/>
        </w:rPr>
        <w:t>presents the track renewal works executed since 2004 compared with the annual needs.</w:t>
      </w:r>
    </w:p>
    <w:tbl>
      <w:tblPr>
        <w:tblStyle w:val="TableGrid"/>
        <w:tblW w:w="0" w:type="auto"/>
        <w:tblLook w:val="04A0"/>
      </w:tblPr>
      <w:tblGrid>
        <w:gridCol w:w="4700"/>
        <w:gridCol w:w="4876"/>
      </w:tblGrid>
      <w:tr w:rsidR="009D106A" w:rsidRPr="007777E2" w:rsidTr="00093652">
        <w:tc>
          <w:tcPr>
            <w:tcW w:w="4788" w:type="dxa"/>
          </w:tcPr>
          <w:p w:rsidR="009D106A" w:rsidRPr="007777E2" w:rsidRDefault="009D106A" w:rsidP="00093652">
            <w:pPr>
              <w:pStyle w:val="Caption"/>
              <w:keepNext/>
              <w:rPr>
                <w:color w:val="auto"/>
                <w:sz w:val="22"/>
                <w:szCs w:val="22"/>
              </w:rPr>
            </w:pPr>
            <w:bookmarkStart w:id="178" w:name="_Toc264227141"/>
            <w:r w:rsidRPr="007777E2">
              <w:rPr>
                <w:color w:val="auto"/>
                <w:sz w:val="22"/>
                <w:szCs w:val="22"/>
              </w:rPr>
              <w:lastRenderedPageBreak/>
              <w:t xml:space="preserve">Table </w:t>
            </w:r>
            <w:r w:rsidR="006B40AE" w:rsidRPr="007777E2">
              <w:rPr>
                <w:color w:val="auto"/>
                <w:sz w:val="22"/>
                <w:szCs w:val="22"/>
              </w:rPr>
              <w:fldChar w:fldCharType="begin"/>
            </w:r>
            <w:r w:rsidRPr="007777E2">
              <w:rPr>
                <w:color w:val="auto"/>
                <w:sz w:val="22"/>
                <w:szCs w:val="22"/>
              </w:rPr>
              <w:instrText xml:space="preserve"> SEQ Table \* ARABIC </w:instrText>
            </w:r>
            <w:r w:rsidR="006B40AE" w:rsidRPr="007777E2">
              <w:rPr>
                <w:color w:val="auto"/>
                <w:sz w:val="22"/>
                <w:szCs w:val="22"/>
              </w:rPr>
              <w:fldChar w:fldCharType="separate"/>
            </w:r>
            <w:r w:rsidR="009E2C86">
              <w:rPr>
                <w:noProof/>
                <w:color w:val="auto"/>
                <w:sz w:val="22"/>
                <w:szCs w:val="22"/>
              </w:rPr>
              <w:t>14</w:t>
            </w:r>
            <w:r w:rsidR="006B40AE" w:rsidRPr="007777E2">
              <w:rPr>
                <w:color w:val="auto"/>
                <w:sz w:val="22"/>
                <w:szCs w:val="22"/>
              </w:rPr>
              <w:fldChar w:fldCharType="end"/>
            </w:r>
            <w:r w:rsidRPr="007777E2">
              <w:rPr>
                <w:color w:val="auto"/>
                <w:sz w:val="22"/>
                <w:szCs w:val="22"/>
              </w:rPr>
              <w:t>. Belarusian Railways: Annual Track Renewal Works 2004-2008 (</w:t>
            </w:r>
            <w:proofErr w:type="spellStart"/>
            <w:r w:rsidRPr="007777E2">
              <w:rPr>
                <w:color w:val="auto"/>
                <w:sz w:val="22"/>
                <w:szCs w:val="22"/>
              </w:rPr>
              <w:t>kms</w:t>
            </w:r>
            <w:proofErr w:type="spellEnd"/>
            <w:r w:rsidRPr="007777E2">
              <w:rPr>
                <w:color w:val="auto"/>
                <w:sz w:val="22"/>
                <w:szCs w:val="22"/>
              </w:rPr>
              <w:t>)</w:t>
            </w:r>
            <w:bookmarkEnd w:id="178"/>
          </w:p>
          <w:p w:rsidR="009D106A" w:rsidRPr="007777E2" w:rsidRDefault="009D106A" w:rsidP="00093652"/>
          <w:tbl>
            <w:tblPr>
              <w:tblW w:w="4528" w:type="dxa"/>
              <w:tblBorders>
                <w:top w:val="single" w:sz="4" w:space="0" w:color="auto"/>
                <w:bottom w:val="single" w:sz="4" w:space="0" w:color="auto"/>
                <w:insideH w:val="single" w:sz="4" w:space="0" w:color="auto"/>
              </w:tblBorders>
              <w:tblLook w:val="04A0"/>
            </w:tblPr>
            <w:tblGrid>
              <w:gridCol w:w="940"/>
              <w:gridCol w:w="764"/>
              <w:gridCol w:w="695"/>
              <w:gridCol w:w="695"/>
              <w:gridCol w:w="695"/>
              <w:gridCol w:w="695"/>
            </w:tblGrid>
            <w:tr w:rsidR="009D106A" w:rsidRPr="00434074" w:rsidTr="00093652">
              <w:trPr>
                <w:trHeight w:val="384"/>
              </w:trPr>
              <w:tc>
                <w:tcPr>
                  <w:tcW w:w="949" w:type="dxa"/>
                  <w:shd w:val="clear" w:color="auto" w:fill="auto"/>
                  <w:noWrap/>
                  <w:vAlign w:val="bottom"/>
                  <w:hideMark/>
                </w:tcPr>
                <w:p w:rsidR="009D106A" w:rsidRPr="00434074" w:rsidRDefault="009D106A" w:rsidP="00093652">
                  <w:pPr>
                    <w:rPr>
                      <w:rFonts w:asciiTheme="minorHAnsi" w:hAnsiTheme="minorHAnsi" w:cs="Arial"/>
                      <w:sz w:val="16"/>
                      <w:szCs w:val="16"/>
                    </w:rPr>
                  </w:pPr>
                  <w:r w:rsidRPr="00434074">
                    <w:rPr>
                      <w:rFonts w:asciiTheme="minorHAnsi" w:hAnsiTheme="minorHAnsi" w:cs="Arial"/>
                      <w:sz w:val="16"/>
                      <w:szCs w:val="16"/>
                    </w:rPr>
                    <w:t>Year</w:t>
                  </w:r>
                </w:p>
              </w:tc>
              <w:tc>
                <w:tcPr>
                  <w:tcW w:w="771" w:type="dxa"/>
                  <w:shd w:val="clear" w:color="auto" w:fill="auto"/>
                  <w:noWrap/>
                  <w:vAlign w:val="bottom"/>
                  <w:hideMark/>
                </w:tcPr>
                <w:p w:rsidR="009D106A" w:rsidRPr="00434074" w:rsidRDefault="009D106A" w:rsidP="00093652">
                  <w:pPr>
                    <w:jc w:val="right"/>
                    <w:rPr>
                      <w:rFonts w:asciiTheme="minorHAnsi" w:hAnsiTheme="minorHAnsi"/>
                      <w:color w:val="000000"/>
                      <w:sz w:val="16"/>
                      <w:szCs w:val="16"/>
                    </w:rPr>
                  </w:pPr>
                  <w:r w:rsidRPr="00434074">
                    <w:rPr>
                      <w:rFonts w:asciiTheme="minorHAnsi" w:hAnsiTheme="minorHAnsi"/>
                      <w:color w:val="000000"/>
                      <w:sz w:val="16"/>
                      <w:szCs w:val="16"/>
                    </w:rPr>
                    <w:t>2004</w:t>
                  </w:r>
                </w:p>
              </w:tc>
              <w:tc>
                <w:tcPr>
                  <w:tcW w:w="702" w:type="dxa"/>
                  <w:shd w:val="clear" w:color="auto" w:fill="auto"/>
                  <w:noWrap/>
                  <w:vAlign w:val="bottom"/>
                  <w:hideMark/>
                </w:tcPr>
                <w:p w:rsidR="009D106A" w:rsidRPr="00434074" w:rsidRDefault="009D106A" w:rsidP="00093652">
                  <w:pPr>
                    <w:jc w:val="right"/>
                    <w:rPr>
                      <w:rFonts w:asciiTheme="minorHAnsi" w:hAnsiTheme="minorHAnsi"/>
                      <w:color w:val="000000"/>
                      <w:sz w:val="16"/>
                      <w:szCs w:val="16"/>
                    </w:rPr>
                  </w:pPr>
                  <w:r w:rsidRPr="00434074">
                    <w:rPr>
                      <w:rFonts w:asciiTheme="minorHAnsi" w:hAnsiTheme="minorHAnsi"/>
                      <w:color w:val="000000"/>
                      <w:sz w:val="16"/>
                      <w:szCs w:val="16"/>
                    </w:rPr>
                    <w:t>2005</w:t>
                  </w:r>
                </w:p>
              </w:tc>
              <w:tc>
                <w:tcPr>
                  <w:tcW w:w="702" w:type="dxa"/>
                  <w:shd w:val="clear" w:color="auto" w:fill="auto"/>
                  <w:noWrap/>
                  <w:vAlign w:val="bottom"/>
                  <w:hideMark/>
                </w:tcPr>
                <w:p w:rsidR="009D106A" w:rsidRPr="00434074" w:rsidRDefault="009D106A" w:rsidP="00093652">
                  <w:pPr>
                    <w:jc w:val="right"/>
                    <w:rPr>
                      <w:rFonts w:asciiTheme="minorHAnsi" w:hAnsiTheme="minorHAnsi"/>
                      <w:color w:val="000000"/>
                      <w:sz w:val="16"/>
                      <w:szCs w:val="16"/>
                    </w:rPr>
                  </w:pPr>
                  <w:r w:rsidRPr="00434074">
                    <w:rPr>
                      <w:rFonts w:asciiTheme="minorHAnsi" w:hAnsiTheme="minorHAnsi"/>
                      <w:color w:val="000000"/>
                      <w:sz w:val="16"/>
                      <w:szCs w:val="16"/>
                    </w:rPr>
                    <w:t>2006</w:t>
                  </w:r>
                </w:p>
              </w:tc>
              <w:tc>
                <w:tcPr>
                  <w:tcW w:w="702" w:type="dxa"/>
                  <w:shd w:val="clear" w:color="auto" w:fill="auto"/>
                  <w:noWrap/>
                  <w:vAlign w:val="bottom"/>
                  <w:hideMark/>
                </w:tcPr>
                <w:p w:rsidR="009D106A" w:rsidRPr="00434074" w:rsidRDefault="009D106A" w:rsidP="00093652">
                  <w:pPr>
                    <w:jc w:val="right"/>
                    <w:rPr>
                      <w:rFonts w:asciiTheme="minorHAnsi" w:hAnsiTheme="minorHAnsi"/>
                      <w:color w:val="000000"/>
                      <w:sz w:val="16"/>
                      <w:szCs w:val="16"/>
                    </w:rPr>
                  </w:pPr>
                  <w:r w:rsidRPr="00434074">
                    <w:rPr>
                      <w:rFonts w:asciiTheme="minorHAnsi" w:hAnsiTheme="minorHAnsi"/>
                      <w:color w:val="000000"/>
                      <w:sz w:val="16"/>
                      <w:szCs w:val="16"/>
                    </w:rPr>
                    <w:t>2007</w:t>
                  </w:r>
                </w:p>
              </w:tc>
              <w:tc>
                <w:tcPr>
                  <w:tcW w:w="702" w:type="dxa"/>
                  <w:shd w:val="clear" w:color="auto" w:fill="auto"/>
                  <w:noWrap/>
                  <w:vAlign w:val="bottom"/>
                  <w:hideMark/>
                </w:tcPr>
                <w:p w:rsidR="009D106A" w:rsidRPr="00434074" w:rsidRDefault="009D106A" w:rsidP="00093652">
                  <w:pPr>
                    <w:jc w:val="right"/>
                    <w:rPr>
                      <w:rFonts w:asciiTheme="minorHAnsi" w:hAnsiTheme="minorHAnsi"/>
                      <w:color w:val="000000"/>
                      <w:sz w:val="16"/>
                      <w:szCs w:val="16"/>
                    </w:rPr>
                  </w:pPr>
                  <w:r w:rsidRPr="00434074">
                    <w:rPr>
                      <w:rFonts w:asciiTheme="minorHAnsi" w:hAnsiTheme="minorHAnsi"/>
                      <w:color w:val="000000"/>
                      <w:sz w:val="16"/>
                      <w:szCs w:val="16"/>
                    </w:rPr>
                    <w:t>2008</w:t>
                  </w:r>
                </w:p>
              </w:tc>
            </w:tr>
            <w:tr w:rsidR="009D106A" w:rsidRPr="00434074" w:rsidTr="00093652">
              <w:trPr>
                <w:trHeight w:val="384"/>
              </w:trPr>
              <w:tc>
                <w:tcPr>
                  <w:tcW w:w="949" w:type="dxa"/>
                  <w:shd w:val="clear" w:color="auto" w:fill="auto"/>
                  <w:noWrap/>
                  <w:vAlign w:val="bottom"/>
                  <w:hideMark/>
                </w:tcPr>
                <w:p w:rsidR="009D106A" w:rsidRPr="00434074" w:rsidRDefault="009D106A" w:rsidP="00093652">
                  <w:pPr>
                    <w:rPr>
                      <w:rFonts w:asciiTheme="minorHAnsi" w:hAnsiTheme="minorHAnsi" w:cs="Arial"/>
                      <w:sz w:val="16"/>
                      <w:szCs w:val="16"/>
                    </w:rPr>
                  </w:pPr>
                  <w:r w:rsidRPr="00434074">
                    <w:rPr>
                      <w:rFonts w:asciiTheme="minorHAnsi" w:hAnsiTheme="minorHAnsi" w:cs="Arial"/>
                      <w:sz w:val="16"/>
                      <w:szCs w:val="16"/>
                    </w:rPr>
                    <w:t>Planned</w:t>
                  </w:r>
                </w:p>
              </w:tc>
              <w:tc>
                <w:tcPr>
                  <w:tcW w:w="771" w:type="dxa"/>
                  <w:shd w:val="clear" w:color="auto" w:fill="auto"/>
                  <w:noWrap/>
                  <w:vAlign w:val="bottom"/>
                  <w:hideMark/>
                </w:tcPr>
                <w:p w:rsidR="009D106A" w:rsidRPr="00434074" w:rsidRDefault="009D106A" w:rsidP="00093652">
                  <w:pPr>
                    <w:jc w:val="right"/>
                    <w:rPr>
                      <w:rFonts w:asciiTheme="minorHAnsi" w:hAnsiTheme="minorHAnsi"/>
                      <w:color w:val="000000"/>
                      <w:sz w:val="16"/>
                      <w:szCs w:val="16"/>
                    </w:rPr>
                  </w:pPr>
                  <w:r w:rsidRPr="00434074">
                    <w:rPr>
                      <w:rFonts w:asciiTheme="minorHAnsi" w:hAnsiTheme="minorHAnsi"/>
                      <w:color w:val="000000"/>
                      <w:sz w:val="16"/>
                      <w:szCs w:val="16"/>
                    </w:rPr>
                    <w:t>150</w:t>
                  </w:r>
                </w:p>
              </w:tc>
              <w:tc>
                <w:tcPr>
                  <w:tcW w:w="702" w:type="dxa"/>
                  <w:shd w:val="clear" w:color="auto" w:fill="auto"/>
                  <w:noWrap/>
                  <w:vAlign w:val="bottom"/>
                  <w:hideMark/>
                </w:tcPr>
                <w:p w:rsidR="009D106A" w:rsidRPr="00434074" w:rsidRDefault="009D106A" w:rsidP="00093652">
                  <w:pPr>
                    <w:jc w:val="right"/>
                    <w:rPr>
                      <w:rFonts w:asciiTheme="minorHAnsi" w:hAnsiTheme="minorHAnsi"/>
                      <w:color w:val="000000"/>
                      <w:sz w:val="16"/>
                      <w:szCs w:val="16"/>
                    </w:rPr>
                  </w:pPr>
                  <w:r w:rsidRPr="00434074">
                    <w:rPr>
                      <w:rFonts w:asciiTheme="minorHAnsi" w:hAnsiTheme="minorHAnsi"/>
                      <w:color w:val="000000"/>
                      <w:sz w:val="16"/>
                      <w:szCs w:val="16"/>
                    </w:rPr>
                    <w:t>175</w:t>
                  </w:r>
                </w:p>
              </w:tc>
              <w:tc>
                <w:tcPr>
                  <w:tcW w:w="702" w:type="dxa"/>
                  <w:shd w:val="clear" w:color="auto" w:fill="auto"/>
                  <w:noWrap/>
                  <w:vAlign w:val="bottom"/>
                  <w:hideMark/>
                </w:tcPr>
                <w:p w:rsidR="009D106A" w:rsidRPr="00434074" w:rsidRDefault="009D106A" w:rsidP="00093652">
                  <w:pPr>
                    <w:jc w:val="right"/>
                    <w:rPr>
                      <w:rFonts w:asciiTheme="minorHAnsi" w:hAnsiTheme="minorHAnsi"/>
                      <w:color w:val="000000"/>
                      <w:sz w:val="16"/>
                      <w:szCs w:val="16"/>
                    </w:rPr>
                  </w:pPr>
                  <w:r w:rsidRPr="00434074">
                    <w:rPr>
                      <w:rFonts w:asciiTheme="minorHAnsi" w:hAnsiTheme="minorHAnsi"/>
                      <w:color w:val="000000"/>
                      <w:sz w:val="16"/>
                      <w:szCs w:val="16"/>
                    </w:rPr>
                    <w:t>175</w:t>
                  </w:r>
                </w:p>
              </w:tc>
              <w:tc>
                <w:tcPr>
                  <w:tcW w:w="702" w:type="dxa"/>
                  <w:shd w:val="clear" w:color="auto" w:fill="auto"/>
                  <w:noWrap/>
                  <w:vAlign w:val="bottom"/>
                  <w:hideMark/>
                </w:tcPr>
                <w:p w:rsidR="009D106A" w:rsidRPr="00434074" w:rsidRDefault="009D106A" w:rsidP="00093652">
                  <w:pPr>
                    <w:jc w:val="right"/>
                    <w:rPr>
                      <w:rFonts w:asciiTheme="minorHAnsi" w:hAnsiTheme="minorHAnsi"/>
                      <w:color w:val="000000"/>
                      <w:sz w:val="16"/>
                      <w:szCs w:val="16"/>
                    </w:rPr>
                  </w:pPr>
                  <w:r w:rsidRPr="00434074">
                    <w:rPr>
                      <w:rFonts w:asciiTheme="minorHAnsi" w:hAnsiTheme="minorHAnsi"/>
                      <w:color w:val="000000"/>
                      <w:sz w:val="16"/>
                      <w:szCs w:val="16"/>
                    </w:rPr>
                    <w:t>177.6</w:t>
                  </w:r>
                </w:p>
              </w:tc>
              <w:tc>
                <w:tcPr>
                  <w:tcW w:w="702" w:type="dxa"/>
                  <w:shd w:val="clear" w:color="auto" w:fill="auto"/>
                  <w:noWrap/>
                  <w:vAlign w:val="bottom"/>
                  <w:hideMark/>
                </w:tcPr>
                <w:p w:rsidR="009D106A" w:rsidRPr="00434074" w:rsidRDefault="009D106A" w:rsidP="00093652">
                  <w:pPr>
                    <w:jc w:val="right"/>
                    <w:rPr>
                      <w:rFonts w:asciiTheme="minorHAnsi" w:hAnsiTheme="minorHAnsi"/>
                      <w:color w:val="000000"/>
                      <w:sz w:val="16"/>
                      <w:szCs w:val="16"/>
                    </w:rPr>
                  </w:pPr>
                  <w:r w:rsidRPr="00434074">
                    <w:rPr>
                      <w:rFonts w:asciiTheme="minorHAnsi" w:hAnsiTheme="minorHAnsi"/>
                      <w:color w:val="000000"/>
                      <w:sz w:val="16"/>
                      <w:szCs w:val="16"/>
                    </w:rPr>
                    <w:t>175</w:t>
                  </w:r>
                </w:p>
              </w:tc>
            </w:tr>
            <w:tr w:rsidR="009D106A" w:rsidRPr="00434074" w:rsidTr="00093652">
              <w:trPr>
                <w:trHeight w:val="384"/>
              </w:trPr>
              <w:tc>
                <w:tcPr>
                  <w:tcW w:w="949" w:type="dxa"/>
                  <w:shd w:val="clear" w:color="auto" w:fill="auto"/>
                  <w:noWrap/>
                  <w:vAlign w:val="bottom"/>
                  <w:hideMark/>
                </w:tcPr>
                <w:p w:rsidR="009D106A" w:rsidRPr="00434074" w:rsidRDefault="009D106A" w:rsidP="00093652">
                  <w:pPr>
                    <w:rPr>
                      <w:rFonts w:asciiTheme="minorHAnsi" w:hAnsiTheme="minorHAnsi" w:cs="Arial"/>
                      <w:sz w:val="16"/>
                      <w:szCs w:val="16"/>
                    </w:rPr>
                  </w:pPr>
                  <w:r w:rsidRPr="00434074">
                    <w:rPr>
                      <w:rFonts w:asciiTheme="minorHAnsi" w:hAnsiTheme="minorHAnsi" w:cs="Arial"/>
                      <w:sz w:val="16"/>
                      <w:szCs w:val="16"/>
                    </w:rPr>
                    <w:t>Realized</w:t>
                  </w:r>
                </w:p>
              </w:tc>
              <w:tc>
                <w:tcPr>
                  <w:tcW w:w="771" w:type="dxa"/>
                  <w:shd w:val="clear" w:color="auto" w:fill="auto"/>
                  <w:noWrap/>
                  <w:vAlign w:val="bottom"/>
                  <w:hideMark/>
                </w:tcPr>
                <w:p w:rsidR="009D106A" w:rsidRPr="00434074" w:rsidRDefault="009D106A" w:rsidP="00093652">
                  <w:pPr>
                    <w:jc w:val="right"/>
                    <w:rPr>
                      <w:rFonts w:asciiTheme="minorHAnsi" w:hAnsiTheme="minorHAnsi"/>
                      <w:color w:val="000000"/>
                      <w:sz w:val="16"/>
                      <w:szCs w:val="16"/>
                    </w:rPr>
                  </w:pPr>
                  <w:r w:rsidRPr="00434074">
                    <w:rPr>
                      <w:rFonts w:asciiTheme="minorHAnsi" w:hAnsiTheme="minorHAnsi"/>
                      <w:color w:val="000000"/>
                      <w:sz w:val="16"/>
                      <w:szCs w:val="16"/>
                    </w:rPr>
                    <w:t>144.8</w:t>
                  </w:r>
                </w:p>
              </w:tc>
              <w:tc>
                <w:tcPr>
                  <w:tcW w:w="702" w:type="dxa"/>
                  <w:shd w:val="clear" w:color="auto" w:fill="auto"/>
                  <w:noWrap/>
                  <w:vAlign w:val="bottom"/>
                  <w:hideMark/>
                </w:tcPr>
                <w:p w:rsidR="009D106A" w:rsidRPr="00434074" w:rsidRDefault="009D106A" w:rsidP="00093652">
                  <w:pPr>
                    <w:jc w:val="right"/>
                    <w:rPr>
                      <w:rFonts w:asciiTheme="minorHAnsi" w:hAnsiTheme="minorHAnsi"/>
                      <w:color w:val="000000"/>
                      <w:sz w:val="16"/>
                      <w:szCs w:val="16"/>
                    </w:rPr>
                  </w:pPr>
                  <w:r w:rsidRPr="00434074">
                    <w:rPr>
                      <w:rFonts w:asciiTheme="minorHAnsi" w:hAnsiTheme="minorHAnsi"/>
                      <w:color w:val="000000"/>
                      <w:sz w:val="16"/>
                      <w:szCs w:val="16"/>
                    </w:rPr>
                    <w:t>152.6</w:t>
                  </w:r>
                </w:p>
              </w:tc>
              <w:tc>
                <w:tcPr>
                  <w:tcW w:w="702" w:type="dxa"/>
                  <w:shd w:val="clear" w:color="auto" w:fill="auto"/>
                  <w:noWrap/>
                  <w:vAlign w:val="bottom"/>
                  <w:hideMark/>
                </w:tcPr>
                <w:p w:rsidR="009D106A" w:rsidRPr="00434074" w:rsidRDefault="009D106A" w:rsidP="00093652">
                  <w:pPr>
                    <w:jc w:val="right"/>
                    <w:rPr>
                      <w:rFonts w:asciiTheme="minorHAnsi" w:hAnsiTheme="minorHAnsi"/>
                      <w:color w:val="000000"/>
                      <w:sz w:val="16"/>
                      <w:szCs w:val="16"/>
                    </w:rPr>
                  </w:pPr>
                  <w:r w:rsidRPr="00434074">
                    <w:rPr>
                      <w:rFonts w:asciiTheme="minorHAnsi" w:hAnsiTheme="minorHAnsi"/>
                      <w:color w:val="000000"/>
                      <w:sz w:val="16"/>
                      <w:szCs w:val="16"/>
                    </w:rPr>
                    <w:t>177.4</w:t>
                  </w:r>
                </w:p>
              </w:tc>
              <w:tc>
                <w:tcPr>
                  <w:tcW w:w="702" w:type="dxa"/>
                  <w:shd w:val="clear" w:color="auto" w:fill="auto"/>
                  <w:noWrap/>
                  <w:vAlign w:val="bottom"/>
                  <w:hideMark/>
                </w:tcPr>
                <w:p w:rsidR="009D106A" w:rsidRPr="00434074" w:rsidRDefault="009D106A" w:rsidP="00093652">
                  <w:pPr>
                    <w:jc w:val="right"/>
                    <w:rPr>
                      <w:rFonts w:asciiTheme="minorHAnsi" w:hAnsiTheme="minorHAnsi"/>
                      <w:color w:val="000000"/>
                      <w:sz w:val="16"/>
                      <w:szCs w:val="16"/>
                    </w:rPr>
                  </w:pPr>
                  <w:r w:rsidRPr="00434074">
                    <w:rPr>
                      <w:rFonts w:asciiTheme="minorHAnsi" w:hAnsiTheme="minorHAnsi"/>
                      <w:color w:val="000000"/>
                      <w:sz w:val="16"/>
                      <w:szCs w:val="16"/>
                    </w:rPr>
                    <w:t>178</w:t>
                  </w:r>
                </w:p>
              </w:tc>
              <w:tc>
                <w:tcPr>
                  <w:tcW w:w="702" w:type="dxa"/>
                  <w:shd w:val="clear" w:color="auto" w:fill="auto"/>
                  <w:noWrap/>
                  <w:vAlign w:val="bottom"/>
                  <w:hideMark/>
                </w:tcPr>
                <w:p w:rsidR="009D106A" w:rsidRPr="00434074" w:rsidRDefault="009D106A" w:rsidP="00093652">
                  <w:pPr>
                    <w:jc w:val="right"/>
                    <w:rPr>
                      <w:rFonts w:asciiTheme="minorHAnsi" w:hAnsiTheme="minorHAnsi"/>
                      <w:color w:val="000000"/>
                      <w:sz w:val="16"/>
                      <w:szCs w:val="16"/>
                    </w:rPr>
                  </w:pPr>
                  <w:r w:rsidRPr="00434074">
                    <w:rPr>
                      <w:rFonts w:asciiTheme="minorHAnsi" w:hAnsiTheme="minorHAnsi"/>
                      <w:color w:val="000000"/>
                      <w:sz w:val="16"/>
                      <w:szCs w:val="16"/>
                    </w:rPr>
                    <w:t>173.5</w:t>
                  </w:r>
                </w:p>
              </w:tc>
            </w:tr>
          </w:tbl>
          <w:p w:rsidR="009D106A" w:rsidRPr="007777E2" w:rsidRDefault="009D106A" w:rsidP="00093652"/>
          <w:p w:rsidR="009D106A" w:rsidRPr="007777E2" w:rsidRDefault="009D106A" w:rsidP="00093652">
            <w:pPr>
              <w:tabs>
                <w:tab w:val="num" w:pos="3420"/>
              </w:tabs>
              <w:spacing w:after="120"/>
              <w:jc w:val="both"/>
              <w:rPr>
                <w:sz w:val="18"/>
                <w:szCs w:val="18"/>
              </w:rPr>
            </w:pPr>
          </w:p>
          <w:p w:rsidR="009D106A" w:rsidRPr="007777E2" w:rsidRDefault="009D106A" w:rsidP="00093652">
            <w:pPr>
              <w:tabs>
                <w:tab w:val="num" w:pos="3420"/>
              </w:tabs>
              <w:spacing w:after="120"/>
              <w:jc w:val="both"/>
              <w:rPr>
                <w:sz w:val="18"/>
                <w:szCs w:val="18"/>
              </w:rPr>
            </w:pPr>
          </w:p>
          <w:p w:rsidR="009D106A" w:rsidRPr="007777E2" w:rsidRDefault="009D106A" w:rsidP="00093652">
            <w:pPr>
              <w:tabs>
                <w:tab w:val="num" w:pos="3420"/>
              </w:tabs>
              <w:spacing w:after="120"/>
              <w:jc w:val="both"/>
              <w:rPr>
                <w:sz w:val="18"/>
                <w:szCs w:val="18"/>
              </w:rPr>
            </w:pPr>
          </w:p>
          <w:p w:rsidR="009D106A" w:rsidRPr="007777E2" w:rsidRDefault="009D106A" w:rsidP="00093652">
            <w:pPr>
              <w:tabs>
                <w:tab w:val="num" w:pos="3420"/>
              </w:tabs>
              <w:spacing w:after="120"/>
              <w:jc w:val="both"/>
              <w:rPr>
                <w:sz w:val="18"/>
                <w:szCs w:val="18"/>
              </w:rPr>
            </w:pPr>
          </w:p>
          <w:p w:rsidR="009D106A" w:rsidRPr="007777E2" w:rsidRDefault="009D106A" w:rsidP="00093652">
            <w:pPr>
              <w:tabs>
                <w:tab w:val="num" w:pos="3420"/>
              </w:tabs>
              <w:spacing w:before="120" w:after="120"/>
              <w:jc w:val="both"/>
            </w:pPr>
            <w:r w:rsidRPr="007777E2">
              <w:rPr>
                <w:sz w:val="18"/>
                <w:szCs w:val="18"/>
              </w:rPr>
              <w:t>Source: Data reported by Belarusian Railways.</w:t>
            </w:r>
          </w:p>
        </w:tc>
        <w:tc>
          <w:tcPr>
            <w:tcW w:w="4788" w:type="dxa"/>
          </w:tcPr>
          <w:p w:rsidR="009D106A" w:rsidRPr="007777E2" w:rsidRDefault="009D106A" w:rsidP="00093652">
            <w:pPr>
              <w:pStyle w:val="Caption"/>
            </w:pPr>
            <w:bookmarkStart w:id="179" w:name="_Ref264226252"/>
            <w:bookmarkStart w:id="180" w:name="_Toc264226783"/>
            <w:r w:rsidRPr="007777E2">
              <w:rPr>
                <w:color w:val="auto"/>
                <w:sz w:val="22"/>
                <w:szCs w:val="22"/>
              </w:rPr>
              <w:t xml:space="preserve">Figure </w:t>
            </w:r>
            <w:r w:rsidR="006B40AE" w:rsidRPr="007777E2">
              <w:rPr>
                <w:color w:val="auto"/>
                <w:sz w:val="22"/>
                <w:szCs w:val="22"/>
              </w:rPr>
              <w:fldChar w:fldCharType="begin"/>
            </w:r>
            <w:r w:rsidRPr="007777E2">
              <w:rPr>
                <w:color w:val="auto"/>
                <w:sz w:val="22"/>
                <w:szCs w:val="22"/>
              </w:rPr>
              <w:instrText xml:space="preserve"> SEQ Figure \* ARABIC </w:instrText>
            </w:r>
            <w:r w:rsidR="006B40AE" w:rsidRPr="007777E2">
              <w:rPr>
                <w:color w:val="auto"/>
                <w:sz w:val="22"/>
                <w:szCs w:val="22"/>
              </w:rPr>
              <w:fldChar w:fldCharType="separate"/>
            </w:r>
            <w:r w:rsidR="009E2C86">
              <w:rPr>
                <w:noProof/>
                <w:color w:val="auto"/>
                <w:sz w:val="22"/>
                <w:szCs w:val="22"/>
              </w:rPr>
              <w:t>26</w:t>
            </w:r>
            <w:r w:rsidR="006B40AE" w:rsidRPr="007777E2">
              <w:rPr>
                <w:color w:val="auto"/>
                <w:sz w:val="22"/>
                <w:szCs w:val="22"/>
              </w:rPr>
              <w:fldChar w:fldCharType="end"/>
            </w:r>
            <w:bookmarkEnd w:id="179"/>
            <w:r w:rsidRPr="007777E2">
              <w:rPr>
                <w:color w:val="auto"/>
                <w:sz w:val="22"/>
                <w:szCs w:val="22"/>
              </w:rPr>
              <w:t>. Belarusian Railways: Age Structure of Railway Infrastructure Systems 2009</w:t>
            </w:r>
            <w:r w:rsidRPr="007777E2">
              <w:rPr>
                <w:noProof/>
              </w:rPr>
              <w:drawing>
                <wp:inline distT="0" distB="0" distL="0" distR="0">
                  <wp:extent cx="2981325" cy="1952625"/>
                  <wp:effectExtent l="19050" t="0" r="0" b="0"/>
                  <wp:docPr id="7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bookmarkEnd w:id="180"/>
          </w:p>
          <w:p w:rsidR="009D106A" w:rsidRPr="007777E2" w:rsidRDefault="009D106A" w:rsidP="00093652">
            <w:pPr>
              <w:pStyle w:val="Caption"/>
              <w:rPr>
                <w:b w:val="0"/>
                <w:color w:val="auto"/>
              </w:rPr>
            </w:pPr>
            <w:r w:rsidRPr="007777E2">
              <w:rPr>
                <w:b w:val="0"/>
                <w:color w:val="auto"/>
              </w:rPr>
              <w:t>Source: Data reported by Belarusian Railways.</w:t>
            </w:r>
          </w:p>
        </w:tc>
      </w:tr>
    </w:tbl>
    <w:p w:rsidR="009D106A" w:rsidRPr="007777E2" w:rsidRDefault="009D106A" w:rsidP="009D106A">
      <w:pPr>
        <w:tabs>
          <w:tab w:val="num" w:pos="3420"/>
        </w:tabs>
        <w:spacing w:after="120"/>
        <w:jc w:val="both"/>
      </w:pPr>
    </w:p>
    <w:p w:rsidR="009D106A" w:rsidRPr="00FC5575" w:rsidRDefault="00FC5575" w:rsidP="00FC5575">
      <w:pPr>
        <w:pStyle w:val="Style3"/>
        <w:rPr>
          <w:b w:val="0"/>
        </w:rPr>
      </w:pPr>
      <w:r>
        <w:tab/>
      </w:r>
      <w:r w:rsidR="009D106A" w:rsidRPr="007777E2">
        <w:t xml:space="preserve">The railway infrastructure systems are rather old and require </w:t>
      </w:r>
      <w:r w:rsidR="009D106A" w:rsidRPr="007777E2">
        <w:rPr>
          <w:rFonts w:eastAsia="Calibri"/>
        </w:rPr>
        <w:t xml:space="preserve">medium- and long-term plans for </w:t>
      </w:r>
      <w:r w:rsidR="009D106A" w:rsidRPr="007777E2">
        <w:t xml:space="preserve">modernization. </w:t>
      </w:r>
      <w:r w:rsidR="009D106A" w:rsidRPr="00FC5575">
        <w:rPr>
          <w:rFonts w:eastAsia="Calibri"/>
          <w:b w:val="0"/>
        </w:rPr>
        <w:t xml:space="preserve">The Belarusian railway system is equipped with complex power supply, telecommunication, signaling, catenaries, and interlocking systems—vital components for a safe and efficient railway. Their current technical condition is satisfactory, but the average age of some of these </w:t>
      </w:r>
      <w:r w:rsidR="0018143D" w:rsidRPr="00FC5575">
        <w:rPr>
          <w:rFonts w:eastAsia="Calibri"/>
          <w:b w:val="0"/>
        </w:rPr>
        <w:t xml:space="preserve">systems </w:t>
      </w:r>
      <w:r w:rsidR="009D106A" w:rsidRPr="00FC5575">
        <w:rPr>
          <w:rFonts w:eastAsia="Calibri"/>
          <w:b w:val="0"/>
        </w:rPr>
        <w:t>is rather high, as presented in</w:t>
      </w:r>
      <w:r w:rsidR="00F5412F" w:rsidRPr="00FC5575">
        <w:rPr>
          <w:rFonts w:eastAsia="Calibri"/>
          <w:b w:val="0"/>
        </w:rPr>
        <w:t xml:space="preserve"> Figure 26</w:t>
      </w:r>
      <w:r w:rsidR="009D106A" w:rsidRPr="00FC5575">
        <w:rPr>
          <w:rFonts w:eastAsia="Calibri"/>
          <w:b w:val="0"/>
        </w:rPr>
        <w:t xml:space="preserve">. More than 40 percent of signaling systems and more than 45 percent of </w:t>
      </w:r>
      <w:proofErr w:type="spellStart"/>
      <w:r w:rsidR="009D106A" w:rsidRPr="00FC5575">
        <w:rPr>
          <w:rFonts w:eastAsia="Calibri"/>
          <w:b w:val="0"/>
        </w:rPr>
        <w:t>catenary</w:t>
      </w:r>
      <w:proofErr w:type="spellEnd"/>
      <w:r w:rsidR="009D106A" w:rsidRPr="00FC5575">
        <w:rPr>
          <w:rFonts w:eastAsia="Calibri"/>
          <w:b w:val="0"/>
        </w:rPr>
        <w:t xml:space="preserve"> systems are over 30 years old, and more than 75 percent of interlocking systems are over 20 years old. </w:t>
      </w:r>
      <w:r w:rsidR="0018143D" w:rsidRPr="00FC5575">
        <w:rPr>
          <w:rFonts w:eastAsia="Calibri"/>
          <w:b w:val="0"/>
        </w:rPr>
        <w:t>The World Bank recommends the d</w:t>
      </w:r>
      <w:r w:rsidR="009D106A" w:rsidRPr="00FC5575">
        <w:rPr>
          <w:rFonts w:eastAsia="Calibri"/>
          <w:b w:val="0"/>
        </w:rPr>
        <w:t>evelopment of medium- and long-term p</w:t>
      </w:r>
      <w:r w:rsidR="0018143D" w:rsidRPr="00FC5575">
        <w:rPr>
          <w:rFonts w:eastAsia="Calibri"/>
          <w:b w:val="0"/>
        </w:rPr>
        <w:t xml:space="preserve">rogram </w:t>
      </w:r>
      <w:r w:rsidR="009D106A" w:rsidRPr="00FC5575">
        <w:rPr>
          <w:rFonts w:eastAsia="Calibri"/>
          <w:b w:val="0"/>
        </w:rPr>
        <w:t>for the modernization of the existing railway systems</w:t>
      </w:r>
      <w:r w:rsidR="0018143D" w:rsidRPr="00FC5575">
        <w:rPr>
          <w:rFonts w:eastAsia="Calibri"/>
          <w:b w:val="0"/>
        </w:rPr>
        <w:t xml:space="preserve">. </w:t>
      </w:r>
      <w:r w:rsidR="009D106A" w:rsidRPr="00FC5575">
        <w:rPr>
          <w:rFonts w:eastAsia="Calibri"/>
          <w:b w:val="0"/>
        </w:rPr>
        <w:t>Delaying such a program might have multiple negative impacts: (</w:t>
      </w:r>
      <w:proofErr w:type="spellStart"/>
      <w:r w:rsidR="009D106A" w:rsidRPr="00FC5575">
        <w:rPr>
          <w:rFonts w:eastAsia="Calibri"/>
          <w:b w:val="0"/>
        </w:rPr>
        <w:t>i</w:t>
      </w:r>
      <w:proofErr w:type="spellEnd"/>
      <w:r w:rsidR="009D106A" w:rsidRPr="00FC5575">
        <w:rPr>
          <w:rFonts w:eastAsia="Calibri"/>
          <w:b w:val="0"/>
        </w:rPr>
        <w:t xml:space="preserve">) increasing the operating costs of the railway infrastructure; (ii) </w:t>
      </w:r>
      <w:r w:rsidR="0018143D" w:rsidRPr="00FC5575">
        <w:rPr>
          <w:rFonts w:eastAsia="Calibri"/>
          <w:b w:val="0"/>
        </w:rPr>
        <w:t xml:space="preserve">the need to </w:t>
      </w:r>
      <w:r w:rsidR="009D106A" w:rsidRPr="00FC5575">
        <w:rPr>
          <w:rFonts w:eastAsia="Calibri"/>
          <w:b w:val="0"/>
        </w:rPr>
        <w:t xml:space="preserve">pass on the additional costs as higher tariffs and </w:t>
      </w:r>
      <w:r w:rsidR="0018143D" w:rsidRPr="00FC5575">
        <w:rPr>
          <w:rFonts w:eastAsia="Calibri"/>
          <w:b w:val="0"/>
        </w:rPr>
        <w:t xml:space="preserve">therefore </w:t>
      </w:r>
      <w:r w:rsidR="009D106A" w:rsidRPr="00FC5575">
        <w:rPr>
          <w:rFonts w:eastAsia="Calibri"/>
          <w:b w:val="0"/>
        </w:rPr>
        <w:t xml:space="preserve">reducing the attractiveness of railway transport; and (iii) increasing the cost of </w:t>
      </w:r>
      <w:r w:rsidR="0018143D" w:rsidRPr="00FC5575">
        <w:rPr>
          <w:rFonts w:eastAsia="Calibri"/>
          <w:b w:val="0"/>
        </w:rPr>
        <w:t xml:space="preserve">systems </w:t>
      </w:r>
      <w:r w:rsidR="009D106A" w:rsidRPr="00FC5575">
        <w:rPr>
          <w:rFonts w:eastAsia="Calibri"/>
          <w:b w:val="0"/>
        </w:rPr>
        <w:t xml:space="preserve">over their life cycle and, thereby, creating an additional burden on the Belarusian Railways budget. At the same time, the medium- and long-term </w:t>
      </w:r>
      <w:r w:rsidR="0018143D" w:rsidRPr="00FC5575">
        <w:rPr>
          <w:rFonts w:eastAsia="Calibri"/>
          <w:b w:val="0"/>
        </w:rPr>
        <w:t xml:space="preserve">program </w:t>
      </w:r>
      <w:r w:rsidR="009D106A" w:rsidRPr="00FC5575">
        <w:rPr>
          <w:rFonts w:eastAsia="Calibri"/>
          <w:b w:val="0"/>
        </w:rPr>
        <w:t xml:space="preserve">for modernizing railway infrastructure should include an assessment of the need to increase </w:t>
      </w:r>
      <w:r w:rsidR="0018143D" w:rsidRPr="00FC5575">
        <w:rPr>
          <w:rFonts w:eastAsia="Calibri"/>
          <w:b w:val="0"/>
        </w:rPr>
        <w:t xml:space="preserve">the </w:t>
      </w:r>
      <w:r w:rsidR="009D106A" w:rsidRPr="00FC5575">
        <w:rPr>
          <w:rFonts w:eastAsia="Calibri"/>
          <w:b w:val="0"/>
        </w:rPr>
        <w:t xml:space="preserve">length of electrified lines and </w:t>
      </w:r>
      <w:r w:rsidR="0018143D" w:rsidRPr="00FC5575">
        <w:rPr>
          <w:rFonts w:eastAsia="Calibri"/>
          <w:b w:val="0"/>
        </w:rPr>
        <w:t xml:space="preserve">the </w:t>
      </w:r>
      <w:r w:rsidR="009D106A" w:rsidRPr="00FC5575">
        <w:rPr>
          <w:rFonts w:eastAsia="Calibri"/>
          <w:b w:val="0"/>
        </w:rPr>
        <w:t>implementation of the latest technology for electronic interlocking systems and CTC.</w:t>
      </w:r>
      <w:r w:rsidR="009D106A" w:rsidRPr="00FC5575">
        <w:rPr>
          <w:rStyle w:val="FootnoteReference"/>
          <w:rFonts w:eastAsia="Calibri"/>
          <w:b w:val="0"/>
          <w:bCs/>
          <w:color w:val="000000"/>
          <w:sz w:val="24"/>
        </w:rPr>
        <w:footnoteReference w:id="32"/>
      </w:r>
    </w:p>
    <w:p w:rsidR="009D106A" w:rsidRPr="004B16F0" w:rsidRDefault="004B16F0" w:rsidP="004B16F0">
      <w:pPr>
        <w:pStyle w:val="Style3"/>
        <w:rPr>
          <w:b w:val="0"/>
        </w:rPr>
      </w:pPr>
      <w:r>
        <w:tab/>
      </w:r>
      <w:r w:rsidR="009D106A" w:rsidRPr="007777E2">
        <w:t>Belarusian Railways has excellent operational performance results</w:t>
      </w:r>
      <w:r w:rsidR="0018143D">
        <w:t xml:space="preserve"> and is very efficient</w:t>
      </w:r>
      <w:r w:rsidR="009D106A" w:rsidRPr="007777E2">
        <w:t xml:space="preserve">. </w:t>
      </w:r>
      <w:r w:rsidR="009D106A" w:rsidRPr="004B16F0">
        <w:rPr>
          <w:b w:val="0"/>
        </w:rPr>
        <w:t>High</w:t>
      </w:r>
      <w:r w:rsidR="009D106A" w:rsidRPr="004B16F0">
        <w:rPr>
          <w:rFonts w:eastAsia="Calibri"/>
          <w:b w:val="0"/>
        </w:rPr>
        <w:t xml:space="preserve"> quality transport services and good cash generation in railway operations depend on the efficient use of staff, wagons, coaches, and locomotives. High productivity of staff, high utilization of rolling stock, and high fleet availability for operation</w:t>
      </w:r>
      <w:r w:rsidR="0018143D" w:rsidRPr="004B16F0">
        <w:rPr>
          <w:rFonts w:eastAsia="Calibri"/>
          <w:b w:val="0"/>
        </w:rPr>
        <w:t>s</w:t>
      </w:r>
      <w:r w:rsidR="009D106A" w:rsidRPr="004B16F0">
        <w:rPr>
          <w:rFonts w:eastAsia="Calibri"/>
          <w:b w:val="0"/>
        </w:rPr>
        <w:t xml:space="preserve"> are important indicators for the ability to provide quality services and for enhanced market responsiveness. </w:t>
      </w:r>
      <w:r w:rsidR="00E837DD" w:rsidRPr="004B16F0">
        <w:rPr>
          <w:rFonts w:eastAsia="Calibri"/>
          <w:b w:val="0"/>
        </w:rPr>
        <w:t xml:space="preserve">Figure 27 </w:t>
      </w:r>
      <w:r w:rsidR="009D106A" w:rsidRPr="004B16F0">
        <w:rPr>
          <w:rFonts w:eastAsia="Calibri"/>
          <w:b w:val="0"/>
        </w:rPr>
        <w:t xml:space="preserve">presents </w:t>
      </w:r>
      <w:r w:rsidR="0018143D" w:rsidRPr="004B16F0">
        <w:rPr>
          <w:rFonts w:eastAsia="Calibri"/>
          <w:b w:val="0"/>
        </w:rPr>
        <w:t xml:space="preserve">railway </w:t>
      </w:r>
      <w:r w:rsidR="009D106A" w:rsidRPr="004B16F0">
        <w:rPr>
          <w:rFonts w:eastAsia="Calibri"/>
          <w:b w:val="0"/>
        </w:rPr>
        <w:t>staff productivity in Belarus compared with selected EU countries, showing very good results for Belarus.</w:t>
      </w:r>
      <w:r w:rsidR="009D106A" w:rsidRPr="004B16F0">
        <w:rPr>
          <w:b w:val="0"/>
        </w:rPr>
        <w:t xml:space="preserve"> </w:t>
      </w:r>
    </w:p>
    <w:p w:rsidR="009D106A" w:rsidRPr="004B16F0" w:rsidRDefault="004B16F0" w:rsidP="004B16F0">
      <w:pPr>
        <w:pStyle w:val="Style3"/>
        <w:rPr>
          <w:b w:val="0"/>
        </w:rPr>
      </w:pPr>
      <w:r>
        <w:lastRenderedPageBreak/>
        <w:tab/>
      </w:r>
      <w:r w:rsidR="009D106A" w:rsidRPr="007777E2">
        <w:t>Asset utilization also compares well with selected EU countries.</w:t>
      </w:r>
      <w:r w:rsidR="000D66B6" w:rsidRPr="000D66B6">
        <w:t xml:space="preserve"> </w:t>
      </w:r>
      <w:fldSimple w:instr=" REF _Ref264226299 \h  \* MERGEFORMAT ">
        <w:r w:rsidR="00E85C5F" w:rsidRPr="00E85C5F">
          <w:rPr>
            <w:b w:val="0"/>
          </w:rPr>
          <w:t xml:space="preserve">Figure </w:t>
        </w:r>
        <w:r w:rsidR="00E85C5F" w:rsidRPr="00E85C5F">
          <w:rPr>
            <w:b w:val="0"/>
            <w:noProof/>
          </w:rPr>
          <w:t>28</w:t>
        </w:r>
      </w:fldSimple>
      <w:r w:rsidR="009D106A" w:rsidRPr="004B16F0">
        <w:rPr>
          <w:b w:val="0"/>
        </w:rPr>
        <w:t xml:space="preserve">, </w:t>
      </w:r>
      <w:fldSimple w:instr=" REF _Ref264226324 \h  \* MERGEFORMAT ">
        <w:r w:rsidR="00E85C5F" w:rsidRPr="00E85C5F">
          <w:rPr>
            <w:b w:val="0"/>
          </w:rPr>
          <w:t xml:space="preserve">Figure </w:t>
        </w:r>
        <w:r w:rsidR="00E85C5F" w:rsidRPr="00E85C5F">
          <w:rPr>
            <w:b w:val="0"/>
            <w:noProof/>
          </w:rPr>
          <w:t>29</w:t>
        </w:r>
      </w:fldSimple>
      <w:r w:rsidR="000D66B6" w:rsidRPr="004B16F0">
        <w:rPr>
          <w:b w:val="0"/>
        </w:rPr>
        <w:t xml:space="preserve">, and </w:t>
      </w:r>
      <w:fldSimple w:instr=" REF _Ref264226326 \h  \* MERGEFORMAT ">
        <w:r w:rsidR="00E85C5F" w:rsidRPr="00E85C5F">
          <w:rPr>
            <w:b w:val="0"/>
          </w:rPr>
          <w:t xml:space="preserve">Figure </w:t>
        </w:r>
        <w:r w:rsidR="00E85C5F" w:rsidRPr="00E85C5F">
          <w:rPr>
            <w:b w:val="0"/>
            <w:noProof/>
          </w:rPr>
          <w:t>30</w:t>
        </w:r>
      </w:fldSimple>
      <w:r w:rsidR="000D66B6" w:rsidRPr="004B16F0">
        <w:rPr>
          <w:b w:val="0"/>
        </w:rPr>
        <w:t xml:space="preserve"> </w:t>
      </w:r>
      <w:r w:rsidR="009D106A" w:rsidRPr="004B16F0">
        <w:rPr>
          <w:b w:val="0"/>
        </w:rPr>
        <w:t xml:space="preserve">present the productivity of locomotives, freight wagons, and coaches. The performance </w:t>
      </w:r>
      <w:r w:rsidR="0018143D" w:rsidRPr="004B16F0">
        <w:rPr>
          <w:b w:val="0"/>
        </w:rPr>
        <w:t xml:space="preserve">in </w:t>
      </w:r>
      <w:r w:rsidR="009D106A" w:rsidRPr="004B16F0">
        <w:rPr>
          <w:b w:val="0"/>
        </w:rPr>
        <w:t xml:space="preserve">operating freight traffic is impressive, far better than the EU average. Utilization efficiency of the passenger coaches is equivalent with EU figures, illustrating the existence of common problems all over Europe regarding the operation of passenger transport services. </w:t>
      </w:r>
    </w:p>
    <w:tbl>
      <w:tblPr>
        <w:tblStyle w:val="TableGrid"/>
        <w:tblpPr w:leftFromText="180" w:rightFromText="180" w:vertAnchor="text" w:horzAnchor="margin" w:tblpY="103"/>
        <w:tblW w:w="0" w:type="auto"/>
        <w:tblLook w:val="04A0"/>
      </w:tblPr>
      <w:tblGrid>
        <w:gridCol w:w="4821"/>
        <w:gridCol w:w="4755"/>
      </w:tblGrid>
      <w:tr w:rsidR="00B54707" w:rsidRPr="007777E2" w:rsidTr="00B54707">
        <w:tc>
          <w:tcPr>
            <w:tcW w:w="4821" w:type="dxa"/>
          </w:tcPr>
          <w:p w:rsidR="00B54707" w:rsidRPr="007777E2" w:rsidRDefault="00B54707" w:rsidP="00B54707">
            <w:pPr>
              <w:pStyle w:val="Caption"/>
              <w:rPr>
                <w:color w:val="auto"/>
                <w:sz w:val="22"/>
                <w:szCs w:val="22"/>
              </w:rPr>
            </w:pPr>
            <w:bookmarkStart w:id="181" w:name="_Ref264226296"/>
            <w:bookmarkStart w:id="182" w:name="_Toc264226784"/>
            <w:r w:rsidRPr="007777E2">
              <w:rPr>
                <w:color w:val="auto"/>
                <w:sz w:val="22"/>
                <w:szCs w:val="22"/>
              </w:rPr>
              <w:t xml:space="preserve">Figure </w:t>
            </w:r>
            <w:r w:rsidR="006B40AE" w:rsidRPr="007777E2">
              <w:rPr>
                <w:color w:val="auto"/>
                <w:sz w:val="22"/>
                <w:szCs w:val="22"/>
              </w:rPr>
              <w:fldChar w:fldCharType="begin"/>
            </w:r>
            <w:r w:rsidRPr="007777E2">
              <w:rPr>
                <w:color w:val="auto"/>
                <w:sz w:val="22"/>
                <w:szCs w:val="22"/>
              </w:rPr>
              <w:instrText xml:space="preserve"> SEQ Figure \* ARABIC </w:instrText>
            </w:r>
            <w:r w:rsidR="006B40AE" w:rsidRPr="007777E2">
              <w:rPr>
                <w:color w:val="auto"/>
                <w:sz w:val="22"/>
                <w:szCs w:val="22"/>
              </w:rPr>
              <w:fldChar w:fldCharType="separate"/>
            </w:r>
            <w:r w:rsidR="009E2C86">
              <w:rPr>
                <w:noProof/>
                <w:color w:val="auto"/>
                <w:sz w:val="22"/>
                <w:szCs w:val="22"/>
              </w:rPr>
              <w:t>27</w:t>
            </w:r>
            <w:r w:rsidR="006B40AE" w:rsidRPr="007777E2">
              <w:rPr>
                <w:color w:val="auto"/>
                <w:sz w:val="22"/>
                <w:szCs w:val="22"/>
              </w:rPr>
              <w:fldChar w:fldCharType="end"/>
            </w:r>
            <w:bookmarkEnd w:id="181"/>
            <w:r w:rsidRPr="007777E2">
              <w:rPr>
                <w:color w:val="auto"/>
                <w:sz w:val="22"/>
                <w:szCs w:val="22"/>
              </w:rPr>
              <w:t>. Belarusian Railways: Staff Productivity Compared to Selected EU countries in 2008 (million traffic units/staff)</w:t>
            </w:r>
            <w:bookmarkEnd w:id="182"/>
          </w:p>
          <w:p w:rsidR="00B54707" w:rsidRPr="007777E2" w:rsidRDefault="00B54707" w:rsidP="00B54707">
            <w:r w:rsidRPr="007777E2">
              <w:rPr>
                <w:noProof/>
              </w:rPr>
              <w:drawing>
                <wp:inline distT="0" distB="0" distL="0" distR="0">
                  <wp:extent cx="2924175" cy="2200275"/>
                  <wp:effectExtent l="0" t="0" r="0" b="0"/>
                  <wp:docPr id="9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B54707" w:rsidRPr="007777E2" w:rsidRDefault="00B54707" w:rsidP="00B54707">
            <w:pPr>
              <w:spacing w:after="120"/>
              <w:jc w:val="both"/>
              <w:rPr>
                <w:sz w:val="18"/>
                <w:szCs w:val="18"/>
              </w:rPr>
            </w:pPr>
            <w:r w:rsidRPr="007777E2">
              <w:rPr>
                <w:sz w:val="18"/>
                <w:szCs w:val="18"/>
              </w:rPr>
              <w:t>Source: UIC Statistics. 2009.</w:t>
            </w:r>
          </w:p>
        </w:tc>
        <w:tc>
          <w:tcPr>
            <w:tcW w:w="4755" w:type="dxa"/>
          </w:tcPr>
          <w:p w:rsidR="00B54707" w:rsidRPr="007777E2" w:rsidRDefault="00B54707" w:rsidP="00B54707">
            <w:pPr>
              <w:pStyle w:val="Caption"/>
              <w:rPr>
                <w:color w:val="auto"/>
                <w:sz w:val="22"/>
                <w:szCs w:val="22"/>
              </w:rPr>
            </w:pPr>
            <w:bookmarkStart w:id="183" w:name="_Ref264226299"/>
            <w:bookmarkStart w:id="184" w:name="_Toc264226785"/>
            <w:r w:rsidRPr="007777E2">
              <w:rPr>
                <w:color w:val="auto"/>
                <w:sz w:val="22"/>
                <w:szCs w:val="22"/>
              </w:rPr>
              <w:t xml:space="preserve">Figure </w:t>
            </w:r>
            <w:r w:rsidR="006B40AE" w:rsidRPr="007777E2">
              <w:rPr>
                <w:color w:val="auto"/>
                <w:sz w:val="22"/>
                <w:szCs w:val="22"/>
              </w:rPr>
              <w:fldChar w:fldCharType="begin"/>
            </w:r>
            <w:r w:rsidRPr="007777E2">
              <w:rPr>
                <w:color w:val="auto"/>
                <w:sz w:val="22"/>
                <w:szCs w:val="22"/>
              </w:rPr>
              <w:instrText xml:space="preserve"> SEQ Figure \* ARABIC </w:instrText>
            </w:r>
            <w:r w:rsidR="006B40AE" w:rsidRPr="007777E2">
              <w:rPr>
                <w:color w:val="auto"/>
                <w:sz w:val="22"/>
                <w:szCs w:val="22"/>
              </w:rPr>
              <w:fldChar w:fldCharType="separate"/>
            </w:r>
            <w:r w:rsidR="009E2C86">
              <w:rPr>
                <w:noProof/>
                <w:color w:val="auto"/>
                <w:sz w:val="22"/>
                <w:szCs w:val="22"/>
              </w:rPr>
              <w:t>28</w:t>
            </w:r>
            <w:r w:rsidR="006B40AE" w:rsidRPr="007777E2">
              <w:rPr>
                <w:color w:val="auto"/>
                <w:sz w:val="22"/>
                <w:szCs w:val="22"/>
              </w:rPr>
              <w:fldChar w:fldCharType="end"/>
            </w:r>
            <w:bookmarkEnd w:id="183"/>
            <w:r w:rsidRPr="007777E2">
              <w:rPr>
                <w:color w:val="auto"/>
                <w:sz w:val="22"/>
                <w:szCs w:val="22"/>
              </w:rPr>
              <w:t>. Belarusian Railways: Asset Utilization - Locomotives in 2008 (ton-km/locomotive)</w:t>
            </w:r>
            <w:bookmarkEnd w:id="184"/>
          </w:p>
          <w:p w:rsidR="00B54707" w:rsidRPr="007777E2" w:rsidRDefault="00B54707" w:rsidP="00B54707">
            <w:r w:rsidRPr="007777E2">
              <w:rPr>
                <w:noProof/>
              </w:rPr>
              <w:drawing>
                <wp:inline distT="0" distB="0" distL="0" distR="0">
                  <wp:extent cx="2867025" cy="2124075"/>
                  <wp:effectExtent l="0" t="0" r="0" b="0"/>
                  <wp:docPr id="9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B54707" w:rsidRPr="007777E2" w:rsidRDefault="00B54707" w:rsidP="00B54707">
            <w:pPr>
              <w:keepNext/>
              <w:spacing w:before="240" w:after="120"/>
              <w:jc w:val="both"/>
            </w:pPr>
            <w:r w:rsidRPr="007777E2">
              <w:rPr>
                <w:sz w:val="18"/>
                <w:szCs w:val="18"/>
              </w:rPr>
              <w:t>Source: UIC Statistics. 2009.</w:t>
            </w:r>
          </w:p>
        </w:tc>
      </w:tr>
    </w:tbl>
    <w:p w:rsidR="00B54707" w:rsidRDefault="00B54707" w:rsidP="00B54707">
      <w:pPr>
        <w:tabs>
          <w:tab w:val="num" w:pos="3420"/>
        </w:tabs>
        <w:spacing w:after="120"/>
        <w:jc w:val="both"/>
      </w:pPr>
    </w:p>
    <w:tbl>
      <w:tblPr>
        <w:tblStyle w:val="TableGrid"/>
        <w:tblpPr w:leftFromText="180" w:rightFromText="180" w:vertAnchor="text" w:horzAnchor="margin" w:tblpY="104"/>
        <w:tblW w:w="0" w:type="auto"/>
        <w:tblLayout w:type="fixed"/>
        <w:tblLook w:val="04A0"/>
      </w:tblPr>
      <w:tblGrid>
        <w:gridCol w:w="4788"/>
        <w:gridCol w:w="4788"/>
      </w:tblGrid>
      <w:tr w:rsidR="00B54707" w:rsidRPr="007777E2" w:rsidTr="00B54707">
        <w:tc>
          <w:tcPr>
            <w:tcW w:w="4788" w:type="dxa"/>
          </w:tcPr>
          <w:p w:rsidR="00B54707" w:rsidRPr="007777E2" w:rsidRDefault="00B54707" w:rsidP="00B54707">
            <w:pPr>
              <w:pStyle w:val="Caption"/>
            </w:pPr>
            <w:bookmarkStart w:id="185" w:name="_Ref264226324"/>
            <w:bookmarkStart w:id="186" w:name="_Toc264226786"/>
            <w:r>
              <w:rPr>
                <w:color w:val="auto"/>
                <w:sz w:val="22"/>
                <w:szCs w:val="22"/>
              </w:rPr>
              <w:t>F</w:t>
            </w:r>
            <w:r w:rsidRPr="007777E2">
              <w:rPr>
                <w:color w:val="auto"/>
                <w:sz w:val="22"/>
                <w:szCs w:val="22"/>
              </w:rPr>
              <w:t xml:space="preserve">igure </w:t>
            </w:r>
            <w:r w:rsidR="006B40AE" w:rsidRPr="007777E2">
              <w:rPr>
                <w:color w:val="auto"/>
                <w:sz w:val="22"/>
                <w:szCs w:val="22"/>
              </w:rPr>
              <w:fldChar w:fldCharType="begin"/>
            </w:r>
            <w:r w:rsidRPr="007777E2">
              <w:rPr>
                <w:color w:val="auto"/>
                <w:sz w:val="22"/>
                <w:szCs w:val="22"/>
              </w:rPr>
              <w:instrText xml:space="preserve"> SEQ Figure \* ARABIC </w:instrText>
            </w:r>
            <w:r w:rsidR="006B40AE" w:rsidRPr="007777E2">
              <w:rPr>
                <w:color w:val="auto"/>
                <w:sz w:val="22"/>
                <w:szCs w:val="22"/>
              </w:rPr>
              <w:fldChar w:fldCharType="separate"/>
            </w:r>
            <w:r w:rsidR="009E2C86">
              <w:rPr>
                <w:noProof/>
                <w:color w:val="auto"/>
                <w:sz w:val="22"/>
                <w:szCs w:val="22"/>
              </w:rPr>
              <w:t>29</w:t>
            </w:r>
            <w:r w:rsidR="006B40AE" w:rsidRPr="007777E2">
              <w:rPr>
                <w:color w:val="auto"/>
                <w:sz w:val="22"/>
                <w:szCs w:val="22"/>
              </w:rPr>
              <w:fldChar w:fldCharType="end"/>
            </w:r>
            <w:bookmarkEnd w:id="185"/>
            <w:r w:rsidRPr="007777E2">
              <w:rPr>
                <w:color w:val="auto"/>
                <w:sz w:val="22"/>
                <w:szCs w:val="22"/>
              </w:rPr>
              <w:t>. Belarusian Railways: Asset Utilization – Coaches in 2008 (passenger-km/coach)</w:t>
            </w:r>
            <w:r w:rsidRPr="007777E2">
              <w:rPr>
                <w:noProof/>
              </w:rPr>
              <w:drawing>
                <wp:inline distT="0" distB="0" distL="0" distR="0">
                  <wp:extent cx="2857500" cy="2209800"/>
                  <wp:effectExtent l="0" t="0" r="0" b="0"/>
                  <wp:docPr id="9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bookmarkEnd w:id="186"/>
          </w:p>
          <w:p w:rsidR="00B54707" w:rsidRPr="007777E2" w:rsidRDefault="00B54707" w:rsidP="00B54707">
            <w:pPr>
              <w:tabs>
                <w:tab w:val="num" w:pos="3420"/>
              </w:tabs>
              <w:spacing w:after="120"/>
              <w:jc w:val="both"/>
            </w:pPr>
            <w:r w:rsidRPr="007777E2">
              <w:rPr>
                <w:sz w:val="18"/>
                <w:szCs w:val="18"/>
              </w:rPr>
              <w:t>Source: UIC Statistics. 2009.</w:t>
            </w:r>
          </w:p>
        </w:tc>
        <w:tc>
          <w:tcPr>
            <w:tcW w:w="4788" w:type="dxa"/>
          </w:tcPr>
          <w:p w:rsidR="00B54707" w:rsidRPr="007777E2" w:rsidRDefault="00B54707" w:rsidP="00B54707">
            <w:pPr>
              <w:pStyle w:val="Caption"/>
              <w:rPr>
                <w:color w:val="auto"/>
                <w:sz w:val="22"/>
                <w:szCs w:val="22"/>
              </w:rPr>
            </w:pPr>
            <w:bookmarkStart w:id="187" w:name="_Ref264226326"/>
            <w:bookmarkStart w:id="188" w:name="_Toc264226787"/>
            <w:r w:rsidRPr="007777E2">
              <w:rPr>
                <w:color w:val="auto"/>
                <w:sz w:val="22"/>
                <w:szCs w:val="22"/>
              </w:rPr>
              <w:t xml:space="preserve">Figure </w:t>
            </w:r>
            <w:r w:rsidR="006B40AE" w:rsidRPr="007777E2">
              <w:rPr>
                <w:color w:val="auto"/>
                <w:sz w:val="22"/>
                <w:szCs w:val="22"/>
              </w:rPr>
              <w:fldChar w:fldCharType="begin"/>
            </w:r>
            <w:r w:rsidRPr="007777E2">
              <w:rPr>
                <w:color w:val="auto"/>
                <w:sz w:val="22"/>
                <w:szCs w:val="22"/>
              </w:rPr>
              <w:instrText xml:space="preserve"> SEQ Figure \* ARABIC </w:instrText>
            </w:r>
            <w:r w:rsidR="006B40AE" w:rsidRPr="007777E2">
              <w:rPr>
                <w:color w:val="auto"/>
                <w:sz w:val="22"/>
                <w:szCs w:val="22"/>
              </w:rPr>
              <w:fldChar w:fldCharType="separate"/>
            </w:r>
            <w:r w:rsidR="009E2C86">
              <w:rPr>
                <w:noProof/>
                <w:color w:val="auto"/>
                <w:sz w:val="22"/>
                <w:szCs w:val="22"/>
              </w:rPr>
              <w:t>30</w:t>
            </w:r>
            <w:r w:rsidR="006B40AE" w:rsidRPr="007777E2">
              <w:rPr>
                <w:color w:val="auto"/>
                <w:sz w:val="22"/>
                <w:szCs w:val="22"/>
              </w:rPr>
              <w:fldChar w:fldCharType="end"/>
            </w:r>
            <w:bookmarkEnd w:id="187"/>
            <w:r w:rsidRPr="007777E2">
              <w:rPr>
                <w:color w:val="auto"/>
                <w:sz w:val="22"/>
                <w:szCs w:val="22"/>
              </w:rPr>
              <w:t>. Belarusian Railways: Asset Utilization – Wagons in 2008 (traffic unit/wagon)</w:t>
            </w:r>
            <w:bookmarkEnd w:id="188"/>
          </w:p>
          <w:p w:rsidR="00B54707" w:rsidRPr="007777E2" w:rsidRDefault="00B54707" w:rsidP="00B54707">
            <w:pPr>
              <w:keepNext/>
              <w:tabs>
                <w:tab w:val="num" w:pos="3420"/>
              </w:tabs>
              <w:spacing w:after="120"/>
              <w:jc w:val="both"/>
              <w:rPr>
                <w:sz w:val="18"/>
                <w:szCs w:val="18"/>
              </w:rPr>
            </w:pPr>
            <w:r w:rsidRPr="007777E2">
              <w:rPr>
                <w:noProof/>
              </w:rPr>
              <w:drawing>
                <wp:inline distT="0" distB="0" distL="0" distR="0">
                  <wp:extent cx="2790825" cy="2286000"/>
                  <wp:effectExtent l="0" t="0" r="0" b="0"/>
                  <wp:docPr id="97"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B54707" w:rsidRPr="007777E2" w:rsidRDefault="00B54707" w:rsidP="00B54707">
            <w:pPr>
              <w:keepNext/>
              <w:tabs>
                <w:tab w:val="num" w:pos="3420"/>
              </w:tabs>
              <w:spacing w:after="120"/>
              <w:jc w:val="both"/>
            </w:pPr>
            <w:r w:rsidRPr="007777E2">
              <w:rPr>
                <w:sz w:val="18"/>
                <w:szCs w:val="18"/>
              </w:rPr>
              <w:t>Source: UIC Statistics. 2009.</w:t>
            </w:r>
          </w:p>
        </w:tc>
      </w:tr>
    </w:tbl>
    <w:p w:rsidR="00B54707" w:rsidRDefault="00B54707" w:rsidP="00B54707">
      <w:pPr>
        <w:tabs>
          <w:tab w:val="num" w:pos="3420"/>
        </w:tabs>
        <w:spacing w:after="120"/>
        <w:jc w:val="both"/>
      </w:pPr>
    </w:p>
    <w:p w:rsidR="008046F3" w:rsidRPr="00663CED" w:rsidRDefault="004B16F0" w:rsidP="004B16F0">
      <w:pPr>
        <w:pStyle w:val="Style3"/>
        <w:rPr>
          <w:b w:val="0"/>
        </w:rPr>
      </w:pPr>
      <w:r>
        <w:lastRenderedPageBreak/>
        <w:tab/>
      </w:r>
      <w:r w:rsidR="00D74ABC" w:rsidRPr="00D74ABC">
        <w:t xml:space="preserve">In order to maintain high-quality transport services and offer new freight and passenger transportation services, Belarusian Railways needs to accelerate the renewal of its rolling stock. </w:t>
      </w:r>
      <w:r w:rsidR="00D74ABC" w:rsidRPr="00D74ABC">
        <w:rPr>
          <w:b w:val="0"/>
        </w:rPr>
        <w:t xml:space="preserve">The annual average capital expenditure necessary to modernize and renew rolling stock has been estimated by the World Bank at BYR750 billion (US$253 million). </w:t>
      </w:r>
      <w:fldSimple w:instr=" REF _Ref258528686 \h  \* MERGEFORMAT ">
        <w:r w:rsidR="00E85C5F" w:rsidRPr="00E85C5F">
          <w:rPr>
            <w:rStyle w:val="Style2Char"/>
            <w:b w:val="0"/>
          </w:rPr>
          <w:t>Table 15</w:t>
        </w:r>
      </w:fldSimple>
      <w:r w:rsidR="00D74ABC" w:rsidRPr="00D74ABC">
        <w:rPr>
          <w:b w:val="0"/>
        </w:rPr>
        <w:t xml:space="preserve"> presents a scenario of necessary investments based on conservative estimates, including (</w:t>
      </w:r>
      <w:proofErr w:type="spellStart"/>
      <w:r w:rsidR="00D74ABC" w:rsidRPr="00D74ABC">
        <w:rPr>
          <w:b w:val="0"/>
        </w:rPr>
        <w:t>i</w:t>
      </w:r>
      <w:proofErr w:type="spellEnd"/>
      <w:r w:rsidR="00D74ABC" w:rsidRPr="00D74ABC">
        <w:rPr>
          <w:b w:val="0"/>
        </w:rPr>
        <w:t xml:space="preserve">) a life cycle of 40 years for coaches and wagons (extremely long, especially when targeting to maintain high-quality services to passengers); (ii) units are kept in operation for 40 years (with investments into modernization after 20 years); and (iii) half of the passenger coaches are modernized and replaced using companies sub-ordinate to Belarusian Railways which can produce them at a cost that is below international market prices. </w:t>
      </w:r>
    </w:p>
    <w:p w:rsidR="008046F3" w:rsidRPr="00663CED" w:rsidRDefault="008046F3" w:rsidP="008046F3">
      <w:pPr>
        <w:pStyle w:val="Caption"/>
        <w:tabs>
          <w:tab w:val="num" w:pos="720"/>
        </w:tabs>
        <w:rPr>
          <w:color w:val="auto"/>
          <w:sz w:val="22"/>
          <w:szCs w:val="22"/>
        </w:rPr>
      </w:pPr>
      <w:bookmarkStart w:id="189" w:name="_Ref258528686"/>
      <w:bookmarkStart w:id="190" w:name="_Toc264227142"/>
      <w:proofErr w:type="gramStart"/>
      <w:r w:rsidRPr="00663CED">
        <w:rPr>
          <w:color w:val="auto"/>
          <w:sz w:val="22"/>
          <w:szCs w:val="22"/>
        </w:rPr>
        <w:t xml:space="preserve">Table </w:t>
      </w:r>
      <w:r w:rsidR="006B40AE" w:rsidRPr="00D74ABC">
        <w:rPr>
          <w:color w:val="auto"/>
          <w:sz w:val="22"/>
          <w:szCs w:val="22"/>
        </w:rPr>
        <w:fldChar w:fldCharType="begin"/>
      </w:r>
      <w:r w:rsidR="00D74ABC" w:rsidRPr="00D74ABC">
        <w:rPr>
          <w:color w:val="auto"/>
          <w:sz w:val="22"/>
          <w:szCs w:val="22"/>
        </w:rPr>
        <w:instrText xml:space="preserve"> SEQ Table \* ARABIC </w:instrText>
      </w:r>
      <w:r w:rsidR="006B40AE" w:rsidRPr="00D74ABC">
        <w:rPr>
          <w:color w:val="auto"/>
          <w:sz w:val="22"/>
          <w:szCs w:val="22"/>
        </w:rPr>
        <w:fldChar w:fldCharType="separate"/>
      </w:r>
      <w:r w:rsidR="009E2C86">
        <w:rPr>
          <w:noProof/>
          <w:color w:val="auto"/>
          <w:sz w:val="22"/>
          <w:szCs w:val="22"/>
        </w:rPr>
        <w:t>15</w:t>
      </w:r>
      <w:r w:rsidR="006B40AE" w:rsidRPr="00D74ABC">
        <w:rPr>
          <w:color w:val="auto"/>
          <w:sz w:val="22"/>
          <w:szCs w:val="22"/>
        </w:rPr>
        <w:fldChar w:fldCharType="end"/>
      </w:r>
      <w:bookmarkEnd w:id="189"/>
      <w:r w:rsidR="00D74ABC" w:rsidRPr="00D74ABC">
        <w:rPr>
          <w:color w:val="auto"/>
          <w:sz w:val="22"/>
          <w:szCs w:val="22"/>
        </w:rPr>
        <w:t>.</w:t>
      </w:r>
      <w:proofErr w:type="gramEnd"/>
      <w:r w:rsidR="00D74ABC" w:rsidRPr="00D74ABC">
        <w:rPr>
          <w:color w:val="auto"/>
          <w:sz w:val="22"/>
          <w:szCs w:val="22"/>
        </w:rPr>
        <w:t xml:space="preserve"> Estimated Average Annual Investment Needs for the Modernization of Rolling Stock (US$ million and thousands)</w:t>
      </w:r>
      <w:bookmarkEnd w:id="190"/>
    </w:p>
    <w:tbl>
      <w:tblPr>
        <w:tblW w:w="9105" w:type="dxa"/>
        <w:tblInd w:w="93" w:type="dxa"/>
        <w:tblBorders>
          <w:top w:val="single" w:sz="8" w:space="0" w:color="auto"/>
          <w:bottom w:val="single" w:sz="8" w:space="0" w:color="auto"/>
          <w:insideH w:val="single" w:sz="8" w:space="0" w:color="auto"/>
        </w:tblBorders>
        <w:tblLook w:val="04A0"/>
      </w:tblPr>
      <w:tblGrid>
        <w:gridCol w:w="2265"/>
        <w:gridCol w:w="900"/>
        <w:gridCol w:w="1440"/>
        <w:gridCol w:w="1530"/>
        <w:gridCol w:w="1530"/>
        <w:gridCol w:w="1440"/>
      </w:tblGrid>
      <w:tr w:rsidR="008046F3" w:rsidRPr="00663CED" w:rsidTr="00A52D36">
        <w:trPr>
          <w:trHeight w:val="872"/>
        </w:trPr>
        <w:tc>
          <w:tcPr>
            <w:tcW w:w="2265" w:type="dxa"/>
            <w:shd w:val="clear" w:color="auto" w:fill="auto"/>
            <w:noWrap/>
            <w:hideMark/>
          </w:tcPr>
          <w:p w:rsidR="008046F3" w:rsidRPr="00A52D36" w:rsidRDefault="00D74ABC" w:rsidP="00EB4908">
            <w:pPr>
              <w:tabs>
                <w:tab w:val="num" w:pos="720"/>
              </w:tabs>
              <w:rPr>
                <w:rFonts w:asciiTheme="minorHAnsi" w:hAnsiTheme="minorHAnsi"/>
                <w:color w:val="000000"/>
                <w:sz w:val="20"/>
                <w:szCs w:val="16"/>
              </w:rPr>
            </w:pPr>
            <w:r w:rsidRPr="00A52D36">
              <w:rPr>
                <w:rFonts w:asciiTheme="minorHAnsi" w:hAnsiTheme="minorHAnsi"/>
                <w:color w:val="000000"/>
                <w:sz w:val="20"/>
                <w:szCs w:val="16"/>
              </w:rPr>
              <w:t>Type of Rolling Stock</w:t>
            </w:r>
          </w:p>
        </w:tc>
        <w:tc>
          <w:tcPr>
            <w:tcW w:w="900" w:type="dxa"/>
            <w:shd w:val="clear" w:color="auto" w:fill="auto"/>
            <w:hideMark/>
          </w:tcPr>
          <w:p w:rsidR="008046F3" w:rsidRPr="00A52D36" w:rsidRDefault="00D74ABC" w:rsidP="00EB4908">
            <w:pPr>
              <w:tabs>
                <w:tab w:val="num" w:pos="720"/>
              </w:tabs>
              <w:jc w:val="center"/>
              <w:rPr>
                <w:rFonts w:asciiTheme="minorHAnsi" w:hAnsiTheme="minorHAnsi"/>
                <w:color w:val="000000"/>
                <w:sz w:val="20"/>
                <w:szCs w:val="16"/>
              </w:rPr>
            </w:pPr>
            <w:r w:rsidRPr="00A52D36">
              <w:rPr>
                <w:rFonts w:asciiTheme="minorHAnsi" w:hAnsiTheme="minorHAnsi"/>
                <w:color w:val="000000"/>
                <w:sz w:val="20"/>
                <w:szCs w:val="16"/>
              </w:rPr>
              <w:t>Units</w:t>
            </w:r>
          </w:p>
        </w:tc>
        <w:tc>
          <w:tcPr>
            <w:tcW w:w="1440" w:type="dxa"/>
            <w:shd w:val="clear" w:color="auto" w:fill="auto"/>
            <w:hideMark/>
          </w:tcPr>
          <w:p w:rsidR="008046F3" w:rsidRPr="00A52D36" w:rsidRDefault="00D74ABC" w:rsidP="00EB4908">
            <w:pPr>
              <w:tabs>
                <w:tab w:val="num" w:pos="720"/>
              </w:tabs>
              <w:rPr>
                <w:rFonts w:asciiTheme="minorHAnsi" w:hAnsiTheme="minorHAnsi"/>
                <w:color w:val="000000"/>
                <w:sz w:val="20"/>
                <w:szCs w:val="16"/>
              </w:rPr>
            </w:pPr>
            <w:r w:rsidRPr="00A52D36">
              <w:rPr>
                <w:rFonts w:asciiTheme="minorHAnsi" w:hAnsiTheme="minorHAnsi"/>
                <w:color w:val="000000"/>
                <w:sz w:val="20"/>
                <w:szCs w:val="16"/>
              </w:rPr>
              <w:t>Potential Suppliers</w:t>
            </w:r>
          </w:p>
        </w:tc>
        <w:tc>
          <w:tcPr>
            <w:tcW w:w="1530" w:type="dxa"/>
          </w:tcPr>
          <w:p w:rsidR="008046F3" w:rsidRPr="00A52D36" w:rsidRDefault="00D74ABC" w:rsidP="00EB4908">
            <w:pPr>
              <w:tabs>
                <w:tab w:val="num" w:pos="720"/>
              </w:tabs>
              <w:rPr>
                <w:rFonts w:asciiTheme="minorHAnsi" w:hAnsiTheme="minorHAnsi"/>
                <w:color w:val="000000"/>
                <w:sz w:val="20"/>
                <w:szCs w:val="16"/>
              </w:rPr>
            </w:pPr>
            <w:r w:rsidRPr="00A52D36">
              <w:rPr>
                <w:rFonts w:asciiTheme="minorHAnsi" w:hAnsiTheme="minorHAnsi"/>
                <w:color w:val="000000"/>
                <w:sz w:val="20"/>
                <w:szCs w:val="16"/>
              </w:rPr>
              <w:t>Average unit cost (modernization)</w:t>
            </w:r>
          </w:p>
          <w:p w:rsidR="008046F3" w:rsidRPr="00A52D36" w:rsidRDefault="00D74ABC" w:rsidP="00EB4908">
            <w:pPr>
              <w:tabs>
                <w:tab w:val="num" w:pos="720"/>
              </w:tabs>
              <w:rPr>
                <w:rFonts w:asciiTheme="minorHAnsi" w:hAnsiTheme="minorHAnsi"/>
                <w:color w:val="000000"/>
                <w:sz w:val="20"/>
                <w:szCs w:val="16"/>
              </w:rPr>
            </w:pPr>
            <w:r w:rsidRPr="00A52D36">
              <w:rPr>
                <w:rFonts w:asciiTheme="minorHAnsi" w:hAnsiTheme="minorHAnsi"/>
                <w:color w:val="000000"/>
                <w:sz w:val="20"/>
                <w:szCs w:val="16"/>
              </w:rPr>
              <w:t>US$ Thousands</w:t>
            </w:r>
          </w:p>
        </w:tc>
        <w:tc>
          <w:tcPr>
            <w:tcW w:w="1530" w:type="dxa"/>
          </w:tcPr>
          <w:p w:rsidR="008046F3" w:rsidRPr="00A52D36" w:rsidRDefault="00D74ABC" w:rsidP="00EB4908">
            <w:pPr>
              <w:tabs>
                <w:tab w:val="num" w:pos="720"/>
              </w:tabs>
              <w:rPr>
                <w:rFonts w:asciiTheme="minorHAnsi" w:hAnsiTheme="minorHAnsi"/>
                <w:color w:val="000000"/>
                <w:sz w:val="20"/>
                <w:szCs w:val="16"/>
              </w:rPr>
            </w:pPr>
            <w:r w:rsidRPr="00A52D36">
              <w:rPr>
                <w:rFonts w:asciiTheme="minorHAnsi" w:hAnsiTheme="minorHAnsi"/>
                <w:color w:val="000000"/>
                <w:sz w:val="20"/>
                <w:szCs w:val="16"/>
              </w:rPr>
              <w:t>Average unit cost (replacement)</w:t>
            </w:r>
          </w:p>
          <w:p w:rsidR="008046F3" w:rsidRPr="00A52D36" w:rsidRDefault="00D74ABC" w:rsidP="00EB4908">
            <w:pPr>
              <w:tabs>
                <w:tab w:val="num" w:pos="720"/>
              </w:tabs>
              <w:rPr>
                <w:rFonts w:asciiTheme="minorHAnsi" w:hAnsiTheme="minorHAnsi"/>
                <w:color w:val="000000"/>
                <w:sz w:val="20"/>
                <w:szCs w:val="16"/>
              </w:rPr>
            </w:pPr>
            <w:r w:rsidRPr="00A52D36">
              <w:rPr>
                <w:rFonts w:asciiTheme="minorHAnsi" w:hAnsiTheme="minorHAnsi"/>
                <w:color w:val="000000"/>
                <w:sz w:val="20"/>
                <w:szCs w:val="16"/>
              </w:rPr>
              <w:t>US$ Thousands</w:t>
            </w:r>
          </w:p>
        </w:tc>
        <w:tc>
          <w:tcPr>
            <w:tcW w:w="1440" w:type="dxa"/>
          </w:tcPr>
          <w:p w:rsidR="008046F3" w:rsidRPr="00A52D36" w:rsidRDefault="00D74ABC" w:rsidP="00EB4908">
            <w:pPr>
              <w:tabs>
                <w:tab w:val="num" w:pos="720"/>
              </w:tabs>
              <w:rPr>
                <w:rFonts w:asciiTheme="minorHAnsi" w:hAnsiTheme="minorHAnsi"/>
                <w:color w:val="000000"/>
                <w:sz w:val="20"/>
                <w:szCs w:val="16"/>
              </w:rPr>
            </w:pPr>
            <w:r w:rsidRPr="00A52D36">
              <w:rPr>
                <w:rFonts w:asciiTheme="minorHAnsi" w:hAnsiTheme="minorHAnsi"/>
                <w:color w:val="000000"/>
                <w:sz w:val="20"/>
                <w:szCs w:val="16"/>
              </w:rPr>
              <w:t>Necessary investment</w:t>
            </w:r>
          </w:p>
          <w:p w:rsidR="008046F3" w:rsidRPr="00A52D36" w:rsidRDefault="00D74ABC" w:rsidP="00EB4908">
            <w:pPr>
              <w:tabs>
                <w:tab w:val="num" w:pos="720"/>
              </w:tabs>
              <w:rPr>
                <w:rFonts w:asciiTheme="minorHAnsi" w:hAnsiTheme="minorHAnsi"/>
                <w:color w:val="000000"/>
                <w:sz w:val="20"/>
                <w:szCs w:val="16"/>
              </w:rPr>
            </w:pPr>
            <w:r w:rsidRPr="00A52D36">
              <w:rPr>
                <w:rFonts w:asciiTheme="minorHAnsi" w:hAnsiTheme="minorHAnsi"/>
                <w:color w:val="000000"/>
                <w:sz w:val="20"/>
                <w:szCs w:val="16"/>
              </w:rPr>
              <w:t>US$ Million/year</w:t>
            </w:r>
          </w:p>
        </w:tc>
      </w:tr>
      <w:tr w:rsidR="008046F3" w:rsidRPr="00663CED" w:rsidTr="00A52D36">
        <w:trPr>
          <w:trHeight w:val="315"/>
        </w:trPr>
        <w:tc>
          <w:tcPr>
            <w:tcW w:w="2265" w:type="dxa"/>
            <w:shd w:val="clear" w:color="auto" w:fill="auto"/>
            <w:noWrap/>
            <w:vAlign w:val="bottom"/>
            <w:hideMark/>
          </w:tcPr>
          <w:p w:rsidR="008046F3" w:rsidRPr="00A52D36" w:rsidRDefault="00D74ABC" w:rsidP="00EB4908">
            <w:pPr>
              <w:tabs>
                <w:tab w:val="num" w:pos="720"/>
              </w:tabs>
              <w:rPr>
                <w:rFonts w:asciiTheme="minorHAnsi" w:hAnsiTheme="minorHAnsi"/>
                <w:color w:val="000000"/>
                <w:sz w:val="20"/>
                <w:szCs w:val="16"/>
              </w:rPr>
            </w:pPr>
            <w:r w:rsidRPr="00A52D36">
              <w:rPr>
                <w:rFonts w:asciiTheme="minorHAnsi" w:hAnsiTheme="minorHAnsi"/>
                <w:color w:val="000000"/>
                <w:sz w:val="20"/>
                <w:szCs w:val="16"/>
              </w:rPr>
              <w:t>Freight wagons except tanks and refrigerators</w:t>
            </w:r>
          </w:p>
        </w:tc>
        <w:tc>
          <w:tcPr>
            <w:tcW w:w="900" w:type="dxa"/>
            <w:shd w:val="clear" w:color="auto" w:fill="auto"/>
            <w:noWrap/>
            <w:vAlign w:val="bottom"/>
            <w:hideMark/>
          </w:tcPr>
          <w:p w:rsidR="008046F3" w:rsidRPr="00A52D36" w:rsidRDefault="00D74ABC" w:rsidP="00EB4908">
            <w:pPr>
              <w:tabs>
                <w:tab w:val="num" w:pos="720"/>
              </w:tabs>
              <w:jc w:val="right"/>
              <w:rPr>
                <w:rFonts w:asciiTheme="minorHAnsi" w:hAnsiTheme="minorHAnsi"/>
                <w:color w:val="000000"/>
                <w:sz w:val="20"/>
                <w:szCs w:val="16"/>
              </w:rPr>
            </w:pPr>
            <w:r w:rsidRPr="00A52D36">
              <w:rPr>
                <w:rFonts w:asciiTheme="minorHAnsi" w:hAnsiTheme="minorHAnsi"/>
                <w:color w:val="000000"/>
                <w:sz w:val="20"/>
                <w:szCs w:val="16"/>
              </w:rPr>
              <w:t>24,937</w:t>
            </w:r>
          </w:p>
        </w:tc>
        <w:tc>
          <w:tcPr>
            <w:tcW w:w="1440" w:type="dxa"/>
            <w:shd w:val="clear" w:color="auto" w:fill="auto"/>
            <w:noWrap/>
            <w:vAlign w:val="bottom"/>
            <w:hideMark/>
          </w:tcPr>
          <w:p w:rsidR="008046F3" w:rsidRPr="00A52D36" w:rsidRDefault="00D74ABC" w:rsidP="00EB4908">
            <w:pPr>
              <w:tabs>
                <w:tab w:val="num" w:pos="720"/>
              </w:tabs>
              <w:rPr>
                <w:rFonts w:asciiTheme="minorHAnsi" w:hAnsiTheme="minorHAnsi"/>
                <w:color w:val="000000"/>
                <w:sz w:val="20"/>
                <w:szCs w:val="16"/>
              </w:rPr>
            </w:pPr>
            <w:r w:rsidRPr="00A52D36">
              <w:rPr>
                <w:rFonts w:asciiTheme="minorHAnsi" w:hAnsiTheme="minorHAnsi"/>
                <w:color w:val="000000"/>
                <w:sz w:val="20"/>
                <w:szCs w:val="16"/>
              </w:rPr>
              <w:t>Market</w:t>
            </w:r>
          </w:p>
        </w:tc>
        <w:tc>
          <w:tcPr>
            <w:tcW w:w="1530" w:type="dxa"/>
            <w:vAlign w:val="bottom"/>
          </w:tcPr>
          <w:p w:rsidR="008046F3" w:rsidRPr="00A52D36" w:rsidRDefault="00D74ABC" w:rsidP="00EB4908">
            <w:pPr>
              <w:tabs>
                <w:tab w:val="num" w:pos="720"/>
              </w:tabs>
              <w:jc w:val="right"/>
              <w:rPr>
                <w:rFonts w:ascii="Calibri" w:hAnsi="Calibri"/>
                <w:color w:val="000000"/>
                <w:sz w:val="20"/>
                <w:szCs w:val="16"/>
              </w:rPr>
            </w:pPr>
            <w:r w:rsidRPr="00A52D36">
              <w:rPr>
                <w:rFonts w:ascii="Calibri" w:hAnsi="Calibri"/>
                <w:color w:val="000000"/>
                <w:sz w:val="20"/>
                <w:szCs w:val="16"/>
              </w:rPr>
              <w:t>12,441</w:t>
            </w:r>
          </w:p>
        </w:tc>
        <w:tc>
          <w:tcPr>
            <w:tcW w:w="1530" w:type="dxa"/>
            <w:vAlign w:val="bottom"/>
          </w:tcPr>
          <w:p w:rsidR="008046F3" w:rsidRPr="00A52D36" w:rsidRDefault="00D74ABC" w:rsidP="00EB4908">
            <w:pPr>
              <w:tabs>
                <w:tab w:val="num" w:pos="720"/>
              </w:tabs>
              <w:jc w:val="right"/>
              <w:rPr>
                <w:rFonts w:ascii="Calibri" w:hAnsi="Calibri"/>
                <w:color w:val="000000"/>
                <w:sz w:val="20"/>
                <w:szCs w:val="16"/>
              </w:rPr>
            </w:pPr>
            <w:r w:rsidRPr="00A52D36">
              <w:rPr>
                <w:rFonts w:ascii="Calibri" w:hAnsi="Calibri"/>
                <w:color w:val="000000"/>
                <w:sz w:val="20"/>
                <w:szCs w:val="16"/>
              </w:rPr>
              <w:t>46,924</w:t>
            </w:r>
          </w:p>
        </w:tc>
        <w:tc>
          <w:tcPr>
            <w:tcW w:w="1440" w:type="dxa"/>
            <w:vAlign w:val="bottom"/>
          </w:tcPr>
          <w:p w:rsidR="008046F3" w:rsidRPr="00A52D36" w:rsidRDefault="00D74ABC" w:rsidP="00A52D36">
            <w:pPr>
              <w:jc w:val="right"/>
              <w:rPr>
                <w:rFonts w:asciiTheme="minorHAnsi" w:hAnsiTheme="minorHAnsi"/>
                <w:color w:val="000000"/>
                <w:sz w:val="20"/>
                <w:szCs w:val="16"/>
              </w:rPr>
            </w:pPr>
            <w:r w:rsidRPr="00A52D36">
              <w:rPr>
                <w:rFonts w:asciiTheme="minorHAnsi" w:hAnsiTheme="minorHAnsi"/>
                <w:color w:val="000000"/>
                <w:sz w:val="20"/>
                <w:szCs w:val="16"/>
              </w:rPr>
              <w:t>37.01</w:t>
            </w:r>
          </w:p>
        </w:tc>
      </w:tr>
      <w:tr w:rsidR="008046F3" w:rsidRPr="00663CED" w:rsidTr="00A52D36">
        <w:trPr>
          <w:trHeight w:val="315"/>
        </w:trPr>
        <w:tc>
          <w:tcPr>
            <w:tcW w:w="2265" w:type="dxa"/>
            <w:vMerge w:val="restart"/>
            <w:shd w:val="clear" w:color="auto" w:fill="auto"/>
            <w:vAlign w:val="center"/>
            <w:hideMark/>
          </w:tcPr>
          <w:p w:rsidR="008046F3" w:rsidRPr="00A52D36" w:rsidRDefault="00D74ABC" w:rsidP="00EB4908">
            <w:pPr>
              <w:tabs>
                <w:tab w:val="num" w:pos="720"/>
              </w:tabs>
              <w:rPr>
                <w:rFonts w:asciiTheme="minorHAnsi" w:hAnsiTheme="minorHAnsi"/>
                <w:color w:val="000000"/>
                <w:sz w:val="20"/>
                <w:szCs w:val="16"/>
              </w:rPr>
            </w:pPr>
            <w:r w:rsidRPr="00A52D36">
              <w:rPr>
                <w:rFonts w:asciiTheme="minorHAnsi" w:hAnsiTheme="minorHAnsi"/>
                <w:color w:val="000000"/>
                <w:sz w:val="20"/>
                <w:szCs w:val="16"/>
              </w:rPr>
              <w:t>Passenger coaches</w:t>
            </w:r>
          </w:p>
        </w:tc>
        <w:tc>
          <w:tcPr>
            <w:tcW w:w="900" w:type="dxa"/>
            <w:vMerge w:val="restart"/>
            <w:shd w:val="clear" w:color="auto" w:fill="auto"/>
            <w:noWrap/>
            <w:vAlign w:val="center"/>
            <w:hideMark/>
          </w:tcPr>
          <w:p w:rsidR="008046F3" w:rsidRPr="00A52D36" w:rsidRDefault="00D74ABC" w:rsidP="00EB4908">
            <w:pPr>
              <w:tabs>
                <w:tab w:val="num" w:pos="720"/>
              </w:tabs>
              <w:jc w:val="right"/>
              <w:rPr>
                <w:rFonts w:asciiTheme="minorHAnsi" w:hAnsiTheme="minorHAnsi"/>
                <w:color w:val="000000"/>
                <w:sz w:val="20"/>
                <w:szCs w:val="16"/>
              </w:rPr>
            </w:pPr>
            <w:r w:rsidRPr="00A52D36">
              <w:rPr>
                <w:rFonts w:asciiTheme="minorHAnsi" w:hAnsiTheme="minorHAnsi"/>
                <w:color w:val="000000"/>
                <w:sz w:val="20"/>
                <w:szCs w:val="16"/>
              </w:rPr>
              <w:t>1,719</w:t>
            </w:r>
          </w:p>
        </w:tc>
        <w:tc>
          <w:tcPr>
            <w:tcW w:w="1440" w:type="dxa"/>
            <w:shd w:val="clear" w:color="auto" w:fill="auto"/>
            <w:vAlign w:val="bottom"/>
            <w:hideMark/>
          </w:tcPr>
          <w:p w:rsidR="008046F3" w:rsidRPr="00A52D36" w:rsidRDefault="00D74ABC" w:rsidP="00EB4908">
            <w:pPr>
              <w:tabs>
                <w:tab w:val="num" w:pos="720"/>
              </w:tabs>
              <w:rPr>
                <w:rFonts w:asciiTheme="minorHAnsi" w:hAnsiTheme="minorHAnsi"/>
                <w:color w:val="000000"/>
                <w:sz w:val="20"/>
                <w:szCs w:val="16"/>
              </w:rPr>
            </w:pPr>
            <w:r w:rsidRPr="00A52D36">
              <w:rPr>
                <w:rFonts w:asciiTheme="minorHAnsi" w:hAnsiTheme="minorHAnsi"/>
                <w:color w:val="000000"/>
                <w:sz w:val="20"/>
                <w:szCs w:val="16"/>
              </w:rPr>
              <w:t xml:space="preserve">50% BR </w:t>
            </w:r>
          </w:p>
        </w:tc>
        <w:tc>
          <w:tcPr>
            <w:tcW w:w="1530" w:type="dxa"/>
            <w:vAlign w:val="bottom"/>
          </w:tcPr>
          <w:p w:rsidR="008046F3" w:rsidRPr="00A52D36" w:rsidRDefault="00D74ABC" w:rsidP="00EB4908">
            <w:pPr>
              <w:tabs>
                <w:tab w:val="num" w:pos="720"/>
              </w:tabs>
              <w:jc w:val="right"/>
              <w:rPr>
                <w:rFonts w:ascii="Calibri" w:hAnsi="Calibri"/>
                <w:color w:val="000000"/>
                <w:sz w:val="20"/>
                <w:szCs w:val="16"/>
              </w:rPr>
            </w:pPr>
            <w:r w:rsidRPr="00A52D36">
              <w:rPr>
                <w:rFonts w:ascii="Calibri" w:hAnsi="Calibri"/>
                <w:color w:val="000000"/>
                <w:sz w:val="20"/>
                <w:szCs w:val="16"/>
              </w:rPr>
              <w:t>367,177</w:t>
            </w:r>
          </w:p>
        </w:tc>
        <w:tc>
          <w:tcPr>
            <w:tcW w:w="1530" w:type="dxa"/>
            <w:vAlign w:val="bottom"/>
          </w:tcPr>
          <w:p w:rsidR="008046F3" w:rsidRPr="00A52D36" w:rsidRDefault="00D74ABC" w:rsidP="00EB4908">
            <w:pPr>
              <w:tabs>
                <w:tab w:val="num" w:pos="720"/>
              </w:tabs>
              <w:jc w:val="right"/>
              <w:rPr>
                <w:rFonts w:ascii="Calibri" w:hAnsi="Calibri"/>
                <w:color w:val="000000"/>
                <w:sz w:val="20"/>
                <w:szCs w:val="16"/>
              </w:rPr>
            </w:pPr>
            <w:r w:rsidRPr="00A52D36">
              <w:rPr>
                <w:rFonts w:ascii="Calibri" w:hAnsi="Calibri"/>
                <w:color w:val="000000"/>
                <w:sz w:val="20"/>
                <w:szCs w:val="16"/>
              </w:rPr>
              <w:t>692,658</w:t>
            </w:r>
          </w:p>
        </w:tc>
        <w:tc>
          <w:tcPr>
            <w:tcW w:w="1440" w:type="dxa"/>
            <w:vAlign w:val="bottom"/>
          </w:tcPr>
          <w:p w:rsidR="008046F3" w:rsidRPr="00A52D36" w:rsidRDefault="00D74ABC" w:rsidP="00EB4908">
            <w:pPr>
              <w:tabs>
                <w:tab w:val="num" w:pos="720"/>
              </w:tabs>
              <w:jc w:val="right"/>
              <w:rPr>
                <w:rFonts w:asciiTheme="minorHAnsi" w:hAnsiTheme="minorHAnsi"/>
                <w:color w:val="000000"/>
                <w:sz w:val="20"/>
                <w:szCs w:val="16"/>
              </w:rPr>
            </w:pPr>
            <w:r w:rsidRPr="00A52D36">
              <w:rPr>
                <w:rFonts w:asciiTheme="minorHAnsi" w:hAnsiTheme="minorHAnsi"/>
                <w:color w:val="000000"/>
                <w:sz w:val="20"/>
                <w:szCs w:val="16"/>
              </w:rPr>
              <w:t>22.77</w:t>
            </w:r>
          </w:p>
        </w:tc>
      </w:tr>
      <w:tr w:rsidR="008046F3" w:rsidRPr="00663CED" w:rsidTr="00A52D36">
        <w:trPr>
          <w:trHeight w:val="313"/>
        </w:trPr>
        <w:tc>
          <w:tcPr>
            <w:tcW w:w="2265" w:type="dxa"/>
            <w:vMerge/>
            <w:vAlign w:val="center"/>
            <w:hideMark/>
          </w:tcPr>
          <w:p w:rsidR="008046F3" w:rsidRPr="00A52D36" w:rsidRDefault="008046F3" w:rsidP="00EB4908">
            <w:pPr>
              <w:tabs>
                <w:tab w:val="num" w:pos="720"/>
              </w:tabs>
              <w:rPr>
                <w:rFonts w:asciiTheme="minorHAnsi" w:hAnsiTheme="minorHAnsi"/>
                <w:color w:val="000000"/>
                <w:sz w:val="20"/>
                <w:szCs w:val="16"/>
              </w:rPr>
            </w:pPr>
          </w:p>
        </w:tc>
        <w:tc>
          <w:tcPr>
            <w:tcW w:w="900" w:type="dxa"/>
            <w:vMerge/>
            <w:vAlign w:val="center"/>
            <w:hideMark/>
          </w:tcPr>
          <w:p w:rsidR="008046F3" w:rsidRPr="00A52D36" w:rsidRDefault="008046F3" w:rsidP="00EB4908">
            <w:pPr>
              <w:tabs>
                <w:tab w:val="num" w:pos="720"/>
              </w:tabs>
              <w:rPr>
                <w:rFonts w:asciiTheme="minorHAnsi" w:hAnsiTheme="minorHAnsi"/>
                <w:color w:val="000000"/>
                <w:sz w:val="20"/>
                <w:szCs w:val="16"/>
              </w:rPr>
            </w:pPr>
          </w:p>
        </w:tc>
        <w:tc>
          <w:tcPr>
            <w:tcW w:w="1440" w:type="dxa"/>
            <w:shd w:val="clear" w:color="auto" w:fill="auto"/>
            <w:vAlign w:val="bottom"/>
            <w:hideMark/>
          </w:tcPr>
          <w:p w:rsidR="008046F3" w:rsidRPr="00A52D36" w:rsidRDefault="00D74ABC" w:rsidP="00EB4908">
            <w:pPr>
              <w:tabs>
                <w:tab w:val="num" w:pos="720"/>
              </w:tabs>
              <w:rPr>
                <w:rFonts w:asciiTheme="minorHAnsi" w:hAnsiTheme="minorHAnsi"/>
                <w:color w:val="000000"/>
                <w:sz w:val="20"/>
                <w:szCs w:val="16"/>
              </w:rPr>
            </w:pPr>
            <w:r w:rsidRPr="00A52D36">
              <w:rPr>
                <w:rFonts w:asciiTheme="minorHAnsi" w:hAnsiTheme="minorHAnsi"/>
                <w:color w:val="000000"/>
                <w:sz w:val="20"/>
                <w:szCs w:val="16"/>
              </w:rPr>
              <w:t xml:space="preserve">50% Market </w:t>
            </w:r>
          </w:p>
        </w:tc>
        <w:tc>
          <w:tcPr>
            <w:tcW w:w="1530" w:type="dxa"/>
            <w:vAlign w:val="bottom"/>
          </w:tcPr>
          <w:p w:rsidR="008046F3" w:rsidRPr="00A52D36" w:rsidRDefault="00D74ABC" w:rsidP="00EB4908">
            <w:pPr>
              <w:tabs>
                <w:tab w:val="num" w:pos="720"/>
              </w:tabs>
              <w:jc w:val="right"/>
              <w:rPr>
                <w:rFonts w:ascii="Calibri" w:hAnsi="Calibri"/>
                <w:color w:val="000000"/>
                <w:sz w:val="20"/>
                <w:szCs w:val="16"/>
              </w:rPr>
            </w:pPr>
            <w:r w:rsidRPr="00A52D36">
              <w:rPr>
                <w:rFonts w:ascii="Calibri" w:hAnsi="Calibri"/>
                <w:color w:val="000000"/>
                <w:sz w:val="20"/>
                <w:szCs w:val="16"/>
              </w:rPr>
              <w:t>679,077</w:t>
            </w:r>
          </w:p>
        </w:tc>
        <w:tc>
          <w:tcPr>
            <w:tcW w:w="1530" w:type="dxa"/>
            <w:vAlign w:val="bottom"/>
          </w:tcPr>
          <w:p w:rsidR="008046F3" w:rsidRPr="00A52D36" w:rsidRDefault="00D74ABC" w:rsidP="00EB4908">
            <w:pPr>
              <w:tabs>
                <w:tab w:val="num" w:pos="720"/>
              </w:tabs>
              <w:jc w:val="right"/>
              <w:rPr>
                <w:rFonts w:ascii="Calibri" w:hAnsi="Calibri"/>
                <w:color w:val="000000"/>
                <w:sz w:val="20"/>
                <w:szCs w:val="16"/>
              </w:rPr>
            </w:pPr>
            <w:r w:rsidRPr="00A52D36">
              <w:rPr>
                <w:rFonts w:ascii="Calibri" w:hAnsi="Calibri"/>
                <w:color w:val="000000"/>
                <w:sz w:val="20"/>
                <w:szCs w:val="16"/>
              </w:rPr>
              <w:t>2,186,627</w:t>
            </w:r>
          </w:p>
        </w:tc>
        <w:tc>
          <w:tcPr>
            <w:tcW w:w="1440" w:type="dxa"/>
            <w:vAlign w:val="bottom"/>
          </w:tcPr>
          <w:p w:rsidR="008046F3" w:rsidRPr="00A52D36" w:rsidRDefault="00D74ABC" w:rsidP="00EB4908">
            <w:pPr>
              <w:tabs>
                <w:tab w:val="num" w:pos="720"/>
              </w:tabs>
              <w:jc w:val="right"/>
              <w:rPr>
                <w:rFonts w:asciiTheme="minorHAnsi" w:hAnsiTheme="minorHAnsi"/>
                <w:color w:val="000000"/>
                <w:sz w:val="20"/>
                <w:szCs w:val="16"/>
              </w:rPr>
            </w:pPr>
            <w:r w:rsidRPr="00A52D36">
              <w:rPr>
                <w:rFonts w:asciiTheme="minorHAnsi" w:hAnsiTheme="minorHAnsi"/>
                <w:color w:val="000000"/>
                <w:sz w:val="20"/>
                <w:szCs w:val="16"/>
              </w:rPr>
              <w:t>61.58</w:t>
            </w:r>
          </w:p>
        </w:tc>
      </w:tr>
      <w:tr w:rsidR="008046F3" w:rsidRPr="00663CED" w:rsidTr="00A52D36">
        <w:trPr>
          <w:trHeight w:val="315"/>
        </w:trPr>
        <w:tc>
          <w:tcPr>
            <w:tcW w:w="2265" w:type="dxa"/>
            <w:shd w:val="clear" w:color="auto" w:fill="auto"/>
            <w:noWrap/>
            <w:vAlign w:val="bottom"/>
            <w:hideMark/>
          </w:tcPr>
          <w:p w:rsidR="008046F3" w:rsidRPr="00A52D36" w:rsidRDefault="00D74ABC" w:rsidP="00EB4908">
            <w:pPr>
              <w:tabs>
                <w:tab w:val="num" w:pos="720"/>
              </w:tabs>
              <w:rPr>
                <w:rFonts w:asciiTheme="minorHAnsi" w:hAnsiTheme="minorHAnsi"/>
                <w:color w:val="000000"/>
                <w:sz w:val="20"/>
                <w:szCs w:val="16"/>
              </w:rPr>
            </w:pPr>
            <w:r w:rsidRPr="00A52D36">
              <w:rPr>
                <w:rFonts w:asciiTheme="minorHAnsi" w:hAnsiTheme="minorHAnsi"/>
                <w:color w:val="000000"/>
                <w:sz w:val="20"/>
                <w:szCs w:val="16"/>
              </w:rPr>
              <w:t>Multiple unit sets</w:t>
            </w:r>
          </w:p>
        </w:tc>
        <w:tc>
          <w:tcPr>
            <w:tcW w:w="900" w:type="dxa"/>
            <w:shd w:val="clear" w:color="auto" w:fill="auto"/>
            <w:noWrap/>
            <w:vAlign w:val="bottom"/>
            <w:hideMark/>
          </w:tcPr>
          <w:p w:rsidR="008046F3" w:rsidRPr="00A52D36" w:rsidRDefault="00D74ABC" w:rsidP="00EB4908">
            <w:pPr>
              <w:tabs>
                <w:tab w:val="num" w:pos="720"/>
              </w:tabs>
              <w:jc w:val="right"/>
              <w:rPr>
                <w:rFonts w:asciiTheme="minorHAnsi" w:hAnsiTheme="minorHAnsi"/>
                <w:color w:val="000000"/>
                <w:sz w:val="20"/>
                <w:szCs w:val="16"/>
              </w:rPr>
            </w:pPr>
            <w:r w:rsidRPr="00A52D36">
              <w:rPr>
                <w:rFonts w:asciiTheme="minorHAnsi" w:hAnsiTheme="minorHAnsi"/>
                <w:color w:val="000000"/>
                <w:sz w:val="20"/>
                <w:szCs w:val="16"/>
              </w:rPr>
              <w:t>197</w:t>
            </w:r>
          </w:p>
        </w:tc>
        <w:tc>
          <w:tcPr>
            <w:tcW w:w="1440" w:type="dxa"/>
            <w:shd w:val="clear" w:color="auto" w:fill="auto"/>
            <w:noWrap/>
            <w:vAlign w:val="bottom"/>
            <w:hideMark/>
          </w:tcPr>
          <w:p w:rsidR="008046F3" w:rsidRPr="00A52D36" w:rsidRDefault="00D74ABC" w:rsidP="00EB4908">
            <w:pPr>
              <w:tabs>
                <w:tab w:val="num" w:pos="720"/>
              </w:tabs>
              <w:rPr>
                <w:rFonts w:asciiTheme="minorHAnsi" w:hAnsiTheme="minorHAnsi"/>
                <w:color w:val="000000"/>
                <w:sz w:val="20"/>
                <w:szCs w:val="16"/>
              </w:rPr>
            </w:pPr>
            <w:r w:rsidRPr="00A52D36">
              <w:rPr>
                <w:rFonts w:asciiTheme="minorHAnsi" w:hAnsiTheme="minorHAnsi"/>
                <w:color w:val="000000"/>
                <w:sz w:val="20"/>
                <w:szCs w:val="16"/>
              </w:rPr>
              <w:t>Market</w:t>
            </w:r>
          </w:p>
        </w:tc>
        <w:tc>
          <w:tcPr>
            <w:tcW w:w="1530" w:type="dxa"/>
            <w:vAlign w:val="bottom"/>
          </w:tcPr>
          <w:p w:rsidR="008046F3" w:rsidRPr="00A52D36" w:rsidRDefault="00D74ABC" w:rsidP="00EB4908">
            <w:pPr>
              <w:tabs>
                <w:tab w:val="num" w:pos="720"/>
              </w:tabs>
              <w:jc w:val="right"/>
              <w:rPr>
                <w:rFonts w:ascii="Calibri" w:hAnsi="Calibri"/>
                <w:color w:val="000000"/>
                <w:sz w:val="20"/>
                <w:szCs w:val="16"/>
              </w:rPr>
            </w:pPr>
            <w:r w:rsidRPr="00A52D36">
              <w:rPr>
                <w:rFonts w:ascii="Calibri" w:hAnsi="Calibri"/>
                <w:color w:val="000000"/>
                <w:sz w:val="20"/>
                <w:szCs w:val="16"/>
              </w:rPr>
              <w:t>3,232,406</w:t>
            </w:r>
          </w:p>
        </w:tc>
        <w:tc>
          <w:tcPr>
            <w:tcW w:w="1530" w:type="dxa"/>
            <w:vAlign w:val="bottom"/>
          </w:tcPr>
          <w:p w:rsidR="008046F3" w:rsidRPr="00A52D36" w:rsidRDefault="00D74ABC" w:rsidP="00EB4908">
            <w:pPr>
              <w:tabs>
                <w:tab w:val="num" w:pos="720"/>
              </w:tabs>
              <w:jc w:val="right"/>
              <w:rPr>
                <w:rFonts w:ascii="Calibri" w:hAnsi="Calibri"/>
                <w:color w:val="000000"/>
                <w:sz w:val="20"/>
                <w:szCs w:val="16"/>
              </w:rPr>
            </w:pPr>
            <w:r w:rsidRPr="00A52D36">
              <w:rPr>
                <w:rFonts w:ascii="Calibri" w:hAnsi="Calibri"/>
                <w:color w:val="000000"/>
                <w:sz w:val="20"/>
                <w:szCs w:val="16"/>
              </w:rPr>
              <w:t>8,081,014</w:t>
            </w:r>
          </w:p>
        </w:tc>
        <w:tc>
          <w:tcPr>
            <w:tcW w:w="1440" w:type="dxa"/>
            <w:vAlign w:val="bottom"/>
          </w:tcPr>
          <w:p w:rsidR="008046F3" w:rsidRPr="00A52D36" w:rsidRDefault="00D74ABC" w:rsidP="00EB4908">
            <w:pPr>
              <w:tabs>
                <w:tab w:val="num" w:pos="720"/>
              </w:tabs>
              <w:jc w:val="right"/>
              <w:rPr>
                <w:rFonts w:asciiTheme="minorHAnsi" w:hAnsiTheme="minorHAnsi"/>
                <w:color w:val="000000"/>
                <w:sz w:val="20"/>
                <w:szCs w:val="16"/>
              </w:rPr>
            </w:pPr>
            <w:r w:rsidRPr="00A52D36">
              <w:rPr>
                <w:rFonts w:asciiTheme="minorHAnsi" w:hAnsiTheme="minorHAnsi"/>
                <w:color w:val="000000"/>
                <w:sz w:val="20"/>
                <w:szCs w:val="16"/>
              </w:rPr>
              <w:t>55.72</w:t>
            </w:r>
          </w:p>
        </w:tc>
      </w:tr>
      <w:tr w:rsidR="008046F3" w:rsidRPr="00663CED" w:rsidTr="00A52D36">
        <w:trPr>
          <w:trHeight w:val="315"/>
        </w:trPr>
        <w:tc>
          <w:tcPr>
            <w:tcW w:w="2265" w:type="dxa"/>
            <w:shd w:val="clear" w:color="auto" w:fill="auto"/>
            <w:noWrap/>
            <w:vAlign w:val="bottom"/>
            <w:hideMark/>
          </w:tcPr>
          <w:p w:rsidR="008046F3" w:rsidRPr="00A52D36" w:rsidRDefault="00D74ABC" w:rsidP="00EB4908">
            <w:pPr>
              <w:tabs>
                <w:tab w:val="num" w:pos="720"/>
              </w:tabs>
              <w:rPr>
                <w:rFonts w:asciiTheme="minorHAnsi" w:hAnsiTheme="minorHAnsi"/>
                <w:color w:val="000000"/>
                <w:sz w:val="20"/>
                <w:szCs w:val="16"/>
              </w:rPr>
            </w:pPr>
            <w:r w:rsidRPr="00A52D36">
              <w:rPr>
                <w:rFonts w:asciiTheme="minorHAnsi" w:hAnsiTheme="minorHAnsi"/>
                <w:color w:val="000000"/>
                <w:sz w:val="20"/>
                <w:szCs w:val="16"/>
              </w:rPr>
              <w:t>Locomotives</w:t>
            </w:r>
          </w:p>
        </w:tc>
        <w:tc>
          <w:tcPr>
            <w:tcW w:w="900" w:type="dxa"/>
            <w:shd w:val="clear" w:color="auto" w:fill="auto"/>
            <w:noWrap/>
            <w:vAlign w:val="bottom"/>
            <w:hideMark/>
          </w:tcPr>
          <w:p w:rsidR="008046F3" w:rsidRPr="00A52D36" w:rsidRDefault="00D74ABC" w:rsidP="00EB4908">
            <w:pPr>
              <w:tabs>
                <w:tab w:val="num" w:pos="720"/>
              </w:tabs>
              <w:jc w:val="right"/>
              <w:rPr>
                <w:rFonts w:asciiTheme="minorHAnsi" w:hAnsiTheme="minorHAnsi"/>
                <w:color w:val="000000"/>
                <w:sz w:val="20"/>
                <w:szCs w:val="16"/>
              </w:rPr>
            </w:pPr>
            <w:r w:rsidRPr="00A52D36">
              <w:rPr>
                <w:rFonts w:asciiTheme="minorHAnsi" w:hAnsiTheme="minorHAnsi"/>
                <w:color w:val="000000"/>
                <w:sz w:val="20"/>
                <w:szCs w:val="16"/>
              </w:rPr>
              <w:t>833</w:t>
            </w:r>
          </w:p>
        </w:tc>
        <w:tc>
          <w:tcPr>
            <w:tcW w:w="1440" w:type="dxa"/>
            <w:shd w:val="clear" w:color="auto" w:fill="auto"/>
            <w:noWrap/>
            <w:vAlign w:val="bottom"/>
            <w:hideMark/>
          </w:tcPr>
          <w:p w:rsidR="008046F3" w:rsidRPr="00A52D36" w:rsidRDefault="00D74ABC" w:rsidP="00EB4908">
            <w:pPr>
              <w:tabs>
                <w:tab w:val="num" w:pos="720"/>
              </w:tabs>
              <w:rPr>
                <w:rFonts w:asciiTheme="minorHAnsi" w:hAnsiTheme="minorHAnsi"/>
                <w:color w:val="000000"/>
                <w:sz w:val="20"/>
                <w:szCs w:val="16"/>
              </w:rPr>
            </w:pPr>
            <w:r w:rsidRPr="00A52D36">
              <w:rPr>
                <w:rFonts w:asciiTheme="minorHAnsi" w:hAnsiTheme="minorHAnsi"/>
                <w:color w:val="000000"/>
                <w:sz w:val="20"/>
                <w:szCs w:val="16"/>
              </w:rPr>
              <w:t>Market</w:t>
            </w:r>
          </w:p>
        </w:tc>
        <w:tc>
          <w:tcPr>
            <w:tcW w:w="1530" w:type="dxa"/>
            <w:vAlign w:val="bottom"/>
          </w:tcPr>
          <w:p w:rsidR="008046F3" w:rsidRPr="00A52D36" w:rsidRDefault="00D74ABC" w:rsidP="00EB4908">
            <w:pPr>
              <w:tabs>
                <w:tab w:val="num" w:pos="720"/>
              </w:tabs>
              <w:jc w:val="right"/>
              <w:rPr>
                <w:rFonts w:ascii="Calibri" w:hAnsi="Calibri"/>
                <w:color w:val="000000"/>
                <w:sz w:val="20"/>
                <w:szCs w:val="16"/>
              </w:rPr>
            </w:pPr>
            <w:r w:rsidRPr="00A52D36">
              <w:rPr>
                <w:rFonts w:ascii="Calibri" w:hAnsi="Calibri"/>
                <w:color w:val="000000"/>
                <w:sz w:val="20"/>
                <w:szCs w:val="16"/>
              </w:rPr>
              <w:t>604,378</w:t>
            </w:r>
          </w:p>
        </w:tc>
        <w:tc>
          <w:tcPr>
            <w:tcW w:w="1530" w:type="dxa"/>
            <w:vAlign w:val="bottom"/>
          </w:tcPr>
          <w:p w:rsidR="008046F3" w:rsidRPr="00A52D36" w:rsidRDefault="00D74ABC" w:rsidP="00EB4908">
            <w:pPr>
              <w:tabs>
                <w:tab w:val="num" w:pos="720"/>
              </w:tabs>
              <w:jc w:val="right"/>
              <w:rPr>
                <w:rFonts w:ascii="Calibri" w:hAnsi="Calibri"/>
                <w:color w:val="000000"/>
                <w:sz w:val="20"/>
                <w:szCs w:val="16"/>
              </w:rPr>
            </w:pPr>
            <w:r w:rsidRPr="00A52D36">
              <w:rPr>
                <w:rFonts w:ascii="Calibri" w:hAnsi="Calibri"/>
                <w:color w:val="000000"/>
                <w:sz w:val="20"/>
                <w:szCs w:val="16"/>
              </w:rPr>
              <w:t>3,028,683</w:t>
            </w:r>
          </w:p>
        </w:tc>
        <w:tc>
          <w:tcPr>
            <w:tcW w:w="1440" w:type="dxa"/>
            <w:vAlign w:val="bottom"/>
          </w:tcPr>
          <w:p w:rsidR="008046F3" w:rsidRPr="00A52D36" w:rsidRDefault="00D74ABC" w:rsidP="00EB4908">
            <w:pPr>
              <w:tabs>
                <w:tab w:val="num" w:pos="720"/>
              </w:tabs>
              <w:jc w:val="right"/>
              <w:rPr>
                <w:rFonts w:asciiTheme="minorHAnsi" w:hAnsiTheme="minorHAnsi"/>
                <w:color w:val="000000"/>
                <w:sz w:val="20"/>
                <w:szCs w:val="16"/>
              </w:rPr>
            </w:pPr>
            <w:r w:rsidRPr="00A52D36">
              <w:rPr>
                <w:rFonts w:asciiTheme="minorHAnsi" w:hAnsiTheme="minorHAnsi"/>
                <w:color w:val="000000"/>
                <w:sz w:val="20"/>
                <w:szCs w:val="16"/>
              </w:rPr>
              <w:t>75.66</w:t>
            </w:r>
          </w:p>
        </w:tc>
      </w:tr>
      <w:tr w:rsidR="008046F3" w:rsidRPr="008046F3" w:rsidTr="00A52D36">
        <w:trPr>
          <w:trHeight w:val="315"/>
        </w:trPr>
        <w:tc>
          <w:tcPr>
            <w:tcW w:w="4605" w:type="dxa"/>
            <w:gridSpan w:val="3"/>
            <w:shd w:val="clear" w:color="auto" w:fill="auto"/>
            <w:noWrap/>
            <w:vAlign w:val="center"/>
            <w:hideMark/>
          </w:tcPr>
          <w:p w:rsidR="008046F3" w:rsidRPr="00A52D36" w:rsidRDefault="00D74ABC" w:rsidP="00EB4908">
            <w:pPr>
              <w:tabs>
                <w:tab w:val="num" w:pos="720"/>
              </w:tabs>
              <w:rPr>
                <w:rFonts w:asciiTheme="minorHAnsi" w:hAnsiTheme="minorHAnsi"/>
                <w:b/>
                <w:color w:val="000000"/>
                <w:sz w:val="20"/>
                <w:szCs w:val="16"/>
              </w:rPr>
            </w:pPr>
            <w:r w:rsidRPr="00A52D36">
              <w:rPr>
                <w:rFonts w:asciiTheme="minorHAnsi" w:hAnsiTheme="minorHAnsi"/>
                <w:b/>
                <w:color w:val="000000"/>
                <w:sz w:val="20"/>
                <w:szCs w:val="16"/>
              </w:rPr>
              <w:t>Grand Total</w:t>
            </w:r>
          </w:p>
        </w:tc>
        <w:tc>
          <w:tcPr>
            <w:tcW w:w="1530" w:type="dxa"/>
            <w:vAlign w:val="center"/>
          </w:tcPr>
          <w:p w:rsidR="008046F3" w:rsidRPr="00A52D36" w:rsidRDefault="008046F3" w:rsidP="00EB4908">
            <w:pPr>
              <w:tabs>
                <w:tab w:val="num" w:pos="720"/>
              </w:tabs>
              <w:jc w:val="right"/>
              <w:rPr>
                <w:rFonts w:asciiTheme="minorHAnsi" w:hAnsiTheme="minorHAnsi"/>
                <w:b/>
                <w:color w:val="000000"/>
                <w:sz w:val="20"/>
                <w:szCs w:val="16"/>
              </w:rPr>
            </w:pPr>
          </w:p>
        </w:tc>
        <w:tc>
          <w:tcPr>
            <w:tcW w:w="1530" w:type="dxa"/>
            <w:vAlign w:val="center"/>
          </w:tcPr>
          <w:p w:rsidR="008046F3" w:rsidRPr="00A52D36" w:rsidRDefault="008046F3" w:rsidP="00EB4908">
            <w:pPr>
              <w:tabs>
                <w:tab w:val="num" w:pos="720"/>
              </w:tabs>
              <w:jc w:val="right"/>
              <w:rPr>
                <w:rFonts w:asciiTheme="minorHAnsi" w:hAnsiTheme="minorHAnsi"/>
                <w:b/>
                <w:color w:val="000000"/>
                <w:sz w:val="20"/>
                <w:szCs w:val="16"/>
              </w:rPr>
            </w:pPr>
          </w:p>
        </w:tc>
        <w:tc>
          <w:tcPr>
            <w:tcW w:w="1440" w:type="dxa"/>
            <w:vAlign w:val="center"/>
          </w:tcPr>
          <w:p w:rsidR="008046F3" w:rsidRPr="00A52D36" w:rsidRDefault="00D74ABC" w:rsidP="00EB4908">
            <w:pPr>
              <w:tabs>
                <w:tab w:val="num" w:pos="720"/>
              </w:tabs>
              <w:jc w:val="right"/>
              <w:rPr>
                <w:rFonts w:ascii="Calibri" w:hAnsi="Calibri"/>
                <w:b/>
                <w:color w:val="000000"/>
                <w:sz w:val="20"/>
                <w:szCs w:val="16"/>
              </w:rPr>
            </w:pPr>
            <w:r w:rsidRPr="00A52D36">
              <w:rPr>
                <w:rFonts w:ascii="Calibri" w:hAnsi="Calibri"/>
                <w:b/>
                <w:color w:val="000000"/>
                <w:sz w:val="20"/>
                <w:szCs w:val="16"/>
              </w:rPr>
              <w:t>252.74</w:t>
            </w:r>
          </w:p>
        </w:tc>
      </w:tr>
      <w:tr w:rsidR="008046F3" w:rsidRPr="008046F3" w:rsidTr="00A52D36">
        <w:trPr>
          <w:trHeight w:val="315"/>
        </w:trPr>
        <w:tc>
          <w:tcPr>
            <w:tcW w:w="9105" w:type="dxa"/>
            <w:gridSpan w:val="6"/>
            <w:shd w:val="clear" w:color="auto" w:fill="auto"/>
            <w:noWrap/>
            <w:vAlign w:val="bottom"/>
            <w:hideMark/>
          </w:tcPr>
          <w:p w:rsidR="008046F3" w:rsidRPr="00A52D36" w:rsidRDefault="008046F3" w:rsidP="00363A67">
            <w:pPr>
              <w:tabs>
                <w:tab w:val="num" w:pos="720"/>
              </w:tabs>
              <w:rPr>
                <w:rFonts w:asciiTheme="minorHAnsi" w:hAnsiTheme="minorHAnsi"/>
                <w:bCs/>
                <w:color w:val="000000"/>
                <w:sz w:val="20"/>
                <w:szCs w:val="16"/>
              </w:rPr>
            </w:pPr>
            <w:r w:rsidRPr="00A52D36">
              <w:rPr>
                <w:rFonts w:asciiTheme="minorHAnsi" w:hAnsiTheme="minorHAnsi"/>
                <w:bCs/>
                <w:color w:val="000000"/>
                <w:sz w:val="20"/>
                <w:szCs w:val="16"/>
              </w:rPr>
              <w:t xml:space="preserve">Source: Data reported by Belarusian Railways. Estimates developed by the </w:t>
            </w:r>
            <w:r w:rsidR="00363A67" w:rsidRPr="00A52D36">
              <w:rPr>
                <w:rFonts w:asciiTheme="minorHAnsi" w:hAnsiTheme="minorHAnsi"/>
                <w:bCs/>
                <w:color w:val="000000"/>
                <w:sz w:val="20"/>
                <w:szCs w:val="16"/>
              </w:rPr>
              <w:t xml:space="preserve">World </w:t>
            </w:r>
            <w:r w:rsidRPr="00A52D36">
              <w:rPr>
                <w:rFonts w:asciiTheme="minorHAnsi" w:hAnsiTheme="minorHAnsi"/>
                <w:bCs/>
                <w:color w:val="000000"/>
                <w:sz w:val="20"/>
                <w:szCs w:val="16"/>
              </w:rPr>
              <w:t xml:space="preserve">Bank team. </w:t>
            </w:r>
          </w:p>
        </w:tc>
      </w:tr>
    </w:tbl>
    <w:p w:rsidR="009D106A" w:rsidRDefault="009D106A" w:rsidP="009D106A">
      <w:pPr>
        <w:tabs>
          <w:tab w:val="num" w:pos="3420"/>
        </w:tabs>
        <w:spacing w:after="120"/>
        <w:jc w:val="both"/>
      </w:pPr>
    </w:p>
    <w:p w:rsidR="00093652" w:rsidRDefault="00093652" w:rsidP="00093652">
      <w:pPr>
        <w:pStyle w:val="Heading3"/>
        <w:tabs>
          <w:tab w:val="num" w:pos="720"/>
        </w:tabs>
        <w:spacing w:after="240"/>
      </w:pPr>
      <w:bookmarkStart w:id="191" w:name="_Toc282029953"/>
      <w:r>
        <w:rPr>
          <w:rFonts w:ascii="Times New Roman" w:hAnsi="Times New Roman" w:cs="Times New Roman"/>
          <w:sz w:val="24"/>
          <w:szCs w:val="24"/>
        </w:rPr>
        <w:t>Organizational Structure of the Railway Transportation System</w:t>
      </w:r>
      <w:bookmarkEnd w:id="191"/>
    </w:p>
    <w:p w:rsidR="00093652" w:rsidRPr="00070903" w:rsidRDefault="004B16F0" w:rsidP="004B16F0">
      <w:pPr>
        <w:pStyle w:val="Style3"/>
        <w:rPr>
          <w:b w:val="0"/>
        </w:rPr>
      </w:pPr>
      <w:r>
        <w:tab/>
      </w:r>
      <w:r w:rsidR="00093652" w:rsidRPr="0093180B">
        <w:t>A special law regulates the railway transportation system in Belarus</w:t>
      </w:r>
      <w:r w:rsidR="005A21CD">
        <w:t>.</w:t>
      </w:r>
      <w:r w:rsidR="00093652" w:rsidRPr="0093180B">
        <w:rPr>
          <w:rStyle w:val="FootnoteReference"/>
          <w:b w:val="0"/>
          <w:bCs/>
          <w:sz w:val="24"/>
          <w:szCs w:val="24"/>
        </w:rPr>
        <w:footnoteReference w:id="33"/>
      </w:r>
      <w:r w:rsidR="005A21CD">
        <w:t xml:space="preserve"> </w:t>
      </w:r>
      <w:r w:rsidR="00093652" w:rsidRPr="00093652">
        <w:t xml:space="preserve"> </w:t>
      </w:r>
      <w:r w:rsidR="00093652" w:rsidRPr="00070903">
        <w:rPr>
          <w:b w:val="0"/>
        </w:rPr>
        <w:t>The Law of Railway Transport was published on January 6, 1999</w:t>
      </w:r>
      <w:r w:rsidR="00363A67" w:rsidRPr="00070903">
        <w:rPr>
          <w:rStyle w:val="FootnoteReference"/>
          <w:b w:val="0"/>
        </w:rPr>
        <w:footnoteReference w:id="34"/>
      </w:r>
      <w:r w:rsidR="00363A67" w:rsidRPr="00070903">
        <w:rPr>
          <w:b w:val="0"/>
        </w:rPr>
        <w:t xml:space="preserve"> </w:t>
      </w:r>
      <w:r w:rsidR="00093652" w:rsidRPr="00070903">
        <w:rPr>
          <w:b w:val="0"/>
        </w:rPr>
        <w:t>and defines the legal and institutional framework for the railway transportation system in Belarus. According to the provisions of the law, the railway is organized as an “association” of state-owned entities with the name of Belarusian Railways. Belarusian Railways is a commercial organization (meaning that it has the right to sign commercial contracts) under the supervision of the Ministry of Transport and Communications. The national bodies of state regulations, of local regulations, public and other organizations, in principle, may not interfere with the activities of rail transport.</w:t>
      </w:r>
    </w:p>
    <w:p w:rsidR="00093652" w:rsidRPr="00070903" w:rsidRDefault="00070903" w:rsidP="00070903">
      <w:pPr>
        <w:pStyle w:val="Style3"/>
        <w:rPr>
          <w:b w:val="0"/>
        </w:rPr>
      </w:pPr>
      <w:r>
        <w:tab/>
      </w:r>
      <w:r w:rsidR="00093652" w:rsidRPr="007777E2">
        <w:t xml:space="preserve">Belarusian Railways is an “association,” which includes various units. </w:t>
      </w:r>
      <w:r w:rsidR="00093652" w:rsidRPr="00070903">
        <w:rPr>
          <w:b w:val="0"/>
        </w:rPr>
        <w:t>These</w:t>
      </w:r>
      <w:r w:rsidR="00363A67" w:rsidRPr="00070903">
        <w:rPr>
          <w:b w:val="0"/>
        </w:rPr>
        <w:t xml:space="preserve"> units</w:t>
      </w:r>
      <w:r w:rsidR="00093652" w:rsidRPr="00070903">
        <w:rPr>
          <w:b w:val="0"/>
        </w:rPr>
        <w:t xml:space="preserve"> </w:t>
      </w:r>
      <w:r w:rsidR="00363A67" w:rsidRPr="00070903">
        <w:rPr>
          <w:b w:val="0"/>
        </w:rPr>
        <w:t>(</w:t>
      </w:r>
      <w:proofErr w:type="spellStart"/>
      <w:r w:rsidR="00363A67" w:rsidRPr="00070903">
        <w:rPr>
          <w:b w:val="0"/>
        </w:rPr>
        <w:t>i</w:t>
      </w:r>
      <w:proofErr w:type="spellEnd"/>
      <w:r w:rsidR="00363A67" w:rsidRPr="00070903">
        <w:rPr>
          <w:b w:val="0"/>
        </w:rPr>
        <w:t xml:space="preserve">) </w:t>
      </w:r>
      <w:r w:rsidR="00093652" w:rsidRPr="00070903">
        <w:rPr>
          <w:b w:val="0"/>
        </w:rPr>
        <w:t xml:space="preserve">operate freight and passenger transport services; </w:t>
      </w:r>
      <w:r w:rsidR="00363A67" w:rsidRPr="00070903">
        <w:rPr>
          <w:b w:val="0"/>
        </w:rPr>
        <w:t xml:space="preserve">(ii) </w:t>
      </w:r>
      <w:r w:rsidR="00093652" w:rsidRPr="00070903">
        <w:rPr>
          <w:b w:val="0"/>
        </w:rPr>
        <w:t xml:space="preserve">maintain and repair infrastructure; </w:t>
      </w:r>
      <w:r w:rsidR="00363A67" w:rsidRPr="00070903">
        <w:rPr>
          <w:b w:val="0"/>
        </w:rPr>
        <w:t xml:space="preserve">(iii) </w:t>
      </w:r>
      <w:r w:rsidR="00093652" w:rsidRPr="00070903">
        <w:rPr>
          <w:b w:val="0"/>
        </w:rPr>
        <w:lastRenderedPageBreak/>
        <w:t>maintain and repair rolling stock, power supply, signaling and telecommunications, information technology for railways</w:t>
      </w:r>
      <w:r w:rsidR="00363A67" w:rsidRPr="00070903">
        <w:rPr>
          <w:b w:val="0"/>
        </w:rPr>
        <w:t xml:space="preserve">; (iv) operate </w:t>
      </w:r>
      <w:r w:rsidR="00093652" w:rsidRPr="00070903">
        <w:rPr>
          <w:b w:val="0"/>
        </w:rPr>
        <w:t>social activity units</w:t>
      </w:r>
      <w:r w:rsidR="00363A67" w:rsidRPr="00070903">
        <w:rPr>
          <w:b w:val="0"/>
        </w:rPr>
        <w:t xml:space="preserve"> such as </w:t>
      </w:r>
      <w:r w:rsidR="00093652" w:rsidRPr="00070903">
        <w:rPr>
          <w:b w:val="0"/>
        </w:rPr>
        <w:t>kindergartens, training centers, health units</w:t>
      </w:r>
      <w:r w:rsidR="00363A67" w:rsidRPr="00070903">
        <w:rPr>
          <w:b w:val="0"/>
        </w:rPr>
        <w:t xml:space="preserve"> and </w:t>
      </w:r>
      <w:r w:rsidR="00093652" w:rsidRPr="00070903">
        <w:rPr>
          <w:b w:val="0"/>
        </w:rPr>
        <w:t xml:space="preserve">sport complexes, and </w:t>
      </w:r>
      <w:r w:rsidR="00363A67" w:rsidRPr="00070903">
        <w:rPr>
          <w:b w:val="0"/>
        </w:rPr>
        <w:t xml:space="preserve">(v) </w:t>
      </w:r>
      <w:r w:rsidR="00093652" w:rsidRPr="00070903">
        <w:rPr>
          <w:b w:val="0"/>
        </w:rPr>
        <w:t>produc</w:t>
      </w:r>
      <w:r w:rsidR="00363A67" w:rsidRPr="00070903">
        <w:rPr>
          <w:b w:val="0"/>
        </w:rPr>
        <w:t>e goods and services unrelated to railway operations</w:t>
      </w:r>
      <w:r w:rsidR="00E123B6" w:rsidRPr="00070903">
        <w:rPr>
          <w:b w:val="0"/>
        </w:rPr>
        <w:t xml:space="preserve">, </w:t>
      </w:r>
      <w:r w:rsidR="00363A67" w:rsidRPr="00070903">
        <w:rPr>
          <w:b w:val="0"/>
        </w:rPr>
        <w:t xml:space="preserve">such as </w:t>
      </w:r>
      <w:r w:rsidR="00E123B6" w:rsidRPr="00070903">
        <w:rPr>
          <w:b w:val="0"/>
        </w:rPr>
        <w:t>in agriculture</w:t>
      </w:r>
      <w:r w:rsidR="00093652" w:rsidRPr="00070903">
        <w:rPr>
          <w:b w:val="0"/>
        </w:rPr>
        <w:t>. Considering the increased market pressure on the transport activities of Belarusian Railways</w:t>
      </w:r>
      <w:r w:rsidR="00E123B6" w:rsidRPr="00070903">
        <w:rPr>
          <w:b w:val="0"/>
        </w:rPr>
        <w:t xml:space="preserve">, which is </w:t>
      </w:r>
      <w:r w:rsidR="00093652" w:rsidRPr="00070903">
        <w:rPr>
          <w:b w:val="0"/>
        </w:rPr>
        <w:t xml:space="preserve">illustrated by the lost market share in favor of road transport, </w:t>
      </w:r>
      <w:r w:rsidR="00E123B6" w:rsidRPr="00070903">
        <w:rPr>
          <w:b w:val="0"/>
        </w:rPr>
        <w:t>the World Bank</w:t>
      </w:r>
      <w:r w:rsidR="00E123B6">
        <w:t xml:space="preserve"> </w:t>
      </w:r>
      <w:r w:rsidR="00E123B6" w:rsidRPr="00070903">
        <w:rPr>
          <w:b w:val="0"/>
        </w:rPr>
        <w:t xml:space="preserve">recommends </w:t>
      </w:r>
      <w:r w:rsidR="00093652" w:rsidRPr="00070903">
        <w:rPr>
          <w:b w:val="0"/>
        </w:rPr>
        <w:t xml:space="preserve">to analyze the conditions for setting up internal business units </w:t>
      </w:r>
      <w:r w:rsidR="00E123B6" w:rsidRPr="00070903">
        <w:rPr>
          <w:b w:val="0"/>
        </w:rPr>
        <w:t xml:space="preserve">within </w:t>
      </w:r>
      <w:r w:rsidR="00093652" w:rsidRPr="00070903">
        <w:rPr>
          <w:b w:val="0"/>
        </w:rPr>
        <w:t xml:space="preserve">Belarusian Railways and to keep separate statements of account for the different lines of business, but within a consolidated Belarusian Railways as the only legal entity for railway transport activities. </w:t>
      </w:r>
      <w:r w:rsidR="00E123B6" w:rsidRPr="00070903">
        <w:rPr>
          <w:b w:val="0"/>
        </w:rPr>
        <w:t xml:space="preserve"> </w:t>
      </w:r>
      <w:r w:rsidR="00093652" w:rsidRPr="00070903">
        <w:rPr>
          <w:b w:val="0"/>
        </w:rPr>
        <w:t>In this way, management will have a clear image of the profitability of each line of business and will be able to take the appropriate corrective decisions that may be needed from time to time. The existing cross subsidies between various lines of business could be used to balance the overall accounts for short periods of time</w:t>
      </w:r>
      <w:r w:rsidR="00E123B6" w:rsidRPr="00070903">
        <w:rPr>
          <w:b w:val="0"/>
        </w:rPr>
        <w:t>,</w:t>
      </w:r>
      <w:r w:rsidR="00093652" w:rsidRPr="00070903">
        <w:rPr>
          <w:b w:val="0"/>
        </w:rPr>
        <w:t xml:space="preserve"> but </w:t>
      </w:r>
      <w:r w:rsidR="00E123B6" w:rsidRPr="00070903">
        <w:rPr>
          <w:b w:val="0"/>
        </w:rPr>
        <w:t xml:space="preserve">they </w:t>
      </w:r>
      <w:r w:rsidR="00093652" w:rsidRPr="00070903">
        <w:rPr>
          <w:b w:val="0"/>
        </w:rPr>
        <w:t>are not appropriate as long-term policy instruments</w:t>
      </w:r>
      <w:r w:rsidR="00E123B6" w:rsidRPr="00070903">
        <w:rPr>
          <w:b w:val="0"/>
        </w:rPr>
        <w:t>.</w:t>
      </w:r>
    </w:p>
    <w:p w:rsidR="00093652" w:rsidRPr="00AC422F" w:rsidRDefault="00AC422F" w:rsidP="00AC422F">
      <w:pPr>
        <w:pStyle w:val="Style3"/>
        <w:rPr>
          <w:b w:val="0"/>
        </w:rPr>
      </w:pPr>
      <w:r>
        <w:tab/>
      </w:r>
      <w:r w:rsidR="00093652" w:rsidRPr="007777E2">
        <w:t xml:space="preserve">The principle of covering the marginal costs should govern tariffs on railway transport. </w:t>
      </w:r>
      <w:r w:rsidR="00093652" w:rsidRPr="00AC422F">
        <w:rPr>
          <w:b w:val="0"/>
        </w:rPr>
        <w:t>According to the Railway Law,</w:t>
      </w:r>
      <w:r w:rsidR="00093652" w:rsidRPr="00AC422F">
        <w:rPr>
          <w:rStyle w:val="FootnoteReference"/>
          <w:b w:val="0"/>
          <w:bCs/>
        </w:rPr>
        <w:footnoteReference w:id="35"/>
      </w:r>
      <w:r w:rsidR="00093652" w:rsidRPr="00AC422F">
        <w:rPr>
          <w:b w:val="0"/>
        </w:rPr>
        <w:t xml:space="preserve"> the tariffs should cover all costs of Belarusian Railways, including the costs of operation and maintenance of railway assets. The President of the Republic of Belarus approves tariffs for domestic transport services</w:t>
      </w:r>
      <w:r w:rsidR="00E123B6" w:rsidRPr="00AC422F">
        <w:rPr>
          <w:b w:val="0"/>
        </w:rPr>
        <w:t>. I</w:t>
      </w:r>
      <w:r w:rsidR="00093652" w:rsidRPr="00AC422F">
        <w:rPr>
          <w:b w:val="0"/>
        </w:rPr>
        <w:t>nternational agreements of the Republic of Belarus establish the tariffs for international transport services. The implementation of this principle must be carefully monitored to ensure the continued ability of Belarusian Railways to act as a commercial entity in a competitive transportation market. As described earlier</w:t>
      </w:r>
      <w:r w:rsidR="00E123B6" w:rsidRPr="00AC422F">
        <w:rPr>
          <w:b w:val="0"/>
        </w:rPr>
        <w:t xml:space="preserve"> in this document</w:t>
      </w:r>
      <w:r w:rsidR="00093652" w:rsidRPr="00AC422F">
        <w:rPr>
          <w:b w:val="0"/>
        </w:rPr>
        <w:t xml:space="preserve">, the railway sector lost significant market share to road transport during the last years. </w:t>
      </w:r>
      <w:r w:rsidR="00E123B6" w:rsidRPr="00AC422F">
        <w:rPr>
          <w:b w:val="0"/>
        </w:rPr>
        <w:t>The World Bank believes that a</w:t>
      </w:r>
      <w:r w:rsidR="00093652" w:rsidRPr="00AC422F">
        <w:rPr>
          <w:b w:val="0"/>
        </w:rPr>
        <w:t xml:space="preserve"> more flexible tariff policy for freight could help to recapture part of the lost volume</w:t>
      </w:r>
      <w:r w:rsidR="005A21CD">
        <w:rPr>
          <w:b w:val="0"/>
        </w:rPr>
        <w:t>.</w:t>
      </w:r>
      <w:r w:rsidR="00CA5188">
        <w:rPr>
          <w:rStyle w:val="FootnoteReference"/>
          <w:b w:val="0"/>
        </w:rPr>
        <w:footnoteReference w:id="36"/>
      </w:r>
      <w:r w:rsidR="00093652" w:rsidRPr="00AC422F">
        <w:rPr>
          <w:b w:val="0"/>
        </w:rPr>
        <w:t xml:space="preserve"> </w:t>
      </w:r>
    </w:p>
    <w:p w:rsidR="00093652" w:rsidRPr="00AC422F" w:rsidRDefault="00093652" w:rsidP="00AC422F">
      <w:pPr>
        <w:pStyle w:val="Style3"/>
        <w:rPr>
          <w:b w:val="0"/>
        </w:rPr>
      </w:pPr>
      <w:r w:rsidRPr="003C5773">
        <w:t xml:space="preserve">According to </w:t>
      </w:r>
      <w:r w:rsidR="00E123B6" w:rsidRPr="003C5773">
        <w:t xml:space="preserve">the </w:t>
      </w:r>
      <w:r w:rsidRPr="003C5773">
        <w:t xml:space="preserve">provisions of the railways laws, </w:t>
      </w:r>
      <w:r w:rsidR="00E123B6" w:rsidRPr="003C5773">
        <w:t>st</w:t>
      </w:r>
      <w:r w:rsidRPr="003C5773">
        <w:t xml:space="preserve">ate support for the railway sector can be provided by national and local budgets for socially </w:t>
      </w:r>
      <w:r w:rsidR="00E123B6" w:rsidRPr="003C5773">
        <w:t xml:space="preserve">important </w:t>
      </w:r>
      <w:r w:rsidRPr="003C5773">
        <w:t>passenger transportation</w:t>
      </w:r>
      <w:r w:rsidRPr="00AC422F">
        <w:rPr>
          <w:b w:val="0"/>
        </w:rPr>
        <w:t>. Additionally state support could be granted for the development of the railway network, modernization of rolling stock, and introduction of new technologies. Until recently, however, Belarusian Railways has been a financially self-sustaining entity and did not receive financial support from the State.</w:t>
      </w:r>
    </w:p>
    <w:p w:rsidR="00093652" w:rsidRPr="00AC422F" w:rsidRDefault="00093652" w:rsidP="00AC422F">
      <w:pPr>
        <w:pStyle w:val="Style3"/>
        <w:rPr>
          <w:b w:val="0"/>
        </w:rPr>
      </w:pPr>
      <w:r w:rsidRPr="007777E2">
        <w:t xml:space="preserve">Belarusian Railways cannot refuse requests for transportation. </w:t>
      </w:r>
      <w:r w:rsidRPr="00AC422F">
        <w:rPr>
          <w:b w:val="0"/>
        </w:rPr>
        <w:t>According to the Railway Law, Belarusian Railways is obliged to fulfill all transport requests received from the domestic market. At the same time, Belarusian Railways has the right to not release cargo until the payment of the fr</w:t>
      </w:r>
      <w:r w:rsidR="00E123B6" w:rsidRPr="00AC422F">
        <w:rPr>
          <w:b w:val="0"/>
        </w:rPr>
        <w:t>e</w:t>
      </w:r>
      <w:r w:rsidRPr="00AC422F">
        <w:rPr>
          <w:b w:val="0"/>
        </w:rPr>
        <w:t xml:space="preserve">ight charge is made. The implementation of this principle, in correlation with the centralized policy of setting tariffs for freight transport, should be reassessed due to the strong competition from road transport. </w:t>
      </w:r>
      <w:r w:rsidR="00E123B6" w:rsidRPr="00AC422F">
        <w:rPr>
          <w:b w:val="0"/>
        </w:rPr>
        <w:t xml:space="preserve">Since </w:t>
      </w:r>
      <w:r w:rsidRPr="00AC422F">
        <w:rPr>
          <w:b w:val="0"/>
        </w:rPr>
        <w:t xml:space="preserve">road transporters do not have the same constraints in terms of tariff setting, they have </w:t>
      </w:r>
      <w:r w:rsidR="002150E2" w:rsidRPr="00AC422F">
        <w:rPr>
          <w:b w:val="0"/>
        </w:rPr>
        <w:t xml:space="preserve">the </w:t>
      </w:r>
      <w:r w:rsidRPr="00AC422F">
        <w:rPr>
          <w:b w:val="0"/>
        </w:rPr>
        <w:t xml:space="preserve">strong advantage of </w:t>
      </w:r>
      <w:r w:rsidR="002150E2" w:rsidRPr="00AC422F">
        <w:rPr>
          <w:b w:val="0"/>
        </w:rPr>
        <w:t xml:space="preserve">being able to </w:t>
      </w:r>
      <w:r w:rsidRPr="00AC422F">
        <w:rPr>
          <w:b w:val="0"/>
        </w:rPr>
        <w:t xml:space="preserve">better </w:t>
      </w:r>
      <w:r w:rsidR="002150E2" w:rsidRPr="00AC422F">
        <w:rPr>
          <w:b w:val="0"/>
        </w:rPr>
        <w:t xml:space="preserve">respond to the </w:t>
      </w:r>
      <w:r w:rsidRPr="00AC422F">
        <w:rPr>
          <w:b w:val="0"/>
        </w:rPr>
        <w:t>market,</w:t>
      </w:r>
      <w:r w:rsidR="002150E2" w:rsidRPr="00AC422F">
        <w:rPr>
          <w:b w:val="0"/>
        </w:rPr>
        <w:t xml:space="preserve"> </w:t>
      </w:r>
      <w:r w:rsidRPr="00AC422F">
        <w:rPr>
          <w:b w:val="0"/>
        </w:rPr>
        <w:t>and railway transport will continue to lose market share.</w:t>
      </w:r>
    </w:p>
    <w:p w:rsidR="00B04B06" w:rsidRPr="007777E2" w:rsidRDefault="00B04B06" w:rsidP="00DE274C">
      <w:pPr>
        <w:pStyle w:val="Heading3"/>
        <w:tabs>
          <w:tab w:val="num" w:pos="0"/>
        </w:tabs>
        <w:spacing w:after="240"/>
        <w:rPr>
          <w:rFonts w:ascii="Times New Roman" w:hAnsi="Times New Roman" w:cs="Times New Roman"/>
          <w:sz w:val="24"/>
          <w:szCs w:val="24"/>
        </w:rPr>
      </w:pPr>
      <w:bookmarkStart w:id="192" w:name="_Toc282029954"/>
      <w:r>
        <w:rPr>
          <w:rFonts w:ascii="Times New Roman" w:hAnsi="Times New Roman" w:cs="Times New Roman"/>
          <w:sz w:val="24"/>
          <w:szCs w:val="24"/>
        </w:rPr>
        <w:lastRenderedPageBreak/>
        <w:t>Operational</w:t>
      </w:r>
      <w:r w:rsidRPr="007777E2">
        <w:rPr>
          <w:rFonts w:ascii="Times New Roman" w:hAnsi="Times New Roman" w:cs="Times New Roman"/>
          <w:sz w:val="24"/>
          <w:szCs w:val="24"/>
        </w:rPr>
        <w:t xml:space="preserve"> Performance of </w:t>
      </w:r>
      <w:r>
        <w:rPr>
          <w:rFonts w:ascii="Times New Roman" w:hAnsi="Times New Roman" w:cs="Times New Roman"/>
          <w:sz w:val="24"/>
          <w:szCs w:val="24"/>
        </w:rPr>
        <w:t>Belarusian Railways</w:t>
      </w:r>
      <w:bookmarkEnd w:id="192"/>
    </w:p>
    <w:p w:rsidR="00B04B06" w:rsidRPr="00AC422F" w:rsidRDefault="00B04B06" w:rsidP="00AC422F">
      <w:pPr>
        <w:pStyle w:val="Style3"/>
        <w:rPr>
          <w:b w:val="0"/>
        </w:rPr>
      </w:pPr>
      <w:r w:rsidRPr="00093652">
        <w:t xml:space="preserve">The vital element for the operational performance of Belarusian Railways is the traffic intensity on the network. </w:t>
      </w:r>
      <w:r w:rsidRPr="00AC422F">
        <w:rPr>
          <w:b w:val="0"/>
        </w:rPr>
        <w:t xml:space="preserve">Railway </w:t>
      </w:r>
      <w:r w:rsidR="002150E2" w:rsidRPr="00AC422F">
        <w:rPr>
          <w:b w:val="0"/>
        </w:rPr>
        <w:t xml:space="preserve">operations </w:t>
      </w:r>
      <w:r w:rsidRPr="00AC422F">
        <w:rPr>
          <w:b w:val="0"/>
        </w:rPr>
        <w:t xml:space="preserve">respond </w:t>
      </w:r>
      <w:r w:rsidR="002150E2" w:rsidRPr="00AC422F">
        <w:rPr>
          <w:b w:val="0"/>
        </w:rPr>
        <w:t xml:space="preserve">very much </w:t>
      </w:r>
      <w:r w:rsidRPr="00AC422F">
        <w:rPr>
          <w:b w:val="0"/>
        </w:rPr>
        <w:t>to economies of scale—the higher the traffic levels, the lower the unit operating costs. Traffic intensity in Belarus, with 10.2 million traffic units per rail</w:t>
      </w:r>
      <w:r w:rsidR="002150E2" w:rsidRPr="00AC422F">
        <w:rPr>
          <w:b w:val="0"/>
        </w:rPr>
        <w:t xml:space="preserve"> line</w:t>
      </w:r>
      <w:r w:rsidRPr="00AC422F">
        <w:rPr>
          <w:b w:val="0"/>
        </w:rPr>
        <w:t xml:space="preserve">-km in 2008, is one of the best in the world (as illustrated in </w:t>
      </w:r>
      <w:fldSimple w:instr=" REF _Ref258509080 \h  \* MERGEFORMAT ">
        <w:r w:rsidR="00E85C5F" w:rsidRPr="00E85C5F">
          <w:rPr>
            <w:b w:val="0"/>
          </w:rPr>
          <w:t xml:space="preserve">Figure </w:t>
        </w:r>
        <w:r w:rsidR="00E85C5F" w:rsidRPr="00E85C5F">
          <w:rPr>
            <w:b w:val="0"/>
            <w:noProof/>
          </w:rPr>
          <w:t>31</w:t>
        </w:r>
      </w:fldSimple>
      <w:r w:rsidRPr="00AC422F">
        <w:rPr>
          <w:b w:val="0"/>
        </w:rPr>
        <w:t xml:space="preserve">). Considering the high percentage of </w:t>
      </w:r>
      <w:r w:rsidR="002150E2" w:rsidRPr="00AC422F">
        <w:rPr>
          <w:b w:val="0"/>
        </w:rPr>
        <w:t xml:space="preserve">the </w:t>
      </w:r>
      <w:r w:rsidRPr="00AC422F">
        <w:rPr>
          <w:b w:val="0"/>
        </w:rPr>
        <w:t>fixed costs of railway infrastructure</w:t>
      </w:r>
      <w:r w:rsidR="002150E2" w:rsidRPr="00AC422F">
        <w:rPr>
          <w:b w:val="0"/>
        </w:rPr>
        <w:t xml:space="preserve"> within the total railway operating costs</w:t>
      </w:r>
      <w:r w:rsidRPr="00AC422F">
        <w:rPr>
          <w:b w:val="0"/>
        </w:rPr>
        <w:t xml:space="preserve">, declining traffic intensity </w:t>
      </w:r>
      <w:r w:rsidR="002150E2" w:rsidRPr="00AC422F">
        <w:rPr>
          <w:b w:val="0"/>
        </w:rPr>
        <w:t xml:space="preserve">would </w:t>
      </w:r>
      <w:r w:rsidRPr="00AC422F">
        <w:rPr>
          <w:b w:val="0"/>
        </w:rPr>
        <w:t>make railways more expensive compared to road transport. This in turn w</w:t>
      </w:r>
      <w:r w:rsidR="002150E2" w:rsidRPr="00AC422F">
        <w:rPr>
          <w:b w:val="0"/>
        </w:rPr>
        <w:t xml:space="preserve">ould </w:t>
      </w:r>
      <w:r w:rsidRPr="00AC422F">
        <w:rPr>
          <w:b w:val="0"/>
        </w:rPr>
        <w:t xml:space="preserve">increase </w:t>
      </w:r>
      <w:r w:rsidR="002150E2" w:rsidRPr="00AC422F">
        <w:rPr>
          <w:b w:val="0"/>
        </w:rPr>
        <w:t xml:space="preserve">the </w:t>
      </w:r>
      <w:r w:rsidRPr="00AC422F">
        <w:rPr>
          <w:b w:val="0"/>
        </w:rPr>
        <w:t>unit costs of railway operations</w:t>
      </w:r>
      <w:r w:rsidR="002150E2" w:rsidRPr="00AC422F">
        <w:rPr>
          <w:b w:val="0"/>
        </w:rPr>
        <w:t>,</w:t>
      </w:r>
      <w:r w:rsidRPr="00AC422F">
        <w:rPr>
          <w:b w:val="0"/>
        </w:rPr>
        <w:t xml:space="preserve"> leading to higher tariffs to recover </w:t>
      </w:r>
      <w:r w:rsidR="002150E2" w:rsidRPr="00AC422F">
        <w:rPr>
          <w:b w:val="0"/>
        </w:rPr>
        <w:t xml:space="preserve">those </w:t>
      </w:r>
      <w:r w:rsidRPr="00AC422F">
        <w:rPr>
          <w:b w:val="0"/>
        </w:rPr>
        <w:t>costs</w:t>
      </w:r>
      <w:r w:rsidR="002150E2" w:rsidRPr="00AC422F">
        <w:rPr>
          <w:b w:val="0"/>
        </w:rPr>
        <w:t xml:space="preserve"> - </w:t>
      </w:r>
      <w:r w:rsidRPr="00AC422F">
        <w:rPr>
          <w:b w:val="0"/>
        </w:rPr>
        <w:t xml:space="preserve">a vicious cycle </w:t>
      </w:r>
      <w:r w:rsidR="002150E2" w:rsidRPr="00AC422F">
        <w:rPr>
          <w:b w:val="0"/>
        </w:rPr>
        <w:t xml:space="preserve">that would have </w:t>
      </w:r>
      <w:r w:rsidRPr="00AC422F">
        <w:rPr>
          <w:b w:val="0"/>
        </w:rPr>
        <w:t xml:space="preserve">serious impacts on Belarusian Railways. As </w:t>
      </w:r>
      <w:r w:rsidR="002150E2" w:rsidRPr="00AC422F">
        <w:rPr>
          <w:b w:val="0"/>
        </w:rPr>
        <w:t xml:space="preserve">the </w:t>
      </w:r>
      <w:r w:rsidRPr="00AC422F">
        <w:rPr>
          <w:b w:val="0"/>
        </w:rPr>
        <w:t xml:space="preserve">current </w:t>
      </w:r>
      <w:r w:rsidR="002150E2" w:rsidRPr="00AC422F">
        <w:rPr>
          <w:b w:val="0"/>
        </w:rPr>
        <w:t xml:space="preserve">high </w:t>
      </w:r>
      <w:r w:rsidRPr="00AC422F">
        <w:rPr>
          <w:b w:val="0"/>
        </w:rPr>
        <w:t xml:space="preserve">traffic volumes are in favor </w:t>
      </w:r>
      <w:r w:rsidR="002150E2" w:rsidRPr="00AC422F">
        <w:rPr>
          <w:b w:val="0"/>
        </w:rPr>
        <w:t>o</w:t>
      </w:r>
      <w:r w:rsidRPr="00AC422F">
        <w:rPr>
          <w:b w:val="0"/>
        </w:rPr>
        <w:t xml:space="preserve">f Belarusian railways, sufficient time is left </w:t>
      </w:r>
      <w:r w:rsidR="002150E2" w:rsidRPr="00AC422F">
        <w:rPr>
          <w:b w:val="0"/>
        </w:rPr>
        <w:t xml:space="preserve">for Belarusian Railways </w:t>
      </w:r>
      <w:r w:rsidRPr="00AC422F">
        <w:rPr>
          <w:b w:val="0"/>
        </w:rPr>
        <w:t>to make necessary adjustments</w:t>
      </w:r>
      <w:r w:rsidR="002150E2" w:rsidRPr="00AC422F">
        <w:rPr>
          <w:b w:val="0"/>
        </w:rPr>
        <w:t xml:space="preserve"> in order to counter the negative </w:t>
      </w:r>
      <w:r w:rsidRPr="00AC422F">
        <w:rPr>
          <w:b w:val="0"/>
        </w:rPr>
        <w:t xml:space="preserve">trend in market share. </w:t>
      </w:r>
      <w:r w:rsidR="002150E2" w:rsidRPr="00AC422F">
        <w:rPr>
          <w:b w:val="0"/>
        </w:rPr>
        <w:t>The World Bank proposes several a</w:t>
      </w:r>
      <w:r w:rsidRPr="00AC422F">
        <w:rPr>
          <w:b w:val="0"/>
        </w:rPr>
        <w:t xml:space="preserve">ctions to be taken by Belarusian Railways and the </w:t>
      </w:r>
      <w:r w:rsidR="002150E2" w:rsidRPr="00AC422F">
        <w:rPr>
          <w:b w:val="0"/>
        </w:rPr>
        <w:t>G</w:t>
      </w:r>
      <w:r w:rsidRPr="00AC422F">
        <w:rPr>
          <w:b w:val="0"/>
        </w:rPr>
        <w:t>overnment</w:t>
      </w:r>
      <w:r w:rsidR="002150E2" w:rsidRPr="00AC422F">
        <w:rPr>
          <w:b w:val="0"/>
        </w:rPr>
        <w:t xml:space="preserve">; these </w:t>
      </w:r>
      <w:r w:rsidRPr="00AC422F">
        <w:rPr>
          <w:b w:val="0"/>
        </w:rPr>
        <w:t>are pr</w:t>
      </w:r>
      <w:r w:rsidR="002150E2" w:rsidRPr="00AC422F">
        <w:rPr>
          <w:b w:val="0"/>
        </w:rPr>
        <w:t xml:space="preserve">esented </w:t>
      </w:r>
      <w:r w:rsidRPr="00AC422F">
        <w:rPr>
          <w:b w:val="0"/>
        </w:rPr>
        <w:t>below.</w:t>
      </w:r>
    </w:p>
    <w:p w:rsidR="00B04B06" w:rsidRDefault="00B04B06" w:rsidP="00DE274C">
      <w:pPr>
        <w:tabs>
          <w:tab w:val="num" w:pos="0"/>
        </w:tabs>
        <w:autoSpaceDE w:val="0"/>
        <w:autoSpaceDN w:val="0"/>
        <w:adjustRightInd w:val="0"/>
        <w:spacing w:after="120"/>
        <w:jc w:val="both"/>
      </w:pPr>
    </w:p>
    <w:tbl>
      <w:tblPr>
        <w:tblStyle w:val="TableGrid"/>
        <w:tblW w:w="0" w:type="auto"/>
        <w:tblLook w:val="04A0"/>
      </w:tblPr>
      <w:tblGrid>
        <w:gridCol w:w="4788"/>
        <w:gridCol w:w="4788"/>
      </w:tblGrid>
      <w:tr w:rsidR="00B04B06" w:rsidTr="00093652">
        <w:trPr>
          <w:cantSplit/>
        </w:trPr>
        <w:tc>
          <w:tcPr>
            <w:tcW w:w="4788" w:type="dxa"/>
          </w:tcPr>
          <w:p w:rsidR="00B04B06" w:rsidRDefault="00B04B06" w:rsidP="00DE274C">
            <w:pPr>
              <w:pStyle w:val="Caption"/>
              <w:tabs>
                <w:tab w:val="num" w:pos="0"/>
              </w:tabs>
              <w:rPr>
                <w:color w:val="auto"/>
                <w:sz w:val="22"/>
                <w:szCs w:val="22"/>
              </w:rPr>
            </w:pPr>
            <w:bookmarkStart w:id="193" w:name="_Ref258509080"/>
            <w:bookmarkStart w:id="194" w:name="_Toc264226788"/>
            <w:r w:rsidRPr="004151C2">
              <w:rPr>
                <w:color w:val="auto"/>
                <w:sz w:val="22"/>
                <w:szCs w:val="22"/>
              </w:rPr>
              <w:t xml:space="preserve">Figure </w:t>
            </w:r>
            <w:r w:rsidR="006B40AE" w:rsidRPr="004151C2">
              <w:rPr>
                <w:color w:val="auto"/>
                <w:sz w:val="22"/>
                <w:szCs w:val="22"/>
              </w:rPr>
              <w:fldChar w:fldCharType="begin"/>
            </w:r>
            <w:r w:rsidRPr="004151C2">
              <w:rPr>
                <w:color w:val="auto"/>
                <w:sz w:val="22"/>
                <w:szCs w:val="22"/>
              </w:rPr>
              <w:instrText xml:space="preserve"> SEQ Figure \* ARABIC </w:instrText>
            </w:r>
            <w:r w:rsidR="006B40AE" w:rsidRPr="004151C2">
              <w:rPr>
                <w:color w:val="auto"/>
                <w:sz w:val="22"/>
                <w:szCs w:val="22"/>
              </w:rPr>
              <w:fldChar w:fldCharType="separate"/>
            </w:r>
            <w:r w:rsidR="009E2C86">
              <w:rPr>
                <w:noProof/>
                <w:color w:val="auto"/>
                <w:sz w:val="22"/>
                <w:szCs w:val="22"/>
              </w:rPr>
              <w:t>31</w:t>
            </w:r>
            <w:r w:rsidR="006B40AE" w:rsidRPr="004151C2">
              <w:rPr>
                <w:color w:val="auto"/>
                <w:sz w:val="22"/>
                <w:szCs w:val="22"/>
              </w:rPr>
              <w:fldChar w:fldCharType="end"/>
            </w:r>
            <w:bookmarkEnd w:id="193"/>
            <w:r w:rsidRPr="004151C2">
              <w:rPr>
                <w:color w:val="auto"/>
                <w:sz w:val="22"/>
                <w:szCs w:val="22"/>
              </w:rPr>
              <w:t>. Railways Traffic Intensity (million traffic units/rail route km)</w:t>
            </w:r>
            <w:bookmarkEnd w:id="194"/>
          </w:p>
          <w:p w:rsidR="00B04B06" w:rsidRDefault="00B04B06" w:rsidP="00DE274C">
            <w:pPr>
              <w:tabs>
                <w:tab w:val="num" w:pos="0"/>
              </w:tabs>
            </w:pPr>
            <w:r w:rsidRPr="008A7DE7">
              <w:rPr>
                <w:b/>
                <w:noProof/>
                <w:color w:val="000000" w:themeColor="text1"/>
                <w:sz w:val="20"/>
              </w:rPr>
              <w:drawing>
                <wp:inline distT="0" distB="0" distL="0" distR="0">
                  <wp:extent cx="2702204" cy="2077517"/>
                  <wp:effectExtent l="19050" t="0" r="2896" b="0"/>
                  <wp:docPr id="7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B04B06" w:rsidRPr="004151C2" w:rsidRDefault="00B04B06" w:rsidP="00DE274C">
            <w:pPr>
              <w:tabs>
                <w:tab w:val="num" w:pos="0"/>
              </w:tabs>
              <w:rPr>
                <w:sz w:val="18"/>
                <w:szCs w:val="18"/>
              </w:rPr>
            </w:pPr>
            <w:r w:rsidRPr="004151C2">
              <w:rPr>
                <w:sz w:val="18"/>
                <w:szCs w:val="18"/>
              </w:rPr>
              <w:t>Source: UIC Statistics. 2009.</w:t>
            </w:r>
          </w:p>
        </w:tc>
        <w:tc>
          <w:tcPr>
            <w:tcW w:w="4788" w:type="dxa"/>
          </w:tcPr>
          <w:p w:rsidR="00B04B06" w:rsidRPr="008651C3" w:rsidRDefault="00B04B06" w:rsidP="00DE274C">
            <w:pPr>
              <w:pStyle w:val="Caption"/>
              <w:tabs>
                <w:tab w:val="num" w:pos="0"/>
              </w:tabs>
              <w:rPr>
                <w:color w:val="auto"/>
                <w:sz w:val="22"/>
                <w:szCs w:val="22"/>
              </w:rPr>
            </w:pPr>
            <w:bookmarkStart w:id="195" w:name="_Ref258509119"/>
            <w:bookmarkStart w:id="196" w:name="_Toc264226789"/>
            <w:r w:rsidRPr="008651C3">
              <w:rPr>
                <w:color w:val="auto"/>
                <w:sz w:val="22"/>
                <w:szCs w:val="22"/>
              </w:rPr>
              <w:t xml:space="preserve">Figure </w:t>
            </w:r>
            <w:r w:rsidR="006B40AE" w:rsidRPr="008651C3">
              <w:rPr>
                <w:color w:val="auto"/>
                <w:sz w:val="22"/>
                <w:szCs w:val="22"/>
              </w:rPr>
              <w:fldChar w:fldCharType="begin"/>
            </w:r>
            <w:r w:rsidRPr="008651C3">
              <w:rPr>
                <w:color w:val="auto"/>
                <w:sz w:val="22"/>
                <w:szCs w:val="22"/>
              </w:rPr>
              <w:instrText xml:space="preserve"> SEQ Figure \* ARABIC </w:instrText>
            </w:r>
            <w:r w:rsidR="006B40AE" w:rsidRPr="008651C3">
              <w:rPr>
                <w:color w:val="auto"/>
                <w:sz w:val="22"/>
                <w:szCs w:val="22"/>
              </w:rPr>
              <w:fldChar w:fldCharType="separate"/>
            </w:r>
            <w:r w:rsidR="009E2C86">
              <w:rPr>
                <w:noProof/>
                <w:color w:val="auto"/>
                <w:sz w:val="22"/>
                <w:szCs w:val="22"/>
              </w:rPr>
              <w:t>32</w:t>
            </w:r>
            <w:r w:rsidR="006B40AE" w:rsidRPr="008651C3">
              <w:rPr>
                <w:color w:val="auto"/>
                <w:sz w:val="22"/>
                <w:szCs w:val="22"/>
              </w:rPr>
              <w:fldChar w:fldCharType="end"/>
            </w:r>
            <w:bookmarkEnd w:id="195"/>
            <w:r w:rsidRPr="008651C3">
              <w:rPr>
                <w:color w:val="auto"/>
                <w:sz w:val="22"/>
                <w:szCs w:val="22"/>
              </w:rPr>
              <w:t>. Average Number of Staff per km of Track in various EU Railways</w:t>
            </w:r>
            <w:bookmarkEnd w:id="196"/>
          </w:p>
          <w:p w:rsidR="00B04B06" w:rsidRDefault="00B04B06" w:rsidP="00DE274C">
            <w:pPr>
              <w:tabs>
                <w:tab w:val="num" w:pos="0"/>
              </w:tabs>
              <w:autoSpaceDE w:val="0"/>
              <w:autoSpaceDN w:val="0"/>
              <w:adjustRightInd w:val="0"/>
              <w:spacing w:after="120"/>
              <w:jc w:val="both"/>
            </w:pPr>
            <w:r w:rsidRPr="008651C3">
              <w:rPr>
                <w:noProof/>
              </w:rPr>
              <w:drawing>
                <wp:inline distT="0" distB="0" distL="0" distR="0">
                  <wp:extent cx="2750515" cy="1982419"/>
                  <wp:effectExtent l="0" t="0" r="0" b="0"/>
                  <wp:docPr id="71"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B04B06" w:rsidRDefault="00B04B06" w:rsidP="00DE274C">
            <w:pPr>
              <w:keepNext/>
              <w:tabs>
                <w:tab w:val="num" w:pos="0"/>
              </w:tabs>
              <w:autoSpaceDE w:val="0"/>
              <w:autoSpaceDN w:val="0"/>
              <w:adjustRightInd w:val="0"/>
              <w:spacing w:after="120"/>
              <w:jc w:val="both"/>
            </w:pPr>
            <w:r w:rsidRPr="004151C2">
              <w:rPr>
                <w:sz w:val="18"/>
                <w:szCs w:val="18"/>
              </w:rPr>
              <w:t>Source: UIC Statistics. 2009.</w:t>
            </w:r>
          </w:p>
        </w:tc>
      </w:tr>
    </w:tbl>
    <w:p w:rsidR="00B04B06" w:rsidRPr="008651C3" w:rsidRDefault="00B04B06" w:rsidP="00DE274C">
      <w:pPr>
        <w:tabs>
          <w:tab w:val="num" w:pos="0"/>
        </w:tabs>
        <w:autoSpaceDE w:val="0"/>
        <w:autoSpaceDN w:val="0"/>
        <w:adjustRightInd w:val="0"/>
        <w:spacing w:after="120"/>
        <w:jc w:val="both"/>
      </w:pPr>
    </w:p>
    <w:p w:rsidR="00B04B06" w:rsidRPr="00AC422F" w:rsidRDefault="00B04B06" w:rsidP="00AC422F">
      <w:pPr>
        <w:pStyle w:val="Style3"/>
        <w:rPr>
          <w:b w:val="0"/>
        </w:rPr>
      </w:pPr>
      <w:r w:rsidRPr="008651C3">
        <w:t xml:space="preserve">The cost of operating railway infrastructure in Belarus must be </w:t>
      </w:r>
      <w:r>
        <w:t>clearly identified</w:t>
      </w:r>
      <w:r w:rsidRPr="008651C3">
        <w:t xml:space="preserve">. </w:t>
      </w:r>
      <w:r w:rsidRPr="00AC422F">
        <w:rPr>
          <w:b w:val="0"/>
        </w:rPr>
        <w:t xml:space="preserve">Belarusian Railways is the manager of railway infrastructure in Belarus and the sole operator of railway transport services in the country. The vertically integrated railway organization (infrastructure </w:t>
      </w:r>
      <w:proofErr w:type="gramStart"/>
      <w:r w:rsidRPr="00AC422F">
        <w:rPr>
          <w:b w:val="0"/>
        </w:rPr>
        <w:t>management</w:t>
      </w:r>
      <w:r w:rsidR="002A0B7A" w:rsidRPr="00AC422F">
        <w:rPr>
          <w:b w:val="0"/>
        </w:rPr>
        <w:t>,</w:t>
      </w:r>
      <w:proofErr w:type="gramEnd"/>
      <w:r w:rsidRPr="00AC422F">
        <w:rPr>
          <w:b w:val="0"/>
        </w:rPr>
        <w:t xml:space="preserve"> and operation of freight and passenger transport services) is a proven structure in many countries. It is currently working well in Belarus. The current organizational structure is not an obstacle for unbundling the management of the infrastructure as a separate unit in the structure of Belarusian Railways (not a</w:t>
      </w:r>
      <w:r w:rsidR="002A0B7A" w:rsidRPr="00AC422F">
        <w:rPr>
          <w:b w:val="0"/>
        </w:rPr>
        <w:t>s</w:t>
      </w:r>
      <w:r w:rsidRPr="00AC422F">
        <w:rPr>
          <w:b w:val="0"/>
        </w:rPr>
        <w:t xml:space="preserve"> </w:t>
      </w:r>
      <w:r w:rsidR="002A0B7A" w:rsidRPr="00AC422F">
        <w:rPr>
          <w:b w:val="0"/>
        </w:rPr>
        <w:t xml:space="preserve">a </w:t>
      </w:r>
      <w:r w:rsidRPr="00AC422F">
        <w:rPr>
          <w:b w:val="0"/>
        </w:rPr>
        <w:t xml:space="preserve">legal entity, but </w:t>
      </w:r>
      <w:r w:rsidR="002A0B7A" w:rsidRPr="00AC422F">
        <w:rPr>
          <w:b w:val="0"/>
        </w:rPr>
        <w:t xml:space="preserve">as </w:t>
      </w:r>
      <w:r w:rsidRPr="00AC422F">
        <w:rPr>
          <w:b w:val="0"/>
        </w:rPr>
        <w:t>an internal unit of Belarusian Railway keeping its own statement of accounts). It will allow Belarusian Railways to keep track of railway infrastructure costs and to monitor the share of infrastructure cost in freight and passenger tariffs. Such an exercise would not only help Belarusian Railways to control operating costs, but also would provide valuable information for implementing non-</w:t>
      </w:r>
      <w:proofErr w:type="spellStart"/>
      <w:r w:rsidRPr="00AC422F">
        <w:rPr>
          <w:b w:val="0"/>
        </w:rPr>
        <w:t>biased</w:t>
      </w:r>
      <w:proofErr w:type="spellEnd"/>
      <w:r w:rsidRPr="00AC422F">
        <w:rPr>
          <w:b w:val="0"/>
        </w:rPr>
        <w:t xml:space="preserve"> national transport policies.</w:t>
      </w:r>
    </w:p>
    <w:p w:rsidR="00B04B06" w:rsidRPr="00AC422F" w:rsidRDefault="00B04B06" w:rsidP="00AC422F">
      <w:pPr>
        <w:pStyle w:val="Style3"/>
        <w:rPr>
          <w:b w:val="0"/>
        </w:rPr>
      </w:pPr>
      <w:r w:rsidRPr="003C5773">
        <w:lastRenderedPageBreak/>
        <w:t>Considering the increased market pressure on Belarusian Railways, it is advisable to analyze conditions for setting up internal business units.</w:t>
      </w:r>
      <w:r w:rsidRPr="00AC422F">
        <w:rPr>
          <w:b w:val="0"/>
        </w:rPr>
        <w:t xml:space="preserve"> These internal business units for core business activities (e.g. maintenance and repair of infrastructure, freight services, long-distance passenger services, suburban passenger services) as well as social activity units (</w:t>
      </w:r>
      <w:proofErr w:type="spellStart"/>
      <w:r w:rsidRPr="00AC422F">
        <w:rPr>
          <w:b w:val="0"/>
        </w:rPr>
        <w:t>eg</w:t>
      </w:r>
      <w:proofErr w:type="spellEnd"/>
      <w:r w:rsidR="00BD087B">
        <w:rPr>
          <w:b w:val="0"/>
        </w:rPr>
        <w:t xml:space="preserve">. </w:t>
      </w:r>
      <w:r w:rsidRPr="00AC422F">
        <w:rPr>
          <w:b w:val="0"/>
        </w:rPr>
        <w:t>kindergartens, health units) would maintain separate account statements to be consolidated under Belarusian Railways as the only legal entity for railway transport activities. The</w:t>
      </w:r>
      <w:r w:rsidR="002A0B7A" w:rsidRPr="00AC422F">
        <w:rPr>
          <w:b w:val="0"/>
        </w:rPr>
        <w:t xml:space="preserve"> separation of accounts </w:t>
      </w:r>
      <w:r w:rsidRPr="00AC422F">
        <w:rPr>
          <w:b w:val="0"/>
        </w:rPr>
        <w:t xml:space="preserve">would help management have a clear understanding of the profitability of each line of business and to take appropriate corrective measures, as needed. Cross-subsidies for various lines of business could be used as a short-term management instrument, but would be dangerous to maintain as a part of long-term policies. </w:t>
      </w:r>
    </w:p>
    <w:p w:rsidR="00B04B06" w:rsidRPr="00AC422F" w:rsidRDefault="00B04B06" w:rsidP="00AC422F">
      <w:pPr>
        <w:pStyle w:val="Style3"/>
        <w:rPr>
          <w:b w:val="0"/>
        </w:rPr>
      </w:pPr>
      <w:r w:rsidRPr="00C678AD">
        <w:t>The State should take the lead role in setting unbiased rules for financing road and rail</w:t>
      </w:r>
      <w:r>
        <w:t>way</w:t>
      </w:r>
      <w:r w:rsidRPr="00C678AD">
        <w:t xml:space="preserve"> infrastructure. </w:t>
      </w:r>
      <w:r w:rsidRPr="00AC422F">
        <w:rPr>
          <w:b w:val="0"/>
        </w:rPr>
        <w:t xml:space="preserve">In many countries road transport is treated favorably </w:t>
      </w:r>
      <w:r w:rsidR="002A0B7A" w:rsidRPr="00AC422F">
        <w:rPr>
          <w:b w:val="0"/>
        </w:rPr>
        <w:t xml:space="preserve">since </w:t>
      </w:r>
      <w:r w:rsidRPr="00AC422F">
        <w:rPr>
          <w:b w:val="0"/>
        </w:rPr>
        <w:t xml:space="preserve">at least </w:t>
      </w:r>
      <w:r w:rsidR="002A0B7A" w:rsidRPr="00AC422F">
        <w:rPr>
          <w:b w:val="0"/>
        </w:rPr>
        <w:t xml:space="preserve">a </w:t>
      </w:r>
      <w:r w:rsidRPr="00AC422F">
        <w:rPr>
          <w:b w:val="0"/>
        </w:rPr>
        <w:t xml:space="preserve">part of the </w:t>
      </w:r>
      <w:r w:rsidR="002A0B7A" w:rsidRPr="00AC422F">
        <w:rPr>
          <w:b w:val="0"/>
        </w:rPr>
        <w:t xml:space="preserve">cost of </w:t>
      </w:r>
      <w:r w:rsidRPr="00AC422F">
        <w:rPr>
          <w:b w:val="0"/>
        </w:rPr>
        <w:t>road infrastructure is paid through the State budget. In this context, the Government of Belarus should compare (</w:t>
      </w:r>
      <w:proofErr w:type="spellStart"/>
      <w:r w:rsidRPr="00AC422F">
        <w:rPr>
          <w:b w:val="0"/>
        </w:rPr>
        <w:t>i</w:t>
      </w:r>
      <w:proofErr w:type="spellEnd"/>
      <w:r w:rsidRPr="00AC422F">
        <w:rPr>
          <w:b w:val="0"/>
        </w:rPr>
        <w:t xml:space="preserve">) cost recovery for road infrastructure from direct taxation and user charges collected from road users with (ii) cost recovery for rail infrastructure from tariffs and prices set in the railway sector. Additionally, the government </w:t>
      </w:r>
      <w:r w:rsidR="002A0B7A" w:rsidRPr="00AC422F">
        <w:rPr>
          <w:b w:val="0"/>
        </w:rPr>
        <w:t xml:space="preserve">should </w:t>
      </w:r>
      <w:r w:rsidRPr="00AC422F">
        <w:rPr>
          <w:b w:val="0"/>
        </w:rPr>
        <w:t xml:space="preserve">evaluate the social benefits of transport </w:t>
      </w:r>
      <w:r w:rsidR="002A0B7A" w:rsidRPr="00AC422F">
        <w:rPr>
          <w:b w:val="0"/>
        </w:rPr>
        <w:t xml:space="preserve">modes </w:t>
      </w:r>
      <w:r w:rsidRPr="00AC422F">
        <w:rPr>
          <w:b w:val="0"/>
        </w:rPr>
        <w:t xml:space="preserve">based on a set of criteria </w:t>
      </w:r>
      <w:r w:rsidR="002A0B7A" w:rsidRPr="00AC422F">
        <w:rPr>
          <w:b w:val="0"/>
        </w:rPr>
        <w:t xml:space="preserve">that should include </w:t>
      </w:r>
      <w:r w:rsidRPr="00AC422F">
        <w:rPr>
          <w:b w:val="0"/>
        </w:rPr>
        <w:t>environment</w:t>
      </w:r>
      <w:r w:rsidR="002A0B7A" w:rsidRPr="00AC422F">
        <w:rPr>
          <w:b w:val="0"/>
        </w:rPr>
        <w:t xml:space="preserve">al benefits and </w:t>
      </w:r>
      <w:r w:rsidRPr="00AC422F">
        <w:rPr>
          <w:b w:val="0"/>
        </w:rPr>
        <w:t xml:space="preserve">safety. This is particularly important when railway infrastructure serves a mix of traffic, including freight and passengers. </w:t>
      </w:r>
    </w:p>
    <w:p w:rsidR="00B04B06" w:rsidRPr="00AC422F" w:rsidRDefault="00B04B06" w:rsidP="00AC422F">
      <w:pPr>
        <w:pStyle w:val="Style3"/>
        <w:rPr>
          <w:b w:val="0"/>
        </w:rPr>
      </w:pPr>
      <w:r w:rsidRPr="008046F3">
        <w:t>The continued efficient operation of railway infrastructure is vital for sustaining the competitiveness of Belarusian Railways</w:t>
      </w:r>
      <w:r w:rsidRPr="008651C3">
        <w:t xml:space="preserve">. </w:t>
      </w:r>
      <w:r w:rsidRPr="00AC422F">
        <w:rPr>
          <w:b w:val="0"/>
        </w:rPr>
        <w:t>Railway infrastructure operating costs significantly affect the efficiency of railway transport services in general. A lower productivity in operating railway infrastructure leads to higher costs for railway transport services (freight and passengers), making railway transport less attractive to new clients and accelerating the shift of traffic from rail to roads. The long-term solution for improving the productivity in infrastructure would be to invest in efficiency-increasing measures for railway infrastructure operation (maintenance, repair, traffic control) through two interlinked actions: (</w:t>
      </w:r>
      <w:proofErr w:type="spellStart"/>
      <w:r w:rsidRPr="00AC422F">
        <w:rPr>
          <w:b w:val="0"/>
        </w:rPr>
        <w:t>i</w:t>
      </w:r>
      <w:proofErr w:type="spellEnd"/>
      <w:r w:rsidRPr="00AC422F">
        <w:rPr>
          <w:b w:val="0"/>
        </w:rPr>
        <w:t xml:space="preserve">) mechanize and automate infrastructure operations as much as possible, and (ii) implement condition-based maintenance for railway infrastructure. The Belarusian Railways does not collect statistical data about the portion of staff that is exclusively used for the operation, maintenance, and repair of railway infrastructure. The average number of infrastructure staff per kilometer of track is a generally accepted efficiency indicator for infrastructure operation in Europe. For informative purposes only, </w:t>
      </w:r>
      <w:fldSimple w:instr=" REF _Ref258509119 \h  \* MERGEFORMAT ">
        <w:r w:rsidR="00E85C5F" w:rsidRPr="00E85C5F">
          <w:rPr>
            <w:b w:val="0"/>
          </w:rPr>
          <w:t xml:space="preserve">Figure </w:t>
        </w:r>
        <w:r w:rsidR="00E85C5F" w:rsidRPr="00E85C5F">
          <w:rPr>
            <w:b w:val="0"/>
            <w:noProof/>
          </w:rPr>
          <w:t>32</w:t>
        </w:r>
      </w:fldSimple>
      <w:r w:rsidRPr="00AC422F">
        <w:rPr>
          <w:b w:val="0"/>
        </w:rPr>
        <w:t xml:space="preserve"> presents the number of staff used by various railways in the EU; one or less than one staff per kilometer of track indicates an efficient management of railway infrastructure. </w:t>
      </w:r>
    </w:p>
    <w:p w:rsidR="00C0587A" w:rsidRPr="00C0587A" w:rsidRDefault="00B04B06" w:rsidP="00C0587A">
      <w:pPr>
        <w:pStyle w:val="Style3"/>
        <w:rPr>
          <w:b w:val="0"/>
        </w:rPr>
      </w:pPr>
      <w:r w:rsidRPr="003C5773">
        <w:t xml:space="preserve">The distribution of costs of </w:t>
      </w:r>
      <w:r w:rsidR="00A872FF" w:rsidRPr="003C5773">
        <w:t xml:space="preserve">railway </w:t>
      </w:r>
      <w:r w:rsidRPr="003C5773">
        <w:t>infrastructure</w:t>
      </w:r>
      <w:r w:rsidR="00A872FF" w:rsidRPr="003C5773">
        <w:t xml:space="preserve"> between freight and passenger transport</w:t>
      </w:r>
      <w:r w:rsidRPr="003C5773">
        <w:t xml:space="preserve"> should avoid any cross-subsidization</w:t>
      </w:r>
      <w:r w:rsidR="00A872FF" w:rsidRPr="00AC422F">
        <w:rPr>
          <w:b w:val="0"/>
        </w:rPr>
        <w:t xml:space="preserve">. </w:t>
      </w:r>
      <w:r w:rsidRPr="00AC422F">
        <w:rPr>
          <w:b w:val="0"/>
        </w:rPr>
        <w:t xml:space="preserve"> </w:t>
      </w:r>
      <w:fldSimple w:instr=" REF _Ref258509298 \h  \* MERGEFORMAT ">
        <w:r w:rsidR="00E85C5F" w:rsidRPr="00E85C5F">
          <w:rPr>
            <w:b w:val="0"/>
          </w:rPr>
          <w:t xml:space="preserve">Figure </w:t>
        </w:r>
        <w:r w:rsidR="00E85C5F" w:rsidRPr="00E85C5F">
          <w:rPr>
            <w:b w:val="0"/>
            <w:noProof/>
          </w:rPr>
          <w:t>33</w:t>
        </w:r>
      </w:fldSimple>
      <w:r w:rsidRPr="00AC422F">
        <w:rPr>
          <w:b w:val="0"/>
          <w:color w:val="000000" w:themeColor="text1"/>
        </w:rPr>
        <w:t xml:space="preserve"> shows that railway infrastructure in Belarus was used more by passenger trains (39 million train-km) than by freight trains (29 million freight train-km) in 2008. However, revenues generated by passenger services were much lower than by freight services. P</w:t>
      </w:r>
      <w:r w:rsidRPr="00AC422F">
        <w:rPr>
          <w:b w:val="0"/>
        </w:rPr>
        <w:t>assenger trains (</w:t>
      </w:r>
      <w:proofErr w:type="spellStart"/>
      <w:r w:rsidRPr="00AC422F">
        <w:rPr>
          <w:b w:val="0"/>
        </w:rPr>
        <w:t>i</w:t>
      </w:r>
      <w:proofErr w:type="spellEnd"/>
      <w:r w:rsidRPr="00AC422F">
        <w:rPr>
          <w:b w:val="0"/>
        </w:rPr>
        <w:t>) used more than 50 percent of the existing railway transport capacity in Belarus; (ii) used almost all railway lines (main and secondary); and (iii) require higher speeds. On the contrary, freight trains (</w:t>
      </w:r>
      <w:proofErr w:type="spellStart"/>
      <w:r w:rsidRPr="00AC422F">
        <w:rPr>
          <w:b w:val="0"/>
        </w:rPr>
        <w:t>i</w:t>
      </w:r>
      <w:proofErr w:type="spellEnd"/>
      <w:r w:rsidRPr="00AC422F">
        <w:rPr>
          <w:b w:val="0"/>
        </w:rPr>
        <w:t xml:space="preserve">) used only a section of the railway network (concentrated along main lines, using a limited number of local railway lines and stations), and (ii) do not go faster than 80 km/h. Based on the above, it seems that clients using railway infrastructure for freight transport services cross-subsidize passenger services offered by Belarusian Railways. International experience demonstrates that over the </w:t>
      </w:r>
      <w:r w:rsidRPr="00AC422F">
        <w:rPr>
          <w:b w:val="0"/>
        </w:rPr>
        <w:lastRenderedPageBreak/>
        <w:t>long term, this practice creates a vicious circle: (</w:t>
      </w:r>
      <w:proofErr w:type="spellStart"/>
      <w:r w:rsidRPr="00AC422F">
        <w:rPr>
          <w:b w:val="0"/>
        </w:rPr>
        <w:t>i</w:t>
      </w:r>
      <w:proofErr w:type="spellEnd"/>
      <w:r w:rsidRPr="00AC422F">
        <w:rPr>
          <w:b w:val="0"/>
        </w:rPr>
        <w:t xml:space="preserve">) the market share of railways in freight transportation decreases because of non-competitive tariffs; and (ii) the infrastructure manager loses money and cannot preserve its assets or provide needed capacity to operators. This results in deteriorated railway operations and a non-competitive railway industry. </w:t>
      </w:r>
    </w:p>
    <w:tbl>
      <w:tblPr>
        <w:tblStyle w:val="TableGrid"/>
        <w:tblW w:w="0" w:type="auto"/>
        <w:jc w:val="center"/>
        <w:tblLook w:val="04A0"/>
      </w:tblPr>
      <w:tblGrid>
        <w:gridCol w:w="4788"/>
      </w:tblGrid>
      <w:tr w:rsidR="00B04B06" w:rsidTr="00093652">
        <w:trPr>
          <w:cantSplit/>
          <w:jc w:val="center"/>
        </w:trPr>
        <w:tc>
          <w:tcPr>
            <w:tcW w:w="4788" w:type="dxa"/>
          </w:tcPr>
          <w:p w:rsidR="00B04B06" w:rsidRPr="00896FC6" w:rsidRDefault="00B04B06" w:rsidP="00DE274C">
            <w:pPr>
              <w:pStyle w:val="Caption"/>
              <w:tabs>
                <w:tab w:val="num" w:pos="0"/>
              </w:tabs>
              <w:rPr>
                <w:color w:val="auto"/>
                <w:sz w:val="22"/>
                <w:szCs w:val="22"/>
              </w:rPr>
            </w:pPr>
            <w:bookmarkStart w:id="197" w:name="_Ref258509298"/>
            <w:bookmarkStart w:id="198" w:name="_Toc264226790"/>
            <w:r w:rsidRPr="00896FC6">
              <w:rPr>
                <w:color w:val="auto"/>
                <w:sz w:val="22"/>
                <w:szCs w:val="22"/>
              </w:rPr>
              <w:t xml:space="preserve">Figure </w:t>
            </w:r>
            <w:r w:rsidR="006B40AE" w:rsidRPr="00896FC6">
              <w:rPr>
                <w:color w:val="auto"/>
                <w:sz w:val="22"/>
                <w:szCs w:val="22"/>
              </w:rPr>
              <w:fldChar w:fldCharType="begin"/>
            </w:r>
            <w:r w:rsidRPr="00896FC6">
              <w:rPr>
                <w:color w:val="auto"/>
                <w:sz w:val="22"/>
                <w:szCs w:val="22"/>
              </w:rPr>
              <w:instrText xml:space="preserve"> SEQ Figure \* ARABIC </w:instrText>
            </w:r>
            <w:r w:rsidR="006B40AE" w:rsidRPr="00896FC6">
              <w:rPr>
                <w:color w:val="auto"/>
                <w:sz w:val="22"/>
                <w:szCs w:val="22"/>
              </w:rPr>
              <w:fldChar w:fldCharType="separate"/>
            </w:r>
            <w:r w:rsidR="009E2C86">
              <w:rPr>
                <w:noProof/>
                <w:color w:val="auto"/>
                <w:sz w:val="22"/>
                <w:szCs w:val="22"/>
              </w:rPr>
              <w:t>33</w:t>
            </w:r>
            <w:r w:rsidR="006B40AE" w:rsidRPr="00896FC6">
              <w:rPr>
                <w:color w:val="auto"/>
                <w:sz w:val="22"/>
                <w:szCs w:val="22"/>
              </w:rPr>
              <w:fldChar w:fldCharType="end"/>
            </w:r>
            <w:bookmarkEnd w:id="197"/>
            <w:r w:rsidRPr="00896FC6">
              <w:rPr>
                <w:color w:val="auto"/>
                <w:sz w:val="22"/>
                <w:szCs w:val="22"/>
              </w:rPr>
              <w:t>. Belarusian Railways: Structure of Traffic and Revenue Distribution 2008</w:t>
            </w:r>
            <w:bookmarkEnd w:id="198"/>
            <w:r w:rsidRPr="00896FC6">
              <w:rPr>
                <w:color w:val="auto"/>
                <w:sz w:val="22"/>
                <w:szCs w:val="22"/>
              </w:rPr>
              <w:t xml:space="preserve"> </w:t>
            </w:r>
          </w:p>
          <w:p w:rsidR="00B04B06" w:rsidRDefault="00B04B06" w:rsidP="00DE274C">
            <w:pPr>
              <w:tabs>
                <w:tab w:val="num" w:pos="0"/>
              </w:tabs>
              <w:autoSpaceDE w:val="0"/>
              <w:autoSpaceDN w:val="0"/>
              <w:adjustRightInd w:val="0"/>
              <w:spacing w:after="120"/>
              <w:jc w:val="both"/>
            </w:pPr>
            <w:r w:rsidRPr="00AD61CB">
              <w:rPr>
                <w:b/>
                <w:noProof/>
                <w:sz w:val="20"/>
                <w:szCs w:val="20"/>
              </w:rPr>
              <w:drawing>
                <wp:inline distT="0" distB="0" distL="0" distR="0">
                  <wp:extent cx="2838298" cy="1916582"/>
                  <wp:effectExtent l="0" t="0" r="0" b="0"/>
                  <wp:docPr id="7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B04B06" w:rsidRPr="00896FC6" w:rsidRDefault="00B04B06" w:rsidP="00DE274C">
            <w:pPr>
              <w:tabs>
                <w:tab w:val="num" w:pos="0"/>
              </w:tabs>
              <w:rPr>
                <w:sz w:val="16"/>
                <w:szCs w:val="16"/>
              </w:rPr>
            </w:pPr>
            <w:r w:rsidRPr="00896FC6">
              <w:rPr>
                <w:sz w:val="16"/>
                <w:szCs w:val="16"/>
              </w:rPr>
              <w:t>Source: Reported Data by Belarusian Railways.</w:t>
            </w:r>
          </w:p>
        </w:tc>
      </w:tr>
    </w:tbl>
    <w:p w:rsidR="00B04B06" w:rsidRDefault="00B04B06" w:rsidP="00DE274C">
      <w:pPr>
        <w:tabs>
          <w:tab w:val="num" w:pos="0"/>
        </w:tabs>
        <w:autoSpaceDE w:val="0"/>
        <w:autoSpaceDN w:val="0"/>
        <w:adjustRightInd w:val="0"/>
        <w:spacing w:after="120"/>
        <w:jc w:val="both"/>
      </w:pPr>
    </w:p>
    <w:p w:rsidR="00F24397" w:rsidRPr="007777E2" w:rsidRDefault="00F24397" w:rsidP="00DE274C">
      <w:pPr>
        <w:pStyle w:val="Heading3"/>
        <w:tabs>
          <w:tab w:val="num" w:pos="0"/>
        </w:tabs>
        <w:spacing w:after="240"/>
        <w:rPr>
          <w:rFonts w:ascii="Times New Roman" w:hAnsi="Times New Roman" w:cs="Times New Roman"/>
          <w:sz w:val="24"/>
          <w:szCs w:val="24"/>
        </w:rPr>
      </w:pPr>
      <w:bookmarkStart w:id="199" w:name="_Toc282029955"/>
      <w:r w:rsidRPr="007777E2">
        <w:rPr>
          <w:rFonts w:ascii="Times New Roman" w:hAnsi="Times New Roman" w:cs="Times New Roman"/>
          <w:sz w:val="24"/>
          <w:szCs w:val="24"/>
        </w:rPr>
        <w:t>Financial Performance of Railway Operations</w:t>
      </w:r>
      <w:bookmarkEnd w:id="199"/>
    </w:p>
    <w:p w:rsidR="00CC1F17" w:rsidRPr="00AC422F" w:rsidRDefault="00CC1F17" w:rsidP="00AC422F">
      <w:pPr>
        <w:pStyle w:val="Style3"/>
        <w:rPr>
          <w:b w:val="0"/>
        </w:rPr>
      </w:pPr>
      <w:r w:rsidRPr="003C5773">
        <w:t>Presently, the maintenance and repair of the railway network is fully financed by the Belarusian Railways without any financial contribution from the State</w:t>
      </w:r>
      <w:r w:rsidRPr="00AC422F">
        <w:rPr>
          <w:b w:val="0"/>
        </w:rPr>
        <w:t>. The high intensity of traffic on the railway infrastructure allows the railway to cover from its own revenue the total repair and maintenance costs. There are no maintenance backlogs</w:t>
      </w:r>
      <w:r w:rsidR="00A872FF" w:rsidRPr="00AC422F">
        <w:rPr>
          <w:b w:val="0"/>
        </w:rPr>
        <w:t>.  S</w:t>
      </w:r>
      <w:r w:rsidRPr="00AC422F">
        <w:rPr>
          <w:b w:val="0"/>
        </w:rPr>
        <w:t xml:space="preserve">peed restrictions </w:t>
      </w:r>
      <w:r w:rsidR="00A872FF" w:rsidRPr="00AC422F">
        <w:rPr>
          <w:b w:val="0"/>
        </w:rPr>
        <w:t xml:space="preserve">exist only </w:t>
      </w:r>
      <w:r w:rsidRPr="00AC422F">
        <w:rPr>
          <w:b w:val="0"/>
        </w:rPr>
        <w:t xml:space="preserve">on very limited distances </w:t>
      </w:r>
      <w:r w:rsidR="00A872FF" w:rsidRPr="00AC422F">
        <w:rPr>
          <w:b w:val="0"/>
        </w:rPr>
        <w:t xml:space="preserve">and </w:t>
      </w:r>
      <w:r w:rsidRPr="00AC422F">
        <w:rPr>
          <w:b w:val="0"/>
        </w:rPr>
        <w:t xml:space="preserve">for short periods of time. It is vital for Belarusian Railways to maintain the same intensity of traffic to preserve the current policy of self-financing of infrastructure maintenance and capital repair. </w:t>
      </w:r>
      <w:r w:rsidR="0094591E" w:rsidRPr="00AC422F">
        <w:rPr>
          <w:b w:val="0"/>
        </w:rPr>
        <w:t>Belarusian Railways is one of only v</w:t>
      </w:r>
      <w:r w:rsidRPr="00AC422F">
        <w:rPr>
          <w:b w:val="0"/>
        </w:rPr>
        <w:t xml:space="preserve">ery few railways </w:t>
      </w:r>
      <w:r w:rsidR="00A872FF" w:rsidRPr="00AC422F">
        <w:rPr>
          <w:b w:val="0"/>
        </w:rPr>
        <w:t xml:space="preserve">worldwide </w:t>
      </w:r>
      <w:proofErr w:type="gramStart"/>
      <w:r w:rsidR="0094591E" w:rsidRPr="00AC422F">
        <w:rPr>
          <w:b w:val="0"/>
        </w:rPr>
        <w:t xml:space="preserve">that </w:t>
      </w:r>
      <w:r w:rsidRPr="00AC422F">
        <w:rPr>
          <w:b w:val="0"/>
        </w:rPr>
        <w:t>are</w:t>
      </w:r>
      <w:proofErr w:type="gramEnd"/>
      <w:r w:rsidRPr="00AC422F">
        <w:rPr>
          <w:b w:val="0"/>
        </w:rPr>
        <w:t xml:space="preserve"> able to be financially </w:t>
      </w:r>
      <w:r w:rsidR="0094591E" w:rsidRPr="00AC422F">
        <w:rPr>
          <w:b w:val="0"/>
        </w:rPr>
        <w:t>self-</w:t>
      </w:r>
      <w:r w:rsidRPr="00AC422F">
        <w:rPr>
          <w:b w:val="0"/>
        </w:rPr>
        <w:t>sustain</w:t>
      </w:r>
      <w:r w:rsidR="0094591E" w:rsidRPr="00AC422F">
        <w:rPr>
          <w:b w:val="0"/>
        </w:rPr>
        <w:t xml:space="preserve">ing </w:t>
      </w:r>
      <w:r w:rsidRPr="00AC422F">
        <w:rPr>
          <w:b w:val="0"/>
        </w:rPr>
        <w:t>without the support of the state budget.</w:t>
      </w:r>
    </w:p>
    <w:p w:rsidR="00CC1F17" w:rsidRPr="00AC422F" w:rsidRDefault="00CC1F17" w:rsidP="00AC422F">
      <w:pPr>
        <w:pStyle w:val="Style3"/>
        <w:rPr>
          <w:b w:val="0"/>
        </w:rPr>
      </w:pPr>
      <w:r w:rsidRPr="00093652">
        <w:t>Financial performance of railway operations is a vital element in preserving a strong market share for railway transport</w:t>
      </w:r>
      <w:r w:rsidRPr="00CC1F17">
        <w:t>.</w:t>
      </w:r>
      <w:r w:rsidRPr="007777E2">
        <w:t xml:space="preserve"> </w:t>
      </w:r>
      <w:r w:rsidRPr="00AC422F">
        <w:rPr>
          <w:b w:val="0"/>
        </w:rPr>
        <w:t xml:space="preserve">The efforts to create a modern railway transport infrastructure and to install efficient infrastructure management are necessary but not sufficient conditions for maintaining or increasing the railway transport market share. The operational and financial performance of railway operations is also essential. The data available from Belarusian Railways allows for an analysis of its financial performance and its business lines. Efforts to consolidate financial stability of Belarusian Railways are </w:t>
      </w:r>
      <w:r w:rsidRPr="003C5773">
        <w:rPr>
          <w:b w:val="0"/>
        </w:rPr>
        <w:t>visible (</w:t>
      </w:r>
      <w:fldSimple w:instr=" REF _Ref258505456 \h  \* MERGEFORMAT ">
        <w:r w:rsidR="00E85C5F" w:rsidRPr="00E85C5F">
          <w:t>Figure 34</w:t>
        </w:r>
      </w:fldSimple>
      <w:r w:rsidRPr="003C5773">
        <w:rPr>
          <w:b w:val="0"/>
        </w:rPr>
        <w:t>); the</w:t>
      </w:r>
      <w:r w:rsidRPr="00AC422F">
        <w:rPr>
          <w:b w:val="0"/>
        </w:rPr>
        <w:t xml:space="preserve"> company’s financial sustainability has improved each year, illustrating that the railway is currently one of the most profitable companies in the country. </w:t>
      </w:r>
    </w:p>
    <w:tbl>
      <w:tblPr>
        <w:tblStyle w:val="TableGrid"/>
        <w:tblW w:w="0" w:type="auto"/>
        <w:jc w:val="center"/>
        <w:tblLayout w:type="fixed"/>
        <w:tblLook w:val="04A0"/>
      </w:tblPr>
      <w:tblGrid>
        <w:gridCol w:w="4705"/>
      </w:tblGrid>
      <w:tr w:rsidR="00CC1F17" w:rsidRPr="007777E2" w:rsidTr="00804DB6">
        <w:trPr>
          <w:trHeight w:val="4130"/>
          <w:jc w:val="center"/>
        </w:trPr>
        <w:tc>
          <w:tcPr>
            <w:tcW w:w="4705" w:type="dxa"/>
          </w:tcPr>
          <w:p w:rsidR="00CC1F17" w:rsidRPr="007777E2" w:rsidRDefault="00CC1F17" w:rsidP="00A63E59">
            <w:pPr>
              <w:pStyle w:val="Style2"/>
              <w:numPr>
                <w:ilvl w:val="0"/>
                <w:numId w:val="0"/>
              </w:numPr>
            </w:pPr>
            <w:bookmarkStart w:id="200" w:name="_Ref258505456"/>
            <w:bookmarkStart w:id="201" w:name="_Toc264226791"/>
            <w:r w:rsidRPr="0093180B">
              <w:rPr>
                <w:rStyle w:val="CaptionChar"/>
                <w:rFonts w:eastAsia="Calibri"/>
                <w:color w:val="auto"/>
                <w:sz w:val="22"/>
                <w:szCs w:val="22"/>
              </w:rPr>
              <w:lastRenderedPageBreak/>
              <w:t xml:space="preserve">Figure </w:t>
            </w:r>
            <w:r w:rsidR="006B40AE" w:rsidRPr="0093180B">
              <w:rPr>
                <w:rStyle w:val="CaptionChar"/>
                <w:rFonts w:eastAsia="Calibri"/>
                <w:color w:val="auto"/>
                <w:sz w:val="22"/>
                <w:szCs w:val="22"/>
              </w:rPr>
              <w:fldChar w:fldCharType="begin"/>
            </w:r>
            <w:r w:rsidRPr="0093180B">
              <w:rPr>
                <w:rStyle w:val="CaptionChar"/>
                <w:rFonts w:eastAsia="Calibri"/>
                <w:color w:val="auto"/>
                <w:sz w:val="22"/>
                <w:szCs w:val="22"/>
              </w:rPr>
              <w:instrText xml:space="preserve"> SEQ Figure \* ARABIC </w:instrText>
            </w:r>
            <w:r w:rsidR="006B40AE" w:rsidRPr="0093180B">
              <w:rPr>
                <w:rStyle w:val="CaptionChar"/>
                <w:rFonts w:eastAsia="Calibri"/>
                <w:color w:val="auto"/>
                <w:sz w:val="22"/>
                <w:szCs w:val="22"/>
              </w:rPr>
              <w:fldChar w:fldCharType="separate"/>
            </w:r>
            <w:r w:rsidR="009E2C86">
              <w:rPr>
                <w:rStyle w:val="CaptionChar"/>
                <w:rFonts w:eastAsia="Calibri"/>
                <w:noProof/>
                <w:color w:val="auto"/>
                <w:sz w:val="22"/>
                <w:szCs w:val="22"/>
              </w:rPr>
              <w:t>34</w:t>
            </w:r>
            <w:r w:rsidR="006B40AE" w:rsidRPr="0093180B">
              <w:rPr>
                <w:rStyle w:val="CaptionChar"/>
                <w:rFonts w:eastAsia="Calibri"/>
                <w:color w:val="auto"/>
                <w:sz w:val="22"/>
                <w:szCs w:val="22"/>
              </w:rPr>
              <w:fldChar w:fldCharType="end"/>
            </w:r>
            <w:bookmarkEnd w:id="200"/>
            <w:r w:rsidRPr="0093180B">
              <w:rPr>
                <w:rStyle w:val="CaptionChar"/>
                <w:rFonts w:eastAsia="Calibri"/>
                <w:color w:val="auto"/>
                <w:sz w:val="22"/>
                <w:szCs w:val="22"/>
              </w:rPr>
              <w:t>. Profits of Belarusian Railways (million BYR</w:t>
            </w:r>
            <w:proofErr w:type="gramStart"/>
            <w:r w:rsidRPr="0093180B">
              <w:rPr>
                <w:rStyle w:val="CaptionChar"/>
                <w:rFonts w:eastAsia="Calibri"/>
                <w:color w:val="auto"/>
                <w:sz w:val="22"/>
                <w:szCs w:val="22"/>
              </w:rPr>
              <w:t>)</w:t>
            </w:r>
            <w:proofErr w:type="gramEnd"/>
            <w:r w:rsidRPr="007777E2">
              <w:rPr>
                <w:noProof/>
              </w:rPr>
              <w:drawing>
                <wp:inline distT="0" distB="0" distL="0" distR="0">
                  <wp:extent cx="2838298" cy="2099462"/>
                  <wp:effectExtent l="0" t="0" r="0" b="0"/>
                  <wp:docPr id="6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sidRPr="008046F3">
              <w:rPr>
                <w:sz w:val="20"/>
                <w:szCs w:val="20"/>
              </w:rPr>
              <w:t>Source: Data reported by Belarusian Railway.</w:t>
            </w:r>
            <w:bookmarkEnd w:id="201"/>
          </w:p>
        </w:tc>
      </w:tr>
    </w:tbl>
    <w:p w:rsidR="0093180B" w:rsidRPr="0093180B" w:rsidRDefault="0093180B" w:rsidP="00A63E59">
      <w:pPr>
        <w:pStyle w:val="Style2"/>
        <w:numPr>
          <w:ilvl w:val="0"/>
          <w:numId w:val="0"/>
        </w:numPr>
      </w:pPr>
    </w:p>
    <w:p w:rsidR="00CC1F17" w:rsidRPr="00AC422F" w:rsidRDefault="00CC1F17" w:rsidP="00AC422F">
      <w:pPr>
        <w:pStyle w:val="Style3"/>
        <w:rPr>
          <w:b w:val="0"/>
        </w:rPr>
      </w:pPr>
      <w:r w:rsidRPr="003C5773">
        <w:t>Continuous improvement in the financial sustainability of railway operations shows that Belarusian Railways is in good financial health</w:t>
      </w:r>
      <w:r w:rsidRPr="00AC422F">
        <w:rPr>
          <w:b w:val="0"/>
        </w:rPr>
        <w:t xml:space="preserve">. </w:t>
      </w:r>
      <w:fldSimple w:instr=" REF _Ref258504122 \h  \* MERGEFORMAT ">
        <w:r w:rsidR="00E85C5F" w:rsidRPr="00E85C5F">
          <w:rPr>
            <w:b w:val="0"/>
          </w:rPr>
          <w:t xml:space="preserve">Table </w:t>
        </w:r>
        <w:r w:rsidR="00E85C5F" w:rsidRPr="00E85C5F">
          <w:rPr>
            <w:b w:val="0"/>
            <w:noProof/>
          </w:rPr>
          <w:t>16</w:t>
        </w:r>
      </w:fldSimple>
      <w:r w:rsidR="004151C2" w:rsidRPr="00AC422F">
        <w:rPr>
          <w:b w:val="0"/>
        </w:rPr>
        <w:t xml:space="preserve"> </w:t>
      </w:r>
      <w:r w:rsidRPr="00AC422F">
        <w:rPr>
          <w:b w:val="0"/>
          <w:color w:val="000000" w:themeColor="text1"/>
        </w:rPr>
        <w:t xml:space="preserve">presents the evolution of the main operational and financial parameters of the company during 2005-2008. The transport volumes carried by rail have grown every year from 2005 to 2008, even though there was less growth than for road transport volumes during the same </w:t>
      </w:r>
      <w:r w:rsidR="003074FD" w:rsidRPr="00AC422F">
        <w:rPr>
          <w:b w:val="0"/>
          <w:color w:val="000000" w:themeColor="text1"/>
        </w:rPr>
        <w:t>period</w:t>
      </w:r>
      <w:r w:rsidRPr="00AC422F">
        <w:rPr>
          <w:b w:val="0"/>
          <w:color w:val="000000" w:themeColor="text1"/>
        </w:rPr>
        <w:t xml:space="preserve">. For 2008 the ratio of staff cost to total costs is better than the European average; </w:t>
      </w:r>
      <w:r w:rsidR="003074FD" w:rsidRPr="00AC422F">
        <w:rPr>
          <w:b w:val="0"/>
          <w:color w:val="000000" w:themeColor="text1"/>
        </w:rPr>
        <w:t xml:space="preserve">with </w:t>
      </w:r>
      <w:r w:rsidRPr="00AC422F">
        <w:rPr>
          <w:b w:val="0"/>
          <w:color w:val="000000" w:themeColor="text1"/>
        </w:rPr>
        <w:t xml:space="preserve">25 percent of total costs for Belarusian Railways versus 40 percent or higher for the European average. The </w:t>
      </w:r>
      <w:r w:rsidRPr="00AC422F">
        <w:rPr>
          <w:b w:val="0"/>
        </w:rPr>
        <w:t>working ratio</w:t>
      </w:r>
      <w:r w:rsidRPr="00AC422F">
        <w:rPr>
          <w:rStyle w:val="FootnoteReference"/>
          <w:b w:val="0"/>
          <w:sz w:val="24"/>
          <w:szCs w:val="24"/>
        </w:rPr>
        <w:footnoteReference w:id="37"/>
      </w:r>
      <w:r w:rsidRPr="00AC422F">
        <w:rPr>
          <w:b w:val="0"/>
        </w:rPr>
        <w:t xml:space="preserve"> </w:t>
      </w:r>
      <w:r w:rsidRPr="00AC422F">
        <w:rPr>
          <w:b w:val="0"/>
          <w:color w:val="000000" w:themeColor="text1"/>
        </w:rPr>
        <w:t>and the operating ratio</w:t>
      </w:r>
      <w:r w:rsidRPr="00AC422F">
        <w:rPr>
          <w:rStyle w:val="FootnoteReference"/>
          <w:b w:val="0"/>
          <w:color w:val="000000" w:themeColor="text1"/>
          <w:sz w:val="24"/>
          <w:szCs w:val="24"/>
        </w:rPr>
        <w:footnoteReference w:id="38"/>
      </w:r>
      <w:r w:rsidRPr="00AC422F">
        <w:rPr>
          <w:b w:val="0"/>
          <w:color w:val="000000" w:themeColor="text1"/>
        </w:rPr>
        <w:t xml:space="preserve"> are well above EU-25 averages for the whole period</w:t>
      </w:r>
      <w:r w:rsidR="003074FD" w:rsidRPr="00AC422F">
        <w:rPr>
          <w:b w:val="0"/>
          <w:color w:val="000000" w:themeColor="text1"/>
        </w:rPr>
        <w:t xml:space="preserve">; this is </w:t>
      </w:r>
      <w:r w:rsidRPr="00AC422F">
        <w:rPr>
          <w:b w:val="0"/>
          <w:color w:val="000000" w:themeColor="text1"/>
        </w:rPr>
        <w:t>another illustration of Belarusian Railways</w:t>
      </w:r>
      <w:r w:rsidR="003074FD" w:rsidRPr="00AC422F">
        <w:rPr>
          <w:b w:val="0"/>
          <w:color w:val="000000" w:themeColor="text1"/>
        </w:rPr>
        <w:t>’</w:t>
      </w:r>
      <w:r w:rsidRPr="00AC422F">
        <w:rPr>
          <w:b w:val="0"/>
          <w:color w:val="000000" w:themeColor="text1"/>
        </w:rPr>
        <w:t xml:space="preserve"> financial health and operational efficiency (</w:t>
      </w:r>
      <w:fldSimple w:instr=" REF _Ref258505523 \h  \* MERGEFORMAT ">
        <w:r w:rsidR="00E85C5F" w:rsidRPr="00E85C5F">
          <w:rPr>
            <w:b w:val="0"/>
          </w:rPr>
          <w:t>Figure 35</w:t>
        </w:r>
      </w:fldSimple>
      <w:r w:rsidRPr="00AC422F">
        <w:rPr>
          <w:b w:val="0"/>
          <w:color w:val="000000" w:themeColor="text1"/>
        </w:rPr>
        <w:t xml:space="preserve">). The only worrying element is the rapid increase of the road transport market share during the same interval: if this market trend continues, financial sustainability of the railway in Belarus will be endangered in the medium term. </w:t>
      </w:r>
    </w:p>
    <w:p w:rsidR="00CC1F17" w:rsidRPr="007777E2" w:rsidRDefault="00CC1F17" w:rsidP="00DE274C">
      <w:pPr>
        <w:pStyle w:val="Caption"/>
        <w:keepNext/>
        <w:tabs>
          <w:tab w:val="num" w:pos="0"/>
        </w:tabs>
        <w:rPr>
          <w:color w:val="auto"/>
          <w:sz w:val="22"/>
          <w:szCs w:val="22"/>
        </w:rPr>
      </w:pPr>
      <w:bookmarkStart w:id="202" w:name="_Ref258504122"/>
      <w:bookmarkStart w:id="203" w:name="_Toc264227143"/>
      <w:proofErr w:type="gramStart"/>
      <w:r w:rsidRPr="007777E2">
        <w:rPr>
          <w:color w:val="auto"/>
          <w:sz w:val="22"/>
          <w:szCs w:val="22"/>
        </w:rPr>
        <w:lastRenderedPageBreak/>
        <w:t xml:space="preserve">Table </w:t>
      </w:r>
      <w:r w:rsidR="006B40AE" w:rsidRPr="007777E2">
        <w:rPr>
          <w:color w:val="auto"/>
          <w:sz w:val="22"/>
          <w:szCs w:val="22"/>
        </w:rPr>
        <w:fldChar w:fldCharType="begin"/>
      </w:r>
      <w:r w:rsidRPr="007777E2">
        <w:rPr>
          <w:color w:val="auto"/>
          <w:sz w:val="22"/>
          <w:szCs w:val="22"/>
        </w:rPr>
        <w:instrText xml:space="preserve"> SEQ Table \* ARABIC </w:instrText>
      </w:r>
      <w:r w:rsidR="006B40AE" w:rsidRPr="007777E2">
        <w:rPr>
          <w:color w:val="auto"/>
          <w:sz w:val="22"/>
          <w:szCs w:val="22"/>
        </w:rPr>
        <w:fldChar w:fldCharType="separate"/>
      </w:r>
      <w:r w:rsidR="009E2C86">
        <w:rPr>
          <w:noProof/>
          <w:color w:val="auto"/>
          <w:sz w:val="22"/>
          <w:szCs w:val="22"/>
        </w:rPr>
        <w:t>16</w:t>
      </w:r>
      <w:r w:rsidR="006B40AE" w:rsidRPr="007777E2">
        <w:rPr>
          <w:color w:val="auto"/>
          <w:sz w:val="22"/>
          <w:szCs w:val="22"/>
        </w:rPr>
        <w:fldChar w:fldCharType="end"/>
      </w:r>
      <w:bookmarkEnd w:id="202"/>
      <w:r w:rsidRPr="007777E2">
        <w:rPr>
          <w:color w:val="auto"/>
          <w:sz w:val="22"/>
          <w:szCs w:val="22"/>
        </w:rPr>
        <w:t>.</w:t>
      </w:r>
      <w:proofErr w:type="gramEnd"/>
      <w:r w:rsidRPr="007777E2">
        <w:rPr>
          <w:color w:val="auto"/>
          <w:sz w:val="22"/>
          <w:szCs w:val="22"/>
        </w:rPr>
        <w:t xml:space="preserve"> Belarusian Railways: Evolution of operational and financial performance 2005-2008</w:t>
      </w:r>
      <w:bookmarkEnd w:id="203"/>
    </w:p>
    <w:tbl>
      <w:tblPr>
        <w:tblW w:w="8198" w:type="dxa"/>
        <w:jc w:val="center"/>
        <w:tblInd w:w="93" w:type="dxa"/>
        <w:tblLook w:val="04A0"/>
      </w:tblPr>
      <w:tblGrid>
        <w:gridCol w:w="1088"/>
        <w:gridCol w:w="2610"/>
        <w:gridCol w:w="1170"/>
        <w:gridCol w:w="1080"/>
        <w:gridCol w:w="1080"/>
        <w:gridCol w:w="1170"/>
      </w:tblGrid>
      <w:tr w:rsidR="00CC1F17" w:rsidRPr="00434074" w:rsidTr="008651C3">
        <w:trPr>
          <w:trHeight w:val="300"/>
          <w:jc w:val="center"/>
        </w:trPr>
        <w:tc>
          <w:tcPr>
            <w:tcW w:w="3698" w:type="dxa"/>
            <w:gridSpan w:val="2"/>
            <w:tcBorders>
              <w:top w:val="single" w:sz="4" w:space="0" w:color="auto"/>
              <w:bottom w:val="single" w:sz="4" w:space="0" w:color="auto"/>
            </w:tcBorders>
            <w:shd w:val="clear" w:color="auto" w:fill="auto"/>
            <w:vAlign w:val="center"/>
            <w:hideMark/>
          </w:tcPr>
          <w:p w:rsidR="00CC1F17" w:rsidRPr="00A52D36" w:rsidRDefault="00CC1F17" w:rsidP="00A52D36">
            <w:pPr>
              <w:keepNext/>
              <w:tabs>
                <w:tab w:val="num" w:pos="0"/>
              </w:tabs>
              <w:rPr>
                <w:rFonts w:asciiTheme="minorHAnsi" w:hAnsiTheme="minorHAnsi"/>
                <w:sz w:val="18"/>
                <w:szCs w:val="14"/>
              </w:rPr>
            </w:pPr>
            <w:r w:rsidRPr="00A52D36">
              <w:rPr>
                <w:rFonts w:asciiTheme="minorHAnsi" w:hAnsiTheme="minorHAnsi"/>
                <w:sz w:val="18"/>
                <w:szCs w:val="14"/>
              </w:rPr>
              <w:t>Year</w:t>
            </w:r>
          </w:p>
        </w:tc>
        <w:tc>
          <w:tcPr>
            <w:tcW w:w="1170" w:type="dxa"/>
            <w:tcBorders>
              <w:top w:val="single" w:sz="4" w:space="0" w:color="auto"/>
              <w:bottom w:val="single" w:sz="4" w:space="0" w:color="auto"/>
            </w:tcBorders>
            <w:shd w:val="clear" w:color="auto" w:fill="auto"/>
            <w:vAlign w:val="center"/>
            <w:hideMark/>
          </w:tcPr>
          <w:p w:rsidR="00CC1F17" w:rsidRPr="00A52D36" w:rsidRDefault="00CC1F17" w:rsidP="00A52D36">
            <w:pPr>
              <w:keepNext/>
              <w:tabs>
                <w:tab w:val="num" w:pos="0"/>
              </w:tabs>
              <w:jc w:val="right"/>
              <w:rPr>
                <w:rFonts w:asciiTheme="minorHAnsi" w:hAnsiTheme="minorHAnsi"/>
                <w:sz w:val="18"/>
                <w:szCs w:val="14"/>
              </w:rPr>
            </w:pPr>
            <w:r w:rsidRPr="00A52D36">
              <w:rPr>
                <w:rFonts w:asciiTheme="minorHAnsi" w:hAnsiTheme="minorHAnsi"/>
                <w:sz w:val="18"/>
                <w:szCs w:val="14"/>
              </w:rPr>
              <w:t>2005</w:t>
            </w:r>
          </w:p>
        </w:tc>
        <w:tc>
          <w:tcPr>
            <w:tcW w:w="1080" w:type="dxa"/>
            <w:tcBorders>
              <w:top w:val="single" w:sz="4" w:space="0" w:color="auto"/>
              <w:bottom w:val="single" w:sz="4" w:space="0" w:color="auto"/>
            </w:tcBorders>
            <w:shd w:val="clear" w:color="auto" w:fill="auto"/>
            <w:vAlign w:val="center"/>
            <w:hideMark/>
          </w:tcPr>
          <w:p w:rsidR="00CC1F17" w:rsidRPr="00A52D36" w:rsidRDefault="00CC1F17" w:rsidP="00A52D36">
            <w:pPr>
              <w:keepNext/>
              <w:tabs>
                <w:tab w:val="num" w:pos="0"/>
              </w:tabs>
              <w:jc w:val="right"/>
              <w:rPr>
                <w:rFonts w:asciiTheme="minorHAnsi" w:hAnsiTheme="minorHAnsi"/>
                <w:sz w:val="18"/>
                <w:szCs w:val="14"/>
              </w:rPr>
            </w:pPr>
            <w:r w:rsidRPr="00A52D36">
              <w:rPr>
                <w:rFonts w:asciiTheme="minorHAnsi" w:hAnsiTheme="minorHAnsi"/>
                <w:sz w:val="18"/>
                <w:szCs w:val="14"/>
              </w:rPr>
              <w:t>2006</w:t>
            </w:r>
          </w:p>
        </w:tc>
        <w:tc>
          <w:tcPr>
            <w:tcW w:w="1080" w:type="dxa"/>
            <w:tcBorders>
              <w:top w:val="single" w:sz="4" w:space="0" w:color="auto"/>
              <w:bottom w:val="single" w:sz="4" w:space="0" w:color="auto"/>
            </w:tcBorders>
            <w:shd w:val="clear" w:color="auto" w:fill="auto"/>
            <w:vAlign w:val="center"/>
            <w:hideMark/>
          </w:tcPr>
          <w:p w:rsidR="00CC1F17" w:rsidRPr="00A52D36" w:rsidRDefault="00CC1F17" w:rsidP="00A52D36">
            <w:pPr>
              <w:keepNext/>
              <w:tabs>
                <w:tab w:val="num" w:pos="0"/>
              </w:tabs>
              <w:jc w:val="right"/>
              <w:rPr>
                <w:rFonts w:asciiTheme="minorHAnsi" w:hAnsiTheme="minorHAnsi"/>
                <w:sz w:val="18"/>
                <w:szCs w:val="14"/>
              </w:rPr>
            </w:pPr>
            <w:r w:rsidRPr="00A52D36">
              <w:rPr>
                <w:rFonts w:asciiTheme="minorHAnsi" w:hAnsiTheme="minorHAnsi"/>
                <w:sz w:val="18"/>
                <w:szCs w:val="14"/>
              </w:rPr>
              <w:t>2007</w:t>
            </w:r>
          </w:p>
        </w:tc>
        <w:tc>
          <w:tcPr>
            <w:tcW w:w="1170" w:type="dxa"/>
            <w:tcBorders>
              <w:top w:val="single" w:sz="4" w:space="0" w:color="auto"/>
              <w:bottom w:val="single" w:sz="4" w:space="0" w:color="auto"/>
            </w:tcBorders>
            <w:shd w:val="clear" w:color="auto" w:fill="auto"/>
            <w:vAlign w:val="center"/>
            <w:hideMark/>
          </w:tcPr>
          <w:p w:rsidR="00CC1F17" w:rsidRPr="00A52D36" w:rsidRDefault="00CC1F17" w:rsidP="00A52D36">
            <w:pPr>
              <w:keepNext/>
              <w:tabs>
                <w:tab w:val="num" w:pos="0"/>
              </w:tabs>
              <w:jc w:val="right"/>
              <w:rPr>
                <w:rFonts w:asciiTheme="minorHAnsi" w:hAnsiTheme="minorHAnsi"/>
                <w:sz w:val="18"/>
                <w:szCs w:val="14"/>
              </w:rPr>
            </w:pPr>
            <w:r w:rsidRPr="00A52D36">
              <w:rPr>
                <w:rFonts w:asciiTheme="minorHAnsi" w:hAnsiTheme="minorHAnsi"/>
                <w:sz w:val="18"/>
                <w:szCs w:val="14"/>
              </w:rPr>
              <w:t>2008</w:t>
            </w:r>
          </w:p>
        </w:tc>
      </w:tr>
      <w:tr w:rsidR="00CC1F17" w:rsidRPr="00434074" w:rsidTr="008651C3">
        <w:trPr>
          <w:trHeight w:val="300"/>
          <w:jc w:val="center"/>
        </w:trPr>
        <w:tc>
          <w:tcPr>
            <w:tcW w:w="3698" w:type="dxa"/>
            <w:gridSpan w:val="2"/>
            <w:tcBorders>
              <w:top w:val="single" w:sz="4" w:space="0" w:color="auto"/>
              <w:bottom w:val="single" w:sz="4" w:space="0" w:color="auto"/>
            </w:tcBorders>
            <w:shd w:val="clear" w:color="auto" w:fill="auto"/>
            <w:vAlign w:val="bottom"/>
            <w:hideMark/>
          </w:tcPr>
          <w:p w:rsidR="00CC1F17" w:rsidRPr="00A52D36" w:rsidRDefault="00CC1F17" w:rsidP="00A52D36">
            <w:pPr>
              <w:keepNext/>
              <w:tabs>
                <w:tab w:val="num" w:pos="0"/>
              </w:tabs>
              <w:rPr>
                <w:rFonts w:asciiTheme="minorHAnsi" w:hAnsiTheme="minorHAnsi"/>
                <w:color w:val="000000"/>
                <w:sz w:val="18"/>
                <w:szCs w:val="14"/>
              </w:rPr>
            </w:pPr>
            <w:r w:rsidRPr="00A52D36">
              <w:rPr>
                <w:rFonts w:asciiTheme="minorHAnsi" w:hAnsiTheme="minorHAnsi"/>
                <w:color w:val="000000"/>
                <w:sz w:val="18"/>
                <w:szCs w:val="14"/>
              </w:rPr>
              <w:t>Number of staff</w:t>
            </w:r>
          </w:p>
        </w:tc>
        <w:tc>
          <w:tcPr>
            <w:tcW w:w="1170" w:type="dxa"/>
            <w:tcBorders>
              <w:top w:val="single" w:sz="4" w:space="0" w:color="auto"/>
              <w:bottom w:val="single" w:sz="4" w:space="0" w:color="auto"/>
            </w:tcBorders>
            <w:shd w:val="clear" w:color="auto" w:fill="auto"/>
            <w:noWrap/>
            <w:vAlign w:val="bottom"/>
            <w:hideMark/>
          </w:tcPr>
          <w:p w:rsidR="00CC1F17" w:rsidRPr="00A52D36" w:rsidRDefault="00CC1F17" w:rsidP="00A52D36">
            <w:pPr>
              <w:keepNext/>
              <w:tabs>
                <w:tab w:val="num" w:pos="0"/>
              </w:tabs>
              <w:jc w:val="right"/>
              <w:rPr>
                <w:rFonts w:asciiTheme="minorHAnsi" w:hAnsiTheme="minorHAnsi"/>
                <w:sz w:val="18"/>
                <w:szCs w:val="14"/>
              </w:rPr>
            </w:pPr>
            <w:r w:rsidRPr="00A52D36">
              <w:rPr>
                <w:rFonts w:asciiTheme="minorHAnsi" w:hAnsiTheme="minorHAnsi"/>
                <w:sz w:val="18"/>
                <w:szCs w:val="14"/>
              </w:rPr>
              <w:t>78,316</w:t>
            </w:r>
          </w:p>
        </w:tc>
        <w:tc>
          <w:tcPr>
            <w:tcW w:w="1080" w:type="dxa"/>
            <w:tcBorders>
              <w:top w:val="single" w:sz="4" w:space="0" w:color="auto"/>
              <w:bottom w:val="single" w:sz="4" w:space="0" w:color="auto"/>
            </w:tcBorders>
            <w:shd w:val="clear" w:color="auto" w:fill="auto"/>
            <w:noWrap/>
            <w:vAlign w:val="bottom"/>
            <w:hideMark/>
          </w:tcPr>
          <w:p w:rsidR="00CC1F17" w:rsidRPr="00A52D36" w:rsidRDefault="00CC1F17" w:rsidP="00A52D36">
            <w:pPr>
              <w:keepNext/>
              <w:tabs>
                <w:tab w:val="num" w:pos="0"/>
              </w:tabs>
              <w:jc w:val="right"/>
              <w:rPr>
                <w:rFonts w:asciiTheme="minorHAnsi" w:hAnsiTheme="minorHAnsi"/>
                <w:sz w:val="18"/>
                <w:szCs w:val="14"/>
              </w:rPr>
            </w:pPr>
            <w:r w:rsidRPr="00A52D36">
              <w:rPr>
                <w:rFonts w:asciiTheme="minorHAnsi" w:hAnsiTheme="minorHAnsi"/>
                <w:sz w:val="18"/>
                <w:szCs w:val="14"/>
              </w:rPr>
              <w:t>77,975</w:t>
            </w:r>
          </w:p>
        </w:tc>
        <w:tc>
          <w:tcPr>
            <w:tcW w:w="1080" w:type="dxa"/>
            <w:tcBorders>
              <w:top w:val="single" w:sz="4" w:space="0" w:color="auto"/>
              <w:bottom w:val="single" w:sz="4" w:space="0" w:color="auto"/>
            </w:tcBorders>
            <w:shd w:val="clear" w:color="auto" w:fill="auto"/>
            <w:noWrap/>
            <w:vAlign w:val="bottom"/>
            <w:hideMark/>
          </w:tcPr>
          <w:p w:rsidR="00CC1F17" w:rsidRPr="00A52D36" w:rsidRDefault="00CC1F17" w:rsidP="00A52D36">
            <w:pPr>
              <w:keepNext/>
              <w:tabs>
                <w:tab w:val="num" w:pos="0"/>
              </w:tabs>
              <w:jc w:val="right"/>
              <w:rPr>
                <w:rFonts w:asciiTheme="minorHAnsi" w:hAnsiTheme="minorHAnsi"/>
                <w:sz w:val="18"/>
                <w:szCs w:val="14"/>
              </w:rPr>
            </w:pPr>
            <w:r w:rsidRPr="00A52D36">
              <w:rPr>
                <w:rFonts w:asciiTheme="minorHAnsi" w:hAnsiTheme="minorHAnsi"/>
                <w:sz w:val="18"/>
                <w:szCs w:val="14"/>
              </w:rPr>
              <w:t>77,649</w:t>
            </w:r>
          </w:p>
        </w:tc>
        <w:tc>
          <w:tcPr>
            <w:tcW w:w="1170" w:type="dxa"/>
            <w:tcBorders>
              <w:top w:val="single" w:sz="4" w:space="0" w:color="auto"/>
              <w:bottom w:val="single" w:sz="4" w:space="0" w:color="auto"/>
            </w:tcBorders>
            <w:shd w:val="clear" w:color="auto" w:fill="auto"/>
            <w:noWrap/>
            <w:vAlign w:val="bottom"/>
            <w:hideMark/>
          </w:tcPr>
          <w:p w:rsidR="00CC1F17" w:rsidRPr="00A52D36" w:rsidRDefault="00CC1F17" w:rsidP="00A52D36">
            <w:pPr>
              <w:keepNext/>
              <w:tabs>
                <w:tab w:val="num" w:pos="0"/>
              </w:tabs>
              <w:jc w:val="right"/>
              <w:rPr>
                <w:rFonts w:asciiTheme="minorHAnsi" w:hAnsiTheme="minorHAnsi"/>
                <w:sz w:val="18"/>
                <w:szCs w:val="14"/>
              </w:rPr>
            </w:pPr>
            <w:r w:rsidRPr="00A52D36">
              <w:rPr>
                <w:rFonts w:asciiTheme="minorHAnsi" w:hAnsiTheme="minorHAnsi"/>
                <w:sz w:val="18"/>
                <w:szCs w:val="14"/>
              </w:rPr>
              <w:t>77,958</w:t>
            </w:r>
          </w:p>
        </w:tc>
      </w:tr>
      <w:tr w:rsidR="00CC1F17" w:rsidRPr="00434074" w:rsidTr="008651C3">
        <w:trPr>
          <w:trHeight w:val="345"/>
          <w:jc w:val="center"/>
        </w:trPr>
        <w:tc>
          <w:tcPr>
            <w:tcW w:w="1088" w:type="dxa"/>
            <w:vMerge w:val="restart"/>
            <w:tcBorders>
              <w:top w:val="single" w:sz="4" w:space="0" w:color="auto"/>
              <w:bottom w:val="single" w:sz="4" w:space="0" w:color="auto"/>
            </w:tcBorders>
            <w:shd w:val="clear" w:color="auto" w:fill="auto"/>
            <w:vAlign w:val="center"/>
            <w:hideMark/>
          </w:tcPr>
          <w:p w:rsidR="00CC1F17" w:rsidRPr="00A52D36" w:rsidRDefault="00CC1F17" w:rsidP="00A52D36">
            <w:pPr>
              <w:keepNext/>
              <w:tabs>
                <w:tab w:val="num" w:pos="0"/>
              </w:tabs>
              <w:rPr>
                <w:rFonts w:asciiTheme="minorHAnsi" w:hAnsiTheme="minorHAnsi"/>
                <w:sz w:val="18"/>
                <w:szCs w:val="14"/>
              </w:rPr>
            </w:pPr>
            <w:r w:rsidRPr="00A52D36">
              <w:rPr>
                <w:rFonts w:asciiTheme="minorHAnsi" w:hAnsiTheme="minorHAnsi"/>
                <w:sz w:val="18"/>
                <w:szCs w:val="14"/>
              </w:rPr>
              <w:t>Passenger</w:t>
            </w:r>
          </w:p>
        </w:tc>
        <w:tc>
          <w:tcPr>
            <w:tcW w:w="2610" w:type="dxa"/>
            <w:tcBorders>
              <w:top w:val="single" w:sz="4" w:space="0" w:color="auto"/>
              <w:bottom w:val="single" w:sz="4" w:space="0" w:color="auto"/>
            </w:tcBorders>
            <w:shd w:val="clear" w:color="auto" w:fill="auto"/>
            <w:vAlign w:val="bottom"/>
            <w:hideMark/>
          </w:tcPr>
          <w:p w:rsidR="00CC1F17" w:rsidRPr="00A52D36" w:rsidRDefault="00CC1F17" w:rsidP="00A52D36">
            <w:pPr>
              <w:keepNext/>
              <w:tabs>
                <w:tab w:val="num" w:pos="0"/>
              </w:tabs>
              <w:rPr>
                <w:rFonts w:asciiTheme="minorHAnsi" w:hAnsiTheme="minorHAnsi"/>
                <w:sz w:val="18"/>
                <w:szCs w:val="14"/>
              </w:rPr>
            </w:pPr>
            <w:r w:rsidRPr="00A52D36">
              <w:rPr>
                <w:rFonts w:asciiTheme="minorHAnsi" w:hAnsiTheme="minorHAnsi"/>
                <w:sz w:val="18"/>
                <w:szCs w:val="14"/>
              </w:rPr>
              <w:t>Passenger Revenue [million BYR]</w:t>
            </w:r>
          </w:p>
        </w:tc>
        <w:tc>
          <w:tcPr>
            <w:tcW w:w="1170" w:type="dxa"/>
            <w:tcBorders>
              <w:top w:val="single" w:sz="4" w:space="0" w:color="auto"/>
              <w:bottom w:val="single" w:sz="4" w:space="0" w:color="auto"/>
            </w:tcBorders>
            <w:shd w:val="clear" w:color="auto" w:fill="auto"/>
            <w:noWrap/>
            <w:vAlign w:val="bottom"/>
            <w:hideMark/>
          </w:tcPr>
          <w:p w:rsidR="00CC1F17" w:rsidRPr="00A52D36" w:rsidRDefault="00CC1F17" w:rsidP="00A52D36">
            <w:pPr>
              <w:keepNext/>
              <w:tabs>
                <w:tab w:val="num" w:pos="0"/>
              </w:tabs>
              <w:jc w:val="right"/>
              <w:rPr>
                <w:rFonts w:asciiTheme="minorHAnsi" w:hAnsiTheme="minorHAnsi"/>
                <w:sz w:val="18"/>
                <w:szCs w:val="14"/>
              </w:rPr>
            </w:pPr>
            <w:r w:rsidRPr="00A52D36">
              <w:rPr>
                <w:rFonts w:asciiTheme="minorHAnsi" w:hAnsiTheme="minorHAnsi"/>
                <w:sz w:val="18"/>
                <w:szCs w:val="14"/>
              </w:rPr>
              <w:t>418,065</w:t>
            </w:r>
          </w:p>
        </w:tc>
        <w:tc>
          <w:tcPr>
            <w:tcW w:w="1080" w:type="dxa"/>
            <w:tcBorders>
              <w:top w:val="single" w:sz="4" w:space="0" w:color="auto"/>
              <w:bottom w:val="single" w:sz="4" w:space="0" w:color="auto"/>
            </w:tcBorders>
            <w:shd w:val="clear" w:color="auto" w:fill="auto"/>
            <w:noWrap/>
            <w:vAlign w:val="bottom"/>
            <w:hideMark/>
          </w:tcPr>
          <w:p w:rsidR="00CC1F17" w:rsidRPr="00A52D36" w:rsidRDefault="00CC1F17" w:rsidP="00A52D36">
            <w:pPr>
              <w:keepNext/>
              <w:tabs>
                <w:tab w:val="num" w:pos="0"/>
              </w:tabs>
              <w:jc w:val="right"/>
              <w:rPr>
                <w:rFonts w:asciiTheme="minorHAnsi" w:hAnsiTheme="minorHAnsi"/>
                <w:sz w:val="18"/>
                <w:szCs w:val="14"/>
              </w:rPr>
            </w:pPr>
            <w:r w:rsidRPr="00A52D36">
              <w:rPr>
                <w:rFonts w:asciiTheme="minorHAnsi" w:hAnsiTheme="minorHAnsi"/>
                <w:sz w:val="18"/>
                <w:szCs w:val="14"/>
              </w:rPr>
              <w:t>482,410</w:t>
            </w:r>
          </w:p>
        </w:tc>
        <w:tc>
          <w:tcPr>
            <w:tcW w:w="1080" w:type="dxa"/>
            <w:tcBorders>
              <w:top w:val="single" w:sz="4" w:space="0" w:color="auto"/>
              <w:bottom w:val="single" w:sz="4" w:space="0" w:color="auto"/>
            </w:tcBorders>
            <w:shd w:val="clear" w:color="auto" w:fill="auto"/>
            <w:noWrap/>
            <w:vAlign w:val="bottom"/>
            <w:hideMark/>
          </w:tcPr>
          <w:p w:rsidR="00CC1F17" w:rsidRPr="00A52D36" w:rsidRDefault="00CC1F17" w:rsidP="00A52D36">
            <w:pPr>
              <w:keepNext/>
              <w:tabs>
                <w:tab w:val="num" w:pos="0"/>
              </w:tabs>
              <w:jc w:val="right"/>
              <w:rPr>
                <w:rFonts w:asciiTheme="minorHAnsi" w:hAnsiTheme="minorHAnsi"/>
                <w:sz w:val="18"/>
                <w:szCs w:val="14"/>
              </w:rPr>
            </w:pPr>
            <w:r w:rsidRPr="00A52D36">
              <w:rPr>
                <w:rFonts w:asciiTheme="minorHAnsi" w:hAnsiTheme="minorHAnsi"/>
                <w:sz w:val="18"/>
                <w:szCs w:val="14"/>
              </w:rPr>
              <w:t>579,485</w:t>
            </w:r>
          </w:p>
        </w:tc>
        <w:tc>
          <w:tcPr>
            <w:tcW w:w="1170" w:type="dxa"/>
            <w:tcBorders>
              <w:top w:val="single" w:sz="4" w:space="0" w:color="auto"/>
              <w:bottom w:val="single" w:sz="4" w:space="0" w:color="auto"/>
            </w:tcBorders>
            <w:shd w:val="clear" w:color="auto" w:fill="auto"/>
            <w:noWrap/>
            <w:vAlign w:val="bottom"/>
            <w:hideMark/>
          </w:tcPr>
          <w:p w:rsidR="00CC1F17" w:rsidRPr="00A52D36" w:rsidRDefault="00CC1F17" w:rsidP="00A52D36">
            <w:pPr>
              <w:keepNext/>
              <w:tabs>
                <w:tab w:val="num" w:pos="0"/>
              </w:tabs>
              <w:jc w:val="right"/>
              <w:rPr>
                <w:rFonts w:asciiTheme="minorHAnsi" w:hAnsiTheme="minorHAnsi"/>
                <w:sz w:val="18"/>
                <w:szCs w:val="14"/>
              </w:rPr>
            </w:pPr>
            <w:r w:rsidRPr="00A52D36">
              <w:rPr>
                <w:rFonts w:asciiTheme="minorHAnsi" w:hAnsiTheme="minorHAnsi"/>
                <w:sz w:val="18"/>
                <w:szCs w:val="14"/>
              </w:rPr>
              <w:t>695,235</w:t>
            </w:r>
          </w:p>
        </w:tc>
      </w:tr>
      <w:tr w:rsidR="00CC1F17" w:rsidRPr="00434074" w:rsidTr="008651C3">
        <w:trPr>
          <w:trHeight w:val="330"/>
          <w:jc w:val="center"/>
        </w:trPr>
        <w:tc>
          <w:tcPr>
            <w:tcW w:w="1088" w:type="dxa"/>
            <w:vMerge/>
            <w:tcBorders>
              <w:top w:val="single" w:sz="4" w:space="0" w:color="auto"/>
              <w:bottom w:val="single" w:sz="4" w:space="0" w:color="auto"/>
            </w:tcBorders>
            <w:vAlign w:val="center"/>
            <w:hideMark/>
          </w:tcPr>
          <w:p w:rsidR="00CC1F17" w:rsidRPr="00A52D36" w:rsidRDefault="00CC1F17" w:rsidP="00A52D36">
            <w:pPr>
              <w:keepNext/>
              <w:tabs>
                <w:tab w:val="num" w:pos="0"/>
              </w:tabs>
              <w:rPr>
                <w:rFonts w:asciiTheme="minorHAnsi" w:hAnsiTheme="minorHAnsi"/>
                <w:sz w:val="18"/>
                <w:szCs w:val="14"/>
              </w:rPr>
            </w:pPr>
          </w:p>
        </w:tc>
        <w:tc>
          <w:tcPr>
            <w:tcW w:w="2610" w:type="dxa"/>
            <w:tcBorders>
              <w:top w:val="single" w:sz="4" w:space="0" w:color="auto"/>
              <w:bottom w:val="single" w:sz="4" w:space="0" w:color="auto"/>
            </w:tcBorders>
            <w:shd w:val="clear" w:color="auto" w:fill="auto"/>
            <w:vAlign w:val="bottom"/>
            <w:hideMark/>
          </w:tcPr>
          <w:p w:rsidR="00CC1F17" w:rsidRPr="00A52D36" w:rsidRDefault="00CC1F17" w:rsidP="00A52D36">
            <w:pPr>
              <w:keepNext/>
              <w:tabs>
                <w:tab w:val="num" w:pos="0"/>
              </w:tabs>
              <w:rPr>
                <w:rFonts w:asciiTheme="minorHAnsi" w:hAnsiTheme="minorHAnsi"/>
                <w:sz w:val="18"/>
                <w:szCs w:val="14"/>
              </w:rPr>
            </w:pPr>
            <w:r w:rsidRPr="00A52D36">
              <w:rPr>
                <w:rFonts w:asciiTheme="minorHAnsi" w:hAnsiTheme="minorHAnsi"/>
                <w:sz w:val="18"/>
                <w:szCs w:val="14"/>
              </w:rPr>
              <w:t>Passenger-km [million]</w:t>
            </w:r>
          </w:p>
        </w:tc>
        <w:tc>
          <w:tcPr>
            <w:tcW w:w="1170" w:type="dxa"/>
            <w:tcBorders>
              <w:top w:val="single" w:sz="4" w:space="0" w:color="auto"/>
              <w:bottom w:val="single" w:sz="4" w:space="0" w:color="auto"/>
            </w:tcBorders>
            <w:shd w:val="clear" w:color="auto" w:fill="auto"/>
            <w:noWrap/>
            <w:vAlign w:val="bottom"/>
            <w:hideMark/>
          </w:tcPr>
          <w:p w:rsidR="00CC1F17" w:rsidRPr="00A52D36" w:rsidRDefault="00CC1F17" w:rsidP="00A52D36">
            <w:pPr>
              <w:keepNext/>
              <w:tabs>
                <w:tab w:val="num" w:pos="0"/>
              </w:tabs>
              <w:jc w:val="right"/>
              <w:rPr>
                <w:rFonts w:asciiTheme="minorHAnsi" w:hAnsiTheme="minorHAnsi"/>
                <w:sz w:val="18"/>
                <w:szCs w:val="14"/>
              </w:rPr>
            </w:pPr>
            <w:r w:rsidRPr="00A52D36">
              <w:rPr>
                <w:rFonts w:asciiTheme="minorHAnsi" w:hAnsiTheme="minorHAnsi"/>
                <w:sz w:val="18"/>
                <w:szCs w:val="14"/>
              </w:rPr>
              <w:t>10,351</w:t>
            </w:r>
          </w:p>
        </w:tc>
        <w:tc>
          <w:tcPr>
            <w:tcW w:w="1080" w:type="dxa"/>
            <w:tcBorders>
              <w:top w:val="single" w:sz="4" w:space="0" w:color="auto"/>
              <w:bottom w:val="single" w:sz="4" w:space="0" w:color="auto"/>
            </w:tcBorders>
            <w:shd w:val="clear" w:color="auto" w:fill="auto"/>
            <w:noWrap/>
            <w:vAlign w:val="bottom"/>
            <w:hideMark/>
          </w:tcPr>
          <w:p w:rsidR="00CC1F17" w:rsidRPr="00A52D36" w:rsidRDefault="00CC1F17" w:rsidP="00A52D36">
            <w:pPr>
              <w:keepNext/>
              <w:tabs>
                <w:tab w:val="num" w:pos="0"/>
              </w:tabs>
              <w:jc w:val="right"/>
              <w:rPr>
                <w:rFonts w:asciiTheme="minorHAnsi" w:hAnsiTheme="minorHAnsi"/>
                <w:sz w:val="18"/>
                <w:szCs w:val="14"/>
              </w:rPr>
            </w:pPr>
            <w:r w:rsidRPr="00A52D36">
              <w:rPr>
                <w:rFonts w:asciiTheme="minorHAnsi" w:hAnsiTheme="minorHAnsi"/>
                <w:sz w:val="18"/>
                <w:szCs w:val="14"/>
              </w:rPr>
              <w:t>9,968</w:t>
            </w:r>
          </w:p>
        </w:tc>
        <w:tc>
          <w:tcPr>
            <w:tcW w:w="1080" w:type="dxa"/>
            <w:tcBorders>
              <w:top w:val="single" w:sz="4" w:space="0" w:color="auto"/>
              <w:bottom w:val="single" w:sz="4" w:space="0" w:color="auto"/>
            </w:tcBorders>
            <w:shd w:val="clear" w:color="auto" w:fill="auto"/>
            <w:noWrap/>
            <w:vAlign w:val="bottom"/>
            <w:hideMark/>
          </w:tcPr>
          <w:p w:rsidR="00CC1F17" w:rsidRPr="00A52D36" w:rsidRDefault="00CC1F17" w:rsidP="00A52D36">
            <w:pPr>
              <w:keepNext/>
              <w:tabs>
                <w:tab w:val="num" w:pos="0"/>
              </w:tabs>
              <w:jc w:val="right"/>
              <w:rPr>
                <w:rFonts w:asciiTheme="minorHAnsi" w:hAnsiTheme="minorHAnsi"/>
                <w:sz w:val="18"/>
                <w:szCs w:val="14"/>
              </w:rPr>
            </w:pPr>
            <w:r w:rsidRPr="00A52D36">
              <w:rPr>
                <w:rFonts w:asciiTheme="minorHAnsi" w:hAnsiTheme="minorHAnsi"/>
                <w:sz w:val="18"/>
                <w:szCs w:val="14"/>
              </w:rPr>
              <w:t>9,366</w:t>
            </w:r>
          </w:p>
        </w:tc>
        <w:tc>
          <w:tcPr>
            <w:tcW w:w="1170" w:type="dxa"/>
            <w:tcBorders>
              <w:top w:val="single" w:sz="4" w:space="0" w:color="auto"/>
              <w:bottom w:val="single" w:sz="4" w:space="0" w:color="auto"/>
            </w:tcBorders>
            <w:shd w:val="clear" w:color="auto" w:fill="auto"/>
            <w:noWrap/>
            <w:vAlign w:val="bottom"/>
            <w:hideMark/>
          </w:tcPr>
          <w:p w:rsidR="00CC1F17" w:rsidRPr="00A52D36" w:rsidRDefault="00CC1F17" w:rsidP="00A52D36">
            <w:pPr>
              <w:keepNext/>
              <w:tabs>
                <w:tab w:val="num" w:pos="0"/>
              </w:tabs>
              <w:jc w:val="right"/>
              <w:rPr>
                <w:rFonts w:asciiTheme="minorHAnsi" w:hAnsiTheme="minorHAnsi"/>
                <w:sz w:val="18"/>
                <w:szCs w:val="14"/>
              </w:rPr>
            </w:pPr>
            <w:r w:rsidRPr="00A52D36">
              <w:rPr>
                <w:rFonts w:asciiTheme="minorHAnsi" w:hAnsiTheme="minorHAnsi"/>
                <w:sz w:val="18"/>
                <w:szCs w:val="14"/>
              </w:rPr>
              <w:t>8,188</w:t>
            </w:r>
          </w:p>
        </w:tc>
      </w:tr>
      <w:tr w:rsidR="00CC1F17" w:rsidRPr="00434074" w:rsidTr="008651C3">
        <w:trPr>
          <w:trHeight w:val="300"/>
          <w:jc w:val="center"/>
        </w:trPr>
        <w:tc>
          <w:tcPr>
            <w:tcW w:w="1088" w:type="dxa"/>
            <w:vMerge/>
            <w:tcBorders>
              <w:top w:val="single" w:sz="4" w:space="0" w:color="auto"/>
              <w:bottom w:val="single" w:sz="4" w:space="0" w:color="auto"/>
            </w:tcBorders>
            <w:vAlign w:val="center"/>
            <w:hideMark/>
          </w:tcPr>
          <w:p w:rsidR="00CC1F17" w:rsidRPr="00A52D36" w:rsidRDefault="00CC1F17" w:rsidP="00A52D36">
            <w:pPr>
              <w:keepNext/>
              <w:tabs>
                <w:tab w:val="num" w:pos="0"/>
              </w:tabs>
              <w:rPr>
                <w:rFonts w:asciiTheme="minorHAnsi" w:hAnsiTheme="minorHAnsi"/>
                <w:sz w:val="18"/>
                <w:szCs w:val="14"/>
              </w:rPr>
            </w:pPr>
          </w:p>
        </w:tc>
        <w:tc>
          <w:tcPr>
            <w:tcW w:w="2610" w:type="dxa"/>
            <w:tcBorders>
              <w:top w:val="single" w:sz="4" w:space="0" w:color="auto"/>
              <w:bottom w:val="single" w:sz="4" w:space="0" w:color="auto"/>
            </w:tcBorders>
            <w:shd w:val="clear" w:color="auto" w:fill="auto"/>
            <w:vAlign w:val="bottom"/>
            <w:hideMark/>
          </w:tcPr>
          <w:p w:rsidR="00CC1F17" w:rsidRPr="00A52D36" w:rsidRDefault="00CC1F17" w:rsidP="00A52D36">
            <w:pPr>
              <w:keepNext/>
              <w:tabs>
                <w:tab w:val="num" w:pos="0"/>
              </w:tabs>
              <w:rPr>
                <w:rFonts w:asciiTheme="minorHAnsi" w:hAnsiTheme="minorHAnsi"/>
                <w:sz w:val="18"/>
                <w:szCs w:val="14"/>
              </w:rPr>
            </w:pPr>
            <w:r w:rsidRPr="00A52D36">
              <w:rPr>
                <w:rFonts w:asciiTheme="minorHAnsi" w:hAnsiTheme="minorHAnsi"/>
                <w:sz w:val="18"/>
                <w:szCs w:val="14"/>
              </w:rPr>
              <w:t xml:space="preserve">Passengers [thousand] </w:t>
            </w:r>
          </w:p>
        </w:tc>
        <w:tc>
          <w:tcPr>
            <w:tcW w:w="1170" w:type="dxa"/>
            <w:tcBorders>
              <w:top w:val="single" w:sz="4" w:space="0" w:color="auto"/>
              <w:bottom w:val="single" w:sz="4" w:space="0" w:color="auto"/>
            </w:tcBorders>
            <w:shd w:val="clear" w:color="auto" w:fill="auto"/>
            <w:noWrap/>
            <w:vAlign w:val="bottom"/>
            <w:hideMark/>
          </w:tcPr>
          <w:p w:rsidR="00CC1F17" w:rsidRPr="00A52D36" w:rsidRDefault="00CC1F17" w:rsidP="00A52D36">
            <w:pPr>
              <w:keepNext/>
              <w:tabs>
                <w:tab w:val="num" w:pos="0"/>
              </w:tabs>
              <w:jc w:val="right"/>
              <w:rPr>
                <w:rFonts w:asciiTheme="minorHAnsi" w:hAnsiTheme="minorHAnsi"/>
                <w:sz w:val="18"/>
                <w:szCs w:val="14"/>
              </w:rPr>
            </w:pPr>
            <w:r w:rsidRPr="00A52D36">
              <w:rPr>
                <w:rFonts w:asciiTheme="minorHAnsi" w:hAnsiTheme="minorHAnsi"/>
                <w:sz w:val="18"/>
                <w:szCs w:val="14"/>
              </w:rPr>
              <w:t>104,529</w:t>
            </w:r>
          </w:p>
        </w:tc>
        <w:tc>
          <w:tcPr>
            <w:tcW w:w="1080" w:type="dxa"/>
            <w:tcBorders>
              <w:top w:val="single" w:sz="4" w:space="0" w:color="auto"/>
              <w:bottom w:val="single" w:sz="4" w:space="0" w:color="auto"/>
            </w:tcBorders>
            <w:shd w:val="clear" w:color="auto" w:fill="auto"/>
            <w:noWrap/>
            <w:vAlign w:val="bottom"/>
            <w:hideMark/>
          </w:tcPr>
          <w:p w:rsidR="00CC1F17" w:rsidRPr="00A52D36" w:rsidRDefault="00CC1F17" w:rsidP="00A52D36">
            <w:pPr>
              <w:keepNext/>
              <w:tabs>
                <w:tab w:val="num" w:pos="0"/>
              </w:tabs>
              <w:jc w:val="right"/>
              <w:rPr>
                <w:rFonts w:asciiTheme="minorHAnsi" w:hAnsiTheme="minorHAnsi"/>
                <w:sz w:val="18"/>
                <w:szCs w:val="14"/>
              </w:rPr>
            </w:pPr>
            <w:r w:rsidRPr="00A52D36">
              <w:rPr>
                <w:rFonts w:asciiTheme="minorHAnsi" w:hAnsiTheme="minorHAnsi"/>
                <w:sz w:val="18"/>
                <w:szCs w:val="14"/>
              </w:rPr>
              <w:t>99,434</w:t>
            </w:r>
          </w:p>
        </w:tc>
        <w:tc>
          <w:tcPr>
            <w:tcW w:w="1080" w:type="dxa"/>
            <w:tcBorders>
              <w:top w:val="single" w:sz="4" w:space="0" w:color="auto"/>
              <w:bottom w:val="single" w:sz="4" w:space="0" w:color="auto"/>
            </w:tcBorders>
            <w:shd w:val="clear" w:color="auto" w:fill="auto"/>
            <w:noWrap/>
            <w:vAlign w:val="bottom"/>
            <w:hideMark/>
          </w:tcPr>
          <w:p w:rsidR="00CC1F17" w:rsidRPr="00A52D36" w:rsidRDefault="00CC1F17" w:rsidP="00A52D36">
            <w:pPr>
              <w:keepNext/>
              <w:tabs>
                <w:tab w:val="num" w:pos="0"/>
              </w:tabs>
              <w:jc w:val="right"/>
              <w:rPr>
                <w:rFonts w:asciiTheme="minorHAnsi" w:hAnsiTheme="minorHAnsi"/>
                <w:sz w:val="18"/>
                <w:szCs w:val="14"/>
              </w:rPr>
            </w:pPr>
            <w:r w:rsidRPr="00A52D36">
              <w:rPr>
                <w:rFonts w:asciiTheme="minorHAnsi" w:hAnsiTheme="minorHAnsi"/>
                <w:sz w:val="18"/>
                <w:szCs w:val="14"/>
              </w:rPr>
              <w:t>92,595</w:t>
            </w:r>
          </w:p>
        </w:tc>
        <w:tc>
          <w:tcPr>
            <w:tcW w:w="1170" w:type="dxa"/>
            <w:tcBorders>
              <w:top w:val="single" w:sz="4" w:space="0" w:color="auto"/>
              <w:bottom w:val="single" w:sz="4" w:space="0" w:color="auto"/>
            </w:tcBorders>
            <w:shd w:val="clear" w:color="auto" w:fill="auto"/>
            <w:noWrap/>
            <w:vAlign w:val="bottom"/>
            <w:hideMark/>
          </w:tcPr>
          <w:p w:rsidR="00CC1F17" w:rsidRPr="00A52D36" w:rsidRDefault="00CC1F17" w:rsidP="00A52D36">
            <w:pPr>
              <w:keepNext/>
              <w:tabs>
                <w:tab w:val="num" w:pos="0"/>
              </w:tabs>
              <w:jc w:val="right"/>
              <w:rPr>
                <w:rFonts w:asciiTheme="minorHAnsi" w:hAnsiTheme="minorHAnsi"/>
                <w:sz w:val="18"/>
                <w:szCs w:val="14"/>
              </w:rPr>
            </w:pPr>
            <w:r w:rsidRPr="00A52D36">
              <w:rPr>
                <w:rFonts w:asciiTheme="minorHAnsi" w:hAnsiTheme="minorHAnsi"/>
                <w:sz w:val="18"/>
                <w:szCs w:val="14"/>
              </w:rPr>
              <w:t>87,993</w:t>
            </w:r>
          </w:p>
        </w:tc>
      </w:tr>
      <w:tr w:rsidR="00CC1F17" w:rsidRPr="00434074" w:rsidTr="008651C3">
        <w:trPr>
          <w:trHeight w:val="300"/>
          <w:jc w:val="center"/>
        </w:trPr>
        <w:tc>
          <w:tcPr>
            <w:tcW w:w="1088" w:type="dxa"/>
            <w:vMerge w:val="restart"/>
            <w:tcBorders>
              <w:top w:val="single" w:sz="4" w:space="0" w:color="auto"/>
              <w:bottom w:val="single" w:sz="4" w:space="0" w:color="auto"/>
            </w:tcBorders>
            <w:shd w:val="clear" w:color="auto" w:fill="auto"/>
            <w:noWrap/>
            <w:vAlign w:val="center"/>
            <w:hideMark/>
          </w:tcPr>
          <w:p w:rsidR="00CC1F17" w:rsidRPr="00A52D36" w:rsidRDefault="00CC1F17" w:rsidP="00A52D36">
            <w:pPr>
              <w:keepNext/>
              <w:tabs>
                <w:tab w:val="num" w:pos="0"/>
              </w:tabs>
              <w:rPr>
                <w:rFonts w:asciiTheme="minorHAnsi" w:hAnsiTheme="minorHAnsi"/>
                <w:sz w:val="18"/>
                <w:szCs w:val="14"/>
              </w:rPr>
            </w:pPr>
            <w:r w:rsidRPr="00A52D36">
              <w:rPr>
                <w:rFonts w:asciiTheme="minorHAnsi" w:hAnsiTheme="minorHAnsi"/>
                <w:sz w:val="18"/>
                <w:szCs w:val="14"/>
              </w:rPr>
              <w:t>Freight</w:t>
            </w:r>
          </w:p>
        </w:tc>
        <w:tc>
          <w:tcPr>
            <w:tcW w:w="2610" w:type="dxa"/>
            <w:tcBorders>
              <w:top w:val="single" w:sz="4" w:space="0" w:color="auto"/>
              <w:bottom w:val="single" w:sz="4" w:space="0" w:color="auto"/>
            </w:tcBorders>
            <w:shd w:val="clear" w:color="auto" w:fill="auto"/>
            <w:vAlign w:val="bottom"/>
            <w:hideMark/>
          </w:tcPr>
          <w:p w:rsidR="00CC1F17" w:rsidRPr="00A52D36" w:rsidRDefault="00CC1F17" w:rsidP="00A52D36">
            <w:pPr>
              <w:keepNext/>
              <w:tabs>
                <w:tab w:val="num" w:pos="0"/>
              </w:tabs>
              <w:rPr>
                <w:rFonts w:asciiTheme="minorHAnsi" w:hAnsiTheme="minorHAnsi"/>
                <w:sz w:val="18"/>
                <w:szCs w:val="14"/>
              </w:rPr>
            </w:pPr>
            <w:r w:rsidRPr="00A52D36">
              <w:rPr>
                <w:rFonts w:asciiTheme="minorHAnsi" w:hAnsiTheme="minorHAnsi"/>
                <w:sz w:val="18"/>
                <w:szCs w:val="14"/>
              </w:rPr>
              <w:t>Freight Revenue [million BYR]</w:t>
            </w:r>
          </w:p>
        </w:tc>
        <w:tc>
          <w:tcPr>
            <w:tcW w:w="1170" w:type="dxa"/>
            <w:tcBorders>
              <w:top w:val="single" w:sz="4" w:space="0" w:color="auto"/>
              <w:bottom w:val="single" w:sz="4" w:space="0" w:color="auto"/>
            </w:tcBorders>
            <w:shd w:val="clear" w:color="auto" w:fill="auto"/>
            <w:noWrap/>
            <w:vAlign w:val="bottom"/>
            <w:hideMark/>
          </w:tcPr>
          <w:p w:rsidR="00CC1F17" w:rsidRPr="00A52D36" w:rsidRDefault="00CC1F17" w:rsidP="00A52D36">
            <w:pPr>
              <w:keepNext/>
              <w:tabs>
                <w:tab w:val="num" w:pos="0"/>
              </w:tabs>
              <w:jc w:val="right"/>
              <w:rPr>
                <w:rFonts w:asciiTheme="minorHAnsi" w:hAnsiTheme="minorHAnsi"/>
                <w:sz w:val="18"/>
                <w:szCs w:val="14"/>
              </w:rPr>
            </w:pPr>
            <w:r w:rsidRPr="00A52D36">
              <w:rPr>
                <w:rFonts w:asciiTheme="minorHAnsi" w:hAnsiTheme="minorHAnsi"/>
                <w:sz w:val="18"/>
                <w:szCs w:val="14"/>
              </w:rPr>
              <w:t>1,875,157</w:t>
            </w:r>
          </w:p>
        </w:tc>
        <w:tc>
          <w:tcPr>
            <w:tcW w:w="1080" w:type="dxa"/>
            <w:tcBorders>
              <w:top w:val="single" w:sz="4" w:space="0" w:color="auto"/>
              <w:bottom w:val="single" w:sz="4" w:space="0" w:color="auto"/>
            </w:tcBorders>
            <w:shd w:val="clear" w:color="auto" w:fill="auto"/>
            <w:noWrap/>
            <w:vAlign w:val="bottom"/>
            <w:hideMark/>
          </w:tcPr>
          <w:p w:rsidR="00CC1F17" w:rsidRPr="00A52D36" w:rsidRDefault="00CC1F17" w:rsidP="00A52D36">
            <w:pPr>
              <w:keepNext/>
              <w:tabs>
                <w:tab w:val="num" w:pos="0"/>
              </w:tabs>
              <w:jc w:val="right"/>
              <w:rPr>
                <w:rFonts w:asciiTheme="minorHAnsi" w:hAnsiTheme="minorHAnsi"/>
                <w:sz w:val="18"/>
                <w:szCs w:val="14"/>
              </w:rPr>
            </w:pPr>
            <w:r w:rsidRPr="00A52D36">
              <w:rPr>
                <w:rFonts w:asciiTheme="minorHAnsi" w:hAnsiTheme="minorHAnsi"/>
                <w:sz w:val="18"/>
                <w:szCs w:val="14"/>
              </w:rPr>
              <w:t>2,217,005</w:t>
            </w:r>
          </w:p>
        </w:tc>
        <w:tc>
          <w:tcPr>
            <w:tcW w:w="1080" w:type="dxa"/>
            <w:tcBorders>
              <w:top w:val="single" w:sz="4" w:space="0" w:color="auto"/>
              <w:bottom w:val="single" w:sz="4" w:space="0" w:color="auto"/>
            </w:tcBorders>
            <w:shd w:val="clear" w:color="auto" w:fill="auto"/>
            <w:noWrap/>
            <w:vAlign w:val="bottom"/>
            <w:hideMark/>
          </w:tcPr>
          <w:p w:rsidR="00CC1F17" w:rsidRPr="00A52D36" w:rsidRDefault="00CC1F17" w:rsidP="00A52D36">
            <w:pPr>
              <w:keepNext/>
              <w:tabs>
                <w:tab w:val="num" w:pos="0"/>
              </w:tabs>
              <w:jc w:val="right"/>
              <w:rPr>
                <w:rFonts w:asciiTheme="minorHAnsi" w:hAnsiTheme="minorHAnsi"/>
                <w:sz w:val="18"/>
                <w:szCs w:val="14"/>
              </w:rPr>
            </w:pPr>
            <w:r w:rsidRPr="00A52D36">
              <w:rPr>
                <w:rFonts w:asciiTheme="minorHAnsi" w:hAnsiTheme="minorHAnsi"/>
                <w:sz w:val="18"/>
                <w:szCs w:val="14"/>
              </w:rPr>
              <w:t>2,597,054</w:t>
            </w:r>
          </w:p>
        </w:tc>
        <w:tc>
          <w:tcPr>
            <w:tcW w:w="1170" w:type="dxa"/>
            <w:tcBorders>
              <w:top w:val="single" w:sz="4" w:space="0" w:color="auto"/>
              <w:bottom w:val="single" w:sz="4" w:space="0" w:color="auto"/>
            </w:tcBorders>
            <w:shd w:val="clear" w:color="auto" w:fill="auto"/>
            <w:noWrap/>
            <w:vAlign w:val="bottom"/>
            <w:hideMark/>
          </w:tcPr>
          <w:p w:rsidR="00CC1F17" w:rsidRPr="00A52D36" w:rsidRDefault="00CC1F17" w:rsidP="00A52D36">
            <w:pPr>
              <w:keepNext/>
              <w:tabs>
                <w:tab w:val="num" w:pos="0"/>
              </w:tabs>
              <w:jc w:val="right"/>
              <w:rPr>
                <w:rFonts w:asciiTheme="minorHAnsi" w:hAnsiTheme="minorHAnsi"/>
                <w:sz w:val="18"/>
                <w:szCs w:val="14"/>
              </w:rPr>
            </w:pPr>
            <w:r w:rsidRPr="00A52D36">
              <w:rPr>
                <w:rFonts w:asciiTheme="minorHAnsi" w:hAnsiTheme="minorHAnsi"/>
                <w:sz w:val="18"/>
                <w:szCs w:val="14"/>
              </w:rPr>
              <w:t>3,183,410</w:t>
            </w:r>
          </w:p>
        </w:tc>
      </w:tr>
      <w:tr w:rsidR="00CC1F17" w:rsidRPr="00434074" w:rsidTr="008651C3">
        <w:trPr>
          <w:trHeight w:val="278"/>
          <w:jc w:val="center"/>
        </w:trPr>
        <w:tc>
          <w:tcPr>
            <w:tcW w:w="1088" w:type="dxa"/>
            <w:vMerge/>
            <w:tcBorders>
              <w:top w:val="single" w:sz="4" w:space="0" w:color="auto"/>
              <w:bottom w:val="single" w:sz="4" w:space="0" w:color="auto"/>
            </w:tcBorders>
            <w:vAlign w:val="center"/>
            <w:hideMark/>
          </w:tcPr>
          <w:p w:rsidR="00CC1F17" w:rsidRPr="00A52D36" w:rsidRDefault="00CC1F17" w:rsidP="00A52D36">
            <w:pPr>
              <w:keepNext/>
              <w:tabs>
                <w:tab w:val="num" w:pos="0"/>
              </w:tabs>
              <w:rPr>
                <w:rFonts w:asciiTheme="minorHAnsi" w:hAnsiTheme="minorHAnsi"/>
                <w:sz w:val="18"/>
                <w:szCs w:val="14"/>
              </w:rPr>
            </w:pPr>
          </w:p>
        </w:tc>
        <w:tc>
          <w:tcPr>
            <w:tcW w:w="2610" w:type="dxa"/>
            <w:tcBorders>
              <w:top w:val="single" w:sz="4" w:space="0" w:color="auto"/>
              <w:bottom w:val="single" w:sz="4" w:space="0" w:color="auto"/>
            </w:tcBorders>
            <w:shd w:val="clear" w:color="auto" w:fill="auto"/>
            <w:vAlign w:val="bottom"/>
            <w:hideMark/>
          </w:tcPr>
          <w:p w:rsidR="00CC1F17" w:rsidRPr="00A52D36" w:rsidRDefault="00CC1F17" w:rsidP="00A52D36">
            <w:pPr>
              <w:keepNext/>
              <w:tabs>
                <w:tab w:val="num" w:pos="0"/>
              </w:tabs>
              <w:rPr>
                <w:rFonts w:asciiTheme="minorHAnsi" w:hAnsiTheme="minorHAnsi"/>
                <w:sz w:val="18"/>
                <w:szCs w:val="14"/>
              </w:rPr>
            </w:pPr>
            <w:r w:rsidRPr="00A52D36">
              <w:rPr>
                <w:rFonts w:asciiTheme="minorHAnsi" w:hAnsiTheme="minorHAnsi"/>
                <w:sz w:val="18"/>
                <w:szCs w:val="14"/>
              </w:rPr>
              <w:t>Ton-km [million]</w:t>
            </w:r>
          </w:p>
        </w:tc>
        <w:tc>
          <w:tcPr>
            <w:tcW w:w="1170" w:type="dxa"/>
            <w:tcBorders>
              <w:top w:val="single" w:sz="4" w:space="0" w:color="auto"/>
              <w:bottom w:val="single" w:sz="4" w:space="0" w:color="auto"/>
            </w:tcBorders>
            <w:shd w:val="clear" w:color="auto" w:fill="auto"/>
            <w:noWrap/>
            <w:vAlign w:val="bottom"/>
            <w:hideMark/>
          </w:tcPr>
          <w:p w:rsidR="00CC1F17" w:rsidRPr="00A52D36" w:rsidRDefault="00CC1F17" w:rsidP="00A52D36">
            <w:pPr>
              <w:keepNext/>
              <w:tabs>
                <w:tab w:val="num" w:pos="0"/>
              </w:tabs>
              <w:jc w:val="right"/>
              <w:rPr>
                <w:rFonts w:asciiTheme="minorHAnsi" w:hAnsiTheme="minorHAnsi"/>
                <w:sz w:val="18"/>
                <w:szCs w:val="14"/>
              </w:rPr>
            </w:pPr>
            <w:r w:rsidRPr="00A52D36">
              <w:rPr>
                <w:rFonts w:asciiTheme="minorHAnsi" w:hAnsiTheme="minorHAnsi"/>
                <w:sz w:val="18"/>
                <w:szCs w:val="14"/>
              </w:rPr>
              <w:t>43,559</w:t>
            </w:r>
          </w:p>
        </w:tc>
        <w:tc>
          <w:tcPr>
            <w:tcW w:w="1080" w:type="dxa"/>
            <w:tcBorders>
              <w:top w:val="single" w:sz="4" w:space="0" w:color="auto"/>
              <w:bottom w:val="single" w:sz="4" w:space="0" w:color="auto"/>
            </w:tcBorders>
            <w:shd w:val="clear" w:color="auto" w:fill="auto"/>
            <w:noWrap/>
            <w:vAlign w:val="bottom"/>
            <w:hideMark/>
          </w:tcPr>
          <w:p w:rsidR="00CC1F17" w:rsidRPr="00A52D36" w:rsidRDefault="00CC1F17" w:rsidP="00A52D36">
            <w:pPr>
              <w:keepNext/>
              <w:tabs>
                <w:tab w:val="num" w:pos="0"/>
              </w:tabs>
              <w:jc w:val="right"/>
              <w:rPr>
                <w:rFonts w:asciiTheme="minorHAnsi" w:hAnsiTheme="minorHAnsi"/>
                <w:sz w:val="18"/>
                <w:szCs w:val="14"/>
              </w:rPr>
            </w:pPr>
            <w:r w:rsidRPr="00A52D36">
              <w:rPr>
                <w:rFonts w:asciiTheme="minorHAnsi" w:hAnsiTheme="minorHAnsi"/>
                <w:sz w:val="18"/>
                <w:szCs w:val="14"/>
              </w:rPr>
              <w:t>45,723</w:t>
            </w:r>
          </w:p>
        </w:tc>
        <w:tc>
          <w:tcPr>
            <w:tcW w:w="1080" w:type="dxa"/>
            <w:tcBorders>
              <w:top w:val="single" w:sz="4" w:space="0" w:color="auto"/>
              <w:bottom w:val="single" w:sz="4" w:space="0" w:color="auto"/>
            </w:tcBorders>
            <w:shd w:val="clear" w:color="auto" w:fill="auto"/>
            <w:noWrap/>
            <w:vAlign w:val="bottom"/>
            <w:hideMark/>
          </w:tcPr>
          <w:p w:rsidR="00CC1F17" w:rsidRPr="00A52D36" w:rsidRDefault="00CC1F17" w:rsidP="00A52D36">
            <w:pPr>
              <w:keepNext/>
              <w:tabs>
                <w:tab w:val="num" w:pos="0"/>
              </w:tabs>
              <w:jc w:val="right"/>
              <w:rPr>
                <w:rFonts w:asciiTheme="minorHAnsi" w:hAnsiTheme="minorHAnsi"/>
                <w:sz w:val="18"/>
                <w:szCs w:val="14"/>
              </w:rPr>
            </w:pPr>
            <w:r w:rsidRPr="00A52D36">
              <w:rPr>
                <w:rFonts w:asciiTheme="minorHAnsi" w:hAnsiTheme="minorHAnsi"/>
                <w:sz w:val="18"/>
                <w:szCs w:val="14"/>
              </w:rPr>
              <w:t>47,933</w:t>
            </w:r>
          </w:p>
        </w:tc>
        <w:tc>
          <w:tcPr>
            <w:tcW w:w="1170" w:type="dxa"/>
            <w:tcBorders>
              <w:top w:val="single" w:sz="4" w:space="0" w:color="auto"/>
              <w:bottom w:val="single" w:sz="4" w:space="0" w:color="auto"/>
            </w:tcBorders>
            <w:shd w:val="clear" w:color="auto" w:fill="auto"/>
            <w:noWrap/>
            <w:vAlign w:val="bottom"/>
            <w:hideMark/>
          </w:tcPr>
          <w:p w:rsidR="00CC1F17" w:rsidRPr="00A52D36" w:rsidRDefault="00CC1F17" w:rsidP="00A52D36">
            <w:pPr>
              <w:keepNext/>
              <w:tabs>
                <w:tab w:val="num" w:pos="0"/>
              </w:tabs>
              <w:jc w:val="right"/>
              <w:rPr>
                <w:rFonts w:asciiTheme="minorHAnsi" w:hAnsiTheme="minorHAnsi"/>
                <w:sz w:val="18"/>
                <w:szCs w:val="14"/>
              </w:rPr>
            </w:pPr>
            <w:r w:rsidRPr="00A52D36">
              <w:rPr>
                <w:rFonts w:asciiTheme="minorHAnsi" w:hAnsiTheme="minorHAnsi"/>
                <w:sz w:val="18"/>
                <w:szCs w:val="14"/>
              </w:rPr>
              <w:t>48,994</w:t>
            </w:r>
          </w:p>
        </w:tc>
      </w:tr>
      <w:tr w:rsidR="00CC1F17" w:rsidRPr="00434074" w:rsidTr="008651C3">
        <w:trPr>
          <w:trHeight w:val="300"/>
          <w:jc w:val="center"/>
        </w:trPr>
        <w:tc>
          <w:tcPr>
            <w:tcW w:w="1088" w:type="dxa"/>
            <w:vMerge/>
            <w:tcBorders>
              <w:top w:val="single" w:sz="4" w:space="0" w:color="auto"/>
              <w:bottom w:val="single" w:sz="4" w:space="0" w:color="auto"/>
            </w:tcBorders>
            <w:vAlign w:val="center"/>
            <w:hideMark/>
          </w:tcPr>
          <w:p w:rsidR="00CC1F17" w:rsidRPr="00A52D36" w:rsidRDefault="00CC1F17" w:rsidP="00A52D36">
            <w:pPr>
              <w:keepNext/>
              <w:tabs>
                <w:tab w:val="num" w:pos="0"/>
              </w:tabs>
              <w:rPr>
                <w:rFonts w:asciiTheme="minorHAnsi" w:hAnsiTheme="minorHAnsi"/>
                <w:sz w:val="18"/>
                <w:szCs w:val="14"/>
              </w:rPr>
            </w:pPr>
          </w:p>
        </w:tc>
        <w:tc>
          <w:tcPr>
            <w:tcW w:w="2610" w:type="dxa"/>
            <w:tcBorders>
              <w:top w:val="single" w:sz="4" w:space="0" w:color="auto"/>
              <w:bottom w:val="single" w:sz="4" w:space="0" w:color="auto"/>
            </w:tcBorders>
            <w:shd w:val="clear" w:color="auto" w:fill="auto"/>
            <w:vAlign w:val="bottom"/>
            <w:hideMark/>
          </w:tcPr>
          <w:p w:rsidR="00CC1F17" w:rsidRPr="00A52D36" w:rsidRDefault="00CC1F17" w:rsidP="00A52D36">
            <w:pPr>
              <w:keepNext/>
              <w:tabs>
                <w:tab w:val="num" w:pos="0"/>
              </w:tabs>
              <w:rPr>
                <w:rFonts w:asciiTheme="minorHAnsi" w:hAnsiTheme="minorHAnsi"/>
                <w:sz w:val="18"/>
                <w:szCs w:val="14"/>
              </w:rPr>
            </w:pPr>
            <w:r w:rsidRPr="00A52D36">
              <w:rPr>
                <w:rFonts w:asciiTheme="minorHAnsi" w:hAnsiTheme="minorHAnsi"/>
                <w:sz w:val="18"/>
                <w:szCs w:val="14"/>
              </w:rPr>
              <w:t>Tons [thousand]</w:t>
            </w:r>
          </w:p>
        </w:tc>
        <w:tc>
          <w:tcPr>
            <w:tcW w:w="1170" w:type="dxa"/>
            <w:tcBorders>
              <w:top w:val="single" w:sz="4" w:space="0" w:color="auto"/>
              <w:bottom w:val="single" w:sz="4" w:space="0" w:color="auto"/>
            </w:tcBorders>
            <w:shd w:val="clear" w:color="auto" w:fill="auto"/>
            <w:noWrap/>
            <w:vAlign w:val="bottom"/>
            <w:hideMark/>
          </w:tcPr>
          <w:p w:rsidR="00CC1F17" w:rsidRPr="00A52D36" w:rsidRDefault="00CC1F17" w:rsidP="00A52D36">
            <w:pPr>
              <w:keepNext/>
              <w:tabs>
                <w:tab w:val="num" w:pos="0"/>
              </w:tabs>
              <w:jc w:val="right"/>
              <w:rPr>
                <w:rFonts w:asciiTheme="minorHAnsi" w:hAnsiTheme="minorHAnsi"/>
                <w:sz w:val="18"/>
                <w:szCs w:val="14"/>
              </w:rPr>
            </w:pPr>
            <w:r w:rsidRPr="00A52D36">
              <w:rPr>
                <w:rFonts w:asciiTheme="minorHAnsi" w:hAnsiTheme="minorHAnsi"/>
                <w:sz w:val="18"/>
                <w:szCs w:val="14"/>
              </w:rPr>
              <w:t>125,097</w:t>
            </w:r>
          </w:p>
        </w:tc>
        <w:tc>
          <w:tcPr>
            <w:tcW w:w="1080" w:type="dxa"/>
            <w:tcBorders>
              <w:top w:val="single" w:sz="4" w:space="0" w:color="auto"/>
              <w:bottom w:val="single" w:sz="4" w:space="0" w:color="auto"/>
            </w:tcBorders>
            <w:shd w:val="clear" w:color="auto" w:fill="auto"/>
            <w:noWrap/>
            <w:vAlign w:val="bottom"/>
            <w:hideMark/>
          </w:tcPr>
          <w:p w:rsidR="00CC1F17" w:rsidRPr="00A52D36" w:rsidRDefault="00CC1F17" w:rsidP="00A52D36">
            <w:pPr>
              <w:keepNext/>
              <w:tabs>
                <w:tab w:val="num" w:pos="0"/>
              </w:tabs>
              <w:jc w:val="right"/>
              <w:rPr>
                <w:rFonts w:asciiTheme="minorHAnsi" w:hAnsiTheme="minorHAnsi"/>
                <w:sz w:val="18"/>
                <w:szCs w:val="14"/>
              </w:rPr>
            </w:pPr>
            <w:r w:rsidRPr="00A52D36">
              <w:rPr>
                <w:rFonts w:asciiTheme="minorHAnsi" w:hAnsiTheme="minorHAnsi"/>
                <w:sz w:val="18"/>
                <w:szCs w:val="14"/>
              </w:rPr>
              <w:t>133,679</w:t>
            </w:r>
          </w:p>
        </w:tc>
        <w:tc>
          <w:tcPr>
            <w:tcW w:w="1080" w:type="dxa"/>
            <w:tcBorders>
              <w:top w:val="single" w:sz="4" w:space="0" w:color="auto"/>
              <w:bottom w:val="single" w:sz="4" w:space="0" w:color="auto"/>
            </w:tcBorders>
            <w:shd w:val="clear" w:color="auto" w:fill="auto"/>
            <w:noWrap/>
            <w:vAlign w:val="bottom"/>
            <w:hideMark/>
          </w:tcPr>
          <w:p w:rsidR="00CC1F17" w:rsidRPr="00A52D36" w:rsidRDefault="00CC1F17" w:rsidP="00A52D36">
            <w:pPr>
              <w:keepNext/>
              <w:tabs>
                <w:tab w:val="num" w:pos="0"/>
              </w:tabs>
              <w:jc w:val="right"/>
              <w:rPr>
                <w:rFonts w:asciiTheme="minorHAnsi" w:hAnsiTheme="minorHAnsi"/>
                <w:sz w:val="18"/>
                <w:szCs w:val="14"/>
              </w:rPr>
            </w:pPr>
            <w:r w:rsidRPr="00A52D36">
              <w:rPr>
                <w:rFonts w:asciiTheme="minorHAnsi" w:hAnsiTheme="minorHAnsi"/>
                <w:sz w:val="18"/>
                <w:szCs w:val="14"/>
              </w:rPr>
              <w:t>140,967</w:t>
            </w:r>
          </w:p>
        </w:tc>
        <w:tc>
          <w:tcPr>
            <w:tcW w:w="1170" w:type="dxa"/>
            <w:tcBorders>
              <w:top w:val="single" w:sz="4" w:space="0" w:color="auto"/>
              <w:bottom w:val="single" w:sz="4" w:space="0" w:color="auto"/>
            </w:tcBorders>
            <w:shd w:val="clear" w:color="auto" w:fill="auto"/>
            <w:noWrap/>
            <w:vAlign w:val="bottom"/>
            <w:hideMark/>
          </w:tcPr>
          <w:p w:rsidR="00CC1F17" w:rsidRPr="00A52D36" w:rsidRDefault="00CC1F17" w:rsidP="00A52D36">
            <w:pPr>
              <w:keepNext/>
              <w:tabs>
                <w:tab w:val="num" w:pos="0"/>
              </w:tabs>
              <w:jc w:val="right"/>
              <w:rPr>
                <w:rFonts w:asciiTheme="minorHAnsi" w:hAnsiTheme="minorHAnsi"/>
                <w:sz w:val="18"/>
                <w:szCs w:val="14"/>
              </w:rPr>
            </w:pPr>
            <w:r w:rsidRPr="00A52D36">
              <w:rPr>
                <w:rFonts w:asciiTheme="minorHAnsi" w:hAnsiTheme="minorHAnsi"/>
                <w:sz w:val="18"/>
                <w:szCs w:val="14"/>
              </w:rPr>
              <w:t>147,172</w:t>
            </w:r>
          </w:p>
        </w:tc>
      </w:tr>
      <w:tr w:rsidR="00CC1F17" w:rsidRPr="00434074" w:rsidTr="008651C3">
        <w:trPr>
          <w:trHeight w:val="300"/>
          <w:jc w:val="center"/>
        </w:trPr>
        <w:tc>
          <w:tcPr>
            <w:tcW w:w="3698" w:type="dxa"/>
            <w:gridSpan w:val="2"/>
            <w:tcBorders>
              <w:top w:val="single" w:sz="4" w:space="0" w:color="auto"/>
              <w:bottom w:val="single" w:sz="4" w:space="0" w:color="auto"/>
            </w:tcBorders>
            <w:vAlign w:val="center"/>
            <w:hideMark/>
          </w:tcPr>
          <w:p w:rsidR="00CC1F17" w:rsidRPr="00A52D36" w:rsidRDefault="00CC1F17" w:rsidP="00A52D36">
            <w:pPr>
              <w:keepNext/>
              <w:tabs>
                <w:tab w:val="num" w:pos="0"/>
              </w:tabs>
              <w:rPr>
                <w:rFonts w:asciiTheme="minorHAnsi" w:hAnsiTheme="minorHAnsi"/>
                <w:b/>
                <w:sz w:val="18"/>
                <w:szCs w:val="14"/>
              </w:rPr>
            </w:pPr>
            <w:r w:rsidRPr="00A52D36">
              <w:rPr>
                <w:rFonts w:asciiTheme="minorHAnsi" w:hAnsiTheme="minorHAnsi"/>
                <w:b/>
                <w:sz w:val="18"/>
                <w:szCs w:val="14"/>
              </w:rPr>
              <w:t>Total revenue</w:t>
            </w:r>
          </w:p>
        </w:tc>
        <w:tc>
          <w:tcPr>
            <w:tcW w:w="1170" w:type="dxa"/>
            <w:tcBorders>
              <w:top w:val="single" w:sz="4" w:space="0" w:color="auto"/>
              <w:bottom w:val="single" w:sz="4" w:space="0" w:color="auto"/>
            </w:tcBorders>
            <w:shd w:val="clear" w:color="auto" w:fill="auto"/>
            <w:noWrap/>
            <w:vAlign w:val="bottom"/>
            <w:hideMark/>
          </w:tcPr>
          <w:p w:rsidR="00CC1F17" w:rsidRPr="00A52D36" w:rsidRDefault="00CC1F17" w:rsidP="00A52D36">
            <w:pPr>
              <w:keepNext/>
              <w:tabs>
                <w:tab w:val="num" w:pos="0"/>
              </w:tabs>
              <w:jc w:val="right"/>
              <w:rPr>
                <w:rFonts w:asciiTheme="minorHAnsi" w:hAnsiTheme="minorHAnsi"/>
                <w:b/>
                <w:sz w:val="18"/>
                <w:szCs w:val="14"/>
              </w:rPr>
            </w:pPr>
            <w:r w:rsidRPr="00A52D36">
              <w:rPr>
                <w:rFonts w:asciiTheme="minorHAnsi" w:hAnsiTheme="minorHAnsi"/>
                <w:b/>
                <w:sz w:val="18"/>
                <w:szCs w:val="14"/>
              </w:rPr>
              <w:t>2,293,222</w:t>
            </w:r>
          </w:p>
        </w:tc>
        <w:tc>
          <w:tcPr>
            <w:tcW w:w="1080" w:type="dxa"/>
            <w:tcBorders>
              <w:top w:val="single" w:sz="4" w:space="0" w:color="auto"/>
              <w:bottom w:val="single" w:sz="4" w:space="0" w:color="auto"/>
            </w:tcBorders>
            <w:shd w:val="clear" w:color="auto" w:fill="auto"/>
            <w:noWrap/>
            <w:vAlign w:val="bottom"/>
            <w:hideMark/>
          </w:tcPr>
          <w:p w:rsidR="00CC1F17" w:rsidRPr="00A52D36" w:rsidRDefault="00CC1F17" w:rsidP="00A52D36">
            <w:pPr>
              <w:keepNext/>
              <w:tabs>
                <w:tab w:val="num" w:pos="0"/>
              </w:tabs>
              <w:jc w:val="right"/>
              <w:rPr>
                <w:rFonts w:asciiTheme="minorHAnsi" w:hAnsiTheme="minorHAnsi"/>
                <w:b/>
                <w:sz w:val="18"/>
                <w:szCs w:val="14"/>
              </w:rPr>
            </w:pPr>
            <w:r w:rsidRPr="00A52D36">
              <w:rPr>
                <w:rFonts w:asciiTheme="minorHAnsi" w:hAnsiTheme="minorHAnsi"/>
                <w:b/>
                <w:sz w:val="18"/>
                <w:szCs w:val="14"/>
              </w:rPr>
              <w:t>2,699,415</w:t>
            </w:r>
          </w:p>
        </w:tc>
        <w:tc>
          <w:tcPr>
            <w:tcW w:w="1080" w:type="dxa"/>
            <w:tcBorders>
              <w:top w:val="single" w:sz="4" w:space="0" w:color="auto"/>
              <w:bottom w:val="single" w:sz="4" w:space="0" w:color="auto"/>
            </w:tcBorders>
            <w:shd w:val="clear" w:color="auto" w:fill="auto"/>
            <w:noWrap/>
            <w:vAlign w:val="bottom"/>
            <w:hideMark/>
          </w:tcPr>
          <w:p w:rsidR="00CC1F17" w:rsidRPr="00A52D36" w:rsidRDefault="00CC1F17" w:rsidP="00A52D36">
            <w:pPr>
              <w:keepNext/>
              <w:tabs>
                <w:tab w:val="num" w:pos="0"/>
              </w:tabs>
              <w:jc w:val="right"/>
              <w:rPr>
                <w:rFonts w:asciiTheme="minorHAnsi" w:hAnsiTheme="minorHAnsi"/>
                <w:b/>
                <w:sz w:val="18"/>
                <w:szCs w:val="14"/>
              </w:rPr>
            </w:pPr>
            <w:r w:rsidRPr="00A52D36">
              <w:rPr>
                <w:rFonts w:asciiTheme="minorHAnsi" w:hAnsiTheme="minorHAnsi"/>
                <w:b/>
                <w:sz w:val="18"/>
                <w:szCs w:val="14"/>
              </w:rPr>
              <w:t>3,176,539</w:t>
            </w:r>
          </w:p>
        </w:tc>
        <w:tc>
          <w:tcPr>
            <w:tcW w:w="1170" w:type="dxa"/>
            <w:tcBorders>
              <w:top w:val="single" w:sz="4" w:space="0" w:color="auto"/>
              <w:bottom w:val="single" w:sz="4" w:space="0" w:color="auto"/>
            </w:tcBorders>
            <w:shd w:val="clear" w:color="auto" w:fill="auto"/>
            <w:noWrap/>
            <w:vAlign w:val="bottom"/>
            <w:hideMark/>
          </w:tcPr>
          <w:p w:rsidR="00CC1F17" w:rsidRPr="00A52D36" w:rsidRDefault="00CC1F17" w:rsidP="00A52D36">
            <w:pPr>
              <w:keepNext/>
              <w:tabs>
                <w:tab w:val="num" w:pos="0"/>
              </w:tabs>
              <w:jc w:val="right"/>
              <w:rPr>
                <w:rFonts w:asciiTheme="minorHAnsi" w:hAnsiTheme="minorHAnsi"/>
                <w:b/>
                <w:sz w:val="18"/>
                <w:szCs w:val="14"/>
              </w:rPr>
            </w:pPr>
            <w:r w:rsidRPr="00A52D36">
              <w:rPr>
                <w:rFonts w:asciiTheme="minorHAnsi" w:hAnsiTheme="minorHAnsi"/>
                <w:b/>
                <w:sz w:val="18"/>
                <w:szCs w:val="14"/>
              </w:rPr>
              <w:t>3,878,645</w:t>
            </w:r>
          </w:p>
        </w:tc>
      </w:tr>
      <w:tr w:rsidR="00CC1F17" w:rsidRPr="00434074" w:rsidTr="008651C3">
        <w:trPr>
          <w:trHeight w:val="300"/>
          <w:jc w:val="center"/>
        </w:trPr>
        <w:tc>
          <w:tcPr>
            <w:tcW w:w="1088" w:type="dxa"/>
            <w:vMerge w:val="restart"/>
            <w:tcBorders>
              <w:top w:val="single" w:sz="4" w:space="0" w:color="auto"/>
              <w:bottom w:val="single" w:sz="4" w:space="0" w:color="auto"/>
            </w:tcBorders>
            <w:shd w:val="clear" w:color="auto" w:fill="auto"/>
            <w:vAlign w:val="center"/>
            <w:hideMark/>
          </w:tcPr>
          <w:p w:rsidR="003074FD" w:rsidRPr="00A52D36" w:rsidRDefault="00CC1F17" w:rsidP="00A52D36">
            <w:pPr>
              <w:keepNext/>
              <w:tabs>
                <w:tab w:val="num" w:pos="0"/>
              </w:tabs>
              <w:rPr>
                <w:rFonts w:asciiTheme="minorHAnsi" w:hAnsiTheme="minorHAnsi"/>
                <w:sz w:val="18"/>
                <w:szCs w:val="14"/>
              </w:rPr>
            </w:pPr>
            <w:r w:rsidRPr="00A52D36">
              <w:rPr>
                <w:rFonts w:asciiTheme="minorHAnsi" w:hAnsiTheme="minorHAnsi"/>
                <w:sz w:val="18"/>
                <w:szCs w:val="14"/>
              </w:rPr>
              <w:t xml:space="preserve">Expenses </w:t>
            </w:r>
          </w:p>
          <w:p w:rsidR="00CC1F17" w:rsidRPr="00A52D36" w:rsidRDefault="00CC1F17" w:rsidP="00A52D36">
            <w:pPr>
              <w:keepNext/>
              <w:tabs>
                <w:tab w:val="num" w:pos="0"/>
              </w:tabs>
              <w:rPr>
                <w:rFonts w:asciiTheme="minorHAnsi" w:hAnsiTheme="minorHAnsi"/>
                <w:sz w:val="18"/>
                <w:szCs w:val="14"/>
              </w:rPr>
            </w:pPr>
            <w:r w:rsidRPr="00A52D36">
              <w:rPr>
                <w:rFonts w:asciiTheme="minorHAnsi" w:hAnsiTheme="minorHAnsi"/>
                <w:color w:val="000000"/>
                <w:sz w:val="18"/>
                <w:szCs w:val="14"/>
              </w:rPr>
              <w:t>[mill</w:t>
            </w:r>
            <w:r w:rsidR="003074FD" w:rsidRPr="00A52D36">
              <w:rPr>
                <w:rFonts w:asciiTheme="minorHAnsi" w:hAnsiTheme="minorHAnsi"/>
                <w:color w:val="000000"/>
                <w:sz w:val="18"/>
                <w:szCs w:val="14"/>
              </w:rPr>
              <w:t>ion</w:t>
            </w:r>
            <w:r w:rsidRPr="00A52D36">
              <w:rPr>
                <w:rFonts w:asciiTheme="minorHAnsi" w:hAnsiTheme="minorHAnsi"/>
                <w:color w:val="000000"/>
                <w:sz w:val="18"/>
                <w:szCs w:val="14"/>
              </w:rPr>
              <w:t xml:space="preserve"> BYR]</w:t>
            </w:r>
          </w:p>
        </w:tc>
        <w:tc>
          <w:tcPr>
            <w:tcW w:w="2610" w:type="dxa"/>
            <w:tcBorders>
              <w:top w:val="single" w:sz="4" w:space="0" w:color="auto"/>
              <w:bottom w:val="single" w:sz="4" w:space="0" w:color="auto"/>
            </w:tcBorders>
            <w:shd w:val="clear" w:color="auto" w:fill="auto"/>
            <w:noWrap/>
            <w:vAlign w:val="bottom"/>
            <w:hideMark/>
          </w:tcPr>
          <w:p w:rsidR="00CC1F17" w:rsidRPr="00A52D36" w:rsidRDefault="00CC1F17" w:rsidP="00A52D36">
            <w:pPr>
              <w:keepNext/>
              <w:tabs>
                <w:tab w:val="num" w:pos="0"/>
              </w:tabs>
              <w:rPr>
                <w:rFonts w:asciiTheme="minorHAnsi" w:hAnsiTheme="minorHAnsi"/>
                <w:sz w:val="18"/>
                <w:szCs w:val="14"/>
              </w:rPr>
            </w:pPr>
            <w:r w:rsidRPr="00A52D36">
              <w:rPr>
                <w:rFonts w:asciiTheme="minorHAnsi" w:hAnsiTheme="minorHAnsi"/>
                <w:sz w:val="18"/>
                <w:szCs w:val="14"/>
              </w:rPr>
              <w:t>Materials</w:t>
            </w:r>
          </w:p>
        </w:tc>
        <w:tc>
          <w:tcPr>
            <w:tcW w:w="1170" w:type="dxa"/>
            <w:tcBorders>
              <w:top w:val="single" w:sz="4" w:space="0" w:color="auto"/>
              <w:bottom w:val="single" w:sz="4" w:space="0" w:color="auto"/>
            </w:tcBorders>
            <w:shd w:val="clear" w:color="auto" w:fill="auto"/>
            <w:noWrap/>
            <w:vAlign w:val="bottom"/>
            <w:hideMark/>
          </w:tcPr>
          <w:p w:rsidR="00CC1F17" w:rsidRPr="00A52D36" w:rsidRDefault="00CC1F17" w:rsidP="00A52D36">
            <w:pPr>
              <w:keepNext/>
              <w:tabs>
                <w:tab w:val="num" w:pos="0"/>
              </w:tabs>
              <w:jc w:val="right"/>
              <w:rPr>
                <w:rFonts w:asciiTheme="minorHAnsi" w:hAnsiTheme="minorHAnsi"/>
                <w:sz w:val="18"/>
                <w:szCs w:val="14"/>
              </w:rPr>
            </w:pPr>
            <w:r w:rsidRPr="00A52D36">
              <w:rPr>
                <w:rFonts w:asciiTheme="minorHAnsi" w:hAnsiTheme="minorHAnsi"/>
                <w:sz w:val="18"/>
                <w:szCs w:val="14"/>
              </w:rPr>
              <w:t>171,986</w:t>
            </w:r>
          </w:p>
        </w:tc>
        <w:tc>
          <w:tcPr>
            <w:tcW w:w="1080" w:type="dxa"/>
            <w:tcBorders>
              <w:top w:val="single" w:sz="4" w:space="0" w:color="auto"/>
              <w:bottom w:val="single" w:sz="4" w:space="0" w:color="auto"/>
            </w:tcBorders>
            <w:shd w:val="clear" w:color="auto" w:fill="auto"/>
            <w:noWrap/>
            <w:vAlign w:val="bottom"/>
            <w:hideMark/>
          </w:tcPr>
          <w:p w:rsidR="00CC1F17" w:rsidRPr="00A52D36" w:rsidRDefault="00CC1F17" w:rsidP="00A52D36">
            <w:pPr>
              <w:keepNext/>
              <w:tabs>
                <w:tab w:val="num" w:pos="0"/>
              </w:tabs>
              <w:jc w:val="right"/>
              <w:rPr>
                <w:rFonts w:asciiTheme="minorHAnsi" w:hAnsiTheme="minorHAnsi"/>
                <w:sz w:val="18"/>
                <w:szCs w:val="14"/>
              </w:rPr>
            </w:pPr>
            <w:r w:rsidRPr="00A52D36">
              <w:rPr>
                <w:rFonts w:asciiTheme="minorHAnsi" w:hAnsiTheme="minorHAnsi"/>
                <w:sz w:val="18"/>
                <w:szCs w:val="14"/>
              </w:rPr>
              <w:t>272,604</w:t>
            </w:r>
          </w:p>
        </w:tc>
        <w:tc>
          <w:tcPr>
            <w:tcW w:w="1080" w:type="dxa"/>
            <w:tcBorders>
              <w:top w:val="single" w:sz="4" w:space="0" w:color="auto"/>
              <w:bottom w:val="single" w:sz="4" w:space="0" w:color="auto"/>
            </w:tcBorders>
            <w:shd w:val="clear" w:color="auto" w:fill="auto"/>
            <w:noWrap/>
            <w:vAlign w:val="bottom"/>
            <w:hideMark/>
          </w:tcPr>
          <w:p w:rsidR="00CC1F17" w:rsidRPr="00A52D36" w:rsidRDefault="00CC1F17" w:rsidP="00A52D36">
            <w:pPr>
              <w:keepNext/>
              <w:tabs>
                <w:tab w:val="num" w:pos="0"/>
              </w:tabs>
              <w:jc w:val="right"/>
              <w:rPr>
                <w:rFonts w:asciiTheme="minorHAnsi" w:hAnsiTheme="minorHAnsi"/>
                <w:sz w:val="18"/>
                <w:szCs w:val="14"/>
              </w:rPr>
            </w:pPr>
            <w:r w:rsidRPr="00A52D36">
              <w:rPr>
                <w:rFonts w:asciiTheme="minorHAnsi" w:hAnsiTheme="minorHAnsi"/>
                <w:sz w:val="18"/>
                <w:szCs w:val="14"/>
              </w:rPr>
              <w:t>313,370</w:t>
            </w:r>
          </w:p>
        </w:tc>
        <w:tc>
          <w:tcPr>
            <w:tcW w:w="1170" w:type="dxa"/>
            <w:tcBorders>
              <w:top w:val="single" w:sz="4" w:space="0" w:color="auto"/>
              <w:bottom w:val="single" w:sz="4" w:space="0" w:color="auto"/>
            </w:tcBorders>
            <w:shd w:val="clear" w:color="auto" w:fill="auto"/>
            <w:noWrap/>
            <w:vAlign w:val="bottom"/>
            <w:hideMark/>
          </w:tcPr>
          <w:p w:rsidR="00CC1F17" w:rsidRPr="00A52D36" w:rsidRDefault="00CC1F17" w:rsidP="00A52D36">
            <w:pPr>
              <w:keepNext/>
              <w:tabs>
                <w:tab w:val="num" w:pos="0"/>
              </w:tabs>
              <w:jc w:val="right"/>
              <w:rPr>
                <w:rFonts w:asciiTheme="minorHAnsi" w:hAnsiTheme="minorHAnsi"/>
                <w:sz w:val="18"/>
                <w:szCs w:val="14"/>
              </w:rPr>
            </w:pPr>
            <w:r w:rsidRPr="00A52D36">
              <w:rPr>
                <w:rFonts w:asciiTheme="minorHAnsi" w:hAnsiTheme="minorHAnsi"/>
                <w:sz w:val="18"/>
                <w:szCs w:val="14"/>
              </w:rPr>
              <w:t>400,627</w:t>
            </w:r>
          </w:p>
        </w:tc>
      </w:tr>
      <w:tr w:rsidR="00CC1F17" w:rsidRPr="00434074" w:rsidTr="008651C3">
        <w:trPr>
          <w:trHeight w:val="300"/>
          <w:jc w:val="center"/>
        </w:trPr>
        <w:tc>
          <w:tcPr>
            <w:tcW w:w="1088" w:type="dxa"/>
            <w:vMerge/>
            <w:tcBorders>
              <w:top w:val="single" w:sz="4" w:space="0" w:color="auto"/>
              <w:bottom w:val="single" w:sz="4" w:space="0" w:color="auto"/>
            </w:tcBorders>
            <w:vAlign w:val="center"/>
            <w:hideMark/>
          </w:tcPr>
          <w:p w:rsidR="00CC1F17" w:rsidRPr="00A52D36" w:rsidRDefault="00CC1F17" w:rsidP="00A52D36">
            <w:pPr>
              <w:keepNext/>
              <w:tabs>
                <w:tab w:val="num" w:pos="0"/>
              </w:tabs>
              <w:rPr>
                <w:rFonts w:asciiTheme="minorHAnsi" w:hAnsiTheme="minorHAnsi"/>
                <w:sz w:val="18"/>
                <w:szCs w:val="14"/>
              </w:rPr>
            </w:pPr>
          </w:p>
        </w:tc>
        <w:tc>
          <w:tcPr>
            <w:tcW w:w="2610" w:type="dxa"/>
            <w:tcBorders>
              <w:top w:val="single" w:sz="4" w:space="0" w:color="auto"/>
              <w:bottom w:val="single" w:sz="4" w:space="0" w:color="auto"/>
            </w:tcBorders>
            <w:shd w:val="clear" w:color="auto" w:fill="auto"/>
            <w:noWrap/>
            <w:vAlign w:val="bottom"/>
            <w:hideMark/>
          </w:tcPr>
          <w:p w:rsidR="00CC1F17" w:rsidRPr="00A52D36" w:rsidRDefault="00CC1F17" w:rsidP="00A52D36">
            <w:pPr>
              <w:keepNext/>
              <w:tabs>
                <w:tab w:val="num" w:pos="0"/>
              </w:tabs>
              <w:rPr>
                <w:rFonts w:asciiTheme="minorHAnsi" w:hAnsiTheme="minorHAnsi"/>
                <w:sz w:val="18"/>
                <w:szCs w:val="14"/>
              </w:rPr>
            </w:pPr>
            <w:r w:rsidRPr="00A52D36">
              <w:rPr>
                <w:rFonts w:asciiTheme="minorHAnsi" w:hAnsiTheme="minorHAnsi"/>
                <w:sz w:val="18"/>
                <w:szCs w:val="14"/>
              </w:rPr>
              <w:t>Fuel, Electricity</w:t>
            </w:r>
          </w:p>
        </w:tc>
        <w:tc>
          <w:tcPr>
            <w:tcW w:w="1170" w:type="dxa"/>
            <w:tcBorders>
              <w:top w:val="single" w:sz="4" w:space="0" w:color="auto"/>
              <w:bottom w:val="single" w:sz="4" w:space="0" w:color="auto"/>
            </w:tcBorders>
            <w:shd w:val="clear" w:color="auto" w:fill="auto"/>
            <w:noWrap/>
            <w:vAlign w:val="bottom"/>
            <w:hideMark/>
          </w:tcPr>
          <w:p w:rsidR="00CC1F17" w:rsidRPr="00A52D36" w:rsidRDefault="00CC1F17" w:rsidP="00A52D36">
            <w:pPr>
              <w:keepNext/>
              <w:tabs>
                <w:tab w:val="num" w:pos="0"/>
              </w:tabs>
              <w:jc w:val="right"/>
              <w:rPr>
                <w:rFonts w:asciiTheme="minorHAnsi" w:hAnsiTheme="minorHAnsi"/>
                <w:sz w:val="18"/>
                <w:szCs w:val="14"/>
              </w:rPr>
            </w:pPr>
            <w:r w:rsidRPr="00A52D36">
              <w:rPr>
                <w:rFonts w:asciiTheme="minorHAnsi" w:hAnsiTheme="minorHAnsi"/>
                <w:sz w:val="18"/>
                <w:szCs w:val="14"/>
              </w:rPr>
              <w:t>309,319</w:t>
            </w:r>
          </w:p>
        </w:tc>
        <w:tc>
          <w:tcPr>
            <w:tcW w:w="1080" w:type="dxa"/>
            <w:tcBorders>
              <w:top w:val="single" w:sz="4" w:space="0" w:color="auto"/>
              <w:bottom w:val="single" w:sz="4" w:space="0" w:color="auto"/>
            </w:tcBorders>
            <w:shd w:val="clear" w:color="auto" w:fill="auto"/>
            <w:noWrap/>
            <w:vAlign w:val="bottom"/>
            <w:hideMark/>
          </w:tcPr>
          <w:p w:rsidR="00CC1F17" w:rsidRPr="00A52D36" w:rsidRDefault="00CC1F17" w:rsidP="00A52D36">
            <w:pPr>
              <w:keepNext/>
              <w:tabs>
                <w:tab w:val="num" w:pos="0"/>
              </w:tabs>
              <w:jc w:val="right"/>
              <w:rPr>
                <w:rFonts w:asciiTheme="minorHAnsi" w:hAnsiTheme="minorHAnsi"/>
                <w:sz w:val="18"/>
                <w:szCs w:val="14"/>
              </w:rPr>
            </w:pPr>
            <w:r w:rsidRPr="00A52D36">
              <w:rPr>
                <w:rFonts w:asciiTheme="minorHAnsi" w:hAnsiTheme="minorHAnsi"/>
                <w:sz w:val="18"/>
                <w:szCs w:val="14"/>
              </w:rPr>
              <w:t>356,589</w:t>
            </w:r>
          </w:p>
        </w:tc>
        <w:tc>
          <w:tcPr>
            <w:tcW w:w="1080" w:type="dxa"/>
            <w:tcBorders>
              <w:top w:val="single" w:sz="4" w:space="0" w:color="auto"/>
              <w:bottom w:val="single" w:sz="4" w:space="0" w:color="auto"/>
            </w:tcBorders>
            <w:shd w:val="clear" w:color="auto" w:fill="auto"/>
            <w:noWrap/>
            <w:vAlign w:val="bottom"/>
            <w:hideMark/>
          </w:tcPr>
          <w:p w:rsidR="00CC1F17" w:rsidRPr="00A52D36" w:rsidRDefault="00CC1F17" w:rsidP="00A52D36">
            <w:pPr>
              <w:keepNext/>
              <w:tabs>
                <w:tab w:val="num" w:pos="0"/>
              </w:tabs>
              <w:jc w:val="right"/>
              <w:rPr>
                <w:rFonts w:asciiTheme="minorHAnsi" w:hAnsiTheme="minorHAnsi"/>
                <w:sz w:val="18"/>
                <w:szCs w:val="14"/>
              </w:rPr>
            </w:pPr>
            <w:r w:rsidRPr="00A52D36">
              <w:rPr>
                <w:rFonts w:asciiTheme="minorHAnsi" w:hAnsiTheme="minorHAnsi"/>
                <w:sz w:val="18"/>
                <w:szCs w:val="14"/>
              </w:rPr>
              <w:t>461,054</w:t>
            </w:r>
          </w:p>
        </w:tc>
        <w:tc>
          <w:tcPr>
            <w:tcW w:w="1170" w:type="dxa"/>
            <w:tcBorders>
              <w:top w:val="single" w:sz="4" w:space="0" w:color="auto"/>
              <w:bottom w:val="single" w:sz="4" w:space="0" w:color="auto"/>
            </w:tcBorders>
            <w:shd w:val="clear" w:color="auto" w:fill="auto"/>
            <w:noWrap/>
            <w:vAlign w:val="bottom"/>
            <w:hideMark/>
          </w:tcPr>
          <w:p w:rsidR="00CC1F17" w:rsidRPr="00A52D36" w:rsidRDefault="00CC1F17" w:rsidP="00A52D36">
            <w:pPr>
              <w:keepNext/>
              <w:tabs>
                <w:tab w:val="num" w:pos="0"/>
              </w:tabs>
              <w:jc w:val="right"/>
              <w:rPr>
                <w:rFonts w:asciiTheme="minorHAnsi" w:hAnsiTheme="minorHAnsi"/>
                <w:sz w:val="18"/>
                <w:szCs w:val="14"/>
              </w:rPr>
            </w:pPr>
            <w:r w:rsidRPr="00A52D36">
              <w:rPr>
                <w:rFonts w:asciiTheme="minorHAnsi" w:hAnsiTheme="minorHAnsi"/>
                <w:sz w:val="18"/>
                <w:szCs w:val="14"/>
              </w:rPr>
              <w:t>557,187</w:t>
            </w:r>
          </w:p>
        </w:tc>
      </w:tr>
      <w:tr w:rsidR="00CC1F17" w:rsidRPr="00434074" w:rsidTr="008651C3">
        <w:trPr>
          <w:trHeight w:val="300"/>
          <w:jc w:val="center"/>
        </w:trPr>
        <w:tc>
          <w:tcPr>
            <w:tcW w:w="1088" w:type="dxa"/>
            <w:vMerge/>
            <w:tcBorders>
              <w:top w:val="single" w:sz="4" w:space="0" w:color="auto"/>
              <w:bottom w:val="single" w:sz="4" w:space="0" w:color="auto"/>
            </w:tcBorders>
            <w:vAlign w:val="center"/>
            <w:hideMark/>
          </w:tcPr>
          <w:p w:rsidR="00CC1F17" w:rsidRPr="00A52D36" w:rsidRDefault="00CC1F17" w:rsidP="00A52D36">
            <w:pPr>
              <w:keepNext/>
              <w:tabs>
                <w:tab w:val="num" w:pos="0"/>
              </w:tabs>
              <w:rPr>
                <w:rFonts w:asciiTheme="minorHAnsi" w:hAnsiTheme="minorHAnsi"/>
                <w:sz w:val="18"/>
                <w:szCs w:val="14"/>
              </w:rPr>
            </w:pPr>
          </w:p>
        </w:tc>
        <w:tc>
          <w:tcPr>
            <w:tcW w:w="2610" w:type="dxa"/>
            <w:tcBorders>
              <w:top w:val="single" w:sz="4" w:space="0" w:color="auto"/>
              <w:bottom w:val="single" w:sz="4" w:space="0" w:color="auto"/>
            </w:tcBorders>
            <w:shd w:val="clear" w:color="auto" w:fill="auto"/>
            <w:noWrap/>
            <w:vAlign w:val="bottom"/>
            <w:hideMark/>
          </w:tcPr>
          <w:p w:rsidR="00CC1F17" w:rsidRPr="00A52D36" w:rsidRDefault="00CC1F17" w:rsidP="00A52D36">
            <w:pPr>
              <w:keepNext/>
              <w:tabs>
                <w:tab w:val="num" w:pos="0"/>
              </w:tabs>
              <w:rPr>
                <w:rFonts w:asciiTheme="minorHAnsi" w:hAnsiTheme="minorHAnsi"/>
                <w:sz w:val="18"/>
                <w:szCs w:val="14"/>
              </w:rPr>
            </w:pPr>
            <w:r w:rsidRPr="00A52D36">
              <w:rPr>
                <w:rFonts w:asciiTheme="minorHAnsi" w:hAnsiTheme="minorHAnsi"/>
                <w:sz w:val="18"/>
                <w:szCs w:val="14"/>
              </w:rPr>
              <w:t>Wages and salaries</w:t>
            </w:r>
          </w:p>
        </w:tc>
        <w:tc>
          <w:tcPr>
            <w:tcW w:w="1170" w:type="dxa"/>
            <w:tcBorders>
              <w:top w:val="single" w:sz="4" w:space="0" w:color="auto"/>
              <w:bottom w:val="single" w:sz="4" w:space="0" w:color="auto"/>
            </w:tcBorders>
            <w:shd w:val="clear" w:color="auto" w:fill="auto"/>
            <w:noWrap/>
            <w:vAlign w:val="bottom"/>
            <w:hideMark/>
          </w:tcPr>
          <w:p w:rsidR="00CC1F17" w:rsidRPr="00A52D36" w:rsidRDefault="00CC1F17" w:rsidP="00A52D36">
            <w:pPr>
              <w:keepNext/>
              <w:tabs>
                <w:tab w:val="num" w:pos="0"/>
              </w:tabs>
              <w:jc w:val="right"/>
              <w:rPr>
                <w:rFonts w:asciiTheme="minorHAnsi" w:hAnsiTheme="minorHAnsi"/>
                <w:sz w:val="18"/>
                <w:szCs w:val="14"/>
              </w:rPr>
            </w:pPr>
            <w:r w:rsidRPr="00A52D36">
              <w:rPr>
                <w:rFonts w:asciiTheme="minorHAnsi" w:hAnsiTheme="minorHAnsi"/>
                <w:sz w:val="18"/>
                <w:szCs w:val="14"/>
              </w:rPr>
              <w:t>417,482</w:t>
            </w:r>
          </w:p>
        </w:tc>
        <w:tc>
          <w:tcPr>
            <w:tcW w:w="1080" w:type="dxa"/>
            <w:tcBorders>
              <w:top w:val="single" w:sz="4" w:space="0" w:color="auto"/>
              <w:bottom w:val="single" w:sz="4" w:space="0" w:color="auto"/>
            </w:tcBorders>
            <w:shd w:val="clear" w:color="auto" w:fill="auto"/>
            <w:noWrap/>
            <w:vAlign w:val="bottom"/>
            <w:hideMark/>
          </w:tcPr>
          <w:p w:rsidR="00CC1F17" w:rsidRPr="00A52D36" w:rsidRDefault="00CC1F17" w:rsidP="00A52D36">
            <w:pPr>
              <w:keepNext/>
              <w:tabs>
                <w:tab w:val="num" w:pos="0"/>
              </w:tabs>
              <w:jc w:val="right"/>
              <w:rPr>
                <w:rFonts w:asciiTheme="minorHAnsi" w:hAnsiTheme="minorHAnsi"/>
                <w:sz w:val="18"/>
                <w:szCs w:val="14"/>
              </w:rPr>
            </w:pPr>
            <w:r w:rsidRPr="00A52D36">
              <w:rPr>
                <w:rFonts w:asciiTheme="minorHAnsi" w:hAnsiTheme="minorHAnsi"/>
                <w:sz w:val="18"/>
                <w:szCs w:val="14"/>
              </w:rPr>
              <w:t>576,412</w:t>
            </w:r>
          </w:p>
        </w:tc>
        <w:tc>
          <w:tcPr>
            <w:tcW w:w="1080" w:type="dxa"/>
            <w:tcBorders>
              <w:top w:val="single" w:sz="4" w:space="0" w:color="auto"/>
              <w:bottom w:val="single" w:sz="4" w:space="0" w:color="auto"/>
            </w:tcBorders>
            <w:shd w:val="clear" w:color="auto" w:fill="auto"/>
            <w:noWrap/>
            <w:vAlign w:val="bottom"/>
            <w:hideMark/>
          </w:tcPr>
          <w:p w:rsidR="00CC1F17" w:rsidRPr="00A52D36" w:rsidRDefault="00CC1F17" w:rsidP="00A52D36">
            <w:pPr>
              <w:keepNext/>
              <w:tabs>
                <w:tab w:val="num" w:pos="0"/>
              </w:tabs>
              <w:jc w:val="right"/>
              <w:rPr>
                <w:rFonts w:asciiTheme="minorHAnsi" w:hAnsiTheme="minorHAnsi"/>
                <w:sz w:val="18"/>
                <w:szCs w:val="14"/>
              </w:rPr>
            </w:pPr>
            <w:r w:rsidRPr="00A52D36">
              <w:rPr>
                <w:rFonts w:asciiTheme="minorHAnsi" w:hAnsiTheme="minorHAnsi"/>
                <w:sz w:val="18"/>
                <w:szCs w:val="14"/>
              </w:rPr>
              <w:t>632,868</w:t>
            </w:r>
          </w:p>
        </w:tc>
        <w:tc>
          <w:tcPr>
            <w:tcW w:w="1170" w:type="dxa"/>
            <w:tcBorders>
              <w:top w:val="single" w:sz="4" w:space="0" w:color="auto"/>
              <w:bottom w:val="single" w:sz="4" w:space="0" w:color="auto"/>
            </w:tcBorders>
            <w:shd w:val="clear" w:color="auto" w:fill="auto"/>
            <w:noWrap/>
            <w:vAlign w:val="bottom"/>
            <w:hideMark/>
          </w:tcPr>
          <w:p w:rsidR="00CC1F17" w:rsidRPr="00A52D36" w:rsidRDefault="00CC1F17" w:rsidP="00A52D36">
            <w:pPr>
              <w:keepNext/>
              <w:tabs>
                <w:tab w:val="num" w:pos="0"/>
              </w:tabs>
              <w:jc w:val="right"/>
              <w:rPr>
                <w:rFonts w:asciiTheme="minorHAnsi" w:hAnsiTheme="minorHAnsi"/>
                <w:sz w:val="18"/>
                <w:szCs w:val="14"/>
              </w:rPr>
            </w:pPr>
            <w:r w:rsidRPr="00A52D36">
              <w:rPr>
                <w:rFonts w:asciiTheme="minorHAnsi" w:hAnsiTheme="minorHAnsi"/>
                <w:sz w:val="18"/>
                <w:szCs w:val="14"/>
              </w:rPr>
              <w:t>742,197</w:t>
            </w:r>
          </w:p>
        </w:tc>
      </w:tr>
      <w:tr w:rsidR="00CC1F17" w:rsidRPr="00434074" w:rsidTr="008651C3">
        <w:trPr>
          <w:trHeight w:val="300"/>
          <w:jc w:val="center"/>
        </w:trPr>
        <w:tc>
          <w:tcPr>
            <w:tcW w:w="1088" w:type="dxa"/>
            <w:vMerge/>
            <w:tcBorders>
              <w:top w:val="single" w:sz="4" w:space="0" w:color="auto"/>
              <w:bottom w:val="single" w:sz="4" w:space="0" w:color="auto"/>
            </w:tcBorders>
            <w:vAlign w:val="center"/>
            <w:hideMark/>
          </w:tcPr>
          <w:p w:rsidR="00CC1F17" w:rsidRPr="00A52D36" w:rsidRDefault="00CC1F17" w:rsidP="00A52D36">
            <w:pPr>
              <w:keepNext/>
              <w:tabs>
                <w:tab w:val="num" w:pos="0"/>
              </w:tabs>
              <w:rPr>
                <w:rFonts w:asciiTheme="minorHAnsi" w:hAnsiTheme="minorHAnsi"/>
                <w:sz w:val="18"/>
                <w:szCs w:val="14"/>
              </w:rPr>
            </w:pPr>
          </w:p>
        </w:tc>
        <w:tc>
          <w:tcPr>
            <w:tcW w:w="2610" w:type="dxa"/>
            <w:tcBorders>
              <w:top w:val="single" w:sz="4" w:space="0" w:color="auto"/>
              <w:bottom w:val="single" w:sz="4" w:space="0" w:color="auto"/>
            </w:tcBorders>
            <w:shd w:val="clear" w:color="auto" w:fill="auto"/>
            <w:noWrap/>
            <w:vAlign w:val="bottom"/>
            <w:hideMark/>
          </w:tcPr>
          <w:p w:rsidR="00CC1F17" w:rsidRPr="00A52D36" w:rsidRDefault="00CC1F17" w:rsidP="00A52D36">
            <w:pPr>
              <w:keepNext/>
              <w:tabs>
                <w:tab w:val="num" w:pos="0"/>
              </w:tabs>
              <w:rPr>
                <w:rFonts w:asciiTheme="minorHAnsi" w:hAnsiTheme="minorHAnsi"/>
                <w:sz w:val="18"/>
                <w:szCs w:val="14"/>
              </w:rPr>
            </w:pPr>
            <w:r w:rsidRPr="00A52D36">
              <w:rPr>
                <w:rFonts w:asciiTheme="minorHAnsi" w:hAnsiTheme="minorHAnsi"/>
                <w:sz w:val="18"/>
                <w:szCs w:val="14"/>
              </w:rPr>
              <w:t>Hired servicers and others</w:t>
            </w:r>
          </w:p>
        </w:tc>
        <w:tc>
          <w:tcPr>
            <w:tcW w:w="1170" w:type="dxa"/>
            <w:tcBorders>
              <w:top w:val="single" w:sz="4" w:space="0" w:color="auto"/>
              <w:bottom w:val="single" w:sz="4" w:space="0" w:color="auto"/>
            </w:tcBorders>
            <w:shd w:val="clear" w:color="auto" w:fill="auto"/>
            <w:noWrap/>
            <w:vAlign w:val="bottom"/>
            <w:hideMark/>
          </w:tcPr>
          <w:p w:rsidR="00CC1F17" w:rsidRPr="00A52D36" w:rsidRDefault="00CC1F17" w:rsidP="00A52D36">
            <w:pPr>
              <w:keepNext/>
              <w:tabs>
                <w:tab w:val="num" w:pos="0"/>
              </w:tabs>
              <w:jc w:val="right"/>
              <w:rPr>
                <w:rFonts w:asciiTheme="minorHAnsi" w:hAnsiTheme="minorHAnsi"/>
                <w:sz w:val="18"/>
                <w:szCs w:val="14"/>
              </w:rPr>
            </w:pPr>
            <w:r w:rsidRPr="00A52D36">
              <w:rPr>
                <w:rFonts w:asciiTheme="minorHAnsi" w:hAnsiTheme="minorHAnsi"/>
                <w:sz w:val="18"/>
                <w:szCs w:val="14"/>
              </w:rPr>
              <w:t>640,602</w:t>
            </w:r>
          </w:p>
        </w:tc>
        <w:tc>
          <w:tcPr>
            <w:tcW w:w="1080" w:type="dxa"/>
            <w:tcBorders>
              <w:top w:val="single" w:sz="4" w:space="0" w:color="auto"/>
              <w:bottom w:val="single" w:sz="4" w:space="0" w:color="auto"/>
            </w:tcBorders>
            <w:shd w:val="clear" w:color="auto" w:fill="auto"/>
            <w:noWrap/>
            <w:vAlign w:val="bottom"/>
            <w:hideMark/>
          </w:tcPr>
          <w:p w:rsidR="00CC1F17" w:rsidRPr="00A52D36" w:rsidRDefault="00CC1F17" w:rsidP="00A52D36">
            <w:pPr>
              <w:keepNext/>
              <w:tabs>
                <w:tab w:val="num" w:pos="0"/>
              </w:tabs>
              <w:jc w:val="right"/>
              <w:rPr>
                <w:rFonts w:asciiTheme="minorHAnsi" w:hAnsiTheme="minorHAnsi"/>
                <w:sz w:val="18"/>
                <w:szCs w:val="14"/>
              </w:rPr>
            </w:pPr>
            <w:r w:rsidRPr="00A52D36">
              <w:rPr>
                <w:rFonts w:asciiTheme="minorHAnsi" w:hAnsiTheme="minorHAnsi"/>
                <w:sz w:val="18"/>
                <w:szCs w:val="14"/>
              </w:rPr>
              <w:t>693,364</w:t>
            </w:r>
          </w:p>
        </w:tc>
        <w:tc>
          <w:tcPr>
            <w:tcW w:w="1080" w:type="dxa"/>
            <w:tcBorders>
              <w:top w:val="single" w:sz="4" w:space="0" w:color="auto"/>
              <w:bottom w:val="single" w:sz="4" w:space="0" w:color="auto"/>
            </w:tcBorders>
            <w:shd w:val="clear" w:color="auto" w:fill="auto"/>
            <w:noWrap/>
            <w:vAlign w:val="bottom"/>
            <w:hideMark/>
          </w:tcPr>
          <w:p w:rsidR="00CC1F17" w:rsidRPr="00A52D36" w:rsidRDefault="00CC1F17" w:rsidP="00A52D36">
            <w:pPr>
              <w:keepNext/>
              <w:tabs>
                <w:tab w:val="num" w:pos="0"/>
              </w:tabs>
              <w:jc w:val="right"/>
              <w:rPr>
                <w:rFonts w:asciiTheme="minorHAnsi" w:hAnsiTheme="minorHAnsi"/>
                <w:sz w:val="18"/>
                <w:szCs w:val="14"/>
              </w:rPr>
            </w:pPr>
            <w:r w:rsidRPr="00A52D36">
              <w:rPr>
                <w:rFonts w:asciiTheme="minorHAnsi" w:hAnsiTheme="minorHAnsi"/>
                <w:sz w:val="18"/>
                <w:szCs w:val="14"/>
              </w:rPr>
              <w:t>732,466</w:t>
            </w:r>
          </w:p>
        </w:tc>
        <w:tc>
          <w:tcPr>
            <w:tcW w:w="1170" w:type="dxa"/>
            <w:tcBorders>
              <w:top w:val="single" w:sz="4" w:space="0" w:color="auto"/>
              <w:bottom w:val="single" w:sz="4" w:space="0" w:color="auto"/>
            </w:tcBorders>
            <w:shd w:val="clear" w:color="auto" w:fill="auto"/>
            <w:noWrap/>
            <w:vAlign w:val="bottom"/>
            <w:hideMark/>
          </w:tcPr>
          <w:p w:rsidR="00CC1F17" w:rsidRPr="00A52D36" w:rsidRDefault="00CC1F17" w:rsidP="00A52D36">
            <w:pPr>
              <w:keepNext/>
              <w:tabs>
                <w:tab w:val="num" w:pos="0"/>
              </w:tabs>
              <w:jc w:val="right"/>
              <w:rPr>
                <w:rFonts w:asciiTheme="minorHAnsi" w:hAnsiTheme="minorHAnsi"/>
                <w:sz w:val="18"/>
                <w:szCs w:val="14"/>
              </w:rPr>
            </w:pPr>
            <w:r w:rsidRPr="00A52D36">
              <w:rPr>
                <w:rFonts w:asciiTheme="minorHAnsi" w:hAnsiTheme="minorHAnsi"/>
                <w:sz w:val="18"/>
                <w:szCs w:val="14"/>
              </w:rPr>
              <w:t>909,478</w:t>
            </w:r>
          </w:p>
        </w:tc>
      </w:tr>
      <w:tr w:rsidR="00CC1F17" w:rsidRPr="00434074" w:rsidTr="008651C3">
        <w:trPr>
          <w:trHeight w:val="300"/>
          <w:jc w:val="center"/>
        </w:trPr>
        <w:tc>
          <w:tcPr>
            <w:tcW w:w="1088" w:type="dxa"/>
            <w:vMerge/>
            <w:tcBorders>
              <w:top w:val="single" w:sz="4" w:space="0" w:color="auto"/>
              <w:bottom w:val="single" w:sz="4" w:space="0" w:color="auto"/>
            </w:tcBorders>
            <w:vAlign w:val="center"/>
            <w:hideMark/>
          </w:tcPr>
          <w:p w:rsidR="00CC1F17" w:rsidRPr="00A52D36" w:rsidRDefault="00CC1F17" w:rsidP="00A52D36">
            <w:pPr>
              <w:keepNext/>
              <w:tabs>
                <w:tab w:val="num" w:pos="0"/>
              </w:tabs>
              <w:rPr>
                <w:rFonts w:asciiTheme="minorHAnsi" w:hAnsiTheme="minorHAnsi"/>
                <w:sz w:val="18"/>
                <w:szCs w:val="14"/>
              </w:rPr>
            </w:pPr>
          </w:p>
        </w:tc>
        <w:tc>
          <w:tcPr>
            <w:tcW w:w="2610" w:type="dxa"/>
            <w:tcBorders>
              <w:top w:val="single" w:sz="4" w:space="0" w:color="auto"/>
              <w:bottom w:val="single" w:sz="4" w:space="0" w:color="auto"/>
            </w:tcBorders>
            <w:shd w:val="clear" w:color="auto" w:fill="auto"/>
            <w:noWrap/>
            <w:vAlign w:val="bottom"/>
            <w:hideMark/>
          </w:tcPr>
          <w:p w:rsidR="00CC1F17" w:rsidRPr="00A52D36" w:rsidRDefault="00CC1F17" w:rsidP="00A52D36">
            <w:pPr>
              <w:keepNext/>
              <w:tabs>
                <w:tab w:val="num" w:pos="0"/>
              </w:tabs>
              <w:rPr>
                <w:rFonts w:asciiTheme="minorHAnsi" w:hAnsiTheme="minorHAnsi"/>
                <w:sz w:val="18"/>
                <w:szCs w:val="14"/>
              </w:rPr>
            </w:pPr>
            <w:r w:rsidRPr="00A52D36">
              <w:rPr>
                <w:rFonts w:asciiTheme="minorHAnsi" w:hAnsiTheme="minorHAnsi"/>
                <w:sz w:val="18"/>
                <w:szCs w:val="14"/>
              </w:rPr>
              <w:t>Depreciation</w:t>
            </w:r>
          </w:p>
        </w:tc>
        <w:tc>
          <w:tcPr>
            <w:tcW w:w="1170" w:type="dxa"/>
            <w:tcBorders>
              <w:top w:val="single" w:sz="4" w:space="0" w:color="auto"/>
              <w:bottom w:val="single" w:sz="4" w:space="0" w:color="auto"/>
            </w:tcBorders>
            <w:shd w:val="clear" w:color="auto" w:fill="auto"/>
            <w:noWrap/>
            <w:vAlign w:val="bottom"/>
            <w:hideMark/>
          </w:tcPr>
          <w:p w:rsidR="00CC1F17" w:rsidRPr="00A52D36" w:rsidRDefault="00CC1F17" w:rsidP="00A52D36">
            <w:pPr>
              <w:keepNext/>
              <w:tabs>
                <w:tab w:val="num" w:pos="0"/>
              </w:tabs>
              <w:jc w:val="right"/>
              <w:rPr>
                <w:rFonts w:asciiTheme="minorHAnsi" w:hAnsiTheme="minorHAnsi"/>
                <w:sz w:val="18"/>
                <w:szCs w:val="14"/>
              </w:rPr>
            </w:pPr>
            <w:r w:rsidRPr="00A52D36">
              <w:rPr>
                <w:rFonts w:asciiTheme="minorHAnsi" w:hAnsiTheme="minorHAnsi"/>
                <w:sz w:val="18"/>
                <w:szCs w:val="14"/>
              </w:rPr>
              <w:t>261,053</w:t>
            </w:r>
          </w:p>
        </w:tc>
        <w:tc>
          <w:tcPr>
            <w:tcW w:w="1080" w:type="dxa"/>
            <w:tcBorders>
              <w:top w:val="single" w:sz="4" w:space="0" w:color="auto"/>
              <w:bottom w:val="single" w:sz="4" w:space="0" w:color="auto"/>
            </w:tcBorders>
            <w:shd w:val="clear" w:color="auto" w:fill="auto"/>
            <w:noWrap/>
            <w:vAlign w:val="bottom"/>
            <w:hideMark/>
          </w:tcPr>
          <w:p w:rsidR="00CC1F17" w:rsidRPr="00A52D36" w:rsidRDefault="00CC1F17" w:rsidP="00A52D36">
            <w:pPr>
              <w:keepNext/>
              <w:tabs>
                <w:tab w:val="num" w:pos="0"/>
              </w:tabs>
              <w:jc w:val="right"/>
              <w:rPr>
                <w:rFonts w:asciiTheme="minorHAnsi" w:hAnsiTheme="minorHAnsi"/>
                <w:sz w:val="18"/>
                <w:szCs w:val="14"/>
              </w:rPr>
            </w:pPr>
            <w:r w:rsidRPr="00A52D36">
              <w:rPr>
                <w:rFonts w:asciiTheme="minorHAnsi" w:hAnsiTheme="minorHAnsi"/>
                <w:sz w:val="18"/>
                <w:szCs w:val="14"/>
              </w:rPr>
              <w:t>265,877</w:t>
            </w:r>
          </w:p>
        </w:tc>
        <w:tc>
          <w:tcPr>
            <w:tcW w:w="1080" w:type="dxa"/>
            <w:tcBorders>
              <w:top w:val="single" w:sz="4" w:space="0" w:color="auto"/>
              <w:bottom w:val="single" w:sz="4" w:space="0" w:color="auto"/>
            </w:tcBorders>
            <w:shd w:val="clear" w:color="auto" w:fill="auto"/>
            <w:noWrap/>
            <w:vAlign w:val="bottom"/>
            <w:hideMark/>
          </w:tcPr>
          <w:p w:rsidR="00CC1F17" w:rsidRPr="00A52D36" w:rsidRDefault="00CC1F17" w:rsidP="00A52D36">
            <w:pPr>
              <w:keepNext/>
              <w:tabs>
                <w:tab w:val="num" w:pos="0"/>
              </w:tabs>
              <w:jc w:val="right"/>
              <w:rPr>
                <w:rFonts w:asciiTheme="minorHAnsi" w:hAnsiTheme="minorHAnsi"/>
                <w:sz w:val="18"/>
                <w:szCs w:val="14"/>
              </w:rPr>
            </w:pPr>
            <w:r w:rsidRPr="00A52D36">
              <w:rPr>
                <w:rFonts w:asciiTheme="minorHAnsi" w:hAnsiTheme="minorHAnsi"/>
                <w:sz w:val="18"/>
                <w:szCs w:val="14"/>
              </w:rPr>
              <w:t>319,015</w:t>
            </w:r>
          </w:p>
        </w:tc>
        <w:tc>
          <w:tcPr>
            <w:tcW w:w="1170" w:type="dxa"/>
            <w:tcBorders>
              <w:top w:val="single" w:sz="4" w:space="0" w:color="auto"/>
              <w:bottom w:val="single" w:sz="4" w:space="0" w:color="auto"/>
            </w:tcBorders>
            <w:shd w:val="clear" w:color="auto" w:fill="auto"/>
            <w:noWrap/>
            <w:vAlign w:val="bottom"/>
            <w:hideMark/>
          </w:tcPr>
          <w:p w:rsidR="00CC1F17" w:rsidRPr="00A52D36" w:rsidRDefault="00CC1F17" w:rsidP="00A52D36">
            <w:pPr>
              <w:keepNext/>
              <w:tabs>
                <w:tab w:val="num" w:pos="0"/>
              </w:tabs>
              <w:jc w:val="right"/>
              <w:rPr>
                <w:rFonts w:asciiTheme="minorHAnsi" w:hAnsiTheme="minorHAnsi"/>
                <w:sz w:val="18"/>
                <w:szCs w:val="14"/>
              </w:rPr>
            </w:pPr>
            <w:r w:rsidRPr="00A52D36">
              <w:rPr>
                <w:rFonts w:asciiTheme="minorHAnsi" w:hAnsiTheme="minorHAnsi"/>
                <w:sz w:val="18"/>
                <w:szCs w:val="14"/>
              </w:rPr>
              <w:t>373,409</w:t>
            </w:r>
          </w:p>
        </w:tc>
      </w:tr>
      <w:tr w:rsidR="00CC1F17" w:rsidRPr="00434074" w:rsidTr="008651C3">
        <w:trPr>
          <w:trHeight w:val="300"/>
          <w:jc w:val="center"/>
        </w:trPr>
        <w:tc>
          <w:tcPr>
            <w:tcW w:w="1088" w:type="dxa"/>
            <w:vMerge/>
            <w:tcBorders>
              <w:top w:val="single" w:sz="4" w:space="0" w:color="auto"/>
              <w:bottom w:val="single" w:sz="4" w:space="0" w:color="auto"/>
            </w:tcBorders>
            <w:vAlign w:val="center"/>
            <w:hideMark/>
          </w:tcPr>
          <w:p w:rsidR="00CC1F17" w:rsidRPr="00A52D36" w:rsidRDefault="00CC1F17" w:rsidP="00A52D36">
            <w:pPr>
              <w:keepNext/>
              <w:tabs>
                <w:tab w:val="num" w:pos="0"/>
              </w:tabs>
              <w:rPr>
                <w:rFonts w:asciiTheme="minorHAnsi" w:hAnsiTheme="minorHAnsi"/>
                <w:sz w:val="18"/>
                <w:szCs w:val="14"/>
              </w:rPr>
            </w:pPr>
          </w:p>
        </w:tc>
        <w:tc>
          <w:tcPr>
            <w:tcW w:w="2610" w:type="dxa"/>
            <w:tcBorders>
              <w:top w:val="single" w:sz="4" w:space="0" w:color="auto"/>
              <w:bottom w:val="single" w:sz="4" w:space="0" w:color="auto"/>
            </w:tcBorders>
            <w:shd w:val="clear" w:color="auto" w:fill="auto"/>
            <w:noWrap/>
            <w:vAlign w:val="bottom"/>
            <w:hideMark/>
          </w:tcPr>
          <w:p w:rsidR="00CC1F17" w:rsidRPr="00A52D36" w:rsidRDefault="00CC1F17" w:rsidP="00A52D36">
            <w:pPr>
              <w:keepNext/>
              <w:tabs>
                <w:tab w:val="num" w:pos="0"/>
              </w:tabs>
              <w:rPr>
                <w:rFonts w:asciiTheme="minorHAnsi" w:hAnsiTheme="minorHAnsi"/>
                <w:sz w:val="18"/>
                <w:szCs w:val="14"/>
              </w:rPr>
            </w:pPr>
            <w:r w:rsidRPr="00A52D36">
              <w:rPr>
                <w:rFonts w:asciiTheme="minorHAnsi" w:hAnsiTheme="minorHAnsi"/>
                <w:sz w:val="18"/>
                <w:szCs w:val="14"/>
              </w:rPr>
              <w:t>Total operating expenses</w:t>
            </w:r>
          </w:p>
        </w:tc>
        <w:tc>
          <w:tcPr>
            <w:tcW w:w="1170" w:type="dxa"/>
            <w:tcBorders>
              <w:top w:val="single" w:sz="4" w:space="0" w:color="auto"/>
              <w:bottom w:val="single" w:sz="4" w:space="0" w:color="auto"/>
            </w:tcBorders>
            <w:shd w:val="clear" w:color="auto" w:fill="auto"/>
            <w:noWrap/>
            <w:vAlign w:val="bottom"/>
            <w:hideMark/>
          </w:tcPr>
          <w:p w:rsidR="00CC1F17" w:rsidRPr="00A52D36" w:rsidRDefault="00CC1F17" w:rsidP="00A52D36">
            <w:pPr>
              <w:keepNext/>
              <w:tabs>
                <w:tab w:val="num" w:pos="0"/>
              </w:tabs>
              <w:jc w:val="right"/>
              <w:rPr>
                <w:rFonts w:asciiTheme="minorHAnsi" w:hAnsiTheme="minorHAnsi"/>
                <w:sz w:val="18"/>
                <w:szCs w:val="14"/>
              </w:rPr>
            </w:pPr>
            <w:r w:rsidRPr="00A52D36">
              <w:rPr>
                <w:rFonts w:asciiTheme="minorHAnsi" w:hAnsiTheme="minorHAnsi"/>
                <w:sz w:val="18"/>
                <w:szCs w:val="14"/>
              </w:rPr>
              <w:t>1,800,442</w:t>
            </w:r>
          </w:p>
        </w:tc>
        <w:tc>
          <w:tcPr>
            <w:tcW w:w="1080" w:type="dxa"/>
            <w:tcBorders>
              <w:top w:val="single" w:sz="4" w:space="0" w:color="auto"/>
              <w:bottom w:val="single" w:sz="4" w:space="0" w:color="auto"/>
            </w:tcBorders>
            <w:shd w:val="clear" w:color="auto" w:fill="auto"/>
            <w:noWrap/>
            <w:vAlign w:val="bottom"/>
            <w:hideMark/>
          </w:tcPr>
          <w:p w:rsidR="00CC1F17" w:rsidRPr="00A52D36" w:rsidRDefault="00CC1F17" w:rsidP="00A52D36">
            <w:pPr>
              <w:keepNext/>
              <w:tabs>
                <w:tab w:val="num" w:pos="0"/>
              </w:tabs>
              <w:jc w:val="right"/>
              <w:rPr>
                <w:rFonts w:asciiTheme="minorHAnsi" w:hAnsiTheme="minorHAnsi"/>
                <w:sz w:val="18"/>
                <w:szCs w:val="14"/>
              </w:rPr>
            </w:pPr>
            <w:r w:rsidRPr="00A52D36">
              <w:rPr>
                <w:rFonts w:asciiTheme="minorHAnsi" w:hAnsiTheme="minorHAnsi"/>
                <w:sz w:val="18"/>
                <w:szCs w:val="14"/>
              </w:rPr>
              <w:t>2,164,846</w:t>
            </w:r>
          </w:p>
        </w:tc>
        <w:tc>
          <w:tcPr>
            <w:tcW w:w="1080" w:type="dxa"/>
            <w:tcBorders>
              <w:top w:val="single" w:sz="4" w:space="0" w:color="auto"/>
              <w:bottom w:val="single" w:sz="4" w:space="0" w:color="auto"/>
            </w:tcBorders>
            <w:shd w:val="clear" w:color="auto" w:fill="auto"/>
            <w:noWrap/>
            <w:vAlign w:val="bottom"/>
            <w:hideMark/>
          </w:tcPr>
          <w:p w:rsidR="00CC1F17" w:rsidRPr="00A52D36" w:rsidRDefault="00CC1F17" w:rsidP="00A52D36">
            <w:pPr>
              <w:keepNext/>
              <w:tabs>
                <w:tab w:val="num" w:pos="0"/>
              </w:tabs>
              <w:jc w:val="right"/>
              <w:rPr>
                <w:rFonts w:asciiTheme="minorHAnsi" w:hAnsiTheme="minorHAnsi"/>
                <w:sz w:val="18"/>
                <w:szCs w:val="14"/>
              </w:rPr>
            </w:pPr>
            <w:r w:rsidRPr="00A52D36">
              <w:rPr>
                <w:rFonts w:asciiTheme="minorHAnsi" w:hAnsiTheme="minorHAnsi"/>
                <w:sz w:val="18"/>
                <w:szCs w:val="14"/>
              </w:rPr>
              <w:t>2,458,773</w:t>
            </w:r>
          </w:p>
        </w:tc>
        <w:tc>
          <w:tcPr>
            <w:tcW w:w="1170" w:type="dxa"/>
            <w:tcBorders>
              <w:top w:val="single" w:sz="4" w:space="0" w:color="auto"/>
              <w:bottom w:val="single" w:sz="4" w:space="0" w:color="auto"/>
            </w:tcBorders>
            <w:shd w:val="clear" w:color="auto" w:fill="auto"/>
            <w:noWrap/>
            <w:vAlign w:val="bottom"/>
            <w:hideMark/>
          </w:tcPr>
          <w:p w:rsidR="00CC1F17" w:rsidRPr="00A52D36" w:rsidRDefault="00CC1F17" w:rsidP="00A52D36">
            <w:pPr>
              <w:keepNext/>
              <w:tabs>
                <w:tab w:val="num" w:pos="0"/>
              </w:tabs>
              <w:jc w:val="right"/>
              <w:rPr>
                <w:rFonts w:asciiTheme="minorHAnsi" w:hAnsiTheme="minorHAnsi"/>
                <w:sz w:val="18"/>
                <w:szCs w:val="14"/>
              </w:rPr>
            </w:pPr>
            <w:r w:rsidRPr="00A52D36">
              <w:rPr>
                <w:rFonts w:asciiTheme="minorHAnsi" w:hAnsiTheme="minorHAnsi"/>
                <w:sz w:val="18"/>
                <w:szCs w:val="14"/>
              </w:rPr>
              <w:t>2,982,898</w:t>
            </w:r>
          </w:p>
        </w:tc>
      </w:tr>
      <w:tr w:rsidR="00CC1F17" w:rsidRPr="00434074" w:rsidTr="008651C3">
        <w:trPr>
          <w:trHeight w:val="300"/>
          <w:jc w:val="center"/>
        </w:trPr>
        <w:tc>
          <w:tcPr>
            <w:tcW w:w="1088" w:type="dxa"/>
            <w:vMerge/>
            <w:tcBorders>
              <w:top w:val="single" w:sz="4" w:space="0" w:color="auto"/>
              <w:bottom w:val="single" w:sz="4" w:space="0" w:color="auto"/>
            </w:tcBorders>
            <w:vAlign w:val="center"/>
            <w:hideMark/>
          </w:tcPr>
          <w:p w:rsidR="00CC1F17" w:rsidRPr="00A52D36" w:rsidRDefault="00CC1F17" w:rsidP="00A52D36">
            <w:pPr>
              <w:keepNext/>
              <w:tabs>
                <w:tab w:val="num" w:pos="0"/>
              </w:tabs>
              <w:rPr>
                <w:rFonts w:asciiTheme="minorHAnsi" w:hAnsiTheme="minorHAnsi"/>
                <w:sz w:val="18"/>
                <w:szCs w:val="14"/>
              </w:rPr>
            </w:pPr>
          </w:p>
        </w:tc>
        <w:tc>
          <w:tcPr>
            <w:tcW w:w="2610" w:type="dxa"/>
            <w:tcBorders>
              <w:top w:val="single" w:sz="4" w:space="0" w:color="auto"/>
              <w:bottom w:val="single" w:sz="4" w:space="0" w:color="auto"/>
            </w:tcBorders>
            <w:shd w:val="clear" w:color="auto" w:fill="auto"/>
            <w:noWrap/>
            <w:vAlign w:val="bottom"/>
            <w:hideMark/>
          </w:tcPr>
          <w:p w:rsidR="00CC1F17" w:rsidRPr="00A52D36" w:rsidRDefault="00CC1F17" w:rsidP="00A52D36">
            <w:pPr>
              <w:keepNext/>
              <w:tabs>
                <w:tab w:val="num" w:pos="0"/>
              </w:tabs>
              <w:rPr>
                <w:rFonts w:asciiTheme="minorHAnsi" w:hAnsiTheme="minorHAnsi"/>
                <w:sz w:val="18"/>
                <w:szCs w:val="14"/>
              </w:rPr>
            </w:pPr>
            <w:r w:rsidRPr="00A52D36">
              <w:rPr>
                <w:rFonts w:asciiTheme="minorHAnsi" w:hAnsiTheme="minorHAnsi"/>
                <w:sz w:val="18"/>
                <w:szCs w:val="14"/>
              </w:rPr>
              <w:t>Non-operating expenses</w:t>
            </w:r>
          </w:p>
        </w:tc>
        <w:tc>
          <w:tcPr>
            <w:tcW w:w="1170" w:type="dxa"/>
            <w:tcBorders>
              <w:top w:val="single" w:sz="4" w:space="0" w:color="auto"/>
              <w:bottom w:val="single" w:sz="4" w:space="0" w:color="auto"/>
            </w:tcBorders>
            <w:shd w:val="clear" w:color="auto" w:fill="auto"/>
            <w:noWrap/>
            <w:vAlign w:val="bottom"/>
            <w:hideMark/>
          </w:tcPr>
          <w:p w:rsidR="00CC1F17" w:rsidRPr="00A52D36" w:rsidRDefault="00CC1F17" w:rsidP="00A52D36">
            <w:pPr>
              <w:keepNext/>
              <w:tabs>
                <w:tab w:val="num" w:pos="0"/>
              </w:tabs>
              <w:jc w:val="right"/>
              <w:rPr>
                <w:rFonts w:asciiTheme="minorHAnsi" w:hAnsiTheme="minorHAnsi"/>
                <w:sz w:val="18"/>
                <w:szCs w:val="14"/>
              </w:rPr>
            </w:pPr>
            <w:r w:rsidRPr="00A52D36">
              <w:rPr>
                <w:rFonts w:asciiTheme="minorHAnsi" w:hAnsiTheme="minorHAnsi"/>
                <w:sz w:val="18"/>
                <w:szCs w:val="14"/>
              </w:rPr>
              <w:t>2,197</w:t>
            </w:r>
          </w:p>
        </w:tc>
        <w:tc>
          <w:tcPr>
            <w:tcW w:w="1080" w:type="dxa"/>
            <w:tcBorders>
              <w:top w:val="single" w:sz="4" w:space="0" w:color="auto"/>
              <w:bottom w:val="single" w:sz="4" w:space="0" w:color="auto"/>
            </w:tcBorders>
            <w:shd w:val="clear" w:color="auto" w:fill="auto"/>
            <w:noWrap/>
            <w:vAlign w:val="bottom"/>
            <w:hideMark/>
          </w:tcPr>
          <w:p w:rsidR="00CC1F17" w:rsidRPr="00A52D36" w:rsidRDefault="00CC1F17" w:rsidP="00A52D36">
            <w:pPr>
              <w:keepNext/>
              <w:tabs>
                <w:tab w:val="num" w:pos="0"/>
              </w:tabs>
              <w:jc w:val="right"/>
              <w:rPr>
                <w:rFonts w:asciiTheme="minorHAnsi" w:hAnsiTheme="minorHAnsi"/>
                <w:sz w:val="18"/>
                <w:szCs w:val="14"/>
              </w:rPr>
            </w:pPr>
            <w:r w:rsidRPr="00A52D36">
              <w:rPr>
                <w:rFonts w:asciiTheme="minorHAnsi" w:hAnsiTheme="minorHAnsi"/>
                <w:sz w:val="18"/>
                <w:szCs w:val="14"/>
              </w:rPr>
              <w:t>7,239</w:t>
            </w:r>
          </w:p>
        </w:tc>
        <w:tc>
          <w:tcPr>
            <w:tcW w:w="1080" w:type="dxa"/>
            <w:tcBorders>
              <w:top w:val="single" w:sz="4" w:space="0" w:color="auto"/>
              <w:bottom w:val="single" w:sz="4" w:space="0" w:color="auto"/>
            </w:tcBorders>
            <w:shd w:val="clear" w:color="auto" w:fill="auto"/>
            <w:noWrap/>
            <w:vAlign w:val="bottom"/>
            <w:hideMark/>
          </w:tcPr>
          <w:p w:rsidR="00CC1F17" w:rsidRPr="00A52D36" w:rsidRDefault="00CC1F17" w:rsidP="00A52D36">
            <w:pPr>
              <w:keepNext/>
              <w:tabs>
                <w:tab w:val="num" w:pos="0"/>
              </w:tabs>
              <w:jc w:val="right"/>
              <w:rPr>
                <w:rFonts w:asciiTheme="minorHAnsi" w:hAnsiTheme="minorHAnsi"/>
                <w:sz w:val="18"/>
                <w:szCs w:val="14"/>
              </w:rPr>
            </w:pPr>
            <w:r w:rsidRPr="00A52D36">
              <w:rPr>
                <w:rFonts w:asciiTheme="minorHAnsi" w:hAnsiTheme="minorHAnsi"/>
                <w:sz w:val="18"/>
                <w:szCs w:val="14"/>
              </w:rPr>
              <w:t>5,249</w:t>
            </w:r>
          </w:p>
        </w:tc>
        <w:tc>
          <w:tcPr>
            <w:tcW w:w="1170" w:type="dxa"/>
            <w:tcBorders>
              <w:top w:val="single" w:sz="4" w:space="0" w:color="auto"/>
              <w:bottom w:val="single" w:sz="4" w:space="0" w:color="auto"/>
            </w:tcBorders>
            <w:shd w:val="clear" w:color="auto" w:fill="auto"/>
            <w:noWrap/>
            <w:vAlign w:val="bottom"/>
            <w:hideMark/>
          </w:tcPr>
          <w:p w:rsidR="00CC1F17" w:rsidRPr="00A52D36" w:rsidRDefault="00CC1F17" w:rsidP="00A52D36">
            <w:pPr>
              <w:keepNext/>
              <w:tabs>
                <w:tab w:val="num" w:pos="0"/>
              </w:tabs>
              <w:jc w:val="right"/>
              <w:rPr>
                <w:rFonts w:asciiTheme="minorHAnsi" w:hAnsiTheme="minorHAnsi"/>
                <w:sz w:val="18"/>
                <w:szCs w:val="14"/>
              </w:rPr>
            </w:pPr>
            <w:r w:rsidRPr="00A52D36">
              <w:rPr>
                <w:rFonts w:asciiTheme="minorHAnsi" w:hAnsiTheme="minorHAnsi"/>
                <w:sz w:val="18"/>
                <w:szCs w:val="14"/>
              </w:rPr>
              <w:t>7,230</w:t>
            </w:r>
          </w:p>
        </w:tc>
      </w:tr>
      <w:tr w:rsidR="00CC1F17" w:rsidRPr="00434074" w:rsidTr="008651C3">
        <w:trPr>
          <w:trHeight w:val="300"/>
          <w:jc w:val="center"/>
        </w:trPr>
        <w:tc>
          <w:tcPr>
            <w:tcW w:w="3698" w:type="dxa"/>
            <w:gridSpan w:val="2"/>
            <w:tcBorders>
              <w:top w:val="single" w:sz="4" w:space="0" w:color="auto"/>
              <w:bottom w:val="single" w:sz="4" w:space="0" w:color="auto"/>
            </w:tcBorders>
            <w:vAlign w:val="center"/>
            <w:hideMark/>
          </w:tcPr>
          <w:p w:rsidR="00CC1F17" w:rsidRPr="00A52D36" w:rsidRDefault="00CC1F17" w:rsidP="00A52D36">
            <w:pPr>
              <w:keepNext/>
              <w:tabs>
                <w:tab w:val="num" w:pos="0"/>
              </w:tabs>
              <w:rPr>
                <w:rFonts w:asciiTheme="minorHAnsi" w:hAnsiTheme="minorHAnsi"/>
                <w:b/>
                <w:sz w:val="18"/>
                <w:szCs w:val="14"/>
              </w:rPr>
            </w:pPr>
            <w:r w:rsidRPr="00A52D36">
              <w:rPr>
                <w:rFonts w:asciiTheme="minorHAnsi" w:hAnsiTheme="minorHAnsi"/>
                <w:b/>
                <w:sz w:val="18"/>
                <w:szCs w:val="14"/>
              </w:rPr>
              <w:t>Total expenses</w:t>
            </w:r>
          </w:p>
        </w:tc>
        <w:tc>
          <w:tcPr>
            <w:tcW w:w="1170" w:type="dxa"/>
            <w:tcBorders>
              <w:top w:val="single" w:sz="4" w:space="0" w:color="auto"/>
              <w:bottom w:val="single" w:sz="4" w:space="0" w:color="auto"/>
            </w:tcBorders>
            <w:shd w:val="clear" w:color="auto" w:fill="auto"/>
            <w:noWrap/>
            <w:vAlign w:val="bottom"/>
            <w:hideMark/>
          </w:tcPr>
          <w:p w:rsidR="00CC1F17" w:rsidRPr="00A52D36" w:rsidRDefault="00CC1F17" w:rsidP="00A52D36">
            <w:pPr>
              <w:keepNext/>
              <w:tabs>
                <w:tab w:val="num" w:pos="0"/>
              </w:tabs>
              <w:jc w:val="right"/>
              <w:rPr>
                <w:rFonts w:asciiTheme="minorHAnsi" w:hAnsiTheme="minorHAnsi"/>
                <w:b/>
                <w:sz w:val="18"/>
                <w:szCs w:val="14"/>
              </w:rPr>
            </w:pPr>
            <w:r w:rsidRPr="00A52D36">
              <w:rPr>
                <w:rFonts w:asciiTheme="minorHAnsi" w:hAnsiTheme="minorHAnsi"/>
                <w:b/>
                <w:sz w:val="18"/>
                <w:szCs w:val="14"/>
              </w:rPr>
              <w:t>1,802,639</w:t>
            </w:r>
          </w:p>
        </w:tc>
        <w:tc>
          <w:tcPr>
            <w:tcW w:w="1080" w:type="dxa"/>
            <w:tcBorders>
              <w:top w:val="single" w:sz="4" w:space="0" w:color="auto"/>
              <w:bottom w:val="single" w:sz="4" w:space="0" w:color="auto"/>
            </w:tcBorders>
            <w:shd w:val="clear" w:color="auto" w:fill="auto"/>
            <w:noWrap/>
            <w:vAlign w:val="bottom"/>
            <w:hideMark/>
          </w:tcPr>
          <w:p w:rsidR="00CC1F17" w:rsidRPr="00A52D36" w:rsidRDefault="00CC1F17" w:rsidP="00A52D36">
            <w:pPr>
              <w:keepNext/>
              <w:tabs>
                <w:tab w:val="num" w:pos="0"/>
              </w:tabs>
              <w:jc w:val="right"/>
              <w:rPr>
                <w:rFonts w:asciiTheme="minorHAnsi" w:hAnsiTheme="minorHAnsi"/>
                <w:b/>
                <w:sz w:val="18"/>
                <w:szCs w:val="14"/>
              </w:rPr>
            </w:pPr>
            <w:r w:rsidRPr="00A52D36">
              <w:rPr>
                <w:rFonts w:asciiTheme="minorHAnsi" w:hAnsiTheme="minorHAnsi"/>
                <w:b/>
                <w:sz w:val="18"/>
                <w:szCs w:val="14"/>
              </w:rPr>
              <w:t>2,172,085</w:t>
            </w:r>
          </w:p>
        </w:tc>
        <w:tc>
          <w:tcPr>
            <w:tcW w:w="1080" w:type="dxa"/>
            <w:tcBorders>
              <w:top w:val="single" w:sz="4" w:space="0" w:color="auto"/>
              <w:bottom w:val="single" w:sz="4" w:space="0" w:color="auto"/>
            </w:tcBorders>
            <w:shd w:val="clear" w:color="auto" w:fill="auto"/>
            <w:noWrap/>
            <w:vAlign w:val="bottom"/>
            <w:hideMark/>
          </w:tcPr>
          <w:p w:rsidR="00CC1F17" w:rsidRPr="00A52D36" w:rsidRDefault="00CC1F17" w:rsidP="00A52D36">
            <w:pPr>
              <w:keepNext/>
              <w:tabs>
                <w:tab w:val="num" w:pos="0"/>
              </w:tabs>
              <w:jc w:val="right"/>
              <w:rPr>
                <w:rFonts w:asciiTheme="minorHAnsi" w:hAnsiTheme="minorHAnsi"/>
                <w:b/>
                <w:sz w:val="18"/>
                <w:szCs w:val="14"/>
              </w:rPr>
            </w:pPr>
            <w:r w:rsidRPr="00A52D36">
              <w:rPr>
                <w:rFonts w:asciiTheme="minorHAnsi" w:hAnsiTheme="minorHAnsi"/>
                <w:b/>
                <w:sz w:val="18"/>
                <w:szCs w:val="14"/>
              </w:rPr>
              <w:t>2,464,022</w:t>
            </w:r>
          </w:p>
        </w:tc>
        <w:tc>
          <w:tcPr>
            <w:tcW w:w="1170" w:type="dxa"/>
            <w:tcBorders>
              <w:top w:val="single" w:sz="4" w:space="0" w:color="auto"/>
              <w:bottom w:val="single" w:sz="4" w:space="0" w:color="auto"/>
            </w:tcBorders>
            <w:shd w:val="clear" w:color="auto" w:fill="auto"/>
            <w:noWrap/>
            <w:vAlign w:val="bottom"/>
            <w:hideMark/>
          </w:tcPr>
          <w:p w:rsidR="00CC1F17" w:rsidRPr="00A52D36" w:rsidRDefault="00CC1F17" w:rsidP="00A52D36">
            <w:pPr>
              <w:keepNext/>
              <w:tabs>
                <w:tab w:val="num" w:pos="0"/>
              </w:tabs>
              <w:jc w:val="right"/>
              <w:rPr>
                <w:rFonts w:asciiTheme="minorHAnsi" w:hAnsiTheme="minorHAnsi"/>
                <w:b/>
                <w:sz w:val="18"/>
                <w:szCs w:val="14"/>
              </w:rPr>
            </w:pPr>
            <w:r w:rsidRPr="00A52D36">
              <w:rPr>
                <w:rFonts w:asciiTheme="minorHAnsi" w:hAnsiTheme="minorHAnsi"/>
                <w:b/>
                <w:sz w:val="18"/>
                <w:szCs w:val="14"/>
              </w:rPr>
              <w:t>2,990,128</w:t>
            </w:r>
          </w:p>
        </w:tc>
      </w:tr>
      <w:tr w:rsidR="00CC1F17" w:rsidRPr="00434074" w:rsidTr="00F24397">
        <w:trPr>
          <w:trHeight w:val="300"/>
          <w:jc w:val="center"/>
        </w:trPr>
        <w:tc>
          <w:tcPr>
            <w:tcW w:w="3698" w:type="dxa"/>
            <w:gridSpan w:val="2"/>
            <w:tcBorders>
              <w:top w:val="single" w:sz="4" w:space="0" w:color="auto"/>
              <w:bottom w:val="single" w:sz="4" w:space="0" w:color="auto"/>
            </w:tcBorders>
            <w:vAlign w:val="center"/>
            <w:hideMark/>
          </w:tcPr>
          <w:p w:rsidR="00CC1F17" w:rsidRPr="00A52D36" w:rsidRDefault="00CC1F17" w:rsidP="00A52D36">
            <w:pPr>
              <w:keepNext/>
              <w:tabs>
                <w:tab w:val="num" w:pos="0"/>
              </w:tabs>
              <w:rPr>
                <w:rFonts w:asciiTheme="minorHAnsi" w:hAnsiTheme="minorHAnsi"/>
                <w:b/>
                <w:sz w:val="18"/>
                <w:szCs w:val="14"/>
              </w:rPr>
            </w:pPr>
            <w:r w:rsidRPr="00A52D36">
              <w:rPr>
                <w:rFonts w:asciiTheme="minorHAnsi" w:hAnsiTheme="minorHAnsi"/>
                <w:b/>
                <w:sz w:val="18"/>
                <w:szCs w:val="14"/>
              </w:rPr>
              <w:t>Profit/loss</w:t>
            </w:r>
          </w:p>
        </w:tc>
        <w:tc>
          <w:tcPr>
            <w:tcW w:w="1170" w:type="dxa"/>
            <w:tcBorders>
              <w:top w:val="single" w:sz="4" w:space="0" w:color="auto"/>
              <w:bottom w:val="single" w:sz="4" w:space="0" w:color="auto"/>
            </w:tcBorders>
            <w:shd w:val="clear" w:color="auto" w:fill="auto"/>
            <w:noWrap/>
            <w:vAlign w:val="bottom"/>
            <w:hideMark/>
          </w:tcPr>
          <w:p w:rsidR="00CC1F17" w:rsidRPr="00A52D36" w:rsidRDefault="00CC1F17" w:rsidP="00A52D36">
            <w:pPr>
              <w:keepNext/>
              <w:tabs>
                <w:tab w:val="num" w:pos="0"/>
              </w:tabs>
              <w:jc w:val="right"/>
              <w:rPr>
                <w:rFonts w:asciiTheme="minorHAnsi" w:hAnsiTheme="minorHAnsi"/>
                <w:b/>
                <w:sz w:val="18"/>
                <w:szCs w:val="14"/>
              </w:rPr>
            </w:pPr>
            <w:r w:rsidRPr="00A52D36">
              <w:rPr>
                <w:rFonts w:asciiTheme="minorHAnsi" w:hAnsiTheme="minorHAnsi"/>
                <w:b/>
                <w:sz w:val="18"/>
                <w:szCs w:val="14"/>
              </w:rPr>
              <w:t xml:space="preserve">490,583 </w:t>
            </w:r>
          </w:p>
        </w:tc>
        <w:tc>
          <w:tcPr>
            <w:tcW w:w="1080" w:type="dxa"/>
            <w:tcBorders>
              <w:top w:val="single" w:sz="4" w:space="0" w:color="auto"/>
              <w:bottom w:val="single" w:sz="4" w:space="0" w:color="auto"/>
            </w:tcBorders>
            <w:shd w:val="clear" w:color="auto" w:fill="auto"/>
            <w:noWrap/>
            <w:vAlign w:val="bottom"/>
            <w:hideMark/>
          </w:tcPr>
          <w:p w:rsidR="00CC1F17" w:rsidRPr="00A52D36" w:rsidRDefault="00CC1F17" w:rsidP="00A52D36">
            <w:pPr>
              <w:keepNext/>
              <w:tabs>
                <w:tab w:val="num" w:pos="0"/>
              </w:tabs>
              <w:jc w:val="right"/>
              <w:rPr>
                <w:rFonts w:asciiTheme="minorHAnsi" w:hAnsiTheme="minorHAnsi"/>
                <w:b/>
                <w:sz w:val="18"/>
                <w:szCs w:val="14"/>
              </w:rPr>
            </w:pPr>
            <w:r w:rsidRPr="00A52D36">
              <w:rPr>
                <w:rFonts w:asciiTheme="minorHAnsi" w:hAnsiTheme="minorHAnsi"/>
                <w:b/>
                <w:sz w:val="18"/>
                <w:szCs w:val="14"/>
              </w:rPr>
              <w:t xml:space="preserve">527,330 </w:t>
            </w:r>
          </w:p>
        </w:tc>
        <w:tc>
          <w:tcPr>
            <w:tcW w:w="1080" w:type="dxa"/>
            <w:tcBorders>
              <w:top w:val="single" w:sz="4" w:space="0" w:color="auto"/>
              <w:bottom w:val="single" w:sz="4" w:space="0" w:color="auto"/>
            </w:tcBorders>
            <w:shd w:val="clear" w:color="auto" w:fill="auto"/>
            <w:noWrap/>
            <w:vAlign w:val="bottom"/>
            <w:hideMark/>
          </w:tcPr>
          <w:p w:rsidR="00CC1F17" w:rsidRPr="00A52D36" w:rsidRDefault="00CC1F17" w:rsidP="00A52D36">
            <w:pPr>
              <w:keepNext/>
              <w:tabs>
                <w:tab w:val="num" w:pos="0"/>
              </w:tabs>
              <w:jc w:val="right"/>
              <w:rPr>
                <w:rFonts w:asciiTheme="minorHAnsi" w:hAnsiTheme="minorHAnsi"/>
                <w:b/>
                <w:sz w:val="18"/>
                <w:szCs w:val="14"/>
              </w:rPr>
            </w:pPr>
            <w:r w:rsidRPr="00A52D36">
              <w:rPr>
                <w:rFonts w:asciiTheme="minorHAnsi" w:hAnsiTheme="minorHAnsi"/>
                <w:b/>
                <w:sz w:val="18"/>
                <w:szCs w:val="14"/>
              </w:rPr>
              <w:t xml:space="preserve">712,517 </w:t>
            </w:r>
          </w:p>
        </w:tc>
        <w:tc>
          <w:tcPr>
            <w:tcW w:w="1170" w:type="dxa"/>
            <w:tcBorders>
              <w:top w:val="single" w:sz="4" w:space="0" w:color="auto"/>
              <w:bottom w:val="single" w:sz="4" w:space="0" w:color="auto"/>
            </w:tcBorders>
            <w:shd w:val="clear" w:color="auto" w:fill="auto"/>
            <w:noWrap/>
            <w:vAlign w:val="bottom"/>
            <w:hideMark/>
          </w:tcPr>
          <w:p w:rsidR="00CC1F17" w:rsidRPr="00A52D36" w:rsidRDefault="00CC1F17" w:rsidP="00A52D36">
            <w:pPr>
              <w:keepNext/>
              <w:tabs>
                <w:tab w:val="num" w:pos="0"/>
              </w:tabs>
              <w:jc w:val="right"/>
              <w:rPr>
                <w:rFonts w:asciiTheme="minorHAnsi" w:hAnsiTheme="minorHAnsi"/>
                <w:b/>
                <w:sz w:val="18"/>
                <w:szCs w:val="14"/>
              </w:rPr>
            </w:pPr>
            <w:r w:rsidRPr="00A52D36">
              <w:rPr>
                <w:rFonts w:asciiTheme="minorHAnsi" w:hAnsiTheme="minorHAnsi"/>
                <w:b/>
                <w:sz w:val="18"/>
                <w:szCs w:val="14"/>
              </w:rPr>
              <w:t xml:space="preserve">888,517 </w:t>
            </w:r>
          </w:p>
        </w:tc>
      </w:tr>
      <w:tr w:rsidR="00CC1F17" w:rsidRPr="00434074" w:rsidTr="00F24397">
        <w:trPr>
          <w:trHeight w:val="300"/>
          <w:jc w:val="center"/>
        </w:trPr>
        <w:tc>
          <w:tcPr>
            <w:tcW w:w="8198" w:type="dxa"/>
            <w:gridSpan w:val="6"/>
            <w:tcBorders>
              <w:top w:val="single" w:sz="4" w:space="0" w:color="auto"/>
            </w:tcBorders>
            <w:vAlign w:val="center"/>
            <w:hideMark/>
          </w:tcPr>
          <w:p w:rsidR="00CC1F17" w:rsidRPr="008046F3" w:rsidRDefault="00CC1F17" w:rsidP="00DE274C">
            <w:pPr>
              <w:tabs>
                <w:tab w:val="num" w:pos="0"/>
              </w:tabs>
              <w:rPr>
                <w:rFonts w:asciiTheme="minorHAnsi" w:hAnsiTheme="minorHAnsi"/>
                <w:sz w:val="20"/>
                <w:szCs w:val="20"/>
              </w:rPr>
            </w:pPr>
            <w:r w:rsidRPr="008046F3">
              <w:rPr>
                <w:sz w:val="20"/>
                <w:szCs w:val="20"/>
              </w:rPr>
              <w:t>Source: Data reported by Belarusian Railway.</w:t>
            </w:r>
          </w:p>
        </w:tc>
      </w:tr>
      <w:tr w:rsidR="008046F3" w:rsidRPr="00434074" w:rsidTr="00F24397">
        <w:trPr>
          <w:trHeight w:val="300"/>
          <w:jc w:val="center"/>
        </w:trPr>
        <w:tc>
          <w:tcPr>
            <w:tcW w:w="8198" w:type="dxa"/>
            <w:gridSpan w:val="6"/>
            <w:tcBorders>
              <w:top w:val="single" w:sz="4" w:space="0" w:color="auto"/>
            </w:tcBorders>
            <w:vAlign w:val="center"/>
            <w:hideMark/>
          </w:tcPr>
          <w:p w:rsidR="008046F3" w:rsidRPr="008046F3" w:rsidRDefault="008046F3" w:rsidP="00DE274C">
            <w:pPr>
              <w:tabs>
                <w:tab w:val="num" w:pos="0"/>
              </w:tabs>
              <w:rPr>
                <w:sz w:val="20"/>
                <w:szCs w:val="20"/>
              </w:rPr>
            </w:pPr>
          </w:p>
        </w:tc>
      </w:tr>
    </w:tbl>
    <w:tbl>
      <w:tblPr>
        <w:tblStyle w:val="TableGrid"/>
        <w:tblW w:w="0" w:type="auto"/>
        <w:tblLook w:val="04A0"/>
      </w:tblPr>
      <w:tblGrid>
        <w:gridCol w:w="4950"/>
        <w:gridCol w:w="4626"/>
      </w:tblGrid>
      <w:tr w:rsidR="00CC1F17" w:rsidRPr="007777E2" w:rsidTr="00434074">
        <w:trPr>
          <w:cantSplit/>
        </w:trPr>
        <w:tc>
          <w:tcPr>
            <w:tcW w:w="4950" w:type="dxa"/>
          </w:tcPr>
          <w:p w:rsidR="00CC1F17" w:rsidRPr="007777E2" w:rsidRDefault="00CC1F17" w:rsidP="00DE274C">
            <w:pPr>
              <w:pStyle w:val="Caption"/>
              <w:tabs>
                <w:tab w:val="num" w:pos="0"/>
              </w:tabs>
              <w:jc w:val="center"/>
            </w:pPr>
            <w:bookmarkStart w:id="204" w:name="_Ref258505523"/>
            <w:bookmarkStart w:id="205" w:name="_Toc264226792"/>
            <w:r w:rsidRPr="007777E2">
              <w:rPr>
                <w:color w:val="auto"/>
                <w:sz w:val="22"/>
                <w:szCs w:val="22"/>
              </w:rPr>
              <w:t xml:space="preserve">Figure </w:t>
            </w:r>
            <w:r w:rsidR="006B40AE" w:rsidRPr="007777E2">
              <w:rPr>
                <w:color w:val="auto"/>
                <w:sz w:val="22"/>
                <w:szCs w:val="22"/>
              </w:rPr>
              <w:fldChar w:fldCharType="begin"/>
            </w:r>
            <w:r w:rsidRPr="007777E2">
              <w:rPr>
                <w:color w:val="auto"/>
                <w:sz w:val="22"/>
                <w:szCs w:val="22"/>
              </w:rPr>
              <w:instrText xml:space="preserve"> SEQ Figure \* ARABIC </w:instrText>
            </w:r>
            <w:r w:rsidR="006B40AE" w:rsidRPr="007777E2">
              <w:rPr>
                <w:color w:val="auto"/>
                <w:sz w:val="22"/>
                <w:szCs w:val="22"/>
              </w:rPr>
              <w:fldChar w:fldCharType="separate"/>
            </w:r>
            <w:r w:rsidR="009E2C86">
              <w:rPr>
                <w:noProof/>
                <w:color w:val="auto"/>
                <w:sz w:val="22"/>
                <w:szCs w:val="22"/>
              </w:rPr>
              <w:t>35</w:t>
            </w:r>
            <w:r w:rsidR="006B40AE" w:rsidRPr="007777E2">
              <w:rPr>
                <w:color w:val="auto"/>
                <w:sz w:val="22"/>
                <w:szCs w:val="22"/>
              </w:rPr>
              <w:fldChar w:fldCharType="end"/>
            </w:r>
            <w:bookmarkEnd w:id="204"/>
            <w:r w:rsidRPr="007777E2">
              <w:rPr>
                <w:color w:val="auto"/>
                <w:sz w:val="22"/>
                <w:szCs w:val="22"/>
              </w:rPr>
              <w:t>. Financial Performance of Belarusian Railways 2005-2008 (percentage)</w:t>
            </w:r>
            <w:r w:rsidRPr="007777E2">
              <w:rPr>
                <w:noProof/>
              </w:rPr>
              <w:drawing>
                <wp:inline distT="0" distB="0" distL="0" distR="0">
                  <wp:extent cx="2962275" cy="2457450"/>
                  <wp:effectExtent l="0" t="0" r="0" b="0"/>
                  <wp:docPr id="63"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bookmarkEnd w:id="205"/>
          </w:p>
          <w:p w:rsidR="00CC1F17" w:rsidRPr="007777E2" w:rsidRDefault="00CC1F17" w:rsidP="00DE274C">
            <w:pPr>
              <w:tabs>
                <w:tab w:val="num" w:pos="0"/>
              </w:tabs>
              <w:autoSpaceDE w:val="0"/>
              <w:autoSpaceDN w:val="0"/>
              <w:adjustRightInd w:val="0"/>
              <w:spacing w:after="120"/>
              <w:jc w:val="both"/>
            </w:pPr>
            <w:r w:rsidRPr="007777E2">
              <w:rPr>
                <w:sz w:val="18"/>
                <w:szCs w:val="18"/>
              </w:rPr>
              <w:t>Source: Data reported by Belarusian Railway.</w:t>
            </w:r>
          </w:p>
        </w:tc>
        <w:tc>
          <w:tcPr>
            <w:tcW w:w="4626" w:type="dxa"/>
          </w:tcPr>
          <w:p w:rsidR="00CC1F17" w:rsidRPr="007777E2" w:rsidRDefault="00CC1F17" w:rsidP="00DE274C">
            <w:pPr>
              <w:pStyle w:val="Caption"/>
              <w:tabs>
                <w:tab w:val="num" w:pos="0"/>
              </w:tabs>
              <w:rPr>
                <w:color w:val="auto"/>
                <w:sz w:val="22"/>
                <w:szCs w:val="22"/>
              </w:rPr>
            </w:pPr>
            <w:bookmarkStart w:id="206" w:name="_Ref258505557"/>
            <w:bookmarkStart w:id="207" w:name="_Toc264226793"/>
            <w:r w:rsidRPr="007777E2">
              <w:rPr>
                <w:color w:val="auto"/>
                <w:sz w:val="22"/>
                <w:szCs w:val="22"/>
              </w:rPr>
              <w:t xml:space="preserve">Figure </w:t>
            </w:r>
            <w:r w:rsidR="006B40AE" w:rsidRPr="007777E2">
              <w:rPr>
                <w:color w:val="auto"/>
                <w:sz w:val="22"/>
                <w:szCs w:val="22"/>
              </w:rPr>
              <w:fldChar w:fldCharType="begin"/>
            </w:r>
            <w:r w:rsidRPr="007777E2">
              <w:rPr>
                <w:color w:val="auto"/>
                <w:sz w:val="22"/>
                <w:szCs w:val="22"/>
              </w:rPr>
              <w:instrText xml:space="preserve"> SEQ Figure \* ARABIC </w:instrText>
            </w:r>
            <w:r w:rsidR="006B40AE" w:rsidRPr="007777E2">
              <w:rPr>
                <w:color w:val="auto"/>
                <w:sz w:val="22"/>
                <w:szCs w:val="22"/>
              </w:rPr>
              <w:fldChar w:fldCharType="separate"/>
            </w:r>
            <w:r w:rsidR="009E2C86">
              <w:rPr>
                <w:noProof/>
                <w:color w:val="auto"/>
                <w:sz w:val="22"/>
                <w:szCs w:val="22"/>
              </w:rPr>
              <w:t>36</w:t>
            </w:r>
            <w:r w:rsidR="006B40AE" w:rsidRPr="007777E2">
              <w:rPr>
                <w:color w:val="auto"/>
                <w:sz w:val="22"/>
                <w:szCs w:val="22"/>
              </w:rPr>
              <w:fldChar w:fldCharType="end"/>
            </w:r>
            <w:bookmarkEnd w:id="206"/>
            <w:r w:rsidRPr="007777E2">
              <w:rPr>
                <w:color w:val="auto"/>
                <w:sz w:val="22"/>
                <w:szCs w:val="22"/>
              </w:rPr>
              <w:t>. Traffic Unit Revenue for Domestic and International Freight Market 2005-2008 (in Euros)</w:t>
            </w:r>
            <w:bookmarkEnd w:id="207"/>
          </w:p>
          <w:p w:rsidR="00CC1F17" w:rsidRPr="007777E2" w:rsidRDefault="00CC1F17" w:rsidP="00DE274C">
            <w:pPr>
              <w:tabs>
                <w:tab w:val="num" w:pos="0"/>
              </w:tabs>
            </w:pPr>
            <w:r w:rsidRPr="007777E2">
              <w:rPr>
                <w:noProof/>
              </w:rPr>
              <w:drawing>
                <wp:inline distT="0" distB="0" distL="0" distR="0">
                  <wp:extent cx="2800350" cy="2085975"/>
                  <wp:effectExtent l="0" t="0" r="0" b="0"/>
                  <wp:docPr id="64"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CC1F17" w:rsidRPr="007777E2" w:rsidRDefault="00CC1F17" w:rsidP="00DE274C">
            <w:pPr>
              <w:tabs>
                <w:tab w:val="num" w:pos="0"/>
              </w:tabs>
              <w:rPr>
                <w:sz w:val="18"/>
                <w:szCs w:val="18"/>
              </w:rPr>
            </w:pPr>
          </w:p>
          <w:p w:rsidR="00CC1F17" w:rsidRPr="007777E2" w:rsidRDefault="00CC1F17" w:rsidP="00DE274C">
            <w:pPr>
              <w:tabs>
                <w:tab w:val="num" w:pos="0"/>
              </w:tabs>
            </w:pPr>
            <w:r w:rsidRPr="007777E2">
              <w:rPr>
                <w:sz w:val="18"/>
                <w:szCs w:val="18"/>
              </w:rPr>
              <w:t>Source: Data reported by Belarusian Railway.</w:t>
            </w:r>
          </w:p>
        </w:tc>
      </w:tr>
    </w:tbl>
    <w:p w:rsidR="00CC1F17" w:rsidRPr="001F55E1" w:rsidRDefault="00CC1F17" w:rsidP="00DE274C">
      <w:pPr>
        <w:tabs>
          <w:tab w:val="num" w:pos="0"/>
        </w:tabs>
        <w:autoSpaceDE w:val="0"/>
        <w:autoSpaceDN w:val="0"/>
        <w:adjustRightInd w:val="0"/>
        <w:spacing w:after="120"/>
        <w:jc w:val="both"/>
      </w:pPr>
    </w:p>
    <w:p w:rsidR="00CC1F17" w:rsidRPr="00AC422F" w:rsidRDefault="00CC1F17" w:rsidP="00AC422F">
      <w:pPr>
        <w:pStyle w:val="Style3"/>
        <w:rPr>
          <w:b w:val="0"/>
        </w:rPr>
      </w:pPr>
      <w:r w:rsidRPr="00AC422F">
        <w:t xml:space="preserve">The various types of transport services performed by Belarusian Railways are not equally profitable. </w:t>
      </w:r>
      <w:r w:rsidRPr="00AC422F">
        <w:rPr>
          <w:b w:val="0"/>
        </w:rPr>
        <w:t xml:space="preserve">Extending the assessment of financial sustainability to each major line of business reveals important elements to be considered for the future development of the company. </w:t>
      </w:r>
      <w:r w:rsidRPr="00AC422F">
        <w:rPr>
          <w:b w:val="0"/>
        </w:rPr>
        <w:lastRenderedPageBreak/>
        <w:t>The structure of services operated by Belarusian Railways includes freight transport</w:t>
      </w:r>
      <w:r w:rsidR="0094591E" w:rsidRPr="00AC422F">
        <w:rPr>
          <w:b w:val="0"/>
        </w:rPr>
        <w:t xml:space="preserve"> (</w:t>
      </w:r>
      <w:r w:rsidRPr="00AC422F">
        <w:rPr>
          <w:b w:val="0"/>
        </w:rPr>
        <w:t xml:space="preserve">transit, import, export, and </w:t>
      </w:r>
      <w:r w:rsidR="00286CEE" w:rsidRPr="00AC422F">
        <w:rPr>
          <w:b w:val="0"/>
        </w:rPr>
        <w:t>domestic</w:t>
      </w:r>
      <w:r w:rsidR="0094591E" w:rsidRPr="00AC422F">
        <w:rPr>
          <w:b w:val="0"/>
        </w:rPr>
        <w:t xml:space="preserve">) </w:t>
      </w:r>
      <w:r w:rsidRPr="00AC422F">
        <w:rPr>
          <w:b w:val="0"/>
        </w:rPr>
        <w:t xml:space="preserve">and passenger transport services. For domestic services, the Government establishes tariffs while international conventions </w:t>
      </w:r>
      <w:r w:rsidR="00286CEE" w:rsidRPr="00AC422F">
        <w:rPr>
          <w:b w:val="0"/>
        </w:rPr>
        <w:t xml:space="preserve">set </w:t>
      </w:r>
      <w:r w:rsidRPr="00AC422F">
        <w:rPr>
          <w:b w:val="0"/>
        </w:rPr>
        <w:t xml:space="preserve">tariffs for international traffic. A major issue observed is that domestic freight and passenger transport services generate losses and receive cross-subsidies from international freight service. </w:t>
      </w:r>
      <w:fldSimple w:instr=" REF _Ref262481794 \h  \* MERGEFORMAT ">
        <w:r w:rsidR="00E85C5F" w:rsidRPr="00E85C5F">
          <w:rPr>
            <w:b w:val="0"/>
          </w:rPr>
          <w:t xml:space="preserve">Figure </w:t>
        </w:r>
        <w:r w:rsidR="00E85C5F" w:rsidRPr="00E85C5F">
          <w:rPr>
            <w:b w:val="0"/>
            <w:noProof/>
          </w:rPr>
          <w:t>37</w:t>
        </w:r>
      </w:fldSimple>
      <w:r w:rsidR="00402159" w:rsidRPr="00AC422F">
        <w:rPr>
          <w:b w:val="0"/>
        </w:rPr>
        <w:t xml:space="preserve"> illustrates that about 57 percent of the transport capacity of the railway network in Belarus is used by passenger trains, which generate only about 18 percent of the revenues. On the contrary, freight trains use only 43 percent of the transport capacity of the network, but generate 82 percent of revenues of Belarusian Railways. </w:t>
      </w:r>
    </w:p>
    <w:tbl>
      <w:tblPr>
        <w:tblStyle w:val="TableGrid"/>
        <w:tblW w:w="0" w:type="auto"/>
        <w:jc w:val="center"/>
        <w:tblLook w:val="04A0"/>
      </w:tblPr>
      <w:tblGrid>
        <w:gridCol w:w="4790"/>
      </w:tblGrid>
      <w:tr w:rsidR="00402159" w:rsidTr="000D66B6">
        <w:trPr>
          <w:cantSplit/>
          <w:jc w:val="center"/>
        </w:trPr>
        <w:tc>
          <w:tcPr>
            <w:tcW w:w="4788" w:type="dxa"/>
          </w:tcPr>
          <w:p w:rsidR="00402159" w:rsidRPr="00402159" w:rsidRDefault="00402159" w:rsidP="00DE274C">
            <w:pPr>
              <w:pStyle w:val="Caption"/>
              <w:tabs>
                <w:tab w:val="num" w:pos="0"/>
              </w:tabs>
              <w:rPr>
                <w:color w:val="auto"/>
                <w:sz w:val="22"/>
                <w:szCs w:val="22"/>
              </w:rPr>
            </w:pPr>
            <w:bookmarkStart w:id="208" w:name="_Ref262481794"/>
            <w:bookmarkStart w:id="209" w:name="_Toc264226794"/>
            <w:r w:rsidRPr="00402159">
              <w:rPr>
                <w:color w:val="auto"/>
                <w:sz w:val="22"/>
                <w:szCs w:val="22"/>
              </w:rPr>
              <w:t xml:space="preserve">Figure </w:t>
            </w:r>
            <w:r w:rsidR="006B40AE" w:rsidRPr="00402159">
              <w:rPr>
                <w:color w:val="auto"/>
                <w:sz w:val="22"/>
                <w:szCs w:val="22"/>
              </w:rPr>
              <w:fldChar w:fldCharType="begin"/>
            </w:r>
            <w:r w:rsidRPr="00402159">
              <w:rPr>
                <w:color w:val="auto"/>
                <w:sz w:val="22"/>
                <w:szCs w:val="22"/>
              </w:rPr>
              <w:instrText xml:space="preserve"> SEQ Figure \* ARABIC </w:instrText>
            </w:r>
            <w:r w:rsidR="006B40AE" w:rsidRPr="00402159">
              <w:rPr>
                <w:color w:val="auto"/>
                <w:sz w:val="22"/>
                <w:szCs w:val="22"/>
              </w:rPr>
              <w:fldChar w:fldCharType="separate"/>
            </w:r>
            <w:r w:rsidR="009E2C86">
              <w:rPr>
                <w:noProof/>
                <w:color w:val="auto"/>
                <w:sz w:val="22"/>
                <w:szCs w:val="22"/>
              </w:rPr>
              <w:t>37</w:t>
            </w:r>
            <w:r w:rsidR="006B40AE" w:rsidRPr="00402159">
              <w:rPr>
                <w:color w:val="auto"/>
                <w:sz w:val="22"/>
                <w:szCs w:val="22"/>
              </w:rPr>
              <w:fldChar w:fldCharType="end"/>
            </w:r>
            <w:bookmarkEnd w:id="208"/>
            <w:r w:rsidRPr="00402159">
              <w:rPr>
                <w:color w:val="auto"/>
                <w:sz w:val="22"/>
                <w:szCs w:val="22"/>
              </w:rPr>
              <w:t>. Structure of Traffic and Revenues at Belarusian Railway (2008)</w:t>
            </w:r>
            <w:bookmarkEnd w:id="209"/>
          </w:p>
          <w:p w:rsidR="00402159" w:rsidRPr="00402159" w:rsidRDefault="00402159" w:rsidP="00DE274C">
            <w:pPr>
              <w:tabs>
                <w:tab w:val="num" w:pos="0"/>
              </w:tabs>
            </w:pPr>
            <w:r w:rsidRPr="00402159">
              <w:rPr>
                <w:noProof/>
              </w:rPr>
              <w:drawing>
                <wp:inline distT="0" distB="0" distL="0" distR="0">
                  <wp:extent cx="2904134" cy="1858061"/>
                  <wp:effectExtent l="0" t="0" r="0" b="0"/>
                  <wp:docPr id="2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402159" w:rsidRDefault="00402159" w:rsidP="00DE274C">
            <w:pPr>
              <w:keepNext/>
              <w:tabs>
                <w:tab w:val="num" w:pos="0"/>
              </w:tabs>
              <w:autoSpaceDE w:val="0"/>
              <w:autoSpaceDN w:val="0"/>
              <w:adjustRightInd w:val="0"/>
              <w:spacing w:after="120"/>
              <w:jc w:val="both"/>
            </w:pPr>
            <w:r w:rsidRPr="00F24397">
              <w:rPr>
                <w:sz w:val="16"/>
                <w:szCs w:val="16"/>
              </w:rPr>
              <w:t>Source: Data reported by Belarusian Railway.</w:t>
            </w:r>
          </w:p>
        </w:tc>
      </w:tr>
    </w:tbl>
    <w:p w:rsidR="000D66B6" w:rsidRPr="000D66B6" w:rsidRDefault="000D66B6" w:rsidP="00A63E59">
      <w:pPr>
        <w:pStyle w:val="Style2"/>
        <w:numPr>
          <w:ilvl w:val="0"/>
          <w:numId w:val="0"/>
        </w:numPr>
      </w:pPr>
    </w:p>
    <w:p w:rsidR="00CC1F17" w:rsidRPr="00AC422F" w:rsidRDefault="00CC1F17" w:rsidP="00AC422F">
      <w:pPr>
        <w:pStyle w:val="Style3"/>
        <w:rPr>
          <w:b w:val="0"/>
        </w:rPr>
      </w:pPr>
      <w:r w:rsidRPr="00CC1F17">
        <w:t xml:space="preserve">The international transport services cross-subsidize domestic transport. </w:t>
      </w:r>
      <w:fldSimple w:instr=" REF _Ref258505557 \h  \* MERGEFORMAT ">
        <w:r w:rsidR="00E85C5F" w:rsidRPr="00E85C5F">
          <w:rPr>
            <w:b w:val="0"/>
          </w:rPr>
          <w:t xml:space="preserve">Figure </w:t>
        </w:r>
        <w:r w:rsidR="00E85C5F" w:rsidRPr="00E85C5F">
          <w:rPr>
            <w:b w:val="0"/>
            <w:noProof/>
          </w:rPr>
          <w:t>36</w:t>
        </w:r>
      </w:fldSimple>
      <w:r w:rsidRPr="00AC422F">
        <w:rPr>
          <w:b w:val="0"/>
        </w:rPr>
        <w:t xml:space="preserve"> presents the average unit revenue for international and domestic freight traffic during 2005-2008. </w:t>
      </w:r>
      <w:r w:rsidR="00FD6765" w:rsidRPr="00AC422F">
        <w:rPr>
          <w:b w:val="0"/>
        </w:rPr>
        <w:t>T</w:t>
      </w:r>
      <w:r w:rsidRPr="00AC422F">
        <w:rPr>
          <w:b w:val="0"/>
        </w:rPr>
        <w:t xml:space="preserve">he data </w:t>
      </w:r>
      <w:r w:rsidR="00FD6765" w:rsidRPr="00AC422F">
        <w:rPr>
          <w:b w:val="0"/>
        </w:rPr>
        <w:t xml:space="preserve">presented </w:t>
      </w:r>
      <w:r w:rsidRPr="00AC422F">
        <w:rPr>
          <w:b w:val="0"/>
        </w:rPr>
        <w:t xml:space="preserve">in </w:t>
      </w:r>
      <w:fldSimple w:instr=" REF _Ref258505557 \h  \* MERGEFORMAT ">
        <w:r w:rsidR="00E85C5F" w:rsidRPr="00E85C5F">
          <w:rPr>
            <w:b w:val="0"/>
          </w:rPr>
          <w:t xml:space="preserve">Figure </w:t>
        </w:r>
        <w:r w:rsidR="00E85C5F" w:rsidRPr="00E85C5F">
          <w:rPr>
            <w:b w:val="0"/>
            <w:noProof/>
          </w:rPr>
          <w:t>36</w:t>
        </w:r>
      </w:fldSimple>
      <w:r w:rsidR="00FD6765" w:rsidRPr="00AC422F">
        <w:rPr>
          <w:b w:val="0"/>
        </w:rPr>
        <w:t xml:space="preserve"> shows that</w:t>
      </w:r>
      <w:r w:rsidRPr="00AC422F">
        <w:rPr>
          <w:b w:val="0"/>
        </w:rPr>
        <w:t xml:space="preserve"> one traffic unit (measured in ton/km) operated on the domestic market generates an average revenue of 0.011 Eurocents (per ton-km), and one traffic unit operated on the international market generated significantly higher revenue</w:t>
      </w:r>
      <w:r w:rsidR="00FD6765" w:rsidRPr="00AC422F">
        <w:rPr>
          <w:b w:val="0"/>
        </w:rPr>
        <w:t>,</w:t>
      </w:r>
      <w:r w:rsidRPr="00AC422F">
        <w:rPr>
          <w:b w:val="0"/>
        </w:rPr>
        <w:t xml:space="preserve"> </w:t>
      </w:r>
      <w:r w:rsidR="00FD6765" w:rsidRPr="00AC422F">
        <w:rPr>
          <w:b w:val="0"/>
        </w:rPr>
        <w:t xml:space="preserve">between </w:t>
      </w:r>
      <w:r w:rsidRPr="00AC422F">
        <w:rPr>
          <w:b w:val="0"/>
        </w:rPr>
        <w:t xml:space="preserve">0.018 Eurocents in 2005 </w:t>
      </w:r>
      <w:r w:rsidR="00FD6765" w:rsidRPr="00AC422F">
        <w:rPr>
          <w:b w:val="0"/>
        </w:rPr>
        <w:t xml:space="preserve">and </w:t>
      </w:r>
      <w:r w:rsidRPr="00AC422F">
        <w:rPr>
          <w:b w:val="0"/>
        </w:rPr>
        <w:t xml:space="preserve">0.025 Eurocents in 2008. If the </w:t>
      </w:r>
      <w:r w:rsidR="00FD6765" w:rsidRPr="00AC422F">
        <w:rPr>
          <w:b w:val="0"/>
        </w:rPr>
        <w:t xml:space="preserve">entire </w:t>
      </w:r>
      <w:r w:rsidRPr="00AC422F">
        <w:rPr>
          <w:b w:val="0"/>
        </w:rPr>
        <w:t>freight traffic operated by Belarusian Railways generated revenue at only 0.011 Eurocents per transported ton-km</w:t>
      </w:r>
      <w:r w:rsidR="005A21CD">
        <w:rPr>
          <w:b w:val="0"/>
        </w:rPr>
        <w:t>,</w:t>
      </w:r>
      <w:r w:rsidRPr="00AC422F">
        <w:rPr>
          <w:rStyle w:val="FootnoteReference"/>
          <w:b w:val="0"/>
          <w:bCs/>
        </w:rPr>
        <w:footnoteReference w:id="39"/>
      </w:r>
      <w:r w:rsidRPr="00AC422F">
        <w:rPr>
          <w:b w:val="0"/>
        </w:rPr>
        <w:t xml:space="preserve"> the total annual revenue accumulated would not cover the operating costs of the railway. This proves that Belarusian Railways cross-subsidizes domestic </w:t>
      </w:r>
      <w:r w:rsidR="00FD6765" w:rsidRPr="00AC422F">
        <w:rPr>
          <w:b w:val="0"/>
        </w:rPr>
        <w:t xml:space="preserve">rail </w:t>
      </w:r>
      <w:r w:rsidRPr="00AC422F">
        <w:rPr>
          <w:b w:val="0"/>
        </w:rPr>
        <w:t xml:space="preserve">traffic with </w:t>
      </w:r>
      <w:r w:rsidR="00FD6765" w:rsidRPr="00AC422F">
        <w:rPr>
          <w:b w:val="0"/>
        </w:rPr>
        <w:t xml:space="preserve">the revenues from </w:t>
      </w:r>
      <w:r w:rsidRPr="00AC422F">
        <w:rPr>
          <w:b w:val="0"/>
        </w:rPr>
        <w:t xml:space="preserve">international </w:t>
      </w:r>
      <w:r w:rsidR="00FD6765" w:rsidRPr="00AC422F">
        <w:rPr>
          <w:b w:val="0"/>
        </w:rPr>
        <w:t>traffic</w:t>
      </w:r>
      <w:r w:rsidRPr="00AC422F">
        <w:rPr>
          <w:b w:val="0"/>
        </w:rPr>
        <w:t xml:space="preserve">. This makes the railway very dependent on </w:t>
      </w:r>
      <w:r w:rsidR="00FD6765" w:rsidRPr="00AC422F">
        <w:rPr>
          <w:b w:val="0"/>
        </w:rPr>
        <w:t xml:space="preserve">an evolving international freight transport market which is an </w:t>
      </w:r>
      <w:r w:rsidRPr="00AC422F">
        <w:rPr>
          <w:b w:val="0"/>
        </w:rPr>
        <w:t>element</w:t>
      </w:r>
      <w:r w:rsidR="00FD6765" w:rsidRPr="00AC422F">
        <w:rPr>
          <w:b w:val="0"/>
        </w:rPr>
        <w:t xml:space="preserve"> </w:t>
      </w:r>
      <w:r w:rsidRPr="00AC422F">
        <w:rPr>
          <w:b w:val="0"/>
        </w:rPr>
        <w:t>beyond its control</w:t>
      </w:r>
      <w:r w:rsidR="00FD6765" w:rsidRPr="00AC422F">
        <w:rPr>
          <w:b w:val="0"/>
        </w:rPr>
        <w:t xml:space="preserve">. </w:t>
      </w:r>
      <w:r w:rsidRPr="00AC422F">
        <w:rPr>
          <w:b w:val="0"/>
        </w:rPr>
        <w:t>Any serious distortion of the international freight transportation market could seriously affect Belarusian Railways</w:t>
      </w:r>
      <w:r w:rsidR="00FD6765" w:rsidRPr="00AC422F">
        <w:rPr>
          <w:b w:val="0"/>
        </w:rPr>
        <w:t xml:space="preserve">. </w:t>
      </w:r>
      <w:r w:rsidRPr="00AC422F">
        <w:rPr>
          <w:b w:val="0"/>
        </w:rPr>
        <w:t xml:space="preserve">The </w:t>
      </w:r>
      <w:r w:rsidR="00FD6765" w:rsidRPr="00AC422F">
        <w:rPr>
          <w:b w:val="0"/>
        </w:rPr>
        <w:t xml:space="preserve">recent </w:t>
      </w:r>
      <w:r w:rsidRPr="00AC422F">
        <w:rPr>
          <w:b w:val="0"/>
        </w:rPr>
        <w:t>global crisis affecting international freight transport volumes is a</w:t>
      </w:r>
      <w:r w:rsidR="00FD6765" w:rsidRPr="00AC422F">
        <w:rPr>
          <w:b w:val="0"/>
        </w:rPr>
        <w:t xml:space="preserve"> demonstration </w:t>
      </w:r>
      <w:r w:rsidRPr="00AC422F">
        <w:rPr>
          <w:b w:val="0"/>
        </w:rPr>
        <w:t xml:space="preserve">of the railway’s fragility </w:t>
      </w:r>
      <w:r w:rsidR="00FD6765" w:rsidRPr="00AC422F">
        <w:rPr>
          <w:b w:val="0"/>
        </w:rPr>
        <w:t xml:space="preserve">in the face of declining freight volumes. </w:t>
      </w:r>
      <w:r w:rsidRPr="00AC422F">
        <w:rPr>
          <w:b w:val="0"/>
        </w:rPr>
        <w:t xml:space="preserve"> </w:t>
      </w:r>
    </w:p>
    <w:p w:rsidR="00F24397" w:rsidRPr="00F24397" w:rsidRDefault="00F24397" w:rsidP="00A52D36">
      <w:pPr>
        <w:pStyle w:val="Caption"/>
        <w:keepNext/>
        <w:tabs>
          <w:tab w:val="num" w:pos="0"/>
        </w:tabs>
        <w:jc w:val="center"/>
        <w:rPr>
          <w:color w:val="auto"/>
          <w:sz w:val="22"/>
          <w:szCs w:val="22"/>
        </w:rPr>
      </w:pPr>
      <w:bookmarkStart w:id="210" w:name="_Ref258504808"/>
      <w:bookmarkStart w:id="211" w:name="_Toc264227144"/>
      <w:proofErr w:type="gramStart"/>
      <w:r w:rsidRPr="00F24397">
        <w:rPr>
          <w:color w:val="auto"/>
          <w:sz w:val="22"/>
          <w:szCs w:val="22"/>
        </w:rPr>
        <w:lastRenderedPageBreak/>
        <w:t xml:space="preserve">Table </w:t>
      </w:r>
      <w:r w:rsidR="006B40AE" w:rsidRPr="00F24397">
        <w:rPr>
          <w:color w:val="auto"/>
          <w:sz w:val="22"/>
          <w:szCs w:val="22"/>
        </w:rPr>
        <w:fldChar w:fldCharType="begin"/>
      </w:r>
      <w:r w:rsidRPr="00F24397">
        <w:rPr>
          <w:color w:val="auto"/>
          <w:sz w:val="22"/>
          <w:szCs w:val="22"/>
        </w:rPr>
        <w:instrText xml:space="preserve"> SEQ Table \* ARABIC </w:instrText>
      </w:r>
      <w:r w:rsidR="006B40AE" w:rsidRPr="00F24397">
        <w:rPr>
          <w:color w:val="auto"/>
          <w:sz w:val="22"/>
          <w:szCs w:val="22"/>
        </w:rPr>
        <w:fldChar w:fldCharType="separate"/>
      </w:r>
      <w:r w:rsidR="009E2C86">
        <w:rPr>
          <w:noProof/>
          <w:color w:val="auto"/>
          <w:sz w:val="22"/>
          <w:szCs w:val="22"/>
        </w:rPr>
        <w:t>17</w:t>
      </w:r>
      <w:r w:rsidR="006B40AE" w:rsidRPr="00F24397">
        <w:rPr>
          <w:color w:val="auto"/>
          <w:sz w:val="22"/>
          <w:szCs w:val="22"/>
        </w:rPr>
        <w:fldChar w:fldCharType="end"/>
      </w:r>
      <w:bookmarkEnd w:id="210"/>
      <w:r w:rsidRPr="00F24397">
        <w:rPr>
          <w:color w:val="auto"/>
          <w:sz w:val="22"/>
          <w:szCs w:val="22"/>
        </w:rPr>
        <w:t>.</w:t>
      </w:r>
      <w:proofErr w:type="gramEnd"/>
      <w:r w:rsidRPr="00F24397">
        <w:rPr>
          <w:color w:val="auto"/>
          <w:sz w:val="22"/>
          <w:szCs w:val="22"/>
        </w:rPr>
        <w:t xml:space="preserve"> Evolution of Operational and Financial Performance of Operating Freight Services</w:t>
      </w:r>
      <w:r w:rsidR="00B26D5A">
        <w:rPr>
          <w:color w:val="auto"/>
          <w:sz w:val="22"/>
          <w:szCs w:val="22"/>
        </w:rPr>
        <w:t xml:space="preserve"> 2005-2008</w:t>
      </w:r>
      <w:bookmarkEnd w:id="211"/>
      <w:r w:rsidR="00882955" w:rsidRPr="00EE5173">
        <w:rPr>
          <w:rStyle w:val="FootnoteReference"/>
          <w:b w:val="0"/>
          <w:color w:val="auto"/>
        </w:rPr>
        <w:footnoteReference w:id="40"/>
      </w:r>
    </w:p>
    <w:tbl>
      <w:tblPr>
        <w:tblW w:w="9122" w:type="dxa"/>
        <w:jc w:val="center"/>
        <w:tblBorders>
          <w:top w:val="single" w:sz="8" w:space="0" w:color="auto"/>
          <w:bottom w:val="single" w:sz="8" w:space="0" w:color="auto"/>
          <w:insideH w:val="single" w:sz="8" w:space="0" w:color="auto"/>
        </w:tblBorders>
        <w:tblLook w:val="04A0"/>
      </w:tblPr>
      <w:tblGrid>
        <w:gridCol w:w="1725"/>
        <w:gridCol w:w="2437"/>
        <w:gridCol w:w="1253"/>
        <w:gridCol w:w="1211"/>
        <w:gridCol w:w="1260"/>
        <w:gridCol w:w="1236"/>
      </w:tblGrid>
      <w:tr w:rsidR="00F24397" w:rsidRPr="00F24397" w:rsidTr="00A52D36">
        <w:trPr>
          <w:cantSplit/>
          <w:trHeight w:val="300"/>
          <w:jc w:val="center"/>
        </w:trPr>
        <w:tc>
          <w:tcPr>
            <w:tcW w:w="1725" w:type="dxa"/>
            <w:shd w:val="clear" w:color="auto" w:fill="auto"/>
            <w:vAlign w:val="center"/>
            <w:hideMark/>
          </w:tcPr>
          <w:p w:rsidR="00F24397" w:rsidRPr="00A52D36" w:rsidRDefault="00F24397" w:rsidP="00DE274C">
            <w:pPr>
              <w:tabs>
                <w:tab w:val="num" w:pos="0"/>
              </w:tabs>
              <w:rPr>
                <w:rFonts w:asciiTheme="minorHAnsi" w:hAnsiTheme="minorHAnsi"/>
                <w:sz w:val="18"/>
                <w:szCs w:val="16"/>
              </w:rPr>
            </w:pPr>
          </w:p>
        </w:tc>
        <w:tc>
          <w:tcPr>
            <w:tcW w:w="2437" w:type="dxa"/>
            <w:shd w:val="clear" w:color="auto" w:fill="auto"/>
            <w:noWrap/>
            <w:vAlign w:val="center"/>
            <w:hideMark/>
          </w:tcPr>
          <w:p w:rsidR="00F24397" w:rsidRPr="00A52D36" w:rsidRDefault="00F24397" w:rsidP="00DE274C">
            <w:pPr>
              <w:tabs>
                <w:tab w:val="num" w:pos="0"/>
              </w:tabs>
              <w:rPr>
                <w:rFonts w:asciiTheme="minorHAnsi" w:hAnsiTheme="minorHAnsi"/>
                <w:sz w:val="18"/>
                <w:szCs w:val="16"/>
              </w:rPr>
            </w:pPr>
          </w:p>
        </w:tc>
        <w:tc>
          <w:tcPr>
            <w:tcW w:w="1253" w:type="dxa"/>
            <w:shd w:val="clear" w:color="auto" w:fill="auto"/>
            <w:noWrap/>
            <w:vAlign w:val="center"/>
            <w:hideMark/>
          </w:tcPr>
          <w:p w:rsidR="00F24397" w:rsidRPr="00A52D36" w:rsidRDefault="00F24397" w:rsidP="00DE274C">
            <w:pPr>
              <w:tabs>
                <w:tab w:val="num" w:pos="0"/>
              </w:tabs>
              <w:jc w:val="right"/>
              <w:rPr>
                <w:rFonts w:asciiTheme="minorHAnsi" w:hAnsiTheme="minorHAnsi"/>
                <w:b/>
                <w:sz w:val="18"/>
                <w:szCs w:val="16"/>
              </w:rPr>
            </w:pPr>
            <w:r w:rsidRPr="00A52D36">
              <w:rPr>
                <w:rFonts w:asciiTheme="minorHAnsi" w:hAnsiTheme="minorHAnsi"/>
                <w:b/>
                <w:sz w:val="18"/>
                <w:szCs w:val="16"/>
              </w:rPr>
              <w:t>2005</w:t>
            </w:r>
          </w:p>
        </w:tc>
        <w:tc>
          <w:tcPr>
            <w:tcW w:w="1211" w:type="dxa"/>
            <w:shd w:val="clear" w:color="auto" w:fill="auto"/>
            <w:noWrap/>
            <w:vAlign w:val="center"/>
            <w:hideMark/>
          </w:tcPr>
          <w:p w:rsidR="00F24397" w:rsidRPr="00A52D36" w:rsidRDefault="00F24397" w:rsidP="00DE274C">
            <w:pPr>
              <w:tabs>
                <w:tab w:val="num" w:pos="0"/>
              </w:tabs>
              <w:jc w:val="right"/>
              <w:rPr>
                <w:rFonts w:asciiTheme="minorHAnsi" w:hAnsiTheme="minorHAnsi"/>
                <w:b/>
                <w:sz w:val="18"/>
                <w:szCs w:val="16"/>
              </w:rPr>
            </w:pPr>
            <w:r w:rsidRPr="00A52D36">
              <w:rPr>
                <w:rFonts w:asciiTheme="minorHAnsi" w:hAnsiTheme="minorHAnsi"/>
                <w:b/>
                <w:sz w:val="18"/>
                <w:szCs w:val="16"/>
              </w:rPr>
              <w:t>2006</w:t>
            </w:r>
          </w:p>
        </w:tc>
        <w:tc>
          <w:tcPr>
            <w:tcW w:w="1260" w:type="dxa"/>
            <w:shd w:val="clear" w:color="auto" w:fill="auto"/>
            <w:noWrap/>
            <w:vAlign w:val="center"/>
            <w:hideMark/>
          </w:tcPr>
          <w:p w:rsidR="00F24397" w:rsidRPr="00A52D36" w:rsidRDefault="00F24397" w:rsidP="00DE274C">
            <w:pPr>
              <w:tabs>
                <w:tab w:val="num" w:pos="0"/>
              </w:tabs>
              <w:jc w:val="right"/>
              <w:rPr>
                <w:rFonts w:asciiTheme="minorHAnsi" w:hAnsiTheme="minorHAnsi"/>
                <w:b/>
                <w:sz w:val="18"/>
                <w:szCs w:val="16"/>
              </w:rPr>
            </w:pPr>
            <w:r w:rsidRPr="00A52D36">
              <w:rPr>
                <w:rFonts w:asciiTheme="minorHAnsi" w:hAnsiTheme="minorHAnsi"/>
                <w:b/>
                <w:sz w:val="18"/>
                <w:szCs w:val="16"/>
              </w:rPr>
              <w:t>2007</w:t>
            </w:r>
          </w:p>
        </w:tc>
        <w:tc>
          <w:tcPr>
            <w:tcW w:w="1236" w:type="dxa"/>
            <w:shd w:val="clear" w:color="auto" w:fill="auto"/>
            <w:noWrap/>
            <w:vAlign w:val="center"/>
            <w:hideMark/>
          </w:tcPr>
          <w:p w:rsidR="00F24397" w:rsidRPr="00A52D36" w:rsidRDefault="00F24397" w:rsidP="00DE274C">
            <w:pPr>
              <w:tabs>
                <w:tab w:val="num" w:pos="0"/>
              </w:tabs>
              <w:jc w:val="right"/>
              <w:rPr>
                <w:rFonts w:asciiTheme="minorHAnsi" w:hAnsiTheme="minorHAnsi"/>
                <w:b/>
                <w:sz w:val="18"/>
                <w:szCs w:val="16"/>
              </w:rPr>
            </w:pPr>
            <w:r w:rsidRPr="00A52D36">
              <w:rPr>
                <w:rFonts w:asciiTheme="minorHAnsi" w:hAnsiTheme="minorHAnsi"/>
                <w:b/>
                <w:sz w:val="18"/>
                <w:szCs w:val="16"/>
              </w:rPr>
              <w:t>2008</w:t>
            </w:r>
          </w:p>
        </w:tc>
      </w:tr>
      <w:tr w:rsidR="00F24397" w:rsidRPr="00F24397" w:rsidTr="00A52D36">
        <w:trPr>
          <w:cantSplit/>
          <w:trHeight w:val="214"/>
          <w:jc w:val="center"/>
        </w:trPr>
        <w:tc>
          <w:tcPr>
            <w:tcW w:w="1725" w:type="dxa"/>
            <w:vMerge w:val="restart"/>
            <w:shd w:val="clear" w:color="auto" w:fill="auto"/>
            <w:vAlign w:val="center"/>
            <w:hideMark/>
          </w:tcPr>
          <w:p w:rsidR="00F24397" w:rsidRPr="00A52D36" w:rsidRDefault="00F24397" w:rsidP="00DE274C">
            <w:pPr>
              <w:tabs>
                <w:tab w:val="num" w:pos="0"/>
              </w:tabs>
              <w:rPr>
                <w:rFonts w:asciiTheme="minorHAnsi" w:hAnsiTheme="minorHAnsi"/>
                <w:sz w:val="18"/>
                <w:szCs w:val="16"/>
              </w:rPr>
            </w:pPr>
            <w:r w:rsidRPr="00A52D36">
              <w:rPr>
                <w:rFonts w:asciiTheme="minorHAnsi" w:hAnsiTheme="minorHAnsi"/>
                <w:sz w:val="18"/>
                <w:szCs w:val="16"/>
              </w:rPr>
              <w:t>Locomotives (units)</w:t>
            </w:r>
          </w:p>
        </w:tc>
        <w:tc>
          <w:tcPr>
            <w:tcW w:w="2437" w:type="dxa"/>
            <w:shd w:val="clear" w:color="auto" w:fill="auto"/>
            <w:noWrap/>
            <w:vAlign w:val="center"/>
            <w:hideMark/>
          </w:tcPr>
          <w:p w:rsidR="00F24397" w:rsidRPr="00A52D36" w:rsidRDefault="00F24397" w:rsidP="00DE274C">
            <w:pPr>
              <w:tabs>
                <w:tab w:val="num" w:pos="0"/>
              </w:tabs>
              <w:rPr>
                <w:rFonts w:asciiTheme="minorHAnsi" w:hAnsiTheme="minorHAnsi"/>
                <w:sz w:val="18"/>
                <w:szCs w:val="16"/>
              </w:rPr>
            </w:pPr>
            <w:r w:rsidRPr="00A52D36">
              <w:rPr>
                <w:rFonts w:asciiTheme="minorHAnsi" w:hAnsiTheme="minorHAnsi"/>
                <w:sz w:val="18"/>
                <w:szCs w:val="16"/>
              </w:rPr>
              <w:t>Total number</w:t>
            </w:r>
          </w:p>
        </w:tc>
        <w:tc>
          <w:tcPr>
            <w:tcW w:w="1253" w:type="dxa"/>
            <w:shd w:val="clear" w:color="auto" w:fill="auto"/>
            <w:noWrap/>
            <w:vAlign w:val="center"/>
            <w:hideMark/>
          </w:tcPr>
          <w:p w:rsidR="00F24397" w:rsidRPr="00A52D36" w:rsidRDefault="00F24397" w:rsidP="00DE274C">
            <w:pPr>
              <w:tabs>
                <w:tab w:val="num" w:pos="0"/>
              </w:tabs>
              <w:jc w:val="right"/>
              <w:rPr>
                <w:rFonts w:asciiTheme="minorHAnsi" w:hAnsiTheme="minorHAnsi"/>
                <w:sz w:val="18"/>
                <w:szCs w:val="16"/>
              </w:rPr>
            </w:pPr>
            <w:r w:rsidRPr="00A52D36">
              <w:rPr>
                <w:rFonts w:asciiTheme="minorHAnsi" w:hAnsiTheme="minorHAnsi"/>
                <w:sz w:val="18"/>
                <w:szCs w:val="16"/>
              </w:rPr>
              <w:t>755</w:t>
            </w:r>
          </w:p>
        </w:tc>
        <w:tc>
          <w:tcPr>
            <w:tcW w:w="1211" w:type="dxa"/>
            <w:shd w:val="clear" w:color="auto" w:fill="auto"/>
            <w:noWrap/>
            <w:vAlign w:val="center"/>
            <w:hideMark/>
          </w:tcPr>
          <w:p w:rsidR="00F24397" w:rsidRPr="00A52D36" w:rsidRDefault="00F24397" w:rsidP="00DE274C">
            <w:pPr>
              <w:tabs>
                <w:tab w:val="num" w:pos="0"/>
              </w:tabs>
              <w:jc w:val="right"/>
              <w:rPr>
                <w:rFonts w:asciiTheme="minorHAnsi" w:hAnsiTheme="minorHAnsi"/>
                <w:sz w:val="18"/>
                <w:szCs w:val="16"/>
              </w:rPr>
            </w:pPr>
            <w:r w:rsidRPr="00A52D36">
              <w:rPr>
                <w:rFonts w:asciiTheme="minorHAnsi" w:hAnsiTheme="minorHAnsi"/>
                <w:sz w:val="18"/>
                <w:szCs w:val="16"/>
              </w:rPr>
              <w:t>748</w:t>
            </w:r>
          </w:p>
        </w:tc>
        <w:tc>
          <w:tcPr>
            <w:tcW w:w="1260" w:type="dxa"/>
            <w:shd w:val="clear" w:color="auto" w:fill="auto"/>
            <w:noWrap/>
            <w:vAlign w:val="center"/>
            <w:hideMark/>
          </w:tcPr>
          <w:p w:rsidR="00F24397" w:rsidRPr="00A52D36" w:rsidRDefault="00F24397" w:rsidP="00DE274C">
            <w:pPr>
              <w:tabs>
                <w:tab w:val="num" w:pos="0"/>
              </w:tabs>
              <w:jc w:val="right"/>
              <w:rPr>
                <w:rFonts w:asciiTheme="minorHAnsi" w:hAnsiTheme="minorHAnsi"/>
                <w:sz w:val="18"/>
                <w:szCs w:val="16"/>
              </w:rPr>
            </w:pPr>
            <w:r w:rsidRPr="00A52D36">
              <w:rPr>
                <w:rFonts w:asciiTheme="minorHAnsi" w:hAnsiTheme="minorHAnsi"/>
                <w:sz w:val="18"/>
                <w:szCs w:val="16"/>
              </w:rPr>
              <w:t>739</w:t>
            </w:r>
          </w:p>
        </w:tc>
        <w:tc>
          <w:tcPr>
            <w:tcW w:w="1236" w:type="dxa"/>
            <w:shd w:val="clear" w:color="auto" w:fill="auto"/>
            <w:noWrap/>
            <w:vAlign w:val="center"/>
            <w:hideMark/>
          </w:tcPr>
          <w:p w:rsidR="00F24397" w:rsidRPr="00A52D36" w:rsidRDefault="00F24397" w:rsidP="00DE274C">
            <w:pPr>
              <w:tabs>
                <w:tab w:val="num" w:pos="0"/>
              </w:tabs>
              <w:jc w:val="right"/>
              <w:rPr>
                <w:rFonts w:asciiTheme="minorHAnsi" w:hAnsiTheme="minorHAnsi"/>
                <w:sz w:val="18"/>
                <w:szCs w:val="16"/>
              </w:rPr>
            </w:pPr>
            <w:r w:rsidRPr="00A52D36">
              <w:rPr>
                <w:rFonts w:asciiTheme="minorHAnsi" w:hAnsiTheme="minorHAnsi"/>
                <w:sz w:val="18"/>
                <w:szCs w:val="16"/>
              </w:rPr>
              <w:t>731</w:t>
            </w:r>
          </w:p>
        </w:tc>
      </w:tr>
      <w:tr w:rsidR="00F24397" w:rsidRPr="00F24397" w:rsidTr="00A52D36">
        <w:trPr>
          <w:cantSplit/>
          <w:trHeight w:val="160"/>
          <w:jc w:val="center"/>
        </w:trPr>
        <w:tc>
          <w:tcPr>
            <w:tcW w:w="1725" w:type="dxa"/>
            <w:vMerge/>
            <w:vAlign w:val="center"/>
            <w:hideMark/>
          </w:tcPr>
          <w:p w:rsidR="00F24397" w:rsidRPr="00A52D36" w:rsidRDefault="00F24397" w:rsidP="00DE274C">
            <w:pPr>
              <w:tabs>
                <w:tab w:val="num" w:pos="0"/>
              </w:tabs>
              <w:rPr>
                <w:rFonts w:asciiTheme="minorHAnsi" w:hAnsiTheme="minorHAnsi"/>
                <w:sz w:val="18"/>
                <w:szCs w:val="16"/>
              </w:rPr>
            </w:pPr>
          </w:p>
        </w:tc>
        <w:tc>
          <w:tcPr>
            <w:tcW w:w="2437" w:type="dxa"/>
            <w:shd w:val="clear" w:color="auto" w:fill="auto"/>
            <w:noWrap/>
            <w:vAlign w:val="center"/>
            <w:hideMark/>
          </w:tcPr>
          <w:p w:rsidR="00F24397" w:rsidRPr="00A52D36" w:rsidRDefault="00F24397" w:rsidP="00DE274C">
            <w:pPr>
              <w:tabs>
                <w:tab w:val="num" w:pos="0"/>
              </w:tabs>
              <w:rPr>
                <w:rFonts w:asciiTheme="minorHAnsi" w:hAnsiTheme="minorHAnsi"/>
                <w:sz w:val="18"/>
                <w:szCs w:val="16"/>
              </w:rPr>
            </w:pPr>
            <w:r w:rsidRPr="00A52D36">
              <w:rPr>
                <w:rFonts w:asciiTheme="minorHAnsi" w:hAnsiTheme="minorHAnsi"/>
                <w:sz w:val="18"/>
                <w:szCs w:val="16"/>
              </w:rPr>
              <w:t>Operational fleet</w:t>
            </w:r>
          </w:p>
        </w:tc>
        <w:tc>
          <w:tcPr>
            <w:tcW w:w="1253" w:type="dxa"/>
            <w:shd w:val="clear" w:color="auto" w:fill="auto"/>
            <w:noWrap/>
            <w:vAlign w:val="center"/>
            <w:hideMark/>
          </w:tcPr>
          <w:p w:rsidR="00F24397" w:rsidRPr="00A52D36" w:rsidRDefault="00882955" w:rsidP="00DE274C">
            <w:pPr>
              <w:tabs>
                <w:tab w:val="num" w:pos="0"/>
              </w:tabs>
              <w:jc w:val="right"/>
              <w:rPr>
                <w:rFonts w:asciiTheme="minorHAnsi" w:hAnsiTheme="minorHAnsi"/>
                <w:sz w:val="18"/>
                <w:szCs w:val="16"/>
              </w:rPr>
            </w:pPr>
            <w:r w:rsidRPr="00A52D36">
              <w:rPr>
                <w:rFonts w:asciiTheme="minorHAnsi" w:hAnsiTheme="minorHAnsi"/>
                <w:sz w:val="18"/>
                <w:szCs w:val="16"/>
              </w:rPr>
              <w:t>491</w:t>
            </w:r>
          </w:p>
        </w:tc>
        <w:tc>
          <w:tcPr>
            <w:tcW w:w="1211" w:type="dxa"/>
            <w:shd w:val="clear" w:color="auto" w:fill="auto"/>
            <w:noWrap/>
            <w:vAlign w:val="center"/>
            <w:hideMark/>
          </w:tcPr>
          <w:p w:rsidR="00F24397" w:rsidRPr="00A52D36" w:rsidRDefault="00882955" w:rsidP="00DE274C">
            <w:pPr>
              <w:tabs>
                <w:tab w:val="num" w:pos="0"/>
              </w:tabs>
              <w:jc w:val="right"/>
              <w:rPr>
                <w:rFonts w:asciiTheme="minorHAnsi" w:hAnsiTheme="minorHAnsi"/>
                <w:sz w:val="18"/>
                <w:szCs w:val="16"/>
              </w:rPr>
            </w:pPr>
            <w:r w:rsidRPr="00A52D36">
              <w:rPr>
                <w:rFonts w:asciiTheme="minorHAnsi" w:hAnsiTheme="minorHAnsi"/>
                <w:sz w:val="18"/>
                <w:szCs w:val="16"/>
              </w:rPr>
              <w:t>527</w:t>
            </w:r>
          </w:p>
        </w:tc>
        <w:tc>
          <w:tcPr>
            <w:tcW w:w="1260" w:type="dxa"/>
            <w:shd w:val="clear" w:color="auto" w:fill="auto"/>
            <w:noWrap/>
            <w:vAlign w:val="center"/>
            <w:hideMark/>
          </w:tcPr>
          <w:p w:rsidR="00F24397" w:rsidRPr="00A52D36" w:rsidRDefault="00882955" w:rsidP="00DE274C">
            <w:pPr>
              <w:tabs>
                <w:tab w:val="num" w:pos="0"/>
              </w:tabs>
              <w:jc w:val="right"/>
              <w:rPr>
                <w:rFonts w:asciiTheme="minorHAnsi" w:hAnsiTheme="minorHAnsi"/>
                <w:sz w:val="18"/>
                <w:szCs w:val="16"/>
              </w:rPr>
            </w:pPr>
            <w:r w:rsidRPr="00A52D36">
              <w:rPr>
                <w:rFonts w:asciiTheme="minorHAnsi" w:hAnsiTheme="minorHAnsi"/>
                <w:sz w:val="18"/>
                <w:szCs w:val="16"/>
              </w:rPr>
              <w:t>537</w:t>
            </w:r>
          </w:p>
        </w:tc>
        <w:tc>
          <w:tcPr>
            <w:tcW w:w="1236" w:type="dxa"/>
            <w:shd w:val="clear" w:color="auto" w:fill="auto"/>
            <w:noWrap/>
            <w:vAlign w:val="center"/>
            <w:hideMark/>
          </w:tcPr>
          <w:p w:rsidR="00F24397" w:rsidRPr="00A52D36" w:rsidRDefault="00882955" w:rsidP="00DE274C">
            <w:pPr>
              <w:tabs>
                <w:tab w:val="num" w:pos="0"/>
              </w:tabs>
              <w:jc w:val="right"/>
              <w:rPr>
                <w:rFonts w:asciiTheme="minorHAnsi" w:hAnsiTheme="minorHAnsi"/>
                <w:sz w:val="18"/>
                <w:szCs w:val="16"/>
              </w:rPr>
            </w:pPr>
            <w:r w:rsidRPr="00A52D36">
              <w:rPr>
                <w:rFonts w:asciiTheme="minorHAnsi" w:hAnsiTheme="minorHAnsi"/>
                <w:sz w:val="18"/>
                <w:szCs w:val="16"/>
              </w:rPr>
              <w:t>556</w:t>
            </w:r>
          </w:p>
        </w:tc>
      </w:tr>
      <w:tr w:rsidR="00F24397" w:rsidRPr="00F24397" w:rsidTr="00A52D36">
        <w:trPr>
          <w:cantSplit/>
          <w:trHeight w:val="300"/>
          <w:jc w:val="center"/>
        </w:trPr>
        <w:tc>
          <w:tcPr>
            <w:tcW w:w="4162" w:type="dxa"/>
            <w:gridSpan w:val="2"/>
            <w:shd w:val="clear" w:color="auto" w:fill="auto"/>
            <w:vAlign w:val="center"/>
            <w:hideMark/>
          </w:tcPr>
          <w:p w:rsidR="00F24397" w:rsidRPr="00A52D36" w:rsidRDefault="00F24397" w:rsidP="00DE274C">
            <w:pPr>
              <w:tabs>
                <w:tab w:val="num" w:pos="0"/>
              </w:tabs>
              <w:rPr>
                <w:rFonts w:asciiTheme="minorHAnsi" w:hAnsiTheme="minorHAnsi"/>
                <w:sz w:val="18"/>
                <w:szCs w:val="16"/>
              </w:rPr>
            </w:pPr>
            <w:r w:rsidRPr="00A52D36">
              <w:rPr>
                <w:rFonts w:asciiTheme="minorHAnsi" w:hAnsiTheme="minorHAnsi"/>
                <w:sz w:val="18"/>
                <w:szCs w:val="16"/>
              </w:rPr>
              <w:t xml:space="preserve">Freight wagons </w:t>
            </w:r>
            <w:r w:rsidR="00C657E4" w:rsidRPr="00A52D36">
              <w:rPr>
                <w:rFonts w:asciiTheme="minorHAnsi" w:hAnsiTheme="minorHAnsi"/>
                <w:sz w:val="18"/>
                <w:szCs w:val="16"/>
              </w:rPr>
              <w:t xml:space="preserve">except tanks and refrigerators </w:t>
            </w:r>
            <w:r w:rsidRPr="00A52D36">
              <w:rPr>
                <w:rFonts w:asciiTheme="minorHAnsi" w:hAnsiTheme="minorHAnsi"/>
                <w:sz w:val="18"/>
                <w:szCs w:val="16"/>
              </w:rPr>
              <w:t>(units)</w:t>
            </w:r>
          </w:p>
        </w:tc>
        <w:tc>
          <w:tcPr>
            <w:tcW w:w="1253" w:type="dxa"/>
            <w:shd w:val="clear" w:color="auto" w:fill="auto"/>
            <w:noWrap/>
            <w:vAlign w:val="center"/>
            <w:hideMark/>
          </w:tcPr>
          <w:p w:rsidR="00F24397" w:rsidRPr="00A52D36" w:rsidRDefault="00C657E4" w:rsidP="00DE274C">
            <w:pPr>
              <w:tabs>
                <w:tab w:val="num" w:pos="0"/>
              </w:tabs>
              <w:jc w:val="right"/>
              <w:rPr>
                <w:rFonts w:asciiTheme="minorHAnsi" w:hAnsiTheme="minorHAnsi"/>
                <w:sz w:val="18"/>
                <w:szCs w:val="16"/>
              </w:rPr>
            </w:pPr>
            <w:r w:rsidRPr="00A52D36">
              <w:rPr>
                <w:rFonts w:asciiTheme="minorHAnsi" w:hAnsiTheme="minorHAnsi"/>
                <w:sz w:val="18"/>
                <w:szCs w:val="16"/>
              </w:rPr>
              <w:t>25,281</w:t>
            </w:r>
          </w:p>
        </w:tc>
        <w:tc>
          <w:tcPr>
            <w:tcW w:w="1211" w:type="dxa"/>
            <w:shd w:val="clear" w:color="auto" w:fill="auto"/>
            <w:noWrap/>
            <w:vAlign w:val="center"/>
            <w:hideMark/>
          </w:tcPr>
          <w:p w:rsidR="00F24397" w:rsidRPr="00A52D36" w:rsidRDefault="00C657E4" w:rsidP="00DE274C">
            <w:pPr>
              <w:tabs>
                <w:tab w:val="num" w:pos="0"/>
              </w:tabs>
              <w:jc w:val="right"/>
              <w:rPr>
                <w:rFonts w:asciiTheme="minorHAnsi" w:hAnsiTheme="minorHAnsi"/>
                <w:sz w:val="18"/>
                <w:szCs w:val="16"/>
              </w:rPr>
            </w:pPr>
            <w:r w:rsidRPr="00A52D36">
              <w:rPr>
                <w:rFonts w:asciiTheme="minorHAnsi" w:hAnsiTheme="minorHAnsi"/>
                <w:sz w:val="18"/>
                <w:szCs w:val="16"/>
              </w:rPr>
              <w:t>24,789</w:t>
            </w:r>
          </w:p>
        </w:tc>
        <w:tc>
          <w:tcPr>
            <w:tcW w:w="1260" w:type="dxa"/>
            <w:shd w:val="clear" w:color="auto" w:fill="auto"/>
            <w:noWrap/>
            <w:vAlign w:val="center"/>
            <w:hideMark/>
          </w:tcPr>
          <w:p w:rsidR="00F24397" w:rsidRPr="00A52D36" w:rsidRDefault="00C657E4" w:rsidP="00DE274C">
            <w:pPr>
              <w:tabs>
                <w:tab w:val="num" w:pos="0"/>
              </w:tabs>
              <w:jc w:val="right"/>
              <w:rPr>
                <w:rFonts w:asciiTheme="minorHAnsi" w:hAnsiTheme="minorHAnsi"/>
                <w:sz w:val="18"/>
                <w:szCs w:val="16"/>
              </w:rPr>
            </w:pPr>
            <w:r w:rsidRPr="00A52D36">
              <w:rPr>
                <w:rFonts w:asciiTheme="minorHAnsi" w:hAnsiTheme="minorHAnsi"/>
                <w:sz w:val="18"/>
                <w:szCs w:val="16"/>
              </w:rPr>
              <w:t>24,625</w:t>
            </w:r>
          </w:p>
        </w:tc>
        <w:tc>
          <w:tcPr>
            <w:tcW w:w="1236" w:type="dxa"/>
            <w:shd w:val="clear" w:color="auto" w:fill="auto"/>
            <w:noWrap/>
            <w:vAlign w:val="center"/>
            <w:hideMark/>
          </w:tcPr>
          <w:p w:rsidR="00F24397" w:rsidRPr="00A52D36" w:rsidRDefault="00C657E4" w:rsidP="00DE274C">
            <w:pPr>
              <w:tabs>
                <w:tab w:val="num" w:pos="0"/>
              </w:tabs>
              <w:jc w:val="right"/>
              <w:rPr>
                <w:rFonts w:asciiTheme="minorHAnsi" w:hAnsiTheme="minorHAnsi"/>
                <w:sz w:val="18"/>
                <w:szCs w:val="16"/>
              </w:rPr>
            </w:pPr>
            <w:r w:rsidRPr="00A52D36">
              <w:rPr>
                <w:rFonts w:asciiTheme="minorHAnsi" w:hAnsiTheme="minorHAnsi"/>
                <w:sz w:val="18"/>
                <w:szCs w:val="16"/>
              </w:rPr>
              <w:t>24,937</w:t>
            </w:r>
          </w:p>
        </w:tc>
      </w:tr>
      <w:tr w:rsidR="00F24397" w:rsidRPr="00F24397" w:rsidTr="00A52D36">
        <w:trPr>
          <w:cantSplit/>
          <w:trHeight w:val="151"/>
          <w:jc w:val="center"/>
        </w:trPr>
        <w:tc>
          <w:tcPr>
            <w:tcW w:w="4162" w:type="dxa"/>
            <w:gridSpan w:val="2"/>
            <w:shd w:val="clear" w:color="auto" w:fill="auto"/>
            <w:noWrap/>
            <w:vAlign w:val="center"/>
            <w:hideMark/>
          </w:tcPr>
          <w:p w:rsidR="00F24397" w:rsidRPr="00A52D36" w:rsidRDefault="00F24397" w:rsidP="00DE274C">
            <w:pPr>
              <w:tabs>
                <w:tab w:val="num" w:pos="0"/>
              </w:tabs>
              <w:rPr>
                <w:rFonts w:asciiTheme="minorHAnsi" w:hAnsiTheme="minorHAnsi"/>
                <w:sz w:val="18"/>
                <w:szCs w:val="16"/>
              </w:rPr>
            </w:pPr>
            <w:r w:rsidRPr="00A52D36">
              <w:rPr>
                <w:rFonts w:asciiTheme="minorHAnsi" w:hAnsiTheme="minorHAnsi"/>
                <w:sz w:val="18"/>
                <w:szCs w:val="16"/>
              </w:rPr>
              <w:t>Net-tons (million</w:t>
            </w:r>
          </w:p>
        </w:tc>
        <w:tc>
          <w:tcPr>
            <w:tcW w:w="1253" w:type="dxa"/>
            <w:shd w:val="clear" w:color="auto" w:fill="auto"/>
            <w:noWrap/>
            <w:vAlign w:val="center"/>
            <w:hideMark/>
          </w:tcPr>
          <w:p w:rsidR="00F24397" w:rsidRPr="00A52D36" w:rsidRDefault="00F24397" w:rsidP="00DE274C">
            <w:pPr>
              <w:tabs>
                <w:tab w:val="num" w:pos="0"/>
              </w:tabs>
              <w:jc w:val="right"/>
              <w:rPr>
                <w:rFonts w:asciiTheme="minorHAnsi" w:hAnsiTheme="minorHAnsi"/>
                <w:sz w:val="18"/>
                <w:szCs w:val="16"/>
              </w:rPr>
            </w:pPr>
            <w:r w:rsidRPr="00A52D36">
              <w:rPr>
                <w:rFonts w:asciiTheme="minorHAnsi" w:hAnsiTheme="minorHAnsi"/>
                <w:sz w:val="18"/>
                <w:szCs w:val="16"/>
              </w:rPr>
              <w:t>125</w:t>
            </w:r>
          </w:p>
        </w:tc>
        <w:tc>
          <w:tcPr>
            <w:tcW w:w="1211" w:type="dxa"/>
            <w:shd w:val="clear" w:color="auto" w:fill="auto"/>
            <w:noWrap/>
            <w:vAlign w:val="center"/>
            <w:hideMark/>
          </w:tcPr>
          <w:p w:rsidR="00F24397" w:rsidRPr="00A52D36" w:rsidRDefault="00F24397" w:rsidP="00DE274C">
            <w:pPr>
              <w:tabs>
                <w:tab w:val="num" w:pos="0"/>
              </w:tabs>
              <w:jc w:val="right"/>
              <w:rPr>
                <w:rFonts w:asciiTheme="minorHAnsi" w:hAnsiTheme="minorHAnsi"/>
                <w:sz w:val="18"/>
                <w:szCs w:val="16"/>
              </w:rPr>
            </w:pPr>
            <w:r w:rsidRPr="00A52D36">
              <w:rPr>
                <w:rFonts w:asciiTheme="minorHAnsi" w:hAnsiTheme="minorHAnsi"/>
                <w:sz w:val="18"/>
                <w:szCs w:val="16"/>
              </w:rPr>
              <w:t>134</w:t>
            </w:r>
          </w:p>
        </w:tc>
        <w:tc>
          <w:tcPr>
            <w:tcW w:w="1260" w:type="dxa"/>
            <w:shd w:val="clear" w:color="auto" w:fill="auto"/>
            <w:noWrap/>
            <w:vAlign w:val="center"/>
            <w:hideMark/>
          </w:tcPr>
          <w:p w:rsidR="00F24397" w:rsidRPr="00A52D36" w:rsidRDefault="00F24397" w:rsidP="00DE274C">
            <w:pPr>
              <w:tabs>
                <w:tab w:val="num" w:pos="0"/>
              </w:tabs>
              <w:jc w:val="right"/>
              <w:rPr>
                <w:rFonts w:asciiTheme="minorHAnsi" w:hAnsiTheme="minorHAnsi"/>
                <w:sz w:val="18"/>
                <w:szCs w:val="16"/>
              </w:rPr>
            </w:pPr>
            <w:r w:rsidRPr="00A52D36">
              <w:rPr>
                <w:rFonts w:asciiTheme="minorHAnsi" w:hAnsiTheme="minorHAnsi"/>
                <w:sz w:val="18"/>
                <w:szCs w:val="16"/>
              </w:rPr>
              <w:t>141</w:t>
            </w:r>
          </w:p>
        </w:tc>
        <w:tc>
          <w:tcPr>
            <w:tcW w:w="1236" w:type="dxa"/>
            <w:shd w:val="clear" w:color="auto" w:fill="auto"/>
            <w:noWrap/>
            <w:vAlign w:val="center"/>
            <w:hideMark/>
          </w:tcPr>
          <w:p w:rsidR="00F24397" w:rsidRPr="00A52D36" w:rsidRDefault="00F24397" w:rsidP="00DE274C">
            <w:pPr>
              <w:tabs>
                <w:tab w:val="num" w:pos="0"/>
              </w:tabs>
              <w:jc w:val="right"/>
              <w:rPr>
                <w:rFonts w:asciiTheme="minorHAnsi" w:hAnsiTheme="minorHAnsi"/>
                <w:sz w:val="18"/>
                <w:szCs w:val="16"/>
              </w:rPr>
            </w:pPr>
            <w:r w:rsidRPr="00A52D36">
              <w:rPr>
                <w:rFonts w:asciiTheme="minorHAnsi" w:hAnsiTheme="minorHAnsi"/>
                <w:sz w:val="18"/>
                <w:szCs w:val="16"/>
              </w:rPr>
              <w:t>147</w:t>
            </w:r>
          </w:p>
        </w:tc>
      </w:tr>
      <w:tr w:rsidR="00F24397" w:rsidRPr="00F24397" w:rsidTr="00A52D36">
        <w:trPr>
          <w:cantSplit/>
          <w:trHeight w:val="214"/>
          <w:jc w:val="center"/>
        </w:trPr>
        <w:tc>
          <w:tcPr>
            <w:tcW w:w="4162" w:type="dxa"/>
            <w:gridSpan w:val="2"/>
            <w:shd w:val="clear" w:color="auto" w:fill="auto"/>
            <w:noWrap/>
            <w:vAlign w:val="center"/>
            <w:hideMark/>
          </w:tcPr>
          <w:p w:rsidR="00F24397" w:rsidRPr="00A52D36" w:rsidRDefault="00F24397" w:rsidP="00DE274C">
            <w:pPr>
              <w:tabs>
                <w:tab w:val="num" w:pos="0"/>
              </w:tabs>
              <w:rPr>
                <w:rFonts w:asciiTheme="minorHAnsi" w:hAnsiTheme="minorHAnsi"/>
                <w:sz w:val="18"/>
                <w:szCs w:val="16"/>
              </w:rPr>
            </w:pPr>
            <w:r w:rsidRPr="00A52D36">
              <w:rPr>
                <w:rFonts w:asciiTheme="minorHAnsi" w:hAnsiTheme="minorHAnsi"/>
                <w:sz w:val="18"/>
                <w:szCs w:val="16"/>
              </w:rPr>
              <w:t>Net-ton-km (million)</w:t>
            </w:r>
          </w:p>
        </w:tc>
        <w:tc>
          <w:tcPr>
            <w:tcW w:w="1253" w:type="dxa"/>
            <w:shd w:val="clear" w:color="auto" w:fill="auto"/>
            <w:noWrap/>
            <w:vAlign w:val="center"/>
            <w:hideMark/>
          </w:tcPr>
          <w:p w:rsidR="00F24397" w:rsidRPr="00A52D36" w:rsidRDefault="00F24397" w:rsidP="00DE274C">
            <w:pPr>
              <w:tabs>
                <w:tab w:val="num" w:pos="0"/>
              </w:tabs>
              <w:jc w:val="right"/>
              <w:rPr>
                <w:rFonts w:asciiTheme="minorHAnsi" w:hAnsiTheme="minorHAnsi"/>
                <w:sz w:val="18"/>
                <w:szCs w:val="16"/>
              </w:rPr>
            </w:pPr>
            <w:r w:rsidRPr="00A52D36">
              <w:rPr>
                <w:rFonts w:asciiTheme="minorHAnsi" w:hAnsiTheme="minorHAnsi"/>
                <w:sz w:val="18"/>
                <w:szCs w:val="16"/>
              </w:rPr>
              <w:t>44,672</w:t>
            </w:r>
          </w:p>
        </w:tc>
        <w:tc>
          <w:tcPr>
            <w:tcW w:w="1211" w:type="dxa"/>
            <w:shd w:val="clear" w:color="auto" w:fill="auto"/>
            <w:noWrap/>
            <w:vAlign w:val="center"/>
            <w:hideMark/>
          </w:tcPr>
          <w:p w:rsidR="00F24397" w:rsidRPr="00A52D36" w:rsidRDefault="00F24397" w:rsidP="00DE274C">
            <w:pPr>
              <w:tabs>
                <w:tab w:val="num" w:pos="0"/>
              </w:tabs>
              <w:jc w:val="right"/>
              <w:rPr>
                <w:rFonts w:asciiTheme="minorHAnsi" w:hAnsiTheme="minorHAnsi"/>
                <w:sz w:val="18"/>
                <w:szCs w:val="16"/>
              </w:rPr>
            </w:pPr>
            <w:r w:rsidRPr="00A52D36">
              <w:rPr>
                <w:rFonts w:asciiTheme="minorHAnsi" w:hAnsiTheme="minorHAnsi"/>
                <w:sz w:val="18"/>
                <w:szCs w:val="16"/>
              </w:rPr>
              <w:t>46,309</w:t>
            </w:r>
          </w:p>
        </w:tc>
        <w:tc>
          <w:tcPr>
            <w:tcW w:w="1260" w:type="dxa"/>
            <w:shd w:val="clear" w:color="auto" w:fill="auto"/>
            <w:noWrap/>
            <w:vAlign w:val="center"/>
            <w:hideMark/>
          </w:tcPr>
          <w:p w:rsidR="00F24397" w:rsidRPr="00A52D36" w:rsidRDefault="00F24397" w:rsidP="00DE274C">
            <w:pPr>
              <w:tabs>
                <w:tab w:val="num" w:pos="0"/>
              </w:tabs>
              <w:jc w:val="right"/>
              <w:rPr>
                <w:rFonts w:asciiTheme="minorHAnsi" w:hAnsiTheme="minorHAnsi"/>
                <w:sz w:val="18"/>
                <w:szCs w:val="16"/>
              </w:rPr>
            </w:pPr>
            <w:r w:rsidRPr="00A52D36">
              <w:rPr>
                <w:rFonts w:asciiTheme="minorHAnsi" w:hAnsiTheme="minorHAnsi"/>
                <w:sz w:val="18"/>
                <w:szCs w:val="16"/>
              </w:rPr>
              <w:t>48,351</w:t>
            </w:r>
          </w:p>
        </w:tc>
        <w:tc>
          <w:tcPr>
            <w:tcW w:w="1236" w:type="dxa"/>
            <w:shd w:val="clear" w:color="auto" w:fill="auto"/>
            <w:noWrap/>
            <w:vAlign w:val="center"/>
            <w:hideMark/>
          </w:tcPr>
          <w:p w:rsidR="00F24397" w:rsidRPr="00A52D36" w:rsidRDefault="00F24397" w:rsidP="00DE274C">
            <w:pPr>
              <w:tabs>
                <w:tab w:val="num" w:pos="0"/>
              </w:tabs>
              <w:jc w:val="right"/>
              <w:rPr>
                <w:rFonts w:asciiTheme="minorHAnsi" w:hAnsiTheme="minorHAnsi"/>
                <w:sz w:val="18"/>
                <w:szCs w:val="16"/>
              </w:rPr>
            </w:pPr>
            <w:r w:rsidRPr="00A52D36">
              <w:rPr>
                <w:rFonts w:asciiTheme="minorHAnsi" w:hAnsiTheme="minorHAnsi"/>
                <w:sz w:val="18"/>
                <w:szCs w:val="16"/>
              </w:rPr>
              <w:t>49,669</w:t>
            </w:r>
          </w:p>
        </w:tc>
      </w:tr>
      <w:tr w:rsidR="00F24397" w:rsidRPr="00F24397" w:rsidTr="00A52D36">
        <w:trPr>
          <w:cantSplit/>
          <w:trHeight w:val="241"/>
          <w:jc w:val="center"/>
        </w:trPr>
        <w:tc>
          <w:tcPr>
            <w:tcW w:w="4162" w:type="dxa"/>
            <w:gridSpan w:val="2"/>
            <w:shd w:val="clear" w:color="auto" w:fill="auto"/>
            <w:vAlign w:val="center"/>
            <w:hideMark/>
          </w:tcPr>
          <w:p w:rsidR="00F24397" w:rsidRPr="00A52D36" w:rsidRDefault="00F24397" w:rsidP="00DE274C">
            <w:pPr>
              <w:tabs>
                <w:tab w:val="num" w:pos="0"/>
              </w:tabs>
              <w:rPr>
                <w:rFonts w:asciiTheme="minorHAnsi" w:hAnsiTheme="minorHAnsi"/>
                <w:sz w:val="18"/>
                <w:szCs w:val="16"/>
              </w:rPr>
            </w:pPr>
            <w:r w:rsidRPr="00A52D36">
              <w:rPr>
                <w:rFonts w:asciiTheme="minorHAnsi" w:hAnsiTheme="minorHAnsi"/>
                <w:sz w:val="18"/>
                <w:szCs w:val="16"/>
              </w:rPr>
              <w:t>Freight revenue (million BYR)</w:t>
            </w:r>
          </w:p>
        </w:tc>
        <w:tc>
          <w:tcPr>
            <w:tcW w:w="1253" w:type="dxa"/>
            <w:shd w:val="clear" w:color="auto" w:fill="auto"/>
            <w:noWrap/>
            <w:vAlign w:val="center"/>
            <w:hideMark/>
          </w:tcPr>
          <w:p w:rsidR="00F24397" w:rsidRPr="00A52D36" w:rsidRDefault="00F24397" w:rsidP="00DE274C">
            <w:pPr>
              <w:tabs>
                <w:tab w:val="num" w:pos="0"/>
              </w:tabs>
              <w:jc w:val="right"/>
              <w:rPr>
                <w:rFonts w:asciiTheme="minorHAnsi" w:hAnsiTheme="minorHAnsi"/>
                <w:sz w:val="18"/>
                <w:szCs w:val="16"/>
              </w:rPr>
            </w:pPr>
            <w:r w:rsidRPr="00A52D36">
              <w:rPr>
                <w:rFonts w:asciiTheme="minorHAnsi" w:hAnsiTheme="minorHAnsi"/>
                <w:sz w:val="18"/>
                <w:szCs w:val="16"/>
              </w:rPr>
              <w:t>1,875,157</w:t>
            </w:r>
          </w:p>
        </w:tc>
        <w:tc>
          <w:tcPr>
            <w:tcW w:w="1211" w:type="dxa"/>
            <w:shd w:val="clear" w:color="auto" w:fill="auto"/>
            <w:noWrap/>
            <w:vAlign w:val="center"/>
            <w:hideMark/>
          </w:tcPr>
          <w:p w:rsidR="00F24397" w:rsidRPr="00A52D36" w:rsidRDefault="00F24397" w:rsidP="00DE274C">
            <w:pPr>
              <w:tabs>
                <w:tab w:val="num" w:pos="0"/>
              </w:tabs>
              <w:jc w:val="right"/>
              <w:rPr>
                <w:rFonts w:asciiTheme="minorHAnsi" w:hAnsiTheme="minorHAnsi"/>
                <w:sz w:val="18"/>
                <w:szCs w:val="16"/>
              </w:rPr>
            </w:pPr>
            <w:r w:rsidRPr="00A52D36">
              <w:rPr>
                <w:rFonts w:asciiTheme="minorHAnsi" w:hAnsiTheme="minorHAnsi"/>
                <w:sz w:val="18"/>
                <w:szCs w:val="16"/>
              </w:rPr>
              <w:t>2,217,005</w:t>
            </w:r>
          </w:p>
        </w:tc>
        <w:tc>
          <w:tcPr>
            <w:tcW w:w="1260" w:type="dxa"/>
            <w:shd w:val="clear" w:color="auto" w:fill="auto"/>
            <w:noWrap/>
            <w:vAlign w:val="center"/>
            <w:hideMark/>
          </w:tcPr>
          <w:p w:rsidR="00F24397" w:rsidRPr="00A52D36" w:rsidRDefault="00F24397" w:rsidP="00DE274C">
            <w:pPr>
              <w:tabs>
                <w:tab w:val="num" w:pos="0"/>
              </w:tabs>
              <w:jc w:val="right"/>
              <w:rPr>
                <w:rFonts w:asciiTheme="minorHAnsi" w:hAnsiTheme="minorHAnsi"/>
                <w:sz w:val="18"/>
                <w:szCs w:val="16"/>
              </w:rPr>
            </w:pPr>
            <w:r w:rsidRPr="00A52D36">
              <w:rPr>
                <w:rFonts w:asciiTheme="minorHAnsi" w:hAnsiTheme="minorHAnsi"/>
                <w:sz w:val="18"/>
                <w:szCs w:val="16"/>
              </w:rPr>
              <w:t>2,597,054</w:t>
            </w:r>
          </w:p>
        </w:tc>
        <w:tc>
          <w:tcPr>
            <w:tcW w:w="1236" w:type="dxa"/>
            <w:shd w:val="clear" w:color="auto" w:fill="auto"/>
            <w:noWrap/>
            <w:vAlign w:val="center"/>
            <w:hideMark/>
          </w:tcPr>
          <w:p w:rsidR="00F24397" w:rsidRPr="00A52D36" w:rsidRDefault="00F24397" w:rsidP="00DE274C">
            <w:pPr>
              <w:tabs>
                <w:tab w:val="num" w:pos="0"/>
              </w:tabs>
              <w:jc w:val="right"/>
              <w:rPr>
                <w:rFonts w:asciiTheme="minorHAnsi" w:hAnsiTheme="minorHAnsi"/>
                <w:sz w:val="18"/>
                <w:szCs w:val="16"/>
              </w:rPr>
            </w:pPr>
            <w:r w:rsidRPr="00A52D36">
              <w:rPr>
                <w:rFonts w:asciiTheme="minorHAnsi" w:hAnsiTheme="minorHAnsi"/>
                <w:sz w:val="18"/>
                <w:szCs w:val="16"/>
              </w:rPr>
              <w:t>3,183,410</w:t>
            </w:r>
          </w:p>
        </w:tc>
      </w:tr>
      <w:tr w:rsidR="00F24397" w:rsidRPr="00F24397" w:rsidTr="00A52D36">
        <w:trPr>
          <w:cantSplit/>
          <w:trHeight w:val="169"/>
          <w:jc w:val="center"/>
        </w:trPr>
        <w:tc>
          <w:tcPr>
            <w:tcW w:w="1725" w:type="dxa"/>
            <w:vMerge w:val="restart"/>
            <w:shd w:val="clear" w:color="auto" w:fill="auto"/>
            <w:vAlign w:val="center"/>
            <w:hideMark/>
          </w:tcPr>
          <w:p w:rsidR="00F24397" w:rsidRPr="00A52D36" w:rsidRDefault="00F24397" w:rsidP="00DE274C">
            <w:pPr>
              <w:tabs>
                <w:tab w:val="num" w:pos="0"/>
              </w:tabs>
              <w:rPr>
                <w:rFonts w:asciiTheme="minorHAnsi" w:hAnsiTheme="minorHAnsi"/>
                <w:sz w:val="18"/>
                <w:szCs w:val="16"/>
              </w:rPr>
            </w:pPr>
            <w:r w:rsidRPr="00A52D36">
              <w:rPr>
                <w:rFonts w:asciiTheme="minorHAnsi" w:hAnsiTheme="minorHAnsi"/>
                <w:sz w:val="18"/>
                <w:szCs w:val="16"/>
              </w:rPr>
              <w:t>Expenses [Mill BYR]</w:t>
            </w:r>
          </w:p>
        </w:tc>
        <w:tc>
          <w:tcPr>
            <w:tcW w:w="2437" w:type="dxa"/>
            <w:shd w:val="clear" w:color="auto" w:fill="auto"/>
            <w:noWrap/>
            <w:vAlign w:val="center"/>
            <w:hideMark/>
          </w:tcPr>
          <w:p w:rsidR="00F24397" w:rsidRPr="00A52D36" w:rsidRDefault="00F24397" w:rsidP="00DE274C">
            <w:pPr>
              <w:tabs>
                <w:tab w:val="num" w:pos="0"/>
              </w:tabs>
              <w:rPr>
                <w:rFonts w:asciiTheme="minorHAnsi" w:hAnsiTheme="minorHAnsi"/>
                <w:sz w:val="18"/>
                <w:szCs w:val="16"/>
              </w:rPr>
            </w:pPr>
            <w:r w:rsidRPr="00A52D36">
              <w:rPr>
                <w:rFonts w:asciiTheme="minorHAnsi" w:hAnsiTheme="minorHAnsi"/>
                <w:sz w:val="18"/>
                <w:szCs w:val="16"/>
              </w:rPr>
              <w:t>Materials</w:t>
            </w:r>
          </w:p>
        </w:tc>
        <w:tc>
          <w:tcPr>
            <w:tcW w:w="1253" w:type="dxa"/>
            <w:shd w:val="clear" w:color="auto" w:fill="auto"/>
            <w:noWrap/>
            <w:vAlign w:val="center"/>
            <w:hideMark/>
          </w:tcPr>
          <w:p w:rsidR="00F24397" w:rsidRPr="00A52D36" w:rsidRDefault="00F24397" w:rsidP="00DE274C">
            <w:pPr>
              <w:tabs>
                <w:tab w:val="num" w:pos="0"/>
              </w:tabs>
              <w:jc w:val="right"/>
              <w:rPr>
                <w:rFonts w:asciiTheme="minorHAnsi" w:hAnsiTheme="minorHAnsi"/>
                <w:sz w:val="18"/>
                <w:szCs w:val="16"/>
              </w:rPr>
            </w:pPr>
            <w:r w:rsidRPr="00A52D36">
              <w:rPr>
                <w:rFonts w:asciiTheme="minorHAnsi" w:hAnsiTheme="minorHAnsi"/>
                <w:sz w:val="18"/>
                <w:szCs w:val="16"/>
              </w:rPr>
              <w:t>115,323</w:t>
            </w:r>
          </w:p>
        </w:tc>
        <w:tc>
          <w:tcPr>
            <w:tcW w:w="1211" w:type="dxa"/>
            <w:shd w:val="clear" w:color="auto" w:fill="auto"/>
            <w:noWrap/>
            <w:vAlign w:val="center"/>
            <w:hideMark/>
          </w:tcPr>
          <w:p w:rsidR="00F24397" w:rsidRPr="00A52D36" w:rsidRDefault="00F24397" w:rsidP="00DE274C">
            <w:pPr>
              <w:tabs>
                <w:tab w:val="num" w:pos="0"/>
              </w:tabs>
              <w:jc w:val="right"/>
              <w:rPr>
                <w:rFonts w:asciiTheme="minorHAnsi" w:hAnsiTheme="minorHAnsi"/>
                <w:sz w:val="18"/>
                <w:szCs w:val="16"/>
              </w:rPr>
            </w:pPr>
            <w:r w:rsidRPr="00A52D36">
              <w:rPr>
                <w:rFonts w:asciiTheme="minorHAnsi" w:hAnsiTheme="minorHAnsi"/>
                <w:sz w:val="18"/>
                <w:szCs w:val="16"/>
              </w:rPr>
              <w:t>192,106</w:t>
            </w:r>
          </w:p>
        </w:tc>
        <w:tc>
          <w:tcPr>
            <w:tcW w:w="1260" w:type="dxa"/>
            <w:shd w:val="clear" w:color="auto" w:fill="auto"/>
            <w:noWrap/>
            <w:vAlign w:val="center"/>
            <w:hideMark/>
          </w:tcPr>
          <w:p w:rsidR="00F24397" w:rsidRPr="00A52D36" w:rsidRDefault="00F24397" w:rsidP="00DE274C">
            <w:pPr>
              <w:tabs>
                <w:tab w:val="num" w:pos="0"/>
              </w:tabs>
              <w:jc w:val="right"/>
              <w:rPr>
                <w:rFonts w:asciiTheme="minorHAnsi" w:hAnsiTheme="minorHAnsi"/>
                <w:sz w:val="18"/>
                <w:szCs w:val="16"/>
              </w:rPr>
            </w:pPr>
            <w:r w:rsidRPr="00A52D36">
              <w:rPr>
                <w:rFonts w:asciiTheme="minorHAnsi" w:hAnsiTheme="minorHAnsi"/>
                <w:sz w:val="18"/>
                <w:szCs w:val="16"/>
              </w:rPr>
              <w:t>224,107</w:t>
            </w:r>
          </w:p>
        </w:tc>
        <w:tc>
          <w:tcPr>
            <w:tcW w:w="1236" w:type="dxa"/>
            <w:shd w:val="clear" w:color="auto" w:fill="auto"/>
            <w:noWrap/>
            <w:vAlign w:val="center"/>
            <w:hideMark/>
          </w:tcPr>
          <w:p w:rsidR="00F24397" w:rsidRPr="00A52D36" w:rsidRDefault="00F24397" w:rsidP="00DE274C">
            <w:pPr>
              <w:tabs>
                <w:tab w:val="num" w:pos="0"/>
              </w:tabs>
              <w:jc w:val="right"/>
              <w:rPr>
                <w:rFonts w:asciiTheme="minorHAnsi" w:hAnsiTheme="minorHAnsi"/>
                <w:sz w:val="18"/>
                <w:szCs w:val="16"/>
              </w:rPr>
            </w:pPr>
            <w:r w:rsidRPr="00A52D36">
              <w:rPr>
                <w:rFonts w:asciiTheme="minorHAnsi" w:hAnsiTheme="minorHAnsi"/>
                <w:sz w:val="18"/>
                <w:szCs w:val="16"/>
              </w:rPr>
              <w:t>287,083</w:t>
            </w:r>
          </w:p>
        </w:tc>
      </w:tr>
      <w:tr w:rsidR="00F24397" w:rsidRPr="00F24397" w:rsidTr="00A52D36">
        <w:trPr>
          <w:cantSplit/>
          <w:trHeight w:val="300"/>
          <w:jc w:val="center"/>
        </w:trPr>
        <w:tc>
          <w:tcPr>
            <w:tcW w:w="1725" w:type="dxa"/>
            <w:vMerge/>
            <w:vAlign w:val="center"/>
            <w:hideMark/>
          </w:tcPr>
          <w:p w:rsidR="00F24397" w:rsidRPr="00A52D36" w:rsidRDefault="00F24397" w:rsidP="00DE274C">
            <w:pPr>
              <w:tabs>
                <w:tab w:val="num" w:pos="0"/>
              </w:tabs>
              <w:rPr>
                <w:rFonts w:asciiTheme="minorHAnsi" w:hAnsiTheme="minorHAnsi"/>
                <w:sz w:val="18"/>
                <w:szCs w:val="16"/>
              </w:rPr>
            </w:pPr>
          </w:p>
        </w:tc>
        <w:tc>
          <w:tcPr>
            <w:tcW w:w="2437" w:type="dxa"/>
            <w:shd w:val="clear" w:color="auto" w:fill="auto"/>
            <w:noWrap/>
            <w:vAlign w:val="center"/>
            <w:hideMark/>
          </w:tcPr>
          <w:p w:rsidR="00F24397" w:rsidRPr="00A52D36" w:rsidRDefault="00F24397" w:rsidP="00DE274C">
            <w:pPr>
              <w:tabs>
                <w:tab w:val="num" w:pos="0"/>
              </w:tabs>
              <w:rPr>
                <w:rFonts w:asciiTheme="minorHAnsi" w:hAnsiTheme="minorHAnsi"/>
                <w:sz w:val="18"/>
                <w:szCs w:val="16"/>
              </w:rPr>
            </w:pPr>
            <w:r w:rsidRPr="00A52D36">
              <w:rPr>
                <w:rFonts w:asciiTheme="minorHAnsi" w:hAnsiTheme="minorHAnsi"/>
                <w:sz w:val="18"/>
                <w:szCs w:val="16"/>
              </w:rPr>
              <w:t>Fuel, Electricity (including traction)</w:t>
            </w:r>
          </w:p>
        </w:tc>
        <w:tc>
          <w:tcPr>
            <w:tcW w:w="1253" w:type="dxa"/>
            <w:shd w:val="clear" w:color="auto" w:fill="auto"/>
            <w:noWrap/>
            <w:vAlign w:val="center"/>
            <w:hideMark/>
          </w:tcPr>
          <w:p w:rsidR="00F24397" w:rsidRPr="00A52D36" w:rsidRDefault="00F24397" w:rsidP="00DE274C">
            <w:pPr>
              <w:tabs>
                <w:tab w:val="num" w:pos="0"/>
              </w:tabs>
              <w:jc w:val="right"/>
              <w:rPr>
                <w:rFonts w:asciiTheme="minorHAnsi" w:hAnsiTheme="minorHAnsi"/>
                <w:sz w:val="18"/>
                <w:szCs w:val="16"/>
              </w:rPr>
            </w:pPr>
            <w:r w:rsidRPr="00A52D36">
              <w:rPr>
                <w:rFonts w:asciiTheme="minorHAnsi" w:hAnsiTheme="minorHAnsi"/>
                <w:sz w:val="18"/>
                <w:szCs w:val="16"/>
              </w:rPr>
              <w:t>202,313</w:t>
            </w:r>
          </w:p>
        </w:tc>
        <w:tc>
          <w:tcPr>
            <w:tcW w:w="1211" w:type="dxa"/>
            <w:shd w:val="clear" w:color="auto" w:fill="auto"/>
            <w:noWrap/>
            <w:vAlign w:val="center"/>
            <w:hideMark/>
          </w:tcPr>
          <w:p w:rsidR="00F24397" w:rsidRPr="00A52D36" w:rsidRDefault="00F24397" w:rsidP="00DE274C">
            <w:pPr>
              <w:tabs>
                <w:tab w:val="num" w:pos="0"/>
              </w:tabs>
              <w:jc w:val="right"/>
              <w:rPr>
                <w:rFonts w:asciiTheme="minorHAnsi" w:hAnsiTheme="minorHAnsi"/>
                <w:sz w:val="18"/>
                <w:szCs w:val="16"/>
              </w:rPr>
            </w:pPr>
            <w:r w:rsidRPr="00A52D36">
              <w:rPr>
                <w:rFonts w:asciiTheme="minorHAnsi" w:hAnsiTheme="minorHAnsi"/>
                <w:sz w:val="18"/>
                <w:szCs w:val="16"/>
              </w:rPr>
              <w:t>230,406</w:t>
            </w:r>
          </w:p>
        </w:tc>
        <w:tc>
          <w:tcPr>
            <w:tcW w:w="1260" w:type="dxa"/>
            <w:shd w:val="clear" w:color="auto" w:fill="auto"/>
            <w:noWrap/>
            <w:vAlign w:val="center"/>
            <w:hideMark/>
          </w:tcPr>
          <w:p w:rsidR="00F24397" w:rsidRPr="00A52D36" w:rsidRDefault="00F24397" w:rsidP="00DE274C">
            <w:pPr>
              <w:tabs>
                <w:tab w:val="num" w:pos="0"/>
              </w:tabs>
              <w:jc w:val="right"/>
              <w:rPr>
                <w:rFonts w:asciiTheme="minorHAnsi" w:hAnsiTheme="minorHAnsi"/>
                <w:sz w:val="18"/>
                <w:szCs w:val="16"/>
              </w:rPr>
            </w:pPr>
            <w:r w:rsidRPr="00A52D36">
              <w:rPr>
                <w:rFonts w:asciiTheme="minorHAnsi" w:hAnsiTheme="minorHAnsi"/>
                <w:sz w:val="18"/>
                <w:szCs w:val="16"/>
              </w:rPr>
              <w:t>295,815</w:t>
            </w:r>
          </w:p>
        </w:tc>
        <w:tc>
          <w:tcPr>
            <w:tcW w:w="1236" w:type="dxa"/>
            <w:shd w:val="clear" w:color="auto" w:fill="auto"/>
            <w:noWrap/>
            <w:vAlign w:val="center"/>
            <w:hideMark/>
          </w:tcPr>
          <w:p w:rsidR="00F24397" w:rsidRPr="00A52D36" w:rsidRDefault="00F24397" w:rsidP="00DE274C">
            <w:pPr>
              <w:tabs>
                <w:tab w:val="num" w:pos="0"/>
              </w:tabs>
              <w:jc w:val="right"/>
              <w:rPr>
                <w:rFonts w:asciiTheme="minorHAnsi" w:hAnsiTheme="minorHAnsi"/>
                <w:sz w:val="18"/>
                <w:szCs w:val="16"/>
              </w:rPr>
            </w:pPr>
            <w:r w:rsidRPr="00A52D36">
              <w:rPr>
                <w:rFonts w:asciiTheme="minorHAnsi" w:hAnsiTheme="minorHAnsi"/>
                <w:sz w:val="18"/>
                <w:szCs w:val="16"/>
              </w:rPr>
              <w:t>366,551</w:t>
            </w:r>
          </w:p>
        </w:tc>
      </w:tr>
      <w:tr w:rsidR="00F24397" w:rsidRPr="00F24397" w:rsidTr="00A52D36">
        <w:trPr>
          <w:cantSplit/>
          <w:trHeight w:val="160"/>
          <w:jc w:val="center"/>
        </w:trPr>
        <w:tc>
          <w:tcPr>
            <w:tcW w:w="1725" w:type="dxa"/>
            <w:vMerge/>
            <w:vAlign w:val="center"/>
            <w:hideMark/>
          </w:tcPr>
          <w:p w:rsidR="00F24397" w:rsidRPr="00A52D36" w:rsidRDefault="00F24397" w:rsidP="00DE274C">
            <w:pPr>
              <w:tabs>
                <w:tab w:val="num" w:pos="0"/>
              </w:tabs>
              <w:rPr>
                <w:rFonts w:asciiTheme="minorHAnsi" w:hAnsiTheme="minorHAnsi"/>
                <w:sz w:val="18"/>
                <w:szCs w:val="16"/>
              </w:rPr>
            </w:pPr>
          </w:p>
        </w:tc>
        <w:tc>
          <w:tcPr>
            <w:tcW w:w="2437" w:type="dxa"/>
            <w:shd w:val="clear" w:color="auto" w:fill="auto"/>
            <w:noWrap/>
            <w:vAlign w:val="center"/>
            <w:hideMark/>
          </w:tcPr>
          <w:p w:rsidR="00F24397" w:rsidRPr="00A52D36" w:rsidRDefault="00F24397" w:rsidP="00DE274C">
            <w:pPr>
              <w:tabs>
                <w:tab w:val="num" w:pos="0"/>
              </w:tabs>
              <w:rPr>
                <w:rFonts w:asciiTheme="minorHAnsi" w:hAnsiTheme="minorHAnsi"/>
                <w:sz w:val="18"/>
                <w:szCs w:val="16"/>
              </w:rPr>
            </w:pPr>
            <w:r w:rsidRPr="00A52D36">
              <w:rPr>
                <w:rFonts w:asciiTheme="minorHAnsi" w:hAnsiTheme="minorHAnsi"/>
                <w:sz w:val="18"/>
                <w:szCs w:val="16"/>
              </w:rPr>
              <w:t>Staff Cost</w:t>
            </w:r>
          </w:p>
        </w:tc>
        <w:tc>
          <w:tcPr>
            <w:tcW w:w="1253" w:type="dxa"/>
            <w:shd w:val="clear" w:color="auto" w:fill="auto"/>
            <w:noWrap/>
            <w:vAlign w:val="center"/>
            <w:hideMark/>
          </w:tcPr>
          <w:p w:rsidR="00F24397" w:rsidRPr="00A52D36" w:rsidRDefault="00F24397" w:rsidP="00DE274C">
            <w:pPr>
              <w:tabs>
                <w:tab w:val="num" w:pos="0"/>
              </w:tabs>
              <w:jc w:val="right"/>
              <w:rPr>
                <w:rFonts w:asciiTheme="minorHAnsi" w:hAnsiTheme="minorHAnsi"/>
                <w:color w:val="000000"/>
                <w:sz w:val="18"/>
                <w:szCs w:val="16"/>
              </w:rPr>
            </w:pPr>
            <w:r w:rsidRPr="00A52D36">
              <w:rPr>
                <w:rFonts w:asciiTheme="minorHAnsi" w:hAnsiTheme="minorHAnsi"/>
                <w:color w:val="000000"/>
                <w:sz w:val="18"/>
                <w:szCs w:val="16"/>
              </w:rPr>
              <w:t>238,371</w:t>
            </w:r>
          </w:p>
        </w:tc>
        <w:tc>
          <w:tcPr>
            <w:tcW w:w="1211" w:type="dxa"/>
            <w:shd w:val="clear" w:color="auto" w:fill="auto"/>
            <w:noWrap/>
            <w:vAlign w:val="center"/>
            <w:hideMark/>
          </w:tcPr>
          <w:p w:rsidR="00F24397" w:rsidRPr="00A52D36" w:rsidRDefault="00F24397" w:rsidP="00DE274C">
            <w:pPr>
              <w:tabs>
                <w:tab w:val="num" w:pos="0"/>
              </w:tabs>
              <w:jc w:val="right"/>
              <w:rPr>
                <w:rFonts w:asciiTheme="minorHAnsi" w:hAnsiTheme="minorHAnsi"/>
                <w:color w:val="000000"/>
                <w:sz w:val="18"/>
                <w:szCs w:val="16"/>
              </w:rPr>
            </w:pPr>
            <w:r w:rsidRPr="00A52D36">
              <w:rPr>
                <w:rFonts w:asciiTheme="minorHAnsi" w:hAnsiTheme="minorHAnsi"/>
                <w:color w:val="000000"/>
                <w:sz w:val="18"/>
                <w:szCs w:val="16"/>
              </w:rPr>
              <w:t>334,656</w:t>
            </w:r>
          </w:p>
        </w:tc>
        <w:tc>
          <w:tcPr>
            <w:tcW w:w="1260" w:type="dxa"/>
            <w:shd w:val="clear" w:color="auto" w:fill="auto"/>
            <w:noWrap/>
            <w:vAlign w:val="center"/>
            <w:hideMark/>
          </w:tcPr>
          <w:p w:rsidR="00F24397" w:rsidRPr="00A52D36" w:rsidRDefault="00F24397" w:rsidP="00DE274C">
            <w:pPr>
              <w:tabs>
                <w:tab w:val="num" w:pos="0"/>
              </w:tabs>
              <w:jc w:val="right"/>
              <w:rPr>
                <w:rFonts w:asciiTheme="minorHAnsi" w:hAnsiTheme="minorHAnsi"/>
                <w:color w:val="000000"/>
                <w:sz w:val="18"/>
                <w:szCs w:val="16"/>
              </w:rPr>
            </w:pPr>
            <w:r w:rsidRPr="00A52D36">
              <w:rPr>
                <w:rFonts w:asciiTheme="minorHAnsi" w:hAnsiTheme="minorHAnsi"/>
                <w:color w:val="000000"/>
                <w:sz w:val="18"/>
                <w:szCs w:val="16"/>
              </w:rPr>
              <w:t>375,504</w:t>
            </w:r>
          </w:p>
        </w:tc>
        <w:tc>
          <w:tcPr>
            <w:tcW w:w="1236" w:type="dxa"/>
            <w:shd w:val="clear" w:color="auto" w:fill="auto"/>
            <w:noWrap/>
            <w:vAlign w:val="center"/>
            <w:hideMark/>
          </w:tcPr>
          <w:p w:rsidR="00F24397" w:rsidRPr="00A52D36" w:rsidRDefault="00F24397" w:rsidP="00DE274C">
            <w:pPr>
              <w:tabs>
                <w:tab w:val="num" w:pos="0"/>
              </w:tabs>
              <w:jc w:val="right"/>
              <w:rPr>
                <w:rFonts w:asciiTheme="minorHAnsi" w:hAnsiTheme="minorHAnsi"/>
                <w:color w:val="000000"/>
                <w:sz w:val="18"/>
                <w:szCs w:val="16"/>
              </w:rPr>
            </w:pPr>
            <w:r w:rsidRPr="00A52D36">
              <w:rPr>
                <w:rFonts w:asciiTheme="minorHAnsi" w:hAnsiTheme="minorHAnsi"/>
                <w:color w:val="000000"/>
                <w:sz w:val="18"/>
                <w:szCs w:val="16"/>
              </w:rPr>
              <w:t>447,314</w:t>
            </w:r>
          </w:p>
        </w:tc>
      </w:tr>
      <w:tr w:rsidR="00F24397" w:rsidRPr="00F24397" w:rsidTr="00A52D36">
        <w:trPr>
          <w:cantSplit/>
          <w:trHeight w:val="313"/>
          <w:jc w:val="center"/>
        </w:trPr>
        <w:tc>
          <w:tcPr>
            <w:tcW w:w="1725" w:type="dxa"/>
            <w:vMerge/>
            <w:vAlign w:val="center"/>
            <w:hideMark/>
          </w:tcPr>
          <w:p w:rsidR="00F24397" w:rsidRPr="00A52D36" w:rsidRDefault="00F24397" w:rsidP="00DE274C">
            <w:pPr>
              <w:tabs>
                <w:tab w:val="num" w:pos="0"/>
              </w:tabs>
              <w:rPr>
                <w:rFonts w:asciiTheme="minorHAnsi" w:hAnsiTheme="minorHAnsi"/>
                <w:sz w:val="18"/>
                <w:szCs w:val="16"/>
              </w:rPr>
            </w:pPr>
          </w:p>
        </w:tc>
        <w:tc>
          <w:tcPr>
            <w:tcW w:w="2437" w:type="dxa"/>
            <w:tcBorders>
              <w:bottom w:val="single" w:sz="8" w:space="0" w:color="auto"/>
            </w:tcBorders>
            <w:shd w:val="clear" w:color="auto" w:fill="auto"/>
            <w:noWrap/>
            <w:vAlign w:val="center"/>
            <w:hideMark/>
          </w:tcPr>
          <w:p w:rsidR="00F24397" w:rsidRPr="00A52D36" w:rsidRDefault="00F24397" w:rsidP="00DE274C">
            <w:pPr>
              <w:tabs>
                <w:tab w:val="num" w:pos="0"/>
              </w:tabs>
              <w:rPr>
                <w:rFonts w:asciiTheme="minorHAnsi" w:hAnsiTheme="minorHAnsi"/>
                <w:sz w:val="18"/>
                <w:szCs w:val="16"/>
              </w:rPr>
            </w:pPr>
            <w:r w:rsidRPr="00A52D36">
              <w:rPr>
                <w:rFonts w:asciiTheme="minorHAnsi" w:hAnsiTheme="minorHAnsi"/>
                <w:sz w:val="18"/>
                <w:szCs w:val="16"/>
              </w:rPr>
              <w:t>Hired services and others</w:t>
            </w:r>
          </w:p>
        </w:tc>
        <w:tc>
          <w:tcPr>
            <w:tcW w:w="1253" w:type="dxa"/>
            <w:tcBorders>
              <w:bottom w:val="single" w:sz="8" w:space="0" w:color="auto"/>
            </w:tcBorders>
            <w:shd w:val="clear" w:color="auto" w:fill="auto"/>
            <w:noWrap/>
            <w:vAlign w:val="center"/>
            <w:hideMark/>
          </w:tcPr>
          <w:p w:rsidR="00F24397" w:rsidRPr="00A52D36" w:rsidRDefault="00F24397" w:rsidP="00DE274C">
            <w:pPr>
              <w:tabs>
                <w:tab w:val="num" w:pos="0"/>
              </w:tabs>
              <w:jc w:val="right"/>
              <w:rPr>
                <w:rFonts w:asciiTheme="minorHAnsi" w:hAnsiTheme="minorHAnsi"/>
                <w:sz w:val="18"/>
                <w:szCs w:val="16"/>
              </w:rPr>
            </w:pPr>
            <w:r w:rsidRPr="00A52D36">
              <w:rPr>
                <w:rFonts w:asciiTheme="minorHAnsi" w:hAnsiTheme="minorHAnsi"/>
                <w:sz w:val="18"/>
                <w:szCs w:val="16"/>
              </w:rPr>
              <w:t>442,463</w:t>
            </w:r>
          </w:p>
        </w:tc>
        <w:tc>
          <w:tcPr>
            <w:tcW w:w="1211" w:type="dxa"/>
            <w:tcBorders>
              <w:bottom w:val="single" w:sz="8" w:space="0" w:color="auto"/>
            </w:tcBorders>
            <w:shd w:val="clear" w:color="auto" w:fill="auto"/>
            <w:noWrap/>
            <w:vAlign w:val="center"/>
            <w:hideMark/>
          </w:tcPr>
          <w:p w:rsidR="00F24397" w:rsidRPr="00A52D36" w:rsidRDefault="00F24397" w:rsidP="00DE274C">
            <w:pPr>
              <w:tabs>
                <w:tab w:val="num" w:pos="0"/>
              </w:tabs>
              <w:jc w:val="right"/>
              <w:rPr>
                <w:rFonts w:asciiTheme="minorHAnsi" w:hAnsiTheme="minorHAnsi"/>
                <w:sz w:val="18"/>
                <w:szCs w:val="16"/>
              </w:rPr>
            </w:pPr>
            <w:r w:rsidRPr="00A52D36">
              <w:rPr>
                <w:rFonts w:asciiTheme="minorHAnsi" w:hAnsiTheme="minorHAnsi"/>
                <w:sz w:val="18"/>
                <w:szCs w:val="16"/>
              </w:rPr>
              <w:t>476,961</w:t>
            </w:r>
          </w:p>
        </w:tc>
        <w:tc>
          <w:tcPr>
            <w:tcW w:w="1260" w:type="dxa"/>
            <w:tcBorders>
              <w:bottom w:val="single" w:sz="8" w:space="0" w:color="auto"/>
            </w:tcBorders>
            <w:shd w:val="clear" w:color="auto" w:fill="auto"/>
            <w:noWrap/>
            <w:vAlign w:val="center"/>
            <w:hideMark/>
          </w:tcPr>
          <w:p w:rsidR="00F24397" w:rsidRPr="00A52D36" w:rsidRDefault="00F24397" w:rsidP="00DE274C">
            <w:pPr>
              <w:tabs>
                <w:tab w:val="num" w:pos="0"/>
              </w:tabs>
              <w:jc w:val="right"/>
              <w:rPr>
                <w:rFonts w:asciiTheme="minorHAnsi" w:hAnsiTheme="minorHAnsi"/>
                <w:sz w:val="18"/>
                <w:szCs w:val="16"/>
              </w:rPr>
            </w:pPr>
            <w:r w:rsidRPr="00A52D36">
              <w:rPr>
                <w:rFonts w:asciiTheme="minorHAnsi" w:hAnsiTheme="minorHAnsi"/>
                <w:sz w:val="18"/>
                <w:szCs w:val="16"/>
              </w:rPr>
              <w:t>507,239</w:t>
            </w:r>
          </w:p>
        </w:tc>
        <w:tc>
          <w:tcPr>
            <w:tcW w:w="1236" w:type="dxa"/>
            <w:tcBorders>
              <w:bottom w:val="single" w:sz="8" w:space="0" w:color="auto"/>
            </w:tcBorders>
            <w:shd w:val="clear" w:color="auto" w:fill="auto"/>
            <w:noWrap/>
            <w:vAlign w:val="center"/>
            <w:hideMark/>
          </w:tcPr>
          <w:p w:rsidR="00F24397" w:rsidRPr="00A52D36" w:rsidRDefault="00F24397" w:rsidP="00DE274C">
            <w:pPr>
              <w:tabs>
                <w:tab w:val="num" w:pos="0"/>
              </w:tabs>
              <w:jc w:val="right"/>
              <w:rPr>
                <w:rFonts w:asciiTheme="minorHAnsi" w:hAnsiTheme="minorHAnsi"/>
                <w:sz w:val="18"/>
                <w:szCs w:val="16"/>
              </w:rPr>
            </w:pPr>
            <w:r w:rsidRPr="00A52D36">
              <w:rPr>
                <w:rFonts w:asciiTheme="minorHAnsi" w:hAnsiTheme="minorHAnsi"/>
                <w:sz w:val="18"/>
                <w:szCs w:val="16"/>
              </w:rPr>
              <w:t>644,527</w:t>
            </w:r>
          </w:p>
        </w:tc>
      </w:tr>
      <w:tr w:rsidR="00F24397" w:rsidRPr="00F24397" w:rsidTr="00A52D36">
        <w:trPr>
          <w:cantSplit/>
          <w:trHeight w:val="259"/>
          <w:jc w:val="center"/>
        </w:trPr>
        <w:tc>
          <w:tcPr>
            <w:tcW w:w="1725" w:type="dxa"/>
            <w:vMerge/>
            <w:vAlign w:val="center"/>
            <w:hideMark/>
          </w:tcPr>
          <w:p w:rsidR="00F24397" w:rsidRPr="00A52D36" w:rsidRDefault="00F24397" w:rsidP="00DE274C">
            <w:pPr>
              <w:tabs>
                <w:tab w:val="num" w:pos="0"/>
              </w:tabs>
              <w:rPr>
                <w:rFonts w:asciiTheme="minorHAnsi" w:hAnsiTheme="minorHAnsi"/>
                <w:sz w:val="18"/>
                <w:szCs w:val="16"/>
              </w:rPr>
            </w:pPr>
          </w:p>
        </w:tc>
        <w:tc>
          <w:tcPr>
            <w:tcW w:w="2437" w:type="dxa"/>
            <w:shd w:val="clear" w:color="auto" w:fill="FFFFFF" w:themeFill="background1"/>
            <w:noWrap/>
            <w:vAlign w:val="center"/>
            <w:hideMark/>
          </w:tcPr>
          <w:p w:rsidR="00F24397" w:rsidRPr="00A52D36" w:rsidRDefault="00F24397" w:rsidP="00DE274C">
            <w:pPr>
              <w:tabs>
                <w:tab w:val="num" w:pos="0"/>
              </w:tabs>
              <w:rPr>
                <w:rFonts w:asciiTheme="minorHAnsi" w:hAnsiTheme="minorHAnsi"/>
                <w:sz w:val="18"/>
                <w:szCs w:val="16"/>
              </w:rPr>
            </w:pPr>
            <w:r w:rsidRPr="00A52D36">
              <w:rPr>
                <w:rFonts w:asciiTheme="minorHAnsi" w:hAnsiTheme="minorHAnsi"/>
                <w:sz w:val="18"/>
                <w:szCs w:val="16"/>
              </w:rPr>
              <w:t>Depreciation</w:t>
            </w:r>
          </w:p>
        </w:tc>
        <w:tc>
          <w:tcPr>
            <w:tcW w:w="1253" w:type="dxa"/>
            <w:shd w:val="clear" w:color="auto" w:fill="FFFFFF" w:themeFill="background1"/>
            <w:noWrap/>
            <w:vAlign w:val="center"/>
            <w:hideMark/>
          </w:tcPr>
          <w:p w:rsidR="00F24397" w:rsidRPr="00A52D36" w:rsidRDefault="00F24397" w:rsidP="00DE274C">
            <w:pPr>
              <w:tabs>
                <w:tab w:val="num" w:pos="0"/>
              </w:tabs>
              <w:jc w:val="right"/>
              <w:rPr>
                <w:rFonts w:asciiTheme="minorHAnsi" w:hAnsiTheme="minorHAnsi"/>
                <w:sz w:val="18"/>
                <w:szCs w:val="16"/>
              </w:rPr>
            </w:pPr>
            <w:r w:rsidRPr="00A52D36">
              <w:rPr>
                <w:rFonts w:asciiTheme="minorHAnsi" w:hAnsiTheme="minorHAnsi"/>
                <w:sz w:val="18"/>
                <w:szCs w:val="16"/>
              </w:rPr>
              <w:t>187,932</w:t>
            </w:r>
          </w:p>
        </w:tc>
        <w:tc>
          <w:tcPr>
            <w:tcW w:w="1211" w:type="dxa"/>
            <w:shd w:val="clear" w:color="auto" w:fill="FFFFFF" w:themeFill="background1"/>
            <w:noWrap/>
            <w:vAlign w:val="center"/>
            <w:hideMark/>
          </w:tcPr>
          <w:p w:rsidR="00F24397" w:rsidRPr="00A52D36" w:rsidRDefault="00F24397" w:rsidP="00DE274C">
            <w:pPr>
              <w:tabs>
                <w:tab w:val="num" w:pos="0"/>
              </w:tabs>
              <w:jc w:val="right"/>
              <w:rPr>
                <w:rFonts w:asciiTheme="minorHAnsi" w:hAnsiTheme="minorHAnsi"/>
                <w:sz w:val="18"/>
                <w:szCs w:val="16"/>
              </w:rPr>
            </w:pPr>
            <w:r w:rsidRPr="00A52D36">
              <w:rPr>
                <w:rFonts w:asciiTheme="minorHAnsi" w:hAnsiTheme="minorHAnsi"/>
                <w:sz w:val="18"/>
                <w:szCs w:val="16"/>
              </w:rPr>
              <w:t>188,715</w:t>
            </w:r>
          </w:p>
        </w:tc>
        <w:tc>
          <w:tcPr>
            <w:tcW w:w="1260" w:type="dxa"/>
            <w:shd w:val="clear" w:color="auto" w:fill="FFFFFF" w:themeFill="background1"/>
            <w:noWrap/>
            <w:vAlign w:val="center"/>
            <w:hideMark/>
          </w:tcPr>
          <w:p w:rsidR="00F24397" w:rsidRPr="00A52D36" w:rsidRDefault="00F24397" w:rsidP="00DE274C">
            <w:pPr>
              <w:tabs>
                <w:tab w:val="num" w:pos="0"/>
              </w:tabs>
              <w:jc w:val="right"/>
              <w:rPr>
                <w:rFonts w:asciiTheme="minorHAnsi" w:hAnsiTheme="minorHAnsi"/>
                <w:sz w:val="18"/>
                <w:szCs w:val="16"/>
              </w:rPr>
            </w:pPr>
            <w:r w:rsidRPr="00A52D36">
              <w:rPr>
                <w:rFonts w:asciiTheme="minorHAnsi" w:hAnsiTheme="minorHAnsi"/>
                <w:sz w:val="18"/>
                <w:szCs w:val="16"/>
              </w:rPr>
              <w:t>224,708</w:t>
            </w:r>
          </w:p>
        </w:tc>
        <w:tc>
          <w:tcPr>
            <w:tcW w:w="1236" w:type="dxa"/>
            <w:shd w:val="clear" w:color="auto" w:fill="FFFFFF" w:themeFill="background1"/>
            <w:noWrap/>
            <w:vAlign w:val="center"/>
            <w:hideMark/>
          </w:tcPr>
          <w:p w:rsidR="00F24397" w:rsidRPr="00A52D36" w:rsidRDefault="00F24397" w:rsidP="00DE274C">
            <w:pPr>
              <w:tabs>
                <w:tab w:val="num" w:pos="0"/>
              </w:tabs>
              <w:jc w:val="right"/>
              <w:rPr>
                <w:rFonts w:asciiTheme="minorHAnsi" w:hAnsiTheme="minorHAnsi"/>
                <w:sz w:val="18"/>
                <w:szCs w:val="16"/>
              </w:rPr>
            </w:pPr>
            <w:r w:rsidRPr="00A52D36">
              <w:rPr>
                <w:rFonts w:asciiTheme="minorHAnsi" w:hAnsiTheme="minorHAnsi"/>
                <w:sz w:val="18"/>
                <w:szCs w:val="16"/>
              </w:rPr>
              <w:t>269,991</w:t>
            </w:r>
          </w:p>
        </w:tc>
      </w:tr>
      <w:tr w:rsidR="00F24397" w:rsidRPr="00F24397" w:rsidTr="00A52D36">
        <w:trPr>
          <w:cantSplit/>
          <w:trHeight w:val="169"/>
          <w:jc w:val="center"/>
        </w:trPr>
        <w:tc>
          <w:tcPr>
            <w:tcW w:w="1725" w:type="dxa"/>
            <w:vMerge/>
            <w:vAlign w:val="center"/>
            <w:hideMark/>
          </w:tcPr>
          <w:p w:rsidR="00F24397" w:rsidRPr="00A52D36" w:rsidRDefault="00F24397" w:rsidP="00DE274C">
            <w:pPr>
              <w:tabs>
                <w:tab w:val="num" w:pos="0"/>
              </w:tabs>
              <w:rPr>
                <w:rFonts w:asciiTheme="minorHAnsi" w:hAnsiTheme="minorHAnsi"/>
                <w:sz w:val="18"/>
                <w:szCs w:val="16"/>
              </w:rPr>
            </w:pPr>
          </w:p>
        </w:tc>
        <w:tc>
          <w:tcPr>
            <w:tcW w:w="2437" w:type="dxa"/>
            <w:shd w:val="clear" w:color="auto" w:fill="FFFFFF" w:themeFill="background1"/>
            <w:noWrap/>
            <w:vAlign w:val="center"/>
            <w:hideMark/>
          </w:tcPr>
          <w:p w:rsidR="00F24397" w:rsidRPr="00A52D36" w:rsidRDefault="00F24397" w:rsidP="00DE274C">
            <w:pPr>
              <w:tabs>
                <w:tab w:val="num" w:pos="0"/>
              </w:tabs>
              <w:rPr>
                <w:rFonts w:asciiTheme="minorHAnsi" w:hAnsiTheme="minorHAnsi"/>
                <w:b/>
                <w:sz w:val="18"/>
                <w:szCs w:val="16"/>
              </w:rPr>
            </w:pPr>
            <w:r w:rsidRPr="00A52D36">
              <w:rPr>
                <w:rFonts w:asciiTheme="minorHAnsi" w:hAnsiTheme="minorHAnsi"/>
                <w:b/>
                <w:sz w:val="18"/>
                <w:szCs w:val="16"/>
              </w:rPr>
              <w:t>Total operating expenses</w:t>
            </w:r>
          </w:p>
        </w:tc>
        <w:tc>
          <w:tcPr>
            <w:tcW w:w="1253" w:type="dxa"/>
            <w:shd w:val="clear" w:color="auto" w:fill="FFFFFF" w:themeFill="background1"/>
            <w:noWrap/>
            <w:vAlign w:val="center"/>
            <w:hideMark/>
          </w:tcPr>
          <w:p w:rsidR="00F24397" w:rsidRPr="00A52D36" w:rsidRDefault="00F24397" w:rsidP="00DE274C">
            <w:pPr>
              <w:tabs>
                <w:tab w:val="num" w:pos="0"/>
              </w:tabs>
              <w:jc w:val="right"/>
              <w:rPr>
                <w:rFonts w:asciiTheme="minorHAnsi" w:hAnsiTheme="minorHAnsi"/>
                <w:b/>
                <w:sz w:val="18"/>
                <w:szCs w:val="16"/>
              </w:rPr>
            </w:pPr>
            <w:r w:rsidRPr="00A52D36">
              <w:rPr>
                <w:rFonts w:asciiTheme="minorHAnsi" w:hAnsiTheme="minorHAnsi"/>
                <w:b/>
                <w:sz w:val="18"/>
                <w:szCs w:val="16"/>
              </w:rPr>
              <w:t>1,186,402</w:t>
            </w:r>
          </w:p>
        </w:tc>
        <w:tc>
          <w:tcPr>
            <w:tcW w:w="1211" w:type="dxa"/>
            <w:shd w:val="clear" w:color="auto" w:fill="FFFFFF" w:themeFill="background1"/>
            <w:noWrap/>
            <w:vAlign w:val="center"/>
            <w:hideMark/>
          </w:tcPr>
          <w:p w:rsidR="00F24397" w:rsidRPr="00A52D36" w:rsidRDefault="00F24397" w:rsidP="00DE274C">
            <w:pPr>
              <w:tabs>
                <w:tab w:val="num" w:pos="0"/>
              </w:tabs>
              <w:jc w:val="right"/>
              <w:rPr>
                <w:rFonts w:asciiTheme="minorHAnsi" w:hAnsiTheme="minorHAnsi"/>
                <w:b/>
                <w:sz w:val="18"/>
                <w:szCs w:val="16"/>
              </w:rPr>
            </w:pPr>
            <w:r w:rsidRPr="00A52D36">
              <w:rPr>
                <w:rFonts w:asciiTheme="minorHAnsi" w:hAnsiTheme="minorHAnsi"/>
                <w:b/>
                <w:sz w:val="18"/>
                <w:szCs w:val="16"/>
              </w:rPr>
              <w:t>1,422,844</w:t>
            </w:r>
          </w:p>
        </w:tc>
        <w:tc>
          <w:tcPr>
            <w:tcW w:w="1260" w:type="dxa"/>
            <w:shd w:val="clear" w:color="auto" w:fill="FFFFFF" w:themeFill="background1"/>
            <w:noWrap/>
            <w:vAlign w:val="center"/>
            <w:hideMark/>
          </w:tcPr>
          <w:p w:rsidR="00F24397" w:rsidRPr="00A52D36" w:rsidRDefault="00F24397" w:rsidP="00DE274C">
            <w:pPr>
              <w:tabs>
                <w:tab w:val="num" w:pos="0"/>
              </w:tabs>
              <w:jc w:val="right"/>
              <w:rPr>
                <w:rFonts w:asciiTheme="minorHAnsi" w:hAnsiTheme="minorHAnsi"/>
                <w:b/>
                <w:sz w:val="18"/>
                <w:szCs w:val="16"/>
              </w:rPr>
            </w:pPr>
            <w:r w:rsidRPr="00A52D36">
              <w:rPr>
                <w:rFonts w:asciiTheme="minorHAnsi" w:hAnsiTheme="minorHAnsi"/>
                <w:b/>
                <w:sz w:val="18"/>
                <w:szCs w:val="16"/>
              </w:rPr>
              <w:t>1,627,373</w:t>
            </w:r>
          </w:p>
        </w:tc>
        <w:tc>
          <w:tcPr>
            <w:tcW w:w="1236" w:type="dxa"/>
            <w:shd w:val="clear" w:color="auto" w:fill="FFFFFF" w:themeFill="background1"/>
            <w:noWrap/>
            <w:vAlign w:val="center"/>
            <w:hideMark/>
          </w:tcPr>
          <w:p w:rsidR="00F24397" w:rsidRPr="00A52D36" w:rsidRDefault="00F24397" w:rsidP="00DE274C">
            <w:pPr>
              <w:tabs>
                <w:tab w:val="num" w:pos="0"/>
              </w:tabs>
              <w:jc w:val="right"/>
              <w:rPr>
                <w:rFonts w:asciiTheme="minorHAnsi" w:hAnsiTheme="minorHAnsi"/>
                <w:b/>
                <w:sz w:val="18"/>
                <w:szCs w:val="16"/>
              </w:rPr>
            </w:pPr>
            <w:r w:rsidRPr="00A52D36">
              <w:rPr>
                <w:rFonts w:asciiTheme="minorHAnsi" w:hAnsiTheme="minorHAnsi"/>
                <w:b/>
                <w:sz w:val="18"/>
                <w:szCs w:val="16"/>
              </w:rPr>
              <w:t>2,015,466</w:t>
            </w:r>
          </w:p>
        </w:tc>
      </w:tr>
      <w:tr w:rsidR="00F24397" w:rsidRPr="00F24397" w:rsidTr="00A52D36">
        <w:trPr>
          <w:cantSplit/>
          <w:trHeight w:val="214"/>
          <w:jc w:val="center"/>
        </w:trPr>
        <w:tc>
          <w:tcPr>
            <w:tcW w:w="1725" w:type="dxa"/>
            <w:vMerge/>
            <w:vAlign w:val="center"/>
            <w:hideMark/>
          </w:tcPr>
          <w:p w:rsidR="00F24397" w:rsidRPr="00A52D36" w:rsidRDefault="00F24397" w:rsidP="00DE274C">
            <w:pPr>
              <w:tabs>
                <w:tab w:val="num" w:pos="0"/>
              </w:tabs>
              <w:rPr>
                <w:rFonts w:asciiTheme="minorHAnsi" w:hAnsiTheme="minorHAnsi"/>
                <w:sz w:val="18"/>
                <w:szCs w:val="16"/>
              </w:rPr>
            </w:pPr>
          </w:p>
        </w:tc>
        <w:tc>
          <w:tcPr>
            <w:tcW w:w="2437" w:type="dxa"/>
            <w:shd w:val="clear" w:color="auto" w:fill="FFFFFF" w:themeFill="background1"/>
            <w:noWrap/>
            <w:vAlign w:val="center"/>
            <w:hideMark/>
          </w:tcPr>
          <w:p w:rsidR="00F24397" w:rsidRPr="00A52D36" w:rsidRDefault="00F24397" w:rsidP="00DE274C">
            <w:pPr>
              <w:tabs>
                <w:tab w:val="num" w:pos="0"/>
              </w:tabs>
              <w:rPr>
                <w:rFonts w:asciiTheme="minorHAnsi" w:hAnsiTheme="minorHAnsi"/>
                <w:sz w:val="18"/>
                <w:szCs w:val="16"/>
              </w:rPr>
            </w:pPr>
            <w:r w:rsidRPr="00A52D36">
              <w:rPr>
                <w:rFonts w:asciiTheme="minorHAnsi" w:hAnsiTheme="minorHAnsi"/>
                <w:sz w:val="18"/>
                <w:szCs w:val="16"/>
              </w:rPr>
              <w:t>Non-operating expenses</w:t>
            </w:r>
          </w:p>
        </w:tc>
        <w:tc>
          <w:tcPr>
            <w:tcW w:w="1253" w:type="dxa"/>
            <w:shd w:val="clear" w:color="auto" w:fill="FFFFFF" w:themeFill="background1"/>
            <w:noWrap/>
            <w:vAlign w:val="center"/>
            <w:hideMark/>
          </w:tcPr>
          <w:p w:rsidR="00F24397" w:rsidRPr="00A52D36" w:rsidRDefault="00F24397" w:rsidP="00DE274C">
            <w:pPr>
              <w:tabs>
                <w:tab w:val="num" w:pos="0"/>
              </w:tabs>
              <w:jc w:val="right"/>
              <w:rPr>
                <w:rFonts w:asciiTheme="minorHAnsi" w:hAnsiTheme="minorHAnsi"/>
                <w:sz w:val="18"/>
                <w:szCs w:val="16"/>
              </w:rPr>
            </w:pPr>
            <w:r w:rsidRPr="00A52D36">
              <w:rPr>
                <w:rFonts w:asciiTheme="minorHAnsi" w:hAnsiTheme="minorHAnsi"/>
                <w:sz w:val="18"/>
                <w:szCs w:val="16"/>
              </w:rPr>
              <w:t>1,448</w:t>
            </w:r>
          </w:p>
        </w:tc>
        <w:tc>
          <w:tcPr>
            <w:tcW w:w="1211" w:type="dxa"/>
            <w:shd w:val="clear" w:color="auto" w:fill="FFFFFF" w:themeFill="background1"/>
            <w:noWrap/>
            <w:vAlign w:val="center"/>
            <w:hideMark/>
          </w:tcPr>
          <w:p w:rsidR="00F24397" w:rsidRPr="00A52D36" w:rsidRDefault="00F24397" w:rsidP="00DE274C">
            <w:pPr>
              <w:tabs>
                <w:tab w:val="num" w:pos="0"/>
              </w:tabs>
              <w:jc w:val="right"/>
              <w:rPr>
                <w:rFonts w:asciiTheme="minorHAnsi" w:hAnsiTheme="minorHAnsi"/>
                <w:sz w:val="18"/>
                <w:szCs w:val="16"/>
              </w:rPr>
            </w:pPr>
            <w:r w:rsidRPr="00A52D36">
              <w:rPr>
                <w:rFonts w:asciiTheme="minorHAnsi" w:hAnsiTheme="minorHAnsi"/>
                <w:sz w:val="18"/>
                <w:szCs w:val="16"/>
              </w:rPr>
              <w:t>4,757</w:t>
            </w:r>
          </w:p>
        </w:tc>
        <w:tc>
          <w:tcPr>
            <w:tcW w:w="1260" w:type="dxa"/>
            <w:shd w:val="clear" w:color="auto" w:fill="FFFFFF" w:themeFill="background1"/>
            <w:noWrap/>
            <w:vAlign w:val="center"/>
            <w:hideMark/>
          </w:tcPr>
          <w:p w:rsidR="00F24397" w:rsidRPr="00A52D36" w:rsidRDefault="00F24397" w:rsidP="00DE274C">
            <w:pPr>
              <w:tabs>
                <w:tab w:val="num" w:pos="0"/>
              </w:tabs>
              <w:jc w:val="right"/>
              <w:rPr>
                <w:rFonts w:asciiTheme="minorHAnsi" w:hAnsiTheme="minorHAnsi"/>
                <w:sz w:val="18"/>
                <w:szCs w:val="16"/>
              </w:rPr>
            </w:pPr>
            <w:r w:rsidRPr="00A52D36">
              <w:rPr>
                <w:rFonts w:asciiTheme="minorHAnsi" w:hAnsiTheme="minorHAnsi"/>
                <w:sz w:val="18"/>
                <w:szCs w:val="16"/>
              </w:rPr>
              <w:t>3,347</w:t>
            </w:r>
          </w:p>
        </w:tc>
        <w:tc>
          <w:tcPr>
            <w:tcW w:w="1236" w:type="dxa"/>
            <w:shd w:val="clear" w:color="auto" w:fill="FFFFFF" w:themeFill="background1"/>
            <w:noWrap/>
            <w:vAlign w:val="center"/>
            <w:hideMark/>
          </w:tcPr>
          <w:p w:rsidR="00F24397" w:rsidRPr="00A52D36" w:rsidRDefault="00F24397" w:rsidP="00DE274C">
            <w:pPr>
              <w:tabs>
                <w:tab w:val="num" w:pos="0"/>
              </w:tabs>
              <w:jc w:val="right"/>
              <w:rPr>
                <w:rFonts w:asciiTheme="minorHAnsi" w:hAnsiTheme="minorHAnsi"/>
                <w:sz w:val="18"/>
                <w:szCs w:val="16"/>
              </w:rPr>
            </w:pPr>
            <w:r w:rsidRPr="00A52D36">
              <w:rPr>
                <w:rFonts w:asciiTheme="minorHAnsi" w:hAnsiTheme="minorHAnsi"/>
                <w:sz w:val="18"/>
                <w:szCs w:val="16"/>
              </w:rPr>
              <w:t>4,726</w:t>
            </w:r>
          </w:p>
        </w:tc>
      </w:tr>
      <w:tr w:rsidR="00F24397" w:rsidRPr="00F24397" w:rsidTr="00A52D36">
        <w:trPr>
          <w:cantSplit/>
          <w:trHeight w:val="169"/>
          <w:jc w:val="center"/>
        </w:trPr>
        <w:tc>
          <w:tcPr>
            <w:tcW w:w="1725" w:type="dxa"/>
            <w:vMerge/>
            <w:vAlign w:val="center"/>
            <w:hideMark/>
          </w:tcPr>
          <w:p w:rsidR="00F24397" w:rsidRPr="00A52D36" w:rsidRDefault="00F24397" w:rsidP="00DE274C">
            <w:pPr>
              <w:tabs>
                <w:tab w:val="num" w:pos="0"/>
              </w:tabs>
              <w:rPr>
                <w:rFonts w:asciiTheme="minorHAnsi" w:hAnsiTheme="minorHAnsi"/>
                <w:sz w:val="18"/>
                <w:szCs w:val="16"/>
              </w:rPr>
            </w:pPr>
          </w:p>
        </w:tc>
        <w:tc>
          <w:tcPr>
            <w:tcW w:w="2437" w:type="dxa"/>
            <w:shd w:val="clear" w:color="auto" w:fill="FFFFFF" w:themeFill="background1"/>
            <w:noWrap/>
            <w:vAlign w:val="center"/>
            <w:hideMark/>
          </w:tcPr>
          <w:p w:rsidR="00F24397" w:rsidRPr="00A52D36" w:rsidRDefault="00F24397" w:rsidP="00DE274C">
            <w:pPr>
              <w:tabs>
                <w:tab w:val="num" w:pos="0"/>
              </w:tabs>
              <w:rPr>
                <w:rFonts w:asciiTheme="minorHAnsi" w:hAnsiTheme="minorHAnsi"/>
                <w:b/>
                <w:sz w:val="18"/>
                <w:szCs w:val="16"/>
              </w:rPr>
            </w:pPr>
            <w:r w:rsidRPr="00A52D36">
              <w:rPr>
                <w:rFonts w:asciiTheme="minorHAnsi" w:hAnsiTheme="minorHAnsi"/>
                <w:b/>
                <w:sz w:val="18"/>
                <w:szCs w:val="16"/>
              </w:rPr>
              <w:t>Total expenses</w:t>
            </w:r>
          </w:p>
        </w:tc>
        <w:tc>
          <w:tcPr>
            <w:tcW w:w="1253" w:type="dxa"/>
            <w:shd w:val="clear" w:color="auto" w:fill="FFFFFF" w:themeFill="background1"/>
            <w:noWrap/>
            <w:vAlign w:val="center"/>
            <w:hideMark/>
          </w:tcPr>
          <w:p w:rsidR="00F24397" w:rsidRPr="00A52D36" w:rsidRDefault="00F24397" w:rsidP="00DE274C">
            <w:pPr>
              <w:tabs>
                <w:tab w:val="num" w:pos="0"/>
              </w:tabs>
              <w:jc w:val="right"/>
              <w:rPr>
                <w:rFonts w:asciiTheme="minorHAnsi" w:hAnsiTheme="minorHAnsi"/>
                <w:b/>
                <w:sz w:val="18"/>
                <w:szCs w:val="16"/>
              </w:rPr>
            </w:pPr>
            <w:r w:rsidRPr="00A52D36">
              <w:rPr>
                <w:rFonts w:asciiTheme="minorHAnsi" w:hAnsiTheme="minorHAnsi"/>
                <w:b/>
                <w:sz w:val="18"/>
                <w:szCs w:val="16"/>
              </w:rPr>
              <w:t>1,187,850</w:t>
            </w:r>
          </w:p>
        </w:tc>
        <w:tc>
          <w:tcPr>
            <w:tcW w:w="1211" w:type="dxa"/>
            <w:shd w:val="clear" w:color="auto" w:fill="FFFFFF" w:themeFill="background1"/>
            <w:noWrap/>
            <w:vAlign w:val="center"/>
            <w:hideMark/>
          </w:tcPr>
          <w:p w:rsidR="00F24397" w:rsidRPr="00A52D36" w:rsidRDefault="00F24397" w:rsidP="00DE274C">
            <w:pPr>
              <w:tabs>
                <w:tab w:val="num" w:pos="0"/>
              </w:tabs>
              <w:jc w:val="right"/>
              <w:rPr>
                <w:rFonts w:asciiTheme="minorHAnsi" w:hAnsiTheme="minorHAnsi"/>
                <w:b/>
                <w:sz w:val="18"/>
                <w:szCs w:val="16"/>
              </w:rPr>
            </w:pPr>
            <w:r w:rsidRPr="00A52D36">
              <w:rPr>
                <w:rFonts w:asciiTheme="minorHAnsi" w:hAnsiTheme="minorHAnsi"/>
                <w:b/>
                <w:sz w:val="18"/>
                <w:szCs w:val="16"/>
              </w:rPr>
              <w:t>1,427,601</w:t>
            </w:r>
          </w:p>
        </w:tc>
        <w:tc>
          <w:tcPr>
            <w:tcW w:w="1260" w:type="dxa"/>
            <w:shd w:val="clear" w:color="auto" w:fill="FFFFFF" w:themeFill="background1"/>
            <w:noWrap/>
            <w:vAlign w:val="center"/>
            <w:hideMark/>
          </w:tcPr>
          <w:p w:rsidR="00F24397" w:rsidRPr="00A52D36" w:rsidRDefault="00F24397" w:rsidP="00DE274C">
            <w:pPr>
              <w:tabs>
                <w:tab w:val="num" w:pos="0"/>
              </w:tabs>
              <w:jc w:val="right"/>
              <w:rPr>
                <w:rFonts w:asciiTheme="minorHAnsi" w:hAnsiTheme="minorHAnsi"/>
                <w:b/>
                <w:sz w:val="18"/>
                <w:szCs w:val="16"/>
              </w:rPr>
            </w:pPr>
            <w:r w:rsidRPr="00A52D36">
              <w:rPr>
                <w:rFonts w:asciiTheme="minorHAnsi" w:hAnsiTheme="minorHAnsi"/>
                <w:b/>
                <w:sz w:val="18"/>
                <w:szCs w:val="16"/>
              </w:rPr>
              <w:t>1,630,720</w:t>
            </w:r>
          </w:p>
        </w:tc>
        <w:tc>
          <w:tcPr>
            <w:tcW w:w="1236" w:type="dxa"/>
            <w:shd w:val="clear" w:color="auto" w:fill="FFFFFF" w:themeFill="background1"/>
            <w:noWrap/>
            <w:vAlign w:val="center"/>
            <w:hideMark/>
          </w:tcPr>
          <w:p w:rsidR="00F24397" w:rsidRPr="00A52D36" w:rsidRDefault="00F24397" w:rsidP="00DE274C">
            <w:pPr>
              <w:tabs>
                <w:tab w:val="num" w:pos="0"/>
              </w:tabs>
              <w:jc w:val="right"/>
              <w:rPr>
                <w:rFonts w:asciiTheme="minorHAnsi" w:hAnsiTheme="minorHAnsi"/>
                <w:b/>
                <w:sz w:val="18"/>
                <w:szCs w:val="16"/>
              </w:rPr>
            </w:pPr>
            <w:r w:rsidRPr="00A52D36">
              <w:rPr>
                <w:rFonts w:asciiTheme="minorHAnsi" w:hAnsiTheme="minorHAnsi"/>
                <w:b/>
                <w:sz w:val="18"/>
                <w:szCs w:val="16"/>
              </w:rPr>
              <w:t>2,020,192</w:t>
            </w:r>
          </w:p>
        </w:tc>
      </w:tr>
      <w:tr w:rsidR="00F24397" w:rsidRPr="00F24397" w:rsidTr="00A52D36">
        <w:trPr>
          <w:cantSplit/>
          <w:trHeight w:val="214"/>
          <w:jc w:val="center"/>
        </w:trPr>
        <w:tc>
          <w:tcPr>
            <w:tcW w:w="4162" w:type="dxa"/>
            <w:gridSpan w:val="2"/>
            <w:tcBorders>
              <w:bottom w:val="single" w:sz="8" w:space="0" w:color="auto"/>
            </w:tcBorders>
            <w:shd w:val="clear" w:color="auto" w:fill="FFFFFF" w:themeFill="background1"/>
            <w:noWrap/>
            <w:vAlign w:val="center"/>
            <w:hideMark/>
          </w:tcPr>
          <w:p w:rsidR="00F24397" w:rsidRPr="00A52D36" w:rsidRDefault="00F24397" w:rsidP="00DE274C">
            <w:pPr>
              <w:tabs>
                <w:tab w:val="num" w:pos="0"/>
              </w:tabs>
              <w:rPr>
                <w:rFonts w:asciiTheme="minorHAnsi" w:hAnsiTheme="minorHAnsi"/>
                <w:b/>
                <w:sz w:val="18"/>
                <w:szCs w:val="16"/>
              </w:rPr>
            </w:pPr>
            <w:r w:rsidRPr="00A52D36">
              <w:rPr>
                <w:rFonts w:asciiTheme="minorHAnsi" w:hAnsiTheme="minorHAnsi"/>
                <w:b/>
                <w:sz w:val="18"/>
                <w:szCs w:val="16"/>
              </w:rPr>
              <w:t>Profit / Loss (million BYR)</w:t>
            </w:r>
          </w:p>
        </w:tc>
        <w:tc>
          <w:tcPr>
            <w:tcW w:w="1253" w:type="dxa"/>
            <w:tcBorders>
              <w:bottom w:val="single" w:sz="8" w:space="0" w:color="auto"/>
            </w:tcBorders>
            <w:shd w:val="clear" w:color="auto" w:fill="FFFFFF" w:themeFill="background1"/>
            <w:noWrap/>
            <w:vAlign w:val="center"/>
            <w:hideMark/>
          </w:tcPr>
          <w:p w:rsidR="00F24397" w:rsidRPr="00A52D36" w:rsidRDefault="00F24397" w:rsidP="00DE274C">
            <w:pPr>
              <w:tabs>
                <w:tab w:val="num" w:pos="0"/>
              </w:tabs>
              <w:jc w:val="right"/>
              <w:rPr>
                <w:rFonts w:asciiTheme="minorHAnsi" w:hAnsiTheme="minorHAnsi"/>
                <w:b/>
                <w:sz w:val="18"/>
                <w:szCs w:val="16"/>
              </w:rPr>
            </w:pPr>
            <w:r w:rsidRPr="00A52D36">
              <w:rPr>
                <w:rFonts w:asciiTheme="minorHAnsi" w:hAnsiTheme="minorHAnsi"/>
                <w:b/>
                <w:sz w:val="18"/>
                <w:szCs w:val="16"/>
              </w:rPr>
              <w:t>687,307</w:t>
            </w:r>
          </w:p>
        </w:tc>
        <w:tc>
          <w:tcPr>
            <w:tcW w:w="1211" w:type="dxa"/>
            <w:tcBorders>
              <w:bottom w:val="single" w:sz="8" w:space="0" w:color="auto"/>
            </w:tcBorders>
            <w:shd w:val="clear" w:color="auto" w:fill="FFFFFF" w:themeFill="background1"/>
            <w:noWrap/>
            <w:vAlign w:val="center"/>
            <w:hideMark/>
          </w:tcPr>
          <w:p w:rsidR="00F24397" w:rsidRPr="00A52D36" w:rsidRDefault="00F24397" w:rsidP="00DE274C">
            <w:pPr>
              <w:tabs>
                <w:tab w:val="num" w:pos="0"/>
              </w:tabs>
              <w:jc w:val="right"/>
              <w:rPr>
                <w:rFonts w:asciiTheme="minorHAnsi" w:hAnsiTheme="minorHAnsi"/>
                <w:b/>
                <w:sz w:val="18"/>
                <w:szCs w:val="16"/>
              </w:rPr>
            </w:pPr>
            <w:r w:rsidRPr="00A52D36">
              <w:rPr>
                <w:rFonts w:asciiTheme="minorHAnsi" w:hAnsiTheme="minorHAnsi"/>
                <w:b/>
                <w:sz w:val="18"/>
                <w:szCs w:val="16"/>
              </w:rPr>
              <w:t>789,404</w:t>
            </w:r>
          </w:p>
        </w:tc>
        <w:tc>
          <w:tcPr>
            <w:tcW w:w="1260" w:type="dxa"/>
            <w:tcBorders>
              <w:bottom w:val="single" w:sz="8" w:space="0" w:color="auto"/>
            </w:tcBorders>
            <w:shd w:val="clear" w:color="auto" w:fill="FFFFFF" w:themeFill="background1"/>
            <w:noWrap/>
            <w:vAlign w:val="center"/>
            <w:hideMark/>
          </w:tcPr>
          <w:p w:rsidR="00F24397" w:rsidRPr="00A52D36" w:rsidRDefault="00F24397" w:rsidP="00DE274C">
            <w:pPr>
              <w:tabs>
                <w:tab w:val="num" w:pos="0"/>
              </w:tabs>
              <w:jc w:val="right"/>
              <w:rPr>
                <w:rFonts w:asciiTheme="minorHAnsi" w:hAnsiTheme="minorHAnsi"/>
                <w:b/>
                <w:sz w:val="18"/>
                <w:szCs w:val="16"/>
              </w:rPr>
            </w:pPr>
            <w:r w:rsidRPr="00A52D36">
              <w:rPr>
                <w:rFonts w:asciiTheme="minorHAnsi" w:hAnsiTheme="minorHAnsi"/>
                <w:b/>
                <w:sz w:val="18"/>
                <w:szCs w:val="16"/>
              </w:rPr>
              <w:t>966,334</w:t>
            </w:r>
          </w:p>
        </w:tc>
        <w:tc>
          <w:tcPr>
            <w:tcW w:w="1236" w:type="dxa"/>
            <w:tcBorders>
              <w:bottom w:val="single" w:sz="8" w:space="0" w:color="auto"/>
            </w:tcBorders>
            <w:shd w:val="clear" w:color="auto" w:fill="FFFFFF" w:themeFill="background1"/>
            <w:noWrap/>
            <w:vAlign w:val="center"/>
            <w:hideMark/>
          </w:tcPr>
          <w:p w:rsidR="00F24397" w:rsidRPr="00A52D36" w:rsidRDefault="00F24397" w:rsidP="00DE274C">
            <w:pPr>
              <w:tabs>
                <w:tab w:val="num" w:pos="0"/>
              </w:tabs>
              <w:jc w:val="right"/>
              <w:rPr>
                <w:rFonts w:asciiTheme="minorHAnsi" w:hAnsiTheme="minorHAnsi"/>
                <w:b/>
                <w:sz w:val="18"/>
                <w:szCs w:val="16"/>
              </w:rPr>
            </w:pPr>
            <w:r w:rsidRPr="00A52D36">
              <w:rPr>
                <w:rFonts w:asciiTheme="minorHAnsi" w:hAnsiTheme="minorHAnsi"/>
                <w:b/>
                <w:sz w:val="18"/>
                <w:szCs w:val="16"/>
              </w:rPr>
              <w:t>1,163,218</w:t>
            </w:r>
          </w:p>
        </w:tc>
      </w:tr>
      <w:tr w:rsidR="00F24397" w:rsidRPr="00F24397" w:rsidTr="00A52D36">
        <w:trPr>
          <w:cantSplit/>
          <w:trHeight w:val="315"/>
          <w:jc w:val="center"/>
        </w:trPr>
        <w:tc>
          <w:tcPr>
            <w:tcW w:w="9122" w:type="dxa"/>
            <w:gridSpan w:val="6"/>
            <w:tcBorders>
              <w:bottom w:val="nil"/>
            </w:tcBorders>
            <w:shd w:val="clear" w:color="auto" w:fill="auto"/>
            <w:noWrap/>
            <w:vAlign w:val="bottom"/>
            <w:hideMark/>
          </w:tcPr>
          <w:p w:rsidR="00F24397" w:rsidRPr="00F24397" w:rsidRDefault="00F24397" w:rsidP="00DE274C">
            <w:pPr>
              <w:tabs>
                <w:tab w:val="num" w:pos="0"/>
              </w:tabs>
              <w:rPr>
                <w:rFonts w:asciiTheme="minorHAnsi" w:hAnsiTheme="minorHAnsi"/>
                <w:color w:val="000000"/>
                <w:sz w:val="16"/>
                <w:szCs w:val="16"/>
              </w:rPr>
            </w:pPr>
            <w:r w:rsidRPr="00F24397">
              <w:rPr>
                <w:sz w:val="16"/>
                <w:szCs w:val="16"/>
              </w:rPr>
              <w:t>Source: Data reported by Belarusian Railway.</w:t>
            </w:r>
          </w:p>
        </w:tc>
      </w:tr>
    </w:tbl>
    <w:p w:rsidR="00F24397" w:rsidRPr="00F24397" w:rsidRDefault="00F24397" w:rsidP="00DE274C">
      <w:pPr>
        <w:tabs>
          <w:tab w:val="num" w:pos="0"/>
        </w:tabs>
        <w:autoSpaceDE w:val="0"/>
        <w:autoSpaceDN w:val="0"/>
        <w:adjustRightInd w:val="0"/>
        <w:spacing w:after="120"/>
        <w:jc w:val="both"/>
      </w:pPr>
    </w:p>
    <w:p w:rsidR="00CC1F17" w:rsidRPr="00AC422F" w:rsidRDefault="00CC1F17" w:rsidP="00AC422F">
      <w:pPr>
        <w:pStyle w:val="Style3"/>
        <w:rPr>
          <w:b w:val="0"/>
        </w:rPr>
      </w:pPr>
      <w:r w:rsidRPr="00CC1F17">
        <w:t xml:space="preserve">Passenger transport services in Belarus are not financially </w:t>
      </w:r>
      <w:r w:rsidR="00286F40">
        <w:t>self-</w:t>
      </w:r>
      <w:r w:rsidRPr="00CC1F17">
        <w:t>sustain</w:t>
      </w:r>
      <w:r w:rsidR="00286F40">
        <w:t>ing</w:t>
      </w:r>
      <w:r w:rsidRPr="00CC1F17">
        <w:t xml:space="preserve">. </w:t>
      </w:r>
      <w:fldSimple w:instr=" REF _Ref264021581 \h  \* MERGEFORMAT ">
        <w:r w:rsidR="00E85C5F" w:rsidRPr="00E85C5F">
          <w:rPr>
            <w:b w:val="0"/>
          </w:rPr>
          <w:t xml:space="preserve">Table </w:t>
        </w:r>
        <w:r w:rsidR="00E85C5F" w:rsidRPr="00E85C5F">
          <w:rPr>
            <w:b w:val="0"/>
            <w:noProof/>
          </w:rPr>
          <w:t>18</w:t>
        </w:r>
      </w:fldSimple>
      <w:r w:rsidRPr="00AC422F">
        <w:rPr>
          <w:b w:val="0"/>
        </w:rPr>
        <w:t xml:space="preserve"> presents the evolution of the main operational and financial parameters for operating passenger services during the period 2005-2008. The data illustrates decreasing rail passenger numbers from 2005 to 2008 and an unsatisfactory financial performance. </w:t>
      </w:r>
      <w:r w:rsidR="00286F40" w:rsidRPr="00AC422F">
        <w:rPr>
          <w:b w:val="0"/>
        </w:rPr>
        <w:t>In e</w:t>
      </w:r>
      <w:r w:rsidRPr="00AC422F">
        <w:rPr>
          <w:b w:val="0"/>
        </w:rPr>
        <w:t>ach year</w:t>
      </w:r>
      <w:r w:rsidR="00286F40" w:rsidRPr="00AC422F">
        <w:rPr>
          <w:b w:val="0"/>
        </w:rPr>
        <w:t xml:space="preserve"> of that period</w:t>
      </w:r>
      <w:r w:rsidRPr="00AC422F">
        <w:rPr>
          <w:b w:val="0"/>
        </w:rPr>
        <w:t xml:space="preserve">, the operation of passenger services produced financial losses, as operating costs are higher than the operating revenue. According to the data in </w:t>
      </w:r>
      <w:fldSimple w:instr=" REF _Ref258505613 \h  \* MERGEFORMAT ">
        <w:r w:rsidR="00E85C5F" w:rsidRPr="00E85C5F">
          <w:rPr>
            <w:b w:val="0"/>
          </w:rPr>
          <w:t>Figure 38</w:t>
        </w:r>
      </w:fldSimple>
      <w:r w:rsidRPr="00AC422F">
        <w:rPr>
          <w:b w:val="0"/>
        </w:rPr>
        <w:t xml:space="preserve">, in 2008 average revenue generated for one passenger-km was 0.027 Eurocents, while average operating costs for one passenger-km was 0.038 Eurocents. In spite of constant increases in unit revenue per passenger-km since 2005, operating costs increased at a higher rate and the services continue to generate losses. As a consequence of the unbalanced ratio of costs and revenue, the working ratio for passenger services varied during the period 2005-2008 between 138 percent and 125 percent, reflecting the important losses generated every year (see last line of </w:t>
      </w:r>
      <w:fldSimple w:instr=" REF _Ref258504122 \h  \* MERGEFORMAT ">
        <w:r w:rsidR="00E85C5F" w:rsidRPr="00E85C5F">
          <w:rPr>
            <w:b w:val="0"/>
          </w:rPr>
          <w:t xml:space="preserve">Table </w:t>
        </w:r>
        <w:r w:rsidR="00E85C5F" w:rsidRPr="00E85C5F">
          <w:rPr>
            <w:b w:val="0"/>
            <w:noProof/>
          </w:rPr>
          <w:t>16</w:t>
        </w:r>
      </w:fldSimple>
      <w:r w:rsidRPr="00AC422F">
        <w:rPr>
          <w:b w:val="0"/>
        </w:rPr>
        <w:t xml:space="preserve">). </w:t>
      </w:r>
    </w:p>
    <w:p w:rsidR="00B26D5A" w:rsidRPr="00B26D5A" w:rsidRDefault="00B26D5A" w:rsidP="00A52D36">
      <w:pPr>
        <w:pStyle w:val="Caption"/>
        <w:keepNext/>
        <w:tabs>
          <w:tab w:val="num" w:pos="0"/>
        </w:tabs>
        <w:jc w:val="center"/>
        <w:rPr>
          <w:color w:val="auto"/>
          <w:sz w:val="22"/>
          <w:szCs w:val="22"/>
        </w:rPr>
      </w:pPr>
      <w:bookmarkStart w:id="212" w:name="_Ref264021581"/>
      <w:bookmarkStart w:id="213" w:name="_Ref264034654"/>
      <w:bookmarkStart w:id="214" w:name="_Toc264227145"/>
      <w:proofErr w:type="gramStart"/>
      <w:r w:rsidRPr="00B26D5A">
        <w:rPr>
          <w:color w:val="auto"/>
          <w:sz w:val="22"/>
          <w:szCs w:val="22"/>
        </w:rPr>
        <w:lastRenderedPageBreak/>
        <w:t xml:space="preserve">Table </w:t>
      </w:r>
      <w:r w:rsidR="006B40AE" w:rsidRPr="00B26D5A">
        <w:rPr>
          <w:color w:val="auto"/>
          <w:sz w:val="22"/>
          <w:szCs w:val="22"/>
        </w:rPr>
        <w:fldChar w:fldCharType="begin"/>
      </w:r>
      <w:r w:rsidRPr="00B26D5A">
        <w:rPr>
          <w:color w:val="auto"/>
          <w:sz w:val="22"/>
          <w:szCs w:val="22"/>
        </w:rPr>
        <w:instrText xml:space="preserve"> SEQ Table \* ARABIC </w:instrText>
      </w:r>
      <w:r w:rsidR="006B40AE" w:rsidRPr="00B26D5A">
        <w:rPr>
          <w:color w:val="auto"/>
          <w:sz w:val="22"/>
          <w:szCs w:val="22"/>
        </w:rPr>
        <w:fldChar w:fldCharType="separate"/>
      </w:r>
      <w:r w:rsidR="009E2C86">
        <w:rPr>
          <w:noProof/>
          <w:color w:val="auto"/>
          <w:sz w:val="22"/>
          <w:szCs w:val="22"/>
        </w:rPr>
        <w:t>18</w:t>
      </w:r>
      <w:r w:rsidR="006B40AE" w:rsidRPr="00B26D5A">
        <w:rPr>
          <w:color w:val="auto"/>
          <w:sz w:val="22"/>
          <w:szCs w:val="22"/>
        </w:rPr>
        <w:fldChar w:fldCharType="end"/>
      </w:r>
      <w:bookmarkEnd w:id="212"/>
      <w:r w:rsidRPr="00B26D5A">
        <w:rPr>
          <w:color w:val="auto"/>
          <w:sz w:val="22"/>
          <w:szCs w:val="22"/>
        </w:rPr>
        <w:t>.</w:t>
      </w:r>
      <w:proofErr w:type="gramEnd"/>
      <w:r w:rsidRPr="00B26D5A">
        <w:rPr>
          <w:color w:val="auto"/>
          <w:sz w:val="22"/>
          <w:szCs w:val="22"/>
        </w:rPr>
        <w:t xml:space="preserve"> Evolution of Operational and Financial Performance of Operating Passenger Services 2005-2008</w:t>
      </w:r>
      <w:bookmarkEnd w:id="213"/>
      <w:bookmarkEnd w:id="214"/>
      <w:r w:rsidR="00C657E4" w:rsidRPr="00EE5173">
        <w:rPr>
          <w:rStyle w:val="FootnoteReference"/>
          <w:b w:val="0"/>
          <w:color w:val="auto"/>
        </w:rPr>
        <w:footnoteReference w:id="41"/>
      </w:r>
    </w:p>
    <w:tbl>
      <w:tblPr>
        <w:tblW w:w="9076" w:type="dxa"/>
        <w:tblInd w:w="93" w:type="dxa"/>
        <w:tblBorders>
          <w:top w:val="single" w:sz="8" w:space="0" w:color="auto"/>
          <w:bottom w:val="single" w:sz="4" w:space="0" w:color="auto"/>
          <w:insideH w:val="single" w:sz="8" w:space="0" w:color="auto"/>
        </w:tblBorders>
        <w:tblLook w:val="04A0"/>
      </w:tblPr>
      <w:tblGrid>
        <w:gridCol w:w="1815"/>
        <w:gridCol w:w="2790"/>
        <w:gridCol w:w="961"/>
        <w:gridCol w:w="1080"/>
        <w:gridCol w:w="1170"/>
        <w:gridCol w:w="1260"/>
      </w:tblGrid>
      <w:tr w:rsidR="00B26D5A" w:rsidRPr="00A52D36" w:rsidTr="00A52D36">
        <w:trPr>
          <w:trHeight w:val="300"/>
        </w:trPr>
        <w:tc>
          <w:tcPr>
            <w:tcW w:w="4605" w:type="dxa"/>
            <w:gridSpan w:val="2"/>
            <w:vMerge w:val="restart"/>
            <w:shd w:val="clear" w:color="auto" w:fill="auto"/>
            <w:vAlign w:val="center"/>
            <w:hideMark/>
          </w:tcPr>
          <w:p w:rsidR="00B26D5A" w:rsidRPr="00A52D36" w:rsidRDefault="00B26D5A" w:rsidP="00A52D36">
            <w:pPr>
              <w:keepNext/>
              <w:tabs>
                <w:tab w:val="num" w:pos="0"/>
              </w:tabs>
              <w:jc w:val="center"/>
              <w:rPr>
                <w:rFonts w:asciiTheme="minorHAnsi" w:hAnsiTheme="minorHAnsi"/>
                <w:b/>
                <w:bCs/>
                <w:sz w:val="18"/>
                <w:szCs w:val="16"/>
              </w:rPr>
            </w:pPr>
          </w:p>
        </w:tc>
        <w:tc>
          <w:tcPr>
            <w:tcW w:w="961" w:type="dxa"/>
            <w:vMerge w:val="restart"/>
            <w:shd w:val="clear" w:color="auto" w:fill="auto"/>
            <w:noWrap/>
            <w:vAlign w:val="center"/>
            <w:hideMark/>
          </w:tcPr>
          <w:p w:rsidR="00B26D5A" w:rsidRPr="00A52D36" w:rsidRDefault="00B26D5A" w:rsidP="00A52D36">
            <w:pPr>
              <w:keepNext/>
              <w:tabs>
                <w:tab w:val="num" w:pos="0"/>
              </w:tabs>
              <w:jc w:val="center"/>
              <w:rPr>
                <w:rFonts w:asciiTheme="minorHAnsi" w:hAnsiTheme="minorHAnsi"/>
                <w:b/>
                <w:bCs/>
                <w:sz w:val="18"/>
                <w:szCs w:val="16"/>
              </w:rPr>
            </w:pPr>
            <w:r w:rsidRPr="00A52D36">
              <w:rPr>
                <w:rFonts w:asciiTheme="minorHAnsi" w:hAnsiTheme="minorHAnsi"/>
                <w:b/>
                <w:bCs/>
                <w:sz w:val="18"/>
                <w:szCs w:val="16"/>
              </w:rPr>
              <w:t>2005</w:t>
            </w:r>
          </w:p>
        </w:tc>
        <w:tc>
          <w:tcPr>
            <w:tcW w:w="1080" w:type="dxa"/>
            <w:vMerge w:val="restart"/>
            <w:shd w:val="clear" w:color="auto" w:fill="auto"/>
            <w:noWrap/>
            <w:vAlign w:val="center"/>
            <w:hideMark/>
          </w:tcPr>
          <w:p w:rsidR="00B26D5A" w:rsidRPr="00A52D36" w:rsidRDefault="00B26D5A" w:rsidP="00A52D36">
            <w:pPr>
              <w:keepNext/>
              <w:tabs>
                <w:tab w:val="num" w:pos="0"/>
              </w:tabs>
              <w:jc w:val="center"/>
              <w:rPr>
                <w:rFonts w:asciiTheme="minorHAnsi" w:hAnsiTheme="minorHAnsi"/>
                <w:b/>
                <w:bCs/>
                <w:sz w:val="18"/>
                <w:szCs w:val="16"/>
              </w:rPr>
            </w:pPr>
            <w:r w:rsidRPr="00A52D36">
              <w:rPr>
                <w:rFonts w:asciiTheme="minorHAnsi" w:hAnsiTheme="minorHAnsi"/>
                <w:b/>
                <w:bCs/>
                <w:sz w:val="18"/>
                <w:szCs w:val="16"/>
              </w:rPr>
              <w:t>2006</w:t>
            </w:r>
          </w:p>
        </w:tc>
        <w:tc>
          <w:tcPr>
            <w:tcW w:w="1170" w:type="dxa"/>
            <w:vMerge w:val="restart"/>
            <w:shd w:val="clear" w:color="auto" w:fill="auto"/>
            <w:noWrap/>
            <w:vAlign w:val="center"/>
            <w:hideMark/>
          </w:tcPr>
          <w:p w:rsidR="00B26D5A" w:rsidRPr="00A52D36" w:rsidRDefault="00B26D5A" w:rsidP="00A52D36">
            <w:pPr>
              <w:keepNext/>
              <w:tabs>
                <w:tab w:val="num" w:pos="0"/>
              </w:tabs>
              <w:jc w:val="center"/>
              <w:rPr>
                <w:rFonts w:asciiTheme="minorHAnsi" w:hAnsiTheme="minorHAnsi"/>
                <w:b/>
                <w:bCs/>
                <w:sz w:val="18"/>
                <w:szCs w:val="16"/>
              </w:rPr>
            </w:pPr>
            <w:r w:rsidRPr="00A52D36">
              <w:rPr>
                <w:rFonts w:asciiTheme="minorHAnsi" w:hAnsiTheme="minorHAnsi"/>
                <w:b/>
                <w:bCs/>
                <w:sz w:val="18"/>
                <w:szCs w:val="16"/>
              </w:rPr>
              <w:t>2007</w:t>
            </w:r>
          </w:p>
        </w:tc>
        <w:tc>
          <w:tcPr>
            <w:tcW w:w="1260" w:type="dxa"/>
            <w:vMerge w:val="restart"/>
            <w:shd w:val="clear" w:color="auto" w:fill="auto"/>
            <w:vAlign w:val="center"/>
            <w:hideMark/>
          </w:tcPr>
          <w:p w:rsidR="00B26D5A" w:rsidRPr="00A52D36" w:rsidRDefault="00B26D5A" w:rsidP="00A52D36">
            <w:pPr>
              <w:keepNext/>
              <w:tabs>
                <w:tab w:val="num" w:pos="0"/>
              </w:tabs>
              <w:jc w:val="center"/>
              <w:rPr>
                <w:rFonts w:asciiTheme="minorHAnsi" w:hAnsiTheme="minorHAnsi"/>
                <w:b/>
                <w:bCs/>
                <w:sz w:val="18"/>
                <w:szCs w:val="16"/>
              </w:rPr>
            </w:pPr>
            <w:r w:rsidRPr="00A52D36">
              <w:rPr>
                <w:rFonts w:asciiTheme="minorHAnsi" w:hAnsiTheme="minorHAnsi"/>
                <w:b/>
                <w:bCs/>
                <w:sz w:val="18"/>
                <w:szCs w:val="16"/>
              </w:rPr>
              <w:t>2008</w:t>
            </w:r>
          </w:p>
        </w:tc>
      </w:tr>
      <w:tr w:rsidR="00B26D5A" w:rsidRPr="00A52D36" w:rsidTr="00A52D36">
        <w:trPr>
          <w:trHeight w:val="244"/>
        </w:trPr>
        <w:tc>
          <w:tcPr>
            <w:tcW w:w="4605" w:type="dxa"/>
            <w:gridSpan w:val="2"/>
            <w:vMerge/>
            <w:vAlign w:val="center"/>
            <w:hideMark/>
          </w:tcPr>
          <w:p w:rsidR="00B26D5A" w:rsidRPr="00A52D36" w:rsidRDefault="00B26D5A" w:rsidP="00A52D36">
            <w:pPr>
              <w:keepNext/>
              <w:tabs>
                <w:tab w:val="num" w:pos="0"/>
              </w:tabs>
              <w:rPr>
                <w:rFonts w:asciiTheme="minorHAnsi" w:hAnsiTheme="minorHAnsi"/>
                <w:b/>
                <w:bCs/>
                <w:sz w:val="18"/>
                <w:szCs w:val="16"/>
              </w:rPr>
            </w:pPr>
          </w:p>
        </w:tc>
        <w:tc>
          <w:tcPr>
            <w:tcW w:w="961" w:type="dxa"/>
            <w:vMerge/>
            <w:vAlign w:val="center"/>
            <w:hideMark/>
          </w:tcPr>
          <w:p w:rsidR="00B26D5A" w:rsidRPr="00A52D36" w:rsidRDefault="00B26D5A" w:rsidP="00A52D36">
            <w:pPr>
              <w:keepNext/>
              <w:tabs>
                <w:tab w:val="num" w:pos="0"/>
              </w:tabs>
              <w:rPr>
                <w:rFonts w:asciiTheme="minorHAnsi" w:hAnsiTheme="minorHAnsi"/>
                <w:b/>
                <w:bCs/>
                <w:sz w:val="18"/>
                <w:szCs w:val="16"/>
              </w:rPr>
            </w:pPr>
          </w:p>
        </w:tc>
        <w:tc>
          <w:tcPr>
            <w:tcW w:w="1080" w:type="dxa"/>
            <w:vMerge/>
            <w:vAlign w:val="center"/>
            <w:hideMark/>
          </w:tcPr>
          <w:p w:rsidR="00B26D5A" w:rsidRPr="00A52D36" w:rsidRDefault="00B26D5A" w:rsidP="00A52D36">
            <w:pPr>
              <w:keepNext/>
              <w:tabs>
                <w:tab w:val="num" w:pos="0"/>
              </w:tabs>
              <w:rPr>
                <w:rFonts w:asciiTheme="minorHAnsi" w:hAnsiTheme="minorHAnsi"/>
                <w:b/>
                <w:bCs/>
                <w:sz w:val="18"/>
                <w:szCs w:val="16"/>
              </w:rPr>
            </w:pPr>
          </w:p>
        </w:tc>
        <w:tc>
          <w:tcPr>
            <w:tcW w:w="1170" w:type="dxa"/>
            <w:vMerge/>
            <w:vAlign w:val="center"/>
            <w:hideMark/>
          </w:tcPr>
          <w:p w:rsidR="00B26D5A" w:rsidRPr="00A52D36" w:rsidRDefault="00B26D5A" w:rsidP="00A52D36">
            <w:pPr>
              <w:keepNext/>
              <w:tabs>
                <w:tab w:val="num" w:pos="0"/>
              </w:tabs>
              <w:rPr>
                <w:rFonts w:asciiTheme="minorHAnsi" w:hAnsiTheme="minorHAnsi"/>
                <w:b/>
                <w:bCs/>
                <w:sz w:val="18"/>
                <w:szCs w:val="16"/>
              </w:rPr>
            </w:pPr>
          </w:p>
        </w:tc>
        <w:tc>
          <w:tcPr>
            <w:tcW w:w="1260" w:type="dxa"/>
            <w:vMerge/>
            <w:vAlign w:val="center"/>
            <w:hideMark/>
          </w:tcPr>
          <w:p w:rsidR="00B26D5A" w:rsidRPr="00A52D36" w:rsidRDefault="00B26D5A" w:rsidP="00A52D36">
            <w:pPr>
              <w:keepNext/>
              <w:tabs>
                <w:tab w:val="num" w:pos="0"/>
              </w:tabs>
              <w:rPr>
                <w:rFonts w:asciiTheme="minorHAnsi" w:hAnsiTheme="minorHAnsi"/>
                <w:b/>
                <w:bCs/>
                <w:sz w:val="18"/>
                <w:szCs w:val="16"/>
              </w:rPr>
            </w:pPr>
          </w:p>
        </w:tc>
      </w:tr>
      <w:tr w:rsidR="00B26D5A" w:rsidRPr="00A52D36" w:rsidTr="00A52D36">
        <w:trPr>
          <w:trHeight w:val="179"/>
        </w:trPr>
        <w:tc>
          <w:tcPr>
            <w:tcW w:w="1815" w:type="dxa"/>
            <w:shd w:val="clear" w:color="auto" w:fill="FFFFFF" w:themeFill="background1"/>
            <w:vAlign w:val="center"/>
            <w:hideMark/>
          </w:tcPr>
          <w:p w:rsidR="00B26D5A" w:rsidRPr="00A52D36" w:rsidRDefault="00C657E4" w:rsidP="00A52D36">
            <w:pPr>
              <w:keepNext/>
              <w:tabs>
                <w:tab w:val="num" w:pos="0"/>
              </w:tabs>
              <w:rPr>
                <w:rFonts w:asciiTheme="minorHAnsi" w:hAnsiTheme="minorHAnsi"/>
                <w:sz w:val="18"/>
                <w:szCs w:val="16"/>
              </w:rPr>
            </w:pPr>
            <w:r w:rsidRPr="00A52D36">
              <w:rPr>
                <w:rFonts w:asciiTheme="minorHAnsi" w:hAnsiTheme="minorHAnsi"/>
                <w:sz w:val="18"/>
                <w:szCs w:val="16"/>
              </w:rPr>
              <w:t>Locomotives (units)</w:t>
            </w:r>
          </w:p>
        </w:tc>
        <w:tc>
          <w:tcPr>
            <w:tcW w:w="2790" w:type="dxa"/>
            <w:shd w:val="clear" w:color="auto" w:fill="FFFFFF" w:themeFill="background1"/>
            <w:noWrap/>
            <w:vAlign w:val="bottom"/>
            <w:hideMark/>
          </w:tcPr>
          <w:p w:rsidR="00B26D5A" w:rsidRPr="00A52D36" w:rsidRDefault="00B26D5A" w:rsidP="00A52D36">
            <w:pPr>
              <w:keepNext/>
              <w:tabs>
                <w:tab w:val="num" w:pos="0"/>
              </w:tabs>
              <w:rPr>
                <w:rFonts w:asciiTheme="minorHAnsi" w:hAnsiTheme="minorHAnsi"/>
                <w:sz w:val="18"/>
                <w:szCs w:val="16"/>
              </w:rPr>
            </w:pPr>
            <w:r w:rsidRPr="00A52D36">
              <w:rPr>
                <w:rFonts w:asciiTheme="minorHAnsi" w:hAnsiTheme="minorHAnsi"/>
                <w:sz w:val="18"/>
                <w:szCs w:val="16"/>
              </w:rPr>
              <w:t>Operational fleet</w:t>
            </w:r>
          </w:p>
        </w:tc>
        <w:tc>
          <w:tcPr>
            <w:tcW w:w="961" w:type="dxa"/>
            <w:shd w:val="clear" w:color="auto" w:fill="FFFFFF" w:themeFill="background1"/>
            <w:noWrap/>
            <w:vAlign w:val="center"/>
            <w:hideMark/>
          </w:tcPr>
          <w:p w:rsidR="00B26D5A" w:rsidRPr="00A52D36" w:rsidRDefault="00C657E4" w:rsidP="00A52D36">
            <w:pPr>
              <w:keepNext/>
              <w:tabs>
                <w:tab w:val="num" w:pos="0"/>
              </w:tabs>
              <w:jc w:val="right"/>
              <w:rPr>
                <w:rFonts w:asciiTheme="minorHAnsi" w:hAnsiTheme="minorHAnsi"/>
                <w:sz w:val="18"/>
                <w:szCs w:val="16"/>
              </w:rPr>
            </w:pPr>
            <w:r w:rsidRPr="00A52D36">
              <w:rPr>
                <w:rFonts w:asciiTheme="minorHAnsi" w:hAnsiTheme="minorHAnsi"/>
                <w:sz w:val="18"/>
                <w:szCs w:val="16"/>
              </w:rPr>
              <w:t>133</w:t>
            </w:r>
          </w:p>
        </w:tc>
        <w:tc>
          <w:tcPr>
            <w:tcW w:w="1080" w:type="dxa"/>
            <w:shd w:val="clear" w:color="auto" w:fill="FFFFFF" w:themeFill="background1"/>
            <w:noWrap/>
            <w:vAlign w:val="center"/>
            <w:hideMark/>
          </w:tcPr>
          <w:p w:rsidR="00B26D5A" w:rsidRPr="00A52D36" w:rsidRDefault="00C657E4" w:rsidP="00A52D36">
            <w:pPr>
              <w:keepNext/>
              <w:tabs>
                <w:tab w:val="num" w:pos="0"/>
              </w:tabs>
              <w:jc w:val="right"/>
              <w:rPr>
                <w:rFonts w:asciiTheme="minorHAnsi" w:hAnsiTheme="minorHAnsi"/>
                <w:sz w:val="18"/>
                <w:szCs w:val="16"/>
              </w:rPr>
            </w:pPr>
            <w:r w:rsidRPr="00A52D36">
              <w:rPr>
                <w:rFonts w:asciiTheme="minorHAnsi" w:hAnsiTheme="minorHAnsi"/>
                <w:sz w:val="18"/>
                <w:szCs w:val="16"/>
              </w:rPr>
              <w:t xml:space="preserve">132 </w:t>
            </w:r>
          </w:p>
        </w:tc>
        <w:tc>
          <w:tcPr>
            <w:tcW w:w="1170" w:type="dxa"/>
            <w:shd w:val="clear" w:color="auto" w:fill="FFFFFF" w:themeFill="background1"/>
            <w:noWrap/>
            <w:vAlign w:val="center"/>
            <w:hideMark/>
          </w:tcPr>
          <w:p w:rsidR="00B26D5A" w:rsidRPr="00A52D36" w:rsidRDefault="00C657E4" w:rsidP="00A52D36">
            <w:pPr>
              <w:keepNext/>
              <w:tabs>
                <w:tab w:val="num" w:pos="0"/>
              </w:tabs>
              <w:jc w:val="right"/>
              <w:rPr>
                <w:rFonts w:asciiTheme="minorHAnsi" w:hAnsiTheme="minorHAnsi"/>
                <w:sz w:val="18"/>
                <w:szCs w:val="16"/>
              </w:rPr>
            </w:pPr>
            <w:r w:rsidRPr="00A52D36">
              <w:rPr>
                <w:rFonts w:asciiTheme="minorHAnsi" w:hAnsiTheme="minorHAnsi"/>
                <w:sz w:val="18"/>
                <w:szCs w:val="16"/>
              </w:rPr>
              <w:t>134</w:t>
            </w:r>
          </w:p>
        </w:tc>
        <w:tc>
          <w:tcPr>
            <w:tcW w:w="1260" w:type="dxa"/>
            <w:shd w:val="clear" w:color="auto" w:fill="FFFFFF" w:themeFill="background1"/>
            <w:noWrap/>
            <w:vAlign w:val="center"/>
            <w:hideMark/>
          </w:tcPr>
          <w:p w:rsidR="00B26D5A" w:rsidRPr="00A52D36" w:rsidRDefault="00C657E4" w:rsidP="00A52D36">
            <w:pPr>
              <w:keepNext/>
              <w:tabs>
                <w:tab w:val="num" w:pos="0"/>
              </w:tabs>
              <w:jc w:val="right"/>
              <w:rPr>
                <w:rFonts w:asciiTheme="minorHAnsi" w:hAnsiTheme="minorHAnsi"/>
                <w:sz w:val="18"/>
                <w:szCs w:val="16"/>
              </w:rPr>
            </w:pPr>
            <w:r w:rsidRPr="00A52D36">
              <w:rPr>
                <w:rFonts w:asciiTheme="minorHAnsi" w:hAnsiTheme="minorHAnsi"/>
                <w:sz w:val="18"/>
                <w:szCs w:val="16"/>
              </w:rPr>
              <w:t>133</w:t>
            </w:r>
          </w:p>
        </w:tc>
      </w:tr>
      <w:tr w:rsidR="00B26D5A" w:rsidRPr="00A52D36" w:rsidTr="00A52D36">
        <w:trPr>
          <w:trHeight w:val="161"/>
        </w:trPr>
        <w:tc>
          <w:tcPr>
            <w:tcW w:w="1815" w:type="dxa"/>
            <w:vMerge w:val="restart"/>
            <w:shd w:val="clear" w:color="auto" w:fill="FFFFFF" w:themeFill="background1"/>
            <w:vAlign w:val="center"/>
            <w:hideMark/>
          </w:tcPr>
          <w:p w:rsidR="00B26D5A" w:rsidRPr="00A52D36" w:rsidRDefault="00B26D5A" w:rsidP="00A52D36">
            <w:pPr>
              <w:keepNext/>
              <w:tabs>
                <w:tab w:val="num" w:pos="0"/>
              </w:tabs>
              <w:rPr>
                <w:rFonts w:asciiTheme="minorHAnsi" w:hAnsiTheme="minorHAnsi"/>
                <w:sz w:val="18"/>
                <w:szCs w:val="16"/>
              </w:rPr>
            </w:pPr>
            <w:r w:rsidRPr="00A52D36">
              <w:rPr>
                <w:rFonts w:asciiTheme="minorHAnsi" w:hAnsiTheme="minorHAnsi"/>
                <w:sz w:val="18"/>
                <w:szCs w:val="16"/>
              </w:rPr>
              <w:t>Coaches (units)</w:t>
            </w:r>
          </w:p>
        </w:tc>
        <w:tc>
          <w:tcPr>
            <w:tcW w:w="2790" w:type="dxa"/>
            <w:shd w:val="clear" w:color="auto" w:fill="FFFFFF" w:themeFill="background1"/>
            <w:noWrap/>
            <w:vAlign w:val="bottom"/>
            <w:hideMark/>
          </w:tcPr>
          <w:p w:rsidR="00B26D5A" w:rsidRPr="00A52D36" w:rsidRDefault="00B26D5A" w:rsidP="00A52D36">
            <w:pPr>
              <w:keepNext/>
              <w:tabs>
                <w:tab w:val="num" w:pos="0"/>
              </w:tabs>
              <w:rPr>
                <w:rFonts w:asciiTheme="minorHAnsi" w:hAnsiTheme="minorHAnsi"/>
                <w:sz w:val="18"/>
                <w:szCs w:val="16"/>
              </w:rPr>
            </w:pPr>
            <w:r w:rsidRPr="00A52D36">
              <w:rPr>
                <w:rFonts w:asciiTheme="minorHAnsi" w:hAnsiTheme="minorHAnsi"/>
                <w:sz w:val="18"/>
                <w:szCs w:val="16"/>
              </w:rPr>
              <w:t>Total number</w:t>
            </w:r>
          </w:p>
        </w:tc>
        <w:tc>
          <w:tcPr>
            <w:tcW w:w="961" w:type="dxa"/>
            <w:shd w:val="clear" w:color="auto" w:fill="FFFFFF" w:themeFill="background1"/>
            <w:noWrap/>
            <w:vAlign w:val="center"/>
            <w:hideMark/>
          </w:tcPr>
          <w:p w:rsidR="00B26D5A" w:rsidRPr="00A52D36" w:rsidRDefault="00B26D5A" w:rsidP="00A52D36">
            <w:pPr>
              <w:keepNext/>
              <w:tabs>
                <w:tab w:val="num" w:pos="0"/>
              </w:tabs>
              <w:jc w:val="right"/>
              <w:rPr>
                <w:rFonts w:asciiTheme="minorHAnsi" w:hAnsiTheme="minorHAnsi"/>
                <w:sz w:val="18"/>
                <w:szCs w:val="16"/>
              </w:rPr>
            </w:pPr>
            <w:r w:rsidRPr="00A52D36">
              <w:rPr>
                <w:rFonts w:asciiTheme="minorHAnsi" w:hAnsiTheme="minorHAnsi"/>
                <w:sz w:val="18"/>
                <w:szCs w:val="16"/>
              </w:rPr>
              <w:t>1,720</w:t>
            </w:r>
          </w:p>
        </w:tc>
        <w:tc>
          <w:tcPr>
            <w:tcW w:w="1080" w:type="dxa"/>
            <w:shd w:val="clear" w:color="auto" w:fill="FFFFFF" w:themeFill="background1"/>
            <w:noWrap/>
            <w:vAlign w:val="center"/>
            <w:hideMark/>
          </w:tcPr>
          <w:p w:rsidR="00B26D5A" w:rsidRPr="00A52D36" w:rsidRDefault="00B26D5A" w:rsidP="00A52D36">
            <w:pPr>
              <w:keepNext/>
              <w:tabs>
                <w:tab w:val="num" w:pos="0"/>
              </w:tabs>
              <w:jc w:val="right"/>
              <w:rPr>
                <w:rFonts w:asciiTheme="minorHAnsi" w:hAnsiTheme="minorHAnsi"/>
                <w:sz w:val="18"/>
                <w:szCs w:val="16"/>
              </w:rPr>
            </w:pPr>
            <w:r w:rsidRPr="00A52D36">
              <w:rPr>
                <w:rFonts w:asciiTheme="minorHAnsi" w:hAnsiTheme="minorHAnsi"/>
                <w:sz w:val="18"/>
                <w:szCs w:val="16"/>
              </w:rPr>
              <w:t xml:space="preserve">1,698 </w:t>
            </w:r>
          </w:p>
        </w:tc>
        <w:tc>
          <w:tcPr>
            <w:tcW w:w="1170" w:type="dxa"/>
            <w:shd w:val="clear" w:color="auto" w:fill="FFFFFF" w:themeFill="background1"/>
            <w:noWrap/>
            <w:vAlign w:val="center"/>
            <w:hideMark/>
          </w:tcPr>
          <w:p w:rsidR="00B26D5A" w:rsidRPr="00A52D36" w:rsidRDefault="00B26D5A" w:rsidP="00A52D36">
            <w:pPr>
              <w:keepNext/>
              <w:tabs>
                <w:tab w:val="num" w:pos="0"/>
              </w:tabs>
              <w:jc w:val="right"/>
              <w:rPr>
                <w:rFonts w:asciiTheme="minorHAnsi" w:hAnsiTheme="minorHAnsi"/>
                <w:sz w:val="18"/>
                <w:szCs w:val="16"/>
              </w:rPr>
            </w:pPr>
            <w:r w:rsidRPr="00A52D36">
              <w:rPr>
                <w:rFonts w:asciiTheme="minorHAnsi" w:hAnsiTheme="minorHAnsi"/>
                <w:sz w:val="18"/>
                <w:szCs w:val="16"/>
              </w:rPr>
              <w:t>1,681</w:t>
            </w:r>
          </w:p>
        </w:tc>
        <w:tc>
          <w:tcPr>
            <w:tcW w:w="1260" w:type="dxa"/>
            <w:shd w:val="clear" w:color="auto" w:fill="FFFFFF" w:themeFill="background1"/>
            <w:noWrap/>
            <w:vAlign w:val="center"/>
            <w:hideMark/>
          </w:tcPr>
          <w:p w:rsidR="00B26D5A" w:rsidRPr="00A52D36" w:rsidRDefault="00B26D5A" w:rsidP="00A52D36">
            <w:pPr>
              <w:keepNext/>
              <w:tabs>
                <w:tab w:val="num" w:pos="0"/>
              </w:tabs>
              <w:jc w:val="right"/>
              <w:rPr>
                <w:rFonts w:asciiTheme="minorHAnsi" w:hAnsiTheme="minorHAnsi"/>
                <w:sz w:val="18"/>
                <w:szCs w:val="16"/>
              </w:rPr>
            </w:pPr>
            <w:r w:rsidRPr="00A52D36">
              <w:rPr>
                <w:rFonts w:asciiTheme="minorHAnsi" w:hAnsiTheme="minorHAnsi"/>
                <w:sz w:val="18"/>
                <w:szCs w:val="16"/>
              </w:rPr>
              <w:t>1,704</w:t>
            </w:r>
          </w:p>
        </w:tc>
      </w:tr>
      <w:tr w:rsidR="00B26D5A" w:rsidRPr="00A52D36" w:rsidTr="00A52D36">
        <w:trPr>
          <w:trHeight w:val="170"/>
        </w:trPr>
        <w:tc>
          <w:tcPr>
            <w:tcW w:w="1815" w:type="dxa"/>
            <w:vMerge/>
            <w:shd w:val="clear" w:color="auto" w:fill="FFFFFF" w:themeFill="background1"/>
            <w:vAlign w:val="center"/>
            <w:hideMark/>
          </w:tcPr>
          <w:p w:rsidR="00B26D5A" w:rsidRPr="00A52D36" w:rsidRDefault="00B26D5A" w:rsidP="00A52D36">
            <w:pPr>
              <w:keepNext/>
              <w:tabs>
                <w:tab w:val="num" w:pos="0"/>
              </w:tabs>
              <w:rPr>
                <w:rFonts w:asciiTheme="minorHAnsi" w:hAnsiTheme="minorHAnsi"/>
                <w:sz w:val="18"/>
                <w:szCs w:val="16"/>
              </w:rPr>
            </w:pPr>
          </w:p>
        </w:tc>
        <w:tc>
          <w:tcPr>
            <w:tcW w:w="2790" w:type="dxa"/>
            <w:shd w:val="clear" w:color="auto" w:fill="FFFFFF" w:themeFill="background1"/>
            <w:noWrap/>
            <w:vAlign w:val="bottom"/>
            <w:hideMark/>
          </w:tcPr>
          <w:p w:rsidR="00B26D5A" w:rsidRPr="00A52D36" w:rsidRDefault="00B26D5A" w:rsidP="00A52D36">
            <w:pPr>
              <w:keepNext/>
              <w:tabs>
                <w:tab w:val="num" w:pos="0"/>
              </w:tabs>
              <w:rPr>
                <w:rFonts w:asciiTheme="minorHAnsi" w:hAnsiTheme="minorHAnsi"/>
                <w:sz w:val="18"/>
                <w:szCs w:val="16"/>
              </w:rPr>
            </w:pPr>
            <w:r w:rsidRPr="00A52D36">
              <w:rPr>
                <w:rFonts w:asciiTheme="minorHAnsi" w:hAnsiTheme="minorHAnsi"/>
                <w:sz w:val="18"/>
                <w:szCs w:val="16"/>
              </w:rPr>
              <w:t>Operational fleet</w:t>
            </w:r>
          </w:p>
        </w:tc>
        <w:tc>
          <w:tcPr>
            <w:tcW w:w="961" w:type="dxa"/>
            <w:shd w:val="clear" w:color="auto" w:fill="FFFFFF" w:themeFill="background1"/>
            <w:noWrap/>
            <w:vAlign w:val="center"/>
            <w:hideMark/>
          </w:tcPr>
          <w:p w:rsidR="00B26D5A" w:rsidRPr="00A52D36" w:rsidRDefault="00B26D5A" w:rsidP="00A52D36">
            <w:pPr>
              <w:keepNext/>
              <w:tabs>
                <w:tab w:val="num" w:pos="0"/>
              </w:tabs>
              <w:jc w:val="right"/>
              <w:rPr>
                <w:rFonts w:asciiTheme="minorHAnsi" w:hAnsiTheme="minorHAnsi"/>
                <w:sz w:val="18"/>
                <w:szCs w:val="16"/>
              </w:rPr>
            </w:pPr>
            <w:r w:rsidRPr="00A52D36">
              <w:rPr>
                <w:rFonts w:asciiTheme="minorHAnsi" w:hAnsiTheme="minorHAnsi"/>
                <w:sz w:val="18"/>
                <w:szCs w:val="16"/>
              </w:rPr>
              <w:t>1,548</w:t>
            </w:r>
          </w:p>
        </w:tc>
        <w:tc>
          <w:tcPr>
            <w:tcW w:w="1080" w:type="dxa"/>
            <w:shd w:val="clear" w:color="auto" w:fill="FFFFFF" w:themeFill="background1"/>
            <w:noWrap/>
            <w:vAlign w:val="center"/>
            <w:hideMark/>
          </w:tcPr>
          <w:p w:rsidR="00B26D5A" w:rsidRPr="00A52D36" w:rsidRDefault="00B26D5A" w:rsidP="00A52D36">
            <w:pPr>
              <w:keepNext/>
              <w:tabs>
                <w:tab w:val="num" w:pos="0"/>
              </w:tabs>
              <w:jc w:val="right"/>
              <w:rPr>
                <w:rFonts w:asciiTheme="minorHAnsi" w:hAnsiTheme="minorHAnsi"/>
                <w:sz w:val="18"/>
                <w:szCs w:val="16"/>
              </w:rPr>
            </w:pPr>
            <w:r w:rsidRPr="00A52D36">
              <w:rPr>
                <w:rFonts w:asciiTheme="minorHAnsi" w:hAnsiTheme="minorHAnsi"/>
                <w:sz w:val="18"/>
                <w:szCs w:val="16"/>
              </w:rPr>
              <w:t xml:space="preserve">1,529 </w:t>
            </w:r>
          </w:p>
        </w:tc>
        <w:tc>
          <w:tcPr>
            <w:tcW w:w="1170" w:type="dxa"/>
            <w:shd w:val="clear" w:color="auto" w:fill="FFFFFF" w:themeFill="background1"/>
            <w:noWrap/>
            <w:vAlign w:val="center"/>
            <w:hideMark/>
          </w:tcPr>
          <w:p w:rsidR="00B26D5A" w:rsidRPr="00A52D36" w:rsidRDefault="00B26D5A" w:rsidP="00A52D36">
            <w:pPr>
              <w:keepNext/>
              <w:tabs>
                <w:tab w:val="num" w:pos="0"/>
              </w:tabs>
              <w:jc w:val="right"/>
              <w:rPr>
                <w:rFonts w:asciiTheme="minorHAnsi" w:hAnsiTheme="minorHAnsi"/>
                <w:sz w:val="18"/>
                <w:szCs w:val="16"/>
              </w:rPr>
            </w:pPr>
            <w:r w:rsidRPr="00A52D36">
              <w:rPr>
                <w:rFonts w:asciiTheme="minorHAnsi" w:hAnsiTheme="minorHAnsi"/>
                <w:sz w:val="18"/>
                <w:szCs w:val="16"/>
              </w:rPr>
              <w:t>1,513</w:t>
            </w:r>
          </w:p>
        </w:tc>
        <w:tc>
          <w:tcPr>
            <w:tcW w:w="1260" w:type="dxa"/>
            <w:shd w:val="clear" w:color="auto" w:fill="FFFFFF" w:themeFill="background1"/>
            <w:noWrap/>
            <w:vAlign w:val="center"/>
            <w:hideMark/>
          </w:tcPr>
          <w:p w:rsidR="00B26D5A" w:rsidRPr="00A52D36" w:rsidRDefault="00B26D5A" w:rsidP="00A52D36">
            <w:pPr>
              <w:keepNext/>
              <w:tabs>
                <w:tab w:val="num" w:pos="0"/>
              </w:tabs>
              <w:jc w:val="right"/>
              <w:rPr>
                <w:rFonts w:asciiTheme="minorHAnsi" w:hAnsiTheme="minorHAnsi"/>
                <w:sz w:val="18"/>
                <w:szCs w:val="16"/>
              </w:rPr>
            </w:pPr>
            <w:r w:rsidRPr="00A52D36">
              <w:rPr>
                <w:rFonts w:asciiTheme="minorHAnsi" w:hAnsiTheme="minorHAnsi"/>
                <w:sz w:val="18"/>
                <w:szCs w:val="16"/>
              </w:rPr>
              <w:t>1,534</w:t>
            </w:r>
          </w:p>
        </w:tc>
      </w:tr>
      <w:tr w:rsidR="00B26D5A" w:rsidRPr="00A52D36" w:rsidTr="00A52D36">
        <w:trPr>
          <w:trHeight w:val="161"/>
        </w:trPr>
        <w:tc>
          <w:tcPr>
            <w:tcW w:w="1815" w:type="dxa"/>
            <w:vMerge w:val="restart"/>
            <w:shd w:val="clear" w:color="auto" w:fill="FFFFFF" w:themeFill="background1"/>
            <w:vAlign w:val="center"/>
            <w:hideMark/>
          </w:tcPr>
          <w:p w:rsidR="00B26D5A" w:rsidRPr="00A52D36" w:rsidRDefault="00B26D5A" w:rsidP="00A52D36">
            <w:pPr>
              <w:keepNext/>
              <w:tabs>
                <w:tab w:val="num" w:pos="0"/>
              </w:tabs>
              <w:rPr>
                <w:rFonts w:asciiTheme="minorHAnsi" w:hAnsiTheme="minorHAnsi"/>
                <w:sz w:val="18"/>
                <w:szCs w:val="16"/>
              </w:rPr>
            </w:pPr>
            <w:r w:rsidRPr="00A52D36">
              <w:rPr>
                <w:rFonts w:asciiTheme="minorHAnsi" w:hAnsiTheme="minorHAnsi"/>
                <w:sz w:val="18"/>
                <w:szCs w:val="16"/>
              </w:rPr>
              <w:t>DMU/EMU (units)</w:t>
            </w:r>
          </w:p>
        </w:tc>
        <w:tc>
          <w:tcPr>
            <w:tcW w:w="2790" w:type="dxa"/>
            <w:shd w:val="clear" w:color="auto" w:fill="FFFFFF" w:themeFill="background1"/>
            <w:noWrap/>
            <w:vAlign w:val="bottom"/>
            <w:hideMark/>
          </w:tcPr>
          <w:p w:rsidR="00B26D5A" w:rsidRPr="00A52D36" w:rsidRDefault="00B26D5A" w:rsidP="00A52D36">
            <w:pPr>
              <w:keepNext/>
              <w:tabs>
                <w:tab w:val="num" w:pos="0"/>
              </w:tabs>
              <w:rPr>
                <w:rFonts w:asciiTheme="minorHAnsi" w:hAnsiTheme="minorHAnsi"/>
                <w:sz w:val="18"/>
                <w:szCs w:val="16"/>
              </w:rPr>
            </w:pPr>
            <w:r w:rsidRPr="00A52D36">
              <w:rPr>
                <w:rFonts w:asciiTheme="minorHAnsi" w:hAnsiTheme="minorHAnsi"/>
                <w:sz w:val="18"/>
                <w:szCs w:val="16"/>
              </w:rPr>
              <w:t>Total number</w:t>
            </w:r>
          </w:p>
        </w:tc>
        <w:tc>
          <w:tcPr>
            <w:tcW w:w="961" w:type="dxa"/>
            <w:shd w:val="clear" w:color="auto" w:fill="FFFFFF" w:themeFill="background1"/>
            <w:noWrap/>
            <w:vAlign w:val="center"/>
            <w:hideMark/>
          </w:tcPr>
          <w:p w:rsidR="00B26D5A" w:rsidRPr="00A52D36" w:rsidRDefault="00B26D5A" w:rsidP="00A52D36">
            <w:pPr>
              <w:keepNext/>
              <w:tabs>
                <w:tab w:val="num" w:pos="0"/>
              </w:tabs>
              <w:jc w:val="right"/>
              <w:rPr>
                <w:rFonts w:asciiTheme="minorHAnsi" w:hAnsiTheme="minorHAnsi"/>
                <w:sz w:val="18"/>
                <w:szCs w:val="16"/>
              </w:rPr>
            </w:pPr>
            <w:r w:rsidRPr="00A52D36">
              <w:rPr>
                <w:rFonts w:asciiTheme="minorHAnsi" w:hAnsiTheme="minorHAnsi"/>
                <w:sz w:val="18"/>
                <w:szCs w:val="16"/>
              </w:rPr>
              <w:t>165</w:t>
            </w:r>
          </w:p>
        </w:tc>
        <w:tc>
          <w:tcPr>
            <w:tcW w:w="1080" w:type="dxa"/>
            <w:shd w:val="clear" w:color="auto" w:fill="FFFFFF" w:themeFill="background1"/>
            <w:noWrap/>
            <w:vAlign w:val="center"/>
            <w:hideMark/>
          </w:tcPr>
          <w:p w:rsidR="00B26D5A" w:rsidRPr="00A52D36" w:rsidRDefault="00B26D5A" w:rsidP="00A52D36">
            <w:pPr>
              <w:keepNext/>
              <w:tabs>
                <w:tab w:val="num" w:pos="0"/>
              </w:tabs>
              <w:jc w:val="right"/>
              <w:rPr>
                <w:rFonts w:asciiTheme="minorHAnsi" w:hAnsiTheme="minorHAnsi"/>
                <w:sz w:val="18"/>
                <w:szCs w:val="16"/>
              </w:rPr>
            </w:pPr>
            <w:r w:rsidRPr="00A52D36">
              <w:rPr>
                <w:rFonts w:asciiTheme="minorHAnsi" w:hAnsiTheme="minorHAnsi"/>
                <w:sz w:val="18"/>
                <w:szCs w:val="16"/>
              </w:rPr>
              <w:t xml:space="preserve">171 </w:t>
            </w:r>
          </w:p>
        </w:tc>
        <w:tc>
          <w:tcPr>
            <w:tcW w:w="1170" w:type="dxa"/>
            <w:shd w:val="clear" w:color="auto" w:fill="FFFFFF" w:themeFill="background1"/>
            <w:noWrap/>
            <w:vAlign w:val="center"/>
            <w:hideMark/>
          </w:tcPr>
          <w:p w:rsidR="00B26D5A" w:rsidRPr="00A52D36" w:rsidRDefault="00B26D5A" w:rsidP="00A52D36">
            <w:pPr>
              <w:keepNext/>
              <w:tabs>
                <w:tab w:val="num" w:pos="0"/>
              </w:tabs>
              <w:jc w:val="right"/>
              <w:rPr>
                <w:rFonts w:asciiTheme="minorHAnsi" w:hAnsiTheme="minorHAnsi"/>
                <w:sz w:val="18"/>
                <w:szCs w:val="16"/>
              </w:rPr>
            </w:pPr>
            <w:r w:rsidRPr="00A52D36">
              <w:rPr>
                <w:rFonts w:asciiTheme="minorHAnsi" w:hAnsiTheme="minorHAnsi"/>
                <w:sz w:val="18"/>
                <w:szCs w:val="16"/>
              </w:rPr>
              <w:t>179</w:t>
            </w:r>
          </w:p>
        </w:tc>
        <w:tc>
          <w:tcPr>
            <w:tcW w:w="1260" w:type="dxa"/>
            <w:shd w:val="clear" w:color="auto" w:fill="FFFFFF" w:themeFill="background1"/>
            <w:noWrap/>
            <w:vAlign w:val="center"/>
            <w:hideMark/>
          </w:tcPr>
          <w:p w:rsidR="00B26D5A" w:rsidRPr="00A52D36" w:rsidRDefault="00B26D5A" w:rsidP="00A52D36">
            <w:pPr>
              <w:keepNext/>
              <w:tabs>
                <w:tab w:val="num" w:pos="0"/>
              </w:tabs>
              <w:jc w:val="right"/>
              <w:rPr>
                <w:rFonts w:asciiTheme="minorHAnsi" w:hAnsiTheme="minorHAnsi"/>
                <w:sz w:val="18"/>
                <w:szCs w:val="16"/>
              </w:rPr>
            </w:pPr>
            <w:r w:rsidRPr="00A52D36">
              <w:rPr>
                <w:rFonts w:asciiTheme="minorHAnsi" w:hAnsiTheme="minorHAnsi"/>
                <w:sz w:val="18"/>
                <w:szCs w:val="16"/>
              </w:rPr>
              <w:t>184</w:t>
            </w:r>
          </w:p>
        </w:tc>
      </w:tr>
      <w:tr w:rsidR="00B26D5A" w:rsidRPr="00A52D36" w:rsidTr="00A52D36">
        <w:trPr>
          <w:trHeight w:val="161"/>
        </w:trPr>
        <w:tc>
          <w:tcPr>
            <w:tcW w:w="1815" w:type="dxa"/>
            <w:vMerge/>
            <w:shd w:val="clear" w:color="auto" w:fill="FFFFFF" w:themeFill="background1"/>
            <w:vAlign w:val="center"/>
            <w:hideMark/>
          </w:tcPr>
          <w:p w:rsidR="00B26D5A" w:rsidRPr="00A52D36" w:rsidRDefault="00B26D5A" w:rsidP="00A52D36">
            <w:pPr>
              <w:keepNext/>
              <w:tabs>
                <w:tab w:val="num" w:pos="0"/>
              </w:tabs>
              <w:rPr>
                <w:rFonts w:asciiTheme="minorHAnsi" w:hAnsiTheme="minorHAnsi"/>
                <w:sz w:val="18"/>
                <w:szCs w:val="16"/>
              </w:rPr>
            </w:pPr>
          </w:p>
        </w:tc>
        <w:tc>
          <w:tcPr>
            <w:tcW w:w="2790" w:type="dxa"/>
            <w:shd w:val="clear" w:color="auto" w:fill="FFFFFF" w:themeFill="background1"/>
            <w:noWrap/>
            <w:vAlign w:val="bottom"/>
            <w:hideMark/>
          </w:tcPr>
          <w:p w:rsidR="00B26D5A" w:rsidRPr="00A52D36" w:rsidRDefault="00B26D5A" w:rsidP="00A52D36">
            <w:pPr>
              <w:keepNext/>
              <w:tabs>
                <w:tab w:val="num" w:pos="0"/>
              </w:tabs>
              <w:rPr>
                <w:rFonts w:asciiTheme="minorHAnsi" w:hAnsiTheme="minorHAnsi"/>
                <w:sz w:val="18"/>
                <w:szCs w:val="16"/>
              </w:rPr>
            </w:pPr>
            <w:r w:rsidRPr="00A52D36">
              <w:rPr>
                <w:rFonts w:asciiTheme="minorHAnsi" w:hAnsiTheme="minorHAnsi"/>
                <w:sz w:val="18"/>
                <w:szCs w:val="16"/>
              </w:rPr>
              <w:t>Operational fleet</w:t>
            </w:r>
          </w:p>
        </w:tc>
        <w:tc>
          <w:tcPr>
            <w:tcW w:w="961" w:type="dxa"/>
            <w:shd w:val="clear" w:color="auto" w:fill="FFFFFF" w:themeFill="background1"/>
            <w:noWrap/>
            <w:vAlign w:val="center"/>
            <w:hideMark/>
          </w:tcPr>
          <w:p w:rsidR="00B26D5A" w:rsidRPr="00A52D36" w:rsidRDefault="00B26D5A" w:rsidP="00A52D36">
            <w:pPr>
              <w:keepNext/>
              <w:tabs>
                <w:tab w:val="num" w:pos="0"/>
              </w:tabs>
              <w:jc w:val="right"/>
              <w:rPr>
                <w:rFonts w:asciiTheme="minorHAnsi" w:hAnsiTheme="minorHAnsi"/>
                <w:sz w:val="18"/>
                <w:szCs w:val="16"/>
              </w:rPr>
            </w:pPr>
            <w:r w:rsidRPr="00A52D36">
              <w:rPr>
                <w:rFonts w:asciiTheme="minorHAnsi" w:hAnsiTheme="minorHAnsi"/>
                <w:sz w:val="18"/>
                <w:szCs w:val="16"/>
              </w:rPr>
              <w:t>160</w:t>
            </w:r>
          </w:p>
        </w:tc>
        <w:tc>
          <w:tcPr>
            <w:tcW w:w="1080" w:type="dxa"/>
            <w:shd w:val="clear" w:color="auto" w:fill="FFFFFF" w:themeFill="background1"/>
            <w:noWrap/>
            <w:vAlign w:val="center"/>
            <w:hideMark/>
          </w:tcPr>
          <w:p w:rsidR="00B26D5A" w:rsidRPr="00A52D36" w:rsidRDefault="00B26D5A" w:rsidP="00A52D36">
            <w:pPr>
              <w:keepNext/>
              <w:tabs>
                <w:tab w:val="num" w:pos="0"/>
              </w:tabs>
              <w:jc w:val="right"/>
              <w:rPr>
                <w:rFonts w:asciiTheme="minorHAnsi" w:hAnsiTheme="minorHAnsi"/>
                <w:sz w:val="18"/>
                <w:szCs w:val="16"/>
              </w:rPr>
            </w:pPr>
            <w:r w:rsidRPr="00A52D36">
              <w:rPr>
                <w:rFonts w:asciiTheme="minorHAnsi" w:hAnsiTheme="minorHAnsi"/>
                <w:sz w:val="18"/>
                <w:szCs w:val="16"/>
              </w:rPr>
              <w:t xml:space="preserve">166 </w:t>
            </w:r>
          </w:p>
        </w:tc>
        <w:tc>
          <w:tcPr>
            <w:tcW w:w="1170" w:type="dxa"/>
            <w:shd w:val="clear" w:color="auto" w:fill="FFFFFF" w:themeFill="background1"/>
            <w:noWrap/>
            <w:vAlign w:val="center"/>
            <w:hideMark/>
          </w:tcPr>
          <w:p w:rsidR="00B26D5A" w:rsidRPr="00A52D36" w:rsidRDefault="00B26D5A" w:rsidP="00A52D36">
            <w:pPr>
              <w:keepNext/>
              <w:tabs>
                <w:tab w:val="num" w:pos="0"/>
              </w:tabs>
              <w:jc w:val="right"/>
              <w:rPr>
                <w:rFonts w:asciiTheme="minorHAnsi" w:hAnsiTheme="minorHAnsi"/>
                <w:sz w:val="18"/>
                <w:szCs w:val="16"/>
              </w:rPr>
            </w:pPr>
            <w:r w:rsidRPr="00A52D36">
              <w:rPr>
                <w:rFonts w:asciiTheme="minorHAnsi" w:hAnsiTheme="minorHAnsi"/>
                <w:sz w:val="18"/>
                <w:szCs w:val="16"/>
              </w:rPr>
              <w:t>173</w:t>
            </w:r>
          </w:p>
        </w:tc>
        <w:tc>
          <w:tcPr>
            <w:tcW w:w="1260" w:type="dxa"/>
            <w:shd w:val="clear" w:color="auto" w:fill="FFFFFF" w:themeFill="background1"/>
            <w:noWrap/>
            <w:vAlign w:val="center"/>
            <w:hideMark/>
          </w:tcPr>
          <w:p w:rsidR="00B26D5A" w:rsidRPr="00A52D36" w:rsidRDefault="00B26D5A" w:rsidP="00A52D36">
            <w:pPr>
              <w:keepNext/>
              <w:tabs>
                <w:tab w:val="num" w:pos="0"/>
              </w:tabs>
              <w:jc w:val="right"/>
              <w:rPr>
                <w:rFonts w:asciiTheme="minorHAnsi" w:hAnsiTheme="minorHAnsi"/>
                <w:sz w:val="18"/>
                <w:szCs w:val="16"/>
              </w:rPr>
            </w:pPr>
            <w:r w:rsidRPr="00A52D36">
              <w:rPr>
                <w:rFonts w:asciiTheme="minorHAnsi" w:hAnsiTheme="minorHAnsi"/>
                <w:sz w:val="18"/>
                <w:szCs w:val="16"/>
              </w:rPr>
              <w:t>174</w:t>
            </w:r>
          </w:p>
        </w:tc>
      </w:tr>
      <w:tr w:rsidR="00B26D5A" w:rsidRPr="00A52D36" w:rsidTr="00A52D36">
        <w:trPr>
          <w:trHeight w:val="206"/>
        </w:trPr>
        <w:tc>
          <w:tcPr>
            <w:tcW w:w="4605" w:type="dxa"/>
            <w:gridSpan w:val="2"/>
            <w:shd w:val="clear" w:color="auto" w:fill="FFFFFF" w:themeFill="background1"/>
            <w:noWrap/>
            <w:vAlign w:val="bottom"/>
            <w:hideMark/>
          </w:tcPr>
          <w:p w:rsidR="00B26D5A" w:rsidRPr="00A52D36" w:rsidRDefault="00B26D5A" w:rsidP="00A52D36">
            <w:pPr>
              <w:keepNext/>
              <w:tabs>
                <w:tab w:val="num" w:pos="0"/>
              </w:tabs>
              <w:rPr>
                <w:rFonts w:asciiTheme="minorHAnsi" w:hAnsiTheme="minorHAnsi"/>
                <w:sz w:val="18"/>
                <w:szCs w:val="16"/>
              </w:rPr>
            </w:pPr>
            <w:r w:rsidRPr="00A52D36">
              <w:rPr>
                <w:rFonts w:asciiTheme="minorHAnsi" w:hAnsiTheme="minorHAnsi"/>
                <w:sz w:val="18"/>
                <w:szCs w:val="16"/>
              </w:rPr>
              <w:t>Passengers (million)</w:t>
            </w:r>
          </w:p>
        </w:tc>
        <w:tc>
          <w:tcPr>
            <w:tcW w:w="961" w:type="dxa"/>
            <w:shd w:val="clear" w:color="auto" w:fill="FFFFFF" w:themeFill="background1"/>
            <w:noWrap/>
            <w:vAlign w:val="center"/>
            <w:hideMark/>
          </w:tcPr>
          <w:p w:rsidR="00B26D5A" w:rsidRPr="00A52D36" w:rsidRDefault="00B26D5A" w:rsidP="00A52D36">
            <w:pPr>
              <w:keepNext/>
              <w:tabs>
                <w:tab w:val="num" w:pos="0"/>
              </w:tabs>
              <w:jc w:val="right"/>
              <w:rPr>
                <w:rFonts w:asciiTheme="minorHAnsi" w:hAnsiTheme="minorHAnsi"/>
                <w:sz w:val="18"/>
                <w:szCs w:val="16"/>
              </w:rPr>
            </w:pPr>
            <w:r w:rsidRPr="00A52D36">
              <w:rPr>
                <w:rFonts w:asciiTheme="minorHAnsi" w:hAnsiTheme="minorHAnsi"/>
                <w:sz w:val="18"/>
                <w:szCs w:val="16"/>
              </w:rPr>
              <w:t>104,528.9</w:t>
            </w:r>
          </w:p>
        </w:tc>
        <w:tc>
          <w:tcPr>
            <w:tcW w:w="1080" w:type="dxa"/>
            <w:shd w:val="clear" w:color="auto" w:fill="FFFFFF" w:themeFill="background1"/>
            <w:noWrap/>
            <w:vAlign w:val="center"/>
            <w:hideMark/>
          </w:tcPr>
          <w:p w:rsidR="00B26D5A" w:rsidRPr="00A52D36" w:rsidRDefault="00B26D5A" w:rsidP="00A52D36">
            <w:pPr>
              <w:keepNext/>
              <w:tabs>
                <w:tab w:val="num" w:pos="0"/>
              </w:tabs>
              <w:jc w:val="right"/>
              <w:rPr>
                <w:rFonts w:asciiTheme="minorHAnsi" w:hAnsiTheme="minorHAnsi"/>
                <w:sz w:val="18"/>
                <w:szCs w:val="16"/>
              </w:rPr>
            </w:pPr>
            <w:r w:rsidRPr="00A52D36">
              <w:rPr>
                <w:rFonts w:asciiTheme="minorHAnsi" w:hAnsiTheme="minorHAnsi"/>
                <w:sz w:val="18"/>
                <w:szCs w:val="16"/>
              </w:rPr>
              <w:t>99,434.2</w:t>
            </w:r>
          </w:p>
        </w:tc>
        <w:tc>
          <w:tcPr>
            <w:tcW w:w="1170" w:type="dxa"/>
            <w:shd w:val="clear" w:color="auto" w:fill="FFFFFF" w:themeFill="background1"/>
            <w:noWrap/>
            <w:vAlign w:val="center"/>
            <w:hideMark/>
          </w:tcPr>
          <w:p w:rsidR="00B26D5A" w:rsidRPr="00A52D36" w:rsidRDefault="00B26D5A" w:rsidP="00A52D36">
            <w:pPr>
              <w:keepNext/>
              <w:tabs>
                <w:tab w:val="num" w:pos="0"/>
              </w:tabs>
              <w:jc w:val="right"/>
              <w:rPr>
                <w:rFonts w:asciiTheme="minorHAnsi" w:hAnsiTheme="minorHAnsi"/>
                <w:sz w:val="18"/>
                <w:szCs w:val="16"/>
              </w:rPr>
            </w:pPr>
            <w:r w:rsidRPr="00A52D36">
              <w:rPr>
                <w:rFonts w:asciiTheme="minorHAnsi" w:hAnsiTheme="minorHAnsi"/>
                <w:sz w:val="18"/>
                <w:szCs w:val="16"/>
              </w:rPr>
              <w:t>92,595.2</w:t>
            </w:r>
          </w:p>
        </w:tc>
        <w:tc>
          <w:tcPr>
            <w:tcW w:w="1260" w:type="dxa"/>
            <w:shd w:val="clear" w:color="auto" w:fill="FFFFFF" w:themeFill="background1"/>
            <w:noWrap/>
            <w:vAlign w:val="center"/>
            <w:hideMark/>
          </w:tcPr>
          <w:p w:rsidR="00B26D5A" w:rsidRPr="00A52D36" w:rsidRDefault="00B26D5A" w:rsidP="00A52D36">
            <w:pPr>
              <w:keepNext/>
              <w:tabs>
                <w:tab w:val="num" w:pos="0"/>
              </w:tabs>
              <w:jc w:val="right"/>
              <w:rPr>
                <w:rFonts w:asciiTheme="minorHAnsi" w:hAnsiTheme="minorHAnsi"/>
                <w:sz w:val="18"/>
                <w:szCs w:val="16"/>
              </w:rPr>
            </w:pPr>
            <w:r w:rsidRPr="00A52D36">
              <w:rPr>
                <w:rFonts w:asciiTheme="minorHAnsi" w:hAnsiTheme="minorHAnsi"/>
                <w:sz w:val="18"/>
                <w:szCs w:val="16"/>
              </w:rPr>
              <w:t>87,993.4</w:t>
            </w:r>
          </w:p>
        </w:tc>
      </w:tr>
      <w:tr w:rsidR="00B26D5A" w:rsidRPr="00A52D36" w:rsidTr="00A52D36">
        <w:trPr>
          <w:trHeight w:val="215"/>
        </w:trPr>
        <w:tc>
          <w:tcPr>
            <w:tcW w:w="4605" w:type="dxa"/>
            <w:gridSpan w:val="2"/>
            <w:shd w:val="clear" w:color="auto" w:fill="FFFFFF" w:themeFill="background1"/>
            <w:noWrap/>
            <w:vAlign w:val="bottom"/>
            <w:hideMark/>
          </w:tcPr>
          <w:p w:rsidR="00B26D5A" w:rsidRPr="00A52D36" w:rsidRDefault="00B26D5A" w:rsidP="00A52D36">
            <w:pPr>
              <w:keepNext/>
              <w:tabs>
                <w:tab w:val="num" w:pos="0"/>
              </w:tabs>
              <w:rPr>
                <w:rFonts w:asciiTheme="minorHAnsi" w:hAnsiTheme="minorHAnsi"/>
                <w:sz w:val="18"/>
                <w:szCs w:val="16"/>
              </w:rPr>
            </w:pPr>
            <w:r w:rsidRPr="00A52D36">
              <w:rPr>
                <w:rFonts w:asciiTheme="minorHAnsi" w:hAnsiTheme="minorHAnsi"/>
                <w:sz w:val="18"/>
                <w:szCs w:val="16"/>
              </w:rPr>
              <w:t>Passenger-Km (million)</w:t>
            </w:r>
          </w:p>
        </w:tc>
        <w:tc>
          <w:tcPr>
            <w:tcW w:w="961" w:type="dxa"/>
            <w:shd w:val="clear" w:color="auto" w:fill="FFFFFF" w:themeFill="background1"/>
            <w:noWrap/>
            <w:vAlign w:val="center"/>
            <w:hideMark/>
          </w:tcPr>
          <w:p w:rsidR="00B26D5A" w:rsidRPr="00A52D36" w:rsidRDefault="00B26D5A" w:rsidP="00A52D36">
            <w:pPr>
              <w:keepNext/>
              <w:tabs>
                <w:tab w:val="num" w:pos="0"/>
              </w:tabs>
              <w:jc w:val="right"/>
              <w:rPr>
                <w:rFonts w:asciiTheme="minorHAnsi" w:hAnsiTheme="minorHAnsi"/>
                <w:sz w:val="18"/>
                <w:szCs w:val="16"/>
              </w:rPr>
            </w:pPr>
            <w:r w:rsidRPr="00A52D36">
              <w:rPr>
                <w:rFonts w:asciiTheme="minorHAnsi" w:hAnsiTheme="minorHAnsi"/>
                <w:sz w:val="18"/>
                <w:szCs w:val="16"/>
              </w:rPr>
              <w:t>10,351.3</w:t>
            </w:r>
          </w:p>
        </w:tc>
        <w:tc>
          <w:tcPr>
            <w:tcW w:w="1080" w:type="dxa"/>
            <w:shd w:val="clear" w:color="auto" w:fill="FFFFFF" w:themeFill="background1"/>
            <w:noWrap/>
            <w:vAlign w:val="center"/>
            <w:hideMark/>
          </w:tcPr>
          <w:p w:rsidR="00B26D5A" w:rsidRPr="00A52D36" w:rsidRDefault="00B26D5A" w:rsidP="00A52D36">
            <w:pPr>
              <w:keepNext/>
              <w:tabs>
                <w:tab w:val="num" w:pos="0"/>
              </w:tabs>
              <w:jc w:val="right"/>
              <w:rPr>
                <w:rFonts w:asciiTheme="minorHAnsi" w:hAnsiTheme="minorHAnsi"/>
                <w:sz w:val="18"/>
                <w:szCs w:val="16"/>
              </w:rPr>
            </w:pPr>
            <w:r w:rsidRPr="00A52D36">
              <w:rPr>
                <w:rFonts w:asciiTheme="minorHAnsi" w:hAnsiTheme="minorHAnsi"/>
                <w:sz w:val="18"/>
                <w:szCs w:val="16"/>
              </w:rPr>
              <w:t>9,967.6</w:t>
            </w:r>
          </w:p>
        </w:tc>
        <w:tc>
          <w:tcPr>
            <w:tcW w:w="1170" w:type="dxa"/>
            <w:shd w:val="clear" w:color="auto" w:fill="FFFFFF" w:themeFill="background1"/>
            <w:noWrap/>
            <w:vAlign w:val="center"/>
            <w:hideMark/>
          </w:tcPr>
          <w:p w:rsidR="00B26D5A" w:rsidRPr="00A52D36" w:rsidRDefault="00B26D5A" w:rsidP="00A52D36">
            <w:pPr>
              <w:keepNext/>
              <w:tabs>
                <w:tab w:val="num" w:pos="0"/>
              </w:tabs>
              <w:jc w:val="right"/>
              <w:rPr>
                <w:rFonts w:asciiTheme="minorHAnsi" w:hAnsiTheme="minorHAnsi"/>
                <w:sz w:val="18"/>
                <w:szCs w:val="16"/>
              </w:rPr>
            </w:pPr>
            <w:r w:rsidRPr="00A52D36">
              <w:rPr>
                <w:rFonts w:asciiTheme="minorHAnsi" w:hAnsiTheme="minorHAnsi"/>
                <w:sz w:val="18"/>
                <w:szCs w:val="16"/>
              </w:rPr>
              <w:t>9,365.7</w:t>
            </w:r>
          </w:p>
        </w:tc>
        <w:tc>
          <w:tcPr>
            <w:tcW w:w="1260" w:type="dxa"/>
            <w:shd w:val="clear" w:color="auto" w:fill="FFFFFF" w:themeFill="background1"/>
            <w:noWrap/>
            <w:vAlign w:val="center"/>
            <w:hideMark/>
          </w:tcPr>
          <w:p w:rsidR="00B26D5A" w:rsidRPr="00A52D36" w:rsidRDefault="00B26D5A" w:rsidP="00A52D36">
            <w:pPr>
              <w:keepNext/>
              <w:tabs>
                <w:tab w:val="num" w:pos="0"/>
              </w:tabs>
              <w:jc w:val="right"/>
              <w:rPr>
                <w:rFonts w:asciiTheme="minorHAnsi" w:hAnsiTheme="minorHAnsi"/>
                <w:sz w:val="18"/>
                <w:szCs w:val="16"/>
              </w:rPr>
            </w:pPr>
            <w:r w:rsidRPr="00A52D36">
              <w:rPr>
                <w:rFonts w:asciiTheme="minorHAnsi" w:hAnsiTheme="minorHAnsi"/>
                <w:sz w:val="18"/>
                <w:szCs w:val="16"/>
              </w:rPr>
              <w:t>8,188.3</w:t>
            </w:r>
          </w:p>
        </w:tc>
      </w:tr>
      <w:tr w:rsidR="00B26D5A" w:rsidRPr="00A52D36" w:rsidTr="00A52D36">
        <w:trPr>
          <w:trHeight w:val="287"/>
        </w:trPr>
        <w:tc>
          <w:tcPr>
            <w:tcW w:w="4605" w:type="dxa"/>
            <w:gridSpan w:val="2"/>
            <w:shd w:val="clear" w:color="auto" w:fill="FFFFFF" w:themeFill="background1"/>
            <w:vAlign w:val="center"/>
            <w:hideMark/>
          </w:tcPr>
          <w:p w:rsidR="00B26D5A" w:rsidRPr="00A52D36" w:rsidRDefault="00B26D5A" w:rsidP="00A52D36">
            <w:pPr>
              <w:keepNext/>
              <w:tabs>
                <w:tab w:val="num" w:pos="0"/>
              </w:tabs>
              <w:rPr>
                <w:rFonts w:asciiTheme="minorHAnsi" w:hAnsiTheme="minorHAnsi"/>
                <w:b/>
                <w:sz w:val="18"/>
                <w:szCs w:val="16"/>
              </w:rPr>
            </w:pPr>
            <w:r w:rsidRPr="00A52D36">
              <w:rPr>
                <w:rFonts w:asciiTheme="minorHAnsi" w:hAnsiTheme="minorHAnsi"/>
                <w:b/>
                <w:sz w:val="18"/>
                <w:szCs w:val="16"/>
              </w:rPr>
              <w:t>Passenger revenue (BYR million)</w:t>
            </w:r>
          </w:p>
        </w:tc>
        <w:tc>
          <w:tcPr>
            <w:tcW w:w="961" w:type="dxa"/>
            <w:shd w:val="clear" w:color="auto" w:fill="FFFFFF" w:themeFill="background1"/>
            <w:noWrap/>
            <w:vAlign w:val="center"/>
            <w:hideMark/>
          </w:tcPr>
          <w:p w:rsidR="00B26D5A" w:rsidRPr="00A52D36" w:rsidRDefault="00B26D5A" w:rsidP="00A52D36">
            <w:pPr>
              <w:keepNext/>
              <w:tabs>
                <w:tab w:val="num" w:pos="0"/>
              </w:tabs>
              <w:jc w:val="right"/>
              <w:rPr>
                <w:rFonts w:asciiTheme="minorHAnsi" w:hAnsiTheme="minorHAnsi"/>
                <w:b/>
                <w:sz w:val="18"/>
                <w:szCs w:val="16"/>
              </w:rPr>
            </w:pPr>
            <w:r w:rsidRPr="00A52D36">
              <w:rPr>
                <w:rFonts w:asciiTheme="minorHAnsi" w:hAnsiTheme="minorHAnsi"/>
                <w:b/>
                <w:sz w:val="18"/>
                <w:szCs w:val="16"/>
              </w:rPr>
              <w:t>418,065</w:t>
            </w:r>
          </w:p>
        </w:tc>
        <w:tc>
          <w:tcPr>
            <w:tcW w:w="1080" w:type="dxa"/>
            <w:shd w:val="clear" w:color="auto" w:fill="FFFFFF" w:themeFill="background1"/>
            <w:noWrap/>
            <w:vAlign w:val="center"/>
            <w:hideMark/>
          </w:tcPr>
          <w:p w:rsidR="00B26D5A" w:rsidRPr="00A52D36" w:rsidRDefault="00B26D5A" w:rsidP="00A52D36">
            <w:pPr>
              <w:keepNext/>
              <w:tabs>
                <w:tab w:val="num" w:pos="0"/>
              </w:tabs>
              <w:jc w:val="right"/>
              <w:rPr>
                <w:rFonts w:asciiTheme="minorHAnsi" w:hAnsiTheme="minorHAnsi"/>
                <w:b/>
                <w:sz w:val="18"/>
                <w:szCs w:val="16"/>
              </w:rPr>
            </w:pPr>
            <w:r w:rsidRPr="00A52D36">
              <w:rPr>
                <w:rFonts w:asciiTheme="minorHAnsi" w:hAnsiTheme="minorHAnsi"/>
                <w:b/>
                <w:sz w:val="18"/>
                <w:szCs w:val="16"/>
              </w:rPr>
              <w:t xml:space="preserve">482,410 </w:t>
            </w:r>
          </w:p>
        </w:tc>
        <w:tc>
          <w:tcPr>
            <w:tcW w:w="1170" w:type="dxa"/>
            <w:shd w:val="clear" w:color="auto" w:fill="FFFFFF" w:themeFill="background1"/>
            <w:noWrap/>
            <w:vAlign w:val="center"/>
            <w:hideMark/>
          </w:tcPr>
          <w:p w:rsidR="00B26D5A" w:rsidRPr="00A52D36" w:rsidRDefault="00B26D5A" w:rsidP="00A52D36">
            <w:pPr>
              <w:keepNext/>
              <w:tabs>
                <w:tab w:val="num" w:pos="0"/>
              </w:tabs>
              <w:jc w:val="right"/>
              <w:rPr>
                <w:rFonts w:asciiTheme="minorHAnsi" w:hAnsiTheme="minorHAnsi"/>
                <w:b/>
                <w:sz w:val="18"/>
                <w:szCs w:val="16"/>
              </w:rPr>
            </w:pPr>
            <w:r w:rsidRPr="00A52D36">
              <w:rPr>
                <w:rFonts w:asciiTheme="minorHAnsi" w:hAnsiTheme="minorHAnsi"/>
                <w:b/>
                <w:sz w:val="18"/>
                <w:szCs w:val="16"/>
              </w:rPr>
              <w:t>579,485</w:t>
            </w:r>
          </w:p>
        </w:tc>
        <w:tc>
          <w:tcPr>
            <w:tcW w:w="1260" w:type="dxa"/>
            <w:shd w:val="clear" w:color="auto" w:fill="FFFFFF" w:themeFill="background1"/>
            <w:noWrap/>
            <w:vAlign w:val="center"/>
            <w:hideMark/>
          </w:tcPr>
          <w:p w:rsidR="00B26D5A" w:rsidRPr="00A52D36" w:rsidRDefault="00B26D5A" w:rsidP="00A52D36">
            <w:pPr>
              <w:keepNext/>
              <w:tabs>
                <w:tab w:val="num" w:pos="0"/>
              </w:tabs>
              <w:jc w:val="right"/>
              <w:rPr>
                <w:rFonts w:asciiTheme="minorHAnsi" w:hAnsiTheme="minorHAnsi"/>
                <w:b/>
                <w:sz w:val="18"/>
                <w:szCs w:val="16"/>
              </w:rPr>
            </w:pPr>
            <w:r w:rsidRPr="00A52D36">
              <w:rPr>
                <w:rFonts w:asciiTheme="minorHAnsi" w:hAnsiTheme="minorHAnsi"/>
                <w:b/>
                <w:sz w:val="18"/>
                <w:szCs w:val="16"/>
              </w:rPr>
              <w:t>695,235</w:t>
            </w:r>
          </w:p>
        </w:tc>
      </w:tr>
      <w:tr w:rsidR="00B26D5A" w:rsidRPr="00A52D36" w:rsidTr="00A52D36">
        <w:trPr>
          <w:trHeight w:val="152"/>
        </w:trPr>
        <w:tc>
          <w:tcPr>
            <w:tcW w:w="1815" w:type="dxa"/>
            <w:vMerge w:val="restart"/>
            <w:shd w:val="clear" w:color="auto" w:fill="FFFFFF" w:themeFill="background1"/>
            <w:vAlign w:val="center"/>
            <w:hideMark/>
          </w:tcPr>
          <w:p w:rsidR="00B26D5A" w:rsidRPr="00A52D36" w:rsidRDefault="00B26D5A" w:rsidP="00A52D36">
            <w:pPr>
              <w:keepNext/>
              <w:tabs>
                <w:tab w:val="num" w:pos="0"/>
              </w:tabs>
              <w:rPr>
                <w:rFonts w:asciiTheme="minorHAnsi" w:hAnsiTheme="minorHAnsi"/>
                <w:sz w:val="18"/>
                <w:szCs w:val="16"/>
              </w:rPr>
            </w:pPr>
            <w:r w:rsidRPr="00A52D36">
              <w:rPr>
                <w:rFonts w:asciiTheme="minorHAnsi" w:hAnsiTheme="minorHAnsi"/>
                <w:sz w:val="18"/>
                <w:szCs w:val="16"/>
              </w:rPr>
              <w:t>Expenses (BYR million)</w:t>
            </w:r>
          </w:p>
        </w:tc>
        <w:tc>
          <w:tcPr>
            <w:tcW w:w="2790" w:type="dxa"/>
            <w:shd w:val="clear" w:color="auto" w:fill="FFFFFF" w:themeFill="background1"/>
            <w:noWrap/>
            <w:vAlign w:val="bottom"/>
            <w:hideMark/>
          </w:tcPr>
          <w:p w:rsidR="00B26D5A" w:rsidRPr="00A52D36" w:rsidRDefault="00B26D5A" w:rsidP="00A52D36">
            <w:pPr>
              <w:keepNext/>
              <w:tabs>
                <w:tab w:val="num" w:pos="0"/>
              </w:tabs>
              <w:rPr>
                <w:rFonts w:asciiTheme="minorHAnsi" w:hAnsiTheme="minorHAnsi"/>
                <w:sz w:val="18"/>
                <w:szCs w:val="16"/>
              </w:rPr>
            </w:pPr>
            <w:r w:rsidRPr="00A52D36">
              <w:rPr>
                <w:rFonts w:asciiTheme="minorHAnsi" w:hAnsiTheme="minorHAnsi"/>
                <w:sz w:val="18"/>
                <w:szCs w:val="16"/>
              </w:rPr>
              <w:t>Materials</w:t>
            </w:r>
          </w:p>
        </w:tc>
        <w:tc>
          <w:tcPr>
            <w:tcW w:w="961" w:type="dxa"/>
            <w:shd w:val="clear" w:color="auto" w:fill="FFFFFF" w:themeFill="background1"/>
            <w:noWrap/>
            <w:vAlign w:val="center"/>
            <w:hideMark/>
          </w:tcPr>
          <w:p w:rsidR="00B26D5A" w:rsidRPr="00A52D36" w:rsidRDefault="00B26D5A" w:rsidP="00A52D36">
            <w:pPr>
              <w:keepNext/>
              <w:tabs>
                <w:tab w:val="num" w:pos="0"/>
              </w:tabs>
              <w:jc w:val="right"/>
              <w:rPr>
                <w:rFonts w:asciiTheme="minorHAnsi" w:hAnsiTheme="minorHAnsi"/>
                <w:sz w:val="18"/>
                <w:szCs w:val="16"/>
              </w:rPr>
            </w:pPr>
            <w:r w:rsidRPr="00A52D36">
              <w:rPr>
                <w:rFonts w:asciiTheme="minorHAnsi" w:hAnsiTheme="minorHAnsi"/>
                <w:sz w:val="18"/>
                <w:szCs w:val="16"/>
              </w:rPr>
              <w:t>56,663</w:t>
            </w:r>
          </w:p>
        </w:tc>
        <w:tc>
          <w:tcPr>
            <w:tcW w:w="1080" w:type="dxa"/>
            <w:shd w:val="clear" w:color="auto" w:fill="FFFFFF" w:themeFill="background1"/>
            <w:noWrap/>
            <w:vAlign w:val="center"/>
            <w:hideMark/>
          </w:tcPr>
          <w:p w:rsidR="00B26D5A" w:rsidRPr="00A52D36" w:rsidRDefault="00B26D5A" w:rsidP="00A52D36">
            <w:pPr>
              <w:keepNext/>
              <w:tabs>
                <w:tab w:val="num" w:pos="0"/>
              </w:tabs>
              <w:jc w:val="right"/>
              <w:rPr>
                <w:rFonts w:asciiTheme="minorHAnsi" w:hAnsiTheme="minorHAnsi"/>
                <w:sz w:val="18"/>
                <w:szCs w:val="16"/>
              </w:rPr>
            </w:pPr>
            <w:r w:rsidRPr="00A52D36">
              <w:rPr>
                <w:rFonts w:asciiTheme="minorHAnsi" w:hAnsiTheme="minorHAnsi"/>
                <w:sz w:val="18"/>
                <w:szCs w:val="16"/>
              </w:rPr>
              <w:t xml:space="preserve">80,498 </w:t>
            </w:r>
          </w:p>
        </w:tc>
        <w:tc>
          <w:tcPr>
            <w:tcW w:w="1170" w:type="dxa"/>
            <w:shd w:val="clear" w:color="auto" w:fill="FFFFFF" w:themeFill="background1"/>
            <w:noWrap/>
            <w:vAlign w:val="center"/>
            <w:hideMark/>
          </w:tcPr>
          <w:p w:rsidR="00B26D5A" w:rsidRPr="00A52D36" w:rsidRDefault="00B26D5A" w:rsidP="00A52D36">
            <w:pPr>
              <w:keepNext/>
              <w:tabs>
                <w:tab w:val="num" w:pos="0"/>
              </w:tabs>
              <w:jc w:val="right"/>
              <w:rPr>
                <w:rFonts w:asciiTheme="minorHAnsi" w:hAnsiTheme="minorHAnsi"/>
                <w:sz w:val="18"/>
                <w:szCs w:val="16"/>
              </w:rPr>
            </w:pPr>
            <w:r w:rsidRPr="00A52D36">
              <w:rPr>
                <w:rFonts w:asciiTheme="minorHAnsi" w:hAnsiTheme="minorHAnsi"/>
                <w:sz w:val="18"/>
                <w:szCs w:val="16"/>
              </w:rPr>
              <w:t>89,263</w:t>
            </w:r>
          </w:p>
        </w:tc>
        <w:tc>
          <w:tcPr>
            <w:tcW w:w="1260" w:type="dxa"/>
            <w:shd w:val="clear" w:color="auto" w:fill="FFFFFF" w:themeFill="background1"/>
            <w:noWrap/>
            <w:vAlign w:val="center"/>
            <w:hideMark/>
          </w:tcPr>
          <w:p w:rsidR="00B26D5A" w:rsidRPr="00A52D36" w:rsidRDefault="00B26D5A" w:rsidP="00A52D36">
            <w:pPr>
              <w:keepNext/>
              <w:tabs>
                <w:tab w:val="num" w:pos="0"/>
              </w:tabs>
              <w:jc w:val="right"/>
              <w:rPr>
                <w:rFonts w:asciiTheme="minorHAnsi" w:hAnsiTheme="minorHAnsi"/>
                <w:sz w:val="18"/>
                <w:szCs w:val="16"/>
              </w:rPr>
            </w:pPr>
            <w:r w:rsidRPr="00A52D36">
              <w:rPr>
                <w:rFonts w:asciiTheme="minorHAnsi" w:hAnsiTheme="minorHAnsi"/>
                <w:sz w:val="18"/>
                <w:szCs w:val="16"/>
              </w:rPr>
              <w:t>113,544</w:t>
            </w:r>
          </w:p>
        </w:tc>
      </w:tr>
      <w:tr w:rsidR="00B26D5A" w:rsidRPr="00A52D36" w:rsidTr="00A52D36">
        <w:trPr>
          <w:trHeight w:val="151"/>
        </w:trPr>
        <w:tc>
          <w:tcPr>
            <w:tcW w:w="1815" w:type="dxa"/>
            <w:vMerge/>
            <w:shd w:val="clear" w:color="auto" w:fill="FFFFFF" w:themeFill="background1"/>
            <w:vAlign w:val="center"/>
            <w:hideMark/>
          </w:tcPr>
          <w:p w:rsidR="00B26D5A" w:rsidRPr="00A52D36" w:rsidRDefault="00B26D5A" w:rsidP="00A52D36">
            <w:pPr>
              <w:keepNext/>
              <w:tabs>
                <w:tab w:val="num" w:pos="0"/>
              </w:tabs>
              <w:rPr>
                <w:rFonts w:asciiTheme="minorHAnsi" w:hAnsiTheme="minorHAnsi"/>
                <w:sz w:val="18"/>
                <w:szCs w:val="16"/>
              </w:rPr>
            </w:pPr>
          </w:p>
        </w:tc>
        <w:tc>
          <w:tcPr>
            <w:tcW w:w="2790" w:type="dxa"/>
            <w:shd w:val="clear" w:color="auto" w:fill="FFFFFF" w:themeFill="background1"/>
            <w:noWrap/>
            <w:vAlign w:val="bottom"/>
            <w:hideMark/>
          </w:tcPr>
          <w:p w:rsidR="00B26D5A" w:rsidRPr="00A52D36" w:rsidRDefault="00B26D5A" w:rsidP="00A52D36">
            <w:pPr>
              <w:keepNext/>
              <w:tabs>
                <w:tab w:val="num" w:pos="0"/>
              </w:tabs>
              <w:rPr>
                <w:rFonts w:asciiTheme="minorHAnsi" w:hAnsiTheme="minorHAnsi"/>
                <w:sz w:val="18"/>
                <w:szCs w:val="16"/>
              </w:rPr>
            </w:pPr>
            <w:r w:rsidRPr="00A52D36">
              <w:rPr>
                <w:rFonts w:asciiTheme="minorHAnsi" w:hAnsiTheme="minorHAnsi"/>
                <w:sz w:val="18"/>
                <w:szCs w:val="16"/>
              </w:rPr>
              <w:t>Fuel, Electricity (including traction)</w:t>
            </w:r>
          </w:p>
        </w:tc>
        <w:tc>
          <w:tcPr>
            <w:tcW w:w="961" w:type="dxa"/>
            <w:shd w:val="clear" w:color="auto" w:fill="FFFFFF" w:themeFill="background1"/>
            <w:noWrap/>
            <w:vAlign w:val="center"/>
            <w:hideMark/>
          </w:tcPr>
          <w:p w:rsidR="00B26D5A" w:rsidRPr="00A52D36" w:rsidRDefault="00B26D5A" w:rsidP="00A52D36">
            <w:pPr>
              <w:keepNext/>
              <w:tabs>
                <w:tab w:val="num" w:pos="0"/>
              </w:tabs>
              <w:jc w:val="right"/>
              <w:rPr>
                <w:rFonts w:asciiTheme="minorHAnsi" w:hAnsiTheme="minorHAnsi"/>
                <w:sz w:val="18"/>
                <w:szCs w:val="16"/>
              </w:rPr>
            </w:pPr>
            <w:r w:rsidRPr="00A52D36">
              <w:rPr>
                <w:rFonts w:asciiTheme="minorHAnsi" w:hAnsiTheme="minorHAnsi"/>
                <w:sz w:val="18"/>
                <w:szCs w:val="16"/>
              </w:rPr>
              <w:t>107,006</w:t>
            </w:r>
          </w:p>
        </w:tc>
        <w:tc>
          <w:tcPr>
            <w:tcW w:w="1080" w:type="dxa"/>
            <w:shd w:val="clear" w:color="auto" w:fill="FFFFFF" w:themeFill="background1"/>
            <w:noWrap/>
            <w:vAlign w:val="center"/>
            <w:hideMark/>
          </w:tcPr>
          <w:p w:rsidR="00B26D5A" w:rsidRPr="00A52D36" w:rsidRDefault="00B26D5A" w:rsidP="00A52D36">
            <w:pPr>
              <w:keepNext/>
              <w:tabs>
                <w:tab w:val="num" w:pos="0"/>
              </w:tabs>
              <w:jc w:val="right"/>
              <w:rPr>
                <w:rFonts w:asciiTheme="minorHAnsi" w:hAnsiTheme="minorHAnsi"/>
                <w:sz w:val="18"/>
                <w:szCs w:val="16"/>
              </w:rPr>
            </w:pPr>
            <w:r w:rsidRPr="00A52D36">
              <w:rPr>
                <w:rFonts w:asciiTheme="minorHAnsi" w:hAnsiTheme="minorHAnsi"/>
                <w:sz w:val="18"/>
                <w:szCs w:val="16"/>
              </w:rPr>
              <w:t xml:space="preserve">126,183 </w:t>
            </w:r>
          </w:p>
        </w:tc>
        <w:tc>
          <w:tcPr>
            <w:tcW w:w="1170" w:type="dxa"/>
            <w:shd w:val="clear" w:color="auto" w:fill="FFFFFF" w:themeFill="background1"/>
            <w:noWrap/>
            <w:vAlign w:val="center"/>
            <w:hideMark/>
          </w:tcPr>
          <w:p w:rsidR="00B26D5A" w:rsidRPr="00A52D36" w:rsidRDefault="00B26D5A" w:rsidP="00A52D36">
            <w:pPr>
              <w:keepNext/>
              <w:tabs>
                <w:tab w:val="num" w:pos="0"/>
              </w:tabs>
              <w:jc w:val="right"/>
              <w:rPr>
                <w:rFonts w:asciiTheme="minorHAnsi" w:hAnsiTheme="minorHAnsi"/>
                <w:sz w:val="18"/>
                <w:szCs w:val="16"/>
              </w:rPr>
            </w:pPr>
            <w:r w:rsidRPr="00A52D36">
              <w:rPr>
                <w:rFonts w:asciiTheme="minorHAnsi" w:hAnsiTheme="minorHAnsi"/>
                <w:sz w:val="18"/>
                <w:szCs w:val="16"/>
              </w:rPr>
              <w:t>165,239</w:t>
            </w:r>
          </w:p>
        </w:tc>
        <w:tc>
          <w:tcPr>
            <w:tcW w:w="1260" w:type="dxa"/>
            <w:shd w:val="clear" w:color="auto" w:fill="FFFFFF" w:themeFill="background1"/>
            <w:noWrap/>
            <w:vAlign w:val="center"/>
            <w:hideMark/>
          </w:tcPr>
          <w:p w:rsidR="00B26D5A" w:rsidRPr="00A52D36" w:rsidRDefault="00B26D5A" w:rsidP="00A52D36">
            <w:pPr>
              <w:keepNext/>
              <w:tabs>
                <w:tab w:val="num" w:pos="0"/>
              </w:tabs>
              <w:jc w:val="right"/>
              <w:rPr>
                <w:rFonts w:asciiTheme="minorHAnsi" w:hAnsiTheme="minorHAnsi"/>
                <w:sz w:val="18"/>
                <w:szCs w:val="16"/>
              </w:rPr>
            </w:pPr>
            <w:r w:rsidRPr="00A52D36">
              <w:rPr>
                <w:rFonts w:asciiTheme="minorHAnsi" w:hAnsiTheme="minorHAnsi"/>
                <w:sz w:val="18"/>
                <w:szCs w:val="16"/>
              </w:rPr>
              <w:t>190,636</w:t>
            </w:r>
          </w:p>
        </w:tc>
      </w:tr>
      <w:tr w:rsidR="00B26D5A" w:rsidRPr="00A52D36" w:rsidTr="00A52D36">
        <w:trPr>
          <w:trHeight w:val="115"/>
        </w:trPr>
        <w:tc>
          <w:tcPr>
            <w:tcW w:w="1815" w:type="dxa"/>
            <w:vMerge/>
            <w:shd w:val="clear" w:color="auto" w:fill="FFFFFF" w:themeFill="background1"/>
            <w:vAlign w:val="center"/>
            <w:hideMark/>
          </w:tcPr>
          <w:p w:rsidR="00B26D5A" w:rsidRPr="00A52D36" w:rsidRDefault="00B26D5A" w:rsidP="00A52D36">
            <w:pPr>
              <w:keepNext/>
              <w:tabs>
                <w:tab w:val="num" w:pos="0"/>
              </w:tabs>
              <w:rPr>
                <w:rFonts w:asciiTheme="minorHAnsi" w:hAnsiTheme="minorHAnsi"/>
                <w:sz w:val="18"/>
                <w:szCs w:val="16"/>
              </w:rPr>
            </w:pPr>
          </w:p>
        </w:tc>
        <w:tc>
          <w:tcPr>
            <w:tcW w:w="2790" w:type="dxa"/>
            <w:shd w:val="clear" w:color="auto" w:fill="FFFFFF" w:themeFill="background1"/>
            <w:noWrap/>
            <w:vAlign w:val="bottom"/>
            <w:hideMark/>
          </w:tcPr>
          <w:p w:rsidR="00B26D5A" w:rsidRPr="00A52D36" w:rsidRDefault="00B26D5A" w:rsidP="00A52D36">
            <w:pPr>
              <w:keepNext/>
              <w:tabs>
                <w:tab w:val="num" w:pos="0"/>
              </w:tabs>
              <w:rPr>
                <w:rFonts w:asciiTheme="minorHAnsi" w:hAnsiTheme="minorHAnsi"/>
                <w:sz w:val="18"/>
                <w:szCs w:val="16"/>
              </w:rPr>
            </w:pPr>
            <w:r w:rsidRPr="00A52D36">
              <w:rPr>
                <w:rFonts w:asciiTheme="minorHAnsi" w:hAnsiTheme="minorHAnsi"/>
                <w:sz w:val="18"/>
                <w:szCs w:val="16"/>
              </w:rPr>
              <w:t>Staff Cost</w:t>
            </w:r>
          </w:p>
        </w:tc>
        <w:tc>
          <w:tcPr>
            <w:tcW w:w="961" w:type="dxa"/>
            <w:shd w:val="clear" w:color="auto" w:fill="FFFFFF" w:themeFill="background1"/>
            <w:noWrap/>
            <w:vAlign w:val="center"/>
            <w:hideMark/>
          </w:tcPr>
          <w:p w:rsidR="00B26D5A" w:rsidRPr="00A52D36" w:rsidRDefault="00B26D5A" w:rsidP="00A52D36">
            <w:pPr>
              <w:keepNext/>
              <w:tabs>
                <w:tab w:val="num" w:pos="0"/>
              </w:tabs>
              <w:jc w:val="right"/>
              <w:rPr>
                <w:rFonts w:asciiTheme="minorHAnsi" w:hAnsiTheme="minorHAnsi"/>
                <w:color w:val="000000"/>
                <w:sz w:val="18"/>
                <w:szCs w:val="16"/>
              </w:rPr>
            </w:pPr>
            <w:r w:rsidRPr="00A52D36">
              <w:rPr>
                <w:rFonts w:asciiTheme="minorHAnsi" w:hAnsiTheme="minorHAnsi"/>
                <w:color w:val="000000"/>
                <w:sz w:val="18"/>
                <w:szCs w:val="16"/>
              </w:rPr>
              <w:t>179,111</w:t>
            </w:r>
          </w:p>
        </w:tc>
        <w:tc>
          <w:tcPr>
            <w:tcW w:w="1080" w:type="dxa"/>
            <w:shd w:val="clear" w:color="auto" w:fill="FFFFFF" w:themeFill="background1"/>
            <w:noWrap/>
            <w:vAlign w:val="center"/>
            <w:hideMark/>
          </w:tcPr>
          <w:p w:rsidR="00B26D5A" w:rsidRPr="00A52D36" w:rsidRDefault="00B26D5A" w:rsidP="00A52D36">
            <w:pPr>
              <w:keepNext/>
              <w:tabs>
                <w:tab w:val="num" w:pos="0"/>
              </w:tabs>
              <w:jc w:val="right"/>
              <w:rPr>
                <w:rFonts w:asciiTheme="minorHAnsi" w:hAnsiTheme="minorHAnsi"/>
                <w:color w:val="000000"/>
                <w:sz w:val="18"/>
                <w:szCs w:val="16"/>
              </w:rPr>
            </w:pPr>
            <w:r w:rsidRPr="00A52D36">
              <w:rPr>
                <w:rFonts w:asciiTheme="minorHAnsi" w:hAnsiTheme="minorHAnsi"/>
                <w:color w:val="000000"/>
                <w:sz w:val="18"/>
                <w:szCs w:val="16"/>
              </w:rPr>
              <w:t xml:space="preserve">241,756 </w:t>
            </w:r>
          </w:p>
        </w:tc>
        <w:tc>
          <w:tcPr>
            <w:tcW w:w="1170" w:type="dxa"/>
            <w:shd w:val="clear" w:color="auto" w:fill="FFFFFF" w:themeFill="background1"/>
            <w:noWrap/>
            <w:vAlign w:val="center"/>
            <w:hideMark/>
          </w:tcPr>
          <w:p w:rsidR="00B26D5A" w:rsidRPr="00A52D36" w:rsidRDefault="00B26D5A" w:rsidP="00A52D36">
            <w:pPr>
              <w:keepNext/>
              <w:tabs>
                <w:tab w:val="num" w:pos="0"/>
              </w:tabs>
              <w:jc w:val="right"/>
              <w:rPr>
                <w:rFonts w:asciiTheme="minorHAnsi" w:hAnsiTheme="minorHAnsi"/>
                <w:color w:val="000000"/>
                <w:sz w:val="18"/>
                <w:szCs w:val="16"/>
              </w:rPr>
            </w:pPr>
            <w:r w:rsidRPr="00A52D36">
              <w:rPr>
                <w:rFonts w:asciiTheme="minorHAnsi" w:hAnsiTheme="minorHAnsi"/>
                <w:color w:val="000000"/>
                <w:sz w:val="18"/>
                <w:szCs w:val="16"/>
              </w:rPr>
              <w:t>257,364</w:t>
            </w:r>
          </w:p>
        </w:tc>
        <w:tc>
          <w:tcPr>
            <w:tcW w:w="1260" w:type="dxa"/>
            <w:shd w:val="clear" w:color="auto" w:fill="FFFFFF" w:themeFill="background1"/>
            <w:noWrap/>
            <w:vAlign w:val="center"/>
            <w:hideMark/>
          </w:tcPr>
          <w:p w:rsidR="00B26D5A" w:rsidRPr="00A52D36" w:rsidRDefault="00B26D5A" w:rsidP="00A52D36">
            <w:pPr>
              <w:keepNext/>
              <w:tabs>
                <w:tab w:val="num" w:pos="0"/>
              </w:tabs>
              <w:jc w:val="right"/>
              <w:rPr>
                <w:rFonts w:asciiTheme="minorHAnsi" w:hAnsiTheme="minorHAnsi"/>
                <w:color w:val="000000"/>
                <w:sz w:val="18"/>
                <w:szCs w:val="16"/>
              </w:rPr>
            </w:pPr>
            <w:r w:rsidRPr="00A52D36">
              <w:rPr>
                <w:rFonts w:asciiTheme="minorHAnsi" w:hAnsiTheme="minorHAnsi"/>
                <w:color w:val="000000"/>
                <w:sz w:val="18"/>
                <w:szCs w:val="16"/>
              </w:rPr>
              <w:t>294,883</w:t>
            </w:r>
          </w:p>
        </w:tc>
      </w:tr>
      <w:tr w:rsidR="00B26D5A" w:rsidRPr="00A52D36" w:rsidTr="00A52D36">
        <w:trPr>
          <w:trHeight w:val="115"/>
        </w:trPr>
        <w:tc>
          <w:tcPr>
            <w:tcW w:w="1815" w:type="dxa"/>
            <w:vMerge/>
            <w:shd w:val="clear" w:color="auto" w:fill="FFFFFF" w:themeFill="background1"/>
            <w:vAlign w:val="center"/>
            <w:hideMark/>
          </w:tcPr>
          <w:p w:rsidR="00B26D5A" w:rsidRPr="00A52D36" w:rsidRDefault="00B26D5A" w:rsidP="00A52D36">
            <w:pPr>
              <w:keepNext/>
              <w:tabs>
                <w:tab w:val="num" w:pos="0"/>
              </w:tabs>
              <w:rPr>
                <w:rFonts w:asciiTheme="minorHAnsi" w:hAnsiTheme="minorHAnsi"/>
                <w:sz w:val="18"/>
                <w:szCs w:val="16"/>
              </w:rPr>
            </w:pPr>
          </w:p>
        </w:tc>
        <w:tc>
          <w:tcPr>
            <w:tcW w:w="2790" w:type="dxa"/>
            <w:shd w:val="clear" w:color="auto" w:fill="FFFFFF" w:themeFill="background1"/>
            <w:noWrap/>
            <w:vAlign w:val="bottom"/>
            <w:hideMark/>
          </w:tcPr>
          <w:p w:rsidR="00B26D5A" w:rsidRPr="00A52D36" w:rsidRDefault="00B26D5A" w:rsidP="00A52D36">
            <w:pPr>
              <w:keepNext/>
              <w:tabs>
                <w:tab w:val="num" w:pos="0"/>
              </w:tabs>
              <w:rPr>
                <w:rFonts w:asciiTheme="minorHAnsi" w:hAnsiTheme="minorHAnsi"/>
                <w:sz w:val="18"/>
                <w:szCs w:val="16"/>
              </w:rPr>
            </w:pPr>
            <w:r w:rsidRPr="00A52D36">
              <w:rPr>
                <w:rFonts w:asciiTheme="minorHAnsi" w:hAnsiTheme="minorHAnsi"/>
                <w:sz w:val="18"/>
                <w:szCs w:val="16"/>
              </w:rPr>
              <w:t>Hired services and others</w:t>
            </w:r>
          </w:p>
        </w:tc>
        <w:tc>
          <w:tcPr>
            <w:tcW w:w="961" w:type="dxa"/>
            <w:shd w:val="clear" w:color="auto" w:fill="FFFFFF" w:themeFill="background1"/>
            <w:noWrap/>
            <w:vAlign w:val="center"/>
            <w:hideMark/>
          </w:tcPr>
          <w:p w:rsidR="00B26D5A" w:rsidRPr="00A52D36" w:rsidRDefault="00B26D5A" w:rsidP="00A52D36">
            <w:pPr>
              <w:keepNext/>
              <w:tabs>
                <w:tab w:val="num" w:pos="0"/>
              </w:tabs>
              <w:jc w:val="right"/>
              <w:rPr>
                <w:rFonts w:asciiTheme="minorHAnsi" w:hAnsiTheme="minorHAnsi"/>
                <w:sz w:val="18"/>
                <w:szCs w:val="16"/>
              </w:rPr>
            </w:pPr>
            <w:r w:rsidRPr="00A52D36">
              <w:rPr>
                <w:rFonts w:asciiTheme="minorHAnsi" w:hAnsiTheme="minorHAnsi"/>
                <w:sz w:val="18"/>
                <w:szCs w:val="16"/>
              </w:rPr>
              <w:t>198,139</w:t>
            </w:r>
          </w:p>
        </w:tc>
        <w:tc>
          <w:tcPr>
            <w:tcW w:w="1080" w:type="dxa"/>
            <w:shd w:val="clear" w:color="auto" w:fill="FFFFFF" w:themeFill="background1"/>
            <w:noWrap/>
            <w:vAlign w:val="center"/>
            <w:hideMark/>
          </w:tcPr>
          <w:p w:rsidR="00B26D5A" w:rsidRPr="00A52D36" w:rsidRDefault="00B26D5A" w:rsidP="00A52D36">
            <w:pPr>
              <w:keepNext/>
              <w:tabs>
                <w:tab w:val="num" w:pos="0"/>
              </w:tabs>
              <w:jc w:val="right"/>
              <w:rPr>
                <w:rFonts w:asciiTheme="minorHAnsi" w:hAnsiTheme="minorHAnsi"/>
                <w:sz w:val="18"/>
                <w:szCs w:val="16"/>
              </w:rPr>
            </w:pPr>
            <w:r w:rsidRPr="00A52D36">
              <w:rPr>
                <w:rFonts w:asciiTheme="minorHAnsi" w:hAnsiTheme="minorHAnsi"/>
                <w:sz w:val="18"/>
                <w:szCs w:val="16"/>
              </w:rPr>
              <w:t xml:space="preserve">216,403 </w:t>
            </w:r>
          </w:p>
        </w:tc>
        <w:tc>
          <w:tcPr>
            <w:tcW w:w="1170" w:type="dxa"/>
            <w:shd w:val="clear" w:color="auto" w:fill="FFFFFF" w:themeFill="background1"/>
            <w:noWrap/>
            <w:vAlign w:val="center"/>
            <w:hideMark/>
          </w:tcPr>
          <w:p w:rsidR="00B26D5A" w:rsidRPr="00A52D36" w:rsidRDefault="00B26D5A" w:rsidP="00A52D36">
            <w:pPr>
              <w:keepNext/>
              <w:tabs>
                <w:tab w:val="num" w:pos="0"/>
              </w:tabs>
              <w:jc w:val="right"/>
              <w:rPr>
                <w:rFonts w:asciiTheme="minorHAnsi" w:hAnsiTheme="minorHAnsi"/>
                <w:sz w:val="18"/>
                <w:szCs w:val="16"/>
              </w:rPr>
            </w:pPr>
            <w:r w:rsidRPr="00A52D36">
              <w:rPr>
                <w:rFonts w:asciiTheme="minorHAnsi" w:hAnsiTheme="minorHAnsi"/>
                <w:sz w:val="18"/>
                <w:szCs w:val="16"/>
              </w:rPr>
              <w:t>225,227</w:t>
            </w:r>
          </w:p>
        </w:tc>
        <w:tc>
          <w:tcPr>
            <w:tcW w:w="1260" w:type="dxa"/>
            <w:shd w:val="clear" w:color="auto" w:fill="FFFFFF" w:themeFill="background1"/>
            <w:noWrap/>
            <w:vAlign w:val="center"/>
            <w:hideMark/>
          </w:tcPr>
          <w:p w:rsidR="00B26D5A" w:rsidRPr="00A52D36" w:rsidRDefault="00B26D5A" w:rsidP="00A52D36">
            <w:pPr>
              <w:keepNext/>
              <w:tabs>
                <w:tab w:val="num" w:pos="0"/>
              </w:tabs>
              <w:jc w:val="right"/>
              <w:rPr>
                <w:rFonts w:asciiTheme="minorHAnsi" w:hAnsiTheme="minorHAnsi"/>
                <w:sz w:val="18"/>
                <w:szCs w:val="16"/>
              </w:rPr>
            </w:pPr>
            <w:r w:rsidRPr="00A52D36">
              <w:rPr>
                <w:rFonts w:asciiTheme="minorHAnsi" w:hAnsiTheme="minorHAnsi"/>
                <w:sz w:val="18"/>
                <w:szCs w:val="16"/>
              </w:rPr>
              <w:t>264,951</w:t>
            </w:r>
          </w:p>
        </w:tc>
      </w:tr>
      <w:tr w:rsidR="00B26D5A" w:rsidRPr="00A52D36" w:rsidTr="00A52D36">
        <w:trPr>
          <w:trHeight w:val="187"/>
        </w:trPr>
        <w:tc>
          <w:tcPr>
            <w:tcW w:w="1815" w:type="dxa"/>
            <w:vMerge/>
            <w:shd w:val="clear" w:color="auto" w:fill="FFFFFF" w:themeFill="background1"/>
            <w:vAlign w:val="center"/>
            <w:hideMark/>
          </w:tcPr>
          <w:p w:rsidR="00B26D5A" w:rsidRPr="00A52D36" w:rsidRDefault="00B26D5A" w:rsidP="00A52D36">
            <w:pPr>
              <w:keepNext/>
              <w:tabs>
                <w:tab w:val="num" w:pos="0"/>
              </w:tabs>
              <w:rPr>
                <w:rFonts w:asciiTheme="minorHAnsi" w:hAnsiTheme="minorHAnsi"/>
                <w:sz w:val="18"/>
                <w:szCs w:val="16"/>
              </w:rPr>
            </w:pPr>
          </w:p>
        </w:tc>
        <w:tc>
          <w:tcPr>
            <w:tcW w:w="2790" w:type="dxa"/>
            <w:shd w:val="clear" w:color="auto" w:fill="FFFFFF" w:themeFill="background1"/>
            <w:noWrap/>
            <w:vAlign w:val="bottom"/>
            <w:hideMark/>
          </w:tcPr>
          <w:p w:rsidR="00B26D5A" w:rsidRPr="00A52D36" w:rsidRDefault="00B26D5A" w:rsidP="00A52D36">
            <w:pPr>
              <w:keepNext/>
              <w:tabs>
                <w:tab w:val="num" w:pos="0"/>
              </w:tabs>
              <w:rPr>
                <w:rFonts w:asciiTheme="minorHAnsi" w:hAnsiTheme="minorHAnsi"/>
                <w:sz w:val="18"/>
                <w:szCs w:val="16"/>
              </w:rPr>
            </w:pPr>
            <w:r w:rsidRPr="00A52D36">
              <w:rPr>
                <w:rFonts w:asciiTheme="minorHAnsi" w:hAnsiTheme="minorHAnsi"/>
                <w:sz w:val="18"/>
                <w:szCs w:val="16"/>
              </w:rPr>
              <w:t>Depreciation</w:t>
            </w:r>
          </w:p>
        </w:tc>
        <w:tc>
          <w:tcPr>
            <w:tcW w:w="961" w:type="dxa"/>
            <w:shd w:val="clear" w:color="auto" w:fill="FFFFFF" w:themeFill="background1"/>
            <w:noWrap/>
            <w:vAlign w:val="center"/>
            <w:hideMark/>
          </w:tcPr>
          <w:p w:rsidR="00B26D5A" w:rsidRPr="00A52D36" w:rsidRDefault="00B26D5A" w:rsidP="00A52D36">
            <w:pPr>
              <w:keepNext/>
              <w:tabs>
                <w:tab w:val="num" w:pos="0"/>
              </w:tabs>
              <w:jc w:val="right"/>
              <w:rPr>
                <w:rFonts w:asciiTheme="minorHAnsi" w:hAnsiTheme="minorHAnsi"/>
                <w:sz w:val="18"/>
                <w:szCs w:val="16"/>
              </w:rPr>
            </w:pPr>
            <w:r w:rsidRPr="00A52D36">
              <w:rPr>
                <w:rFonts w:asciiTheme="minorHAnsi" w:hAnsiTheme="minorHAnsi"/>
                <w:sz w:val="18"/>
                <w:szCs w:val="16"/>
              </w:rPr>
              <w:t>73,121</w:t>
            </w:r>
          </w:p>
        </w:tc>
        <w:tc>
          <w:tcPr>
            <w:tcW w:w="1080" w:type="dxa"/>
            <w:shd w:val="clear" w:color="auto" w:fill="FFFFFF" w:themeFill="background1"/>
            <w:noWrap/>
            <w:vAlign w:val="center"/>
            <w:hideMark/>
          </w:tcPr>
          <w:p w:rsidR="00B26D5A" w:rsidRPr="00A52D36" w:rsidRDefault="00B26D5A" w:rsidP="00A52D36">
            <w:pPr>
              <w:keepNext/>
              <w:tabs>
                <w:tab w:val="num" w:pos="0"/>
              </w:tabs>
              <w:jc w:val="right"/>
              <w:rPr>
                <w:rFonts w:asciiTheme="minorHAnsi" w:hAnsiTheme="minorHAnsi"/>
                <w:sz w:val="18"/>
                <w:szCs w:val="16"/>
              </w:rPr>
            </w:pPr>
            <w:r w:rsidRPr="00A52D36">
              <w:rPr>
                <w:rFonts w:asciiTheme="minorHAnsi" w:hAnsiTheme="minorHAnsi"/>
                <w:sz w:val="18"/>
                <w:szCs w:val="16"/>
              </w:rPr>
              <w:t xml:space="preserve">77,162 </w:t>
            </w:r>
          </w:p>
        </w:tc>
        <w:tc>
          <w:tcPr>
            <w:tcW w:w="1170" w:type="dxa"/>
            <w:shd w:val="clear" w:color="auto" w:fill="FFFFFF" w:themeFill="background1"/>
            <w:noWrap/>
            <w:vAlign w:val="center"/>
            <w:hideMark/>
          </w:tcPr>
          <w:p w:rsidR="00B26D5A" w:rsidRPr="00A52D36" w:rsidRDefault="00B26D5A" w:rsidP="00A52D36">
            <w:pPr>
              <w:keepNext/>
              <w:tabs>
                <w:tab w:val="num" w:pos="0"/>
              </w:tabs>
              <w:jc w:val="right"/>
              <w:rPr>
                <w:rFonts w:asciiTheme="minorHAnsi" w:hAnsiTheme="minorHAnsi"/>
                <w:sz w:val="18"/>
                <w:szCs w:val="16"/>
              </w:rPr>
            </w:pPr>
            <w:r w:rsidRPr="00A52D36">
              <w:rPr>
                <w:rFonts w:asciiTheme="minorHAnsi" w:hAnsiTheme="minorHAnsi"/>
                <w:sz w:val="18"/>
                <w:szCs w:val="16"/>
              </w:rPr>
              <w:t>94,307</w:t>
            </w:r>
          </w:p>
        </w:tc>
        <w:tc>
          <w:tcPr>
            <w:tcW w:w="1260" w:type="dxa"/>
            <w:shd w:val="clear" w:color="auto" w:fill="FFFFFF" w:themeFill="background1"/>
            <w:noWrap/>
            <w:vAlign w:val="center"/>
            <w:hideMark/>
          </w:tcPr>
          <w:p w:rsidR="00B26D5A" w:rsidRPr="00A52D36" w:rsidRDefault="00B26D5A" w:rsidP="00A52D36">
            <w:pPr>
              <w:keepNext/>
              <w:tabs>
                <w:tab w:val="num" w:pos="0"/>
              </w:tabs>
              <w:jc w:val="right"/>
              <w:rPr>
                <w:rFonts w:asciiTheme="minorHAnsi" w:hAnsiTheme="minorHAnsi"/>
                <w:sz w:val="18"/>
                <w:szCs w:val="16"/>
              </w:rPr>
            </w:pPr>
            <w:r w:rsidRPr="00A52D36">
              <w:rPr>
                <w:rFonts w:asciiTheme="minorHAnsi" w:hAnsiTheme="minorHAnsi"/>
                <w:sz w:val="18"/>
                <w:szCs w:val="16"/>
              </w:rPr>
              <w:t>103,418</w:t>
            </w:r>
          </w:p>
        </w:tc>
      </w:tr>
      <w:tr w:rsidR="00B26D5A" w:rsidRPr="00A52D36" w:rsidTr="00A52D36">
        <w:trPr>
          <w:trHeight w:val="160"/>
        </w:trPr>
        <w:tc>
          <w:tcPr>
            <w:tcW w:w="1815" w:type="dxa"/>
            <w:vMerge/>
            <w:shd w:val="clear" w:color="auto" w:fill="FFFFFF" w:themeFill="background1"/>
            <w:vAlign w:val="center"/>
            <w:hideMark/>
          </w:tcPr>
          <w:p w:rsidR="00B26D5A" w:rsidRPr="00A52D36" w:rsidRDefault="00B26D5A" w:rsidP="00A52D36">
            <w:pPr>
              <w:keepNext/>
              <w:tabs>
                <w:tab w:val="num" w:pos="0"/>
              </w:tabs>
              <w:rPr>
                <w:rFonts w:asciiTheme="minorHAnsi" w:hAnsiTheme="minorHAnsi"/>
                <w:sz w:val="18"/>
                <w:szCs w:val="16"/>
              </w:rPr>
            </w:pPr>
          </w:p>
        </w:tc>
        <w:tc>
          <w:tcPr>
            <w:tcW w:w="2790" w:type="dxa"/>
            <w:shd w:val="clear" w:color="auto" w:fill="FFFFFF" w:themeFill="background1"/>
            <w:noWrap/>
            <w:vAlign w:val="bottom"/>
            <w:hideMark/>
          </w:tcPr>
          <w:p w:rsidR="00B26D5A" w:rsidRPr="00A52D36" w:rsidRDefault="00B26D5A" w:rsidP="00A52D36">
            <w:pPr>
              <w:keepNext/>
              <w:tabs>
                <w:tab w:val="num" w:pos="0"/>
              </w:tabs>
              <w:rPr>
                <w:rFonts w:asciiTheme="minorHAnsi" w:hAnsiTheme="minorHAnsi"/>
                <w:b/>
                <w:sz w:val="18"/>
                <w:szCs w:val="16"/>
              </w:rPr>
            </w:pPr>
            <w:r w:rsidRPr="00A52D36">
              <w:rPr>
                <w:rFonts w:asciiTheme="minorHAnsi" w:hAnsiTheme="minorHAnsi"/>
                <w:b/>
                <w:sz w:val="18"/>
                <w:szCs w:val="16"/>
              </w:rPr>
              <w:t>Total operating expenses</w:t>
            </w:r>
          </w:p>
        </w:tc>
        <w:tc>
          <w:tcPr>
            <w:tcW w:w="961" w:type="dxa"/>
            <w:shd w:val="clear" w:color="auto" w:fill="FFFFFF" w:themeFill="background1"/>
            <w:noWrap/>
            <w:vAlign w:val="center"/>
            <w:hideMark/>
          </w:tcPr>
          <w:p w:rsidR="00B26D5A" w:rsidRPr="00A52D36" w:rsidRDefault="00B26D5A" w:rsidP="00A52D36">
            <w:pPr>
              <w:keepNext/>
              <w:tabs>
                <w:tab w:val="num" w:pos="0"/>
              </w:tabs>
              <w:jc w:val="right"/>
              <w:rPr>
                <w:rFonts w:asciiTheme="minorHAnsi" w:hAnsiTheme="minorHAnsi"/>
                <w:b/>
                <w:sz w:val="18"/>
                <w:szCs w:val="16"/>
              </w:rPr>
            </w:pPr>
            <w:r w:rsidRPr="00A52D36">
              <w:rPr>
                <w:rFonts w:asciiTheme="minorHAnsi" w:hAnsiTheme="minorHAnsi"/>
                <w:b/>
                <w:sz w:val="18"/>
                <w:szCs w:val="16"/>
              </w:rPr>
              <w:t>614,040</w:t>
            </w:r>
          </w:p>
        </w:tc>
        <w:tc>
          <w:tcPr>
            <w:tcW w:w="1080" w:type="dxa"/>
            <w:shd w:val="clear" w:color="auto" w:fill="FFFFFF" w:themeFill="background1"/>
            <w:noWrap/>
            <w:vAlign w:val="center"/>
            <w:hideMark/>
          </w:tcPr>
          <w:p w:rsidR="00B26D5A" w:rsidRPr="00A52D36" w:rsidRDefault="00B26D5A" w:rsidP="00A52D36">
            <w:pPr>
              <w:keepNext/>
              <w:tabs>
                <w:tab w:val="num" w:pos="0"/>
              </w:tabs>
              <w:jc w:val="right"/>
              <w:rPr>
                <w:rFonts w:asciiTheme="minorHAnsi" w:hAnsiTheme="minorHAnsi"/>
                <w:b/>
                <w:sz w:val="18"/>
                <w:szCs w:val="16"/>
              </w:rPr>
            </w:pPr>
            <w:r w:rsidRPr="00A52D36">
              <w:rPr>
                <w:rFonts w:asciiTheme="minorHAnsi" w:hAnsiTheme="minorHAnsi"/>
                <w:b/>
                <w:sz w:val="18"/>
                <w:szCs w:val="16"/>
              </w:rPr>
              <w:t xml:space="preserve">742,002 </w:t>
            </w:r>
          </w:p>
        </w:tc>
        <w:tc>
          <w:tcPr>
            <w:tcW w:w="1170" w:type="dxa"/>
            <w:shd w:val="clear" w:color="auto" w:fill="FFFFFF" w:themeFill="background1"/>
            <w:noWrap/>
            <w:vAlign w:val="center"/>
            <w:hideMark/>
          </w:tcPr>
          <w:p w:rsidR="00B26D5A" w:rsidRPr="00A52D36" w:rsidRDefault="00B26D5A" w:rsidP="00A52D36">
            <w:pPr>
              <w:keepNext/>
              <w:tabs>
                <w:tab w:val="num" w:pos="0"/>
              </w:tabs>
              <w:jc w:val="right"/>
              <w:rPr>
                <w:rFonts w:asciiTheme="minorHAnsi" w:hAnsiTheme="minorHAnsi"/>
                <w:b/>
                <w:sz w:val="18"/>
                <w:szCs w:val="16"/>
              </w:rPr>
            </w:pPr>
            <w:r w:rsidRPr="00A52D36">
              <w:rPr>
                <w:rFonts w:asciiTheme="minorHAnsi" w:hAnsiTheme="minorHAnsi"/>
                <w:b/>
                <w:sz w:val="18"/>
                <w:szCs w:val="16"/>
              </w:rPr>
              <w:t>831,400</w:t>
            </w:r>
          </w:p>
        </w:tc>
        <w:tc>
          <w:tcPr>
            <w:tcW w:w="1260" w:type="dxa"/>
            <w:shd w:val="clear" w:color="auto" w:fill="FFFFFF" w:themeFill="background1"/>
            <w:noWrap/>
            <w:vAlign w:val="center"/>
            <w:hideMark/>
          </w:tcPr>
          <w:p w:rsidR="00B26D5A" w:rsidRPr="00A52D36" w:rsidRDefault="00B26D5A" w:rsidP="00A52D36">
            <w:pPr>
              <w:keepNext/>
              <w:tabs>
                <w:tab w:val="num" w:pos="0"/>
              </w:tabs>
              <w:jc w:val="right"/>
              <w:rPr>
                <w:rFonts w:asciiTheme="minorHAnsi" w:hAnsiTheme="minorHAnsi"/>
                <w:b/>
                <w:sz w:val="18"/>
                <w:szCs w:val="16"/>
              </w:rPr>
            </w:pPr>
            <w:r w:rsidRPr="00A52D36">
              <w:rPr>
                <w:rFonts w:asciiTheme="minorHAnsi" w:hAnsiTheme="minorHAnsi"/>
                <w:b/>
                <w:sz w:val="18"/>
                <w:szCs w:val="16"/>
              </w:rPr>
              <w:t>967,432</w:t>
            </w:r>
          </w:p>
        </w:tc>
      </w:tr>
      <w:tr w:rsidR="00B26D5A" w:rsidRPr="00A52D36" w:rsidTr="00A52D36">
        <w:trPr>
          <w:trHeight w:val="160"/>
        </w:trPr>
        <w:tc>
          <w:tcPr>
            <w:tcW w:w="1815" w:type="dxa"/>
            <w:vMerge/>
            <w:shd w:val="clear" w:color="auto" w:fill="FFFFFF" w:themeFill="background1"/>
            <w:vAlign w:val="center"/>
            <w:hideMark/>
          </w:tcPr>
          <w:p w:rsidR="00B26D5A" w:rsidRPr="00A52D36" w:rsidRDefault="00B26D5A" w:rsidP="00A52D36">
            <w:pPr>
              <w:keepNext/>
              <w:tabs>
                <w:tab w:val="num" w:pos="0"/>
              </w:tabs>
              <w:rPr>
                <w:rFonts w:asciiTheme="minorHAnsi" w:hAnsiTheme="minorHAnsi"/>
                <w:sz w:val="18"/>
                <w:szCs w:val="16"/>
              </w:rPr>
            </w:pPr>
          </w:p>
        </w:tc>
        <w:tc>
          <w:tcPr>
            <w:tcW w:w="2790" w:type="dxa"/>
            <w:shd w:val="clear" w:color="auto" w:fill="FFFFFF" w:themeFill="background1"/>
            <w:noWrap/>
            <w:vAlign w:val="bottom"/>
            <w:hideMark/>
          </w:tcPr>
          <w:p w:rsidR="00B26D5A" w:rsidRPr="00A52D36" w:rsidRDefault="00B26D5A" w:rsidP="00A52D36">
            <w:pPr>
              <w:keepNext/>
              <w:tabs>
                <w:tab w:val="num" w:pos="0"/>
              </w:tabs>
              <w:rPr>
                <w:rFonts w:asciiTheme="minorHAnsi" w:hAnsiTheme="minorHAnsi"/>
                <w:sz w:val="18"/>
                <w:szCs w:val="16"/>
              </w:rPr>
            </w:pPr>
            <w:r w:rsidRPr="00A52D36">
              <w:rPr>
                <w:rFonts w:asciiTheme="minorHAnsi" w:hAnsiTheme="minorHAnsi"/>
                <w:sz w:val="18"/>
                <w:szCs w:val="16"/>
              </w:rPr>
              <w:t>Non-operating expenses</w:t>
            </w:r>
          </w:p>
        </w:tc>
        <w:tc>
          <w:tcPr>
            <w:tcW w:w="961" w:type="dxa"/>
            <w:shd w:val="clear" w:color="auto" w:fill="FFFFFF" w:themeFill="background1"/>
            <w:noWrap/>
            <w:vAlign w:val="center"/>
            <w:hideMark/>
          </w:tcPr>
          <w:p w:rsidR="00B26D5A" w:rsidRPr="00A52D36" w:rsidRDefault="00B26D5A" w:rsidP="00A52D36">
            <w:pPr>
              <w:keepNext/>
              <w:tabs>
                <w:tab w:val="num" w:pos="0"/>
              </w:tabs>
              <w:jc w:val="right"/>
              <w:rPr>
                <w:rFonts w:asciiTheme="minorHAnsi" w:hAnsiTheme="minorHAnsi"/>
                <w:sz w:val="18"/>
                <w:szCs w:val="16"/>
              </w:rPr>
            </w:pPr>
            <w:r w:rsidRPr="00A52D36">
              <w:rPr>
                <w:rFonts w:asciiTheme="minorHAnsi" w:hAnsiTheme="minorHAnsi"/>
                <w:sz w:val="18"/>
                <w:szCs w:val="16"/>
              </w:rPr>
              <w:t>749</w:t>
            </w:r>
          </w:p>
        </w:tc>
        <w:tc>
          <w:tcPr>
            <w:tcW w:w="1080" w:type="dxa"/>
            <w:shd w:val="clear" w:color="auto" w:fill="FFFFFF" w:themeFill="background1"/>
            <w:noWrap/>
            <w:vAlign w:val="center"/>
            <w:hideMark/>
          </w:tcPr>
          <w:p w:rsidR="00B26D5A" w:rsidRPr="00A52D36" w:rsidRDefault="00B26D5A" w:rsidP="00A52D36">
            <w:pPr>
              <w:keepNext/>
              <w:tabs>
                <w:tab w:val="num" w:pos="0"/>
              </w:tabs>
              <w:jc w:val="right"/>
              <w:rPr>
                <w:rFonts w:asciiTheme="minorHAnsi" w:hAnsiTheme="minorHAnsi"/>
                <w:sz w:val="18"/>
                <w:szCs w:val="16"/>
              </w:rPr>
            </w:pPr>
            <w:r w:rsidRPr="00A52D36">
              <w:rPr>
                <w:rFonts w:asciiTheme="minorHAnsi" w:hAnsiTheme="minorHAnsi"/>
                <w:sz w:val="18"/>
                <w:szCs w:val="16"/>
              </w:rPr>
              <w:t xml:space="preserve">2,482 </w:t>
            </w:r>
          </w:p>
        </w:tc>
        <w:tc>
          <w:tcPr>
            <w:tcW w:w="1170" w:type="dxa"/>
            <w:shd w:val="clear" w:color="auto" w:fill="FFFFFF" w:themeFill="background1"/>
            <w:noWrap/>
            <w:vAlign w:val="center"/>
            <w:hideMark/>
          </w:tcPr>
          <w:p w:rsidR="00B26D5A" w:rsidRPr="00A52D36" w:rsidRDefault="00B26D5A" w:rsidP="00A52D36">
            <w:pPr>
              <w:keepNext/>
              <w:tabs>
                <w:tab w:val="num" w:pos="0"/>
              </w:tabs>
              <w:jc w:val="right"/>
              <w:rPr>
                <w:rFonts w:asciiTheme="minorHAnsi" w:hAnsiTheme="minorHAnsi"/>
                <w:sz w:val="18"/>
                <w:szCs w:val="16"/>
              </w:rPr>
            </w:pPr>
            <w:r w:rsidRPr="00A52D36">
              <w:rPr>
                <w:rFonts w:asciiTheme="minorHAnsi" w:hAnsiTheme="minorHAnsi"/>
                <w:sz w:val="18"/>
                <w:szCs w:val="16"/>
              </w:rPr>
              <w:t>1,902</w:t>
            </w:r>
          </w:p>
        </w:tc>
        <w:tc>
          <w:tcPr>
            <w:tcW w:w="1260" w:type="dxa"/>
            <w:shd w:val="clear" w:color="auto" w:fill="FFFFFF" w:themeFill="background1"/>
            <w:noWrap/>
            <w:vAlign w:val="center"/>
            <w:hideMark/>
          </w:tcPr>
          <w:p w:rsidR="00B26D5A" w:rsidRPr="00A52D36" w:rsidRDefault="00B26D5A" w:rsidP="00A52D36">
            <w:pPr>
              <w:keepNext/>
              <w:tabs>
                <w:tab w:val="num" w:pos="0"/>
              </w:tabs>
              <w:jc w:val="right"/>
              <w:rPr>
                <w:rFonts w:asciiTheme="minorHAnsi" w:hAnsiTheme="minorHAnsi"/>
                <w:sz w:val="18"/>
                <w:szCs w:val="16"/>
              </w:rPr>
            </w:pPr>
            <w:r w:rsidRPr="00A52D36">
              <w:rPr>
                <w:rFonts w:asciiTheme="minorHAnsi" w:hAnsiTheme="minorHAnsi"/>
                <w:sz w:val="18"/>
                <w:szCs w:val="16"/>
              </w:rPr>
              <w:t>2,504</w:t>
            </w:r>
          </w:p>
        </w:tc>
      </w:tr>
      <w:tr w:rsidR="00B26D5A" w:rsidRPr="00A52D36" w:rsidTr="00A52D36">
        <w:trPr>
          <w:trHeight w:val="142"/>
        </w:trPr>
        <w:tc>
          <w:tcPr>
            <w:tcW w:w="1815" w:type="dxa"/>
            <w:vMerge/>
            <w:shd w:val="clear" w:color="auto" w:fill="FFFFFF" w:themeFill="background1"/>
            <w:vAlign w:val="center"/>
            <w:hideMark/>
          </w:tcPr>
          <w:p w:rsidR="00B26D5A" w:rsidRPr="00A52D36" w:rsidRDefault="00B26D5A" w:rsidP="00A52D36">
            <w:pPr>
              <w:keepNext/>
              <w:tabs>
                <w:tab w:val="num" w:pos="0"/>
              </w:tabs>
              <w:rPr>
                <w:rFonts w:asciiTheme="minorHAnsi" w:hAnsiTheme="minorHAnsi"/>
                <w:sz w:val="18"/>
                <w:szCs w:val="16"/>
              </w:rPr>
            </w:pPr>
          </w:p>
        </w:tc>
        <w:tc>
          <w:tcPr>
            <w:tcW w:w="2790" w:type="dxa"/>
            <w:shd w:val="clear" w:color="auto" w:fill="FFFFFF" w:themeFill="background1"/>
            <w:noWrap/>
            <w:vAlign w:val="bottom"/>
            <w:hideMark/>
          </w:tcPr>
          <w:p w:rsidR="00B26D5A" w:rsidRPr="00A52D36" w:rsidRDefault="00B26D5A" w:rsidP="00A52D36">
            <w:pPr>
              <w:keepNext/>
              <w:tabs>
                <w:tab w:val="num" w:pos="0"/>
              </w:tabs>
              <w:rPr>
                <w:rFonts w:asciiTheme="minorHAnsi" w:hAnsiTheme="minorHAnsi"/>
                <w:sz w:val="18"/>
                <w:szCs w:val="16"/>
              </w:rPr>
            </w:pPr>
            <w:r w:rsidRPr="00A52D36">
              <w:rPr>
                <w:rFonts w:asciiTheme="minorHAnsi" w:hAnsiTheme="minorHAnsi"/>
                <w:sz w:val="18"/>
                <w:szCs w:val="16"/>
              </w:rPr>
              <w:t>Total expenses</w:t>
            </w:r>
          </w:p>
        </w:tc>
        <w:tc>
          <w:tcPr>
            <w:tcW w:w="961" w:type="dxa"/>
            <w:shd w:val="clear" w:color="auto" w:fill="FFFFFF" w:themeFill="background1"/>
            <w:noWrap/>
            <w:vAlign w:val="center"/>
            <w:hideMark/>
          </w:tcPr>
          <w:p w:rsidR="00B26D5A" w:rsidRPr="00A52D36" w:rsidRDefault="00B26D5A" w:rsidP="00A52D36">
            <w:pPr>
              <w:keepNext/>
              <w:tabs>
                <w:tab w:val="num" w:pos="0"/>
              </w:tabs>
              <w:jc w:val="right"/>
              <w:rPr>
                <w:rFonts w:asciiTheme="minorHAnsi" w:hAnsiTheme="minorHAnsi"/>
                <w:sz w:val="18"/>
                <w:szCs w:val="16"/>
              </w:rPr>
            </w:pPr>
            <w:r w:rsidRPr="00A52D36">
              <w:rPr>
                <w:rFonts w:asciiTheme="minorHAnsi" w:hAnsiTheme="minorHAnsi"/>
                <w:sz w:val="18"/>
                <w:szCs w:val="16"/>
              </w:rPr>
              <w:t>614,789</w:t>
            </w:r>
          </w:p>
        </w:tc>
        <w:tc>
          <w:tcPr>
            <w:tcW w:w="1080" w:type="dxa"/>
            <w:shd w:val="clear" w:color="auto" w:fill="FFFFFF" w:themeFill="background1"/>
            <w:noWrap/>
            <w:vAlign w:val="center"/>
            <w:hideMark/>
          </w:tcPr>
          <w:p w:rsidR="00B26D5A" w:rsidRPr="00A52D36" w:rsidRDefault="00B26D5A" w:rsidP="00A52D36">
            <w:pPr>
              <w:keepNext/>
              <w:tabs>
                <w:tab w:val="num" w:pos="0"/>
              </w:tabs>
              <w:jc w:val="right"/>
              <w:rPr>
                <w:rFonts w:asciiTheme="minorHAnsi" w:hAnsiTheme="minorHAnsi"/>
                <w:sz w:val="18"/>
                <w:szCs w:val="16"/>
              </w:rPr>
            </w:pPr>
            <w:r w:rsidRPr="00A52D36">
              <w:rPr>
                <w:rFonts w:asciiTheme="minorHAnsi" w:hAnsiTheme="minorHAnsi"/>
                <w:sz w:val="18"/>
                <w:szCs w:val="16"/>
              </w:rPr>
              <w:t xml:space="preserve">744,484 </w:t>
            </w:r>
          </w:p>
        </w:tc>
        <w:tc>
          <w:tcPr>
            <w:tcW w:w="1170" w:type="dxa"/>
            <w:shd w:val="clear" w:color="auto" w:fill="FFFFFF" w:themeFill="background1"/>
            <w:noWrap/>
            <w:vAlign w:val="center"/>
            <w:hideMark/>
          </w:tcPr>
          <w:p w:rsidR="00B26D5A" w:rsidRPr="00A52D36" w:rsidRDefault="00B26D5A" w:rsidP="00A52D36">
            <w:pPr>
              <w:keepNext/>
              <w:tabs>
                <w:tab w:val="num" w:pos="0"/>
              </w:tabs>
              <w:jc w:val="right"/>
              <w:rPr>
                <w:rFonts w:asciiTheme="minorHAnsi" w:hAnsiTheme="minorHAnsi"/>
                <w:sz w:val="18"/>
                <w:szCs w:val="16"/>
              </w:rPr>
            </w:pPr>
            <w:r w:rsidRPr="00A52D36">
              <w:rPr>
                <w:rFonts w:asciiTheme="minorHAnsi" w:hAnsiTheme="minorHAnsi"/>
                <w:sz w:val="18"/>
                <w:szCs w:val="16"/>
              </w:rPr>
              <w:t>833,302</w:t>
            </w:r>
          </w:p>
        </w:tc>
        <w:tc>
          <w:tcPr>
            <w:tcW w:w="1260" w:type="dxa"/>
            <w:shd w:val="clear" w:color="auto" w:fill="FFFFFF" w:themeFill="background1"/>
            <w:noWrap/>
            <w:vAlign w:val="center"/>
            <w:hideMark/>
          </w:tcPr>
          <w:p w:rsidR="00B26D5A" w:rsidRPr="00A52D36" w:rsidRDefault="00B26D5A" w:rsidP="00A52D36">
            <w:pPr>
              <w:keepNext/>
              <w:tabs>
                <w:tab w:val="num" w:pos="0"/>
              </w:tabs>
              <w:jc w:val="right"/>
              <w:rPr>
                <w:rFonts w:asciiTheme="minorHAnsi" w:hAnsiTheme="minorHAnsi"/>
                <w:sz w:val="18"/>
                <w:szCs w:val="16"/>
              </w:rPr>
            </w:pPr>
            <w:r w:rsidRPr="00A52D36">
              <w:rPr>
                <w:rFonts w:asciiTheme="minorHAnsi" w:hAnsiTheme="minorHAnsi"/>
                <w:sz w:val="18"/>
                <w:szCs w:val="16"/>
              </w:rPr>
              <w:t>969,936</w:t>
            </w:r>
          </w:p>
        </w:tc>
      </w:tr>
      <w:tr w:rsidR="00B26D5A" w:rsidRPr="00A52D36" w:rsidTr="00A52D36">
        <w:trPr>
          <w:trHeight w:val="170"/>
        </w:trPr>
        <w:tc>
          <w:tcPr>
            <w:tcW w:w="4605" w:type="dxa"/>
            <w:gridSpan w:val="2"/>
            <w:tcBorders>
              <w:bottom w:val="single" w:sz="8" w:space="0" w:color="auto"/>
            </w:tcBorders>
            <w:vAlign w:val="center"/>
            <w:hideMark/>
          </w:tcPr>
          <w:p w:rsidR="00B26D5A" w:rsidRPr="00A52D36" w:rsidRDefault="00B26D5A" w:rsidP="00A52D36">
            <w:pPr>
              <w:keepNext/>
              <w:tabs>
                <w:tab w:val="num" w:pos="0"/>
              </w:tabs>
              <w:rPr>
                <w:rFonts w:asciiTheme="minorHAnsi" w:hAnsiTheme="minorHAnsi"/>
                <w:b/>
                <w:sz w:val="18"/>
                <w:szCs w:val="16"/>
              </w:rPr>
            </w:pPr>
            <w:r w:rsidRPr="00A52D36">
              <w:rPr>
                <w:rFonts w:asciiTheme="minorHAnsi" w:hAnsiTheme="minorHAnsi"/>
                <w:b/>
                <w:sz w:val="18"/>
                <w:szCs w:val="16"/>
              </w:rPr>
              <w:t>Profit / Loss (BYR million)</w:t>
            </w:r>
          </w:p>
        </w:tc>
        <w:tc>
          <w:tcPr>
            <w:tcW w:w="961" w:type="dxa"/>
            <w:tcBorders>
              <w:bottom w:val="single" w:sz="8" w:space="0" w:color="auto"/>
            </w:tcBorders>
            <w:shd w:val="clear" w:color="auto" w:fill="auto"/>
            <w:noWrap/>
            <w:vAlign w:val="center"/>
            <w:hideMark/>
          </w:tcPr>
          <w:p w:rsidR="00B26D5A" w:rsidRPr="00A52D36" w:rsidRDefault="00B26D5A" w:rsidP="00A52D36">
            <w:pPr>
              <w:keepNext/>
              <w:tabs>
                <w:tab w:val="num" w:pos="0"/>
              </w:tabs>
              <w:jc w:val="right"/>
              <w:rPr>
                <w:rFonts w:asciiTheme="minorHAnsi" w:hAnsiTheme="minorHAnsi"/>
                <w:b/>
                <w:sz w:val="18"/>
                <w:szCs w:val="16"/>
              </w:rPr>
            </w:pPr>
            <w:r w:rsidRPr="00A52D36">
              <w:rPr>
                <w:rFonts w:asciiTheme="minorHAnsi" w:hAnsiTheme="minorHAnsi"/>
                <w:b/>
                <w:sz w:val="18"/>
                <w:szCs w:val="16"/>
              </w:rPr>
              <w:t>(196,724)</w:t>
            </w:r>
          </w:p>
        </w:tc>
        <w:tc>
          <w:tcPr>
            <w:tcW w:w="1080" w:type="dxa"/>
            <w:tcBorders>
              <w:bottom w:val="single" w:sz="8" w:space="0" w:color="auto"/>
            </w:tcBorders>
            <w:shd w:val="clear" w:color="auto" w:fill="auto"/>
            <w:noWrap/>
            <w:vAlign w:val="center"/>
            <w:hideMark/>
          </w:tcPr>
          <w:p w:rsidR="00B26D5A" w:rsidRPr="00A52D36" w:rsidRDefault="00B26D5A" w:rsidP="00A52D36">
            <w:pPr>
              <w:keepNext/>
              <w:tabs>
                <w:tab w:val="num" w:pos="0"/>
              </w:tabs>
              <w:jc w:val="right"/>
              <w:rPr>
                <w:rFonts w:asciiTheme="minorHAnsi" w:hAnsiTheme="minorHAnsi"/>
                <w:b/>
                <w:sz w:val="18"/>
                <w:szCs w:val="16"/>
              </w:rPr>
            </w:pPr>
            <w:r w:rsidRPr="00A52D36">
              <w:rPr>
                <w:rFonts w:asciiTheme="minorHAnsi" w:hAnsiTheme="minorHAnsi"/>
                <w:b/>
                <w:sz w:val="18"/>
                <w:szCs w:val="16"/>
              </w:rPr>
              <w:t>(262,074)</w:t>
            </w:r>
          </w:p>
        </w:tc>
        <w:tc>
          <w:tcPr>
            <w:tcW w:w="1170" w:type="dxa"/>
            <w:tcBorders>
              <w:bottom w:val="single" w:sz="8" w:space="0" w:color="auto"/>
            </w:tcBorders>
            <w:shd w:val="clear" w:color="auto" w:fill="auto"/>
            <w:noWrap/>
            <w:vAlign w:val="center"/>
            <w:hideMark/>
          </w:tcPr>
          <w:p w:rsidR="00B26D5A" w:rsidRPr="00A52D36" w:rsidRDefault="00B26D5A" w:rsidP="00A52D36">
            <w:pPr>
              <w:keepNext/>
              <w:tabs>
                <w:tab w:val="num" w:pos="0"/>
              </w:tabs>
              <w:jc w:val="right"/>
              <w:rPr>
                <w:rFonts w:asciiTheme="minorHAnsi" w:hAnsiTheme="minorHAnsi"/>
                <w:b/>
                <w:sz w:val="18"/>
                <w:szCs w:val="16"/>
              </w:rPr>
            </w:pPr>
            <w:r w:rsidRPr="00A52D36">
              <w:rPr>
                <w:rFonts w:asciiTheme="minorHAnsi" w:hAnsiTheme="minorHAnsi"/>
                <w:b/>
                <w:sz w:val="18"/>
                <w:szCs w:val="16"/>
              </w:rPr>
              <w:t>(253,817)</w:t>
            </w:r>
          </w:p>
        </w:tc>
        <w:tc>
          <w:tcPr>
            <w:tcW w:w="1260" w:type="dxa"/>
            <w:tcBorders>
              <w:bottom w:val="single" w:sz="8" w:space="0" w:color="auto"/>
            </w:tcBorders>
            <w:shd w:val="clear" w:color="auto" w:fill="auto"/>
            <w:noWrap/>
            <w:vAlign w:val="center"/>
            <w:hideMark/>
          </w:tcPr>
          <w:p w:rsidR="00B26D5A" w:rsidRPr="00A52D36" w:rsidRDefault="00B26D5A" w:rsidP="00A52D36">
            <w:pPr>
              <w:keepNext/>
              <w:tabs>
                <w:tab w:val="num" w:pos="0"/>
              </w:tabs>
              <w:jc w:val="right"/>
              <w:rPr>
                <w:rFonts w:asciiTheme="minorHAnsi" w:hAnsiTheme="minorHAnsi"/>
                <w:b/>
                <w:sz w:val="18"/>
                <w:szCs w:val="16"/>
              </w:rPr>
            </w:pPr>
            <w:r w:rsidRPr="00A52D36">
              <w:rPr>
                <w:rFonts w:asciiTheme="minorHAnsi" w:hAnsiTheme="minorHAnsi"/>
                <w:b/>
                <w:sz w:val="18"/>
                <w:szCs w:val="16"/>
              </w:rPr>
              <w:t>(274,701)</w:t>
            </w:r>
          </w:p>
        </w:tc>
      </w:tr>
      <w:tr w:rsidR="00B26D5A" w:rsidRPr="00A52D36" w:rsidTr="00A52D36">
        <w:trPr>
          <w:trHeight w:val="169"/>
        </w:trPr>
        <w:tc>
          <w:tcPr>
            <w:tcW w:w="9076" w:type="dxa"/>
            <w:gridSpan w:val="6"/>
            <w:tcBorders>
              <w:bottom w:val="nil"/>
            </w:tcBorders>
            <w:vAlign w:val="center"/>
            <w:hideMark/>
          </w:tcPr>
          <w:p w:rsidR="00B26D5A" w:rsidRPr="00A52D36" w:rsidRDefault="00B26D5A" w:rsidP="00DE274C">
            <w:pPr>
              <w:pStyle w:val="ListParagraph"/>
              <w:tabs>
                <w:tab w:val="num" w:pos="0"/>
              </w:tabs>
              <w:ind w:left="0"/>
              <w:rPr>
                <w:rFonts w:asciiTheme="minorHAnsi" w:hAnsiTheme="minorHAnsi"/>
                <w:sz w:val="18"/>
                <w:szCs w:val="16"/>
              </w:rPr>
            </w:pPr>
            <w:r w:rsidRPr="00A52D36">
              <w:rPr>
                <w:rFonts w:asciiTheme="minorHAnsi" w:hAnsiTheme="minorHAnsi"/>
                <w:sz w:val="18"/>
                <w:szCs w:val="16"/>
              </w:rPr>
              <w:t>Source: Data Reported by Belarusian Railway.</w:t>
            </w:r>
          </w:p>
        </w:tc>
      </w:tr>
    </w:tbl>
    <w:p w:rsidR="00B26D5A" w:rsidRPr="00D02567" w:rsidRDefault="00B26D5A" w:rsidP="00DE274C">
      <w:pPr>
        <w:tabs>
          <w:tab w:val="num" w:pos="0"/>
        </w:tabs>
        <w:autoSpaceDE w:val="0"/>
        <w:autoSpaceDN w:val="0"/>
        <w:adjustRightInd w:val="0"/>
        <w:spacing w:after="120"/>
        <w:jc w:val="both"/>
      </w:pPr>
    </w:p>
    <w:p w:rsidR="00CC1F17" w:rsidRPr="00AC422F" w:rsidRDefault="00CC1F17" w:rsidP="00AC422F">
      <w:pPr>
        <w:pStyle w:val="Style3"/>
        <w:rPr>
          <w:b w:val="0"/>
        </w:rPr>
      </w:pPr>
      <w:r w:rsidRPr="003C5773">
        <w:t xml:space="preserve">In view of the significant financial losses from passenger services, the </w:t>
      </w:r>
      <w:r w:rsidR="003C5773">
        <w:t>Bela</w:t>
      </w:r>
      <w:r w:rsidR="00286F40" w:rsidRPr="003C5773">
        <w:t xml:space="preserve">rusian </w:t>
      </w:r>
      <w:r w:rsidRPr="003C5773">
        <w:t>Railways should consider separating commercially viable services from non-commercial services.</w:t>
      </w:r>
      <w:r w:rsidRPr="00AC422F">
        <w:rPr>
          <w:b w:val="0"/>
        </w:rPr>
        <w:t xml:space="preserve"> The fact that railway transport services for passengers are generating financial losses is a reality </w:t>
      </w:r>
      <w:r w:rsidR="00286F40" w:rsidRPr="00AC422F">
        <w:rPr>
          <w:b w:val="0"/>
        </w:rPr>
        <w:t xml:space="preserve">that is </w:t>
      </w:r>
      <w:r w:rsidRPr="00AC422F">
        <w:rPr>
          <w:b w:val="0"/>
        </w:rPr>
        <w:t xml:space="preserve">generally accepted throughout the world. The Government should consider compensating the </w:t>
      </w:r>
      <w:r w:rsidR="003C5773">
        <w:rPr>
          <w:b w:val="0"/>
        </w:rPr>
        <w:t>Bela</w:t>
      </w:r>
      <w:r w:rsidR="00286F40" w:rsidRPr="00AC422F">
        <w:rPr>
          <w:b w:val="0"/>
        </w:rPr>
        <w:t xml:space="preserve">rusian </w:t>
      </w:r>
      <w:r w:rsidRPr="00AC422F">
        <w:rPr>
          <w:b w:val="0"/>
        </w:rPr>
        <w:t>Railways for losses in domestic passenger services</w:t>
      </w:r>
      <w:r w:rsidR="00286F40" w:rsidRPr="00AC422F">
        <w:rPr>
          <w:b w:val="0"/>
        </w:rPr>
        <w:t xml:space="preserve">.  Such compensation is </w:t>
      </w:r>
      <w:r w:rsidRPr="00AC422F">
        <w:rPr>
          <w:b w:val="0"/>
        </w:rPr>
        <w:t>provisioned in the current Railway Law but is not applied</w:t>
      </w:r>
      <w:r w:rsidR="00286F40" w:rsidRPr="00AC422F">
        <w:rPr>
          <w:b w:val="0"/>
        </w:rPr>
        <w:t xml:space="preserve"> in practice</w:t>
      </w:r>
      <w:r w:rsidRPr="00AC422F">
        <w:rPr>
          <w:b w:val="0"/>
        </w:rPr>
        <w:t xml:space="preserve">. Introducing a Public Service Obligation (PSO) requiring the Government to compensate for non-commercial </w:t>
      </w:r>
      <w:r w:rsidR="00286F40" w:rsidRPr="00AC422F">
        <w:rPr>
          <w:b w:val="0"/>
        </w:rPr>
        <w:t xml:space="preserve">(loss-making) </w:t>
      </w:r>
      <w:r w:rsidRPr="00AC422F">
        <w:rPr>
          <w:b w:val="0"/>
        </w:rPr>
        <w:t>public transport services would support the sustainability of commercially viable operations.</w:t>
      </w:r>
    </w:p>
    <w:tbl>
      <w:tblPr>
        <w:tblStyle w:val="TableGrid"/>
        <w:tblW w:w="0" w:type="auto"/>
        <w:jc w:val="center"/>
        <w:tblLook w:val="04A0"/>
      </w:tblPr>
      <w:tblGrid>
        <w:gridCol w:w="5046"/>
      </w:tblGrid>
      <w:tr w:rsidR="00CC1F17" w:rsidRPr="007777E2" w:rsidTr="00CC1F17">
        <w:trPr>
          <w:jc w:val="center"/>
        </w:trPr>
        <w:tc>
          <w:tcPr>
            <w:tcW w:w="5046" w:type="dxa"/>
          </w:tcPr>
          <w:p w:rsidR="00CC1F17" w:rsidRPr="007777E2" w:rsidRDefault="00CC1F17" w:rsidP="00DE274C">
            <w:pPr>
              <w:pStyle w:val="Caption"/>
              <w:keepNext/>
              <w:tabs>
                <w:tab w:val="num" w:pos="0"/>
              </w:tabs>
              <w:rPr>
                <w:color w:val="auto"/>
                <w:sz w:val="22"/>
                <w:szCs w:val="22"/>
              </w:rPr>
            </w:pPr>
            <w:bookmarkStart w:id="215" w:name="_Ref258505613"/>
            <w:bookmarkStart w:id="216" w:name="_Toc264226795"/>
            <w:r w:rsidRPr="007777E2">
              <w:rPr>
                <w:color w:val="auto"/>
                <w:sz w:val="22"/>
                <w:szCs w:val="22"/>
              </w:rPr>
              <w:lastRenderedPageBreak/>
              <w:t xml:space="preserve">Figure </w:t>
            </w:r>
            <w:r w:rsidR="006B40AE" w:rsidRPr="007777E2">
              <w:rPr>
                <w:color w:val="auto"/>
                <w:sz w:val="22"/>
                <w:szCs w:val="22"/>
              </w:rPr>
              <w:fldChar w:fldCharType="begin"/>
            </w:r>
            <w:r w:rsidRPr="007777E2">
              <w:rPr>
                <w:color w:val="auto"/>
                <w:sz w:val="22"/>
                <w:szCs w:val="22"/>
              </w:rPr>
              <w:instrText xml:space="preserve"> SEQ Figure \* ARABIC </w:instrText>
            </w:r>
            <w:r w:rsidR="006B40AE" w:rsidRPr="007777E2">
              <w:rPr>
                <w:color w:val="auto"/>
                <w:sz w:val="22"/>
                <w:szCs w:val="22"/>
              </w:rPr>
              <w:fldChar w:fldCharType="separate"/>
            </w:r>
            <w:r w:rsidR="009E2C86">
              <w:rPr>
                <w:noProof/>
                <w:color w:val="auto"/>
                <w:sz w:val="22"/>
                <w:szCs w:val="22"/>
              </w:rPr>
              <w:t>38</w:t>
            </w:r>
            <w:r w:rsidR="006B40AE" w:rsidRPr="007777E2">
              <w:rPr>
                <w:color w:val="auto"/>
                <w:sz w:val="22"/>
                <w:szCs w:val="22"/>
              </w:rPr>
              <w:fldChar w:fldCharType="end"/>
            </w:r>
            <w:bookmarkEnd w:id="215"/>
            <w:r w:rsidRPr="007777E2">
              <w:rPr>
                <w:color w:val="auto"/>
                <w:sz w:val="22"/>
                <w:szCs w:val="22"/>
              </w:rPr>
              <w:t>. Passenger Unit Revenue and Cost of Services 2005-2008 (Euros)</w:t>
            </w:r>
            <w:bookmarkEnd w:id="216"/>
          </w:p>
          <w:p w:rsidR="00CC1F17" w:rsidRPr="007777E2" w:rsidRDefault="00CC1F17" w:rsidP="00DE274C">
            <w:pPr>
              <w:keepNext/>
              <w:tabs>
                <w:tab w:val="num" w:pos="0"/>
              </w:tabs>
              <w:autoSpaceDE w:val="0"/>
              <w:autoSpaceDN w:val="0"/>
              <w:adjustRightInd w:val="0"/>
              <w:spacing w:after="120"/>
              <w:jc w:val="both"/>
            </w:pPr>
            <w:r w:rsidRPr="007777E2">
              <w:rPr>
                <w:noProof/>
              </w:rPr>
              <w:drawing>
                <wp:inline distT="0" distB="0" distL="0" distR="0">
                  <wp:extent cx="3067050" cy="2371725"/>
                  <wp:effectExtent l="0" t="0" r="0" b="0"/>
                  <wp:docPr id="65"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CC1F17" w:rsidRPr="007777E2" w:rsidRDefault="00CC1F17" w:rsidP="00DE274C">
            <w:pPr>
              <w:keepNext/>
              <w:tabs>
                <w:tab w:val="num" w:pos="0"/>
              </w:tabs>
              <w:autoSpaceDE w:val="0"/>
              <w:autoSpaceDN w:val="0"/>
              <w:adjustRightInd w:val="0"/>
              <w:spacing w:after="120"/>
              <w:jc w:val="both"/>
            </w:pPr>
            <w:r w:rsidRPr="007777E2">
              <w:rPr>
                <w:sz w:val="18"/>
                <w:szCs w:val="18"/>
              </w:rPr>
              <w:t>Source: Data reported by Belarusian Railway.</w:t>
            </w:r>
          </w:p>
        </w:tc>
      </w:tr>
    </w:tbl>
    <w:p w:rsidR="00B04B06" w:rsidRDefault="00B04B06" w:rsidP="00DE274C">
      <w:pPr>
        <w:tabs>
          <w:tab w:val="num" w:pos="0"/>
        </w:tabs>
        <w:autoSpaceDE w:val="0"/>
        <w:autoSpaceDN w:val="0"/>
        <w:adjustRightInd w:val="0"/>
        <w:spacing w:after="120"/>
        <w:jc w:val="both"/>
      </w:pPr>
    </w:p>
    <w:p w:rsidR="00B04B06" w:rsidRDefault="00B04B06" w:rsidP="00DE274C">
      <w:pPr>
        <w:pStyle w:val="Heading3"/>
        <w:tabs>
          <w:tab w:val="num" w:pos="0"/>
        </w:tabs>
        <w:spacing w:after="240"/>
        <w:rPr>
          <w:rFonts w:ascii="Times New Roman" w:hAnsi="Times New Roman" w:cs="Times New Roman"/>
          <w:sz w:val="24"/>
          <w:szCs w:val="24"/>
        </w:rPr>
      </w:pPr>
      <w:bookmarkStart w:id="217" w:name="_Toc282029956"/>
      <w:r>
        <w:rPr>
          <w:rFonts w:ascii="Times New Roman" w:hAnsi="Times New Roman" w:cs="Times New Roman"/>
          <w:sz w:val="24"/>
          <w:szCs w:val="24"/>
        </w:rPr>
        <w:t>Financing Requirements for the Railway Sector</w:t>
      </w:r>
      <w:bookmarkEnd w:id="217"/>
    </w:p>
    <w:p w:rsidR="00013774" w:rsidRPr="00AC422F" w:rsidRDefault="00013774" w:rsidP="00AC422F">
      <w:pPr>
        <w:pStyle w:val="Style3"/>
        <w:rPr>
          <w:b w:val="0"/>
        </w:rPr>
      </w:pPr>
      <w:r w:rsidRPr="001F55E1">
        <w:t xml:space="preserve">The financing requirements for Belarusian Railways </w:t>
      </w:r>
      <w:r>
        <w:t>include two</w:t>
      </w:r>
      <w:r w:rsidRPr="001F55E1">
        <w:t xml:space="preserve"> categories of future expenditure needs</w:t>
      </w:r>
      <w:r w:rsidRPr="007777E2">
        <w:t xml:space="preserve">: </w:t>
      </w:r>
      <w:r w:rsidRPr="00AC422F">
        <w:rPr>
          <w:b w:val="0"/>
        </w:rPr>
        <w:t>(</w:t>
      </w:r>
      <w:proofErr w:type="spellStart"/>
      <w:r w:rsidRPr="00AC422F">
        <w:rPr>
          <w:b w:val="0"/>
        </w:rPr>
        <w:t>i</w:t>
      </w:r>
      <w:proofErr w:type="spellEnd"/>
      <w:r w:rsidRPr="00AC422F">
        <w:rPr>
          <w:b w:val="0"/>
        </w:rPr>
        <w:t>) annualized capital expenditure</w:t>
      </w:r>
      <w:r w:rsidR="00C04B28" w:rsidRPr="00AC422F">
        <w:rPr>
          <w:b w:val="0"/>
        </w:rPr>
        <w:t>s</w:t>
      </w:r>
      <w:r w:rsidRPr="00AC422F">
        <w:rPr>
          <w:b w:val="0"/>
        </w:rPr>
        <w:t xml:space="preserve"> </w:t>
      </w:r>
      <w:r w:rsidR="00C04B28" w:rsidRPr="00AC422F">
        <w:rPr>
          <w:b w:val="0"/>
        </w:rPr>
        <w:t xml:space="preserve">needed </w:t>
      </w:r>
      <w:r w:rsidRPr="00AC422F">
        <w:rPr>
          <w:b w:val="0"/>
        </w:rPr>
        <w:t xml:space="preserve">to preserve the existing transport capacity of the railways infrastructure network; and (ii) </w:t>
      </w:r>
      <w:r w:rsidR="00C04B28" w:rsidRPr="00AC422F">
        <w:rPr>
          <w:b w:val="0"/>
        </w:rPr>
        <w:t xml:space="preserve">expenditures for the </w:t>
      </w:r>
      <w:r w:rsidRPr="00AC422F">
        <w:rPr>
          <w:b w:val="0"/>
        </w:rPr>
        <w:t xml:space="preserve">development of the </w:t>
      </w:r>
      <w:r w:rsidR="00C04B28" w:rsidRPr="00AC422F">
        <w:rPr>
          <w:b w:val="0"/>
        </w:rPr>
        <w:t xml:space="preserve">rail </w:t>
      </w:r>
      <w:r w:rsidRPr="00AC422F">
        <w:rPr>
          <w:b w:val="0"/>
        </w:rPr>
        <w:t xml:space="preserve">network </w:t>
      </w:r>
      <w:r w:rsidR="00C04B28" w:rsidRPr="00AC422F">
        <w:rPr>
          <w:b w:val="0"/>
        </w:rPr>
        <w:t xml:space="preserve">and to </w:t>
      </w:r>
      <w:r w:rsidRPr="00AC422F">
        <w:rPr>
          <w:b w:val="0"/>
        </w:rPr>
        <w:t>modernize infrastructure and systems</w:t>
      </w:r>
      <w:r w:rsidR="00C04B28" w:rsidRPr="00AC422F">
        <w:rPr>
          <w:b w:val="0"/>
        </w:rPr>
        <w:t xml:space="preserve">, mainly </w:t>
      </w:r>
      <w:r w:rsidRPr="00AC422F">
        <w:rPr>
          <w:b w:val="0"/>
        </w:rPr>
        <w:t xml:space="preserve">to keep pace with growing traffic demand on Corridor II and Corridor IX. Generally, financing requirements for railway infrastructure vary heavily from country to country depending on the condition of the network and related development needs. </w:t>
      </w:r>
      <w:fldSimple w:instr=" REF _Ref258326622 \h  \* MERGEFORMAT ">
        <w:r w:rsidR="00E85C5F" w:rsidRPr="00E85C5F">
          <w:rPr>
            <w:b w:val="0"/>
          </w:rPr>
          <w:t xml:space="preserve">Figure </w:t>
        </w:r>
        <w:r w:rsidR="00E85C5F" w:rsidRPr="00E85C5F">
          <w:rPr>
            <w:b w:val="0"/>
            <w:noProof/>
          </w:rPr>
          <w:t>39</w:t>
        </w:r>
      </w:fldSimple>
      <w:r w:rsidRPr="00AC422F">
        <w:rPr>
          <w:b w:val="0"/>
        </w:rPr>
        <w:t xml:space="preserve"> illustrates average funds allocated for track renewal in selected countries over the period 1992-1997.</w:t>
      </w:r>
    </w:p>
    <w:tbl>
      <w:tblPr>
        <w:tblStyle w:val="TableGrid"/>
        <w:tblW w:w="0" w:type="auto"/>
        <w:jc w:val="center"/>
        <w:tblLook w:val="04A0"/>
      </w:tblPr>
      <w:tblGrid>
        <w:gridCol w:w="5226"/>
      </w:tblGrid>
      <w:tr w:rsidR="00013774" w:rsidRPr="007777E2" w:rsidTr="00EB4908">
        <w:trPr>
          <w:jc w:val="center"/>
        </w:trPr>
        <w:tc>
          <w:tcPr>
            <w:tcW w:w="5226" w:type="dxa"/>
          </w:tcPr>
          <w:p w:rsidR="00013774" w:rsidRPr="007777E2" w:rsidRDefault="00013774" w:rsidP="00DE274C">
            <w:pPr>
              <w:pStyle w:val="Caption"/>
              <w:keepNext/>
              <w:keepLines/>
              <w:tabs>
                <w:tab w:val="num" w:pos="0"/>
              </w:tabs>
              <w:rPr>
                <w:color w:val="auto"/>
                <w:sz w:val="22"/>
                <w:szCs w:val="22"/>
              </w:rPr>
            </w:pPr>
            <w:bookmarkStart w:id="218" w:name="_Ref258326622"/>
            <w:bookmarkStart w:id="219" w:name="_Toc264226796"/>
            <w:r w:rsidRPr="007777E2">
              <w:rPr>
                <w:color w:val="auto"/>
                <w:sz w:val="22"/>
                <w:szCs w:val="22"/>
              </w:rPr>
              <w:lastRenderedPageBreak/>
              <w:t xml:space="preserve">Figure </w:t>
            </w:r>
            <w:r w:rsidR="006B40AE" w:rsidRPr="007777E2">
              <w:rPr>
                <w:color w:val="auto"/>
                <w:sz w:val="22"/>
                <w:szCs w:val="22"/>
              </w:rPr>
              <w:fldChar w:fldCharType="begin"/>
            </w:r>
            <w:r w:rsidRPr="007777E2">
              <w:rPr>
                <w:color w:val="auto"/>
                <w:sz w:val="22"/>
                <w:szCs w:val="22"/>
              </w:rPr>
              <w:instrText xml:space="preserve"> SEQ Figure \* ARABIC </w:instrText>
            </w:r>
            <w:r w:rsidR="006B40AE" w:rsidRPr="007777E2">
              <w:rPr>
                <w:color w:val="auto"/>
                <w:sz w:val="22"/>
                <w:szCs w:val="22"/>
              </w:rPr>
              <w:fldChar w:fldCharType="separate"/>
            </w:r>
            <w:r w:rsidR="009E2C86">
              <w:rPr>
                <w:noProof/>
                <w:color w:val="auto"/>
                <w:sz w:val="22"/>
                <w:szCs w:val="22"/>
              </w:rPr>
              <w:t>39</w:t>
            </w:r>
            <w:r w:rsidR="006B40AE" w:rsidRPr="007777E2">
              <w:rPr>
                <w:color w:val="auto"/>
                <w:sz w:val="22"/>
                <w:szCs w:val="22"/>
              </w:rPr>
              <w:fldChar w:fldCharType="end"/>
            </w:r>
            <w:bookmarkEnd w:id="218"/>
            <w:r w:rsidRPr="007777E2">
              <w:rPr>
                <w:color w:val="auto"/>
                <w:sz w:val="22"/>
                <w:szCs w:val="22"/>
              </w:rPr>
              <w:t>. Allocation of Funds for Track Renewal in Selected Countries 1992-1997 (</w:t>
            </w:r>
            <w:r>
              <w:rPr>
                <w:color w:val="auto"/>
                <w:sz w:val="22"/>
                <w:szCs w:val="22"/>
              </w:rPr>
              <w:t xml:space="preserve">million Euro per </w:t>
            </w:r>
            <w:r w:rsidRPr="007777E2">
              <w:rPr>
                <w:color w:val="auto"/>
                <w:sz w:val="22"/>
                <w:szCs w:val="22"/>
              </w:rPr>
              <w:t>km of network)</w:t>
            </w:r>
            <w:bookmarkEnd w:id="219"/>
          </w:p>
          <w:p w:rsidR="00013774" w:rsidRPr="007777E2" w:rsidRDefault="00013774" w:rsidP="00DE274C">
            <w:pPr>
              <w:keepNext/>
              <w:keepLines/>
              <w:tabs>
                <w:tab w:val="num" w:pos="0"/>
              </w:tabs>
              <w:autoSpaceDE w:val="0"/>
              <w:autoSpaceDN w:val="0"/>
              <w:adjustRightInd w:val="0"/>
              <w:spacing w:after="120"/>
              <w:jc w:val="both"/>
              <w:rPr>
                <w:b/>
              </w:rPr>
            </w:pPr>
            <w:r w:rsidRPr="0064536A">
              <w:rPr>
                <w:b/>
                <w:noProof/>
              </w:rPr>
              <w:drawing>
                <wp:inline distT="0" distB="0" distL="0" distR="0">
                  <wp:extent cx="3107436" cy="2406700"/>
                  <wp:effectExtent l="19050" t="0" r="16764" b="0"/>
                  <wp:docPr id="9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013774" w:rsidRPr="007777E2" w:rsidRDefault="00013774" w:rsidP="00DE274C">
            <w:pPr>
              <w:keepNext/>
              <w:keepLines/>
              <w:tabs>
                <w:tab w:val="num" w:pos="0"/>
              </w:tabs>
              <w:autoSpaceDE w:val="0"/>
              <w:autoSpaceDN w:val="0"/>
              <w:adjustRightInd w:val="0"/>
              <w:spacing w:after="120"/>
              <w:jc w:val="both"/>
              <w:rPr>
                <w:rFonts w:asciiTheme="minorHAnsi" w:hAnsiTheme="minorHAnsi"/>
                <w:sz w:val="18"/>
                <w:szCs w:val="18"/>
              </w:rPr>
            </w:pPr>
            <w:r w:rsidRPr="007777E2">
              <w:rPr>
                <w:rFonts w:asciiTheme="minorHAnsi" w:hAnsiTheme="minorHAnsi"/>
                <w:sz w:val="18"/>
                <w:szCs w:val="18"/>
              </w:rPr>
              <w:t>Source: OECD Estimates.</w:t>
            </w:r>
          </w:p>
        </w:tc>
      </w:tr>
    </w:tbl>
    <w:p w:rsidR="00013774" w:rsidRDefault="00013774" w:rsidP="00DE274C">
      <w:pPr>
        <w:tabs>
          <w:tab w:val="num" w:pos="0"/>
        </w:tabs>
        <w:autoSpaceDE w:val="0"/>
        <w:autoSpaceDN w:val="0"/>
        <w:adjustRightInd w:val="0"/>
        <w:spacing w:after="120"/>
        <w:jc w:val="both"/>
      </w:pPr>
    </w:p>
    <w:p w:rsidR="00013774" w:rsidRPr="00AC422F" w:rsidRDefault="00013774" w:rsidP="00AC422F">
      <w:pPr>
        <w:pStyle w:val="Style3"/>
        <w:rPr>
          <w:b w:val="0"/>
        </w:rPr>
      </w:pPr>
      <w:r w:rsidRPr="003C5773">
        <w:t xml:space="preserve">The </w:t>
      </w:r>
      <w:r w:rsidR="00C04B28" w:rsidRPr="003C5773">
        <w:t xml:space="preserve">World Bank </w:t>
      </w:r>
      <w:r w:rsidRPr="003C5773">
        <w:t>estimate</w:t>
      </w:r>
      <w:r w:rsidR="00C04B28" w:rsidRPr="003C5773">
        <w:t>s that</w:t>
      </w:r>
      <w:r w:rsidRPr="003C5773">
        <w:t xml:space="preserve"> recurrent </w:t>
      </w:r>
      <w:r w:rsidR="00C04B28" w:rsidRPr="003C5773">
        <w:t xml:space="preserve">annual </w:t>
      </w:r>
      <w:r w:rsidRPr="003C5773">
        <w:t>expenditure</w:t>
      </w:r>
      <w:r w:rsidR="00C04B28" w:rsidRPr="003C5773">
        <w:t>s</w:t>
      </w:r>
      <w:r w:rsidRPr="003C5773">
        <w:t xml:space="preserve"> required to keep the railway network (infrastructure) at its current capacity amounts to about BYR292 billion (US$ 98.4 million) on average</w:t>
      </w:r>
      <w:r w:rsidRPr="00AC422F">
        <w:rPr>
          <w:b w:val="0"/>
        </w:rPr>
        <w:t>. This estimate is based on average unit costs provided by Belarusian Railways for specific activities</w:t>
      </w:r>
      <w:r w:rsidR="00C04B28" w:rsidRPr="00AC422F">
        <w:rPr>
          <w:b w:val="0"/>
        </w:rPr>
        <w:t>,</w:t>
      </w:r>
      <w:r w:rsidRPr="00AC422F">
        <w:rPr>
          <w:b w:val="0"/>
        </w:rPr>
        <w:t xml:space="preserve"> such as for the maintenance of one kilometer of railway track, for </w:t>
      </w:r>
      <w:proofErr w:type="spellStart"/>
      <w:r w:rsidRPr="00AC422F">
        <w:rPr>
          <w:b w:val="0"/>
        </w:rPr>
        <w:t>catenary</w:t>
      </w:r>
      <w:proofErr w:type="spellEnd"/>
      <w:r w:rsidRPr="00AC422F">
        <w:rPr>
          <w:b w:val="0"/>
        </w:rPr>
        <w:t xml:space="preserve"> systems, for semi-/automatic block system, etc. (see </w:t>
      </w:r>
      <w:fldSimple w:instr=" REF _Ref258334120 \h  \* MERGEFORMAT ">
        <w:r w:rsidR="00E85C5F" w:rsidRPr="00E85C5F">
          <w:rPr>
            <w:b w:val="0"/>
          </w:rPr>
          <w:t xml:space="preserve">Table </w:t>
        </w:r>
        <w:r w:rsidR="00E85C5F" w:rsidRPr="00E85C5F">
          <w:rPr>
            <w:b w:val="0"/>
            <w:noProof/>
          </w:rPr>
          <w:t>19</w:t>
        </w:r>
      </w:fldSimple>
      <w:r w:rsidRPr="00AC422F">
        <w:rPr>
          <w:b w:val="0"/>
        </w:rPr>
        <w:t>). It is important to note that these estimates are rather conservative, as unit costs in Belarus are currently below international market prices and are expected to increase in Belarus over the next 10 to 20 years.</w:t>
      </w:r>
    </w:p>
    <w:p w:rsidR="00013774" w:rsidRPr="000D66B6" w:rsidRDefault="00013774" w:rsidP="00A52D36">
      <w:pPr>
        <w:pStyle w:val="Caption"/>
        <w:keepNext/>
        <w:tabs>
          <w:tab w:val="num" w:pos="0"/>
        </w:tabs>
        <w:rPr>
          <w:color w:val="auto"/>
          <w:sz w:val="22"/>
          <w:szCs w:val="22"/>
        </w:rPr>
      </w:pPr>
      <w:bookmarkStart w:id="220" w:name="_Ref258334120"/>
      <w:bookmarkStart w:id="221" w:name="_Toc264227146"/>
      <w:proofErr w:type="gramStart"/>
      <w:r w:rsidRPr="000D66B6">
        <w:rPr>
          <w:color w:val="auto"/>
          <w:sz w:val="22"/>
          <w:szCs w:val="22"/>
        </w:rPr>
        <w:lastRenderedPageBreak/>
        <w:t xml:space="preserve">Table </w:t>
      </w:r>
      <w:r w:rsidR="006B40AE" w:rsidRPr="000D66B6">
        <w:rPr>
          <w:color w:val="auto"/>
          <w:sz w:val="22"/>
          <w:szCs w:val="22"/>
        </w:rPr>
        <w:fldChar w:fldCharType="begin"/>
      </w:r>
      <w:r w:rsidR="003A4063" w:rsidRPr="000D66B6">
        <w:rPr>
          <w:color w:val="auto"/>
          <w:sz w:val="22"/>
          <w:szCs w:val="22"/>
        </w:rPr>
        <w:instrText xml:space="preserve"> SEQ Table \* ARABIC </w:instrText>
      </w:r>
      <w:r w:rsidR="006B40AE" w:rsidRPr="000D66B6">
        <w:rPr>
          <w:color w:val="auto"/>
          <w:sz w:val="22"/>
          <w:szCs w:val="22"/>
        </w:rPr>
        <w:fldChar w:fldCharType="separate"/>
      </w:r>
      <w:r w:rsidR="009E2C86">
        <w:rPr>
          <w:noProof/>
          <w:color w:val="auto"/>
          <w:sz w:val="22"/>
          <w:szCs w:val="22"/>
        </w:rPr>
        <w:t>19</w:t>
      </w:r>
      <w:r w:rsidR="006B40AE" w:rsidRPr="000D66B6">
        <w:rPr>
          <w:color w:val="auto"/>
          <w:sz w:val="22"/>
          <w:szCs w:val="22"/>
        </w:rPr>
        <w:fldChar w:fldCharType="end"/>
      </w:r>
      <w:bookmarkEnd w:id="220"/>
      <w:r w:rsidRPr="000D66B6">
        <w:rPr>
          <w:color w:val="auto"/>
          <w:sz w:val="22"/>
          <w:szCs w:val="22"/>
        </w:rPr>
        <w:t>.</w:t>
      </w:r>
      <w:proofErr w:type="gramEnd"/>
      <w:r w:rsidRPr="000D66B6">
        <w:rPr>
          <w:color w:val="auto"/>
          <w:sz w:val="22"/>
          <w:szCs w:val="22"/>
        </w:rPr>
        <w:t xml:space="preserve"> Estimated Average Annual Railway Maintenance Needs (US$ million)</w:t>
      </w:r>
      <w:bookmarkEnd w:id="221"/>
    </w:p>
    <w:tbl>
      <w:tblPr>
        <w:tblW w:w="9580" w:type="dxa"/>
        <w:jc w:val="center"/>
        <w:tblLook w:val="04A0"/>
      </w:tblPr>
      <w:tblGrid>
        <w:gridCol w:w="4283"/>
        <w:gridCol w:w="1138"/>
        <w:gridCol w:w="1027"/>
        <w:gridCol w:w="1592"/>
        <w:gridCol w:w="1540"/>
      </w:tblGrid>
      <w:tr w:rsidR="00013774" w:rsidRPr="00A52D36" w:rsidTr="003C5773">
        <w:trPr>
          <w:cantSplit/>
          <w:trHeight w:val="315"/>
          <w:jc w:val="center"/>
        </w:trPr>
        <w:tc>
          <w:tcPr>
            <w:tcW w:w="4283" w:type="dxa"/>
            <w:vMerge w:val="restart"/>
            <w:tcBorders>
              <w:top w:val="single" w:sz="8" w:space="0" w:color="auto"/>
              <w:bottom w:val="single" w:sz="8" w:space="0" w:color="auto"/>
            </w:tcBorders>
            <w:shd w:val="clear" w:color="auto" w:fill="auto"/>
            <w:hideMark/>
          </w:tcPr>
          <w:p w:rsidR="00013774" w:rsidRPr="00A52D36" w:rsidRDefault="00013774" w:rsidP="00A52D36">
            <w:pPr>
              <w:keepNext/>
              <w:tabs>
                <w:tab w:val="num" w:pos="0"/>
              </w:tabs>
              <w:rPr>
                <w:rFonts w:asciiTheme="minorHAnsi" w:hAnsiTheme="minorHAnsi"/>
                <w:color w:val="000000"/>
                <w:sz w:val="18"/>
                <w:szCs w:val="16"/>
              </w:rPr>
            </w:pPr>
            <w:r w:rsidRPr="00A52D36">
              <w:rPr>
                <w:rFonts w:asciiTheme="minorHAnsi" w:hAnsiTheme="minorHAnsi"/>
                <w:color w:val="000000"/>
                <w:sz w:val="18"/>
                <w:szCs w:val="16"/>
              </w:rPr>
              <w:t>Infrastructure</w:t>
            </w:r>
          </w:p>
        </w:tc>
        <w:tc>
          <w:tcPr>
            <w:tcW w:w="1138" w:type="dxa"/>
            <w:vMerge w:val="restart"/>
            <w:tcBorders>
              <w:top w:val="single" w:sz="8" w:space="0" w:color="auto"/>
              <w:bottom w:val="single" w:sz="8" w:space="0" w:color="auto"/>
            </w:tcBorders>
            <w:shd w:val="clear" w:color="auto" w:fill="auto"/>
            <w:hideMark/>
          </w:tcPr>
          <w:p w:rsidR="00013774" w:rsidRPr="00A52D36" w:rsidRDefault="00013774" w:rsidP="00A52D36">
            <w:pPr>
              <w:keepNext/>
              <w:tabs>
                <w:tab w:val="num" w:pos="0"/>
              </w:tabs>
              <w:jc w:val="center"/>
              <w:rPr>
                <w:rFonts w:asciiTheme="minorHAnsi" w:hAnsiTheme="minorHAnsi"/>
                <w:color w:val="000000"/>
                <w:sz w:val="18"/>
                <w:szCs w:val="16"/>
              </w:rPr>
            </w:pPr>
            <w:r w:rsidRPr="00A52D36">
              <w:rPr>
                <w:rFonts w:asciiTheme="minorHAnsi" w:hAnsiTheme="minorHAnsi"/>
                <w:color w:val="000000"/>
                <w:sz w:val="18"/>
                <w:szCs w:val="16"/>
              </w:rPr>
              <w:t>Total Length/ Number of Units</w:t>
            </w:r>
          </w:p>
        </w:tc>
        <w:tc>
          <w:tcPr>
            <w:tcW w:w="1027" w:type="dxa"/>
            <w:vMerge w:val="restart"/>
            <w:tcBorders>
              <w:top w:val="single" w:sz="8" w:space="0" w:color="auto"/>
              <w:bottom w:val="single" w:sz="8" w:space="0" w:color="auto"/>
            </w:tcBorders>
            <w:shd w:val="clear" w:color="auto" w:fill="auto"/>
            <w:hideMark/>
          </w:tcPr>
          <w:p w:rsidR="00013774" w:rsidRPr="00A52D36" w:rsidRDefault="00013774" w:rsidP="00A52D36">
            <w:pPr>
              <w:keepNext/>
              <w:tabs>
                <w:tab w:val="num" w:pos="0"/>
              </w:tabs>
              <w:jc w:val="center"/>
              <w:rPr>
                <w:rFonts w:asciiTheme="minorHAnsi" w:hAnsiTheme="minorHAnsi"/>
                <w:color w:val="000000"/>
                <w:sz w:val="18"/>
                <w:szCs w:val="16"/>
              </w:rPr>
            </w:pPr>
            <w:r w:rsidRPr="00A52D36">
              <w:rPr>
                <w:rFonts w:asciiTheme="minorHAnsi" w:hAnsiTheme="minorHAnsi"/>
                <w:color w:val="000000"/>
                <w:sz w:val="18"/>
                <w:szCs w:val="16"/>
              </w:rPr>
              <w:t>Life cycle (years)</w:t>
            </w:r>
          </w:p>
        </w:tc>
        <w:tc>
          <w:tcPr>
            <w:tcW w:w="3132" w:type="dxa"/>
            <w:gridSpan w:val="2"/>
            <w:tcBorders>
              <w:top w:val="single" w:sz="8" w:space="0" w:color="auto"/>
              <w:bottom w:val="single" w:sz="8" w:space="0" w:color="auto"/>
            </w:tcBorders>
            <w:shd w:val="clear" w:color="auto" w:fill="auto"/>
            <w:noWrap/>
            <w:hideMark/>
          </w:tcPr>
          <w:p w:rsidR="00013774" w:rsidRPr="00A52D36" w:rsidRDefault="00013774" w:rsidP="00A52D36">
            <w:pPr>
              <w:keepNext/>
              <w:tabs>
                <w:tab w:val="num" w:pos="0"/>
              </w:tabs>
              <w:jc w:val="center"/>
              <w:rPr>
                <w:rFonts w:asciiTheme="minorHAnsi" w:hAnsiTheme="minorHAnsi"/>
                <w:color w:val="000000"/>
                <w:sz w:val="18"/>
                <w:szCs w:val="16"/>
              </w:rPr>
            </w:pPr>
            <w:r w:rsidRPr="00A52D36">
              <w:rPr>
                <w:rFonts w:asciiTheme="minorHAnsi" w:hAnsiTheme="minorHAnsi"/>
                <w:color w:val="000000"/>
                <w:sz w:val="18"/>
                <w:szCs w:val="16"/>
              </w:rPr>
              <w:t>Annual average</w:t>
            </w:r>
          </w:p>
        </w:tc>
      </w:tr>
      <w:tr w:rsidR="00013774" w:rsidRPr="00A52D36" w:rsidTr="003C5773">
        <w:trPr>
          <w:cantSplit/>
          <w:trHeight w:val="925"/>
          <w:jc w:val="center"/>
        </w:trPr>
        <w:tc>
          <w:tcPr>
            <w:tcW w:w="4283" w:type="dxa"/>
            <w:vMerge/>
            <w:tcBorders>
              <w:top w:val="single" w:sz="8" w:space="0" w:color="auto"/>
              <w:bottom w:val="single" w:sz="8" w:space="0" w:color="auto"/>
            </w:tcBorders>
            <w:hideMark/>
          </w:tcPr>
          <w:p w:rsidR="00013774" w:rsidRPr="00A52D36" w:rsidRDefault="00013774" w:rsidP="00A52D36">
            <w:pPr>
              <w:keepNext/>
              <w:tabs>
                <w:tab w:val="num" w:pos="0"/>
              </w:tabs>
              <w:rPr>
                <w:rFonts w:asciiTheme="minorHAnsi" w:hAnsiTheme="minorHAnsi"/>
                <w:color w:val="000000"/>
                <w:sz w:val="18"/>
                <w:szCs w:val="16"/>
              </w:rPr>
            </w:pPr>
          </w:p>
        </w:tc>
        <w:tc>
          <w:tcPr>
            <w:tcW w:w="1138" w:type="dxa"/>
            <w:vMerge/>
            <w:tcBorders>
              <w:top w:val="single" w:sz="8" w:space="0" w:color="auto"/>
              <w:bottom w:val="single" w:sz="8" w:space="0" w:color="auto"/>
            </w:tcBorders>
            <w:hideMark/>
          </w:tcPr>
          <w:p w:rsidR="00013774" w:rsidRPr="00A52D36" w:rsidRDefault="00013774" w:rsidP="00A52D36">
            <w:pPr>
              <w:keepNext/>
              <w:tabs>
                <w:tab w:val="num" w:pos="0"/>
              </w:tabs>
              <w:jc w:val="center"/>
              <w:rPr>
                <w:rFonts w:asciiTheme="minorHAnsi" w:hAnsiTheme="minorHAnsi"/>
                <w:color w:val="000000"/>
                <w:sz w:val="18"/>
                <w:szCs w:val="16"/>
              </w:rPr>
            </w:pPr>
          </w:p>
        </w:tc>
        <w:tc>
          <w:tcPr>
            <w:tcW w:w="1027" w:type="dxa"/>
            <w:vMerge/>
            <w:tcBorders>
              <w:top w:val="single" w:sz="8" w:space="0" w:color="auto"/>
              <w:bottom w:val="single" w:sz="8" w:space="0" w:color="auto"/>
            </w:tcBorders>
            <w:hideMark/>
          </w:tcPr>
          <w:p w:rsidR="00013774" w:rsidRPr="00A52D36" w:rsidRDefault="00013774" w:rsidP="00A52D36">
            <w:pPr>
              <w:keepNext/>
              <w:tabs>
                <w:tab w:val="num" w:pos="0"/>
              </w:tabs>
              <w:jc w:val="center"/>
              <w:rPr>
                <w:rFonts w:asciiTheme="minorHAnsi" w:hAnsiTheme="minorHAnsi"/>
                <w:color w:val="000000"/>
                <w:sz w:val="18"/>
                <w:szCs w:val="16"/>
              </w:rPr>
            </w:pPr>
          </w:p>
        </w:tc>
        <w:tc>
          <w:tcPr>
            <w:tcW w:w="1592" w:type="dxa"/>
            <w:tcBorders>
              <w:top w:val="single" w:sz="8" w:space="0" w:color="auto"/>
              <w:bottom w:val="single" w:sz="8" w:space="0" w:color="auto"/>
            </w:tcBorders>
            <w:shd w:val="clear" w:color="auto" w:fill="auto"/>
            <w:hideMark/>
          </w:tcPr>
          <w:p w:rsidR="00013774" w:rsidRPr="00A52D36" w:rsidRDefault="00013774" w:rsidP="00A52D36">
            <w:pPr>
              <w:keepNext/>
              <w:tabs>
                <w:tab w:val="num" w:pos="0"/>
              </w:tabs>
              <w:jc w:val="center"/>
              <w:rPr>
                <w:rFonts w:asciiTheme="minorHAnsi" w:hAnsiTheme="minorHAnsi"/>
                <w:color w:val="000000"/>
                <w:sz w:val="18"/>
                <w:szCs w:val="16"/>
              </w:rPr>
            </w:pPr>
            <w:r w:rsidRPr="00A52D36">
              <w:rPr>
                <w:rFonts w:asciiTheme="minorHAnsi" w:hAnsiTheme="minorHAnsi"/>
                <w:color w:val="000000"/>
                <w:sz w:val="18"/>
                <w:szCs w:val="16"/>
              </w:rPr>
              <w:t>Annual average number overhaul/ replaced</w:t>
            </w:r>
          </w:p>
        </w:tc>
        <w:tc>
          <w:tcPr>
            <w:tcW w:w="1540" w:type="dxa"/>
            <w:tcBorders>
              <w:top w:val="single" w:sz="8" w:space="0" w:color="auto"/>
              <w:bottom w:val="single" w:sz="8" w:space="0" w:color="auto"/>
            </w:tcBorders>
            <w:shd w:val="clear" w:color="auto" w:fill="auto"/>
            <w:hideMark/>
          </w:tcPr>
          <w:p w:rsidR="00013774" w:rsidRPr="00A52D36" w:rsidRDefault="00013774" w:rsidP="00A52D36">
            <w:pPr>
              <w:keepNext/>
              <w:tabs>
                <w:tab w:val="num" w:pos="0"/>
              </w:tabs>
              <w:jc w:val="center"/>
              <w:rPr>
                <w:rFonts w:asciiTheme="minorHAnsi" w:hAnsiTheme="minorHAnsi"/>
                <w:color w:val="000000"/>
                <w:sz w:val="18"/>
                <w:szCs w:val="16"/>
              </w:rPr>
            </w:pPr>
            <w:r w:rsidRPr="00A52D36">
              <w:rPr>
                <w:rFonts w:asciiTheme="minorHAnsi" w:hAnsiTheme="minorHAnsi"/>
                <w:color w:val="000000"/>
                <w:sz w:val="18"/>
                <w:szCs w:val="16"/>
              </w:rPr>
              <w:t>Necessary investment</w:t>
            </w:r>
          </w:p>
        </w:tc>
      </w:tr>
      <w:tr w:rsidR="00013774" w:rsidRPr="00A52D36" w:rsidTr="003C5773">
        <w:trPr>
          <w:cantSplit/>
          <w:trHeight w:val="520"/>
          <w:jc w:val="center"/>
        </w:trPr>
        <w:tc>
          <w:tcPr>
            <w:tcW w:w="4283" w:type="dxa"/>
            <w:tcBorders>
              <w:top w:val="single" w:sz="8" w:space="0" w:color="auto"/>
              <w:bottom w:val="single" w:sz="8" w:space="0" w:color="auto"/>
            </w:tcBorders>
            <w:shd w:val="clear" w:color="auto" w:fill="auto"/>
            <w:vAlign w:val="bottom"/>
            <w:hideMark/>
          </w:tcPr>
          <w:p w:rsidR="00013774" w:rsidRPr="00A52D36" w:rsidRDefault="00013774" w:rsidP="00A52D36">
            <w:pPr>
              <w:keepNext/>
              <w:tabs>
                <w:tab w:val="num" w:pos="0"/>
              </w:tabs>
              <w:rPr>
                <w:rFonts w:asciiTheme="minorHAnsi" w:hAnsiTheme="minorHAnsi"/>
                <w:color w:val="000000"/>
                <w:sz w:val="18"/>
                <w:szCs w:val="16"/>
              </w:rPr>
            </w:pPr>
            <w:r w:rsidRPr="00A52D36">
              <w:rPr>
                <w:rFonts w:asciiTheme="minorHAnsi" w:hAnsiTheme="minorHAnsi"/>
                <w:color w:val="000000"/>
                <w:sz w:val="18"/>
                <w:szCs w:val="16"/>
              </w:rPr>
              <w:t>Total number of km of railway lines (main circulation lines + receiving / departure lines in stations)</w:t>
            </w:r>
          </w:p>
        </w:tc>
        <w:tc>
          <w:tcPr>
            <w:tcW w:w="1138" w:type="dxa"/>
            <w:tcBorders>
              <w:top w:val="single" w:sz="8" w:space="0" w:color="auto"/>
              <w:bottom w:val="single" w:sz="8" w:space="0" w:color="auto"/>
            </w:tcBorders>
            <w:shd w:val="clear" w:color="auto" w:fill="auto"/>
            <w:noWrap/>
            <w:vAlign w:val="center"/>
            <w:hideMark/>
          </w:tcPr>
          <w:p w:rsidR="00013774" w:rsidRPr="00A52D36" w:rsidRDefault="00013774" w:rsidP="00A52D36">
            <w:pPr>
              <w:keepNext/>
              <w:tabs>
                <w:tab w:val="num" w:pos="0"/>
              </w:tabs>
              <w:jc w:val="right"/>
              <w:rPr>
                <w:rFonts w:asciiTheme="minorHAnsi" w:hAnsiTheme="minorHAnsi"/>
                <w:color w:val="000000"/>
                <w:sz w:val="18"/>
                <w:szCs w:val="16"/>
              </w:rPr>
            </w:pPr>
            <w:r w:rsidRPr="00A52D36">
              <w:rPr>
                <w:rFonts w:asciiTheme="minorHAnsi" w:hAnsiTheme="minorHAnsi"/>
                <w:color w:val="000000"/>
                <w:sz w:val="18"/>
                <w:szCs w:val="16"/>
              </w:rPr>
              <w:t>11,771</w:t>
            </w:r>
          </w:p>
        </w:tc>
        <w:tc>
          <w:tcPr>
            <w:tcW w:w="1027" w:type="dxa"/>
            <w:tcBorders>
              <w:top w:val="single" w:sz="8" w:space="0" w:color="auto"/>
              <w:bottom w:val="single" w:sz="8" w:space="0" w:color="auto"/>
            </w:tcBorders>
            <w:shd w:val="clear" w:color="auto" w:fill="auto"/>
            <w:noWrap/>
            <w:vAlign w:val="center"/>
            <w:hideMark/>
          </w:tcPr>
          <w:p w:rsidR="00013774" w:rsidRPr="00A52D36" w:rsidRDefault="00013774" w:rsidP="00A52D36">
            <w:pPr>
              <w:keepNext/>
              <w:tabs>
                <w:tab w:val="num" w:pos="0"/>
              </w:tabs>
              <w:jc w:val="center"/>
              <w:rPr>
                <w:rFonts w:asciiTheme="minorHAnsi" w:hAnsiTheme="minorHAnsi"/>
                <w:color w:val="000000"/>
                <w:sz w:val="18"/>
                <w:szCs w:val="16"/>
              </w:rPr>
            </w:pPr>
            <w:r w:rsidRPr="00A52D36">
              <w:rPr>
                <w:rFonts w:asciiTheme="minorHAnsi" w:hAnsiTheme="minorHAnsi"/>
                <w:color w:val="000000"/>
                <w:sz w:val="18"/>
                <w:szCs w:val="16"/>
              </w:rPr>
              <w:t>50</w:t>
            </w:r>
          </w:p>
        </w:tc>
        <w:tc>
          <w:tcPr>
            <w:tcW w:w="1592" w:type="dxa"/>
            <w:tcBorders>
              <w:top w:val="single" w:sz="8" w:space="0" w:color="auto"/>
              <w:bottom w:val="single" w:sz="8" w:space="0" w:color="auto"/>
            </w:tcBorders>
            <w:shd w:val="clear" w:color="auto" w:fill="auto"/>
            <w:noWrap/>
            <w:vAlign w:val="center"/>
            <w:hideMark/>
          </w:tcPr>
          <w:p w:rsidR="00013774" w:rsidRPr="00A52D36" w:rsidRDefault="00013774" w:rsidP="00A52D36">
            <w:pPr>
              <w:keepNext/>
              <w:tabs>
                <w:tab w:val="num" w:pos="0"/>
              </w:tabs>
              <w:jc w:val="right"/>
              <w:rPr>
                <w:rFonts w:asciiTheme="minorHAnsi" w:hAnsiTheme="minorHAnsi"/>
                <w:color w:val="000000"/>
                <w:sz w:val="18"/>
                <w:szCs w:val="16"/>
              </w:rPr>
            </w:pPr>
            <w:r w:rsidRPr="00A52D36">
              <w:rPr>
                <w:rFonts w:asciiTheme="minorHAnsi" w:hAnsiTheme="minorHAnsi"/>
                <w:color w:val="000000"/>
                <w:sz w:val="18"/>
                <w:szCs w:val="16"/>
              </w:rPr>
              <w:t>235.42</w:t>
            </w:r>
          </w:p>
        </w:tc>
        <w:tc>
          <w:tcPr>
            <w:tcW w:w="1540" w:type="dxa"/>
            <w:tcBorders>
              <w:top w:val="single" w:sz="8" w:space="0" w:color="auto"/>
              <w:bottom w:val="single" w:sz="8" w:space="0" w:color="auto"/>
            </w:tcBorders>
            <w:shd w:val="clear" w:color="auto" w:fill="auto"/>
            <w:noWrap/>
            <w:vAlign w:val="center"/>
            <w:hideMark/>
          </w:tcPr>
          <w:p w:rsidR="00013774" w:rsidRPr="00A52D36" w:rsidRDefault="00013774" w:rsidP="00A52D36">
            <w:pPr>
              <w:keepNext/>
              <w:tabs>
                <w:tab w:val="num" w:pos="0"/>
              </w:tabs>
              <w:jc w:val="right"/>
              <w:rPr>
                <w:rFonts w:ascii="Calibri" w:hAnsi="Calibri"/>
                <w:color w:val="000000"/>
                <w:sz w:val="18"/>
                <w:szCs w:val="16"/>
              </w:rPr>
            </w:pPr>
            <w:r w:rsidRPr="00A52D36">
              <w:rPr>
                <w:rFonts w:ascii="Calibri" w:hAnsi="Calibri"/>
                <w:color w:val="000000"/>
                <w:sz w:val="18"/>
                <w:szCs w:val="16"/>
              </w:rPr>
              <w:t>76.70</w:t>
            </w:r>
          </w:p>
        </w:tc>
      </w:tr>
      <w:tr w:rsidR="00013774" w:rsidRPr="00A52D36" w:rsidTr="003C5773">
        <w:trPr>
          <w:cantSplit/>
          <w:trHeight w:val="430"/>
          <w:jc w:val="center"/>
        </w:trPr>
        <w:tc>
          <w:tcPr>
            <w:tcW w:w="4283" w:type="dxa"/>
            <w:tcBorders>
              <w:top w:val="single" w:sz="8" w:space="0" w:color="auto"/>
              <w:bottom w:val="single" w:sz="8" w:space="0" w:color="auto"/>
            </w:tcBorders>
            <w:shd w:val="clear" w:color="auto" w:fill="auto"/>
            <w:vAlign w:val="bottom"/>
            <w:hideMark/>
          </w:tcPr>
          <w:p w:rsidR="00013774" w:rsidRPr="00A52D36" w:rsidRDefault="00013774" w:rsidP="00A52D36">
            <w:pPr>
              <w:keepNext/>
              <w:tabs>
                <w:tab w:val="num" w:pos="0"/>
              </w:tabs>
              <w:rPr>
                <w:rFonts w:asciiTheme="minorHAnsi" w:hAnsiTheme="minorHAnsi"/>
                <w:color w:val="000000"/>
                <w:sz w:val="18"/>
                <w:szCs w:val="16"/>
              </w:rPr>
            </w:pPr>
            <w:r w:rsidRPr="00A52D36">
              <w:rPr>
                <w:rFonts w:asciiTheme="minorHAnsi" w:hAnsiTheme="minorHAnsi"/>
                <w:color w:val="000000"/>
                <w:sz w:val="18"/>
                <w:szCs w:val="16"/>
              </w:rPr>
              <w:t>Total number of km of electrified lines (AC and DC)</w:t>
            </w:r>
          </w:p>
        </w:tc>
        <w:tc>
          <w:tcPr>
            <w:tcW w:w="1138" w:type="dxa"/>
            <w:tcBorders>
              <w:top w:val="single" w:sz="8" w:space="0" w:color="auto"/>
              <w:bottom w:val="single" w:sz="8" w:space="0" w:color="auto"/>
            </w:tcBorders>
            <w:shd w:val="clear" w:color="auto" w:fill="auto"/>
            <w:noWrap/>
            <w:vAlign w:val="center"/>
            <w:hideMark/>
          </w:tcPr>
          <w:p w:rsidR="00013774" w:rsidRPr="00A52D36" w:rsidRDefault="00013774" w:rsidP="00A52D36">
            <w:pPr>
              <w:keepNext/>
              <w:tabs>
                <w:tab w:val="num" w:pos="0"/>
              </w:tabs>
              <w:jc w:val="right"/>
              <w:rPr>
                <w:rFonts w:asciiTheme="minorHAnsi" w:hAnsiTheme="minorHAnsi"/>
                <w:color w:val="000000"/>
                <w:sz w:val="18"/>
                <w:szCs w:val="16"/>
              </w:rPr>
            </w:pPr>
            <w:r w:rsidRPr="00A52D36">
              <w:rPr>
                <w:rFonts w:asciiTheme="minorHAnsi" w:hAnsiTheme="minorHAnsi"/>
                <w:color w:val="000000"/>
                <w:sz w:val="18"/>
                <w:szCs w:val="16"/>
              </w:rPr>
              <w:t>897</w:t>
            </w:r>
          </w:p>
        </w:tc>
        <w:tc>
          <w:tcPr>
            <w:tcW w:w="1027" w:type="dxa"/>
            <w:tcBorders>
              <w:top w:val="single" w:sz="8" w:space="0" w:color="auto"/>
              <w:bottom w:val="single" w:sz="8" w:space="0" w:color="auto"/>
            </w:tcBorders>
            <w:shd w:val="clear" w:color="auto" w:fill="auto"/>
            <w:noWrap/>
            <w:vAlign w:val="center"/>
            <w:hideMark/>
          </w:tcPr>
          <w:p w:rsidR="00013774" w:rsidRPr="00A52D36" w:rsidRDefault="00013774" w:rsidP="00A52D36">
            <w:pPr>
              <w:keepNext/>
              <w:tabs>
                <w:tab w:val="num" w:pos="0"/>
              </w:tabs>
              <w:jc w:val="center"/>
              <w:rPr>
                <w:rFonts w:asciiTheme="minorHAnsi" w:hAnsiTheme="minorHAnsi"/>
                <w:color w:val="000000"/>
                <w:sz w:val="18"/>
                <w:szCs w:val="16"/>
              </w:rPr>
            </w:pPr>
            <w:r w:rsidRPr="00A52D36">
              <w:rPr>
                <w:rFonts w:asciiTheme="minorHAnsi" w:hAnsiTheme="minorHAnsi"/>
                <w:color w:val="000000"/>
                <w:sz w:val="18"/>
                <w:szCs w:val="16"/>
              </w:rPr>
              <w:t>40</w:t>
            </w:r>
          </w:p>
        </w:tc>
        <w:tc>
          <w:tcPr>
            <w:tcW w:w="1592" w:type="dxa"/>
            <w:tcBorders>
              <w:top w:val="single" w:sz="8" w:space="0" w:color="auto"/>
              <w:bottom w:val="single" w:sz="8" w:space="0" w:color="auto"/>
            </w:tcBorders>
            <w:shd w:val="clear" w:color="auto" w:fill="auto"/>
            <w:noWrap/>
            <w:vAlign w:val="center"/>
            <w:hideMark/>
          </w:tcPr>
          <w:p w:rsidR="00013774" w:rsidRPr="00A52D36" w:rsidRDefault="00013774" w:rsidP="00A52D36">
            <w:pPr>
              <w:keepNext/>
              <w:tabs>
                <w:tab w:val="num" w:pos="0"/>
              </w:tabs>
              <w:jc w:val="right"/>
              <w:rPr>
                <w:rFonts w:asciiTheme="minorHAnsi" w:hAnsiTheme="minorHAnsi"/>
                <w:color w:val="000000"/>
                <w:sz w:val="18"/>
                <w:szCs w:val="16"/>
              </w:rPr>
            </w:pPr>
            <w:r w:rsidRPr="00A52D36">
              <w:rPr>
                <w:rFonts w:asciiTheme="minorHAnsi" w:hAnsiTheme="minorHAnsi"/>
                <w:color w:val="000000"/>
                <w:sz w:val="18"/>
                <w:szCs w:val="16"/>
              </w:rPr>
              <w:t>22.43</w:t>
            </w:r>
          </w:p>
        </w:tc>
        <w:tc>
          <w:tcPr>
            <w:tcW w:w="1540" w:type="dxa"/>
            <w:tcBorders>
              <w:top w:val="single" w:sz="8" w:space="0" w:color="auto"/>
              <w:bottom w:val="single" w:sz="8" w:space="0" w:color="auto"/>
            </w:tcBorders>
            <w:shd w:val="clear" w:color="auto" w:fill="auto"/>
            <w:noWrap/>
            <w:vAlign w:val="center"/>
            <w:hideMark/>
          </w:tcPr>
          <w:p w:rsidR="00013774" w:rsidRPr="00A52D36" w:rsidRDefault="00013774" w:rsidP="00A52D36">
            <w:pPr>
              <w:keepNext/>
              <w:tabs>
                <w:tab w:val="num" w:pos="0"/>
              </w:tabs>
              <w:jc w:val="right"/>
              <w:rPr>
                <w:rFonts w:ascii="Calibri" w:hAnsi="Calibri"/>
                <w:color w:val="000000"/>
                <w:sz w:val="18"/>
                <w:szCs w:val="16"/>
              </w:rPr>
            </w:pPr>
            <w:r w:rsidRPr="00A52D36">
              <w:rPr>
                <w:rFonts w:ascii="Calibri" w:hAnsi="Calibri"/>
                <w:color w:val="000000"/>
                <w:sz w:val="18"/>
                <w:szCs w:val="16"/>
              </w:rPr>
              <w:t>3.04</w:t>
            </w:r>
          </w:p>
        </w:tc>
      </w:tr>
      <w:tr w:rsidR="00013774" w:rsidRPr="00A52D36" w:rsidTr="003C5773">
        <w:trPr>
          <w:cantSplit/>
          <w:trHeight w:val="520"/>
          <w:jc w:val="center"/>
        </w:trPr>
        <w:tc>
          <w:tcPr>
            <w:tcW w:w="4283" w:type="dxa"/>
            <w:tcBorders>
              <w:top w:val="single" w:sz="8" w:space="0" w:color="auto"/>
              <w:bottom w:val="single" w:sz="8" w:space="0" w:color="auto"/>
            </w:tcBorders>
            <w:shd w:val="clear" w:color="auto" w:fill="auto"/>
            <w:vAlign w:val="bottom"/>
            <w:hideMark/>
          </w:tcPr>
          <w:p w:rsidR="00013774" w:rsidRPr="00A52D36" w:rsidRDefault="00013774" w:rsidP="00A52D36">
            <w:pPr>
              <w:keepNext/>
              <w:tabs>
                <w:tab w:val="num" w:pos="0"/>
              </w:tabs>
              <w:rPr>
                <w:rFonts w:asciiTheme="minorHAnsi" w:hAnsiTheme="minorHAnsi"/>
                <w:color w:val="000000"/>
                <w:sz w:val="18"/>
                <w:szCs w:val="16"/>
              </w:rPr>
            </w:pPr>
            <w:r w:rsidRPr="00A52D36">
              <w:rPr>
                <w:rFonts w:asciiTheme="minorHAnsi" w:hAnsiTheme="minorHAnsi"/>
                <w:color w:val="000000"/>
                <w:sz w:val="18"/>
                <w:szCs w:val="16"/>
              </w:rPr>
              <w:t>Total number of km of lines equipped with automatic block system</w:t>
            </w:r>
          </w:p>
        </w:tc>
        <w:tc>
          <w:tcPr>
            <w:tcW w:w="1138" w:type="dxa"/>
            <w:tcBorders>
              <w:top w:val="single" w:sz="8" w:space="0" w:color="auto"/>
              <w:bottom w:val="single" w:sz="8" w:space="0" w:color="auto"/>
            </w:tcBorders>
            <w:shd w:val="clear" w:color="auto" w:fill="auto"/>
            <w:noWrap/>
            <w:vAlign w:val="center"/>
            <w:hideMark/>
          </w:tcPr>
          <w:p w:rsidR="00013774" w:rsidRPr="00A52D36" w:rsidRDefault="00013774" w:rsidP="00A52D36">
            <w:pPr>
              <w:keepNext/>
              <w:tabs>
                <w:tab w:val="num" w:pos="0"/>
              </w:tabs>
              <w:jc w:val="right"/>
              <w:rPr>
                <w:rFonts w:asciiTheme="minorHAnsi" w:hAnsiTheme="minorHAnsi"/>
                <w:color w:val="000000"/>
                <w:sz w:val="18"/>
                <w:szCs w:val="16"/>
              </w:rPr>
            </w:pPr>
            <w:r w:rsidRPr="00A52D36">
              <w:rPr>
                <w:rFonts w:asciiTheme="minorHAnsi" w:hAnsiTheme="minorHAnsi"/>
                <w:color w:val="000000"/>
                <w:sz w:val="18"/>
                <w:szCs w:val="16"/>
              </w:rPr>
              <w:t>3696</w:t>
            </w:r>
          </w:p>
        </w:tc>
        <w:tc>
          <w:tcPr>
            <w:tcW w:w="1027" w:type="dxa"/>
            <w:tcBorders>
              <w:top w:val="single" w:sz="8" w:space="0" w:color="auto"/>
              <w:bottom w:val="single" w:sz="8" w:space="0" w:color="auto"/>
            </w:tcBorders>
            <w:shd w:val="clear" w:color="auto" w:fill="auto"/>
            <w:noWrap/>
            <w:vAlign w:val="center"/>
            <w:hideMark/>
          </w:tcPr>
          <w:p w:rsidR="00013774" w:rsidRPr="00A52D36" w:rsidRDefault="00013774" w:rsidP="00A52D36">
            <w:pPr>
              <w:keepNext/>
              <w:tabs>
                <w:tab w:val="num" w:pos="0"/>
              </w:tabs>
              <w:jc w:val="center"/>
              <w:rPr>
                <w:rFonts w:asciiTheme="minorHAnsi" w:hAnsiTheme="minorHAnsi"/>
                <w:color w:val="000000"/>
                <w:sz w:val="18"/>
                <w:szCs w:val="16"/>
              </w:rPr>
            </w:pPr>
            <w:r w:rsidRPr="00A52D36">
              <w:rPr>
                <w:rFonts w:asciiTheme="minorHAnsi" w:hAnsiTheme="minorHAnsi"/>
                <w:color w:val="000000"/>
                <w:sz w:val="18"/>
                <w:szCs w:val="16"/>
              </w:rPr>
              <w:t>30</w:t>
            </w:r>
          </w:p>
        </w:tc>
        <w:tc>
          <w:tcPr>
            <w:tcW w:w="1592" w:type="dxa"/>
            <w:tcBorders>
              <w:top w:val="single" w:sz="8" w:space="0" w:color="auto"/>
              <w:bottom w:val="single" w:sz="8" w:space="0" w:color="auto"/>
            </w:tcBorders>
            <w:shd w:val="clear" w:color="auto" w:fill="auto"/>
            <w:noWrap/>
            <w:vAlign w:val="center"/>
            <w:hideMark/>
          </w:tcPr>
          <w:p w:rsidR="00013774" w:rsidRPr="00A52D36" w:rsidRDefault="00013774" w:rsidP="00A52D36">
            <w:pPr>
              <w:keepNext/>
              <w:tabs>
                <w:tab w:val="num" w:pos="0"/>
              </w:tabs>
              <w:jc w:val="right"/>
              <w:rPr>
                <w:rFonts w:asciiTheme="minorHAnsi" w:hAnsiTheme="minorHAnsi"/>
                <w:color w:val="000000"/>
                <w:sz w:val="18"/>
                <w:szCs w:val="16"/>
              </w:rPr>
            </w:pPr>
            <w:r w:rsidRPr="00A52D36">
              <w:rPr>
                <w:rFonts w:asciiTheme="minorHAnsi" w:hAnsiTheme="minorHAnsi"/>
                <w:color w:val="000000"/>
                <w:sz w:val="18"/>
                <w:szCs w:val="16"/>
              </w:rPr>
              <w:t>123.20</w:t>
            </w:r>
          </w:p>
        </w:tc>
        <w:tc>
          <w:tcPr>
            <w:tcW w:w="1540" w:type="dxa"/>
            <w:tcBorders>
              <w:top w:val="single" w:sz="8" w:space="0" w:color="auto"/>
              <w:bottom w:val="single" w:sz="8" w:space="0" w:color="auto"/>
            </w:tcBorders>
            <w:shd w:val="clear" w:color="auto" w:fill="auto"/>
            <w:noWrap/>
            <w:vAlign w:val="center"/>
            <w:hideMark/>
          </w:tcPr>
          <w:p w:rsidR="00013774" w:rsidRPr="00A52D36" w:rsidRDefault="00013774" w:rsidP="00A52D36">
            <w:pPr>
              <w:keepNext/>
              <w:tabs>
                <w:tab w:val="num" w:pos="0"/>
              </w:tabs>
              <w:jc w:val="right"/>
              <w:rPr>
                <w:rFonts w:ascii="Calibri" w:hAnsi="Calibri"/>
                <w:color w:val="000000"/>
                <w:sz w:val="18"/>
                <w:szCs w:val="16"/>
              </w:rPr>
            </w:pPr>
            <w:r w:rsidRPr="00A52D36">
              <w:rPr>
                <w:rFonts w:ascii="Calibri" w:hAnsi="Calibri"/>
                <w:color w:val="000000"/>
                <w:sz w:val="18"/>
                <w:szCs w:val="16"/>
              </w:rPr>
              <w:t>10.04</w:t>
            </w:r>
          </w:p>
        </w:tc>
      </w:tr>
      <w:tr w:rsidR="00013774" w:rsidRPr="00A52D36" w:rsidTr="003C5773">
        <w:trPr>
          <w:cantSplit/>
          <w:trHeight w:val="430"/>
          <w:jc w:val="center"/>
        </w:trPr>
        <w:tc>
          <w:tcPr>
            <w:tcW w:w="4283" w:type="dxa"/>
            <w:tcBorders>
              <w:top w:val="single" w:sz="8" w:space="0" w:color="auto"/>
              <w:bottom w:val="single" w:sz="8" w:space="0" w:color="auto"/>
            </w:tcBorders>
            <w:shd w:val="clear" w:color="auto" w:fill="auto"/>
            <w:vAlign w:val="bottom"/>
            <w:hideMark/>
          </w:tcPr>
          <w:p w:rsidR="00013774" w:rsidRPr="00A52D36" w:rsidRDefault="00013774" w:rsidP="00A52D36">
            <w:pPr>
              <w:keepNext/>
              <w:tabs>
                <w:tab w:val="num" w:pos="0"/>
              </w:tabs>
              <w:rPr>
                <w:rFonts w:asciiTheme="minorHAnsi" w:hAnsiTheme="minorHAnsi"/>
                <w:color w:val="000000"/>
                <w:sz w:val="18"/>
                <w:szCs w:val="16"/>
              </w:rPr>
            </w:pPr>
            <w:r w:rsidRPr="00A52D36">
              <w:rPr>
                <w:rFonts w:asciiTheme="minorHAnsi" w:hAnsiTheme="minorHAnsi"/>
                <w:color w:val="000000"/>
                <w:sz w:val="18"/>
                <w:szCs w:val="16"/>
              </w:rPr>
              <w:t>Total number of km of lines equipped with semi-automatic block system</w:t>
            </w:r>
          </w:p>
        </w:tc>
        <w:tc>
          <w:tcPr>
            <w:tcW w:w="1138" w:type="dxa"/>
            <w:tcBorders>
              <w:top w:val="single" w:sz="8" w:space="0" w:color="auto"/>
              <w:bottom w:val="single" w:sz="8" w:space="0" w:color="auto"/>
            </w:tcBorders>
            <w:shd w:val="clear" w:color="auto" w:fill="auto"/>
            <w:noWrap/>
            <w:vAlign w:val="center"/>
            <w:hideMark/>
          </w:tcPr>
          <w:p w:rsidR="00013774" w:rsidRPr="00A52D36" w:rsidRDefault="00013774" w:rsidP="00A52D36">
            <w:pPr>
              <w:keepNext/>
              <w:tabs>
                <w:tab w:val="num" w:pos="0"/>
              </w:tabs>
              <w:jc w:val="right"/>
              <w:rPr>
                <w:rFonts w:asciiTheme="minorHAnsi" w:hAnsiTheme="minorHAnsi"/>
                <w:color w:val="000000"/>
                <w:sz w:val="18"/>
                <w:szCs w:val="16"/>
              </w:rPr>
            </w:pPr>
            <w:r w:rsidRPr="00A52D36">
              <w:rPr>
                <w:rFonts w:asciiTheme="minorHAnsi" w:hAnsiTheme="minorHAnsi"/>
                <w:color w:val="000000"/>
                <w:sz w:val="18"/>
                <w:szCs w:val="16"/>
              </w:rPr>
              <w:t>1,884</w:t>
            </w:r>
          </w:p>
        </w:tc>
        <w:tc>
          <w:tcPr>
            <w:tcW w:w="1027" w:type="dxa"/>
            <w:tcBorders>
              <w:top w:val="single" w:sz="8" w:space="0" w:color="auto"/>
              <w:bottom w:val="single" w:sz="8" w:space="0" w:color="auto"/>
            </w:tcBorders>
            <w:shd w:val="clear" w:color="auto" w:fill="auto"/>
            <w:noWrap/>
            <w:vAlign w:val="center"/>
            <w:hideMark/>
          </w:tcPr>
          <w:p w:rsidR="00013774" w:rsidRPr="00A52D36" w:rsidRDefault="00013774" w:rsidP="00A52D36">
            <w:pPr>
              <w:keepNext/>
              <w:tabs>
                <w:tab w:val="num" w:pos="0"/>
              </w:tabs>
              <w:jc w:val="center"/>
              <w:rPr>
                <w:rFonts w:asciiTheme="minorHAnsi" w:hAnsiTheme="minorHAnsi"/>
                <w:color w:val="000000"/>
                <w:sz w:val="18"/>
                <w:szCs w:val="16"/>
              </w:rPr>
            </w:pPr>
            <w:r w:rsidRPr="00A52D36">
              <w:rPr>
                <w:rFonts w:asciiTheme="minorHAnsi" w:hAnsiTheme="minorHAnsi"/>
                <w:color w:val="000000"/>
                <w:sz w:val="18"/>
                <w:szCs w:val="16"/>
              </w:rPr>
              <w:t>30</w:t>
            </w:r>
          </w:p>
        </w:tc>
        <w:tc>
          <w:tcPr>
            <w:tcW w:w="1592" w:type="dxa"/>
            <w:tcBorders>
              <w:top w:val="single" w:sz="8" w:space="0" w:color="auto"/>
              <w:bottom w:val="single" w:sz="8" w:space="0" w:color="auto"/>
            </w:tcBorders>
            <w:shd w:val="clear" w:color="auto" w:fill="auto"/>
            <w:noWrap/>
            <w:vAlign w:val="center"/>
            <w:hideMark/>
          </w:tcPr>
          <w:p w:rsidR="00013774" w:rsidRPr="00A52D36" w:rsidRDefault="00013774" w:rsidP="00A52D36">
            <w:pPr>
              <w:keepNext/>
              <w:tabs>
                <w:tab w:val="num" w:pos="0"/>
              </w:tabs>
              <w:jc w:val="right"/>
              <w:rPr>
                <w:rFonts w:asciiTheme="minorHAnsi" w:hAnsiTheme="minorHAnsi"/>
                <w:color w:val="000000"/>
                <w:sz w:val="18"/>
                <w:szCs w:val="16"/>
              </w:rPr>
            </w:pPr>
            <w:r w:rsidRPr="00A52D36">
              <w:rPr>
                <w:rFonts w:asciiTheme="minorHAnsi" w:hAnsiTheme="minorHAnsi"/>
                <w:color w:val="000000"/>
                <w:sz w:val="18"/>
                <w:szCs w:val="16"/>
              </w:rPr>
              <w:t>62.80</w:t>
            </w:r>
          </w:p>
        </w:tc>
        <w:tc>
          <w:tcPr>
            <w:tcW w:w="1540" w:type="dxa"/>
            <w:tcBorders>
              <w:top w:val="single" w:sz="8" w:space="0" w:color="auto"/>
              <w:bottom w:val="single" w:sz="8" w:space="0" w:color="auto"/>
            </w:tcBorders>
            <w:shd w:val="clear" w:color="auto" w:fill="auto"/>
            <w:noWrap/>
            <w:vAlign w:val="center"/>
            <w:hideMark/>
          </w:tcPr>
          <w:p w:rsidR="00013774" w:rsidRPr="00A52D36" w:rsidRDefault="00013774" w:rsidP="00A52D36">
            <w:pPr>
              <w:keepNext/>
              <w:tabs>
                <w:tab w:val="num" w:pos="0"/>
              </w:tabs>
              <w:jc w:val="right"/>
              <w:rPr>
                <w:rFonts w:ascii="Calibri" w:hAnsi="Calibri"/>
                <w:color w:val="000000"/>
                <w:sz w:val="18"/>
                <w:szCs w:val="16"/>
              </w:rPr>
            </w:pPr>
            <w:r w:rsidRPr="00A52D36">
              <w:rPr>
                <w:rFonts w:ascii="Calibri" w:hAnsi="Calibri"/>
                <w:color w:val="000000"/>
                <w:sz w:val="18"/>
                <w:szCs w:val="16"/>
              </w:rPr>
              <w:t>0.29</w:t>
            </w:r>
          </w:p>
        </w:tc>
      </w:tr>
      <w:tr w:rsidR="00013774" w:rsidRPr="00A52D36" w:rsidTr="003C5773">
        <w:trPr>
          <w:cantSplit/>
          <w:trHeight w:val="358"/>
          <w:jc w:val="center"/>
        </w:trPr>
        <w:tc>
          <w:tcPr>
            <w:tcW w:w="4283" w:type="dxa"/>
            <w:tcBorders>
              <w:top w:val="single" w:sz="8" w:space="0" w:color="auto"/>
              <w:bottom w:val="single" w:sz="8" w:space="0" w:color="auto"/>
            </w:tcBorders>
            <w:shd w:val="clear" w:color="auto" w:fill="auto"/>
            <w:vAlign w:val="bottom"/>
            <w:hideMark/>
          </w:tcPr>
          <w:p w:rsidR="00013774" w:rsidRPr="00A52D36" w:rsidRDefault="00013774" w:rsidP="00A52D36">
            <w:pPr>
              <w:keepNext/>
              <w:tabs>
                <w:tab w:val="num" w:pos="0"/>
              </w:tabs>
              <w:rPr>
                <w:rFonts w:asciiTheme="minorHAnsi" w:hAnsiTheme="minorHAnsi"/>
                <w:color w:val="000000"/>
                <w:sz w:val="18"/>
                <w:szCs w:val="16"/>
              </w:rPr>
            </w:pPr>
            <w:r w:rsidRPr="00A52D36">
              <w:rPr>
                <w:rFonts w:asciiTheme="minorHAnsi" w:hAnsiTheme="minorHAnsi"/>
                <w:color w:val="000000"/>
                <w:sz w:val="18"/>
                <w:szCs w:val="16"/>
              </w:rPr>
              <w:t>Total number of electric sub-stations for traction</w:t>
            </w:r>
          </w:p>
        </w:tc>
        <w:tc>
          <w:tcPr>
            <w:tcW w:w="1138" w:type="dxa"/>
            <w:tcBorders>
              <w:top w:val="single" w:sz="8" w:space="0" w:color="auto"/>
              <w:bottom w:val="single" w:sz="8" w:space="0" w:color="auto"/>
            </w:tcBorders>
            <w:shd w:val="clear" w:color="auto" w:fill="auto"/>
            <w:noWrap/>
            <w:vAlign w:val="center"/>
            <w:hideMark/>
          </w:tcPr>
          <w:p w:rsidR="00013774" w:rsidRPr="00A52D36" w:rsidRDefault="00013774" w:rsidP="00A52D36">
            <w:pPr>
              <w:keepNext/>
              <w:tabs>
                <w:tab w:val="num" w:pos="0"/>
              </w:tabs>
              <w:jc w:val="right"/>
              <w:rPr>
                <w:rFonts w:asciiTheme="minorHAnsi" w:hAnsiTheme="minorHAnsi"/>
                <w:color w:val="000000"/>
                <w:sz w:val="18"/>
                <w:szCs w:val="16"/>
              </w:rPr>
            </w:pPr>
            <w:r w:rsidRPr="00A52D36">
              <w:rPr>
                <w:rFonts w:asciiTheme="minorHAnsi" w:hAnsiTheme="minorHAnsi"/>
                <w:color w:val="000000"/>
                <w:sz w:val="18"/>
                <w:szCs w:val="16"/>
              </w:rPr>
              <w:t>16</w:t>
            </w:r>
          </w:p>
        </w:tc>
        <w:tc>
          <w:tcPr>
            <w:tcW w:w="1027" w:type="dxa"/>
            <w:tcBorders>
              <w:top w:val="single" w:sz="8" w:space="0" w:color="auto"/>
              <w:bottom w:val="single" w:sz="8" w:space="0" w:color="auto"/>
            </w:tcBorders>
            <w:shd w:val="clear" w:color="auto" w:fill="auto"/>
            <w:noWrap/>
            <w:vAlign w:val="center"/>
            <w:hideMark/>
          </w:tcPr>
          <w:p w:rsidR="00013774" w:rsidRPr="00A52D36" w:rsidRDefault="00013774" w:rsidP="00A52D36">
            <w:pPr>
              <w:keepNext/>
              <w:tabs>
                <w:tab w:val="num" w:pos="0"/>
              </w:tabs>
              <w:jc w:val="center"/>
              <w:rPr>
                <w:rFonts w:asciiTheme="minorHAnsi" w:hAnsiTheme="minorHAnsi"/>
                <w:color w:val="000000"/>
                <w:sz w:val="18"/>
                <w:szCs w:val="16"/>
              </w:rPr>
            </w:pPr>
            <w:r w:rsidRPr="00A52D36">
              <w:rPr>
                <w:rFonts w:asciiTheme="minorHAnsi" w:hAnsiTheme="minorHAnsi"/>
                <w:color w:val="000000"/>
                <w:sz w:val="18"/>
                <w:szCs w:val="16"/>
              </w:rPr>
              <w:t>30</w:t>
            </w:r>
          </w:p>
        </w:tc>
        <w:tc>
          <w:tcPr>
            <w:tcW w:w="1592" w:type="dxa"/>
            <w:tcBorders>
              <w:top w:val="single" w:sz="8" w:space="0" w:color="auto"/>
              <w:bottom w:val="single" w:sz="8" w:space="0" w:color="auto"/>
            </w:tcBorders>
            <w:shd w:val="clear" w:color="auto" w:fill="auto"/>
            <w:noWrap/>
            <w:vAlign w:val="center"/>
            <w:hideMark/>
          </w:tcPr>
          <w:p w:rsidR="00013774" w:rsidRPr="00A52D36" w:rsidRDefault="00013774" w:rsidP="00A52D36">
            <w:pPr>
              <w:keepNext/>
              <w:tabs>
                <w:tab w:val="num" w:pos="0"/>
              </w:tabs>
              <w:jc w:val="right"/>
              <w:rPr>
                <w:rFonts w:asciiTheme="minorHAnsi" w:hAnsiTheme="minorHAnsi"/>
                <w:color w:val="000000"/>
                <w:sz w:val="18"/>
                <w:szCs w:val="16"/>
              </w:rPr>
            </w:pPr>
            <w:r w:rsidRPr="00A52D36">
              <w:rPr>
                <w:rFonts w:asciiTheme="minorHAnsi" w:hAnsiTheme="minorHAnsi"/>
                <w:color w:val="000000"/>
                <w:sz w:val="18"/>
                <w:szCs w:val="16"/>
              </w:rPr>
              <w:t>0.53</w:t>
            </w:r>
          </w:p>
        </w:tc>
        <w:tc>
          <w:tcPr>
            <w:tcW w:w="1540" w:type="dxa"/>
            <w:tcBorders>
              <w:top w:val="single" w:sz="8" w:space="0" w:color="auto"/>
              <w:bottom w:val="single" w:sz="8" w:space="0" w:color="auto"/>
            </w:tcBorders>
            <w:shd w:val="clear" w:color="auto" w:fill="auto"/>
            <w:noWrap/>
            <w:vAlign w:val="center"/>
            <w:hideMark/>
          </w:tcPr>
          <w:p w:rsidR="00013774" w:rsidRPr="00A52D36" w:rsidRDefault="00013774" w:rsidP="00A52D36">
            <w:pPr>
              <w:keepNext/>
              <w:tabs>
                <w:tab w:val="num" w:pos="0"/>
              </w:tabs>
              <w:jc w:val="right"/>
              <w:rPr>
                <w:rFonts w:ascii="Calibri" w:hAnsi="Calibri"/>
                <w:color w:val="000000"/>
                <w:sz w:val="18"/>
                <w:szCs w:val="16"/>
              </w:rPr>
            </w:pPr>
            <w:r w:rsidRPr="00A52D36">
              <w:rPr>
                <w:rFonts w:ascii="Calibri" w:hAnsi="Calibri"/>
                <w:color w:val="000000"/>
                <w:sz w:val="18"/>
                <w:szCs w:val="16"/>
              </w:rPr>
              <w:t>3.62</w:t>
            </w:r>
          </w:p>
        </w:tc>
      </w:tr>
      <w:tr w:rsidR="00013774" w:rsidRPr="00A52D36" w:rsidTr="003C5773">
        <w:trPr>
          <w:cantSplit/>
          <w:trHeight w:val="430"/>
          <w:jc w:val="center"/>
        </w:trPr>
        <w:tc>
          <w:tcPr>
            <w:tcW w:w="4283" w:type="dxa"/>
            <w:tcBorders>
              <w:top w:val="single" w:sz="8" w:space="0" w:color="auto"/>
              <w:bottom w:val="single" w:sz="8" w:space="0" w:color="auto"/>
            </w:tcBorders>
            <w:shd w:val="clear" w:color="auto" w:fill="auto"/>
            <w:vAlign w:val="bottom"/>
            <w:hideMark/>
          </w:tcPr>
          <w:p w:rsidR="00013774" w:rsidRPr="00A52D36" w:rsidRDefault="00013774" w:rsidP="00A52D36">
            <w:pPr>
              <w:keepNext/>
              <w:tabs>
                <w:tab w:val="num" w:pos="0"/>
              </w:tabs>
              <w:rPr>
                <w:rFonts w:asciiTheme="minorHAnsi" w:hAnsiTheme="minorHAnsi"/>
                <w:color w:val="000000"/>
                <w:sz w:val="18"/>
                <w:szCs w:val="16"/>
              </w:rPr>
            </w:pPr>
            <w:r w:rsidRPr="00A52D36">
              <w:rPr>
                <w:rFonts w:asciiTheme="minorHAnsi" w:hAnsiTheme="minorHAnsi"/>
                <w:color w:val="000000"/>
                <w:sz w:val="18"/>
                <w:szCs w:val="16"/>
              </w:rPr>
              <w:t>Total number of relay interlocking systems on the network</w:t>
            </w:r>
          </w:p>
        </w:tc>
        <w:tc>
          <w:tcPr>
            <w:tcW w:w="1138" w:type="dxa"/>
            <w:tcBorders>
              <w:top w:val="single" w:sz="8" w:space="0" w:color="auto"/>
              <w:bottom w:val="single" w:sz="8" w:space="0" w:color="auto"/>
            </w:tcBorders>
            <w:shd w:val="clear" w:color="auto" w:fill="auto"/>
            <w:noWrap/>
            <w:vAlign w:val="center"/>
            <w:hideMark/>
          </w:tcPr>
          <w:p w:rsidR="00013774" w:rsidRPr="00A52D36" w:rsidRDefault="00013774" w:rsidP="00A52D36">
            <w:pPr>
              <w:keepNext/>
              <w:tabs>
                <w:tab w:val="num" w:pos="0"/>
              </w:tabs>
              <w:jc w:val="right"/>
              <w:rPr>
                <w:rFonts w:asciiTheme="minorHAnsi" w:hAnsiTheme="minorHAnsi"/>
                <w:color w:val="000000"/>
                <w:sz w:val="18"/>
                <w:szCs w:val="16"/>
              </w:rPr>
            </w:pPr>
            <w:r w:rsidRPr="00A52D36">
              <w:rPr>
                <w:rFonts w:asciiTheme="minorHAnsi" w:hAnsiTheme="minorHAnsi"/>
                <w:color w:val="000000"/>
                <w:sz w:val="18"/>
                <w:szCs w:val="16"/>
              </w:rPr>
              <w:t>385</w:t>
            </w:r>
          </w:p>
        </w:tc>
        <w:tc>
          <w:tcPr>
            <w:tcW w:w="1027" w:type="dxa"/>
            <w:tcBorders>
              <w:top w:val="single" w:sz="8" w:space="0" w:color="auto"/>
              <w:bottom w:val="single" w:sz="8" w:space="0" w:color="auto"/>
            </w:tcBorders>
            <w:shd w:val="clear" w:color="auto" w:fill="auto"/>
            <w:noWrap/>
            <w:vAlign w:val="center"/>
            <w:hideMark/>
          </w:tcPr>
          <w:p w:rsidR="00013774" w:rsidRPr="00A52D36" w:rsidRDefault="00013774" w:rsidP="00A52D36">
            <w:pPr>
              <w:keepNext/>
              <w:tabs>
                <w:tab w:val="num" w:pos="0"/>
              </w:tabs>
              <w:jc w:val="center"/>
              <w:rPr>
                <w:rFonts w:asciiTheme="minorHAnsi" w:hAnsiTheme="minorHAnsi"/>
                <w:color w:val="000000"/>
                <w:sz w:val="18"/>
                <w:szCs w:val="16"/>
              </w:rPr>
            </w:pPr>
            <w:r w:rsidRPr="00A52D36">
              <w:rPr>
                <w:rFonts w:asciiTheme="minorHAnsi" w:hAnsiTheme="minorHAnsi"/>
                <w:color w:val="000000"/>
                <w:sz w:val="18"/>
                <w:szCs w:val="16"/>
              </w:rPr>
              <w:t>30</w:t>
            </w:r>
          </w:p>
        </w:tc>
        <w:tc>
          <w:tcPr>
            <w:tcW w:w="1592" w:type="dxa"/>
            <w:tcBorders>
              <w:top w:val="single" w:sz="8" w:space="0" w:color="auto"/>
              <w:bottom w:val="single" w:sz="8" w:space="0" w:color="auto"/>
            </w:tcBorders>
            <w:shd w:val="clear" w:color="auto" w:fill="auto"/>
            <w:noWrap/>
            <w:vAlign w:val="center"/>
            <w:hideMark/>
          </w:tcPr>
          <w:p w:rsidR="00013774" w:rsidRPr="00A52D36" w:rsidRDefault="00013774" w:rsidP="00A52D36">
            <w:pPr>
              <w:keepNext/>
              <w:tabs>
                <w:tab w:val="num" w:pos="0"/>
              </w:tabs>
              <w:jc w:val="right"/>
              <w:rPr>
                <w:rFonts w:asciiTheme="minorHAnsi" w:hAnsiTheme="minorHAnsi"/>
                <w:color w:val="000000"/>
                <w:sz w:val="18"/>
                <w:szCs w:val="16"/>
              </w:rPr>
            </w:pPr>
            <w:r w:rsidRPr="00A52D36">
              <w:rPr>
                <w:rFonts w:asciiTheme="minorHAnsi" w:hAnsiTheme="minorHAnsi"/>
                <w:color w:val="000000"/>
                <w:sz w:val="18"/>
                <w:szCs w:val="16"/>
              </w:rPr>
              <w:t>12.83</w:t>
            </w:r>
          </w:p>
        </w:tc>
        <w:tc>
          <w:tcPr>
            <w:tcW w:w="1540" w:type="dxa"/>
            <w:tcBorders>
              <w:top w:val="single" w:sz="8" w:space="0" w:color="auto"/>
              <w:bottom w:val="single" w:sz="8" w:space="0" w:color="auto"/>
            </w:tcBorders>
            <w:shd w:val="clear" w:color="auto" w:fill="auto"/>
            <w:noWrap/>
            <w:vAlign w:val="center"/>
            <w:hideMark/>
          </w:tcPr>
          <w:p w:rsidR="00013774" w:rsidRPr="00A52D36" w:rsidRDefault="00013774" w:rsidP="00A52D36">
            <w:pPr>
              <w:keepNext/>
              <w:tabs>
                <w:tab w:val="num" w:pos="0"/>
              </w:tabs>
              <w:jc w:val="right"/>
              <w:rPr>
                <w:rFonts w:ascii="Calibri" w:hAnsi="Calibri"/>
                <w:color w:val="000000"/>
                <w:sz w:val="18"/>
                <w:szCs w:val="16"/>
              </w:rPr>
            </w:pPr>
            <w:r w:rsidRPr="00A52D36">
              <w:rPr>
                <w:rFonts w:ascii="Calibri" w:hAnsi="Calibri"/>
                <w:color w:val="000000"/>
                <w:sz w:val="18"/>
                <w:szCs w:val="16"/>
              </w:rPr>
              <w:t>4.15</w:t>
            </w:r>
          </w:p>
        </w:tc>
      </w:tr>
      <w:tr w:rsidR="00013774" w:rsidRPr="00A52D36" w:rsidTr="003C5773">
        <w:trPr>
          <w:cantSplit/>
          <w:trHeight w:val="502"/>
          <w:jc w:val="center"/>
        </w:trPr>
        <w:tc>
          <w:tcPr>
            <w:tcW w:w="4283" w:type="dxa"/>
            <w:tcBorders>
              <w:top w:val="single" w:sz="8" w:space="0" w:color="auto"/>
              <w:bottom w:val="single" w:sz="8" w:space="0" w:color="auto"/>
            </w:tcBorders>
            <w:shd w:val="clear" w:color="auto" w:fill="auto"/>
            <w:vAlign w:val="bottom"/>
            <w:hideMark/>
          </w:tcPr>
          <w:p w:rsidR="00013774" w:rsidRPr="00A52D36" w:rsidRDefault="00013774" w:rsidP="00A52D36">
            <w:pPr>
              <w:keepNext/>
              <w:tabs>
                <w:tab w:val="num" w:pos="0"/>
              </w:tabs>
              <w:rPr>
                <w:rFonts w:asciiTheme="minorHAnsi" w:hAnsiTheme="minorHAnsi"/>
                <w:color w:val="000000"/>
                <w:sz w:val="18"/>
                <w:szCs w:val="16"/>
              </w:rPr>
            </w:pPr>
            <w:r w:rsidRPr="00A52D36">
              <w:rPr>
                <w:rFonts w:asciiTheme="minorHAnsi" w:hAnsiTheme="minorHAnsi"/>
                <w:color w:val="000000"/>
                <w:sz w:val="18"/>
                <w:szCs w:val="16"/>
              </w:rPr>
              <w:t>Total number of electronic interlocking systems on the network</w:t>
            </w:r>
          </w:p>
        </w:tc>
        <w:tc>
          <w:tcPr>
            <w:tcW w:w="1138" w:type="dxa"/>
            <w:tcBorders>
              <w:top w:val="single" w:sz="8" w:space="0" w:color="auto"/>
              <w:bottom w:val="single" w:sz="8" w:space="0" w:color="auto"/>
            </w:tcBorders>
            <w:shd w:val="clear" w:color="auto" w:fill="auto"/>
            <w:noWrap/>
            <w:vAlign w:val="center"/>
            <w:hideMark/>
          </w:tcPr>
          <w:p w:rsidR="00013774" w:rsidRPr="00A52D36" w:rsidRDefault="00013774" w:rsidP="00A52D36">
            <w:pPr>
              <w:keepNext/>
              <w:tabs>
                <w:tab w:val="num" w:pos="0"/>
              </w:tabs>
              <w:jc w:val="right"/>
              <w:rPr>
                <w:rFonts w:asciiTheme="minorHAnsi" w:hAnsiTheme="minorHAnsi"/>
                <w:color w:val="000000"/>
                <w:sz w:val="18"/>
                <w:szCs w:val="16"/>
              </w:rPr>
            </w:pPr>
            <w:r w:rsidRPr="00A52D36">
              <w:rPr>
                <w:rFonts w:asciiTheme="minorHAnsi" w:hAnsiTheme="minorHAnsi"/>
                <w:color w:val="000000"/>
                <w:sz w:val="18"/>
                <w:szCs w:val="16"/>
              </w:rPr>
              <w:t>3</w:t>
            </w:r>
          </w:p>
        </w:tc>
        <w:tc>
          <w:tcPr>
            <w:tcW w:w="1027" w:type="dxa"/>
            <w:tcBorders>
              <w:top w:val="single" w:sz="8" w:space="0" w:color="auto"/>
              <w:bottom w:val="single" w:sz="8" w:space="0" w:color="auto"/>
            </w:tcBorders>
            <w:shd w:val="clear" w:color="auto" w:fill="auto"/>
            <w:noWrap/>
            <w:vAlign w:val="center"/>
            <w:hideMark/>
          </w:tcPr>
          <w:p w:rsidR="00013774" w:rsidRPr="00A52D36" w:rsidRDefault="00013774" w:rsidP="00A52D36">
            <w:pPr>
              <w:keepNext/>
              <w:tabs>
                <w:tab w:val="num" w:pos="0"/>
              </w:tabs>
              <w:jc w:val="center"/>
              <w:rPr>
                <w:rFonts w:asciiTheme="minorHAnsi" w:hAnsiTheme="minorHAnsi"/>
                <w:color w:val="000000"/>
                <w:sz w:val="18"/>
                <w:szCs w:val="16"/>
              </w:rPr>
            </w:pPr>
            <w:r w:rsidRPr="00A52D36">
              <w:rPr>
                <w:rFonts w:asciiTheme="minorHAnsi" w:hAnsiTheme="minorHAnsi"/>
                <w:color w:val="000000"/>
                <w:sz w:val="18"/>
                <w:szCs w:val="16"/>
              </w:rPr>
              <w:t>30</w:t>
            </w:r>
          </w:p>
        </w:tc>
        <w:tc>
          <w:tcPr>
            <w:tcW w:w="1592" w:type="dxa"/>
            <w:tcBorders>
              <w:top w:val="single" w:sz="8" w:space="0" w:color="auto"/>
              <w:bottom w:val="single" w:sz="8" w:space="0" w:color="auto"/>
            </w:tcBorders>
            <w:shd w:val="clear" w:color="auto" w:fill="auto"/>
            <w:noWrap/>
            <w:vAlign w:val="center"/>
            <w:hideMark/>
          </w:tcPr>
          <w:p w:rsidR="00013774" w:rsidRPr="00A52D36" w:rsidRDefault="00013774" w:rsidP="00A52D36">
            <w:pPr>
              <w:keepNext/>
              <w:tabs>
                <w:tab w:val="num" w:pos="0"/>
              </w:tabs>
              <w:jc w:val="right"/>
              <w:rPr>
                <w:rFonts w:asciiTheme="minorHAnsi" w:hAnsiTheme="minorHAnsi"/>
                <w:color w:val="000000"/>
                <w:sz w:val="18"/>
                <w:szCs w:val="16"/>
              </w:rPr>
            </w:pPr>
            <w:r w:rsidRPr="00A52D36">
              <w:rPr>
                <w:rFonts w:asciiTheme="minorHAnsi" w:hAnsiTheme="minorHAnsi"/>
                <w:color w:val="000000"/>
                <w:sz w:val="18"/>
                <w:szCs w:val="16"/>
              </w:rPr>
              <w:t>0.10</w:t>
            </w:r>
          </w:p>
        </w:tc>
        <w:tc>
          <w:tcPr>
            <w:tcW w:w="1540" w:type="dxa"/>
            <w:tcBorders>
              <w:top w:val="single" w:sz="8" w:space="0" w:color="auto"/>
              <w:bottom w:val="single" w:sz="8" w:space="0" w:color="auto"/>
            </w:tcBorders>
            <w:shd w:val="clear" w:color="auto" w:fill="auto"/>
            <w:noWrap/>
            <w:vAlign w:val="center"/>
            <w:hideMark/>
          </w:tcPr>
          <w:p w:rsidR="00013774" w:rsidRPr="00A52D36" w:rsidRDefault="00013774" w:rsidP="00A52D36">
            <w:pPr>
              <w:keepNext/>
              <w:tabs>
                <w:tab w:val="num" w:pos="0"/>
              </w:tabs>
              <w:jc w:val="right"/>
              <w:rPr>
                <w:rFonts w:ascii="Calibri" w:hAnsi="Calibri"/>
                <w:color w:val="000000"/>
                <w:sz w:val="18"/>
                <w:szCs w:val="16"/>
              </w:rPr>
            </w:pPr>
            <w:r w:rsidRPr="00A52D36">
              <w:rPr>
                <w:rFonts w:ascii="Calibri" w:hAnsi="Calibri"/>
                <w:color w:val="000000"/>
                <w:sz w:val="18"/>
                <w:szCs w:val="16"/>
              </w:rPr>
              <w:t>0.52</w:t>
            </w:r>
          </w:p>
        </w:tc>
      </w:tr>
      <w:tr w:rsidR="00013774" w:rsidRPr="00A52D36" w:rsidTr="003C5773">
        <w:trPr>
          <w:cantSplit/>
          <w:trHeight w:val="232"/>
          <w:jc w:val="center"/>
        </w:trPr>
        <w:tc>
          <w:tcPr>
            <w:tcW w:w="8040" w:type="dxa"/>
            <w:gridSpan w:val="4"/>
            <w:tcBorders>
              <w:top w:val="single" w:sz="8" w:space="0" w:color="auto"/>
              <w:bottom w:val="single" w:sz="8" w:space="0" w:color="auto"/>
            </w:tcBorders>
            <w:shd w:val="clear" w:color="auto" w:fill="auto"/>
            <w:noWrap/>
            <w:hideMark/>
          </w:tcPr>
          <w:p w:rsidR="00013774" w:rsidRPr="00A52D36" w:rsidRDefault="00013774" w:rsidP="00A52D36">
            <w:pPr>
              <w:keepNext/>
              <w:tabs>
                <w:tab w:val="num" w:pos="0"/>
              </w:tabs>
              <w:rPr>
                <w:rFonts w:asciiTheme="minorHAnsi" w:hAnsiTheme="minorHAnsi"/>
                <w:b/>
                <w:bCs/>
                <w:color w:val="000000"/>
                <w:sz w:val="18"/>
                <w:szCs w:val="16"/>
              </w:rPr>
            </w:pPr>
            <w:r w:rsidRPr="00A52D36">
              <w:rPr>
                <w:rFonts w:asciiTheme="minorHAnsi" w:hAnsiTheme="minorHAnsi"/>
                <w:b/>
                <w:bCs/>
                <w:color w:val="000000"/>
                <w:sz w:val="18"/>
                <w:szCs w:val="16"/>
              </w:rPr>
              <w:t>Grand Total</w:t>
            </w:r>
          </w:p>
        </w:tc>
        <w:tc>
          <w:tcPr>
            <w:tcW w:w="1540" w:type="dxa"/>
            <w:tcBorders>
              <w:top w:val="single" w:sz="8" w:space="0" w:color="auto"/>
              <w:bottom w:val="single" w:sz="8" w:space="0" w:color="auto"/>
            </w:tcBorders>
            <w:shd w:val="clear" w:color="auto" w:fill="auto"/>
            <w:noWrap/>
            <w:hideMark/>
          </w:tcPr>
          <w:p w:rsidR="00013774" w:rsidRPr="00A52D36" w:rsidRDefault="00013774" w:rsidP="00A52D36">
            <w:pPr>
              <w:keepNext/>
              <w:tabs>
                <w:tab w:val="num" w:pos="0"/>
              </w:tabs>
              <w:jc w:val="right"/>
              <w:rPr>
                <w:rFonts w:asciiTheme="minorHAnsi" w:hAnsiTheme="minorHAnsi"/>
                <w:b/>
                <w:color w:val="000000"/>
                <w:sz w:val="18"/>
                <w:szCs w:val="16"/>
              </w:rPr>
            </w:pPr>
            <w:r w:rsidRPr="00A52D36">
              <w:rPr>
                <w:rFonts w:ascii="Calibri" w:hAnsi="Calibri"/>
                <w:b/>
                <w:color w:val="000000"/>
                <w:sz w:val="18"/>
                <w:szCs w:val="16"/>
              </w:rPr>
              <w:t>98.41</w:t>
            </w:r>
          </w:p>
        </w:tc>
      </w:tr>
      <w:tr w:rsidR="00013774" w:rsidRPr="00A52D36" w:rsidTr="003C5773">
        <w:trPr>
          <w:cantSplit/>
          <w:trHeight w:val="232"/>
          <w:jc w:val="center"/>
        </w:trPr>
        <w:tc>
          <w:tcPr>
            <w:tcW w:w="9580" w:type="dxa"/>
            <w:gridSpan w:val="5"/>
            <w:tcBorders>
              <w:top w:val="single" w:sz="8" w:space="0" w:color="auto"/>
            </w:tcBorders>
            <w:shd w:val="clear" w:color="auto" w:fill="auto"/>
            <w:noWrap/>
            <w:hideMark/>
          </w:tcPr>
          <w:p w:rsidR="00013774" w:rsidRPr="00A52D36" w:rsidRDefault="00013774" w:rsidP="00DE274C">
            <w:pPr>
              <w:tabs>
                <w:tab w:val="num" w:pos="0"/>
              </w:tabs>
              <w:rPr>
                <w:rFonts w:asciiTheme="minorHAnsi" w:hAnsiTheme="minorHAnsi"/>
                <w:bCs/>
                <w:color w:val="000000"/>
                <w:sz w:val="18"/>
                <w:szCs w:val="16"/>
              </w:rPr>
            </w:pPr>
            <w:r w:rsidRPr="00A52D36">
              <w:rPr>
                <w:rFonts w:asciiTheme="minorHAnsi" w:hAnsiTheme="minorHAnsi"/>
                <w:bCs/>
                <w:color w:val="000000"/>
                <w:sz w:val="18"/>
                <w:szCs w:val="16"/>
              </w:rPr>
              <w:t xml:space="preserve">Source: Data reported by Belarusian Railways. Estimates developed by the </w:t>
            </w:r>
            <w:r w:rsidR="00C04B28" w:rsidRPr="00A52D36">
              <w:rPr>
                <w:rFonts w:asciiTheme="minorHAnsi" w:hAnsiTheme="minorHAnsi"/>
                <w:bCs/>
                <w:color w:val="000000"/>
                <w:sz w:val="18"/>
                <w:szCs w:val="16"/>
              </w:rPr>
              <w:t xml:space="preserve">World </w:t>
            </w:r>
            <w:r w:rsidRPr="00A52D36">
              <w:rPr>
                <w:rFonts w:asciiTheme="minorHAnsi" w:hAnsiTheme="minorHAnsi"/>
                <w:bCs/>
                <w:color w:val="000000"/>
                <w:sz w:val="18"/>
                <w:szCs w:val="16"/>
              </w:rPr>
              <w:t xml:space="preserve">Bank. </w:t>
            </w:r>
          </w:p>
          <w:p w:rsidR="00013774" w:rsidRPr="00A52D36" w:rsidRDefault="00013774" w:rsidP="00DE274C">
            <w:pPr>
              <w:tabs>
                <w:tab w:val="num" w:pos="0"/>
              </w:tabs>
              <w:rPr>
                <w:rFonts w:asciiTheme="minorHAnsi" w:hAnsiTheme="minorHAnsi"/>
                <w:bCs/>
                <w:color w:val="000000"/>
                <w:sz w:val="18"/>
                <w:szCs w:val="16"/>
              </w:rPr>
            </w:pPr>
            <w:r w:rsidRPr="00A52D36">
              <w:rPr>
                <w:rFonts w:asciiTheme="minorHAnsi" w:hAnsiTheme="minorHAnsi"/>
                <w:bCs/>
                <w:color w:val="000000"/>
                <w:sz w:val="18"/>
                <w:szCs w:val="16"/>
              </w:rPr>
              <w:t>Average unit costs for overhaul/replacement for the above calculations (as reported by Belarusian Railways):</w:t>
            </w:r>
          </w:p>
          <w:p w:rsidR="00013774" w:rsidRPr="00A52D36" w:rsidRDefault="00013774" w:rsidP="00DE274C">
            <w:pPr>
              <w:tabs>
                <w:tab w:val="num" w:pos="0"/>
              </w:tabs>
              <w:rPr>
                <w:rFonts w:ascii="Calibri" w:hAnsi="Calibri"/>
                <w:color w:val="000000"/>
                <w:sz w:val="18"/>
                <w:szCs w:val="16"/>
              </w:rPr>
            </w:pPr>
            <w:r w:rsidRPr="00A52D36">
              <w:rPr>
                <w:rFonts w:asciiTheme="minorHAnsi" w:hAnsiTheme="minorHAnsi"/>
                <w:bCs/>
                <w:color w:val="000000"/>
                <w:sz w:val="18"/>
                <w:szCs w:val="16"/>
              </w:rPr>
              <w:t xml:space="preserve">1 kilometer of railway track (US$325,957), 1 kilometer of </w:t>
            </w:r>
            <w:proofErr w:type="spellStart"/>
            <w:r w:rsidRPr="00A52D36">
              <w:rPr>
                <w:rFonts w:asciiTheme="minorHAnsi" w:hAnsiTheme="minorHAnsi"/>
                <w:bCs/>
                <w:color w:val="000000"/>
                <w:sz w:val="18"/>
                <w:szCs w:val="16"/>
              </w:rPr>
              <w:t>catenary</w:t>
            </w:r>
            <w:proofErr w:type="spellEnd"/>
            <w:r w:rsidRPr="00A52D36">
              <w:rPr>
                <w:rFonts w:asciiTheme="minorHAnsi" w:hAnsiTheme="minorHAnsi"/>
                <w:bCs/>
                <w:color w:val="000000"/>
                <w:sz w:val="18"/>
                <w:szCs w:val="16"/>
              </w:rPr>
              <w:t xml:space="preserve"> system (US$135,815), 1 kilometer of automatic block system (US$81,489), 1 kilometer of semi-automatic block system (US$4,672), 1 kilometer of electronic sub-station for electric traction (US$6,8 million), 1 relay interlocking system (US$323,241), and 1 electronic interlocking system (US$5.2 million) </w:t>
            </w:r>
          </w:p>
        </w:tc>
      </w:tr>
    </w:tbl>
    <w:p w:rsidR="00013774" w:rsidRPr="00013774" w:rsidRDefault="00013774" w:rsidP="00A63E59">
      <w:pPr>
        <w:pStyle w:val="Style2"/>
        <w:numPr>
          <w:ilvl w:val="0"/>
          <w:numId w:val="0"/>
        </w:numPr>
      </w:pPr>
    </w:p>
    <w:p w:rsidR="00013774" w:rsidRPr="00AC422F" w:rsidRDefault="00013774" w:rsidP="00AC422F">
      <w:pPr>
        <w:pStyle w:val="Style3"/>
        <w:rPr>
          <w:b w:val="0"/>
        </w:rPr>
      </w:pPr>
      <w:r w:rsidRPr="003C5773">
        <w:t>According to the Government’s strategy for the railway sector, the development needs of the network entail spending additional BYR997 billion (US$340 million) on the modernization of Corridor II and IX over the next 25 years</w:t>
      </w:r>
      <w:r w:rsidRPr="00AC422F">
        <w:rPr>
          <w:b w:val="0"/>
        </w:rPr>
        <w:t xml:space="preserve">. In order to keep </w:t>
      </w:r>
      <w:r w:rsidR="00C04B28" w:rsidRPr="00AC422F">
        <w:rPr>
          <w:b w:val="0"/>
        </w:rPr>
        <w:t xml:space="preserve">its </w:t>
      </w:r>
      <w:r w:rsidRPr="00AC422F">
        <w:rPr>
          <w:b w:val="0"/>
        </w:rPr>
        <w:t xml:space="preserve">current market position, Belarusian Railway needs to modernize the infrastructure and systems of Corridor II and IX to achieve full interoperability with the network of the EU. This includes the full electrification of lines, increased transport speed, increase in the use of electronic interlocking systems, extension of automatic block systems, and introduction of European train control systems. An extremely conservative estimate for financing these components as a package is about Euro 4.2 million (US$5.5 million equivalent) per kilometer of railway track. This includes full rehabilitation of the track in order to accommodate speeds up to 160 km/hours. Based on the above assumptions, </w:t>
      </w:r>
      <w:fldSimple w:instr=" REF _Ref258337623 \h  \* MERGEFORMAT ">
        <w:r w:rsidR="00E85C5F" w:rsidRPr="00E85C5F">
          <w:rPr>
            <w:b w:val="0"/>
          </w:rPr>
          <w:t xml:space="preserve">Table </w:t>
        </w:r>
        <w:r w:rsidR="00E85C5F" w:rsidRPr="00E85C5F">
          <w:rPr>
            <w:b w:val="0"/>
            <w:noProof/>
          </w:rPr>
          <w:t>20</w:t>
        </w:r>
      </w:fldSimple>
      <w:r w:rsidRPr="00AC422F">
        <w:rPr>
          <w:b w:val="0"/>
        </w:rPr>
        <w:t xml:space="preserve"> presents estimated investment needs for the modernization of railway corridor II and IX.</w:t>
      </w:r>
    </w:p>
    <w:p w:rsidR="00B54707" w:rsidRPr="000D66B6" w:rsidRDefault="00B54707" w:rsidP="00A52D36">
      <w:pPr>
        <w:pStyle w:val="Caption"/>
        <w:keepNext/>
        <w:tabs>
          <w:tab w:val="num" w:pos="0"/>
        </w:tabs>
        <w:rPr>
          <w:color w:val="auto"/>
          <w:sz w:val="22"/>
          <w:szCs w:val="22"/>
        </w:rPr>
      </w:pPr>
      <w:bookmarkStart w:id="222" w:name="_Ref258337623"/>
      <w:bookmarkStart w:id="223" w:name="_Toc264227147"/>
      <w:proofErr w:type="gramStart"/>
      <w:r w:rsidRPr="000D66B6">
        <w:rPr>
          <w:color w:val="auto"/>
          <w:sz w:val="22"/>
          <w:szCs w:val="22"/>
        </w:rPr>
        <w:lastRenderedPageBreak/>
        <w:t xml:space="preserve">Table </w:t>
      </w:r>
      <w:r w:rsidR="006B40AE" w:rsidRPr="000D66B6">
        <w:rPr>
          <w:color w:val="auto"/>
          <w:sz w:val="22"/>
          <w:szCs w:val="22"/>
        </w:rPr>
        <w:fldChar w:fldCharType="begin"/>
      </w:r>
      <w:r w:rsidR="003A4063" w:rsidRPr="000D66B6">
        <w:rPr>
          <w:color w:val="auto"/>
          <w:sz w:val="22"/>
          <w:szCs w:val="22"/>
        </w:rPr>
        <w:instrText xml:space="preserve"> SEQ Table \* ARABIC </w:instrText>
      </w:r>
      <w:r w:rsidR="006B40AE" w:rsidRPr="000D66B6">
        <w:rPr>
          <w:color w:val="auto"/>
          <w:sz w:val="22"/>
          <w:szCs w:val="22"/>
        </w:rPr>
        <w:fldChar w:fldCharType="separate"/>
      </w:r>
      <w:r w:rsidR="009E2C86">
        <w:rPr>
          <w:noProof/>
          <w:color w:val="auto"/>
          <w:sz w:val="22"/>
          <w:szCs w:val="22"/>
        </w:rPr>
        <w:t>20</w:t>
      </w:r>
      <w:r w:rsidR="006B40AE" w:rsidRPr="000D66B6">
        <w:rPr>
          <w:color w:val="auto"/>
          <w:sz w:val="22"/>
          <w:szCs w:val="22"/>
        </w:rPr>
        <w:fldChar w:fldCharType="end"/>
      </w:r>
      <w:bookmarkEnd w:id="222"/>
      <w:r w:rsidRPr="000D66B6">
        <w:rPr>
          <w:color w:val="auto"/>
          <w:sz w:val="22"/>
          <w:szCs w:val="22"/>
        </w:rPr>
        <w:t>.</w:t>
      </w:r>
      <w:proofErr w:type="gramEnd"/>
      <w:r w:rsidRPr="000D66B6">
        <w:rPr>
          <w:color w:val="auto"/>
          <w:sz w:val="22"/>
          <w:szCs w:val="22"/>
        </w:rPr>
        <w:t xml:space="preserve"> Estimated Investment Needs for the Modernization of Railway Corridor II and IX in Belarus (US$ million)</w:t>
      </w:r>
      <w:bookmarkEnd w:id="223"/>
    </w:p>
    <w:tbl>
      <w:tblPr>
        <w:tblW w:w="8463" w:type="dxa"/>
        <w:tblInd w:w="93" w:type="dxa"/>
        <w:tblBorders>
          <w:top w:val="single" w:sz="8" w:space="0" w:color="auto"/>
          <w:bottom w:val="single" w:sz="8" w:space="0" w:color="auto"/>
          <w:insideH w:val="single" w:sz="8" w:space="0" w:color="auto"/>
        </w:tblBorders>
        <w:tblLook w:val="04A0"/>
      </w:tblPr>
      <w:tblGrid>
        <w:gridCol w:w="4960"/>
        <w:gridCol w:w="1175"/>
        <w:gridCol w:w="2328"/>
      </w:tblGrid>
      <w:tr w:rsidR="00B54707" w:rsidRPr="00A52D36" w:rsidTr="00EB4908">
        <w:trPr>
          <w:trHeight w:val="475"/>
        </w:trPr>
        <w:tc>
          <w:tcPr>
            <w:tcW w:w="4960" w:type="dxa"/>
            <w:shd w:val="clear" w:color="auto" w:fill="auto"/>
            <w:hideMark/>
          </w:tcPr>
          <w:p w:rsidR="00B54707" w:rsidRPr="00A52D36" w:rsidRDefault="00B54707" w:rsidP="00A52D36">
            <w:pPr>
              <w:keepNext/>
              <w:tabs>
                <w:tab w:val="num" w:pos="0"/>
              </w:tabs>
              <w:rPr>
                <w:rFonts w:ascii="Calibri" w:hAnsi="Calibri"/>
                <w:b/>
                <w:color w:val="000000"/>
                <w:sz w:val="20"/>
                <w:szCs w:val="16"/>
              </w:rPr>
            </w:pPr>
            <w:r w:rsidRPr="00A52D36">
              <w:rPr>
                <w:rFonts w:ascii="Calibri" w:hAnsi="Calibri"/>
                <w:b/>
                <w:color w:val="000000"/>
                <w:sz w:val="20"/>
                <w:szCs w:val="16"/>
              </w:rPr>
              <w:t>Railway Corridors in Belarus</w:t>
            </w:r>
          </w:p>
        </w:tc>
        <w:tc>
          <w:tcPr>
            <w:tcW w:w="1175" w:type="dxa"/>
            <w:shd w:val="clear" w:color="auto" w:fill="auto"/>
            <w:hideMark/>
          </w:tcPr>
          <w:p w:rsidR="00B54707" w:rsidRPr="00A52D36" w:rsidRDefault="00B54707" w:rsidP="00A52D36">
            <w:pPr>
              <w:keepNext/>
              <w:tabs>
                <w:tab w:val="num" w:pos="0"/>
              </w:tabs>
              <w:jc w:val="center"/>
              <w:rPr>
                <w:rFonts w:ascii="Calibri" w:hAnsi="Calibri"/>
                <w:b/>
                <w:color w:val="000000"/>
                <w:sz w:val="20"/>
                <w:szCs w:val="16"/>
              </w:rPr>
            </w:pPr>
            <w:r w:rsidRPr="00A52D36">
              <w:rPr>
                <w:rFonts w:ascii="Calibri" w:hAnsi="Calibri"/>
                <w:b/>
                <w:color w:val="000000"/>
                <w:sz w:val="20"/>
                <w:szCs w:val="16"/>
              </w:rPr>
              <w:t xml:space="preserve">Length </w:t>
            </w:r>
          </w:p>
          <w:p w:rsidR="00B54707" w:rsidRPr="00A52D36" w:rsidRDefault="00B54707" w:rsidP="00A52D36">
            <w:pPr>
              <w:keepNext/>
              <w:tabs>
                <w:tab w:val="num" w:pos="0"/>
              </w:tabs>
              <w:jc w:val="center"/>
              <w:rPr>
                <w:rFonts w:ascii="Calibri" w:hAnsi="Calibri"/>
                <w:b/>
                <w:color w:val="000000"/>
                <w:sz w:val="20"/>
                <w:szCs w:val="16"/>
              </w:rPr>
            </w:pPr>
            <w:r w:rsidRPr="00A52D36">
              <w:rPr>
                <w:rFonts w:ascii="Calibri" w:hAnsi="Calibri"/>
                <w:b/>
                <w:color w:val="000000"/>
                <w:sz w:val="20"/>
                <w:szCs w:val="16"/>
              </w:rPr>
              <w:t>(km)</w:t>
            </w:r>
          </w:p>
        </w:tc>
        <w:tc>
          <w:tcPr>
            <w:tcW w:w="2328" w:type="dxa"/>
          </w:tcPr>
          <w:p w:rsidR="00B54707" w:rsidRPr="00A52D36" w:rsidRDefault="00B54707" w:rsidP="00A52D36">
            <w:pPr>
              <w:keepNext/>
              <w:tabs>
                <w:tab w:val="num" w:pos="0"/>
              </w:tabs>
              <w:jc w:val="center"/>
              <w:rPr>
                <w:rFonts w:ascii="Calibri" w:hAnsi="Calibri"/>
                <w:b/>
                <w:color w:val="000000"/>
                <w:sz w:val="20"/>
                <w:szCs w:val="16"/>
              </w:rPr>
            </w:pPr>
            <w:r w:rsidRPr="00A52D36">
              <w:rPr>
                <w:rFonts w:ascii="Calibri" w:hAnsi="Calibri"/>
                <w:b/>
                <w:color w:val="000000"/>
                <w:sz w:val="20"/>
                <w:szCs w:val="16"/>
              </w:rPr>
              <w:t xml:space="preserve">Modernization Cost </w:t>
            </w:r>
          </w:p>
          <w:p w:rsidR="00B54707" w:rsidRPr="00A52D36" w:rsidRDefault="00B54707" w:rsidP="00A52D36">
            <w:pPr>
              <w:keepNext/>
              <w:tabs>
                <w:tab w:val="num" w:pos="0"/>
              </w:tabs>
              <w:jc w:val="center"/>
              <w:rPr>
                <w:rFonts w:ascii="Calibri" w:hAnsi="Calibri"/>
                <w:b/>
                <w:color w:val="000000"/>
                <w:sz w:val="20"/>
                <w:szCs w:val="16"/>
              </w:rPr>
            </w:pPr>
            <w:r w:rsidRPr="00A52D36">
              <w:rPr>
                <w:rFonts w:ascii="Calibri" w:hAnsi="Calibri"/>
                <w:b/>
                <w:color w:val="000000"/>
                <w:sz w:val="20"/>
                <w:szCs w:val="16"/>
              </w:rPr>
              <w:t>(US$ million)</w:t>
            </w:r>
          </w:p>
        </w:tc>
      </w:tr>
      <w:tr w:rsidR="00B54707" w:rsidRPr="00A52D36" w:rsidTr="00EB4908">
        <w:trPr>
          <w:trHeight w:val="315"/>
        </w:trPr>
        <w:tc>
          <w:tcPr>
            <w:tcW w:w="4960" w:type="dxa"/>
            <w:shd w:val="clear" w:color="auto" w:fill="auto"/>
            <w:vAlign w:val="bottom"/>
            <w:hideMark/>
          </w:tcPr>
          <w:p w:rsidR="00B54707" w:rsidRPr="00A52D36" w:rsidRDefault="00B54707" w:rsidP="00A52D36">
            <w:pPr>
              <w:keepNext/>
              <w:tabs>
                <w:tab w:val="num" w:pos="0"/>
              </w:tabs>
              <w:rPr>
                <w:rFonts w:ascii="Calibri" w:hAnsi="Calibri"/>
                <w:color w:val="000000"/>
                <w:sz w:val="20"/>
                <w:szCs w:val="16"/>
              </w:rPr>
            </w:pPr>
            <w:r w:rsidRPr="00A52D36">
              <w:rPr>
                <w:rFonts w:ascii="Calibri" w:hAnsi="Calibri"/>
                <w:color w:val="000000"/>
                <w:sz w:val="20"/>
                <w:szCs w:val="16"/>
              </w:rPr>
              <w:t>Corridor II</w:t>
            </w:r>
          </w:p>
        </w:tc>
        <w:tc>
          <w:tcPr>
            <w:tcW w:w="1175" w:type="dxa"/>
            <w:shd w:val="clear" w:color="auto" w:fill="auto"/>
            <w:noWrap/>
            <w:vAlign w:val="center"/>
            <w:hideMark/>
          </w:tcPr>
          <w:p w:rsidR="00B54707" w:rsidRPr="00A52D36" w:rsidRDefault="00B54707" w:rsidP="00A52D36">
            <w:pPr>
              <w:keepNext/>
              <w:tabs>
                <w:tab w:val="num" w:pos="0"/>
              </w:tabs>
              <w:jc w:val="center"/>
              <w:rPr>
                <w:rFonts w:ascii="Calibri" w:hAnsi="Calibri"/>
                <w:color w:val="000000"/>
                <w:sz w:val="20"/>
                <w:szCs w:val="16"/>
              </w:rPr>
            </w:pPr>
            <w:r w:rsidRPr="00A52D36">
              <w:rPr>
                <w:rFonts w:ascii="Calibri" w:hAnsi="Calibri"/>
                <w:color w:val="000000"/>
                <w:sz w:val="20"/>
                <w:szCs w:val="16"/>
              </w:rPr>
              <w:t>611</w:t>
            </w:r>
          </w:p>
        </w:tc>
        <w:tc>
          <w:tcPr>
            <w:tcW w:w="2328" w:type="dxa"/>
            <w:vAlign w:val="bottom"/>
          </w:tcPr>
          <w:p w:rsidR="00B54707" w:rsidRPr="00A52D36" w:rsidRDefault="00B54707" w:rsidP="00A52D36">
            <w:pPr>
              <w:keepNext/>
              <w:tabs>
                <w:tab w:val="num" w:pos="0"/>
              </w:tabs>
              <w:jc w:val="right"/>
              <w:rPr>
                <w:rFonts w:ascii="Calibri" w:hAnsi="Calibri"/>
                <w:color w:val="000000"/>
                <w:sz w:val="20"/>
                <w:szCs w:val="16"/>
              </w:rPr>
            </w:pPr>
            <w:r w:rsidRPr="00A52D36">
              <w:rPr>
                <w:rFonts w:ascii="Calibri" w:hAnsi="Calibri"/>
                <w:color w:val="000000"/>
                <w:sz w:val="20"/>
                <w:szCs w:val="16"/>
              </w:rPr>
              <w:t>3,485.29</w:t>
            </w:r>
          </w:p>
        </w:tc>
      </w:tr>
      <w:tr w:rsidR="00B54707" w:rsidRPr="00A52D36" w:rsidTr="00EB4908">
        <w:trPr>
          <w:trHeight w:val="315"/>
        </w:trPr>
        <w:tc>
          <w:tcPr>
            <w:tcW w:w="4960" w:type="dxa"/>
            <w:shd w:val="clear" w:color="auto" w:fill="auto"/>
            <w:noWrap/>
            <w:vAlign w:val="bottom"/>
            <w:hideMark/>
          </w:tcPr>
          <w:p w:rsidR="00B54707" w:rsidRPr="00A52D36" w:rsidRDefault="00461419" w:rsidP="00A52D36">
            <w:pPr>
              <w:keepNext/>
              <w:tabs>
                <w:tab w:val="num" w:pos="0"/>
              </w:tabs>
              <w:rPr>
                <w:rFonts w:ascii="Calibri" w:hAnsi="Calibri"/>
                <w:color w:val="000000"/>
                <w:sz w:val="20"/>
                <w:szCs w:val="16"/>
                <w:lang w:val="es-ES_tradnl"/>
              </w:rPr>
            </w:pPr>
            <w:proofErr w:type="spellStart"/>
            <w:r w:rsidRPr="00A52D36">
              <w:rPr>
                <w:rFonts w:ascii="Calibri" w:hAnsi="Calibri"/>
                <w:color w:val="000000"/>
                <w:sz w:val="20"/>
                <w:szCs w:val="16"/>
                <w:lang w:val="es-ES_tradnl"/>
              </w:rPr>
              <w:t>Corridor</w:t>
            </w:r>
            <w:proofErr w:type="spellEnd"/>
            <w:r w:rsidRPr="00A52D36">
              <w:rPr>
                <w:rFonts w:ascii="Calibri" w:hAnsi="Calibri"/>
                <w:color w:val="000000"/>
                <w:sz w:val="20"/>
                <w:szCs w:val="16"/>
                <w:lang w:val="es-ES_tradnl"/>
              </w:rPr>
              <w:t xml:space="preserve"> IX (</w:t>
            </w:r>
            <w:proofErr w:type="spellStart"/>
            <w:r w:rsidRPr="00A52D36">
              <w:rPr>
                <w:rFonts w:ascii="Calibri" w:hAnsi="Calibri"/>
                <w:color w:val="000000"/>
                <w:sz w:val="20"/>
                <w:szCs w:val="16"/>
                <w:lang w:val="es-ES_tradnl"/>
              </w:rPr>
              <w:t>Terjukha</w:t>
            </w:r>
            <w:proofErr w:type="spellEnd"/>
            <w:r w:rsidRPr="00A52D36">
              <w:rPr>
                <w:rFonts w:ascii="Calibri" w:hAnsi="Calibri"/>
                <w:color w:val="000000"/>
                <w:sz w:val="20"/>
                <w:szCs w:val="16"/>
                <w:lang w:val="es-ES_tradnl"/>
              </w:rPr>
              <w:t xml:space="preserve"> - </w:t>
            </w:r>
            <w:proofErr w:type="spellStart"/>
            <w:r w:rsidRPr="00A52D36">
              <w:rPr>
                <w:rFonts w:ascii="Calibri" w:hAnsi="Calibri"/>
                <w:color w:val="000000"/>
                <w:sz w:val="20"/>
                <w:szCs w:val="16"/>
                <w:lang w:val="es-ES_tradnl"/>
              </w:rPr>
              <w:t>Gomel</w:t>
            </w:r>
            <w:proofErr w:type="spellEnd"/>
            <w:r w:rsidRPr="00A52D36">
              <w:rPr>
                <w:rFonts w:ascii="Calibri" w:hAnsi="Calibri"/>
                <w:color w:val="000000"/>
                <w:sz w:val="20"/>
                <w:szCs w:val="16"/>
                <w:lang w:val="es-ES_tradnl"/>
              </w:rPr>
              <w:t xml:space="preserve"> - </w:t>
            </w:r>
            <w:proofErr w:type="spellStart"/>
            <w:r w:rsidRPr="00A52D36">
              <w:rPr>
                <w:rFonts w:ascii="Calibri" w:hAnsi="Calibri"/>
                <w:color w:val="000000"/>
                <w:sz w:val="20"/>
                <w:szCs w:val="16"/>
                <w:lang w:val="es-ES_tradnl"/>
              </w:rPr>
              <w:t>Vitebsk</w:t>
            </w:r>
            <w:proofErr w:type="spellEnd"/>
            <w:r w:rsidRPr="00A52D36">
              <w:rPr>
                <w:rFonts w:ascii="Calibri" w:hAnsi="Calibri"/>
                <w:color w:val="000000"/>
                <w:sz w:val="20"/>
                <w:szCs w:val="16"/>
                <w:lang w:val="es-ES_tradnl"/>
              </w:rPr>
              <w:t xml:space="preserve"> -</w:t>
            </w:r>
            <w:proofErr w:type="spellStart"/>
            <w:r w:rsidRPr="00A52D36">
              <w:rPr>
                <w:rFonts w:ascii="Calibri" w:hAnsi="Calibri"/>
                <w:color w:val="000000"/>
                <w:sz w:val="20"/>
                <w:szCs w:val="16"/>
                <w:lang w:val="es-ES_tradnl"/>
              </w:rPr>
              <w:t>Ezerishche</w:t>
            </w:r>
            <w:proofErr w:type="spellEnd"/>
            <w:r w:rsidRPr="00A52D36">
              <w:rPr>
                <w:rFonts w:ascii="Calibri" w:hAnsi="Calibri"/>
                <w:color w:val="000000"/>
                <w:sz w:val="20"/>
                <w:szCs w:val="16"/>
                <w:lang w:val="es-ES_tradnl"/>
              </w:rPr>
              <w:t>)</w:t>
            </w:r>
          </w:p>
        </w:tc>
        <w:tc>
          <w:tcPr>
            <w:tcW w:w="1175" w:type="dxa"/>
            <w:shd w:val="clear" w:color="auto" w:fill="auto"/>
            <w:noWrap/>
            <w:vAlign w:val="center"/>
            <w:hideMark/>
          </w:tcPr>
          <w:p w:rsidR="00B54707" w:rsidRPr="00A52D36" w:rsidRDefault="00B54707" w:rsidP="00A52D36">
            <w:pPr>
              <w:keepNext/>
              <w:tabs>
                <w:tab w:val="num" w:pos="0"/>
              </w:tabs>
              <w:jc w:val="center"/>
              <w:rPr>
                <w:rFonts w:ascii="Calibri" w:hAnsi="Calibri"/>
                <w:color w:val="000000"/>
                <w:sz w:val="20"/>
                <w:szCs w:val="16"/>
              </w:rPr>
            </w:pPr>
            <w:r w:rsidRPr="00A52D36">
              <w:rPr>
                <w:rFonts w:ascii="Calibri" w:hAnsi="Calibri"/>
                <w:color w:val="000000"/>
                <w:sz w:val="20"/>
                <w:szCs w:val="16"/>
              </w:rPr>
              <w:t>489</w:t>
            </w:r>
          </w:p>
        </w:tc>
        <w:tc>
          <w:tcPr>
            <w:tcW w:w="2328" w:type="dxa"/>
            <w:vAlign w:val="bottom"/>
          </w:tcPr>
          <w:p w:rsidR="00B54707" w:rsidRPr="00A52D36" w:rsidRDefault="00B54707" w:rsidP="00A52D36">
            <w:pPr>
              <w:keepNext/>
              <w:tabs>
                <w:tab w:val="num" w:pos="0"/>
              </w:tabs>
              <w:jc w:val="right"/>
              <w:rPr>
                <w:rFonts w:ascii="Calibri" w:hAnsi="Calibri"/>
                <w:color w:val="000000"/>
                <w:sz w:val="20"/>
                <w:szCs w:val="16"/>
              </w:rPr>
            </w:pPr>
            <w:r w:rsidRPr="00A52D36">
              <w:rPr>
                <w:rFonts w:ascii="Calibri" w:hAnsi="Calibri"/>
                <w:color w:val="000000"/>
                <w:sz w:val="20"/>
                <w:szCs w:val="16"/>
              </w:rPr>
              <w:t>2,789.38</w:t>
            </w:r>
          </w:p>
        </w:tc>
      </w:tr>
      <w:tr w:rsidR="00B54707" w:rsidRPr="00A52D36" w:rsidTr="00EB4908">
        <w:trPr>
          <w:trHeight w:val="315"/>
        </w:trPr>
        <w:tc>
          <w:tcPr>
            <w:tcW w:w="4960" w:type="dxa"/>
            <w:shd w:val="clear" w:color="auto" w:fill="auto"/>
            <w:noWrap/>
            <w:vAlign w:val="bottom"/>
            <w:hideMark/>
          </w:tcPr>
          <w:p w:rsidR="00B54707" w:rsidRPr="00A52D36" w:rsidRDefault="00461419" w:rsidP="00A52D36">
            <w:pPr>
              <w:keepNext/>
              <w:tabs>
                <w:tab w:val="num" w:pos="0"/>
              </w:tabs>
              <w:rPr>
                <w:rFonts w:ascii="Calibri" w:hAnsi="Calibri"/>
                <w:color w:val="000000"/>
                <w:sz w:val="20"/>
                <w:szCs w:val="16"/>
                <w:lang w:val="es-ES_tradnl"/>
              </w:rPr>
            </w:pPr>
            <w:proofErr w:type="spellStart"/>
            <w:r w:rsidRPr="00A52D36">
              <w:rPr>
                <w:rFonts w:ascii="Calibri" w:hAnsi="Calibri"/>
                <w:color w:val="000000"/>
                <w:sz w:val="20"/>
                <w:szCs w:val="16"/>
                <w:lang w:val="es-ES_tradnl"/>
              </w:rPr>
              <w:t>Corridor</w:t>
            </w:r>
            <w:proofErr w:type="spellEnd"/>
            <w:r w:rsidRPr="00A52D36">
              <w:rPr>
                <w:rFonts w:ascii="Calibri" w:hAnsi="Calibri"/>
                <w:color w:val="000000"/>
                <w:sz w:val="20"/>
                <w:szCs w:val="16"/>
                <w:lang w:val="es-ES_tradnl"/>
              </w:rPr>
              <w:t xml:space="preserve"> IX (</w:t>
            </w:r>
            <w:proofErr w:type="spellStart"/>
            <w:r w:rsidRPr="00A52D36">
              <w:rPr>
                <w:rFonts w:ascii="Calibri" w:hAnsi="Calibri"/>
                <w:color w:val="000000"/>
                <w:sz w:val="20"/>
                <w:szCs w:val="16"/>
                <w:lang w:val="es-ES_tradnl"/>
              </w:rPr>
              <w:t>Gudogai</w:t>
            </w:r>
            <w:proofErr w:type="spellEnd"/>
            <w:r w:rsidRPr="00A52D36">
              <w:rPr>
                <w:rFonts w:ascii="Calibri" w:hAnsi="Calibri"/>
                <w:color w:val="000000"/>
                <w:sz w:val="20"/>
                <w:szCs w:val="16"/>
                <w:lang w:val="es-ES_tradnl"/>
              </w:rPr>
              <w:t xml:space="preserve"> - </w:t>
            </w:r>
            <w:proofErr w:type="spellStart"/>
            <w:r w:rsidRPr="00A52D36">
              <w:rPr>
                <w:rFonts w:ascii="Calibri" w:hAnsi="Calibri"/>
                <w:color w:val="000000"/>
                <w:sz w:val="20"/>
                <w:szCs w:val="16"/>
                <w:lang w:val="es-ES_tradnl"/>
              </w:rPr>
              <w:t>Molodechno</w:t>
            </w:r>
            <w:proofErr w:type="spellEnd"/>
            <w:r w:rsidRPr="00A52D36">
              <w:rPr>
                <w:rFonts w:ascii="Calibri" w:hAnsi="Calibri"/>
                <w:color w:val="000000"/>
                <w:sz w:val="20"/>
                <w:szCs w:val="16"/>
                <w:lang w:val="es-ES_tradnl"/>
              </w:rPr>
              <w:t xml:space="preserve"> - Minsk  - </w:t>
            </w:r>
            <w:proofErr w:type="spellStart"/>
            <w:r w:rsidRPr="00A52D36">
              <w:rPr>
                <w:rFonts w:ascii="Calibri" w:hAnsi="Calibri"/>
                <w:color w:val="000000"/>
                <w:sz w:val="20"/>
                <w:szCs w:val="16"/>
                <w:lang w:val="es-ES_tradnl"/>
              </w:rPr>
              <w:t>Gomel</w:t>
            </w:r>
            <w:proofErr w:type="spellEnd"/>
            <w:r w:rsidRPr="00A52D36">
              <w:rPr>
                <w:rFonts w:ascii="Calibri" w:hAnsi="Calibri"/>
                <w:color w:val="000000"/>
                <w:sz w:val="20"/>
                <w:szCs w:val="16"/>
                <w:lang w:val="es-ES_tradnl"/>
              </w:rPr>
              <w:t>)</w:t>
            </w:r>
          </w:p>
        </w:tc>
        <w:tc>
          <w:tcPr>
            <w:tcW w:w="1175" w:type="dxa"/>
            <w:shd w:val="clear" w:color="auto" w:fill="auto"/>
            <w:noWrap/>
            <w:vAlign w:val="center"/>
            <w:hideMark/>
          </w:tcPr>
          <w:p w:rsidR="00B54707" w:rsidRPr="00A52D36" w:rsidRDefault="00B54707" w:rsidP="00A52D36">
            <w:pPr>
              <w:keepNext/>
              <w:tabs>
                <w:tab w:val="num" w:pos="0"/>
              </w:tabs>
              <w:jc w:val="center"/>
              <w:rPr>
                <w:rFonts w:ascii="Calibri" w:hAnsi="Calibri"/>
                <w:color w:val="000000"/>
                <w:sz w:val="20"/>
                <w:szCs w:val="16"/>
              </w:rPr>
            </w:pPr>
            <w:r w:rsidRPr="00A52D36">
              <w:rPr>
                <w:rFonts w:ascii="Calibri" w:hAnsi="Calibri"/>
                <w:color w:val="000000"/>
                <w:sz w:val="20"/>
                <w:szCs w:val="16"/>
              </w:rPr>
              <w:t>372</w:t>
            </w:r>
          </w:p>
        </w:tc>
        <w:tc>
          <w:tcPr>
            <w:tcW w:w="2328" w:type="dxa"/>
            <w:vAlign w:val="bottom"/>
          </w:tcPr>
          <w:p w:rsidR="00B54707" w:rsidRPr="00A52D36" w:rsidRDefault="00B54707" w:rsidP="00A52D36">
            <w:pPr>
              <w:keepNext/>
              <w:tabs>
                <w:tab w:val="num" w:pos="0"/>
              </w:tabs>
              <w:jc w:val="right"/>
              <w:rPr>
                <w:rFonts w:ascii="Calibri" w:hAnsi="Calibri"/>
                <w:color w:val="000000"/>
                <w:sz w:val="20"/>
                <w:szCs w:val="16"/>
              </w:rPr>
            </w:pPr>
            <w:r w:rsidRPr="00A52D36">
              <w:rPr>
                <w:rFonts w:ascii="Calibri" w:hAnsi="Calibri"/>
                <w:color w:val="000000"/>
                <w:sz w:val="20"/>
                <w:szCs w:val="16"/>
              </w:rPr>
              <w:t>2,121.98</w:t>
            </w:r>
          </w:p>
        </w:tc>
      </w:tr>
      <w:tr w:rsidR="00B54707" w:rsidRPr="00A52D36" w:rsidTr="00EB4908">
        <w:trPr>
          <w:trHeight w:val="315"/>
        </w:trPr>
        <w:tc>
          <w:tcPr>
            <w:tcW w:w="4960" w:type="dxa"/>
            <w:shd w:val="clear" w:color="auto" w:fill="auto"/>
            <w:vAlign w:val="bottom"/>
            <w:hideMark/>
          </w:tcPr>
          <w:p w:rsidR="00B54707" w:rsidRPr="00A52D36" w:rsidRDefault="00B54707" w:rsidP="00A52D36">
            <w:pPr>
              <w:keepNext/>
              <w:tabs>
                <w:tab w:val="num" w:pos="0"/>
              </w:tabs>
              <w:rPr>
                <w:rFonts w:ascii="Calibri" w:hAnsi="Calibri"/>
                <w:b/>
                <w:bCs/>
                <w:color w:val="000000"/>
                <w:sz w:val="20"/>
                <w:szCs w:val="16"/>
              </w:rPr>
            </w:pPr>
            <w:r w:rsidRPr="00A52D36">
              <w:rPr>
                <w:rFonts w:ascii="Calibri" w:hAnsi="Calibri"/>
                <w:b/>
                <w:bCs/>
                <w:color w:val="000000"/>
                <w:sz w:val="20"/>
                <w:szCs w:val="16"/>
              </w:rPr>
              <w:t>Total</w:t>
            </w:r>
          </w:p>
        </w:tc>
        <w:tc>
          <w:tcPr>
            <w:tcW w:w="1175" w:type="dxa"/>
            <w:shd w:val="clear" w:color="auto" w:fill="auto"/>
            <w:noWrap/>
            <w:vAlign w:val="bottom"/>
            <w:hideMark/>
          </w:tcPr>
          <w:p w:rsidR="00B54707" w:rsidRPr="00A52D36" w:rsidRDefault="00B54707" w:rsidP="00A52D36">
            <w:pPr>
              <w:keepNext/>
              <w:tabs>
                <w:tab w:val="num" w:pos="0"/>
              </w:tabs>
              <w:jc w:val="center"/>
              <w:rPr>
                <w:rFonts w:ascii="Calibri" w:hAnsi="Calibri"/>
                <w:b/>
                <w:bCs/>
                <w:color w:val="000000"/>
                <w:sz w:val="20"/>
                <w:szCs w:val="16"/>
              </w:rPr>
            </w:pPr>
            <w:r w:rsidRPr="00A52D36">
              <w:rPr>
                <w:rFonts w:ascii="Calibri" w:hAnsi="Calibri"/>
                <w:b/>
                <w:bCs/>
                <w:color w:val="000000"/>
                <w:sz w:val="20"/>
                <w:szCs w:val="16"/>
              </w:rPr>
              <w:t>1,472</w:t>
            </w:r>
          </w:p>
        </w:tc>
        <w:tc>
          <w:tcPr>
            <w:tcW w:w="2328" w:type="dxa"/>
            <w:vAlign w:val="bottom"/>
          </w:tcPr>
          <w:p w:rsidR="00B54707" w:rsidRPr="00A52D36" w:rsidRDefault="00B54707" w:rsidP="00A52D36">
            <w:pPr>
              <w:keepNext/>
              <w:tabs>
                <w:tab w:val="num" w:pos="0"/>
              </w:tabs>
              <w:jc w:val="right"/>
              <w:rPr>
                <w:rFonts w:ascii="Calibri" w:hAnsi="Calibri"/>
                <w:color w:val="000000"/>
                <w:sz w:val="20"/>
                <w:szCs w:val="16"/>
              </w:rPr>
            </w:pPr>
            <w:r w:rsidRPr="00A52D36">
              <w:rPr>
                <w:rFonts w:ascii="Calibri" w:hAnsi="Calibri"/>
                <w:color w:val="000000"/>
                <w:sz w:val="20"/>
                <w:szCs w:val="16"/>
              </w:rPr>
              <w:t>8,396.65</w:t>
            </w:r>
          </w:p>
        </w:tc>
      </w:tr>
      <w:tr w:rsidR="00B54707" w:rsidRPr="00A52D36" w:rsidTr="00EB4908">
        <w:trPr>
          <w:trHeight w:val="330"/>
        </w:trPr>
        <w:tc>
          <w:tcPr>
            <w:tcW w:w="4960" w:type="dxa"/>
            <w:shd w:val="clear" w:color="auto" w:fill="auto"/>
            <w:vAlign w:val="bottom"/>
            <w:hideMark/>
          </w:tcPr>
          <w:p w:rsidR="00B54707" w:rsidRPr="00A52D36" w:rsidRDefault="00B54707" w:rsidP="00A52D36">
            <w:pPr>
              <w:keepNext/>
              <w:tabs>
                <w:tab w:val="num" w:pos="0"/>
              </w:tabs>
              <w:rPr>
                <w:rFonts w:ascii="Calibri" w:hAnsi="Calibri"/>
                <w:b/>
                <w:bCs/>
                <w:color w:val="000000"/>
                <w:sz w:val="20"/>
                <w:szCs w:val="16"/>
              </w:rPr>
            </w:pPr>
            <w:r w:rsidRPr="00A52D36">
              <w:rPr>
                <w:rFonts w:ascii="Calibri" w:hAnsi="Calibri"/>
                <w:b/>
                <w:bCs/>
                <w:color w:val="000000"/>
                <w:sz w:val="20"/>
                <w:szCs w:val="16"/>
              </w:rPr>
              <w:t xml:space="preserve">Annual Average (25 Years Modernization Plan) </w:t>
            </w:r>
          </w:p>
        </w:tc>
        <w:tc>
          <w:tcPr>
            <w:tcW w:w="1175" w:type="dxa"/>
            <w:shd w:val="clear" w:color="auto" w:fill="auto"/>
            <w:noWrap/>
            <w:vAlign w:val="bottom"/>
            <w:hideMark/>
          </w:tcPr>
          <w:p w:rsidR="00B54707" w:rsidRPr="00A52D36" w:rsidRDefault="00B54707" w:rsidP="00A52D36">
            <w:pPr>
              <w:keepNext/>
              <w:tabs>
                <w:tab w:val="num" w:pos="0"/>
              </w:tabs>
              <w:jc w:val="center"/>
              <w:rPr>
                <w:rFonts w:ascii="Calibri" w:hAnsi="Calibri"/>
                <w:b/>
                <w:bCs/>
                <w:color w:val="000000"/>
                <w:sz w:val="20"/>
                <w:szCs w:val="16"/>
              </w:rPr>
            </w:pPr>
            <w:r w:rsidRPr="00A52D36">
              <w:rPr>
                <w:rFonts w:ascii="Calibri" w:hAnsi="Calibri"/>
                <w:b/>
                <w:bCs/>
                <w:color w:val="000000"/>
                <w:sz w:val="20"/>
                <w:szCs w:val="16"/>
              </w:rPr>
              <w:t>58.88</w:t>
            </w:r>
          </w:p>
        </w:tc>
        <w:tc>
          <w:tcPr>
            <w:tcW w:w="2328" w:type="dxa"/>
            <w:vAlign w:val="bottom"/>
          </w:tcPr>
          <w:p w:rsidR="00B54707" w:rsidRPr="00A52D36" w:rsidRDefault="00B54707" w:rsidP="00A52D36">
            <w:pPr>
              <w:keepNext/>
              <w:tabs>
                <w:tab w:val="num" w:pos="0"/>
              </w:tabs>
              <w:jc w:val="right"/>
              <w:rPr>
                <w:rFonts w:ascii="Calibri" w:hAnsi="Calibri"/>
                <w:color w:val="000000"/>
                <w:sz w:val="20"/>
                <w:szCs w:val="16"/>
              </w:rPr>
            </w:pPr>
            <w:r w:rsidRPr="00A52D36">
              <w:rPr>
                <w:rFonts w:ascii="Calibri" w:hAnsi="Calibri"/>
                <w:color w:val="000000"/>
                <w:sz w:val="20"/>
                <w:szCs w:val="16"/>
              </w:rPr>
              <w:t>335.87</w:t>
            </w:r>
          </w:p>
        </w:tc>
      </w:tr>
      <w:tr w:rsidR="00B54707" w:rsidRPr="00A52D36" w:rsidTr="00EB4908">
        <w:trPr>
          <w:trHeight w:val="315"/>
        </w:trPr>
        <w:tc>
          <w:tcPr>
            <w:tcW w:w="8463" w:type="dxa"/>
            <w:gridSpan w:val="3"/>
            <w:shd w:val="clear" w:color="auto" w:fill="auto"/>
            <w:noWrap/>
            <w:vAlign w:val="bottom"/>
            <w:hideMark/>
          </w:tcPr>
          <w:p w:rsidR="00B54707" w:rsidRPr="00A52D36" w:rsidRDefault="00B54707" w:rsidP="00DE274C">
            <w:pPr>
              <w:tabs>
                <w:tab w:val="num" w:pos="0"/>
              </w:tabs>
              <w:rPr>
                <w:rFonts w:asciiTheme="minorHAnsi" w:hAnsiTheme="minorHAnsi"/>
                <w:bCs/>
                <w:color w:val="000000"/>
                <w:sz w:val="20"/>
                <w:szCs w:val="16"/>
              </w:rPr>
            </w:pPr>
            <w:r w:rsidRPr="00A52D36">
              <w:rPr>
                <w:rFonts w:asciiTheme="minorHAnsi" w:hAnsiTheme="minorHAnsi"/>
                <w:bCs/>
                <w:color w:val="000000"/>
                <w:sz w:val="20"/>
                <w:szCs w:val="16"/>
              </w:rPr>
              <w:t>Source: Data reported by Belarusian Railways. Estimates developed by the Bank’s team.</w:t>
            </w:r>
          </w:p>
        </w:tc>
      </w:tr>
    </w:tbl>
    <w:p w:rsidR="00B54707" w:rsidRDefault="00B54707" w:rsidP="00A63E59">
      <w:pPr>
        <w:pStyle w:val="Style2"/>
        <w:numPr>
          <w:ilvl w:val="0"/>
          <w:numId w:val="0"/>
        </w:numPr>
      </w:pPr>
    </w:p>
    <w:p w:rsidR="00B54707" w:rsidRPr="00AC422F" w:rsidRDefault="00B54707" w:rsidP="00AC422F">
      <w:pPr>
        <w:pStyle w:val="Style3"/>
        <w:rPr>
          <w:b w:val="0"/>
        </w:rPr>
      </w:pPr>
      <w:r w:rsidRPr="00AC422F">
        <w:rPr>
          <w:b w:val="0"/>
        </w:rPr>
        <w:t xml:space="preserve">Belarusian Railways are currently fully financing expenditures related to maintenance, repair and new investment, but this favorable situation may not last much longer. </w:t>
      </w:r>
      <w:r w:rsidR="00C04B28" w:rsidRPr="00AC422F">
        <w:rPr>
          <w:b w:val="0"/>
        </w:rPr>
        <w:t xml:space="preserve"> </w:t>
      </w:r>
      <w:r w:rsidRPr="00AC422F">
        <w:rPr>
          <w:b w:val="0"/>
        </w:rPr>
        <w:t xml:space="preserve">Given the high volume of traffic, Belarusian Railways was able </w:t>
      </w:r>
      <w:r w:rsidR="00C04B28" w:rsidRPr="00AC422F">
        <w:rPr>
          <w:b w:val="0"/>
        </w:rPr>
        <w:t xml:space="preserve">so far </w:t>
      </w:r>
      <w:r w:rsidRPr="00AC422F">
        <w:rPr>
          <w:b w:val="0"/>
        </w:rPr>
        <w:t>to finance the full costs of operation. At present, there are no backlogs in the maintenance works and speed restrictions currently only exist on very short sections and over short period of times. However, the current rhythm of investments is not sufficient for sustaining the long term development of Belarusian Railways. The proposed annual need of about 2 trillion BYR (more than US$600 million) for investment in the Belarusian Railways system is a conservative estimate based on rough calculations. In 2008, Belarusian Railways accumulated 372,409 million BYR for depreciation and realized a profit of 888,517 million BYR; this totals 1,261,926 million BYR, which theoretically could be considered as a source of investment. Even if the entire sum would be allocated for investments, it would only cover the costs for maintaining the current business (current rolling stock and existing infrastructure), but will not be sufficient to develop the railway transport system</w:t>
      </w:r>
      <w:r w:rsidR="00C04B28" w:rsidRPr="00AC422F">
        <w:rPr>
          <w:b w:val="0"/>
        </w:rPr>
        <w:t xml:space="preserve"> so that it can preserve its market share. </w:t>
      </w:r>
      <w:r w:rsidRPr="00AC422F">
        <w:rPr>
          <w:b w:val="0"/>
        </w:rPr>
        <w:t xml:space="preserve">At present, there are no funds available to cover the development of </w:t>
      </w:r>
      <w:r w:rsidR="00C04B28" w:rsidRPr="00AC422F">
        <w:rPr>
          <w:b w:val="0"/>
        </w:rPr>
        <w:t xml:space="preserve">Belarus’ </w:t>
      </w:r>
      <w:r w:rsidRPr="00AC422F">
        <w:rPr>
          <w:b w:val="0"/>
        </w:rPr>
        <w:t xml:space="preserve">international </w:t>
      </w:r>
      <w:r w:rsidR="00C04B28" w:rsidRPr="00AC422F">
        <w:rPr>
          <w:b w:val="0"/>
        </w:rPr>
        <w:t xml:space="preserve">railway </w:t>
      </w:r>
      <w:r w:rsidRPr="00AC422F">
        <w:rPr>
          <w:b w:val="0"/>
        </w:rPr>
        <w:t xml:space="preserve">corridors. An in-depth assessment is therefore needed to identify additional financing sources </w:t>
      </w:r>
      <w:r w:rsidR="00BF359F" w:rsidRPr="00AC422F">
        <w:rPr>
          <w:b w:val="0"/>
        </w:rPr>
        <w:t xml:space="preserve">that are needed </w:t>
      </w:r>
      <w:r w:rsidRPr="00AC422F">
        <w:rPr>
          <w:b w:val="0"/>
        </w:rPr>
        <w:t>to finance a prioritized set of concrete project</w:t>
      </w:r>
      <w:r w:rsidR="00BF359F" w:rsidRPr="00AC422F">
        <w:rPr>
          <w:b w:val="0"/>
        </w:rPr>
        <w:t>s</w:t>
      </w:r>
      <w:r w:rsidRPr="00AC422F">
        <w:rPr>
          <w:b w:val="0"/>
        </w:rPr>
        <w:t xml:space="preserve"> that will allow further consolidation of Belarusian Railways.</w:t>
      </w:r>
    </w:p>
    <w:p w:rsidR="00B54707" w:rsidRPr="00AC422F" w:rsidRDefault="00B54707" w:rsidP="00AC422F">
      <w:pPr>
        <w:pStyle w:val="Style3"/>
        <w:rPr>
          <w:b w:val="0"/>
        </w:rPr>
      </w:pPr>
      <w:r w:rsidRPr="00B54707">
        <w:t>The future of Belarusian Railways is determined by the availability of adequate financing</w:t>
      </w:r>
      <w:r>
        <w:t xml:space="preserve">. </w:t>
      </w:r>
      <w:r w:rsidRPr="00AC422F">
        <w:rPr>
          <w:b w:val="0"/>
        </w:rPr>
        <w:t>Four possible scenarios are presented below (</w:t>
      </w:r>
      <w:fldSimple w:instr=" REF _Ref262486314 \h  \* MERGEFORMAT ">
        <w:r w:rsidR="00E85C5F" w:rsidRPr="00E85C5F">
          <w:rPr>
            <w:b w:val="0"/>
          </w:rPr>
          <w:t xml:space="preserve">Table </w:t>
        </w:r>
        <w:r w:rsidR="00E85C5F" w:rsidRPr="00E85C5F">
          <w:rPr>
            <w:b w:val="0"/>
            <w:noProof/>
          </w:rPr>
          <w:t>21</w:t>
        </w:r>
      </w:fldSimple>
      <w:r w:rsidRPr="00AC422F">
        <w:rPr>
          <w:b w:val="0"/>
        </w:rPr>
        <w:t>) which summarize</w:t>
      </w:r>
      <w:r w:rsidR="002A38D9">
        <w:rPr>
          <w:b w:val="0"/>
        </w:rPr>
        <w:t>s</w:t>
      </w:r>
      <w:r w:rsidRPr="00AC422F">
        <w:rPr>
          <w:b w:val="0"/>
        </w:rPr>
        <w:t xml:space="preserve"> the </w:t>
      </w:r>
      <w:r w:rsidR="00BF359F" w:rsidRPr="00AC422F">
        <w:rPr>
          <w:b w:val="0"/>
        </w:rPr>
        <w:t xml:space="preserve">potential </w:t>
      </w:r>
      <w:r w:rsidRPr="00AC422F">
        <w:rPr>
          <w:b w:val="0"/>
        </w:rPr>
        <w:t>development</w:t>
      </w:r>
      <w:r w:rsidR="00BF359F" w:rsidRPr="00AC422F">
        <w:rPr>
          <w:b w:val="0"/>
        </w:rPr>
        <w:t xml:space="preserve"> strategies</w:t>
      </w:r>
      <w:r w:rsidRPr="00AC422F">
        <w:rPr>
          <w:b w:val="0"/>
        </w:rPr>
        <w:t xml:space="preserve"> and </w:t>
      </w:r>
      <w:r w:rsidR="00BF359F" w:rsidRPr="00AC422F">
        <w:rPr>
          <w:b w:val="0"/>
        </w:rPr>
        <w:t xml:space="preserve">the corresponding </w:t>
      </w:r>
      <w:r w:rsidRPr="00AC422F">
        <w:rPr>
          <w:b w:val="0"/>
        </w:rPr>
        <w:t xml:space="preserve">levels of </w:t>
      </w:r>
      <w:r w:rsidR="00BF359F" w:rsidRPr="00AC422F">
        <w:rPr>
          <w:b w:val="0"/>
        </w:rPr>
        <w:t xml:space="preserve">needed </w:t>
      </w:r>
      <w:r w:rsidRPr="00AC422F">
        <w:rPr>
          <w:b w:val="0"/>
        </w:rPr>
        <w:t xml:space="preserve">investments. At present, Belarusian Railways seems to follow the scenario called “preserve current business”. The levels of investments realized during the past 3 to 5 years however indicate that a tendency exists to move into scenario “focus on selected lines of business”. </w:t>
      </w:r>
      <w:r w:rsidR="00BF359F" w:rsidRPr="00AC422F">
        <w:rPr>
          <w:b w:val="0"/>
        </w:rPr>
        <w:t xml:space="preserve">The World Bank strongly </w:t>
      </w:r>
      <w:r w:rsidRPr="00AC422F">
        <w:rPr>
          <w:b w:val="0"/>
        </w:rPr>
        <w:t>recommend</w:t>
      </w:r>
      <w:r w:rsidR="00BF359F" w:rsidRPr="00AC422F">
        <w:rPr>
          <w:b w:val="0"/>
        </w:rPr>
        <w:t xml:space="preserve">s </w:t>
      </w:r>
      <w:r w:rsidRPr="00AC422F">
        <w:rPr>
          <w:b w:val="0"/>
        </w:rPr>
        <w:t xml:space="preserve">that Belarusian Railways develops a clear strategy for development and that the Government identifies sources of financing to move up to the scenario called “grow business”. </w:t>
      </w:r>
    </w:p>
    <w:p w:rsidR="00B54707" w:rsidRDefault="00B54707" w:rsidP="00A52D36">
      <w:pPr>
        <w:pStyle w:val="Caption"/>
        <w:keepNext/>
        <w:tabs>
          <w:tab w:val="num" w:pos="0"/>
        </w:tabs>
        <w:jc w:val="center"/>
        <w:rPr>
          <w:color w:val="auto"/>
          <w:sz w:val="22"/>
          <w:szCs w:val="22"/>
        </w:rPr>
      </w:pPr>
      <w:bookmarkStart w:id="224" w:name="_Ref262486314"/>
      <w:bookmarkStart w:id="225" w:name="_Toc264227148"/>
      <w:proofErr w:type="gramStart"/>
      <w:r w:rsidRPr="00D82E2B">
        <w:rPr>
          <w:color w:val="auto"/>
          <w:sz w:val="22"/>
          <w:szCs w:val="22"/>
        </w:rPr>
        <w:lastRenderedPageBreak/>
        <w:t xml:space="preserve">Table </w:t>
      </w:r>
      <w:r w:rsidR="006B40AE" w:rsidRPr="00D82E2B">
        <w:rPr>
          <w:color w:val="auto"/>
          <w:sz w:val="22"/>
          <w:szCs w:val="22"/>
        </w:rPr>
        <w:fldChar w:fldCharType="begin"/>
      </w:r>
      <w:r w:rsidRPr="00D82E2B">
        <w:rPr>
          <w:color w:val="auto"/>
          <w:sz w:val="22"/>
          <w:szCs w:val="22"/>
        </w:rPr>
        <w:instrText xml:space="preserve"> SEQ Table \* ARABIC </w:instrText>
      </w:r>
      <w:r w:rsidR="006B40AE" w:rsidRPr="00D82E2B">
        <w:rPr>
          <w:color w:val="auto"/>
          <w:sz w:val="22"/>
          <w:szCs w:val="22"/>
        </w:rPr>
        <w:fldChar w:fldCharType="separate"/>
      </w:r>
      <w:r w:rsidR="009E2C86">
        <w:rPr>
          <w:noProof/>
          <w:color w:val="auto"/>
          <w:sz w:val="22"/>
          <w:szCs w:val="22"/>
        </w:rPr>
        <w:t>21</w:t>
      </w:r>
      <w:r w:rsidR="006B40AE" w:rsidRPr="00D82E2B">
        <w:rPr>
          <w:color w:val="auto"/>
          <w:sz w:val="22"/>
          <w:szCs w:val="22"/>
        </w:rPr>
        <w:fldChar w:fldCharType="end"/>
      </w:r>
      <w:bookmarkEnd w:id="224"/>
      <w:r w:rsidRPr="00D82E2B">
        <w:rPr>
          <w:color w:val="auto"/>
          <w:sz w:val="22"/>
          <w:szCs w:val="22"/>
        </w:rPr>
        <w:t>.</w:t>
      </w:r>
      <w:proofErr w:type="gramEnd"/>
      <w:r w:rsidRPr="00D82E2B">
        <w:rPr>
          <w:color w:val="auto"/>
          <w:sz w:val="22"/>
          <w:szCs w:val="22"/>
        </w:rPr>
        <w:t xml:space="preserve"> </w:t>
      </w:r>
      <w:r>
        <w:rPr>
          <w:color w:val="auto"/>
          <w:sz w:val="22"/>
          <w:szCs w:val="22"/>
        </w:rPr>
        <w:t>Scenarios for the Development of the Belarusian Railways system</w:t>
      </w:r>
      <w:bookmarkEnd w:id="225"/>
    </w:p>
    <w:tbl>
      <w:tblPr>
        <w:tblStyle w:val="TableGrid"/>
        <w:tblW w:w="0" w:type="auto"/>
        <w:tblBorders>
          <w:left w:val="none" w:sz="0" w:space="0" w:color="auto"/>
          <w:right w:val="none" w:sz="0" w:space="0" w:color="auto"/>
          <w:insideV w:val="none" w:sz="0" w:space="0" w:color="auto"/>
        </w:tblBorders>
        <w:tblLook w:val="04A0"/>
      </w:tblPr>
      <w:tblGrid>
        <w:gridCol w:w="2394"/>
        <w:gridCol w:w="2394"/>
        <w:gridCol w:w="2394"/>
        <w:gridCol w:w="2394"/>
      </w:tblGrid>
      <w:tr w:rsidR="00B54707" w:rsidRPr="00A52D36" w:rsidTr="00EB4908">
        <w:tc>
          <w:tcPr>
            <w:tcW w:w="2394" w:type="dxa"/>
          </w:tcPr>
          <w:p w:rsidR="00B54707" w:rsidRPr="00A52D36" w:rsidRDefault="00B54707" w:rsidP="00A52D36">
            <w:pPr>
              <w:keepNext/>
              <w:tabs>
                <w:tab w:val="num" w:pos="0"/>
              </w:tabs>
              <w:jc w:val="center"/>
              <w:rPr>
                <w:rFonts w:asciiTheme="minorHAnsi" w:hAnsiTheme="minorHAnsi"/>
                <w:b/>
                <w:sz w:val="20"/>
                <w:szCs w:val="16"/>
              </w:rPr>
            </w:pPr>
            <w:r w:rsidRPr="00A52D36">
              <w:rPr>
                <w:rFonts w:asciiTheme="minorHAnsi" w:hAnsiTheme="minorHAnsi"/>
                <w:b/>
                <w:sz w:val="20"/>
                <w:szCs w:val="16"/>
              </w:rPr>
              <w:t>Strategy</w:t>
            </w:r>
          </w:p>
        </w:tc>
        <w:tc>
          <w:tcPr>
            <w:tcW w:w="2394" w:type="dxa"/>
          </w:tcPr>
          <w:p w:rsidR="00B54707" w:rsidRPr="00A52D36" w:rsidRDefault="00B54707" w:rsidP="00A52D36">
            <w:pPr>
              <w:keepNext/>
              <w:tabs>
                <w:tab w:val="num" w:pos="0"/>
              </w:tabs>
              <w:jc w:val="center"/>
              <w:rPr>
                <w:rFonts w:asciiTheme="minorHAnsi" w:hAnsiTheme="minorHAnsi"/>
                <w:b/>
                <w:sz w:val="20"/>
                <w:szCs w:val="16"/>
              </w:rPr>
            </w:pPr>
            <w:r w:rsidRPr="00A52D36">
              <w:rPr>
                <w:rFonts w:asciiTheme="minorHAnsi" w:hAnsiTheme="minorHAnsi"/>
                <w:b/>
                <w:sz w:val="20"/>
                <w:szCs w:val="16"/>
              </w:rPr>
              <w:t>Scope</w:t>
            </w:r>
          </w:p>
        </w:tc>
        <w:tc>
          <w:tcPr>
            <w:tcW w:w="2394" w:type="dxa"/>
          </w:tcPr>
          <w:p w:rsidR="00B54707" w:rsidRPr="00A52D36" w:rsidRDefault="00B54707" w:rsidP="00A52D36">
            <w:pPr>
              <w:keepNext/>
              <w:tabs>
                <w:tab w:val="num" w:pos="0"/>
              </w:tabs>
              <w:jc w:val="center"/>
              <w:rPr>
                <w:rFonts w:asciiTheme="minorHAnsi" w:hAnsiTheme="minorHAnsi"/>
                <w:b/>
                <w:sz w:val="20"/>
                <w:szCs w:val="16"/>
              </w:rPr>
            </w:pPr>
            <w:r w:rsidRPr="00A52D36">
              <w:rPr>
                <w:rFonts w:asciiTheme="minorHAnsi" w:hAnsiTheme="minorHAnsi"/>
                <w:b/>
                <w:sz w:val="20"/>
                <w:szCs w:val="16"/>
              </w:rPr>
              <w:t>Effect</w:t>
            </w:r>
          </w:p>
        </w:tc>
        <w:tc>
          <w:tcPr>
            <w:tcW w:w="2394" w:type="dxa"/>
          </w:tcPr>
          <w:p w:rsidR="00B54707" w:rsidRPr="00A52D36" w:rsidRDefault="00B54707" w:rsidP="00A52D36">
            <w:pPr>
              <w:keepNext/>
              <w:tabs>
                <w:tab w:val="num" w:pos="0"/>
              </w:tabs>
              <w:jc w:val="center"/>
              <w:rPr>
                <w:rFonts w:asciiTheme="minorHAnsi" w:hAnsiTheme="minorHAnsi"/>
                <w:b/>
                <w:sz w:val="20"/>
                <w:szCs w:val="16"/>
              </w:rPr>
            </w:pPr>
            <w:r w:rsidRPr="00A52D36">
              <w:rPr>
                <w:rFonts w:asciiTheme="minorHAnsi" w:hAnsiTheme="minorHAnsi"/>
                <w:b/>
                <w:sz w:val="20"/>
                <w:szCs w:val="16"/>
              </w:rPr>
              <w:t>Estimated average annual financing requirements (million BYR)</w:t>
            </w:r>
          </w:p>
        </w:tc>
      </w:tr>
      <w:tr w:rsidR="00B54707" w:rsidRPr="00A52D36" w:rsidTr="00EB4908">
        <w:tc>
          <w:tcPr>
            <w:tcW w:w="2394" w:type="dxa"/>
          </w:tcPr>
          <w:p w:rsidR="00B54707" w:rsidRPr="00A52D36" w:rsidRDefault="00B54707" w:rsidP="00A52D36">
            <w:pPr>
              <w:keepNext/>
              <w:tabs>
                <w:tab w:val="num" w:pos="0"/>
              </w:tabs>
              <w:rPr>
                <w:rFonts w:asciiTheme="minorHAnsi" w:hAnsiTheme="minorHAnsi"/>
                <w:b/>
                <w:sz w:val="20"/>
                <w:szCs w:val="16"/>
              </w:rPr>
            </w:pPr>
            <w:r w:rsidRPr="00A52D36">
              <w:rPr>
                <w:rFonts w:asciiTheme="minorHAnsi" w:hAnsiTheme="minorHAnsi"/>
                <w:b/>
                <w:sz w:val="20"/>
                <w:szCs w:val="16"/>
              </w:rPr>
              <w:t>Grow business</w:t>
            </w:r>
          </w:p>
        </w:tc>
        <w:tc>
          <w:tcPr>
            <w:tcW w:w="2394" w:type="dxa"/>
          </w:tcPr>
          <w:p w:rsidR="00B54707" w:rsidRPr="00A52D36" w:rsidRDefault="00B54707" w:rsidP="00A52D36">
            <w:pPr>
              <w:keepNext/>
              <w:tabs>
                <w:tab w:val="num" w:pos="0"/>
              </w:tabs>
              <w:rPr>
                <w:rFonts w:asciiTheme="minorHAnsi" w:hAnsiTheme="minorHAnsi"/>
                <w:sz w:val="20"/>
                <w:szCs w:val="16"/>
              </w:rPr>
            </w:pPr>
            <w:r w:rsidRPr="00A52D36">
              <w:rPr>
                <w:rFonts w:asciiTheme="minorHAnsi" w:hAnsiTheme="minorHAnsi"/>
                <w:sz w:val="20"/>
                <w:szCs w:val="16"/>
              </w:rPr>
              <w:t>Upgraded lines</w:t>
            </w:r>
          </w:p>
          <w:p w:rsidR="00B54707" w:rsidRPr="00A52D36" w:rsidRDefault="00B54707" w:rsidP="00A52D36">
            <w:pPr>
              <w:keepNext/>
              <w:tabs>
                <w:tab w:val="num" w:pos="0"/>
              </w:tabs>
              <w:rPr>
                <w:rFonts w:asciiTheme="minorHAnsi" w:hAnsiTheme="minorHAnsi"/>
                <w:sz w:val="20"/>
                <w:szCs w:val="16"/>
              </w:rPr>
            </w:pPr>
            <w:r w:rsidRPr="00A52D36">
              <w:rPr>
                <w:rFonts w:asciiTheme="minorHAnsi" w:hAnsiTheme="minorHAnsi"/>
                <w:sz w:val="20"/>
                <w:szCs w:val="16"/>
              </w:rPr>
              <w:t>Upgraded rolling sock</w:t>
            </w:r>
          </w:p>
        </w:tc>
        <w:tc>
          <w:tcPr>
            <w:tcW w:w="2394" w:type="dxa"/>
          </w:tcPr>
          <w:p w:rsidR="00B54707" w:rsidRPr="00A52D36" w:rsidRDefault="00B54707" w:rsidP="00A52D36">
            <w:pPr>
              <w:keepNext/>
              <w:tabs>
                <w:tab w:val="num" w:pos="0"/>
              </w:tabs>
              <w:rPr>
                <w:rFonts w:asciiTheme="minorHAnsi" w:hAnsiTheme="minorHAnsi"/>
                <w:sz w:val="20"/>
                <w:szCs w:val="16"/>
              </w:rPr>
            </w:pPr>
            <w:r w:rsidRPr="00A52D36">
              <w:rPr>
                <w:rFonts w:asciiTheme="minorHAnsi" w:hAnsiTheme="minorHAnsi"/>
                <w:sz w:val="20"/>
                <w:szCs w:val="16"/>
              </w:rPr>
              <w:t>Corridors with more capacity</w:t>
            </w:r>
          </w:p>
          <w:p w:rsidR="00B54707" w:rsidRPr="00A52D36" w:rsidRDefault="00B54707" w:rsidP="00A52D36">
            <w:pPr>
              <w:keepNext/>
              <w:tabs>
                <w:tab w:val="num" w:pos="0"/>
              </w:tabs>
              <w:rPr>
                <w:rFonts w:asciiTheme="minorHAnsi" w:hAnsiTheme="minorHAnsi"/>
                <w:sz w:val="20"/>
                <w:szCs w:val="16"/>
              </w:rPr>
            </w:pPr>
            <w:r w:rsidRPr="00A52D36">
              <w:rPr>
                <w:rFonts w:asciiTheme="minorHAnsi" w:hAnsiTheme="minorHAnsi"/>
                <w:sz w:val="20"/>
                <w:szCs w:val="16"/>
              </w:rPr>
              <w:t>Higher quality services</w:t>
            </w:r>
          </w:p>
        </w:tc>
        <w:tc>
          <w:tcPr>
            <w:tcW w:w="2394" w:type="dxa"/>
          </w:tcPr>
          <w:p w:rsidR="00B54707" w:rsidRPr="00A52D36" w:rsidRDefault="00B54707" w:rsidP="00A52D36">
            <w:pPr>
              <w:keepNext/>
              <w:tabs>
                <w:tab w:val="num" w:pos="0"/>
              </w:tabs>
              <w:jc w:val="center"/>
              <w:rPr>
                <w:rFonts w:asciiTheme="minorHAnsi" w:hAnsiTheme="minorHAnsi"/>
                <w:sz w:val="20"/>
                <w:szCs w:val="16"/>
              </w:rPr>
            </w:pPr>
            <w:r w:rsidRPr="00A52D36">
              <w:rPr>
                <w:rFonts w:asciiTheme="minorHAnsi" w:hAnsiTheme="minorHAnsi"/>
                <w:sz w:val="20"/>
                <w:szCs w:val="16"/>
              </w:rPr>
              <w:t>1,045,000 –</w:t>
            </w:r>
          </w:p>
          <w:p w:rsidR="00B54707" w:rsidRPr="00A52D36" w:rsidRDefault="00B54707" w:rsidP="00A52D36">
            <w:pPr>
              <w:keepNext/>
              <w:tabs>
                <w:tab w:val="num" w:pos="0"/>
              </w:tabs>
              <w:jc w:val="center"/>
              <w:rPr>
                <w:rFonts w:asciiTheme="minorHAnsi" w:hAnsiTheme="minorHAnsi"/>
                <w:sz w:val="20"/>
                <w:szCs w:val="16"/>
              </w:rPr>
            </w:pPr>
            <w:r w:rsidRPr="00A52D36">
              <w:rPr>
                <w:rFonts w:asciiTheme="minorHAnsi" w:hAnsiTheme="minorHAnsi"/>
                <w:sz w:val="20"/>
                <w:szCs w:val="16"/>
              </w:rPr>
              <w:t>2,050,000</w:t>
            </w:r>
          </w:p>
        </w:tc>
      </w:tr>
      <w:tr w:rsidR="00B54707" w:rsidRPr="00A52D36" w:rsidTr="00EB4908">
        <w:tc>
          <w:tcPr>
            <w:tcW w:w="2394" w:type="dxa"/>
          </w:tcPr>
          <w:p w:rsidR="00B54707" w:rsidRPr="00A52D36" w:rsidRDefault="00B54707" w:rsidP="00A52D36">
            <w:pPr>
              <w:keepNext/>
              <w:tabs>
                <w:tab w:val="num" w:pos="0"/>
              </w:tabs>
              <w:rPr>
                <w:rFonts w:asciiTheme="minorHAnsi" w:hAnsiTheme="minorHAnsi"/>
                <w:b/>
                <w:sz w:val="20"/>
                <w:szCs w:val="16"/>
              </w:rPr>
            </w:pPr>
            <w:r w:rsidRPr="00A52D36">
              <w:rPr>
                <w:rFonts w:asciiTheme="minorHAnsi" w:hAnsiTheme="minorHAnsi"/>
                <w:b/>
                <w:sz w:val="20"/>
                <w:szCs w:val="16"/>
              </w:rPr>
              <w:t>Preserve current business</w:t>
            </w:r>
          </w:p>
        </w:tc>
        <w:tc>
          <w:tcPr>
            <w:tcW w:w="2394" w:type="dxa"/>
          </w:tcPr>
          <w:p w:rsidR="00B54707" w:rsidRPr="00A52D36" w:rsidRDefault="00B54707" w:rsidP="00A52D36">
            <w:pPr>
              <w:keepNext/>
              <w:tabs>
                <w:tab w:val="num" w:pos="0"/>
              </w:tabs>
              <w:rPr>
                <w:rFonts w:asciiTheme="minorHAnsi" w:hAnsiTheme="minorHAnsi"/>
                <w:sz w:val="20"/>
                <w:szCs w:val="16"/>
              </w:rPr>
            </w:pPr>
            <w:r w:rsidRPr="00A52D36">
              <w:rPr>
                <w:rFonts w:asciiTheme="minorHAnsi" w:hAnsiTheme="minorHAnsi"/>
                <w:sz w:val="20"/>
                <w:szCs w:val="16"/>
              </w:rPr>
              <w:t>Reliable lines</w:t>
            </w:r>
          </w:p>
          <w:p w:rsidR="00B54707" w:rsidRPr="00A52D36" w:rsidRDefault="00B54707" w:rsidP="00A52D36">
            <w:pPr>
              <w:keepNext/>
              <w:tabs>
                <w:tab w:val="num" w:pos="0"/>
              </w:tabs>
              <w:rPr>
                <w:rFonts w:asciiTheme="minorHAnsi" w:hAnsiTheme="minorHAnsi"/>
                <w:sz w:val="20"/>
                <w:szCs w:val="16"/>
              </w:rPr>
            </w:pPr>
            <w:r w:rsidRPr="00A52D36">
              <w:rPr>
                <w:rFonts w:asciiTheme="minorHAnsi" w:hAnsiTheme="minorHAnsi"/>
                <w:sz w:val="20"/>
                <w:szCs w:val="16"/>
              </w:rPr>
              <w:t>Reliable rolling stock</w:t>
            </w:r>
          </w:p>
        </w:tc>
        <w:tc>
          <w:tcPr>
            <w:tcW w:w="2394" w:type="dxa"/>
          </w:tcPr>
          <w:p w:rsidR="00B54707" w:rsidRPr="00A52D36" w:rsidRDefault="00B54707" w:rsidP="00A52D36">
            <w:pPr>
              <w:keepNext/>
              <w:tabs>
                <w:tab w:val="num" w:pos="0"/>
              </w:tabs>
              <w:rPr>
                <w:rFonts w:asciiTheme="minorHAnsi" w:hAnsiTheme="minorHAnsi"/>
                <w:sz w:val="20"/>
                <w:szCs w:val="16"/>
              </w:rPr>
            </w:pPr>
            <w:r w:rsidRPr="00A52D36">
              <w:rPr>
                <w:rFonts w:asciiTheme="minorHAnsi" w:hAnsiTheme="minorHAnsi"/>
                <w:sz w:val="20"/>
                <w:szCs w:val="16"/>
              </w:rPr>
              <w:t>Full capacity of existing network and rolling stock</w:t>
            </w:r>
          </w:p>
        </w:tc>
        <w:tc>
          <w:tcPr>
            <w:tcW w:w="2394" w:type="dxa"/>
          </w:tcPr>
          <w:p w:rsidR="00B54707" w:rsidRPr="00A52D36" w:rsidRDefault="00B54707" w:rsidP="00A52D36">
            <w:pPr>
              <w:keepNext/>
              <w:tabs>
                <w:tab w:val="num" w:pos="0"/>
              </w:tabs>
              <w:jc w:val="center"/>
              <w:rPr>
                <w:rFonts w:asciiTheme="minorHAnsi" w:hAnsiTheme="minorHAnsi"/>
                <w:sz w:val="20"/>
                <w:szCs w:val="16"/>
              </w:rPr>
            </w:pPr>
            <w:r w:rsidRPr="00A52D36">
              <w:rPr>
                <w:rFonts w:asciiTheme="minorHAnsi" w:hAnsiTheme="minorHAnsi"/>
                <w:sz w:val="20"/>
                <w:szCs w:val="16"/>
              </w:rPr>
              <w:t>1,045,000</w:t>
            </w:r>
          </w:p>
        </w:tc>
      </w:tr>
      <w:tr w:rsidR="00B54707" w:rsidRPr="00A52D36" w:rsidTr="00EB4908">
        <w:tc>
          <w:tcPr>
            <w:tcW w:w="2394" w:type="dxa"/>
          </w:tcPr>
          <w:p w:rsidR="00B54707" w:rsidRPr="00A52D36" w:rsidRDefault="00B54707" w:rsidP="00A52D36">
            <w:pPr>
              <w:keepNext/>
              <w:tabs>
                <w:tab w:val="num" w:pos="0"/>
              </w:tabs>
              <w:rPr>
                <w:rFonts w:asciiTheme="minorHAnsi" w:hAnsiTheme="minorHAnsi"/>
                <w:b/>
                <w:sz w:val="20"/>
                <w:szCs w:val="16"/>
              </w:rPr>
            </w:pPr>
            <w:r w:rsidRPr="00A52D36">
              <w:rPr>
                <w:rFonts w:asciiTheme="minorHAnsi" w:hAnsiTheme="minorHAnsi"/>
                <w:b/>
                <w:sz w:val="20"/>
                <w:szCs w:val="16"/>
              </w:rPr>
              <w:t>Focus on selected lines of business</w:t>
            </w:r>
          </w:p>
        </w:tc>
        <w:tc>
          <w:tcPr>
            <w:tcW w:w="2394" w:type="dxa"/>
          </w:tcPr>
          <w:p w:rsidR="00B54707" w:rsidRPr="00A52D36" w:rsidRDefault="00B54707" w:rsidP="00A52D36">
            <w:pPr>
              <w:keepNext/>
              <w:tabs>
                <w:tab w:val="num" w:pos="0"/>
              </w:tabs>
              <w:rPr>
                <w:rFonts w:asciiTheme="minorHAnsi" w:hAnsiTheme="minorHAnsi"/>
                <w:sz w:val="20"/>
                <w:szCs w:val="16"/>
              </w:rPr>
            </w:pPr>
            <w:r w:rsidRPr="00A52D36">
              <w:rPr>
                <w:rFonts w:asciiTheme="minorHAnsi" w:hAnsiTheme="minorHAnsi"/>
                <w:sz w:val="20"/>
                <w:szCs w:val="16"/>
              </w:rPr>
              <w:t>Reliable lines on selected routes</w:t>
            </w:r>
          </w:p>
          <w:p w:rsidR="00B54707" w:rsidRPr="00A52D36" w:rsidRDefault="00B54707" w:rsidP="00A52D36">
            <w:pPr>
              <w:keepNext/>
              <w:tabs>
                <w:tab w:val="num" w:pos="0"/>
              </w:tabs>
              <w:rPr>
                <w:rFonts w:asciiTheme="minorHAnsi" w:hAnsiTheme="minorHAnsi"/>
                <w:sz w:val="20"/>
                <w:szCs w:val="16"/>
              </w:rPr>
            </w:pPr>
            <w:r w:rsidRPr="00A52D36">
              <w:rPr>
                <w:rFonts w:asciiTheme="minorHAnsi" w:hAnsiTheme="minorHAnsi"/>
                <w:sz w:val="20"/>
                <w:szCs w:val="16"/>
              </w:rPr>
              <w:t>Acceptable services on remaining routes</w:t>
            </w:r>
          </w:p>
        </w:tc>
        <w:tc>
          <w:tcPr>
            <w:tcW w:w="2394" w:type="dxa"/>
          </w:tcPr>
          <w:p w:rsidR="00B54707" w:rsidRPr="00A52D36" w:rsidRDefault="00B54707" w:rsidP="00A52D36">
            <w:pPr>
              <w:keepNext/>
              <w:tabs>
                <w:tab w:val="num" w:pos="0"/>
              </w:tabs>
              <w:rPr>
                <w:rFonts w:asciiTheme="minorHAnsi" w:hAnsiTheme="minorHAnsi"/>
                <w:sz w:val="20"/>
                <w:szCs w:val="16"/>
              </w:rPr>
            </w:pPr>
            <w:r w:rsidRPr="00A52D36">
              <w:rPr>
                <w:rFonts w:asciiTheme="minorHAnsi" w:hAnsiTheme="minorHAnsi"/>
                <w:sz w:val="20"/>
                <w:szCs w:val="16"/>
              </w:rPr>
              <w:t>Reliable railway transport on lines important for commercial and public interest</w:t>
            </w:r>
          </w:p>
        </w:tc>
        <w:tc>
          <w:tcPr>
            <w:tcW w:w="2394" w:type="dxa"/>
          </w:tcPr>
          <w:p w:rsidR="00B54707" w:rsidRPr="00A52D36" w:rsidRDefault="00B54707" w:rsidP="00A52D36">
            <w:pPr>
              <w:keepNext/>
              <w:tabs>
                <w:tab w:val="num" w:pos="0"/>
              </w:tabs>
              <w:jc w:val="center"/>
              <w:rPr>
                <w:rFonts w:asciiTheme="minorHAnsi" w:hAnsiTheme="minorHAnsi"/>
                <w:sz w:val="20"/>
                <w:szCs w:val="16"/>
              </w:rPr>
            </w:pPr>
            <w:r w:rsidRPr="00A52D36">
              <w:rPr>
                <w:rFonts w:asciiTheme="minorHAnsi" w:hAnsiTheme="minorHAnsi"/>
                <w:sz w:val="20"/>
                <w:szCs w:val="16"/>
              </w:rPr>
              <w:t>700,000</w:t>
            </w:r>
          </w:p>
        </w:tc>
      </w:tr>
      <w:tr w:rsidR="00B54707" w:rsidRPr="00A52D36" w:rsidTr="00EB4908">
        <w:tc>
          <w:tcPr>
            <w:tcW w:w="2394" w:type="dxa"/>
          </w:tcPr>
          <w:p w:rsidR="00B54707" w:rsidRPr="00A52D36" w:rsidRDefault="00B54707" w:rsidP="00DE274C">
            <w:pPr>
              <w:tabs>
                <w:tab w:val="num" w:pos="0"/>
              </w:tabs>
              <w:rPr>
                <w:rFonts w:asciiTheme="minorHAnsi" w:hAnsiTheme="minorHAnsi"/>
                <w:b/>
                <w:sz w:val="20"/>
                <w:szCs w:val="16"/>
              </w:rPr>
            </w:pPr>
            <w:r w:rsidRPr="00A52D36">
              <w:rPr>
                <w:rFonts w:asciiTheme="minorHAnsi" w:hAnsiTheme="minorHAnsi"/>
                <w:b/>
                <w:sz w:val="20"/>
                <w:szCs w:val="16"/>
              </w:rPr>
              <w:t>Continuous reduction of business</w:t>
            </w:r>
          </w:p>
        </w:tc>
        <w:tc>
          <w:tcPr>
            <w:tcW w:w="2394" w:type="dxa"/>
          </w:tcPr>
          <w:p w:rsidR="00B54707" w:rsidRPr="00A52D36" w:rsidRDefault="00B54707" w:rsidP="00DE274C">
            <w:pPr>
              <w:tabs>
                <w:tab w:val="num" w:pos="0"/>
              </w:tabs>
              <w:rPr>
                <w:rFonts w:asciiTheme="minorHAnsi" w:hAnsiTheme="minorHAnsi"/>
                <w:sz w:val="20"/>
                <w:szCs w:val="16"/>
              </w:rPr>
            </w:pPr>
            <w:r w:rsidRPr="00A52D36">
              <w:rPr>
                <w:rFonts w:asciiTheme="minorHAnsi" w:hAnsiTheme="minorHAnsi"/>
                <w:sz w:val="20"/>
                <w:szCs w:val="16"/>
              </w:rPr>
              <w:t>Unreliable lines and rolling stock</w:t>
            </w:r>
          </w:p>
          <w:p w:rsidR="00B54707" w:rsidRPr="00A52D36" w:rsidRDefault="00B54707" w:rsidP="00DE274C">
            <w:pPr>
              <w:tabs>
                <w:tab w:val="num" w:pos="0"/>
              </w:tabs>
              <w:rPr>
                <w:rFonts w:asciiTheme="minorHAnsi" w:hAnsiTheme="minorHAnsi"/>
                <w:sz w:val="20"/>
                <w:szCs w:val="16"/>
              </w:rPr>
            </w:pPr>
            <w:r w:rsidRPr="00A52D36">
              <w:rPr>
                <w:rFonts w:asciiTheme="minorHAnsi" w:hAnsiTheme="minorHAnsi"/>
                <w:sz w:val="20"/>
                <w:szCs w:val="16"/>
              </w:rPr>
              <w:t>Dying network</w:t>
            </w:r>
          </w:p>
        </w:tc>
        <w:tc>
          <w:tcPr>
            <w:tcW w:w="2394" w:type="dxa"/>
          </w:tcPr>
          <w:p w:rsidR="00B54707" w:rsidRPr="00A52D36" w:rsidRDefault="00B54707" w:rsidP="00DE274C">
            <w:pPr>
              <w:tabs>
                <w:tab w:val="num" w:pos="0"/>
              </w:tabs>
              <w:rPr>
                <w:rFonts w:asciiTheme="minorHAnsi" w:hAnsiTheme="minorHAnsi"/>
                <w:sz w:val="20"/>
                <w:szCs w:val="16"/>
              </w:rPr>
            </w:pPr>
            <w:r w:rsidRPr="00A52D36">
              <w:rPr>
                <w:rFonts w:asciiTheme="minorHAnsi" w:hAnsiTheme="minorHAnsi"/>
                <w:sz w:val="20"/>
                <w:szCs w:val="16"/>
              </w:rPr>
              <w:t>No serious freight and passenger transport business</w:t>
            </w:r>
          </w:p>
        </w:tc>
        <w:tc>
          <w:tcPr>
            <w:tcW w:w="2394" w:type="dxa"/>
          </w:tcPr>
          <w:p w:rsidR="00B54707" w:rsidRPr="00A52D36" w:rsidRDefault="00B54707" w:rsidP="00DE274C">
            <w:pPr>
              <w:tabs>
                <w:tab w:val="num" w:pos="0"/>
              </w:tabs>
              <w:jc w:val="center"/>
              <w:rPr>
                <w:rFonts w:asciiTheme="minorHAnsi" w:hAnsiTheme="minorHAnsi"/>
                <w:sz w:val="20"/>
                <w:szCs w:val="16"/>
              </w:rPr>
            </w:pPr>
            <w:r w:rsidRPr="00A52D36">
              <w:rPr>
                <w:rFonts w:asciiTheme="minorHAnsi" w:hAnsiTheme="minorHAnsi"/>
                <w:sz w:val="20"/>
                <w:szCs w:val="16"/>
              </w:rPr>
              <w:t>&gt;700,000</w:t>
            </w:r>
          </w:p>
        </w:tc>
      </w:tr>
      <w:bookmarkEnd w:id="147"/>
    </w:tbl>
    <w:p w:rsidR="00D82E2B" w:rsidRPr="00D82E2B" w:rsidRDefault="00D82E2B" w:rsidP="00DE274C">
      <w:pPr>
        <w:tabs>
          <w:tab w:val="num" w:pos="0"/>
        </w:tabs>
      </w:pPr>
    </w:p>
    <w:p w:rsidR="008530C1" w:rsidRPr="007777E2" w:rsidRDefault="00F449A2" w:rsidP="00DE274C">
      <w:pPr>
        <w:tabs>
          <w:tab w:val="num" w:pos="0"/>
        </w:tabs>
        <w:autoSpaceDE w:val="0"/>
        <w:autoSpaceDN w:val="0"/>
        <w:adjustRightInd w:val="0"/>
        <w:spacing w:after="120"/>
        <w:jc w:val="both"/>
      </w:pPr>
      <w:r w:rsidRPr="007777E2">
        <w:t xml:space="preserve"> </w:t>
      </w:r>
      <w:r w:rsidR="008530C1" w:rsidRPr="007777E2">
        <w:br w:type="page"/>
      </w:r>
    </w:p>
    <w:p w:rsidR="008530C1" w:rsidRPr="007777E2" w:rsidRDefault="001F55E1" w:rsidP="00963581">
      <w:pPr>
        <w:pStyle w:val="Heading1a"/>
      </w:pPr>
      <w:bookmarkStart w:id="226" w:name="_Toc244402539"/>
      <w:bookmarkStart w:id="227" w:name="_Toc253998923"/>
      <w:bookmarkStart w:id="228" w:name="_Toc282029957"/>
      <w:bookmarkStart w:id="229" w:name="_Toc205716098"/>
      <w:r>
        <w:lastRenderedPageBreak/>
        <w:t>6</w:t>
      </w:r>
      <w:r w:rsidR="008530C1" w:rsidRPr="007777E2">
        <w:t>.</w:t>
      </w:r>
      <w:r w:rsidR="008530C1" w:rsidRPr="007777E2">
        <w:tab/>
      </w:r>
      <w:bookmarkEnd w:id="226"/>
      <w:r w:rsidR="00E168C9" w:rsidRPr="007777E2">
        <w:t xml:space="preserve">Recommendations for Improving Transport </w:t>
      </w:r>
      <w:r w:rsidR="006363D9" w:rsidRPr="007777E2">
        <w:t>Se</w:t>
      </w:r>
      <w:r w:rsidR="008530C1" w:rsidRPr="007777E2">
        <w:t>ctor Performance</w:t>
      </w:r>
      <w:bookmarkEnd w:id="227"/>
      <w:bookmarkEnd w:id="228"/>
    </w:p>
    <w:p w:rsidR="00E8389B" w:rsidRPr="008710DE" w:rsidRDefault="00E8389B" w:rsidP="008710DE">
      <w:pPr>
        <w:pStyle w:val="Heading3"/>
        <w:spacing w:after="240"/>
        <w:rPr>
          <w:rFonts w:ascii="Times New Roman" w:hAnsi="Times New Roman" w:cs="Times New Roman"/>
          <w:sz w:val="24"/>
          <w:szCs w:val="24"/>
        </w:rPr>
      </w:pPr>
      <w:bookmarkStart w:id="230" w:name="_Toc282029958"/>
      <w:bookmarkStart w:id="231" w:name="_Toc130880358"/>
      <w:bookmarkStart w:id="232" w:name="_Toc257297054"/>
      <w:bookmarkStart w:id="233" w:name="_Toc257297649"/>
      <w:bookmarkStart w:id="234" w:name="_Toc257297751"/>
      <w:bookmarkStart w:id="235" w:name="_Toc253056572"/>
      <w:bookmarkEnd w:id="229"/>
      <w:r w:rsidRPr="008710DE">
        <w:rPr>
          <w:rFonts w:ascii="Times New Roman" w:hAnsi="Times New Roman" w:cs="Times New Roman"/>
          <w:sz w:val="24"/>
          <w:szCs w:val="24"/>
        </w:rPr>
        <w:t>Take Steps to Increase Logistics Performance</w:t>
      </w:r>
      <w:bookmarkEnd w:id="230"/>
    </w:p>
    <w:bookmarkEnd w:id="231"/>
    <w:bookmarkEnd w:id="232"/>
    <w:bookmarkEnd w:id="233"/>
    <w:bookmarkEnd w:id="234"/>
    <w:p w:rsidR="00E8389B" w:rsidRPr="00E8389B" w:rsidRDefault="00E8389B" w:rsidP="00E8389B">
      <w:pPr>
        <w:numPr>
          <w:ilvl w:val="0"/>
          <w:numId w:val="7"/>
        </w:numPr>
        <w:tabs>
          <w:tab w:val="num" w:pos="0"/>
        </w:tabs>
        <w:autoSpaceDE w:val="0"/>
        <w:autoSpaceDN w:val="0"/>
        <w:adjustRightInd w:val="0"/>
        <w:spacing w:after="120"/>
        <w:ind w:left="0" w:firstLine="0"/>
        <w:jc w:val="both"/>
      </w:pPr>
      <w:r w:rsidRPr="00E8389B">
        <w:rPr>
          <w:b/>
        </w:rPr>
        <w:t xml:space="preserve">During the past twenty years, the former states of the Soviet Union have followed different development paths. </w:t>
      </w:r>
      <w:r w:rsidRPr="00E8389B">
        <w:t xml:space="preserve">While the Baltic States, now members of the EU, developed highly versatile markets for logistics services, limited progress has taken place in many parts of Central Asia.  Countries such as Belarus and Ukraine could be regarded as "partial performers," as defined in the LPI 2010 report. </w:t>
      </w:r>
      <w:fldSimple w:instr=" REF _Ref257292160 \h  \* MERGEFORMAT ">
        <w:r w:rsidR="00E85C5F" w:rsidRPr="00E85C5F">
          <w:t>Table 22</w:t>
        </w:r>
      </w:fldSimple>
      <w:r w:rsidRPr="00E8389B">
        <w:t xml:space="preserve"> illustrates these development paths and the current perceived position of Belarus.</w:t>
      </w:r>
    </w:p>
    <w:p w:rsidR="00E8389B" w:rsidRPr="00A52D36" w:rsidRDefault="00E8389B" w:rsidP="00A52D36">
      <w:pPr>
        <w:pStyle w:val="Caption"/>
        <w:keepNext/>
        <w:tabs>
          <w:tab w:val="num" w:pos="0"/>
        </w:tabs>
        <w:jc w:val="center"/>
        <w:rPr>
          <w:color w:val="auto"/>
          <w:sz w:val="22"/>
          <w:szCs w:val="22"/>
        </w:rPr>
      </w:pPr>
      <w:bookmarkStart w:id="236" w:name="_Ref257292160"/>
      <w:bookmarkStart w:id="237" w:name="_Toc264227149"/>
      <w:proofErr w:type="gramStart"/>
      <w:r w:rsidRPr="00A52D36">
        <w:rPr>
          <w:color w:val="auto"/>
          <w:sz w:val="22"/>
          <w:szCs w:val="22"/>
        </w:rPr>
        <w:t xml:space="preserve">Table </w:t>
      </w:r>
      <w:r w:rsidR="006B40AE" w:rsidRPr="00A52D36">
        <w:rPr>
          <w:color w:val="auto"/>
          <w:sz w:val="22"/>
          <w:szCs w:val="22"/>
        </w:rPr>
        <w:fldChar w:fldCharType="begin"/>
      </w:r>
      <w:r w:rsidRPr="00A52D36">
        <w:rPr>
          <w:color w:val="auto"/>
          <w:sz w:val="22"/>
          <w:szCs w:val="22"/>
        </w:rPr>
        <w:instrText xml:space="preserve"> SEQ Table \* ARABIC </w:instrText>
      </w:r>
      <w:r w:rsidR="006B40AE" w:rsidRPr="00A52D36">
        <w:rPr>
          <w:color w:val="auto"/>
          <w:sz w:val="22"/>
          <w:szCs w:val="22"/>
        </w:rPr>
        <w:fldChar w:fldCharType="separate"/>
      </w:r>
      <w:r w:rsidR="009E2C86" w:rsidRPr="00A52D36">
        <w:rPr>
          <w:color w:val="auto"/>
          <w:sz w:val="22"/>
          <w:szCs w:val="22"/>
        </w:rPr>
        <w:t>22</w:t>
      </w:r>
      <w:r w:rsidR="006B40AE" w:rsidRPr="00A52D36">
        <w:rPr>
          <w:color w:val="auto"/>
          <w:sz w:val="22"/>
          <w:szCs w:val="22"/>
        </w:rPr>
        <w:fldChar w:fldCharType="end"/>
      </w:r>
      <w:bookmarkEnd w:id="236"/>
      <w:r w:rsidRPr="00A52D36">
        <w:rPr>
          <w:color w:val="auto"/>
          <w:sz w:val="22"/>
          <w:szCs w:val="22"/>
        </w:rPr>
        <w:t>.</w:t>
      </w:r>
      <w:proofErr w:type="gramEnd"/>
      <w:r w:rsidRPr="00A52D36">
        <w:rPr>
          <w:color w:val="auto"/>
          <w:sz w:val="22"/>
          <w:szCs w:val="22"/>
        </w:rPr>
        <w:t xml:space="preserve"> Belarus Impediments of Logistics Performance</w:t>
      </w:r>
      <w:bookmarkEnd w:id="237"/>
    </w:p>
    <w:tbl>
      <w:tblPr>
        <w:tblW w:w="9789" w:type="dxa"/>
        <w:tblBorders>
          <w:top w:val="single" w:sz="4" w:space="0" w:color="000000"/>
          <w:bottom w:val="single" w:sz="4" w:space="0" w:color="000000"/>
        </w:tblBorders>
        <w:tblLayout w:type="fixed"/>
        <w:tblLook w:val="00A0"/>
      </w:tblPr>
      <w:tblGrid>
        <w:gridCol w:w="1242"/>
        <w:gridCol w:w="1836"/>
        <w:gridCol w:w="1678"/>
        <w:gridCol w:w="1677"/>
        <w:gridCol w:w="1678"/>
        <w:gridCol w:w="1678"/>
      </w:tblGrid>
      <w:tr w:rsidR="00E8389B" w:rsidRPr="00A52D36" w:rsidTr="00626B91">
        <w:tc>
          <w:tcPr>
            <w:tcW w:w="1242" w:type="dxa"/>
            <w:tcBorders>
              <w:top w:val="single" w:sz="4" w:space="0" w:color="000000"/>
              <w:bottom w:val="single" w:sz="4" w:space="0" w:color="000000"/>
              <w:right w:val="single" w:sz="4" w:space="0" w:color="000000"/>
            </w:tcBorders>
            <w:shd w:val="clear" w:color="auto" w:fill="FFFFFF" w:themeFill="background1"/>
          </w:tcPr>
          <w:p w:rsidR="00E8389B" w:rsidRPr="00A52D36" w:rsidRDefault="00E8389B" w:rsidP="00E8389B">
            <w:pPr>
              <w:autoSpaceDE w:val="0"/>
              <w:autoSpaceDN w:val="0"/>
              <w:adjustRightInd w:val="0"/>
              <w:spacing w:after="120"/>
              <w:rPr>
                <w:rFonts w:asciiTheme="minorHAnsi" w:hAnsiTheme="minorHAnsi"/>
                <w:b/>
                <w:bCs/>
                <w:iCs/>
                <w:sz w:val="18"/>
                <w:szCs w:val="16"/>
              </w:rPr>
            </w:pPr>
            <w:r w:rsidRPr="00A52D36">
              <w:rPr>
                <w:rFonts w:asciiTheme="minorHAnsi" w:hAnsiTheme="minorHAnsi"/>
                <w:b/>
                <w:bCs/>
                <w:iCs/>
                <w:sz w:val="18"/>
                <w:szCs w:val="16"/>
              </w:rPr>
              <w:t>Level of impediment</w:t>
            </w:r>
          </w:p>
        </w:tc>
        <w:tc>
          <w:tcPr>
            <w:tcW w:w="1836" w:type="dxa"/>
            <w:tcBorders>
              <w:top w:val="single" w:sz="4" w:space="0" w:color="000000"/>
              <w:left w:val="single" w:sz="4" w:space="0" w:color="000000"/>
              <w:bottom w:val="single" w:sz="4" w:space="0" w:color="000000"/>
            </w:tcBorders>
            <w:shd w:val="clear" w:color="auto" w:fill="FFFFFF" w:themeFill="background1"/>
          </w:tcPr>
          <w:p w:rsidR="00E8389B" w:rsidRPr="00A52D36" w:rsidRDefault="00E8389B" w:rsidP="00E8389B">
            <w:pPr>
              <w:autoSpaceDE w:val="0"/>
              <w:autoSpaceDN w:val="0"/>
              <w:adjustRightInd w:val="0"/>
              <w:spacing w:after="120"/>
              <w:rPr>
                <w:rFonts w:asciiTheme="minorHAnsi" w:hAnsiTheme="minorHAnsi"/>
                <w:b/>
                <w:bCs/>
                <w:iCs/>
                <w:sz w:val="18"/>
                <w:szCs w:val="16"/>
              </w:rPr>
            </w:pPr>
            <w:r w:rsidRPr="00A52D36">
              <w:rPr>
                <w:rFonts w:asciiTheme="minorHAnsi" w:hAnsiTheme="minorHAnsi"/>
                <w:b/>
                <w:bCs/>
                <w:iCs/>
                <w:sz w:val="18"/>
                <w:szCs w:val="16"/>
              </w:rPr>
              <w:t>Trade related infrastructure</w:t>
            </w:r>
          </w:p>
        </w:tc>
        <w:tc>
          <w:tcPr>
            <w:tcW w:w="1678" w:type="dxa"/>
            <w:tcBorders>
              <w:top w:val="single" w:sz="4" w:space="0" w:color="000000"/>
              <w:bottom w:val="single" w:sz="4" w:space="0" w:color="000000"/>
            </w:tcBorders>
            <w:shd w:val="clear" w:color="auto" w:fill="FFFFFF" w:themeFill="background1"/>
          </w:tcPr>
          <w:p w:rsidR="00E8389B" w:rsidRPr="00A52D36" w:rsidRDefault="00E8389B" w:rsidP="00E8389B">
            <w:pPr>
              <w:autoSpaceDE w:val="0"/>
              <w:autoSpaceDN w:val="0"/>
              <w:adjustRightInd w:val="0"/>
              <w:spacing w:after="120"/>
              <w:rPr>
                <w:rFonts w:asciiTheme="minorHAnsi" w:hAnsiTheme="minorHAnsi"/>
                <w:b/>
                <w:bCs/>
                <w:iCs/>
                <w:sz w:val="18"/>
                <w:szCs w:val="16"/>
              </w:rPr>
            </w:pPr>
            <w:r w:rsidRPr="00A52D36">
              <w:rPr>
                <w:rFonts w:asciiTheme="minorHAnsi" w:hAnsiTheme="minorHAnsi"/>
                <w:b/>
                <w:bCs/>
                <w:iCs/>
                <w:sz w:val="18"/>
                <w:szCs w:val="16"/>
              </w:rPr>
              <w:t xml:space="preserve">Quality and supply of logistics services </w:t>
            </w:r>
          </w:p>
        </w:tc>
        <w:tc>
          <w:tcPr>
            <w:tcW w:w="1677" w:type="dxa"/>
            <w:tcBorders>
              <w:top w:val="single" w:sz="4" w:space="0" w:color="000000"/>
              <w:bottom w:val="single" w:sz="4" w:space="0" w:color="000000"/>
            </w:tcBorders>
            <w:shd w:val="clear" w:color="auto" w:fill="FFFFFF" w:themeFill="background1"/>
          </w:tcPr>
          <w:p w:rsidR="00E8389B" w:rsidRPr="00A52D36" w:rsidRDefault="00E8389B" w:rsidP="00E8389B">
            <w:pPr>
              <w:autoSpaceDE w:val="0"/>
              <w:autoSpaceDN w:val="0"/>
              <w:adjustRightInd w:val="0"/>
              <w:spacing w:after="120"/>
              <w:rPr>
                <w:rFonts w:asciiTheme="minorHAnsi" w:hAnsiTheme="minorHAnsi"/>
                <w:b/>
                <w:bCs/>
                <w:iCs/>
                <w:sz w:val="18"/>
                <w:szCs w:val="16"/>
              </w:rPr>
            </w:pPr>
            <w:r w:rsidRPr="00A52D36">
              <w:rPr>
                <w:rFonts w:asciiTheme="minorHAnsi" w:hAnsiTheme="minorHAnsi"/>
                <w:b/>
                <w:bCs/>
                <w:iCs/>
                <w:sz w:val="18"/>
                <w:szCs w:val="16"/>
              </w:rPr>
              <w:t>Core customs and border agency modernization</w:t>
            </w:r>
          </w:p>
        </w:tc>
        <w:tc>
          <w:tcPr>
            <w:tcW w:w="1678" w:type="dxa"/>
            <w:tcBorders>
              <w:top w:val="single" w:sz="4" w:space="0" w:color="000000"/>
              <w:bottom w:val="single" w:sz="4" w:space="0" w:color="000000"/>
            </w:tcBorders>
            <w:shd w:val="clear" w:color="auto" w:fill="FFFFFF" w:themeFill="background1"/>
          </w:tcPr>
          <w:p w:rsidR="00E8389B" w:rsidRPr="00A52D36" w:rsidRDefault="00E8389B" w:rsidP="00E8389B">
            <w:pPr>
              <w:autoSpaceDE w:val="0"/>
              <w:autoSpaceDN w:val="0"/>
              <w:adjustRightInd w:val="0"/>
              <w:spacing w:after="120"/>
              <w:rPr>
                <w:rFonts w:asciiTheme="minorHAnsi" w:hAnsiTheme="minorHAnsi"/>
                <w:b/>
                <w:bCs/>
                <w:iCs/>
                <w:sz w:val="18"/>
                <w:szCs w:val="16"/>
              </w:rPr>
            </w:pPr>
            <w:r w:rsidRPr="00A52D36">
              <w:rPr>
                <w:rFonts w:asciiTheme="minorHAnsi" w:hAnsiTheme="minorHAnsi"/>
                <w:b/>
                <w:bCs/>
                <w:iCs/>
                <w:sz w:val="18"/>
                <w:szCs w:val="16"/>
              </w:rPr>
              <w:t xml:space="preserve">Integration of border agencies </w:t>
            </w:r>
          </w:p>
        </w:tc>
        <w:tc>
          <w:tcPr>
            <w:tcW w:w="1678" w:type="dxa"/>
            <w:tcBorders>
              <w:top w:val="single" w:sz="4" w:space="0" w:color="000000"/>
              <w:bottom w:val="single" w:sz="4" w:space="0" w:color="000000"/>
            </w:tcBorders>
            <w:shd w:val="clear" w:color="auto" w:fill="FFFFFF" w:themeFill="background1"/>
          </w:tcPr>
          <w:p w:rsidR="00E8389B" w:rsidRPr="00A52D36" w:rsidRDefault="00E8389B" w:rsidP="00E8389B">
            <w:pPr>
              <w:autoSpaceDE w:val="0"/>
              <w:autoSpaceDN w:val="0"/>
              <w:adjustRightInd w:val="0"/>
              <w:spacing w:after="120"/>
              <w:rPr>
                <w:rFonts w:asciiTheme="minorHAnsi" w:hAnsiTheme="minorHAnsi"/>
                <w:b/>
                <w:bCs/>
                <w:iCs/>
                <w:sz w:val="18"/>
                <w:szCs w:val="16"/>
              </w:rPr>
            </w:pPr>
            <w:r w:rsidRPr="00A52D36">
              <w:rPr>
                <w:rFonts w:asciiTheme="minorHAnsi" w:hAnsiTheme="minorHAnsi"/>
                <w:b/>
                <w:bCs/>
                <w:iCs/>
                <w:sz w:val="18"/>
                <w:szCs w:val="16"/>
              </w:rPr>
              <w:t>Regional facilitation and transit</w:t>
            </w:r>
          </w:p>
        </w:tc>
      </w:tr>
      <w:tr w:rsidR="00E8389B" w:rsidRPr="00A52D36" w:rsidTr="00626B91">
        <w:tc>
          <w:tcPr>
            <w:tcW w:w="1242" w:type="dxa"/>
            <w:tcBorders>
              <w:top w:val="single" w:sz="4" w:space="0" w:color="000000"/>
              <w:bottom w:val="single" w:sz="4" w:space="0" w:color="000000"/>
              <w:right w:val="single" w:sz="4" w:space="0" w:color="000000"/>
            </w:tcBorders>
            <w:shd w:val="clear" w:color="auto" w:fill="auto"/>
          </w:tcPr>
          <w:p w:rsidR="00E8389B" w:rsidRPr="00A52D36" w:rsidRDefault="00E8389B" w:rsidP="00E8389B">
            <w:pPr>
              <w:autoSpaceDE w:val="0"/>
              <w:autoSpaceDN w:val="0"/>
              <w:adjustRightInd w:val="0"/>
              <w:spacing w:after="120"/>
              <w:rPr>
                <w:rFonts w:asciiTheme="minorHAnsi" w:hAnsiTheme="minorHAnsi"/>
                <w:bCs/>
                <w:sz w:val="18"/>
                <w:szCs w:val="16"/>
              </w:rPr>
            </w:pPr>
            <w:r w:rsidRPr="00A52D36">
              <w:rPr>
                <w:rFonts w:asciiTheme="minorHAnsi" w:hAnsiTheme="minorHAnsi"/>
                <w:bCs/>
                <w:sz w:val="18"/>
                <w:szCs w:val="16"/>
              </w:rPr>
              <w:t>Major</w:t>
            </w:r>
          </w:p>
        </w:tc>
        <w:tc>
          <w:tcPr>
            <w:tcW w:w="1836" w:type="dxa"/>
            <w:tcBorders>
              <w:top w:val="single" w:sz="4" w:space="0" w:color="000000"/>
              <w:left w:val="single" w:sz="4" w:space="0" w:color="000000"/>
              <w:bottom w:val="single" w:sz="4" w:space="0" w:color="000000"/>
            </w:tcBorders>
            <w:shd w:val="clear" w:color="auto" w:fill="auto"/>
          </w:tcPr>
          <w:p w:rsidR="00E8389B" w:rsidRPr="00A52D36" w:rsidRDefault="00E8389B" w:rsidP="00E8389B">
            <w:pPr>
              <w:autoSpaceDE w:val="0"/>
              <w:autoSpaceDN w:val="0"/>
              <w:adjustRightInd w:val="0"/>
              <w:spacing w:after="120"/>
              <w:rPr>
                <w:rFonts w:asciiTheme="minorHAnsi" w:hAnsiTheme="minorHAnsi"/>
                <w:bCs/>
                <w:sz w:val="18"/>
                <w:szCs w:val="16"/>
              </w:rPr>
            </w:pPr>
            <w:r w:rsidRPr="00A52D36">
              <w:rPr>
                <w:rFonts w:asciiTheme="minorHAnsi" w:hAnsiTheme="minorHAnsi"/>
                <w:bCs/>
                <w:sz w:val="18"/>
                <w:szCs w:val="16"/>
              </w:rPr>
              <w:t>Insufficient Class A &amp; B and temperature controlled warehouse space</w:t>
            </w:r>
          </w:p>
        </w:tc>
        <w:tc>
          <w:tcPr>
            <w:tcW w:w="1678" w:type="dxa"/>
            <w:tcBorders>
              <w:top w:val="single" w:sz="4" w:space="0" w:color="000000"/>
              <w:bottom w:val="single" w:sz="4" w:space="0" w:color="000000"/>
            </w:tcBorders>
            <w:shd w:val="clear" w:color="auto" w:fill="auto"/>
          </w:tcPr>
          <w:p w:rsidR="00E8389B" w:rsidRPr="00A52D36" w:rsidRDefault="00E8389B" w:rsidP="00E8389B">
            <w:pPr>
              <w:autoSpaceDE w:val="0"/>
              <w:autoSpaceDN w:val="0"/>
              <w:adjustRightInd w:val="0"/>
              <w:spacing w:after="120"/>
              <w:rPr>
                <w:rFonts w:asciiTheme="minorHAnsi" w:hAnsiTheme="minorHAnsi"/>
                <w:bCs/>
                <w:sz w:val="18"/>
                <w:szCs w:val="16"/>
              </w:rPr>
            </w:pPr>
            <w:r w:rsidRPr="00A52D36">
              <w:rPr>
                <w:rFonts w:asciiTheme="minorHAnsi" w:hAnsiTheme="minorHAnsi"/>
                <w:bCs/>
                <w:sz w:val="18"/>
                <w:szCs w:val="16"/>
              </w:rPr>
              <w:t>Weak 3PL/advanced services</w:t>
            </w:r>
          </w:p>
          <w:p w:rsidR="00E8389B" w:rsidRPr="00A52D36" w:rsidRDefault="00E8389B" w:rsidP="00E8389B">
            <w:pPr>
              <w:autoSpaceDE w:val="0"/>
              <w:autoSpaceDN w:val="0"/>
              <w:adjustRightInd w:val="0"/>
              <w:spacing w:after="120"/>
              <w:rPr>
                <w:rFonts w:asciiTheme="minorHAnsi" w:hAnsiTheme="minorHAnsi"/>
                <w:sz w:val="18"/>
                <w:szCs w:val="16"/>
              </w:rPr>
            </w:pPr>
            <w:r w:rsidRPr="00A52D36">
              <w:rPr>
                <w:rFonts w:asciiTheme="minorHAnsi" w:hAnsiTheme="minorHAnsi"/>
                <w:sz w:val="18"/>
                <w:szCs w:val="16"/>
              </w:rPr>
              <w:t xml:space="preserve">Insufficient Consolidated / </w:t>
            </w:r>
            <w:proofErr w:type="spellStart"/>
            <w:r w:rsidRPr="00A52D36">
              <w:rPr>
                <w:rFonts w:asciiTheme="minorHAnsi" w:hAnsiTheme="minorHAnsi"/>
                <w:sz w:val="18"/>
                <w:szCs w:val="16"/>
              </w:rPr>
              <w:t>groupage</w:t>
            </w:r>
            <w:proofErr w:type="spellEnd"/>
            <w:r w:rsidRPr="00A52D36">
              <w:rPr>
                <w:rFonts w:asciiTheme="minorHAnsi" w:hAnsiTheme="minorHAnsi"/>
                <w:sz w:val="18"/>
                <w:szCs w:val="16"/>
              </w:rPr>
              <w:t xml:space="preserve"> (LTL services)</w:t>
            </w:r>
            <w:r w:rsidRPr="00A52D36">
              <w:rPr>
                <w:rFonts w:asciiTheme="minorHAnsi" w:hAnsiTheme="minorHAnsi"/>
                <w:sz w:val="18"/>
                <w:szCs w:val="16"/>
              </w:rPr>
              <w:br/>
            </w:r>
          </w:p>
          <w:p w:rsidR="00E8389B" w:rsidRPr="00A52D36" w:rsidRDefault="00E8389B" w:rsidP="00E8389B">
            <w:pPr>
              <w:autoSpaceDE w:val="0"/>
              <w:autoSpaceDN w:val="0"/>
              <w:adjustRightInd w:val="0"/>
              <w:spacing w:after="120"/>
              <w:rPr>
                <w:rFonts w:asciiTheme="minorHAnsi" w:hAnsiTheme="minorHAnsi"/>
                <w:sz w:val="18"/>
                <w:szCs w:val="16"/>
              </w:rPr>
            </w:pPr>
            <w:r w:rsidRPr="00A52D36">
              <w:rPr>
                <w:rFonts w:asciiTheme="minorHAnsi" w:hAnsiTheme="minorHAnsi"/>
                <w:sz w:val="18"/>
                <w:szCs w:val="16"/>
              </w:rPr>
              <w:t xml:space="preserve">Marginal FDI in the sector </w:t>
            </w:r>
          </w:p>
        </w:tc>
        <w:tc>
          <w:tcPr>
            <w:tcW w:w="1677" w:type="dxa"/>
            <w:tcBorders>
              <w:top w:val="single" w:sz="4" w:space="0" w:color="000000"/>
              <w:bottom w:val="single" w:sz="4" w:space="0" w:color="000000"/>
            </w:tcBorders>
            <w:shd w:val="clear" w:color="auto" w:fill="auto"/>
          </w:tcPr>
          <w:p w:rsidR="00E8389B" w:rsidRPr="00A52D36" w:rsidRDefault="00790875" w:rsidP="00E8389B">
            <w:pPr>
              <w:autoSpaceDE w:val="0"/>
              <w:autoSpaceDN w:val="0"/>
              <w:adjustRightInd w:val="0"/>
              <w:spacing w:after="120"/>
              <w:rPr>
                <w:rFonts w:asciiTheme="minorHAnsi" w:hAnsiTheme="minorHAnsi"/>
                <w:bCs/>
                <w:sz w:val="18"/>
                <w:szCs w:val="16"/>
              </w:rPr>
            </w:pPr>
            <w:r w:rsidRPr="00A52D36">
              <w:rPr>
                <w:rFonts w:asciiTheme="minorHAnsi" w:hAnsiTheme="minorHAnsi"/>
                <w:bCs/>
                <w:sz w:val="18"/>
                <w:szCs w:val="16"/>
              </w:rPr>
              <w:t>Mainly p</w:t>
            </w:r>
            <w:r w:rsidR="00E8389B" w:rsidRPr="00A52D36">
              <w:rPr>
                <w:rFonts w:asciiTheme="minorHAnsi" w:hAnsiTheme="minorHAnsi"/>
                <w:bCs/>
                <w:sz w:val="18"/>
                <w:szCs w:val="16"/>
              </w:rPr>
              <w:t>aper based  clearance in imports</w:t>
            </w:r>
            <w:r w:rsidRPr="00A52D36">
              <w:rPr>
                <w:rFonts w:asciiTheme="minorHAnsi" w:hAnsiTheme="minorHAnsi"/>
                <w:bCs/>
                <w:sz w:val="18"/>
                <w:szCs w:val="16"/>
              </w:rPr>
              <w:t xml:space="preserve"> with progressive introduction of electronic declaration</w:t>
            </w:r>
          </w:p>
        </w:tc>
        <w:tc>
          <w:tcPr>
            <w:tcW w:w="1678" w:type="dxa"/>
            <w:tcBorders>
              <w:top w:val="single" w:sz="4" w:space="0" w:color="000000"/>
              <w:bottom w:val="single" w:sz="4" w:space="0" w:color="000000"/>
            </w:tcBorders>
            <w:shd w:val="clear" w:color="auto" w:fill="auto"/>
          </w:tcPr>
          <w:p w:rsidR="00E8389B" w:rsidRPr="00A52D36" w:rsidRDefault="00E8389B" w:rsidP="00E8389B">
            <w:pPr>
              <w:autoSpaceDE w:val="0"/>
              <w:autoSpaceDN w:val="0"/>
              <w:adjustRightInd w:val="0"/>
              <w:spacing w:after="120"/>
              <w:rPr>
                <w:rFonts w:asciiTheme="minorHAnsi" w:hAnsiTheme="minorHAnsi"/>
                <w:bCs/>
                <w:sz w:val="18"/>
                <w:szCs w:val="16"/>
              </w:rPr>
            </w:pPr>
            <w:r w:rsidRPr="00A52D36">
              <w:rPr>
                <w:rFonts w:asciiTheme="minorHAnsi" w:hAnsiTheme="minorHAnsi"/>
                <w:bCs/>
                <w:sz w:val="18"/>
                <w:szCs w:val="16"/>
              </w:rPr>
              <w:t xml:space="preserve">Goods technical certification, sanitary, </w:t>
            </w:r>
            <w:proofErr w:type="spellStart"/>
            <w:r w:rsidRPr="00A52D36">
              <w:rPr>
                <w:rFonts w:asciiTheme="minorHAnsi" w:hAnsiTheme="minorHAnsi"/>
                <w:bCs/>
                <w:sz w:val="18"/>
                <w:szCs w:val="16"/>
              </w:rPr>
              <w:t>Phytosanitary</w:t>
            </w:r>
            <w:proofErr w:type="spellEnd"/>
            <w:r w:rsidRPr="00A52D36">
              <w:rPr>
                <w:rFonts w:asciiTheme="minorHAnsi" w:hAnsiTheme="minorHAnsi"/>
                <w:bCs/>
                <w:sz w:val="18"/>
                <w:szCs w:val="16"/>
              </w:rPr>
              <w:t xml:space="preserve"> certification / inspection  </w:t>
            </w:r>
          </w:p>
        </w:tc>
        <w:tc>
          <w:tcPr>
            <w:tcW w:w="1678" w:type="dxa"/>
            <w:tcBorders>
              <w:top w:val="single" w:sz="4" w:space="0" w:color="000000"/>
              <w:bottom w:val="single" w:sz="4" w:space="0" w:color="000000"/>
            </w:tcBorders>
            <w:shd w:val="clear" w:color="auto" w:fill="auto"/>
          </w:tcPr>
          <w:p w:rsidR="00E8389B" w:rsidRPr="00A52D36" w:rsidRDefault="00E8389B" w:rsidP="00E8389B">
            <w:pPr>
              <w:autoSpaceDE w:val="0"/>
              <w:autoSpaceDN w:val="0"/>
              <w:adjustRightInd w:val="0"/>
              <w:spacing w:after="120"/>
              <w:rPr>
                <w:rFonts w:asciiTheme="minorHAnsi" w:hAnsiTheme="minorHAnsi"/>
                <w:bCs/>
                <w:sz w:val="18"/>
                <w:szCs w:val="16"/>
              </w:rPr>
            </w:pPr>
            <w:r w:rsidRPr="00A52D36">
              <w:rPr>
                <w:rFonts w:asciiTheme="minorHAnsi" w:hAnsiTheme="minorHAnsi"/>
                <w:bCs/>
                <w:sz w:val="18"/>
                <w:szCs w:val="16"/>
              </w:rPr>
              <w:t>Zero tolerance in customs: potentially a major problem in the Customs Union</w:t>
            </w:r>
          </w:p>
        </w:tc>
      </w:tr>
      <w:tr w:rsidR="00E8389B" w:rsidRPr="00A52D36" w:rsidTr="00626B91">
        <w:tc>
          <w:tcPr>
            <w:tcW w:w="1242" w:type="dxa"/>
            <w:tcBorders>
              <w:top w:val="single" w:sz="4" w:space="0" w:color="000000"/>
              <w:bottom w:val="single" w:sz="4" w:space="0" w:color="000000"/>
              <w:right w:val="single" w:sz="4" w:space="0" w:color="000000"/>
            </w:tcBorders>
            <w:shd w:val="clear" w:color="auto" w:fill="auto"/>
          </w:tcPr>
          <w:p w:rsidR="00E8389B" w:rsidRPr="00A52D36" w:rsidRDefault="00E8389B" w:rsidP="00E8389B">
            <w:pPr>
              <w:autoSpaceDE w:val="0"/>
              <w:autoSpaceDN w:val="0"/>
              <w:adjustRightInd w:val="0"/>
              <w:spacing w:after="120"/>
              <w:rPr>
                <w:rFonts w:asciiTheme="minorHAnsi" w:hAnsiTheme="minorHAnsi"/>
                <w:bCs/>
                <w:sz w:val="18"/>
                <w:szCs w:val="16"/>
              </w:rPr>
            </w:pPr>
            <w:r w:rsidRPr="00A52D36">
              <w:rPr>
                <w:rFonts w:asciiTheme="minorHAnsi" w:hAnsiTheme="minorHAnsi"/>
                <w:bCs/>
                <w:sz w:val="18"/>
                <w:szCs w:val="16"/>
              </w:rPr>
              <w:t>Medium</w:t>
            </w:r>
          </w:p>
        </w:tc>
        <w:tc>
          <w:tcPr>
            <w:tcW w:w="1836" w:type="dxa"/>
            <w:tcBorders>
              <w:top w:val="single" w:sz="4" w:space="0" w:color="000000"/>
              <w:left w:val="single" w:sz="4" w:space="0" w:color="000000"/>
              <w:bottom w:val="single" w:sz="4" w:space="0" w:color="000000"/>
            </w:tcBorders>
            <w:shd w:val="clear" w:color="auto" w:fill="auto"/>
          </w:tcPr>
          <w:p w:rsidR="00E8389B" w:rsidRPr="00A52D36" w:rsidRDefault="00E8389B" w:rsidP="00E8389B">
            <w:pPr>
              <w:autoSpaceDE w:val="0"/>
              <w:autoSpaceDN w:val="0"/>
              <w:adjustRightInd w:val="0"/>
              <w:spacing w:after="120"/>
              <w:rPr>
                <w:rFonts w:asciiTheme="minorHAnsi" w:hAnsiTheme="minorHAnsi"/>
                <w:bCs/>
                <w:sz w:val="18"/>
                <w:szCs w:val="16"/>
              </w:rPr>
            </w:pPr>
            <w:r w:rsidRPr="00A52D36">
              <w:rPr>
                <w:rFonts w:asciiTheme="minorHAnsi" w:hAnsiTheme="minorHAnsi"/>
                <w:bCs/>
                <w:sz w:val="18"/>
                <w:szCs w:val="16"/>
              </w:rPr>
              <w:t>Rail throughput</w:t>
            </w:r>
          </w:p>
          <w:p w:rsidR="00E8389B" w:rsidRPr="00A52D36" w:rsidRDefault="00E8389B" w:rsidP="00E8389B">
            <w:pPr>
              <w:autoSpaceDE w:val="0"/>
              <w:autoSpaceDN w:val="0"/>
              <w:adjustRightInd w:val="0"/>
              <w:spacing w:after="120"/>
              <w:rPr>
                <w:rFonts w:asciiTheme="minorHAnsi" w:hAnsiTheme="minorHAnsi"/>
                <w:sz w:val="18"/>
                <w:szCs w:val="16"/>
              </w:rPr>
            </w:pPr>
            <w:r w:rsidRPr="00A52D36">
              <w:rPr>
                <w:rFonts w:asciiTheme="minorHAnsi" w:hAnsiTheme="minorHAnsi"/>
                <w:sz w:val="18"/>
                <w:szCs w:val="16"/>
              </w:rPr>
              <w:t>Telecommunications</w:t>
            </w:r>
          </w:p>
        </w:tc>
        <w:tc>
          <w:tcPr>
            <w:tcW w:w="1678" w:type="dxa"/>
            <w:tcBorders>
              <w:top w:val="single" w:sz="4" w:space="0" w:color="000000"/>
              <w:bottom w:val="single" w:sz="4" w:space="0" w:color="000000"/>
            </w:tcBorders>
            <w:shd w:val="clear" w:color="auto" w:fill="auto"/>
          </w:tcPr>
          <w:p w:rsidR="00E8389B" w:rsidRPr="00A52D36" w:rsidRDefault="00E8389B" w:rsidP="00E8389B">
            <w:pPr>
              <w:autoSpaceDE w:val="0"/>
              <w:autoSpaceDN w:val="0"/>
              <w:adjustRightInd w:val="0"/>
              <w:spacing w:after="120"/>
              <w:rPr>
                <w:rFonts w:asciiTheme="minorHAnsi" w:hAnsiTheme="minorHAnsi"/>
                <w:bCs/>
                <w:sz w:val="18"/>
                <w:szCs w:val="16"/>
              </w:rPr>
            </w:pPr>
            <w:r w:rsidRPr="00A52D36">
              <w:rPr>
                <w:rFonts w:asciiTheme="minorHAnsi" w:hAnsiTheme="minorHAnsi"/>
                <w:bCs/>
                <w:sz w:val="18"/>
                <w:szCs w:val="16"/>
              </w:rPr>
              <w:t>Lack of direct access to maritime transport</w:t>
            </w:r>
          </w:p>
          <w:p w:rsidR="00E8389B" w:rsidRPr="00A52D36" w:rsidRDefault="00E8389B" w:rsidP="00E8389B">
            <w:pPr>
              <w:autoSpaceDE w:val="0"/>
              <w:autoSpaceDN w:val="0"/>
              <w:adjustRightInd w:val="0"/>
              <w:spacing w:after="120"/>
              <w:rPr>
                <w:rFonts w:asciiTheme="minorHAnsi" w:hAnsiTheme="minorHAnsi"/>
                <w:sz w:val="18"/>
                <w:szCs w:val="16"/>
              </w:rPr>
            </w:pPr>
            <w:r w:rsidRPr="00A52D36">
              <w:rPr>
                <w:rFonts w:asciiTheme="minorHAnsi" w:hAnsiTheme="minorHAnsi"/>
                <w:sz w:val="18"/>
                <w:szCs w:val="16"/>
              </w:rPr>
              <w:t>Inefficient rail wagon reservation systems</w:t>
            </w:r>
          </w:p>
        </w:tc>
        <w:tc>
          <w:tcPr>
            <w:tcW w:w="1677" w:type="dxa"/>
            <w:tcBorders>
              <w:top w:val="single" w:sz="4" w:space="0" w:color="000000"/>
              <w:bottom w:val="single" w:sz="4" w:space="0" w:color="000000"/>
            </w:tcBorders>
            <w:shd w:val="clear" w:color="auto" w:fill="auto"/>
          </w:tcPr>
          <w:p w:rsidR="00E8389B" w:rsidRPr="00A52D36" w:rsidRDefault="00E8389B" w:rsidP="00E8389B">
            <w:pPr>
              <w:autoSpaceDE w:val="0"/>
              <w:autoSpaceDN w:val="0"/>
              <w:adjustRightInd w:val="0"/>
              <w:spacing w:after="120"/>
              <w:rPr>
                <w:rFonts w:asciiTheme="minorHAnsi" w:hAnsiTheme="minorHAnsi"/>
                <w:bCs/>
                <w:sz w:val="18"/>
                <w:szCs w:val="16"/>
              </w:rPr>
            </w:pPr>
          </w:p>
        </w:tc>
        <w:tc>
          <w:tcPr>
            <w:tcW w:w="1678" w:type="dxa"/>
            <w:tcBorders>
              <w:top w:val="single" w:sz="4" w:space="0" w:color="000000"/>
              <w:bottom w:val="single" w:sz="4" w:space="0" w:color="000000"/>
            </w:tcBorders>
            <w:shd w:val="clear" w:color="auto" w:fill="auto"/>
          </w:tcPr>
          <w:p w:rsidR="00E8389B" w:rsidRPr="00A52D36" w:rsidRDefault="009B1944" w:rsidP="009B1944">
            <w:pPr>
              <w:autoSpaceDE w:val="0"/>
              <w:autoSpaceDN w:val="0"/>
              <w:adjustRightInd w:val="0"/>
              <w:spacing w:after="120"/>
              <w:rPr>
                <w:rFonts w:asciiTheme="minorHAnsi" w:hAnsiTheme="minorHAnsi"/>
                <w:bCs/>
                <w:sz w:val="18"/>
                <w:szCs w:val="16"/>
              </w:rPr>
            </w:pPr>
            <w:r w:rsidRPr="00A52D36">
              <w:rPr>
                <w:rFonts w:asciiTheme="minorHAnsi" w:hAnsiTheme="minorHAnsi"/>
                <w:bCs/>
                <w:sz w:val="18"/>
                <w:szCs w:val="16"/>
              </w:rPr>
              <w:t>Potential improvements in the</w:t>
            </w:r>
            <w:r w:rsidR="00383A34" w:rsidRPr="00A52D36">
              <w:rPr>
                <w:rFonts w:asciiTheme="minorHAnsi" w:hAnsiTheme="minorHAnsi"/>
                <w:bCs/>
                <w:sz w:val="18"/>
                <w:szCs w:val="16"/>
              </w:rPr>
              <w:t xml:space="preserve"> </w:t>
            </w:r>
            <w:r w:rsidR="00E8389B" w:rsidRPr="00A52D36">
              <w:rPr>
                <w:rFonts w:asciiTheme="minorHAnsi" w:hAnsiTheme="minorHAnsi"/>
                <w:bCs/>
                <w:sz w:val="18"/>
                <w:szCs w:val="16"/>
              </w:rPr>
              <w:t xml:space="preserve">interplay between border agencies </w:t>
            </w:r>
            <w:r w:rsidR="00383A34" w:rsidRPr="00A52D36">
              <w:rPr>
                <w:rFonts w:asciiTheme="minorHAnsi" w:hAnsiTheme="minorHAnsi"/>
                <w:bCs/>
                <w:sz w:val="18"/>
                <w:szCs w:val="16"/>
              </w:rPr>
              <w:t>with introduction of automated system</w:t>
            </w:r>
          </w:p>
        </w:tc>
        <w:tc>
          <w:tcPr>
            <w:tcW w:w="1678" w:type="dxa"/>
            <w:tcBorders>
              <w:top w:val="single" w:sz="4" w:space="0" w:color="000000"/>
              <w:bottom w:val="single" w:sz="4" w:space="0" w:color="000000"/>
            </w:tcBorders>
            <w:shd w:val="clear" w:color="auto" w:fill="auto"/>
          </w:tcPr>
          <w:p w:rsidR="00E8389B" w:rsidRPr="00A52D36" w:rsidRDefault="00E8389B" w:rsidP="00E8389B">
            <w:pPr>
              <w:autoSpaceDE w:val="0"/>
              <w:autoSpaceDN w:val="0"/>
              <w:adjustRightInd w:val="0"/>
              <w:spacing w:after="120"/>
              <w:rPr>
                <w:rFonts w:asciiTheme="minorHAnsi" w:hAnsiTheme="minorHAnsi"/>
                <w:bCs/>
                <w:sz w:val="18"/>
                <w:szCs w:val="16"/>
              </w:rPr>
            </w:pPr>
          </w:p>
        </w:tc>
      </w:tr>
      <w:tr w:rsidR="00E8389B" w:rsidRPr="00A52D36" w:rsidTr="00626B91">
        <w:tc>
          <w:tcPr>
            <w:tcW w:w="1242" w:type="dxa"/>
            <w:tcBorders>
              <w:top w:val="single" w:sz="4" w:space="0" w:color="000000"/>
              <w:bottom w:val="single" w:sz="4" w:space="0" w:color="000000"/>
              <w:right w:val="single" w:sz="4" w:space="0" w:color="000000"/>
            </w:tcBorders>
            <w:shd w:val="clear" w:color="auto" w:fill="auto"/>
          </w:tcPr>
          <w:p w:rsidR="00E8389B" w:rsidRPr="00A52D36" w:rsidRDefault="00E8389B" w:rsidP="00E8389B">
            <w:pPr>
              <w:autoSpaceDE w:val="0"/>
              <w:autoSpaceDN w:val="0"/>
              <w:adjustRightInd w:val="0"/>
              <w:spacing w:after="120"/>
              <w:rPr>
                <w:rFonts w:asciiTheme="minorHAnsi" w:hAnsiTheme="minorHAnsi"/>
                <w:bCs/>
                <w:sz w:val="18"/>
                <w:szCs w:val="16"/>
              </w:rPr>
            </w:pPr>
            <w:r w:rsidRPr="00A52D36">
              <w:rPr>
                <w:rFonts w:asciiTheme="minorHAnsi" w:hAnsiTheme="minorHAnsi"/>
                <w:bCs/>
                <w:sz w:val="18"/>
                <w:szCs w:val="16"/>
              </w:rPr>
              <w:t>Minor</w:t>
            </w:r>
          </w:p>
        </w:tc>
        <w:tc>
          <w:tcPr>
            <w:tcW w:w="1836" w:type="dxa"/>
            <w:tcBorders>
              <w:top w:val="single" w:sz="4" w:space="0" w:color="000000"/>
              <w:left w:val="single" w:sz="4" w:space="0" w:color="000000"/>
              <w:bottom w:val="single" w:sz="4" w:space="0" w:color="000000"/>
            </w:tcBorders>
            <w:shd w:val="clear" w:color="auto" w:fill="auto"/>
          </w:tcPr>
          <w:p w:rsidR="00E8389B" w:rsidRPr="00A52D36" w:rsidRDefault="00E8389B" w:rsidP="00E8389B">
            <w:pPr>
              <w:autoSpaceDE w:val="0"/>
              <w:autoSpaceDN w:val="0"/>
              <w:adjustRightInd w:val="0"/>
              <w:spacing w:after="120"/>
              <w:rPr>
                <w:rFonts w:asciiTheme="minorHAnsi" w:hAnsiTheme="minorHAnsi"/>
                <w:bCs/>
                <w:sz w:val="18"/>
                <w:szCs w:val="16"/>
              </w:rPr>
            </w:pPr>
            <w:r w:rsidRPr="00A52D36">
              <w:rPr>
                <w:rFonts w:asciiTheme="minorHAnsi" w:hAnsiTheme="minorHAnsi"/>
                <w:bCs/>
                <w:sz w:val="18"/>
                <w:szCs w:val="16"/>
              </w:rPr>
              <w:t>Road infrastructure</w:t>
            </w:r>
          </w:p>
        </w:tc>
        <w:tc>
          <w:tcPr>
            <w:tcW w:w="1678" w:type="dxa"/>
            <w:tcBorders>
              <w:top w:val="single" w:sz="4" w:space="0" w:color="000000"/>
              <w:bottom w:val="single" w:sz="4" w:space="0" w:color="000000"/>
            </w:tcBorders>
            <w:shd w:val="clear" w:color="auto" w:fill="auto"/>
          </w:tcPr>
          <w:p w:rsidR="00E8389B" w:rsidRPr="00A52D36" w:rsidRDefault="00E8389B" w:rsidP="00E8389B">
            <w:pPr>
              <w:autoSpaceDE w:val="0"/>
              <w:autoSpaceDN w:val="0"/>
              <w:adjustRightInd w:val="0"/>
              <w:spacing w:after="120"/>
              <w:rPr>
                <w:rFonts w:asciiTheme="minorHAnsi" w:hAnsiTheme="minorHAnsi"/>
                <w:bCs/>
                <w:sz w:val="18"/>
                <w:szCs w:val="16"/>
              </w:rPr>
            </w:pPr>
            <w:r w:rsidRPr="00A52D36">
              <w:rPr>
                <w:rFonts w:asciiTheme="minorHAnsi" w:hAnsiTheme="minorHAnsi"/>
                <w:bCs/>
                <w:sz w:val="18"/>
                <w:szCs w:val="16"/>
              </w:rPr>
              <w:t>Road transport capacity</w:t>
            </w:r>
          </w:p>
        </w:tc>
        <w:tc>
          <w:tcPr>
            <w:tcW w:w="1677" w:type="dxa"/>
            <w:tcBorders>
              <w:top w:val="single" w:sz="4" w:space="0" w:color="000000"/>
              <w:bottom w:val="single" w:sz="4" w:space="0" w:color="000000"/>
            </w:tcBorders>
            <w:shd w:val="clear" w:color="auto" w:fill="auto"/>
          </w:tcPr>
          <w:p w:rsidR="00E8389B" w:rsidRPr="00A52D36" w:rsidRDefault="00E8389B" w:rsidP="00E8389B">
            <w:pPr>
              <w:autoSpaceDE w:val="0"/>
              <w:autoSpaceDN w:val="0"/>
              <w:adjustRightInd w:val="0"/>
              <w:spacing w:after="120"/>
              <w:rPr>
                <w:rFonts w:asciiTheme="minorHAnsi" w:hAnsiTheme="minorHAnsi"/>
                <w:bCs/>
                <w:sz w:val="18"/>
                <w:szCs w:val="16"/>
              </w:rPr>
            </w:pPr>
            <w:r w:rsidRPr="00A52D36">
              <w:rPr>
                <w:rFonts w:asciiTheme="minorHAnsi" w:hAnsiTheme="minorHAnsi"/>
                <w:bCs/>
                <w:sz w:val="18"/>
                <w:szCs w:val="16"/>
              </w:rPr>
              <w:t>Clearance in exports</w:t>
            </w:r>
          </w:p>
        </w:tc>
        <w:tc>
          <w:tcPr>
            <w:tcW w:w="1678" w:type="dxa"/>
            <w:tcBorders>
              <w:top w:val="single" w:sz="4" w:space="0" w:color="000000"/>
              <w:bottom w:val="single" w:sz="4" w:space="0" w:color="000000"/>
            </w:tcBorders>
            <w:shd w:val="clear" w:color="auto" w:fill="auto"/>
          </w:tcPr>
          <w:p w:rsidR="00E8389B" w:rsidRPr="00A52D36" w:rsidRDefault="00E8389B" w:rsidP="00E8389B">
            <w:pPr>
              <w:autoSpaceDE w:val="0"/>
              <w:autoSpaceDN w:val="0"/>
              <w:adjustRightInd w:val="0"/>
              <w:spacing w:after="120"/>
              <w:rPr>
                <w:rFonts w:asciiTheme="minorHAnsi" w:hAnsiTheme="minorHAnsi"/>
                <w:bCs/>
                <w:sz w:val="18"/>
                <w:szCs w:val="16"/>
              </w:rPr>
            </w:pPr>
          </w:p>
        </w:tc>
        <w:tc>
          <w:tcPr>
            <w:tcW w:w="1678" w:type="dxa"/>
            <w:tcBorders>
              <w:top w:val="single" w:sz="4" w:space="0" w:color="000000"/>
              <w:bottom w:val="single" w:sz="4" w:space="0" w:color="000000"/>
            </w:tcBorders>
            <w:shd w:val="clear" w:color="auto" w:fill="auto"/>
          </w:tcPr>
          <w:p w:rsidR="00E8389B" w:rsidRPr="00A52D36" w:rsidRDefault="00E8389B" w:rsidP="00E8389B">
            <w:pPr>
              <w:autoSpaceDE w:val="0"/>
              <w:autoSpaceDN w:val="0"/>
              <w:adjustRightInd w:val="0"/>
              <w:spacing w:after="120"/>
              <w:rPr>
                <w:rFonts w:asciiTheme="minorHAnsi" w:hAnsiTheme="minorHAnsi"/>
                <w:bCs/>
                <w:sz w:val="18"/>
                <w:szCs w:val="16"/>
              </w:rPr>
            </w:pPr>
            <w:r w:rsidRPr="00A52D36">
              <w:rPr>
                <w:rFonts w:asciiTheme="minorHAnsi" w:hAnsiTheme="minorHAnsi"/>
                <w:bCs/>
                <w:sz w:val="18"/>
                <w:szCs w:val="16"/>
              </w:rPr>
              <w:t>TIR</w:t>
            </w:r>
          </w:p>
        </w:tc>
      </w:tr>
    </w:tbl>
    <w:p w:rsidR="00E8389B" w:rsidRPr="00E8389B" w:rsidRDefault="00E8389B" w:rsidP="00E8389B">
      <w:pPr>
        <w:autoSpaceDE w:val="0"/>
        <w:autoSpaceDN w:val="0"/>
        <w:adjustRightInd w:val="0"/>
        <w:spacing w:after="120"/>
        <w:rPr>
          <w:b/>
          <w:i/>
        </w:rPr>
      </w:pPr>
    </w:p>
    <w:p w:rsidR="00AF690C" w:rsidRPr="007777E2" w:rsidRDefault="00C0587A" w:rsidP="00AF690C">
      <w:pPr>
        <w:spacing w:after="240"/>
        <w:rPr>
          <w:rFonts w:eastAsia="MS Mincho"/>
          <w:b/>
          <w:i/>
          <w:lang w:eastAsia="en-AU"/>
        </w:rPr>
      </w:pPr>
      <w:r>
        <w:rPr>
          <w:rFonts w:eastAsia="MS Mincho"/>
          <w:b/>
          <w:i/>
          <w:lang w:eastAsia="en-AU"/>
        </w:rPr>
        <w:t xml:space="preserve">Carry out </w:t>
      </w:r>
      <w:r w:rsidR="00AF690C" w:rsidRPr="007777E2">
        <w:rPr>
          <w:rFonts w:eastAsia="MS Mincho"/>
          <w:b/>
          <w:i/>
          <w:lang w:eastAsia="en-AU"/>
        </w:rPr>
        <w:t>a study o</w:t>
      </w:r>
      <w:r w:rsidR="004E6A30">
        <w:rPr>
          <w:rFonts w:eastAsia="MS Mincho"/>
          <w:b/>
          <w:i/>
          <w:lang w:eastAsia="en-AU"/>
        </w:rPr>
        <w:t>f</w:t>
      </w:r>
      <w:r w:rsidR="00AF690C" w:rsidRPr="007777E2">
        <w:rPr>
          <w:rFonts w:eastAsia="MS Mincho"/>
          <w:b/>
          <w:i/>
          <w:lang w:eastAsia="en-AU"/>
        </w:rPr>
        <w:t xml:space="preserve"> the market and future demand for logistics services </w:t>
      </w:r>
    </w:p>
    <w:p w:rsidR="00AF690C" w:rsidRPr="007777E2" w:rsidRDefault="00AF690C" w:rsidP="00AF690C">
      <w:pPr>
        <w:numPr>
          <w:ilvl w:val="0"/>
          <w:numId w:val="7"/>
        </w:numPr>
        <w:tabs>
          <w:tab w:val="clear" w:pos="810"/>
          <w:tab w:val="num" w:pos="720"/>
        </w:tabs>
        <w:autoSpaceDE w:val="0"/>
        <w:autoSpaceDN w:val="0"/>
        <w:adjustRightInd w:val="0"/>
        <w:spacing w:after="120"/>
        <w:ind w:left="0" w:firstLine="0"/>
        <w:jc w:val="both"/>
      </w:pPr>
      <w:r w:rsidRPr="007777E2">
        <w:rPr>
          <w:b/>
        </w:rPr>
        <w:t xml:space="preserve">There is an apparent lack of class A and B warehouse space in Belarus; </w:t>
      </w:r>
      <w:r>
        <w:rPr>
          <w:b/>
        </w:rPr>
        <w:t xml:space="preserve">which results in </w:t>
      </w:r>
      <w:r w:rsidRPr="007777E2">
        <w:rPr>
          <w:b/>
        </w:rPr>
        <w:t>relatively high rental prices for such premises</w:t>
      </w:r>
      <w:r w:rsidRPr="007777E2">
        <w:t xml:space="preserve">. This issue has been addressed by the </w:t>
      </w:r>
      <w:r>
        <w:t xml:space="preserve">Government’s </w:t>
      </w:r>
      <w:r w:rsidRPr="007777E2">
        <w:t xml:space="preserve">plan to construct logistics centers throughout Belarus. However, it is recommended that the actual locations be </w:t>
      </w:r>
      <w:r>
        <w:t xml:space="preserve">carefully </w:t>
      </w:r>
      <w:r w:rsidRPr="007777E2">
        <w:t xml:space="preserve">evaluated, keeping in mind the two sides of demand for warehouse space in the future. First, there is the domestic demand for warehouse space, which stems from the distribution activities in the economy. Although there has been development in the retail sector, it is not yet evident that modern retail chains will appear in great </w:t>
      </w:r>
      <w:r w:rsidRPr="007777E2">
        <w:lastRenderedPageBreak/>
        <w:t>numbers either as a result of domestic investment or in the form foreign entrants. Foreign entrants in particular require a more transparent regulatory environment and reliable cross-border supply chains. Second, there is a potential international demand for warehouse space generated by transit cargo flows through Belarus. Despite arguments in support of Belarus as a trans</w:t>
      </w:r>
      <w:r>
        <w:t>s</w:t>
      </w:r>
      <w:r w:rsidRPr="007777E2">
        <w:t>hipment area for distribution</w:t>
      </w:r>
      <w:r>
        <w:t xml:space="preserve"> in Russia</w:t>
      </w:r>
      <w:r w:rsidR="00EE5173">
        <w:t>,</w:t>
      </w:r>
      <w:r w:rsidRPr="007777E2">
        <w:rPr>
          <w:rStyle w:val="FootnoteReference"/>
        </w:rPr>
        <w:footnoteReference w:id="42"/>
      </w:r>
      <w:r w:rsidRPr="007777E2">
        <w:t xml:space="preserve"> it is doubtful whether it makes business sense to break </w:t>
      </w:r>
      <w:r>
        <w:t xml:space="preserve">shipments of </w:t>
      </w:r>
      <w:r w:rsidRPr="007777E2">
        <w:t xml:space="preserve">bulk cargo and store goods relatively far away from the major consumption centers in Russia. Even if </w:t>
      </w:r>
      <w:r>
        <w:t xml:space="preserve">transit </w:t>
      </w:r>
      <w:r w:rsidRPr="007777E2">
        <w:t xml:space="preserve">freight volumes significantly </w:t>
      </w:r>
      <w:r w:rsidR="004E6A30" w:rsidRPr="007777E2">
        <w:t xml:space="preserve">increase </w:t>
      </w:r>
      <w:r w:rsidRPr="007777E2">
        <w:t xml:space="preserve">in the future, it is questionable whether they will stop </w:t>
      </w:r>
      <w:r w:rsidR="004E6A30">
        <w:t xml:space="preserve">in </w:t>
      </w:r>
      <w:r w:rsidR="004E6A30" w:rsidRPr="007777E2">
        <w:t>Belarus</w:t>
      </w:r>
      <w:r w:rsidR="004E6A30">
        <w:t xml:space="preserve"> </w:t>
      </w:r>
      <w:r>
        <w:t>as part of logistical arrangements</w:t>
      </w:r>
      <w:r w:rsidRPr="007777E2">
        <w:t xml:space="preserve">.  </w:t>
      </w:r>
    </w:p>
    <w:p w:rsidR="00AF690C" w:rsidRPr="007777E2" w:rsidRDefault="00AF690C" w:rsidP="00AF690C">
      <w:pPr>
        <w:numPr>
          <w:ilvl w:val="0"/>
          <w:numId w:val="7"/>
        </w:numPr>
        <w:autoSpaceDE w:val="0"/>
        <w:autoSpaceDN w:val="0"/>
        <w:adjustRightInd w:val="0"/>
        <w:spacing w:after="120"/>
        <w:ind w:left="0" w:firstLine="0"/>
        <w:jc w:val="both"/>
      </w:pPr>
      <w:r w:rsidRPr="007777E2">
        <w:rPr>
          <w:b/>
        </w:rPr>
        <w:t>Further market research on logistics services demand should be conducted from the point of view of international shippers and logistics operators</w:t>
      </w:r>
      <w:r w:rsidRPr="007777E2">
        <w:t xml:space="preserve">. This will offer a better understanding of the nature of demand and rationale for stopping cargo in Belarus. Additionally, advanced logistics service provision </w:t>
      </w:r>
      <w:r w:rsidR="00EB14A7">
        <w:t>needs to be greatly improved</w:t>
      </w:r>
      <w:r w:rsidRPr="007777E2">
        <w:t xml:space="preserve"> in Belarus. Business culture favors in-house logistics arrangements, inhibiting the development of </w:t>
      </w:r>
      <w:r>
        <w:t xml:space="preserve">a </w:t>
      </w:r>
      <w:r w:rsidRPr="007777E2">
        <w:t xml:space="preserve">domestic </w:t>
      </w:r>
      <w:r>
        <w:t xml:space="preserve">logistics </w:t>
      </w:r>
      <w:r w:rsidRPr="007777E2">
        <w:t xml:space="preserve">service industry. Foreign logistics operators have not entered the market in earnest, limiting the demand for local logistics talent and competence, as well as market competition. Best practices such as LTL services and scheduled </w:t>
      </w:r>
      <w:proofErr w:type="spellStart"/>
      <w:r w:rsidRPr="007777E2">
        <w:t>groupage</w:t>
      </w:r>
      <w:proofErr w:type="spellEnd"/>
      <w:r w:rsidRPr="007777E2">
        <w:t xml:space="preserve"> cargo are in an early stage of development, not to mention for example the range of value-added logistics services on offer in </w:t>
      </w:r>
      <w:r>
        <w:t xml:space="preserve">countries such as </w:t>
      </w:r>
      <w:r w:rsidRPr="007777E2">
        <w:t xml:space="preserve">Finland for high value and sensitive goods. The lack of advanced services places further doubt on establishing </w:t>
      </w:r>
      <w:r>
        <w:t xml:space="preserve">distribution centers for Russian transit cargo on Belarusian territory. </w:t>
      </w:r>
      <w:r w:rsidRPr="007777E2">
        <w:t xml:space="preserve">     </w:t>
      </w:r>
    </w:p>
    <w:p w:rsidR="001E2D18" w:rsidRPr="007777E2" w:rsidRDefault="001E2D18" w:rsidP="001E2D18">
      <w:pPr>
        <w:autoSpaceDE w:val="0"/>
        <w:autoSpaceDN w:val="0"/>
        <w:adjustRightInd w:val="0"/>
        <w:spacing w:after="120"/>
        <w:jc w:val="both"/>
      </w:pPr>
      <w:r w:rsidRPr="007777E2">
        <w:rPr>
          <w:b/>
          <w:i/>
        </w:rPr>
        <w:t>Address perceived issues</w:t>
      </w:r>
      <w:r>
        <w:rPr>
          <w:b/>
          <w:i/>
        </w:rPr>
        <w:t xml:space="preserve"> in customs (</w:t>
      </w:r>
      <w:r w:rsidRPr="007777E2">
        <w:rPr>
          <w:b/>
          <w:i/>
        </w:rPr>
        <w:t>zero-tolerance attitude and problems with certification</w:t>
      </w:r>
      <w:r>
        <w:rPr>
          <w:b/>
          <w:i/>
        </w:rPr>
        <w:t>)</w:t>
      </w:r>
    </w:p>
    <w:p w:rsidR="001E2D18" w:rsidRPr="007777E2" w:rsidRDefault="001E2D18" w:rsidP="001E2D18">
      <w:pPr>
        <w:numPr>
          <w:ilvl w:val="0"/>
          <w:numId w:val="7"/>
        </w:numPr>
        <w:autoSpaceDE w:val="0"/>
        <w:autoSpaceDN w:val="0"/>
        <w:adjustRightInd w:val="0"/>
        <w:spacing w:after="120"/>
        <w:ind w:left="0" w:firstLine="0"/>
        <w:jc w:val="both"/>
      </w:pPr>
      <w:r w:rsidRPr="007777E2">
        <w:rPr>
          <w:b/>
        </w:rPr>
        <w:t>Belarus Customs has made impressive improvements in its practices and thereby facilitating international trade in many ways</w:t>
      </w:r>
      <w:r w:rsidRPr="007777E2">
        <w:t>.  However, the perceived zero-tolerance attitude</w:t>
      </w:r>
      <w:r>
        <w:t xml:space="preserve"> of Belarus Customs Services</w:t>
      </w:r>
      <w:r w:rsidRPr="007777E2">
        <w:t xml:space="preserve">, as well as problems with certification, alienate </w:t>
      </w:r>
      <w:r>
        <w:t xml:space="preserve">some </w:t>
      </w:r>
      <w:r w:rsidRPr="007777E2">
        <w:t xml:space="preserve">shippers from using the Poland - Belarus route to Russia, shifting them to other routes to enter the Customs Union area. Cargo </w:t>
      </w:r>
      <w:proofErr w:type="gramStart"/>
      <w:r w:rsidRPr="007777E2">
        <w:t>flow</w:t>
      </w:r>
      <w:r>
        <w:t>s</w:t>
      </w:r>
      <w:proofErr w:type="gramEnd"/>
      <w:r>
        <w:t xml:space="preserve"> shift </w:t>
      </w:r>
      <w:r w:rsidRPr="007777E2">
        <w:t>easily to the least</w:t>
      </w:r>
      <w:r>
        <w:t>-</w:t>
      </w:r>
      <w:r w:rsidRPr="007777E2">
        <w:t xml:space="preserve">cost routes; the total </w:t>
      </w:r>
      <w:r>
        <w:t xml:space="preserve">distribution </w:t>
      </w:r>
      <w:r w:rsidR="002173D0" w:rsidRPr="007777E2">
        <w:t>cost depends</w:t>
      </w:r>
      <w:r w:rsidRPr="007777E2">
        <w:t xml:space="preserve"> on direct costs (e.g. transport, customs </w:t>
      </w:r>
      <w:r>
        <w:t>fees</w:t>
      </w:r>
      <w:r w:rsidRPr="007777E2">
        <w:t>) and indirect costs (</w:t>
      </w:r>
      <w:r>
        <w:t>delays and rejections</w:t>
      </w:r>
      <w:r w:rsidRPr="007777E2">
        <w:t xml:space="preserve"> at the Belarus border)</w:t>
      </w:r>
      <w:r>
        <w:t xml:space="preserve">.  </w:t>
      </w:r>
      <w:r w:rsidRPr="007777E2">
        <w:t xml:space="preserve"> </w:t>
      </w:r>
    </w:p>
    <w:p w:rsidR="001E2D18" w:rsidRPr="007777E2" w:rsidRDefault="001E2D18" w:rsidP="001E2D18">
      <w:pPr>
        <w:pStyle w:val="ListParagraph"/>
        <w:keepNext/>
        <w:spacing w:after="120"/>
        <w:ind w:left="0"/>
        <w:jc w:val="center"/>
        <w:rPr>
          <w:rFonts w:ascii="Times New Roman" w:hAnsi="Times New Roman"/>
          <w:b/>
        </w:rPr>
      </w:pPr>
      <w:bookmarkStart w:id="238" w:name="_Toc264226797"/>
      <w:proofErr w:type="gramStart"/>
      <w:r w:rsidRPr="007777E2">
        <w:rPr>
          <w:rFonts w:ascii="Times New Roman" w:hAnsi="Times New Roman"/>
          <w:b/>
        </w:rPr>
        <w:lastRenderedPageBreak/>
        <w:t xml:space="preserve">Figure </w:t>
      </w:r>
      <w:r w:rsidR="006B40AE" w:rsidRPr="007777E2">
        <w:rPr>
          <w:rFonts w:ascii="Times New Roman" w:hAnsi="Times New Roman"/>
          <w:b/>
        </w:rPr>
        <w:fldChar w:fldCharType="begin"/>
      </w:r>
      <w:r w:rsidRPr="007777E2">
        <w:rPr>
          <w:rFonts w:ascii="Times New Roman" w:hAnsi="Times New Roman"/>
          <w:b/>
        </w:rPr>
        <w:instrText xml:space="preserve"> SEQ Figure \* ARABIC </w:instrText>
      </w:r>
      <w:r w:rsidR="006B40AE" w:rsidRPr="007777E2">
        <w:rPr>
          <w:rFonts w:ascii="Times New Roman" w:hAnsi="Times New Roman"/>
          <w:b/>
        </w:rPr>
        <w:fldChar w:fldCharType="separate"/>
      </w:r>
      <w:r w:rsidR="009E2C86">
        <w:rPr>
          <w:rFonts w:ascii="Times New Roman" w:hAnsi="Times New Roman"/>
          <w:b/>
          <w:noProof/>
        </w:rPr>
        <w:t>40</w:t>
      </w:r>
      <w:r w:rsidR="006B40AE" w:rsidRPr="007777E2">
        <w:rPr>
          <w:rFonts w:ascii="Times New Roman" w:hAnsi="Times New Roman"/>
          <w:b/>
        </w:rPr>
        <w:fldChar w:fldCharType="end"/>
      </w:r>
      <w:r w:rsidRPr="007777E2">
        <w:rPr>
          <w:rFonts w:ascii="Times New Roman" w:hAnsi="Times New Roman"/>
          <w:b/>
        </w:rPr>
        <w:t>.</w:t>
      </w:r>
      <w:proofErr w:type="gramEnd"/>
      <w:r w:rsidRPr="007777E2">
        <w:rPr>
          <w:rFonts w:ascii="Times New Roman" w:hAnsi="Times New Roman"/>
          <w:b/>
        </w:rPr>
        <w:t xml:space="preserve"> Available Transport Routes from Germany (2nd largest import origin) to Russia</w:t>
      </w:r>
      <w:bookmarkEnd w:id="238"/>
    </w:p>
    <w:p w:rsidR="001E2D18" w:rsidRPr="007777E2" w:rsidRDefault="001E2D18" w:rsidP="001E2D18">
      <w:pPr>
        <w:pStyle w:val="kuvio"/>
        <w:jc w:val="center"/>
        <w:rPr>
          <w:lang w:val="en-US"/>
        </w:rPr>
      </w:pPr>
      <w:r w:rsidRPr="007777E2">
        <w:rPr>
          <w:lang w:val="en-US"/>
        </w:rPr>
        <w:object w:dxaOrig="11616" w:dyaOrig="6424">
          <v:shape id="_x0000_i1026" type="#_x0000_t75" style="width:447.6pt;height:246.1pt" o:ole="">
            <v:imagedata r:id="rId61" o:title=""/>
          </v:shape>
          <o:OLEObject Type="Embed" ProgID="Visio.Drawing.11" ShapeID="_x0000_i1026" DrawAspect="Content" ObjectID="_1358146118" r:id="rId62"/>
        </w:object>
      </w:r>
    </w:p>
    <w:p w:rsidR="0089318E" w:rsidRPr="008710DE" w:rsidRDefault="0089318E" w:rsidP="00E645DD">
      <w:pPr>
        <w:pStyle w:val="Heading3"/>
        <w:spacing w:after="240"/>
        <w:rPr>
          <w:rFonts w:ascii="Times New Roman" w:hAnsi="Times New Roman" w:cs="Times New Roman"/>
          <w:sz w:val="24"/>
          <w:szCs w:val="24"/>
        </w:rPr>
      </w:pPr>
      <w:bookmarkStart w:id="239" w:name="_Toc282029959"/>
      <w:bookmarkStart w:id="240" w:name="_Toc130880357"/>
      <w:bookmarkStart w:id="241" w:name="_Toc257297049"/>
      <w:bookmarkStart w:id="242" w:name="_Toc257297746"/>
      <w:r w:rsidRPr="008710DE">
        <w:rPr>
          <w:rFonts w:ascii="Times New Roman" w:hAnsi="Times New Roman" w:cs="Times New Roman"/>
          <w:sz w:val="24"/>
          <w:szCs w:val="24"/>
        </w:rPr>
        <w:t xml:space="preserve">Improve the Institutional Framework </w:t>
      </w:r>
      <w:r w:rsidR="00515EB8">
        <w:rPr>
          <w:rFonts w:ascii="Times New Roman" w:hAnsi="Times New Roman" w:cs="Times New Roman"/>
          <w:sz w:val="24"/>
          <w:szCs w:val="24"/>
        </w:rPr>
        <w:t>for</w:t>
      </w:r>
      <w:r w:rsidRPr="008710DE">
        <w:rPr>
          <w:rFonts w:ascii="Times New Roman" w:hAnsi="Times New Roman" w:cs="Times New Roman"/>
          <w:sz w:val="24"/>
          <w:szCs w:val="24"/>
        </w:rPr>
        <w:t xml:space="preserve"> the Belarus Transport Sector</w:t>
      </w:r>
      <w:bookmarkEnd w:id="239"/>
    </w:p>
    <w:bookmarkEnd w:id="240"/>
    <w:bookmarkEnd w:id="241"/>
    <w:bookmarkEnd w:id="242"/>
    <w:p w:rsidR="0033567F" w:rsidRPr="007777E2" w:rsidRDefault="0013477B" w:rsidP="0033567F">
      <w:pPr>
        <w:autoSpaceDE w:val="0"/>
        <w:autoSpaceDN w:val="0"/>
        <w:adjustRightInd w:val="0"/>
        <w:spacing w:after="120"/>
        <w:rPr>
          <w:i/>
        </w:rPr>
      </w:pPr>
      <w:r w:rsidRPr="007777E2">
        <w:rPr>
          <w:b/>
          <w:i/>
        </w:rPr>
        <w:t xml:space="preserve">Prepare a </w:t>
      </w:r>
      <w:r w:rsidR="00974B45">
        <w:rPr>
          <w:b/>
          <w:i/>
        </w:rPr>
        <w:t xml:space="preserve">comprehensive </w:t>
      </w:r>
      <w:r w:rsidRPr="007777E2">
        <w:rPr>
          <w:b/>
          <w:i/>
        </w:rPr>
        <w:t xml:space="preserve">National Transport Strategy and </w:t>
      </w:r>
      <w:r w:rsidR="00AA3166" w:rsidRPr="007777E2">
        <w:rPr>
          <w:b/>
          <w:i/>
        </w:rPr>
        <w:t>Business</w:t>
      </w:r>
      <w:r w:rsidRPr="007777E2">
        <w:rPr>
          <w:b/>
          <w:i/>
        </w:rPr>
        <w:t xml:space="preserve"> Plan</w:t>
      </w:r>
    </w:p>
    <w:p w:rsidR="0033567F" w:rsidRPr="007777E2" w:rsidRDefault="00A41454" w:rsidP="00BE35AE">
      <w:pPr>
        <w:numPr>
          <w:ilvl w:val="0"/>
          <w:numId w:val="7"/>
        </w:numPr>
        <w:tabs>
          <w:tab w:val="num" w:pos="0"/>
        </w:tabs>
        <w:autoSpaceDE w:val="0"/>
        <w:autoSpaceDN w:val="0"/>
        <w:adjustRightInd w:val="0"/>
        <w:spacing w:after="120"/>
        <w:ind w:left="0" w:firstLine="0"/>
        <w:jc w:val="both"/>
      </w:pPr>
      <w:r>
        <w:rPr>
          <w:b/>
        </w:rPr>
        <w:t xml:space="preserve">The World Bank recommends that the Government should </w:t>
      </w:r>
      <w:r w:rsidR="00C0587A">
        <w:rPr>
          <w:b/>
        </w:rPr>
        <w:t xml:space="preserve">prepare </w:t>
      </w:r>
      <w:r>
        <w:rPr>
          <w:b/>
        </w:rPr>
        <w:t>an</w:t>
      </w:r>
      <w:r w:rsidR="00DE274C">
        <w:rPr>
          <w:b/>
        </w:rPr>
        <w:t>d</w:t>
      </w:r>
      <w:r>
        <w:rPr>
          <w:b/>
        </w:rPr>
        <w:t xml:space="preserve"> publish a </w:t>
      </w:r>
      <w:r w:rsidR="00974B45">
        <w:rPr>
          <w:b/>
        </w:rPr>
        <w:t xml:space="preserve">comprehensive </w:t>
      </w:r>
      <w:r w:rsidR="004E222C" w:rsidRPr="007777E2">
        <w:rPr>
          <w:b/>
        </w:rPr>
        <w:t>Transport Se</w:t>
      </w:r>
      <w:r w:rsidR="0033567F" w:rsidRPr="007777E2">
        <w:rPr>
          <w:b/>
        </w:rPr>
        <w:t xml:space="preserve">ctor </w:t>
      </w:r>
      <w:r w:rsidR="004E222C" w:rsidRPr="007777E2">
        <w:rPr>
          <w:b/>
        </w:rPr>
        <w:t>S</w:t>
      </w:r>
      <w:r w:rsidR="0033567F" w:rsidRPr="007777E2">
        <w:rPr>
          <w:b/>
        </w:rPr>
        <w:t xml:space="preserve">trategy </w:t>
      </w:r>
      <w:r w:rsidR="009B1944">
        <w:rPr>
          <w:b/>
        </w:rPr>
        <w:t xml:space="preserve">covering all modes and </w:t>
      </w:r>
      <w:r>
        <w:rPr>
          <w:b/>
        </w:rPr>
        <w:t xml:space="preserve">including a prioritized investment and expenditure plan for the transport sector. </w:t>
      </w:r>
      <w:r>
        <w:t xml:space="preserve"> The T</w:t>
      </w:r>
      <w:r w:rsidR="0013477B" w:rsidRPr="007777E2">
        <w:t xml:space="preserve">ransport </w:t>
      </w:r>
      <w:r>
        <w:t>Sector S</w:t>
      </w:r>
      <w:r w:rsidR="0013477B" w:rsidRPr="007777E2">
        <w:t xml:space="preserve">trategy </w:t>
      </w:r>
      <w:r>
        <w:t xml:space="preserve">should cover all modes of transport and should state </w:t>
      </w:r>
      <w:r w:rsidR="0013477B" w:rsidRPr="007777E2">
        <w:t xml:space="preserve">clear </w:t>
      </w:r>
      <w:r>
        <w:t xml:space="preserve">development </w:t>
      </w:r>
      <w:r w:rsidR="0013477B" w:rsidRPr="007777E2">
        <w:t>goals</w:t>
      </w:r>
      <w:r>
        <w:t xml:space="preserve"> and the actions needed to reach those goals. </w:t>
      </w:r>
      <w:r w:rsidR="00C0587A">
        <w:t xml:space="preserve">The Strategy should be based on detailed analytical work for each mode of transport. </w:t>
      </w:r>
      <w:r>
        <w:t xml:space="preserve">Among the </w:t>
      </w:r>
      <w:r w:rsidR="0033567F" w:rsidRPr="007777E2">
        <w:t xml:space="preserve">major </w:t>
      </w:r>
      <w:r>
        <w:t xml:space="preserve">development goals </w:t>
      </w:r>
      <w:r w:rsidR="004E222C" w:rsidRPr="007777E2">
        <w:t>that can be envisaged</w:t>
      </w:r>
      <w:r w:rsidR="0033567F" w:rsidRPr="007777E2">
        <w:t xml:space="preserve"> for the transportation sector </w:t>
      </w:r>
      <w:r w:rsidR="004E222C" w:rsidRPr="007777E2">
        <w:t xml:space="preserve">in Belarus </w:t>
      </w:r>
      <w:r w:rsidR="0033567F" w:rsidRPr="007777E2">
        <w:t>are: (</w:t>
      </w:r>
      <w:proofErr w:type="spellStart"/>
      <w:r w:rsidR="00CC435E" w:rsidRPr="007777E2">
        <w:t>i</w:t>
      </w:r>
      <w:proofErr w:type="spellEnd"/>
      <w:r w:rsidR="0033567F" w:rsidRPr="007777E2">
        <w:t xml:space="preserve">) </w:t>
      </w:r>
      <w:r w:rsidR="004E222C" w:rsidRPr="007777E2">
        <w:t xml:space="preserve">the further </w:t>
      </w:r>
      <w:r w:rsidR="0033567F" w:rsidRPr="007777E2">
        <w:t xml:space="preserve">development of transport infrastructure </w:t>
      </w:r>
      <w:r w:rsidR="004E222C" w:rsidRPr="007777E2">
        <w:t xml:space="preserve">in </w:t>
      </w:r>
      <w:r>
        <w:t>response to transport demand and the broader development objectives of Belarus</w:t>
      </w:r>
      <w:r w:rsidR="00515EB8">
        <w:t>;</w:t>
      </w:r>
      <w:r>
        <w:t xml:space="preserve"> (ii) </w:t>
      </w:r>
      <w:r w:rsidR="004E222C" w:rsidRPr="007777E2">
        <w:t>to</w:t>
      </w:r>
      <w:r w:rsidR="0033567F" w:rsidRPr="007777E2">
        <w:t xml:space="preserve"> enhance </w:t>
      </w:r>
      <w:r w:rsidR="004E222C" w:rsidRPr="007777E2">
        <w:t xml:space="preserve">the </w:t>
      </w:r>
      <w:r w:rsidR="0033567F" w:rsidRPr="007777E2">
        <w:t xml:space="preserve">efficiency and quality of the transport system </w:t>
      </w:r>
      <w:r w:rsidR="004E222C" w:rsidRPr="007777E2">
        <w:t xml:space="preserve">and </w:t>
      </w:r>
      <w:r>
        <w:t xml:space="preserve">transport </w:t>
      </w:r>
      <w:r w:rsidR="0033567F" w:rsidRPr="007777E2">
        <w:t xml:space="preserve">services </w:t>
      </w:r>
      <w:r w:rsidR="004E222C" w:rsidRPr="007777E2">
        <w:t xml:space="preserve">which are </w:t>
      </w:r>
      <w:r w:rsidR="0033567F" w:rsidRPr="007777E2">
        <w:t xml:space="preserve">required </w:t>
      </w:r>
      <w:r w:rsidR="004E222C" w:rsidRPr="007777E2">
        <w:t xml:space="preserve">to </w:t>
      </w:r>
      <w:r>
        <w:t>serve the economy and the society as a whole</w:t>
      </w:r>
      <w:r w:rsidR="0033567F" w:rsidRPr="007777E2">
        <w:t>; (</w:t>
      </w:r>
      <w:r w:rsidR="00CC435E" w:rsidRPr="007777E2">
        <w:t>ii</w:t>
      </w:r>
      <w:r>
        <w:t>i</w:t>
      </w:r>
      <w:r w:rsidR="0033567F" w:rsidRPr="007777E2">
        <w:t xml:space="preserve">) </w:t>
      </w:r>
      <w:r>
        <w:t xml:space="preserve">further </w:t>
      </w:r>
      <w:r w:rsidR="0033567F" w:rsidRPr="007777E2">
        <w:t>improvement</w:t>
      </w:r>
      <w:r>
        <w:t>s</w:t>
      </w:r>
      <w:r w:rsidR="0033567F" w:rsidRPr="007777E2">
        <w:t xml:space="preserve"> </w:t>
      </w:r>
      <w:r>
        <w:t xml:space="preserve">in the integration </w:t>
      </w:r>
      <w:r w:rsidR="0033567F" w:rsidRPr="007777E2">
        <w:t xml:space="preserve">of </w:t>
      </w:r>
      <w:r>
        <w:t>the R</w:t>
      </w:r>
      <w:r w:rsidR="0033567F" w:rsidRPr="007777E2">
        <w:t xml:space="preserve">egions </w:t>
      </w:r>
      <w:r>
        <w:t>in the national economy</w:t>
      </w:r>
      <w:r w:rsidR="0033567F" w:rsidRPr="007777E2">
        <w:t>; (</w:t>
      </w:r>
      <w:r w:rsidR="00CC435E" w:rsidRPr="007777E2">
        <w:t>i</w:t>
      </w:r>
      <w:r>
        <w:t>v</w:t>
      </w:r>
      <w:r w:rsidR="0033567F" w:rsidRPr="007777E2">
        <w:t>) improve parameters of transport infrastructure to meet European standards; and (</w:t>
      </w:r>
      <w:r w:rsidR="00CC435E" w:rsidRPr="007777E2">
        <w:t>v</w:t>
      </w:r>
      <w:r w:rsidR="0033567F" w:rsidRPr="007777E2">
        <w:t xml:space="preserve">) improve the quality and safety of </w:t>
      </w:r>
      <w:r>
        <w:t xml:space="preserve">transport </w:t>
      </w:r>
      <w:r w:rsidR="0033567F" w:rsidRPr="007777E2">
        <w:t xml:space="preserve">infrastructure </w:t>
      </w:r>
      <w:r w:rsidR="00E168C9" w:rsidRPr="007777E2">
        <w:t xml:space="preserve">and </w:t>
      </w:r>
      <w:r w:rsidR="0033567F" w:rsidRPr="007777E2">
        <w:t xml:space="preserve">to reduce negative effects of transport on </w:t>
      </w:r>
      <w:r w:rsidR="00D220B6">
        <w:t xml:space="preserve">the population and </w:t>
      </w:r>
      <w:r w:rsidR="00E168C9" w:rsidRPr="007777E2">
        <w:t xml:space="preserve">the </w:t>
      </w:r>
      <w:r w:rsidR="0033567F" w:rsidRPr="007777E2">
        <w:t xml:space="preserve">environment. </w:t>
      </w:r>
      <w:r w:rsidR="00C441FC">
        <w:t xml:space="preserve">As mentioned above, the Transport Sector Strategy should include a prioritized investment and expenditure plan, based on </w:t>
      </w:r>
      <w:r w:rsidR="0013477B" w:rsidRPr="007777E2">
        <w:t xml:space="preserve">clear technical, economic, </w:t>
      </w:r>
      <w:r w:rsidR="00C441FC">
        <w:t xml:space="preserve">social </w:t>
      </w:r>
      <w:r w:rsidR="0013477B" w:rsidRPr="007777E2">
        <w:t xml:space="preserve">and financial considerations. It will also </w:t>
      </w:r>
      <w:r w:rsidR="00C441FC">
        <w:t xml:space="preserve">optimize the </w:t>
      </w:r>
      <w:r w:rsidR="0013477B" w:rsidRPr="007777E2">
        <w:t xml:space="preserve">sequencing of </w:t>
      </w:r>
      <w:r w:rsidR="00C441FC">
        <w:t xml:space="preserve">policy actions and investments </w:t>
      </w:r>
      <w:r w:rsidR="0013477B" w:rsidRPr="007777E2">
        <w:t xml:space="preserve">within </w:t>
      </w:r>
      <w:r w:rsidR="00C441FC">
        <w:t xml:space="preserve">existing and foreseeable </w:t>
      </w:r>
      <w:r w:rsidR="0013477B" w:rsidRPr="007777E2">
        <w:t xml:space="preserve">funding constraints; </w:t>
      </w:r>
      <w:r w:rsidR="0033567F" w:rsidRPr="007777E2">
        <w:t xml:space="preserve">and </w:t>
      </w:r>
      <w:r w:rsidR="00D220B6">
        <w:t xml:space="preserve">also </w:t>
      </w:r>
      <w:r w:rsidR="0033567F" w:rsidRPr="007777E2">
        <w:t xml:space="preserve">determine the necessary changes in legislation, institutions, </w:t>
      </w:r>
      <w:r w:rsidR="004E1CF3" w:rsidRPr="007777E2">
        <w:t xml:space="preserve">and </w:t>
      </w:r>
      <w:r w:rsidR="0033567F" w:rsidRPr="007777E2">
        <w:t xml:space="preserve">financing </w:t>
      </w:r>
      <w:r w:rsidR="00D220B6">
        <w:t xml:space="preserve">arrangements. </w:t>
      </w:r>
      <w:r w:rsidR="0033567F" w:rsidRPr="007777E2">
        <w:t xml:space="preserve"> </w:t>
      </w:r>
    </w:p>
    <w:p w:rsidR="0033567F" w:rsidRPr="007777E2" w:rsidRDefault="00C441FC" w:rsidP="00BE35AE">
      <w:pPr>
        <w:numPr>
          <w:ilvl w:val="0"/>
          <w:numId w:val="7"/>
        </w:numPr>
        <w:autoSpaceDE w:val="0"/>
        <w:autoSpaceDN w:val="0"/>
        <w:adjustRightInd w:val="0"/>
        <w:spacing w:after="120"/>
        <w:ind w:left="0" w:firstLine="0"/>
        <w:jc w:val="both"/>
      </w:pPr>
      <w:r>
        <w:rPr>
          <w:b/>
        </w:rPr>
        <w:t xml:space="preserve">The maintenance and upgrading of </w:t>
      </w:r>
      <w:r w:rsidR="00AA3166" w:rsidRPr="007777E2">
        <w:rPr>
          <w:b/>
        </w:rPr>
        <w:t>transport</w:t>
      </w:r>
      <w:r w:rsidR="0033567F" w:rsidRPr="007777E2">
        <w:rPr>
          <w:b/>
        </w:rPr>
        <w:t xml:space="preserve"> infrastructure </w:t>
      </w:r>
      <w:r>
        <w:rPr>
          <w:b/>
        </w:rPr>
        <w:t xml:space="preserve">for </w:t>
      </w:r>
      <w:r w:rsidR="00D220B6">
        <w:rPr>
          <w:b/>
        </w:rPr>
        <w:t>all modes of transport</w:t>
      </w:r>
      <w:r w:rsidR="00AA3166" w:rsidRPr="007777E2">
        <w:rPr>
          <w:b/>
        </w:rPr>
        <w:t xml:space="preserve"> </w:t>
      </w:r>
      <w:r w:rsidR="0033567F" w:rsidRPr="007777E2">
        <w:rPr>
          <w:b/>
        </w:rPr>
        <w:t xml:space="preserve">should be </w:t>
      </w:r>
      <w:r>
        <w:rPr>
          <w:b/>
        </w:rPr>
        <w:t xml:space="preserve">a central </w:t>
      </w:r>
      <w:r w:rsidR="0033567F" w:rsidRPr="007777E2">
        <w:rPr>
          <w:b/>
        </w:rPr>
        <w:t xml:space="preserve">part of </w:t>
      </w:r>
      <w:r w:rsidR="004E1CF3" w:rsidRPr="007777E2">
        <w:rPr>
          <w:b/>
        </w:rPr>
        <w:t>the Government’s</w:t>
      </w:r>
      <w:r w:rsidR="0033567F" w:rsidRPr="007777E2">
        <w:rPr>
          <w:b/>
        </w:rPr>
        <w:t xml:space="preserve"> </w:t>
      </w:r>
      <w:r>
        <w:rPr>
          <w:b/>
        </w:rPr>
        <w:t>Transport Sector Strategy</w:t>
      </w:r>
      <w:r w:rsidR="008F6793">
        <w:rPr>
          <w:b/>
        </w:rPr>
        <w:t xml:space="preserve"> </w:t>
      </w:r>
      <w:r w:rsidR="00D74ABC" w:rsidRPr="00D74ABC">
        <w:t xml:space="preserve">along the lines </w:t>
      </w:r>
      <w:r w:rsidR="00515EB8">
        <w:t>of</w:t>
      </w:r>
      <w:r w:rsidR="00D74ABC" w:rsidRPr="00D74ABC">
        <w:t xml:space="preserve"> the </w:t>
      </w:r>
      <w:r w:rsidR="008F6793">
        <w:t>Concept of Belarus’ Transport System Development until 2025</w:t>
      </w:r>
      <w:r w:rsidR="004E1CF3" w:rsidRPr="007777E2">
        <w:rPr>
          <w:b/>
        </w:rPr>
        <w:t>.</w:t>
      </w:r>
      <w:r w:rsidR="0033567F" w:rsidRPr="007777E2">
        <w:t xml:space="preserve"> In this context, Belarusian </w:t>
      </w:r>
      <w:r w:rsidR="004E1CF3" w:rsidRPr="007777E2">
        <w:t>R</w:t>
      </w:r>
      <w:r w:rsidR="0033567F" w:rsidRPr="007777E2">
        <w:t>ailway</w:t>
      </w:r>
      <w:r w:rsidR="004E1CF3" w:rsidRPr="007777E2">
        <w:t>s</w:t>
      </w:r>
      <w:r w:rsidR="0033567F" w:rsidRPr="007777E2">
        <w:t xml:space="preserve"> need</w:t>
      </w:r>
      <w:r w:rsidR="004E1CF3" w:rsidRPr="007777E2">
        <w:t>s</w:t>
      </w:r>
      <w:r w:rsidR="0033567F" w:rsidRPr="007777E2">
        <w:t xml:space="preserve"> a comprehensive assessment of long</w:t>
      </w:r>
      <w:r w:rsidR="004E1CF3" w:rsidRPr="007777E2">
        <w:t>-</w:t>
      </w:r>
      <w:r w:rsidR="0033567F" w:rsidRPr="007777E2">
        <w:t xml:space="preserve">term </w:t>
      </w:r>
      <w:r w:rsidR="00AA3166" w:rsidRPr="007777E2">
        <w:t xml:space="preserve">investment </w:t>
      </w:r>
      <w:r w:rsidR="0033567F" w:rsidRPr="007777E2">
        <w:t xml:space="preserve">needs, fully </w:t>
      </w:r>
      <w:r w:rsidR="0033567F" w:rsidRPr="007777E2">
        <w:lastRenderedPageBreak/>
        <w:t>integrated in</w:t>
      </w:r>
      <w:r w:rsidR="004E1CF3" w:rsidRPr="007777E2">
        <w:t>to</w:t>
      </w:r>
      <w:r w:rsidR="0033567F" w:rsidRPr="007777E2">
        <w:t xml:space="preserve"> the European transportation market, taking into consideration not only </w:t>
      </w:r>
      <w:r w:rsidR="00E168C9" w:rsidRPr="007777E2">
        <w:t>EU</w:t>
      </w:r>
      <w:r w:rsidR="0033567F" w:rsidRPr="007777E2">
        <w:t xml:space="preserve"> objectives of developing international corridors but also all </w:t>
      </w:r>
      <w:r w:rsidR="004E1CF3" w:rsidRPr="007777E2">
        <w:t>domestic</w:t>
      </w:r>
      <w:r w:rsidR="0033567F" w:rsidRPr="007777E2">
        <w:t xml:space="preserve"> needs</w:t>
      </w:r>
      <w:r w:rsidR="006207A6">
        <w:t xml:space="preserve">. </w:t>
      </w:r>
      <w:r w:rsidR="0033567F" w:rsidRPr="007777E2">
        <w:t xml:space="preserve"> </w:t>
      </w:r>
      <w:r>
        <w:t xml:space="preserve">The new Strategy </w:t>
      </w:r>
      <w:r w:rsidR="0033567F" w:rsidRPr="007777E2">
        <w:t xml:space="preserve">should </w:t>
      </w:r>
      <w:r>
        <w:t xml:space="preserve">also </w:t>
      </w:r>
      <w:r w:rsidR="0033567F" w:rsidRPr="007777E2">
        <w:t>define the role</w:t>
      </w:r>
      <w:r w:rsidR="00D220B6">
        <w:t>s</w:t>
      </w:r>
      <w:r w:rsidR="0033567F" w:rsidRPr="007777E2">
        <w:t xml:space="preserve"> of the </w:t>
      </w:r>
      <w:r w:rsidR="00AA3166" w:rsidRPr="007777E2">
        <w:t xml:space="preserve">road and </w:t>
      </w:r>
      <w:r w:rsidR="0033567F" w:rsidRPr="007777E2">
        <w:t xml:space="preserve">railway </w:t>
      </w:r>
      <w:r w:rsidR="006207A6">
        <w:t xml:space="preserve">subsectors </w:t>
      </w:r>
      <w:r w:rsidR="0033567F" w:rsidRPr="007777E2">
        <w:t>in the future transportation system of Belarus</w:t>
      </w:r>
      <w:r w:rsidR="006207A6">
        <w:t>,</w:t>
      </w:r>
      <w:r w:rsidR="0033567F" w:rsidRPr="007777E2">
        <w:t xml:space="preserve"> answering the following questions:</w:t>
      </w:r>
    </w:p>
    <w:p w:rsidR="0033567F" w:rsidRPr="00D03C22" w:rsidRDefault="0033567F" w:rsidP="00515EB8">
      <w:pPr>
        <w:pStyle w:val="ListParagraph"/>
        <w:numPr>
          <w:ilvl w:val="0"/>
          <w:numId w:val="18"/>
        </w:numPr>
        <w:ind w:left="720"/>
        <w:rPr>
          <w:rFonts w:ascii="Times New Roman" w:hAnsi="Times New Roman"/>
          <w:sz w:val="24"/>
          <w:szCs w:val="24"/>
        </w:rPr>
      </w:pPr>
      <w:bookmarkStart w:id="243" w:name="_Toc257297050"/>
      <w:bookmarkStart w:id="244" w:name="_Toc257297645"/>
      <w:bookmarkStart w:id="245" w:name="_Toc257297747"/>
      <w:bookmarkStart w:id="246" w:name="_Toc257297873"/>
      <w:bookmarkStart w:id="247" w:name="_Toc257729259"/>
      <w:bookmarkStart w:id="248" w:name="_Toc258338357"/>
      <w:bookmarkStart w:id="249" w:name="_Toc258338538"/>
      <w:bookmarkStart w:id="250" w:name="_Toc258338589"/>
      <w:bookmarkStart w:id="251" w:name="_Toc258338641"/>
      <w:bookmarkStart w:id="252" w:name="_Toc258350602"/>
      <w:bookmarkStart w:id="253" w:name="_Toc258510294"/>
      <w:bookmarkStart w:id="254" w:name="_Toc258532702"/>
      <w:bookmarkStart w:id="255" w:name="_Toc264027807"/>
      <w:bookmarkStart w:id="256" w:name="_Toc264029985"/>
      <w:bookmarkStart w:id="257" w:name="_Toc264225942"/>
      <w:bookmarkStart w:id="258" w:name="_Toc264226896"/>
      <w:bookmarkStart w:id="259" w:name="_Toc264227387"/>
      <w:bookmarkStart w:id="260" w:name="_Toc265074364"/>
      <w:bookmarkStart w:id="261" w:name="_Toc265673436"/>
      <w:r w:rsidRPr="00D03C22">
        <w:rPr>
          <w:rFonts w:ascii="Times New Roman" w:hAnsi="Times New Roman"/>
          <w:sz w:val="24"/>
          <w:szCs w:val="24"/>
        </w:rPr>
        <w:t>Wh</w:t>
      </w:r>
      <w:r w:rsidR="004E1CF3" w:rsidRPr="00D03C22">
        <w:rPr>
          <w:rFonts w:ascii="Times New Roman" w:hAnsi="Times New Roman"/>
          <w:sz w:val="24"/>
          <w:szCs w:val="24"/>
        </w:rPr>
        <w:t>at</w:t>
      </w:r>
      <w:r w:rsidRPr="00D03C22">
        <w:rPr>
          <w:rFonts w:ascii="Times New Roman" w:hAnsi="Times New Roman"/>
          <w:sz w:val="24"/>
          <w:szCs w:val="24"/>
        </w:rPr>
        <w:t xml:space="preserve"> will the transportation needs of Belarus </w:t>
      </w:r>
      <w:r w:rsidR="004E1CF3" w:rsidRPr="00D03C22">
        <w:rPr>
          <w:rFonts w:ascii="Times New Roman" w:hAnsi="Times New Roman"/>
          <w:sz w:val="24"/>
          <w:szCs w:val="24"/>
        </w:rPr>
        <w:t xml:space="preserve">be </w:t>
      </w:r>
      <w:r w:rsidRPr="00D03C22">
        <w:rPr>
          <w:rFonts w:ascii="Times New Roman" w:hAnsi="Times New Roman"/>
          <w:sz w:val="24"/>
          <w:szCs w:val="24"/>
        </w:rPr>
        <w:t>in the next 20-25 years, consideri</w:t>
      </w:r>
      <w:r w:rsidR="004E1CF3" w:rsidRPr="00D03C22">
        <w:rPr>
          <w:rFonts w:ascii="Times New Roman" w:hAnsi="Times New Roman"/>
          <w:sz w:val="24"/>
          <w:szCs w:val="24"/>
        </w:rPr>
        <w:t>ng</w:t>
      </w:r>
      <w:r w:rsidR="00515EB8">
        <w:rPr>
          <w:rFonts w:ascii="Times New Roman" w:hAnsi="Times New Roman"/>
          <w:sz w:val="24"/>
          <w:szCs w:val="24"/>
        </w:rPr>
        <w:t>:</w:t>
      </w:r>
      <w:r w:rsidRPr="00D03C22">
        <w:rPr>
          <w:rFonts w:ascii="Times New Roman" w:hAnsi="Times New Roman"/>
          <w:sz w:val="24"/>
          <w:szCs w:val="24"/>
        </w:rPr>
        <w:t xml:space="preserve"> </w:t>
      </w:r>
      <w:r w:rsidR="006207A6" w:rsidRPr="00D03C22">
        <w:rPr>
          <w:rFonts w:ascii="Times New Roman" w:hAnsi="Times New Roman"/>
          <w:sz w:val="24"/>
          <w:szCs w:val="24"/>
        </w:rPr>
        <w:t>(</w:t>
      </w:r>
      <w:proofErr w:type="spellStart"/>
      <w:r w:rsidR="006207A6" w:rsidRPr="00D03C22">
        <w:rPr>
          <w:rFonts w:ascii="Times New Roman" w:hAnsi="Times New Roman"/>
          <w:sz w:val="24"/>
          <w:szCs w:val="24"/>
        </w:rPr>
        <w:t>i</w:t>
      </w:r>
      <w:proofErr w:type="spellEnd"/>
      <w:r w:rsidR="006207A6" w:rsidRPr="00D03C22">
        <w:rPr>
          <w:rFonts w:ascii="Times New Roman" w:hAnsi="Times New Roman"/>
          <w:sz w:val="24"/>
          <w:szCs w:val="24"/>
        </w:rPr>
        <w:t xml:space="preserve">) </w:t>
      </w:r>
      <w:r w:rsidRPr="00D03C22">
        <w:rPr>
          <w:rFonts w:ascii="Times New Roman" w:hAnsi="Times New Roman"/>
          <w:sz w:val="24"/>
          <w:szCs w:val="24"/>
        </w:rPr>
        <w:t>the predicted annual growth of GDP</w:t>
      </w:r>
      <w:r w:rsidR="00515EB8">
        <w:rPr>
          <w:rFonts w:ascii="Times New Roman" w:hAnsi="Times New Roman"/>
          <w:sz w:val="24"/>
          <w:szCs w:val="24"/>
        </w:rPr>
        <w:t>;</w:t>
      </w:r>
      <w:r w:rsidRPr="00D03C22">
        <w:rPr>
          <w:rFonts w:ascii="Times New Roman" w:hAnsi="Times New Roman"/>
          <w:sz w:val="24"/>
          <w:szCs w:val="24"/>
        </w:rPr>
        <w:t xml:space="preserve"> and </w:t>
      </w:r>
      <w:r w:rsidR="006207A6" w:rsidRPr="00D03C22">
        <w:rPr>
          <w:rFonts w:ascii="Times New Roman" w:hAnsi="Times New Roman"/>
          <w:sz w:val="24"/>
          <w:szCs w:val="24"/>
        </w:rPr>
        <w:t xml:space="preserve">(ii) </w:t>
      </w:r>
      <w:r w:rsidRPr="00D03C22">
        <w:rPr>
          <w:rFonts w:ascii="Times New Roman" w:hAnsi="Times New Roman"/>
          <w:sz w:val="24"/>
          <w:szCs w:val="24"/>
        </w:rPr>
        <w:t xml:space="preserve">the worldwide trend that transport </w:t>
      </w:r>
      <w:r w:rsidR="006207A6" w:rsidRPr="00D03C22">
        <w:rPr>
          <w:rFonts w:ascii="Times New Roman" w:hAnsi="Times New Roman"/>
          <w:sz w:val="24"/>
          <w:szCs w:val="24"/>
        </w:rPr>
        <w:t xml:space="preserve">demand growth exceeds </w:t>
      </w:r>
      <w:r w:rsidRPr="00D03C22">
        <w:rPr>
          <w:rFonts w:ascii="Times New Roman" w:hAnsi="Times New Roman"/>
          <w:sz w:val="24"/>
          <w:szCs w:val="24"/>
        </w:rPr>
        <w:t>GDP</w:t>
      </w:r>
      <w:r w:rsidR="006207A6" w:rsidRPr="00D03C22">
        <w:rPr>
          <w:rFonts w:ascii="Times New Roman" w:hAnsi="Times New Roman"/>
          <w:sz w:val="24"/>
          <w:szCs w:val="24"/>
        </w:rPr>
        <w:t xml:space="preserve"> growth rates</w:t>
      </w:r>
      <w:r w:rsidRPr="00D03C22">
        <w:rPr>
          <w:rFonts w:ascii="Times New Roman" w:hAnsi="Times New Roman"/>
          <w:sz w:val="24"/>
          <w:szCs w:val="24"/>
        </w:rPr>
        <w:t>?</w:t>
      </w:r>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p>
    <w:p w:rsidR="00E9109F" w:rsidRPr="00D03C22" w:rsidRDefault="0033567F" w:rsidP="00515EB8">
      <w:pPr>
        <w:pStyle w:val="ListParagraph"/>
        <w:numPr>
          <w:ilvl w:val="0"/>
          <w:numId w:val="18"/>
        </w:numPr>
        <w:ind w:left="720"/>
        <w:rPr>
          <w:rFonts w:ascii="Times New Roman" w:hAnsi="Times New Roman"/>
          <w:sz w:val="24"/>
          <w:szCs w:val="24"/>
        </w:rPr>
      </w:pPr>
      <w:bookmarkStart w:id="262" w:name="_Toc257297051"/>
      <w:bookmarkStart w:id="263" w:name="_Toc257297646"/>
      <w:bookmarkStart w:id="264" w:name="_Toc257297748"/>
      <w:bookmarkStart w:id="265" w:name="_Toc257297874"/>
      <w:bookmarkStart w:id="266" w:name="_Toc257729260"/>
      <w:bookmarkStart w:id="267" w:name="_Toc258338358"/>
      <w:bookmarkStart w:id="268" w:name="_Toc258338539"/>
      <w:bookmarkStart w:id="269" w:name="_Toc258338590"/>
      <w:bookmarkStart w:id="270" w:name="_Toc258338642"/>
      <w:bookmarkStart w:id="271" w:name="_Toc258350603"/>
      <w:bookmarkStart w:id="272" w:name="_Toc258510295"/>
      <w:bookmarkStart w:id="273" w:name="_Toc258532703"/>
      <w:bookmarkStart w:id="274" w:name="_Toc264027808"/>
      <w:bookmarkStart w:id="275" w:name="_Toc264029986"/>
      <w:bookmarkStart w:id="276" w:name="_Toc264225943"/>
      <w:bookmarkStart w:id="277" w:name="_Toc264226897"/>
      <w:bookmarkStart w:id="278" w:name="_Toc264227388"/>
      <w:bookmarkStart w:id="279" w:name="_Toc265074365"/>
      <w:bookmarkStart w:id="280" w:name="_Toc265673437"/>
      <w:r w:rsidRPr="00D03C22">
        <w:rPr>
          <w:rFonts w:ascii="Times New Roman" w:hAnsi="Times New Roman"/>
          <w:sz w:val="24"/>
          <w:szCs w:val="24"/>
        </w:rPr>
        <w:t xml:space="preserve">What is the </w:t>
      </w:r>
      <w:r w:rsidR="004E1CF3" w:rsidRPr="00D03C22">
        <w:rPr>
          <w:rFonts w:ascii="Times New Roman" w:hAnsi="Times New Roman"/>
          <w:sz w:val="24"/>
          <w:szCs w:val="24"/>
        </w:rPr>
        <w:t>target ma</w:t>
      </w:r>
      <w:r w:rsidRPr="00D03C22">
        <w:rPr>
          <w:rFonts w:ascii="Times New Roman" w:hAnsi="Times New Roman"/>
          <w:sz w:val="24"/>
          <w:szCs w:val="24"/>
        </w:rPr>
        <w:t xml:space="preserve">rket share </w:t>
      </w:r>
      <w:r w:rsidR="004E1CF3" w:rsidRPr="00D03C22">
        <w:rPr>
          <w:rFonts w:ascii="Times New Roman" w:hAnsi="Times New Roman"/>
          <w:sz w:val="24"/>
          <w:szCs w:val="24"/>
        </w:rPr>
        <w:t>of</w:t>
      </w:r>
      <w:r w:rsidRPr="00D03C22">
        <w:rPr>
          <w:rFonts w:ascii="Times New Roman" w:hAnsi="Times New Roman"/>
          <w:sz w:val="24"/>
          <w:szCs w:val="24"/>
        </w:rPr>
        <w:t xml:space="preserve"> railway in </w:t>
      </w:r>
      <w:r w:rsidR="004E1CF3" w:rsidRPr="00D03C22">
        <w:rPr>
          <w:rFonts w:ascii="Times New Roman" w:hAnsi="Times New Roman"/>
          <w:sz w:val="24"/>
          <w:szCs w:val="24"/>
        </w:rPr>
        <w:t xml:space="preserve">the </w:t>
      </w:r>
      <w:r w:rsidRPr="00D03C22">
        <w:rPr>
          <w:rFonts w:ascii="Times New Roman" w:hAnsi="Times New Roman"/>
          <w:sz w:val="24"/>
          <w:szCs w:val="24"/>
        </w:rPr>
        <w:t xml:space="preserve">Belarus </w:t>
      </w:r>
      <w:r w:rsidR="004E1CF3" w:rsidRPr="00D03C22">
        <w:rPr>
          <w:rFonts w:ascii="Times New Roman" w:hAnsi="Times New Roman"/>
          <w:sz w:val="24"/>
          <w:szCs w:val="24"/>
        </w:rPr>
        <w:t xml:space="preserve">transportation system in </w:t>
      </w:r>
      <w:r w:rsidRPr="00D03C22">
        <w:rPr>
          <w:rFonts w:ascii="Times New Roman" w:hAnsi="Times New Roman"/>
          <w:sz w:val="24"/>
          <w:szCs w:val="24"/>
        </w:rPr>
        <w:t>20-25 year</w:t>
      </w:r>
      <w:r w:rsidR="004E1CF3" w:rsidRPr="00D03C22">
        <w:rPr>
          <w:rFonts w:ascii="Times New Roman" w:hAnsi="Times New Roman"/>
          <w:sz w:val="24"/>
          <w:szCs w:val="24"/>
        </w:rPr>
        <w:t>s</w:t>
      </w:r>
      <w:r w:rsidR="00753CBE" w:rsidRPr="00D03C22">
        <w:rPr>
          <w:rFonts w:ascii="Times New Roman" w:hAnsi="Times New Roman"/>
          <w:sz w:val="24"/>
          <w:szCs w:val="24"/>
        </w:rPr>
        <w:t>,</w:t>
      </w:r>
      <w:r w:rsidRPr="00D03C22">
        <w:rPr>
          <w:rFonts w:ascii="Times New Roman" w:hAnsi="Times New Roman"/>
          <w:sz w:val="24"/>
          <w:szCs w:val="24"/>
        </w:rPr>
        <w:t xml:space="preserve"> </w:t>
      </w:r>
      <w:r w:rsidR="004E1CF3" w:rsidRPr="00D03C22">
        <w:rPr>
          <w:rFonts w:ascii="Times New Roman" w:hAnsi="Times New Roman"/>
          <w:sz w:val="24"/>
          <w:szCs w:val="24"/>
        </w:rPr>
        <w:t>considering</w:t>
      </w:r>
      <w:r w:rsidRPr="00D03C22">
        <w:rPr>
          <w:rFonts w:ascii="Times New Roman" w:hAnsi="Times New Roman"/>
          <w:sz w:val="24"/>
          <w:szCs w:val="24"/>
        </w:rPr>
        <w:t xml:space="preserve"> economic criteria and social aspects</w:t>
      </w:r>
      <w:r w:rsidR="004E1CF3" w:rsidRPr="00D03C22">
        <w:rPr>
          <w:rFonts w:ascii="Times New Roman" w:hAnsi="Times New Roman"/>
          <w:sz w:val="24"/>
          <w:szCs w:val="24"/>
        </w:rPr>
        <w:t>,</w:t>
      </w:r>
      <w:r w:rsidRPr="00D03C22">
        <w:rPr>
          <w:rFonts w:ascii="Times New Roman" w:hAnsi="Times New Roman"/>
          <w:sz w:val="24"/>
          <w:szCs w:val="24"/>
        </w:rPr>
        <w:t xml:space="preserve"> </w:t>
      </w:r>
      <w:r w:rsidR="00C926DA" w:rsidRPr="00D03C22">
        <w:rPr>
          <w:rFonts w:ascii="Times New Roman" w:hAnsi="Times New Roman"/>
          <w:sz w:val="24"/>
          <w:szCs w:val="24"/>
        </w:rPr>
        <w:t xml:space="preserve">such as </w:t>
      </w:r>
      <w:r w:rsidRPr="00D03C22">
        <w:rPr>
          <w:rFonts w:ascii="Times New Roman" w:hAnsi="Times New Roman"/>
          <w:sz w:val="24"/>
          <w:szCs w:val="24"/>
        </w:rPr>
        <w:t xml:space="preserve">climate change, traffic safety </w:t>
      </w:r>
      <w:r w:rsidR="004E1CF3" w:rsidRPr="00D03C22">
        <w:rPr>
          <w:rFonts w:ascii="Times New Roman" w:hAnsi="Times New Roman"/>
          <w:sz w:val="24"/>
          <w:szCs w:val="24"/>
        </w:rPr>
        <w:t xml:space="preserve">and </w:t>
      </w:r>
      <w:r w:rsidRPr="00D03C22">
        <w:rPr>
          <w:rFonts w:ascii="Times New Roman" w:hAnsi="Times New Roman"/>
          <w:sz w:val="24"/>
          <w:szCs w:val="24"/>
        </w:rPr>
        <w:t>land utilization?</w:t>
      </w:r>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p>
    <w:p w:rsidR="0033567F" w:rsidRPr="00D03C22" w:rsidRDefault="0033567F" w:rsidP="00515EB8">
      <w:pPr>
        <w:pStyle w:val="ListParagraph"/>
        <w:numPr>
          <w:ilvl w:val="0"/>
          <w:numId w:val="18"/>
        </w:numPr>
        <w:ind w:left="720"/>
        <w:rPr>
          <w:rFonts w:ascii="Times New Roman" w:hAnsi="Times New Roman"/>
          <w:sz w:val="24"/>
          <w:szCs w:val="24"/>
        </w:rPr>
      </w:pPr>
      <w:bookmarkStart w:id="281" w:name="_Toc257297052"/>
      <w:bookmarkStart w:id="282" w:name="_Toc257297647"/>
      <w:bookmarkStart w:id="283" w:name="_Toc257297749"/>
      <w:bookmarkStart w:id="284" w:name="_Toc257297875"/>
      <w:bookmarkStart w:id="285" w:name="_Toc257729261"/>
      <w:bookmarkStart w:id="286" w:name="_Toc258338359"/>
      <w:bookmarkStart w:id="287" w:name="_Toc258338540"/>
      <w:bookmarkStart w:id="288" w:name="_Toc258338591"/>
      <w:bookmarkStart w:id="289" w:name="_Toc258338643"/>
      <w:bookmarkStart w:id="290" w:name="_Toc258350604"/>
      <w:bookmarkStart w:id="291" w:name="_Toc258510296"/>
      <w:bookmarkStart w:id="292" w:name="_Toc258532704"/>
      <w:bookmarkStart w:id="293" w:name="_Toc264027809"/>
      <w:bookmarkStart w:id="294" w:name="_Toc264029987"/>
      <w:bookmarkStart w:id="295" w:name="_Toc264225944"/>
      <w:bookmarkStart w:id="296" w:name="_Toc264226898"/>
      <w:bookmarkStart w:id="297" w:name="_Toc264227389"/>
      <w:bookmarkStart w:id="298" w:name="_Toc265074366"/>
      <w:bookmarkStart w:id="299" w:name="_Toc265673438"/>
      <w:r w:rsidRPr="00D03C22">
        <w:rPr>
          <w:rFonts w:ascii="Times New Roman" w:hAnsi="Times New Roman"/>
          <w:sz w:val="24"/>
          <w:szCs w:val="24"/>
        </w:rPr>
        <w:t xml:space="preserve">How much of the predicted transportation volumes in the next 20-25 years could </w:t>
      </w:r>
      <w:r w:rsidR="006207A6" w:rsidRPr="00D03C22">
        <w:rPr>
          <w:rFonts w:ascii="Times New Roman" w:hAnsi="Times New Roman"/>
          <w:sz w:val="24"/>
          <w:szCs w:val="24"/>
        </w:rPr>
        <w:t xml:space="preserve">be carried on </w:t>
      </w:r>
      <w:r w:rsidRPr="00D03C22">
        <w:rPr>
          <w:rFonts w:ascii="Times New Roman" w:hAnsi="Times New Roman"/>
          <w:sz w:val="24"/>
          <w:szCs w:val="24"/>
        </w:rPr>
        <w:t>the existing infrastructure? What additional capacities are necessary and where are they to be developed?</w:t>
      </w:r>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p>
    <w:p w:rsidR="0033567F" w:rsidRPr="00D03C22" w:rsidRDefault="0033567F" w:rsidP="00515EB8">
      <w:pPr>
        <w:pStyle w:val="ListParagraph"/>
        <w:numPr>
          <w:ilvl w:val="0"/>
          <w:numId w:val="18"/>
        </w:numPr>
        <w:ind w:left="720"/>
        <w:rPr>
          <w:rFonts w:ascii="Times New Roman" w:hAnsi="Times New Roman"/>
          <w:sz w:val="24"/>
          <w:szCs w:val="24"/>
        </w:rPr>
      </w:pPr>
      <w:bookmarkStart w:id="300" w:name="_Toc257297053"/>
      <w:bookmarkStart w:id="301" w:name="_Toc257297648"/>
      <w:bookmarkStart w:id="302" w:name="_Toc257297750"/>
      <w:bookmarkStart w:id="303" w:name="_Toc257297876"/>
      <w:bookmarkStart w:id="304" w:name="_Toc257729262"/>
      <w:bookmarkStart w:id="305" w:name="_Toc258338360"/>
      <w:bookmarkStart w:id="306" w:name="_Toc258338541"/>
      <w:bookmarkStart w:id="307" w:name="_Toc258338592"/>
      <w:bookmarkStart w:id="308" w:name="_Toc258338644"/>
      <w:bookmarkStart w:id="309" w:name="_Toc258350605"/>
      <w:bookmarkStart w:id="310" w:name="_Toc258510297"/>
      <w:bookmarkStart w:id="311" w:name="_Toc258532705"/>
      <w:bookmarkStart w:id="312" w:name="_Toc264027810"/>
      <w:bookmarkStart w:id="313" w:name="_Toc264029988"/>
      <w:bookmarkStart w:id="314" w:name="_Toc264225945"/>
      <w:bookmarkStart w:id="315" w:name="_Toc264226899"/>
      <w:bookmarkStart w:id="316" w:name="_Toc264227390"/>
      <w:bookmarkStart w:id="317" w:name="_Toc265074367"/>
      <w:bookmarkStart w:id="318" w:name="_Toc265673439"/>
      <w:r w:rsidRPr="00D03C22">
        <w:rPr>
          <w:rFonts w:ascii="Times New Roman" w:hAnsi="Times New Roman"/>
          <w:sz w:val="24"/>
          <w:szCs w:val="24"/>
        </w:rPr>
        <w:t xml:space="preserve">How </w:t>
      </w:r>
      <w:r w:rsidR="00C926DA" w:rsidRPr="00D03C22">
        <w:rPr>
          <w:rFonts w:ascii="Times New Roman" w:hAnsi="Times New Roman"/>
          <w:sz w:val="24"/>
          <w:szCs w:val="24"/>
        </w:rPr>
        <w:t>should</w:t>
      </w:r>
      <w:r w:rsidRPr="00D03C22">
        <w:rPr>
          <w:rFonts w:ascii="Times New Roman" w:hAnsi="Times New Roman"/>
          <w:sz w:val="24"/>
          <w:szCs w:val="24"/>
        </w:rPr>
        <w:t xml:space="preserve"> </w:t>
      </w:r>
      <w:r w:rsidR="006207A6" w:rsidRPr="00D03C22">
        <w:rPr>
          <w:rFonts w:ascii="Times New Roman" w:hAnsi="Times New Roman"/>
          <w:sz w:val="24"/>
          <w:szCs w:val="24"/>
        </w:rPr>
        <w:t xml:space="preserve">road and rail </w:t>
      </w:r>
      <w:r w:rsidRPr="00D03C22">
        <w:rPr>
          <w:rFonts w:ascii="Times New Roman" w:hAnsi="Times New Roman"/>
          <w:sz w:val="24"/>
          <w:szCs w:val="24"/>
        </w:rPr>
        <w:t>infrastructure projects</w:t>
      </w:r>
      <w:r w:rsidR="00C926DA" w:rsidRPr="00D03C22">
        <w:rPr>
          <w:rFonts w:ascii="Times New Roman" w:hAnsi="Times New Roman"/>
          <w:sz w:val="24"/>
          <w:szCs w:val="24"/>
        </w:rPr>
        <w:t xml:space="preserve"> be financed</w:t>
      </w:r>
      <w:r w:rsidR="006207A6" w:rsidRPr="00D03C22">
        <w:rPr>
          <w:rFonts w:ascii="Times New Roman" w:hAnsi="Times New Roman"/>
          <w:sz w:val="24"/>
          <w:szCs w:val="24"/>
        </w:rPr>
        <w:t xml:space="preserve">, </w:t>
      </w:r>
      <w:r w:rsidR="004E1CF3" w:rsidRPr="00D03C22">
        <w:rPr>
          <w:rFonts w:ascii="Times New Roman" w:hAnsi="Times New Roman"/>
          <w:sz w:val="24"/>
          <w:szCs w:val="24"/>
        </w:rPr>
        <w:t>avoid</w:t>
      </w:r>
      <w:r w:rsidR="006207A6" w:rsidRPr="00D03C22">
        <w:rPr>
          <w:rFonts w:ascii="Times New Roman" w:hAnsi="Times New Roman"/>
          <w:sz w:val="24"/>
          <w:szCs w:val="24"/>
        </w:rPr>
        <w:t>ing a</w:t>
      </w:r>
      <w:r w:rsidRPr="00D03C22">
        <w:rPr>
          <w:rFonts w:ascii="Times New Roman" w:hAnsi="Times New Roman"/>
          <w:sz w:val="24"/>
          <w:szCs w:val="24"/>
        </w:rPr>
        <w:t xml:space="preserve"> distortion </w:t>
      </w:r>
      <w:r w:rsidR="00C926DA" w:rsidRPr="00D03C22">
        <w:rPr>
          <w:rFonts w:ascii="Times New Roman" w:hAnsi="Times New Roman"/>
          <w:sz w:val="24"/>
          <w:szCs w:val="24"/>
        </w:rPr>
        <w:t>in</w:t>
      </w:r>
      <w:r w:rsidRPr="00D03C22">
        <w:rPr>
          <w:rFonts w:ascii="Times New Roman" w:hAnsi="Times New Roman"/>
          <w:sz w:val="24"/>
          <w:szCs w:val="24"/>
        </w:rPr>
        <w:t xml:space="preserve"> the transport</w:t>
      </w:r>
      <w:r w:rsidR="00C926DA" w:rsidRPr="00D03C22">
        <w:rPr>
          <w:rFonts w:ascii="Times New Roman" w:hAnsi="Times New Roman"/>
          <w:sz w:val="24"/>
          <w:szCs w:val="24"/>
        </w:rPr>
        <w:t>ation</w:t>
      </w:r>
      <w:r w:rsidRPr="00D03C22">
        <w:rPr>
          <w:rFonts w:ascii="Times New Roman" w:hAnsi="Times New Roman"/>
          <w:sz w:val="24"/>
          <w:szCs w:val="24"/>
        </w:rPr>
        <w:t xml:space="preserve"> market </w:t>
      </w:r>
      <w:r w:rsidR="00C926DA" w:rsidRPr="00D03C22">
        <w:rPr>
          <w:rFonts w:ascii="Times New Roman" w:hAnsi="Times New Roman"/>
          <w:sz w:val="24"/>
          <w:szCs w:val="24"/>
        </w:rPr>
        <w:t xml:space="preserve">and </w:t>
      </w:r>
      <w:r w:rsidR="004E1CF3" w:rsidRPr="00D03C22">
        <w:rPr>
          <w:rFonts w:ascii="Times New Roman" w:hAnsi="Times New Roman"/>
          <w:sz w:val="24"/>
          <w:szCs w:val="24"/>
        </w:rPr>
        <w:t xml:space="preserve">in </w:t>
      </w:r>
      <w:r w:rsidR="00C926DA" w:rsidRPr="00D03C22">
        <w:rPr>
          <w:rFonts w:ascii="Times New Roman" w:hAnsi="Times New Roman"/>
          <w:sz w:val="24"/>
          <w:szCs w:val="24"/>
        </w:rPr>
        <w:t>the</w:t>
      </w:r>
      <w:r w:rsidRPr="00D03C22">
        <w:rPr>
          <w:rFonts w:ascii="Times New Roman" w:hAnsi="Times New Roman"/>
          <w:sz w:val="24"/>
          <w:szCs w:val="24"/>
        </w:rPr>
        <w:t xml:space="preserve"> competition between rail and road transport? Belarus</w:t>
      </w:r>
      <w:r w:rsidR="00AA3166" w:rsidRPr="00D03C22">
        <w:rPr>
          <w:rFonts w:ascii="Times New Roman" w:hAnsi="Times New Roman"/>
          <w:sz w:val="24"/>
          <w:szCs w:val="24"/>
        </w:rPr>
        <w:t>ian</w:t>
      </w:r>
      <w:r w:rsidRPr="00D03C22">
        <w:rPr>
          <w:rFonts w:ascii="Times New Roman" w:hAnsi="Times New Roman"/>
          <w:sz w:val="24"/>
          <w:szCs w:val="24"/>
        </w:rPr>
        <w:t xml:space="preserve"> Railway</w:t>
      </w:r>
      <w:r w:rsidR="00AA3166" w:rsidRPr="00D03C22">
        <w:rPr>
          <w:rFonts w:ascii="Times New Roman" w:hAnsi="Times New Roman"/>
          <w:sz w:val="24"/>
          <w:szCs w:val="24"/>
        </w:rPr>
        <w:t>s</w:t>
      </w:r>
      <w:r w:rsidRPr="00D03C22">
        <w:rPr>
          <w:rFonts w:ascii="Times New Roman" w:hAnsi="Times New Roman"/>
          <w:sz w:val="24"/>
          <w:szCs w:val="24"/>
        </w:rPr>
        <w:t xml:space="preserve"> </w:t>
      </w:r>
      <w:r w:rsidR="006207A6" w:rsidRPr="00D03C22">
        <w:rPr>
          <w:rFonts w:ascii="Times New Roman" w:hAnsi="Times New Roman"/>
          <w:sz w:val="24"/>
          <w:szCs w:val="24"/>
        </w:rPr>
        <w:t xml:space="preserve">own </w:t>
      </w:r>
      <w:r w:rsidRPr="00D03C22">
        <w:rPr>
          <w:rFonts w:ascii="Times New Roman" w:hAnsi="Times New Roman"/>
          <w:sz w:val="24"/>
          <w:szCs w:val="24"/>
        </w:rPr>
        <w:t xml:space="preserve">funds </w:t>
      </w:r>
      <w:r w:rsidR="006207A6" w:rsidRPr="00D03C22">
        <w:rPr>
          <w:rFonts w:ascii="Times New Roman" w:hAnsi="Times New Roman"/>
          <w:sz w:val="24"/>
          <w:szCs w:val="24"/>
        </w:rPr>
        <w:t xml:space="preserve">will </w:t>
      </w:r>
      <w:r w:rsidRPr="00D03C22">
        <w:rPr>
          <w:rFonts w:ascii="Times New Roman" w:hAnsi="Times New Roman"/>
          <w:sz w:val="24"/>
          <w:szCs w:val="24"/>
        </w:rPr>
        <w:t xml:space="preserve">be insufficient </w:t>
      </w:r>
      <w:r w:rsidR="00753CBE" w:rsidRPr="00D03C22">
        <w:rPr>
          <w:rFonts w:ascii="Times New Roman" w:hAnsi="Times New Roman"/>
          <w:sz w:val="24"/>
          <w:szCs w:val="24"/>
        </w:rPr>
        <w:t xml:space="preserve">for self-funding of railway </w:t>
      </w:r>
      <w:r w:rsidR="006207A6" w:rsidRPr="00D03C22">
        <w:rPr>
          <w:rFonts w:ascii="Times New Roman" w:hAnsi="Times New Roman"/>
          <w:sz w:val="24"/>
          <w:szCs w:val="24"/>
        </w:rPr>
        <w:t xml:space="preserve">infrastructure </w:t>
      </w:r>
      <w:r w:rsidRPr="00D03C22">
        <w:rPr>
          <w:rFonts w:ascii="Times New Roman" w:hAnsi="Times New Roman"/>
          <w:sz w:val="24"/>
          <w:szCs w:val="24"/>
        </w:rPr>
        <w:t xml:space="preserve">and alternate solutions may be necessary </w:t>
      </w:r>
      <w:r w:rsidR="004E1CF3" w:rsidRPr="00D03C22">
        <w:rPr>
          <w:rFonts w:ascii="Times New Roman" w:hAnsi="Times New Roman"/>
          <w:sz w:val="24"/>
          <w:szCs w:val="24"/>
        </w:rPr>
        <w:t>for an</w:t>
      </w:r>
      <w:r w:rsidRPr="00D03C22">
        <w:rPr>
          <w:rFonts w:ascii="Times New Roman" w:hAnsi="Times New Roman"/>
          <w:sz w:val="24"/>
          <w:szCs w:val="24"/>
        </w:rPr>
        <w:t xml:space="preserve"> unbiased approach </w:t>
      </w:r>
      <w:r w:rsidR="00753CBE" w:rsidRPr="00D03C22">
        <w:rPr>
          <w:rFonts w:ascii="Times New Roman" w:hAnsi="Times New Roman"/>
          <w:sz w:val="24"/>
          <w:szCs w:val="24"/>
        </w:rPr>
        <w:t xml:space="preserve">of road versus rail </w:t>
      </w:r>
      <w:r w:rsidRPr="00D03C22">
        <w:rPr>
          <w:rFonts w:ascii="Times New Roman" w:hAnsi="Times New Roman"/>
          <w:sz w:val="24"/>
          <w:szCs w:val="24"/>
        </w:rPr>
        <w:t>infrastructure.</w:t>
      </w:r>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r w:rsidRPr="00D03C22">
        <w:rPr>
          <w:rFonts w:ascii="Times New Roman" w:hAnsi="Times New Roman"/>
          <w:sz w:val="24"/>
          <w:szCs w:val="24"/>
        </w:rPr>
        <w:t xml:space="preserve"> </w:t>
      </w:r>
      <w:r w:rsidR="006207A6" w:rsidRPr="00D03C22">
        <w:rPr>
          <w:rFonts w:ascii="Times New Roman" w:hAnsi="Times New Roman"/>
          <w:sz w:val="24"/>
          <w:szCs w:val="24"/>
        </w:rPr>
        <w:t>An expanded cost recovery mechanism for road infrastructure may be needed, such as a broader use of road tolling.</w:t>
      </w:r>
      <w:bookmarkEnd w:id="318"/>
    </w:p>
    <w:p w:rsidR="00C441FC" w:rsidRPr="00D03C22" w:rsidRDefault="00C441FC" w:rsidP="00515EB8">
      <w:pPr>
        <w:pStyle w:val="ListParagraph"/>
        <w:numPr>
          <w:ilvl w:val="0"/>
          <w:numId w:val="18"/>
        </w:numPr>
        <w:ind w:left="720"/>
        <w:rPr>
          <w:rFonts w:ascii="Times New Roman" w:hAnsi="Times New Roman"/>
          <w:sz w:val="24"/>
          <w:szCs w:val="24"/>
        </w:rPr>
      </w:pPr>
      <w:bookmarkStart w:id="319" w:name="_Toc265673440"/>
      <w:r w:rsidRPr="00D03C22">
        <w:rPr>
          <w:rFonts w:ascii="Times New Roman" w:hAnsi="Times New Roman"/>
          <w:sz w:val="24"/>
          <w:szCs w:val="24"/>
        </w:rPr>
        <w:t xml:space="preserve">What is the optimum and economically justified level of </w:t>
      </w:r>
      <w:r w:rsidR="009632DD" w:rsidRPr="00D03C22">
        <w:rPr>
          <w:rFonts w:ascii="Times New Roman" w:hAnsi="Times New Roman"/>
          <w:sz w:val="24"/>
          <w:szCs w:val="24"/>
        </w:rPr>
        <w:t>spending on Local roads, given the relatively low traffic volumes on Local roads? How will the condition of Local roads develop under different spending scenarios?</w:t>
      </w:r>
      <w:bookmarkEnd w:id="319"/>
    </w:p>
    <w:p w:rsidR="00AA3166" w:rsidRPr="007777E2" w:rsidRDefault="00AA3166" w:rsidP="00BE35AE">
      <w:pPr>
        <w:numPr>
          <w:ilvl w:val="0"/>
          <w:numId w:val="7"/>
        </w:numPr>
        <w:autoSpaceDE w:val="0"/>
        <w:autoSpaceDN w:val="0"/>
        <w:adjustRightInd w:val="0"/>
        <w:spacing w:after="120"/>
        <w:ind w:left="0" w:firstLine="0"/>
        <w:jc w:val="both"/>
      </w:pPr>
      <w:r w:rsidRPr="007777E2">
        <w:rPr>
          <w:b/>
        </w:rPr>
        <w:t>MOT</w:t>
      </w:r>
      <w:r w:rsidR="009632DD">
        <w:rPr>
          <w:b/>
        </w:rPr>
        <w:t>C</w:t>
      </w:r>
      <w:r w:rsidRPr="007777E2">
        <w:rPr>
          <w:b/>
        </w:rPr>
        <w:t xml:space="preserve"> </w:t>
      </w:r>
      <w:r w:rsidR="006207A6">
        <w:rPr>
          <w:b/>
        </w:rPr>
        <w:t xml:space="preserve">should </w:t>
      </w:r>
      <w:r w:rsidRPr="007777E2">
        <w:rPr>
          <w:b/>
        </w:rPr>
        <w:t xml:space="preserve">lead the </w:t>
      </w:r>
      <w:r w:rsidR="00C0587A">
        <w:rPr>
          <w:b/>
        </w:rPr>
        <w:t>preparation</w:t>
      </w:r>
      <w:r w:rsidRPr="007777E2">
        <w:rPr>
          <w:b/>
        </w:rPr>
        <w:t xml:space="preserve"> of the </w:t>
      </w:r>
      <w:r w:rsidR="006207A6">
        <w:rPr>
          <w:b/>
        </w:rPr>
        <w:t xml:space="preserve">Transport Sector </w:t>
      </w:r>
      <w:r w:rsidRPr="007777E2">
        <w:rPr>
          <w:b/>
        </w:rPr>
        <w:t>Strategy</w:t>
      </w:r>
      <w:r w:rsidR="006207A6">
        <w:rPr>
          <w:b/>
        </w:rPr>
        <w:t>,</w:t>
      </w:r>
      <w:r w:rsidRPr="007777E2">
        <w:rPr>
          <w:b/>
        </w:rPr>
        <w:t xml:space="preserve"> </w:t>
      </w:r>
      <w:r w:rsidR="002E4D6C" w:rsidRPr="007777E2">
        <w:rPr>
          <w:b/>
        </w:rPr>
        <w:t xml:space="preserve">which should </w:t>
      </w:r>
      <w:r w:rsidR="00C0587A">
        <w:rPr>
          <w:b/>
        </w:rPr>
        <w:t xml:space="preserve">then </w:t>
      </w:r>
      <w:r w:rsidR="002E4D6C" w:rsidRPr="007777E2">
        <w:rPr>
          <w:b/>
        </w:rPr>
        <w:t>be linked to</w:t>
      </w:r>
      <w:r w:rsidRPr="007777E2">
        <w:rPr>
          <w:b/>
        </w:rPr>
        <w:t xml:space="preserve"> multi-annual </w:t>
      </w:r>
      <w:proofErr w:type="gramStart"/>
      <w:r w:rsidRPr="007777E2">
        <w:rPr>
          <w:b/>
        </w:rPr>
        <w:t>business</w:t>
      </w:r>
      <w:proofErr w:type="gramEnd"/>
      <w:r w:rsidRPr="007777E2">
        <w:rPr>
          <w:b/>
        </w:rPr>
        <w:t xml:space="preserve"> plans </w:t>
      </w:r>
      <w:r w:rsidR="00C0587A">
        <w:rPr>
          <w:b/>
        </w:rPr>
        <w:t xml:space="preserve">to be </w:t>
      </w:r>
      <w:r w:rsidR="002E4D6C" w:rsidRPr="007777E2">
        <w:rPr>
          <w:b/>
        </w:rPr>
        <w:t>developed by</w:t>
      </w:r>
      <w:r w:rsidRPr="007777E2">
        <w:rPr>
          <w:b/>
        </w:rPr>
        <w:t xml:space="preserve"> </w:t>
      </w:r>
      <w:proofErr w:type="spellStart"/>
      <w:r w:rsidRPr="007777E2">
        <w:rPr>
          <w:b/>
        </w:rPr>
        <w:t>Belavtodor</w:t>
      </w:r>
      <w:proofErr w:type="spellEnd"/>
      <w:r w:rsidRPr="007777E2">
        <w:rPr>
          <w:b/>
        </w:rPr>
        <w:t xml:space="preserve"> and Belarusian Railways (rolling 5-year program</w:t>
      </w:r>
      <w:r w:rsidR="006207A6">
        <w:rPr>
          <w:b/>
        </w:rPr>
        <w:t>s</w:t>
      </w:r>
      <w:r w:rsidRPr="007777E2">
        <w:rPr>
          <w:b/>
        </w:rPr>
        <w:t xml:space="preserve">). </w:t>
      </w:r>
      <w:r w:rsidRPr="007777E2">
        <w:t xml:space="preserve">These business plans should </w:t>
      </w:r>
      <w:r w:rsidR="002E4D6C" w:rsidRPr="007777E2">
        <w:t xml:space="preserve">not only </w:t>
      </w:r>
      <w:r w:rsidR="006207A6">
        <w:t xml:space="preserve">identify </w:t>
      </w:r>
      <w:r w:rsidR="002E4D6C" w:rsidRPr="007777E2">
        <w:t xml:space="preserve">annual maintenance and repair requirements for infrastructure (and also rolling stock in the case of railways), but also establish </w:t>
      </w:r>
      <w:r w:rsidR="009632DD">
        <w:t xml:space="preserve">the </w:t>
      </w:r>
      <w:r w:rsidR="002E4D6C" w:rsidRPr="007777E2">
        <w:t xml:space="preserve">financing </w:t>
      </w:r>
      <w:r w:rsidR="009632DD">
        <w:t xml:space="preserve">sources. </w:t>
      </w:r>
      <w:r w:rsidR="002E4D6C" w:rsidRPr="007777E2">
        <w:t xml:space="preserve"> </w:t>
      </w:r>
    </w:p>
    <w:p w:rsidR="00AA3166" w:rsidRPr="007777E2" w:rsidRDefault="00AA3166" w:rsidP="00AA3166">
      <w:pPr>
        <w:autoSpaceDE w:val="0"/>
        <w:autoSpaceDN w:val="0"/>
        <w:adjustRightInd w:val="0"/>
        <w:spacing w:after="120"/>
        <w:jc w:val="both"/>
        <w:rPr>
          <w:b/>
          <w:i/>
        </w:rPr>
      </w:pPr>
      <w:r w:rsidRPr="007777E2">
        <w:rPr>
          <w:b/>
          <w:i/>
        </w:rPr>
        <w:t xml:space="preserve">Improve road transport management, planning, and budgeting </w:t>
      </w:r>
    </w:p>
    <w:p w:rsidR="00E9109F" w:rsidRPr="007777E2" w:rsidRDefault="00E9109F" w:rsidP="00BE35AE">
      <w:pPr>
        <w:numPr>
          <w:ilvl w:val="0"/>
          <w:numId w:val="7"/>
        </w:numPr>
        <w:autoSpaceDE w:val="0"/>
        <w:autoSpaceDN w:val="0"/>
        <w:adjustRightInd w:val="0"/>
        <w:spacing w:after="120"/>
        <w:ind w:left="0" w:firstLine="0"/>
        <w:jc w:val="both"/>
      </w:pPr>
      <w:r w:rsidRPr="007777E2">
        <w:rPr>
          <w:b/>
        </w:rPr>
        <w:t xml:space="preserve">To support the development of a sound </w:t>
      </w:r>
      <w:r w:rsidR="000C7098">
        <w:rPr>
          <w:b/>
        </w:rPr>
        <w:t>r</w:t>
      </w:r>
      <w:r w:rsidR="006207A6">
        <w:rPr>
          <w:b/>
        </w:rPr>
        <w:t xml:space="preserve">oad </w:t>
      </w:r>
      <w:r w:rsidR="000C7098">
        <w:rPr>
          <w:b/>
        </w:rPr>
        <w:t>s</w:t>
      </w:r>
      <w:r w:rsidRPr="007777E2">
        <w:rPr>
          <w:b/>
        </w:rPr>
        <w:t xml:space="preserve">ector </w:t>
      </w:r>
      <w:r w:rsidR="000C7098">
        <w:rPr>
          <w:b/>
        </w:rPr>
        <w:t xml:space="preserve">investment and expenditure plan, </w:t>
      </w:r>
      <w:proofErr w:type="spellStart"/>
      <w:r w:rsidR="000C7098">
        <w:rPr>
          <w:b/>
        </w:rPr>
        <w:t>Belavtodor</w:t>
      </w:r>
      <w:proofErr w:type="spellEnd"/>
      <w:r w:rsidR="000C7098">
        <w:rPr>
          <w:b/>
        </w:rPr>
        <w:t xml:space="preserve"> would need a </w:t>
      </w:r>
      <w:r w:rsidR="009B14AE">
        <w:rPr>
          <w:b/>
        </w:rPr>
        <w:t xml:space="preserve">road </w:t>
      </w:r>
      <w:r w:rsidRPr="007777E2">
        <w:rPr>
          <w:b/>
        </w:rPr>
        <w:t>asset management system</w:t>
      </w:r>
      <w:r w:rsidR="000C7098">
        <w:rPr>
          <w:b/>
        </w:rPr>
        <w:t xml:space="preserve">.  Such a system will help to </w:t>
      </w:r>
      <w:r w:rsidRPr="007777E2">
        <w:t>prepar</w:t>
      </w:r>
      <w:r w:rsidR="004E1CF3" w:rsidRPr="007777E2">
        <w:t>e</w:t>
      </w:r>
      <w:r w:rsidRPr="007777E2">
        <w:t xml:space="preserve"> annual and multi-</w:t>
      </w:r>
      <w:r w:rsidR="004E1CF3" w:rsidRPr="007777E2">
        <w:t>year</w:t>
      </w:r>
      <w:r w:rsidRPr="007777E2">
        <w:t xml:space="preserve"> plans for maintenance, rehabilitation, and reconstruction of the </w:t>
      </w:r>
      <w:r w:rsidR="00E168C9" w:rsidRPr="007777E2">
        <w:t>road</w:t>
      </w:r>
      <w:r w:rsidRPr="007777E2">
        <w:t xml:space="preserve"> network</w:t>
      </w:r>
      <w:r w:rsidR="009B14AE">
        <w:t xml:space="preserve">. </w:t>
      </w:r>
      <w:r w:rsidR="000C7098">
        <w:t>T</w:t>
      </w:r>
      <w:r w:rsidRPr="007777E2">
        <w:t xml:space="preserve">he use of economic decision models </w:t>
      </w:r>
      <w:r w:rsidR="00753CBE">
        <w:t xml:space="preserve">such as </w:t>
      </w:r>
      <w:r w:rsidRPr="007777E2">
        <w:t>t</w:t>
      </w:r>
      <w:r w:rsidR="00831FE3">
        <w:t>he Highway Development</w:t>
      </w:r>
      <w:r w:rsidRPr="007777E2">
        <w:t xml:space="preserve"> and Management model (HDM-4) would assist</w:t>
      </w:r>
      <w:r w:rsidR="004E1CF3" w:rsidRPr="007777E2">
        <w:t xml:space="preserve"> the process of</w:t>
      </w:r>
      <w:r w:rsidRPr="007777E2">
        <w:t xml:space="preserve"> effective prioritization</w:t>
      </w:r>
      <w:r w:rsidR="00753CBE">
        <w:t xml:space="preserve"> and planning</w:t>
      </w:r>
      <w:r w:rsidRPr="007777E2">
        <w:t xml:space="preserve">. </w:t>
      </w:r>
    </w:p>
    <w:p w:rsidR="00E9109F" w:rsidRPr="007777E2" w:rsidRDefault="00E9109F" w:rsidP="00BE35AE">
      <w:pPr>
        <w:numPr>
          <w:ilvl w:val="0"/>
          <w:numId w:val="7"/>
        </w:numPr>
        <w:autoSpaceDE w:val="0"/>
        <w:autoSpaceDN w:val="0"/>
        <w:adjustRightInd w:val="0"/>
        <w:spacing w:after="120"/>
        <w:ind w:left="0" w:firstLine="0"/>
        <w:jc w:val="both"/>
      </w:pPr>
      <w:r w:rsidRPr="007777E2">
        <w:rPr>
          <w:b/>
        </w:rPr>
        <w:t>Good management practices also require increase</w:t>
      </w:r>
      <w:r w:rsidR="00A974E5" w:rsidRPr="007777E2">
        <w:rPr>
          <w:b/>
        </w:rPr>
        <w:t>d</w:t>
      </w:r>
      <w:r w:rsidRPr="007777E2">
        <w:rPr>
          <w:b/>
        </w:rPr>
        <w:t xml:space="preserve"> accountability</w:t>
      </w:r>
      <w:r w:rsidR="004B1940" w:rsidRPr="007777E2">
        <w:rPr>
          <w:b/>
        </w:rPr>
        <w:t xml:space="preserve"> not only for </w:t>
      </w:r>
      <w:r w:rsidR="000C7098">
        <w:rPr>
          <w:b/>
        </w:rPr>
        <w:t xml:space="preserve">the use of </w:t>
      </w:r>
      <w:r w:rsidR="004B1940" w:rsidRPr="007777E2">
        <w:rPr>
          <w:b/>
        </w:rPr>
        <w:t xml:space="preserve">money received </w:t>
      </w:r>
      <w:r w:rsidR="000C7098">
        <w:rPr>
          <w:b/>
        </w:rPr>
        <w:t xml:space="preserve">(from the State budget) </w:t>
      </w:r>
      <w:r w:rsidR="004B1940" w:rsidRPr="007777E2">
        <w:rPr>
          <w:b/>
        </w:rPr>
        <w:t xml:space="preserve">but also for </w:t>
      </w:r>
      <w:r w:rsidR="000C7098">
        <w:rPr>
          <w:b/>
        </w:rPr>
        <w:t xml:space="preserve">the results achieved with that </w:t>
      </w:r>
      <w:r w:rsidR="004B1940" w:rsidRPr="007777E2">
        <w:rPr>
          <w:b/>
        </w:rPr>
        <w:t xml:space="preserve">money </w:t>
      </w:r>
      <w:r w:rsidR="000C7098">
        <w:rPr>
          <w:b/>
        </w:rPr>
        <w:t xml:space="preserve">in terms of road service quality provided to road users. </w:t>
      </w:r>
      <w:r w:rsidRPr="007777E2">
        <w:t xml:space="preserve"> This is achieved through: (</w:t>
      </w:r>
      <w:proofErr w:type="spellStart"/>
      <w:r w:rsidRPr="007777E2">
        <w:t>i</w:t>
      </w:r>
      <w:proofErr w:type="spellEnd"/>
      <w:r w:rsidRPr="007777E2">
        <w:t>) strong financial management and auditing processes</w:t>
      </w:r>
      <w:r w:rsidR="00E168C9" w:rsidRPr="007777E2">
        <w:t>;</w:t>
      </w:r>
      <w:r w:rsidRPr="007777E2">
        <w:t xml:space="preserve"> (ii) </w:t>
      </w:r>
      <w:r w:rsidR="002A35A6">
        <w:t>surveys of road users on their satisfaction with the quality of the roads</w:t>
      </w:r>
      <w:r w:rsidR="00E168C9" w:rsidRPr="007777E2">
        <w:t>;</w:t>
      </w:r>
      <w:r w:rsidR="00A974E5" w:rsidRPr="007777E2">
        <w:t xml:space="preserve"> (iii) assess</w:t>
      </w:r>
      <w:r w:rsidR="004B1940" w:rsidRPr="007777E2">
        <w:t>ment</w:t>
      </w:r>
      <w:r w:rsidR="00A974E5" w:rsidRPr="007777E2">
        <w:t xml:space="preserve"> </w:t>
      </w:r>
      <w:r w:rsidR="004B1940" w:rsidRPr="007777E2">
        <w:t xml:space="preserve">of </w:t>
      </w:r>
      <w:r w:rsidR="002A35A6">
        <w:t xml:space="preserve">road </w:t>
      </w:r>
      <w:r w:rsidR="004B1940" w:rsidRPr="007777E2">
        <w:t>agency performance</w:t>
      </w:r>
      <w:r w:rsidR="00A974E5" w:rsidRPr="007777E2">
        <w:t xml:space="preserve"> against</w:t>
      </w:r>
      <w:r w:rsidR="009B14AE">
        <w:t xml:space="preserve"> </w:t>
      </w:r>
      <w:r w:rsidR="00A974E5" w:rsidRPr="007777E2">
        <w:t>pre-</w:t>
      </w:r>
      <w:r w:rsidR="00E168C9" w:rsidRPr="007777E2">
        <w:t>determined performance criteria;</w:t>
      </w:r>
      <w:r w:rsidR="00A974E5" w:rsidRPr="007777E2">
        <w:t xml:space="preserve"> and </w:t>
      </w:r>
      <w:proofErr w:type="gramStart"/>
      <w:r w:rsidR="00A974E5" w:rsidRPr="007777E2">
        <w:t>(iv) prepar</w:t>
      </w:r>
      <w:r w:rsidR="004B1940" w:rsidRPr="007777E2">
        <w:t>ation</w:t>
      </w:r>
      <w:proofErr w:type="gramEnd"/>
      <w:r w:rsidR="004B1940" w:rsidRPr="007777E2">
        <w:t xml:space="preserve"> of </w:t>
      </w:r>
      <w:r w:rsidR="00A974E5" w:rsidRPr="007777E2">
        <w:t>annual reports</w:t>
      </w:r>
      <w:r w:rsidR="002A35A6">
        <w:t xml:space="preserve"> of the road agency</w:t>
      </w:r>
      <w:r w:rsidR="00A974E5" w:rsidRPr="007777E2">
        <w:t xml:space="preserve"> </w:t>
      </w:r>
      <w:r w:rsidR="002A35A6">
        <w:t xml:space="preserve">covering </w:t>
      </w:r>
      <w:r w:rsidR="00A974E5" w:rsidRPr="007777E2">
        <w:t xml:space="preserve">all </w:t>
      </w:r>
      <w:r w:rsidR="002A35A6">
        <w:t xml:space="preserve">of </w:t>
      </w:r>
      <w:r w:rsidR="00A974E5" w:rsidRPr="007777E2">
        <w:t xml:space="preserve">the above elements. </w:t>
      </w:r>
    </w:p>
    <w:p w:rsidR="0013477B" w:rsidRPr="007777E2" w:rsidRDefault="00D86EA8" w:rsidP="00BE35AE">
      <w:pPr>
        <w:numPr>
          <w:ilvl w:val="0"/>
          <w:numId w:val="7"/>
        </w:numPr>
        <w:autoSpaceDE w:val="0"/>
        <w:autoSpaceDN w:val="0"/>
        <w:adjustRightInd w:val="0"/>
        <w:spacing w:after="120"/>
        <w:ind w:left="0" w:firstLine="0"/>
        <w:jc w:val="both"/>
      </w:pPr>
      <w:r w:rsidRPr="007777E2">
        <w:rPr>
          <w:b/>
        </w:rPr>
        <w:lastRenderedPageBreak/>
        <w:t xml:space="preserve">To improve </w:t>
      </w:r>
      <w:r w:rsidR="002A35A6">
        <w:rPr>
          <w:b/>
        </w:rPr>
        <w:t xml:space="preserve">transport </w:t>
      </w:r>
      <w:r w:rsidR="004B1940" w:rsidRPr="007777E2">
        <w:rPr>
          <w:b/>
        </w:rPr>
        <w:t>sector</w:t>
      </w:r>
      <w:r w:rsidRPr="007777E2">
        <w:rPr>
          <w:b/>
        </w:rPr>
        <w:t xml:space="preserve"> management, t</w:t>
      </w:r>
      <w:r w:rsidR="0036640E" w:rsidRPr="007777E2">
        <w:rPr>
          <w:b/>
        </w:rPr>
        <w:t xml:space="preserve">ransport statistics </w:t>
      </w:r>
      <w:r w:rsidR="002A35A6">
        <w:rPr>
          <w:b/>
        </w:rPr>
        <w:t xml:space="preserve">kept </w:t>
      </w:r>
      <w:r w:rsidR="0036640E" w:rsidRPr="007777E2">
        <w:rPr>
          <w:b/>
        </w:rPr>
        <w:t>in Belarus</w:t>
      </w:r>
      <w:r w:rsidRPr="007777E2">
        <w:rPr>
          <w:b/>
        </w:rPr>
        <w:t xml:space="preserve"> should be harmonized to conf</w:t>
      </w:r>
      <w:r w:rsidR="004F2C05" w:rsidRPr="007777E2">
        <w:rPr>
          <w:b/>
        </w:rPr>
        <w:t>o</w:t>
      </w:r>
      <w:r w:rsidRPr="007777E2">
        <w:rPr>
          <w:b/>
        </w:rPr>
        <w:t xml:space="preserve">rm </w:t>
      </w:r>
      <w:r w:rsidR="00091E8C" w:rsidRPr="007777E2">
        <w:rPr>
          <w:b/>
        </w:rPr>
        <w:t>to</w:t>
      </w:r>
      <w:r w:rsidR="0013477B" w:rsidRPr="007777E2">
        <w:rPr>
          <w:b/>
        </w:rPr>
        <w:t xml:space="preserve"> international standards</w:t>
      </w:r>
      <w:r w:rsidR="0013477B" w:rsidRPr="007777E2">
        <w:t xml:space="preserve">. </w:t>
      </w:r>
      <w:r w:rsidR="0036640E" w:rsidRPr="007777E2">
        <w:t xml:space="preserve">The </w:t>
      </w:r>
      <w:r w:rsidR="00E168C9" w:rsidRPr="007777E2">
        <w:t>“</w:t>
      </w:r>
      <w:r w:rsidR="0036640E" w:rsidRPr="007777E2">
        <w:t>Illustrated Glossary of Transport Statistics</w:t>
      </w:r>
      <w:r w:rsidR="00E168C9" w:rsidRPr="007777E2">
        <w:t>”</w:t>
      </w:r>
      <w:r w:rsidR="0036640E" w:rsidRPr="007777E2">
        <w:t xml:space="preserve"> published by the </w:t>
      </w:r>
      <w:r w:rsidR="0036640E" w:rsidRPr="002A35A6">
        <w:rPr>
          <w:i/>
        </w:rPr>
        <w:t>International Transport Forum</w:t>
      </w:r>
      <w:r w:rsidR="0036640E" w:rsidRPr="007777E2">
        <w:t>, for example</w:t>
      </w:r>
      <w:r w:rsidR="00753CBE">
        <w:t>,</w:t>
      </w:r>
      <w:r w:rsidR="0036640E" w:rsidRPr="007777E2">
        <w:t xml:space="preserve"> represents a point of reference for all those involved in transport statistics</w:t>
      </w:r>
      <w:r w:rsidR="00753CBE">
        <w:t xml:space="preserve"> worldwide</w:t>
      </w:r>
      <w:r w:rsidR="0036640E" w:rsidRPr="007777E2">
        <w:t xml:space="preserve">. By following the guidance contained in the </w:t>
      </w:r>
      <w:r w:rsidR="00091E8C" w:rsidRPr="007777E2">
        <w:t xml:space="preserve">glossary </w:t>
      </w:r>
      <w:r w:rsidR="0036640E" w:rsidRPr="007777E2">
        <w:t xml:space="preserve">definitions, </w:t>
      </w:r>
      <w:r w:rsidR="00091E8C" w:rsidRPr="007777E2">
        <w:t>the quality and comparability of data</w:t>
      </w:r>
      <w:r w:rsidR="0036640E" w:rsidRPr="007777E2">
        <w:t xml:space="preserve"> will be </w:t>
      </w:r>
      <w:r w:rsidR="002A35A6">
        <w:t xml:space="preserve">much </w:t>
      </w:r>
      <w:r w:rsidR="0036640E" w:rsidRPr="007777E2">
        <w:t>improve</w:t>
      </w:r>
      <w:r w:rsidR="00091E8C" w:rsidRPr="007777E2">
        <w:t>d</w:t>
      </w:r>
      <w:r w:rsidR="0036640E" w:rsidRPr="007777E2">
        <w:t xml:space="preserve">. </w:t>
      </w:r>
    </w:p>
    <w:p w:rsidR="002E4D6C" w:rsidRPr="007777E2" w:rsidRDefault="002E4D6C" w:rsidP="002E4D6C">
      <w:pPr>
        <w:autoSpaceDE w:val="0"/>
        <w:autoSpaceDN w:val="0"/>
        <w:adjustRightInd w:val="0"/>
        <w:spacing w:after="120"/>
        <w:rPr>
          <w:i/>
        </w:rPr>
      </w:pPr>
      <w:r w:rsidRPr="007777E2">
        <w:rPr>
          <w:b/>
          <w:i/>
        </w:rPr>
        <w:t>Re-assess the legal and institutional framework of Belarusian Railways</w:t>
      </w:r>
    </w:p>
    <w:p w:rsidR="00AA3166" w:rsidRPr="007777E2" w:rsidRDefault="00AA3166" w:rsidP="00BE35AE">
      <w:pPr>
        <w:numPr>
          <w:ilvl w:val="0"/>
          <w:numId w:val="7"/>
        </w:numPr>
        <w:autoSpaceDE w:val="0"/>
        <w:autoSpaceDN w:val="0"/>
        <w:adjustRightInd w:val="0"/>
        <w:spacing w:after="120"/>
        <w:ind w:left="0" w:firstLine="0"/>
        <w:jc w:val="both"/>
      </w:pPr>
      <w:r w:rsidRPr="007777E2">
        <w:rPr>
          <w:b/>
        </w:rPr>
        <w:t>Considering the increased market pressure on Belarusian Railways, it is advisable to set up internal business units</w:t>
      </w:r>
      <w:r w:rsidRPr="007777E2">
        <w:t>. These internal business units</w:t>
      </w:r>
      <w:r w:rsidR="002E4D6C" w:rsidRPr="007777E2">
        <w:t xml:space="preserve"> for core business (e.g. maintenance and repair of infrastructure, freight</w:t>
      </w:r>
      <w:r w:rsidR="00753CBE">
        <w:t xml:space="preserve"> services, long-distance </w:t>
      </w:r>
      <w:r w:rsidR="002E4D6C" w:rsidRPr="007777E2">
        <w:t>passenger services</w:t>
      </w:r>
      <w:r w:rsidR="00753CBE">
        <w:t xml:space="preserve"> and suburban passenger services</w:t>
      </w:r>
      <w:r w:rsidR="002E4D6C" w:rsidRPr="007777E2">
        <w:t>) as well as social activity units (e</w:t>
      </w:r>
      <w:r w:rsidR="00E645DD">
        <w:t>.</w:t>
      </w:r>
      <w:r w:rsidR="002E4D6C" w:rsidRPr="007777E2">
        <w:t>g. kindergartens, health units)</w:t>
      </w:r>
      <w:r w:rsidRPr="007777E2">
        <w:t xml:space="preserve"> would maintain separate account statements to be consolidated under </w:t>
      </w:r>
      <w:r w:rsidR="00753CBE">
        <w:t xml:space="preserve">the umbrella of </w:t>
      </w:r>
      <w:r w:rsidRPr="007777E2">
        <w:t xml:space="preserve">Belarusian Railways </w:t>
      </w:r>
      <w:r w:rsidR="002A35A6">
        <w:t xml:space="preserve">which would remain </w:t>
      </w:r>
      <w:r w:rsidRPr="007777E2">
        <w:t xml:space="preserve">the only legal entity for railway transport activities. These </w:t>
      </w:r>
      <w:r w:rsidR="002A35A6">
        <w:t xml:space="preserve">separate account statements </w:t>
      </w:r>
      <w:r w:rsidRPr="007777E2">
        <w:t xml:space="preserve">would help </w:t>
      </w:r>
      <w:r w:rsidR="00753CBE">
        <w:t xml:space="preserve">the </w:t>
      </w:r>
      <w:r w:rsidRPr="007777E2">
        <w:t xml:space="preserve">management </w:t>
      </w:r>
      <w:r w:rsidR="00753CBE">
        <w:t xml:space="preserve">of Belarusian Railways to </w:t>
      </w:r>
      <w:r w:rsidRPr="007777E2">
        <w:t xml:space="preserve">have a clear understanding of the profitability of each line of business and to take appropriate corrective measures, as needed. Cross-subsidies for various lines of business could be used as </w:t>
      </w:r>
      <w:r w:rsidR="00753CBE">
        <w:t xml:space="preserve">a </w:t>
      </w:r>
      <w:r w:rsidRPr="007777E2">
        <w:t xml:space="preserve">short-term management instrument, but would be dangerous to maintain as </w:t>
      </w:r>
      <w:r w:rsidR="00753CBE">
        <w:t xml:space="preserve">a part of </w:t>
      </w:r>
      <w:r w:rsidRPr="007777E2">
        <w:t xml:space="preserve">long-term </w:t>
      </w:r>
      <w:r w:rsidR="00753CBE">
        <w:t xml:space="preserve">sector </w:t>
      </w:r>
      <w:r w:rsidRPr="007777E2">
        <w:t>policies.</w:t>
      </w:r>
      <w:r w:rsidR="009F52A0" w:rsidRPr="007777E2">
        <w:t xml:space="preserve"> </w:t>
      </w:r>
    </w:p>
    <w:p w:rsidR="00AA3166" w:rsidRPr="007777E2" w:rsidRDefault="00AA3166" w:rsidP="00BE35AE">
      <w:pPr>
        <w:numPr>
          <w:ilvl w:val="0"/>
          <w:numId w:val="7"/>
        </w:numPr>
        <w:autoSpaceDE w:val="0"/>
        <w:autoSpaceDN w:val="0"/>
        <w:adjustRightInd w:val="0"/>
        <w:spacing w:after="120"/>
        <w:ind w:left="0" w:firstLine="0"/>
        <w:jc w:val="both"/>
      </w:pPr>
      <w:r w:rsidRPr="007777E2">
        <w:rPr>
          <w:rFonts w:eastAsia="Calibri"/>
          <w:b/>
          <w:bCs/>
          <w:color w:val="000000"/>
        </w:rPr>
        <w:t>The vertically integrated railway</w:t>
      </w:r>
      <w:r w:rsidRPr="00EE5173">
        <w:rPr>
          <w:rStyle w:val="FootnoteReference"/>
          <w:rFonts w:eastAsia="Calibri"/>
          <w:bCs/>
          <w:color w:val="000000"/>
          <w:sz w:val="24"/>
          <w:szCs w:val="24"/>
        </w:rPr>
        <w:footnoteReference w:id="43"/>
      </w:r>
      <w:r w:rsidRPr="007777E2">
        <w:rPr>
          <w:rFonts w:eastAsia="Calibri"/>
          <w:b/>
          <w:bCs/>
          <w:color w:val="000000"/>
        </w:rPr>
        <w:t xml:space="preserve"> organization is a proven structure in other countries and currently works well in Belarus</w:t>
      </w:r>
      <w:r w:rsidRPr="007777E2">
        <w:rPr>
          <w:rFonts w:eastAsia="Calibri"/>
          <w:bCs/>
          <w:color w:val="000000"/>
        </w:rPr>
        <w:t>. This structure is not an obstacle to unbundling the management structure of Belarusian Railways</w:t>
      </w:r>
      <w:r w:rsidR="006C55C3">
        <w:rPr>
          <w:rFonts w:eastAsia="Calibri"/>
          <w:bCs/>
          <w:color w:val="000000"/>
        </w:rPr>
        <w:t xml:space="preserve"> into separate business units</w:t>
      </w:r>
      <w:r w:rsidRPr="007777E2">
        <w:rPr>
          <w:rFonts w:eastAsia="Calibri"/>
          <w:bCs/>
          <w:color w:val="000000"/>
        </w:rPr>
        <w:t xml:space="preserve"> (not a</w:t>
      </w:r>
      <w:r w:rsidR="006C55C3">
        <w:rPr>
          <w:rFonts w:eastAsia="Calibri"/>
          <w:bCs/>
          <w:color w:val="000000"/>
        </w:rPr>
        <w:t>s</w:t>
      </w:r>
      <w:r w:rsidRPr="007777E2">
        <w:rPr>
          <w:rFonts w:eastAsia="Calibri"/>
          <w:bCs/>
          <w:color w:val="000000"/>
        </w:rPr>
        <w:t xml:space="preserve"> legal entit</w:t>
      </w:r>
      <w:r w:rsidR="006C55C3">
        <w:rPr>
          <w:rFonts w:eastAsia="Calibri"/>
          <w:bCs/>
          <w:color w:val="000000"/>
        </w:rPr>
        <w:t>ies</w:t>
      </w:r>
      <w:r w:rsidRPr="007777E2">
        <w:rPr>
          <w:rFonts w:eastAsia="Calibri"/>
          <w:bCs/>
          <w:color w:val="000000"/>
        </w:rPr>
        <w:t xml:space="preserve"> but </w:t>
      </w:r>
      <w:r w:rsidR="006C55C3">
        <w:rPr>
          <w:rFonts w:eastAsia="Calibri"/>
          <w:bCs/>
          <w:color w:val="000000"/>
        </w:rPr>
        <w:t xml:space="preserve">as </w:t>
      </w:r>
      <w:r w:rsidRPr="007777E2">
        <w:rPr>
          <w:rFonts w:eastAsia="Calibri"/>
          <w:bCs/>
          <w:color w:val="000000"/>
        </w:rPr>
        <w:t>internal unit</w:t>
      </w:r>
      <w:r w:rsidR="006C55C3">
        <w:rPr>
          <w:rFonts w:eastAsia="Calibri"/>
          <w:bCs/>
          <w:color w:val="000000"/>
        </w:rPr>
        <w:t>s</w:t>
      </w:r>
      <w:r w:rsidRPr="007777E2">
        <w:rPr>
          <w:rFonts w:eastAsia="Calibri"/>
          <w:bCs/>
          <w:color w:val="000000"/>
        </w:rPr>
        <w:t xml:space="preserve"> of Belarusian Railways</w:t>
      </w:r>
      <w:r w:rsidR="002A35A6">
        <w:rPr>
          <w:rFonts w:eastAsia="Calibri"/>
          <w:bCs/>
          <w:color w:val="000000"/>
        </w:rPr>
        <w:t>,</w:t>
      </w:r>
      <w:r w:rsidRPr="007777E2">
        <w:rPr>
          <w:rFonts w:eastAsia="Calibri"/>
          <w:bCs/>
          <w:color w:val="000000"/>
        </w:rPr>
        <w:t xml:space="preserve"> keeping </w:t>
      </w:r>
      <w:r w:rsidR="006C55C3">
        <w:rPr>
          <w:rFonts w:eastAsia="Calibri"/>
          <w:bCs/>
          <w:color w:val="000000"/>
        </w:rPr>
        <w:t xml:space="preserve">their </w:t>
      </w:r>
      <w:r w:rsidRPr="007777E2">
        <w:rPr>
          <w:rFonts w:eastAsia="Calibri"/>
          <w:bCs/>
          <w:color w:val="000000"/>
        </w:rPr>
        <w:t>own statement</w:t>
      </w:r>
      <w:r w:rsidR="006C55C3">
        <w:rPr>
          <w:rFonts w:eastAsia="Calibri"/>
          <w:bCs/>
          <w:color w:val="000000"/>
        </w:rPr>
        <w:t>s</w:t>
      </w:r>
      <w:r w:rsidRPr="007777E2">
        <w:rPr>
          <w:rFonts w:eastAsia="Calibri"/>
          <w:bCs/>
          <w:color w:val="000000"/>
        </w:rPr>
        <w:t xml:space="preserve"> of accounts). </w:t>
      </w:r>
      <w:r w:rsidR="006C55C3">
        <w:rPr>
          <w:rFonts w:eastAsia="Calibri"/>
          <w:bCs/>
          <w:color w:val="000000"/>
        </w:rPr>
        <w:t>Among other benefits, i</w:t>
      </w:r>
      <w:r w:rsidRPr="007777E2">
        <w:rPr>
          <w:rFonts w:eastAsia="Calibri"/>
          <w:bCs/>
          <w:color w:val="000000"/>
        </w:rPr>
        <w:t xml:space="preserve">t will </w:t>
      </w:r>
      <w:r w:rsidR="006C55C3">
        <w:rPr>
          <w:rFonts w:eastAsia="Calibri"/>
          <w:bCs/>
          <w:color w:val="000000"/>
        </w:rPr>
        <w:t xml:space="preserve">also </w:t>
      </w:r>
      <w:r w:rsidRPr="007777E2">
        <w:rPr>
          <w:rFonts w:eastAsia="Calibri"/>
          <w:bCs/>
          <w:color w:val="000000"/>
        </w:rPr>
        <w:t xml:space="preserve">allow Belarusian Railways to </w:t>
      </w:r>
      <w:r w:rsidR="006C55C3">
        <w:rPr>
          <w:rFonts w:eastAsia="Calibri"/>
          <w:bCs/>
          <w:color w:val="000000"/>
        </w:rPr>
        <w:t xml:space="preserve">clearly identify </w:t>
      </w:r>
      <w:r w:rsidRPr="007777E2">
        <w:rPr>
          <w:rFonts w:eastAsia="Calibri"/>
          <w:bCs/>
          <w:color w:val="000000"/>
        </w:rPr>
        <w:t>railway infrastructure costs and to monitor the share of infrastructure cost in freight and passenger tariffs. Such an exercise would not only help Belarusian Railways to control operating costs, but also would provide valuable information for implementing non-based national transport policies.</w:t>
      </w:r>
      <w:r w:rsidR="009F52A0" w:rsidRPr="007777E2">
        <w:rPr>
          <w:rFonts w:eastAsia="Calibri"/>
          <w:bCs/>
          <w:color w:val="000000"/>
        </w:rPr>
        <w:t xml:space="preserve"> The internal accounting system of Belarusian Railways should establish separate accounts for at least the following activities: (</w:t>
      </w:r>
      <w:proofErr w:type="spellStart"/>
      <w:r w:rsidR="009F52A0" w:rsidRPr="007777E2">
        <w:rPr>
          <w:rFonts w:eastAsia="Calibri"/>
          <w:bCs/>
          <w:color w:val="000000"/>
        </w:rPr>
        <w:t>i</w:t>
      </w:r>
      <w:proofErr w:type="spellEnd"/>
      <w:r w:rsidR="009F52A0" w:rsidRPr="007777E2">
        <w:rPr>
          <w:rFonts w:eastAsia="Calibri"/>
          <w:bCs/>
          <w:color w:val="000000"/>
        </w:rPr>
        <w:t xml:space="preserve">) maintenance and operation of railway infrastructure; (ii) operation of freight transport services; (iii) operation of </w:t>
      </w:r>
      <w:r w:rsidR="006C55C3">
        <w:rPr>
          <w:rFonts w:eastAsia="Calibri"/>
          <w:bCs/>
          <w:color w:val="000000"/>
        </w:rPr>
        <w:t xml:space="preserve">long-distance </w:t>
      </w:r>
      <w:r w:rsidR="009F52A0" w:rsidRPr="007777E2">
        <w:rPr>
          <w:rFonts w:eastAsia="Calibri"/>
          <w:bCs/>
          <w:color w:val="000000"/>
        </w:rPr>
        <w:t>passenger transport services; (iv)</w:t>
      </w:r>
      <w:r w:rsidR="006C55C3">
        <w:rPr>
          <w:rFonts w:eastAsia="Calibri"/>
          <w:bCs/>
          <w:color w:val="000000"/>
        </w:rPr>
        <w:t xml:space="preserve"> operation of suburban passenger transport services; (v)</w:t>
      </w:r>
      <w:r w:rsidR="009F52A0" w:rsidRPr="007777E2">
        <w:rPr>
          <w:rFonts w:eastAsia="Calibri"/>
          <w:bCs/>
          <w:color w:val="000000"/>
        </w:rPr>
        <w:t xml:space="preserve"> maintenance of rolling stock; (v</w:t>
      </w:r>
      <w:r w:rsidR="006C55C3">
        <w:rPr>
          <w:rFonts w:eastAsia="Calibri"/>
          <w:bCs/>
          <w:color w:val="000000"/>
        </w:rPr>
        <w:t>i</w:t>
      </w:r>
      <w:r w:rsidR="009F52A0" w:rsidRPr="007777E2">
        <w:rPr>
          <w:rFonts w:eastAsia="Calibri"/>
          <w:bCs/>
          <w:color w:val="000000"/>
        </w:rPr>
        <w:t>) social activity units (kindergartens, training centers, health units, sport complexes); and (vi</w:t>
      </w:r>
      <w:r w:rsidR="006C55C3">
        <w:rPr>
          <w:rFonts w:eastAsia="Calibri"/>
          <w:bCs/>
          <w:color w:val="000000"/>
        </w:rPr>
        <w:t>i</w:t>
      </w:r>
      <w:r w:rsidR="009F52A0" w:rsidRPr="007777E2">
        <w:rPr>
          <w:rFonts w:eastAsia="Calibri"/>
          <w:bCs/>
          <w:color w:val="000000"/>
        </w:rPr>
        <w:t>) agricultural farms.</w:t>
      </w:r>
    </w:p>
    <w:p w:rsidR="009F52A0" w:rsidRPr="007777E2" w:rsidRDefault="009F52A0" w:rsidP="00BE35AE">
      <w:pPr>
        <w:numPr>
          <w:ilvl w:val="0"/>
          <w:numId w:val="7"/>
        </w:numPr>
        <w:autoSpaceDE w:val="0"/>
        <w:autoSpaceDN w:val="0"/>
        <w:adjustRightInd w:val="0"/>
        <w:spacing w:after="120"/>
        <w:ind w:left="0" w:firstLine="0"/>
        <w:jc w:val="both"/>
      </w:pPr>
      <w:r w:rsidRPr="007777E2">
        <w:rPr>
          <w:rFonts w:eastAsia="Calibri"/>
          <w:b/>
          <w:bCs/>
          <w:color w:val="000000"/>
        </w:rPr>
        <w:t xml:space="preserve">The Government is to assess the best tariff policies to ensure </w:t>
      </w:r>
      <w:r w:rsidR="006C55C3">
        <w:rPr>
          <w:rFonts w:eastAsia="Calibri"/>
          <w:b/>
          <w:bCs/>
          <w:color w:val="000000"/>
        </w:rPr>
        <w:t xml:space="preserve">a </w:t>
      </w:r>
      <w:r w:rsidRPr="007777E2">
        <w:rPr>
          <w:rFonts w:eastAsia="Calibri"/>
          <w:b/>
          <w:bCs/>
          <w:color w:val="000000"/>
        </w:rPr>
        <w:t xml:space="preserve">balance between affordable fares for railways users, and financial sustainability of Belarusian Railways. </w:t>
      </w:r>
      <w:r w:rsidRPr="007777E2">
        <w:rPr>
          <w:rFonts w:eastAsia="Calibri"/>
          <w:bCs/>
          <w:color w:val="000000"/>
        </w:rPr>
        <w:t xml:space="preserve">At present, railway tariffs for domestic freight </w:t>
      </w:r>
      <w:r w:rsidR="00536517">
        <w:rPr>
          <w:rFonts w:eastAsia="Calibri"/>
          <w:bCs/>
          <w:color w:val="000000"/>
        </w:rPr>
        <w:t xml:space="preserve">and passenger </w:t>
      </w:r>
      <w:r w:rsidRPr="007777E2">
        <w:rPr>
          <w:rFonts w:eastAsia="Calibri"/>
          <w:bCs/>
          <w:color w:val="000000"/>
        </w:rPr>
        <w:t xml:space="preserve">transport services do not fully cover operating costs. Considering the increased market pressures on Belarusian Railways, the current tariff setting policies will </w:t>
      </w:r>
      <w:r w:rsidR="006C55C3">
        <w:rPr>
          <w:rFonts w:eastAsia="Calibri"/>
          <w:bCs/>
          <w:color w:val="000000"/>
        </w:rPr>
        <w:t xml:space="preserve">gradually </w:t>
      </w:r>
      <w:r w:rsidRPr="007777E2">
        <w:rPr>
          <w:rFonts w:eastAsia="Calibri"/>
          <w:bCs/>
          <w:color w:val="000000"/>
        </w:rPr>
        <w:t xml:space="preserve">increase problems of financing </w:t>
      </w:r>
      <w:r w:rsidR="00536517">
        <w:rPr>
          <w:rFonts w:eastAsia="Calibri"/>
          <w:bCs/>
          <w:color w:val="000000"/>
        </w:rPr>
        <w:t xml:space="preserve">the </w:t>
      </w:r>
      <w:r w:rsidRPr="007777E2">
        <w:rPr>
          <w:rFonts w:eastAsia="Calibri"/>
          <w:bCs/>
          <w:color w:val="000000"/>
        </w:rPr>
        <w:t>maintenance of infrastructure and rolling stock. This is particularly true given that the profit from international freight transport will not be enough to sustain all current railway activities.</w:t>
      </w:r>
    </w:p>
    <w:p w:rsidR="00062769" w:rsidRPr="007777E2" w:rsidRDefault="00091E8C" w:rsidP="00515EB8">
      <w:pPr>
        <w:pStyle w:val="Heading3"/>
        <w:spacing w:after="240"/>
        <w:rPr>
          <w:rFonts w:ascii="Times New Roman" w:hAnsi="Times New Roman" w:cs="Times New Roman"/>
          <w:sz w:val="24"/>
          <w:szCs w:val="24"/>
        </w:rPr>
      </w:pPr>
      <w:bookmarkStart w:id="320" w:name="_Toc282029960"/>
      <w:bookmarkStart w:id="321" w:name="_Toc257297055"/>
      <w:bookmarkStart w:id="322" w:name="_Toc257297650"/>
      <w:bookmarkStart w:id="323" w:name="_Toc257297752"/>
      <w:bookmarkStart w:id="324" w:name="_Ref252517511"/>
      <w:bookmarkStart w:id="325" w:name="_Toc252530914"/>
      <w:bookmarkStart w:id="326" w:name="_Toc255237744"/>
      <w:r w:rsidRPr="007777E2">
        <w:rPr>
          <w:rFonts w:ascii="Times New Roman" w:hAnsi="Times New Roman" w:cs="Times New Roman"/>
          <w:sz w:val="24"/>
          <w:szCs w:val="24"/>
        </w:rPr>
        <w:lastRenderedPageBreak/>
        <w:t xml:space="preserve">Improve </w:t>
      </w:r>
      <w:r w:rsidR="007B188C">
        <w:rPr>
          <w:rFonts w:ascii="Times New Roman" w:hAnsi="Times New Roman" w:cs="Times New Roman"/>
          <w:sz w:val="24"/>
          <w:szCs w:val="24"/>
        </w:rPr>
        <w:t xml:space="preserve">Transport </w:t>
      </w:r>
      <w:r w:rsidRPr="007777E2">
        <w:rPr>
          <w:rFonts w:ascii="Times New Roman" w:hAnsi="Times New Roman" w:cs="Times New Roman"/>
          <w:sz w:val="24"/>
          <w:szCs w:val="24"/>
        </w:rPr>
        <w:t>S</w:t>
      </w:r>
      <w:r w:rsidR="00062769" w:rsidRPr="007777E2">
        <w:rPr>
          <w:rFonts w:ascii="Times New Roman" w:hAnsi="Times New Roman" w:cs="Times New Roman"/>
          <w:sz w:val="24"/>
          <w:szCs w:val="24"/>
        </w:rPr>
        <w:t xml:space="preserve">ector </w:t>
      </w:r>
      <w:r w:rsidRPr="007777E2">
        <w:rPr>
          <w:rFonts w:ascii="Times New Roman" w:hAnsi="Times New Roman" w:cs="Times New Roman"/>
          <w:sz w:val="24"/>
          <w:szCs w:val="24"/>
        </w:rPr>
        <w:t>S</w:t>
      </w:r>
      <w:r w:rsidR="00062769" w:rsidRPr="007777E2">
        <w:rPr>
          <w:rFonts w:ascii="Times New Roman" w:hAnsi="Times New Roman" w:cs="Times New Roman"/>
          <w:sz w:val="24"/>
          <w:szCs w:val="24"/>
        </w:rPr>
        <w:t>ustainability</w:t>
      </w:r>
      <w:bookmarkEnd w:id="320"/>
    </w:p>
    <w:bookmarkEnd w:id="321"/>
    <w:bookmarkEnd w:id="322"/>
    <w:bookmarkEnd w:id="323"/>
    <w:p w:rsidR="00BD508D" w:rsidRPr="007777E2" w:rsidRDefault="00BD508D" w:rsidP="00515EB8">
      <w:pPr>
        <w:keepNext/>
        <w:autoSpaceDE w:val="0"/>
        <w:autoSpaceDN w:val="0"/>
        <w:adjustRightInd w:val="0"/>
        <w:spacing w:after="120"/>
        <w:jc w:val="both"/>
        <w:rPr>
          <w:b/>
          <w:i/>
        </w:rPr>
      </w:pPr>
      <w:r w:rsidRPr="007777E2">
        <w:rPr>
          <w:b/>
          <w:i/>
        </w:rPr>
        <w:t xml:space="preserve">Place greater emphasis on maintaining assets and address the backlog </w:t>
      </w:r>
      <w:r w:rsidR="009F52A0" w:rsidRPr="007777E2">
        <w:rPr>
          <w:b/>
          <w:i/>
        </w:rPr>
        <w:t>in the road network</w:t>
      </w:r>
    </w:p>
    <w:bookmarkEnd w:id="324"/>
    <w:bookmarkEnd w:id="325"/>
    <w:bookmarkEnd w:id="326"/>
    <w:p w:rsidR="00BD508D" w:rsidRDefault="007B188C" w:rsidP="00BE35AE">
      <w:pPr>
        <w:numPr>
          <w:ilvl w:val="0"/>
          <w:numId w:val="7"/>
        </w:numPr>
        <w:autoSpaceDE w:val="0"/>
        <w:autoSpaceDN w:val="0"/>
        <w:adjustRightInd w:val="0"/>
        <w:spacing w:after="120"/>
        <w:ind w:left="0" w:firstLine="0"/>
        <w:jc w:val="both"/>
      </w:pPr>
      <w:r w:rsidRPr="00191343">
        <w:rPr>
          <w:b/>
        </w:rPr>
        <w:t>T</w:t>
      </w:r>
      <w:r w:rsidR="00504FBB" w:rsidRPr="00191343">
        <w:rPr>
          <w:b/>
        </w:rPr>
        <w:t xml:space="preserve">he current level of maintenance spending </w:t>
      </w:r>
      <w:r w:rsidRPr="00191343">
        <w:rPr>
          <w:b/>
        </w:rPr>
        <w:t xml:space="preserve">on Republican Roads </w:t>
      </w:r>
      <w:r w:rsidR="00504FBB" w:rsidRPr="00191343">
        <w:rPr>
          <w:b/>
        </w:rPr>
        <w:t xml:space="preserve">is </w:t>
      </w:r>
      <w:r w:rsidRPr="00191343">
        <w:rPr>
          <w:b/>
        </w:rPr>
        <w:t xml:space="preserve">close to </w:t>
      </w:r>
      <w:r w:rsidR="00504FBB" w:rsidRPr="00191343">
        <w:rPr>
          <w:b/>
        </w:rPr>
        <w:t xml:space="preserve">sufficient to keep </w:t>
      </w:r>
      <w:r w:rsidRPr="00191343">
        <w:rPr>
          <w:b/>
        </w:rPr>
        <w:t xml:space="preserve">the condition of </w:t>
      </w:r>
      <w:r w:rsidR="00504FBB" w:rsidRPr="00191343">
        <w:rPr>
          <w:b/>
        </w:rPr>
        <w:t>th</w:t>
      </w:r>
      <w:r w:rsidRPr="00191343">
        <w:rPr>
          <w:b/>
        </w:rPr>
        <w:t>ose roads i</w:t>
      </w:r>
      <w:r w:rsidR="00504FBB" w:rsidRPr="00191343">
        <w:rPr>
          <w:b/>
        </w:rPr>
        <w:t>n a “steady state”</w:t>
      </w:r>
      <w:r w:rsidRPr="00191343">
        <w:rPr>
          <w:b/>
        </w:rPr>
        <w:t xml:space="preserve">.  For Local roads, however, </w:t>
      </w:r>
      <w:r w:rsidR="00504FBB" w:rsidRPr="00191343">
        <w:rPr>
          <w:b/>
        </w:rPr>
        <w:t xml:space="preserve">the </w:t>
      </w:r>
      <w:r w:rsidRPr="00191343">
        <w:rPr>
          <w:b/>
        </w:rPr>
        <w:t xml:space="preserve">maintenance spending is clearly insufficient to ensure their present condition.  </w:t>
      </w:r>
      <w:r w:rsidR="00504FBB" w:rsidRPr="00191343">
        <w:t xml:space="preserve">Failure to address the accumulated maintenance backlog </w:t>
      </w:r>
      <w:r w:rsidR="00091E8C" w:rsidRPr="00191343">
        <w:t xml:space="preserve">of </w:t>
      </w:r>
      <w:r w:rsidRPr="00191343">
        <w:t>L</w:t>
      </w:r>
      <w:r w:rsidR="00504FBB" w:rsidRPr="00191343">
        <w:t>ocal road</w:t>
      </w:r>
      <w:r w:rsidR="00091E8C" w:rsidRPr="00191343">
        <w:t>s</w:t>
      </w:r>
      <w:r w:rsidR="00504FBB" w:rsidRPr="00191343">
        <w:t xml:space="preserve"> could lead to accelerated road deterioration, increasing vehicle operating costs</w:t>
      </w:r>
      <w:r w:rsidR="00E168C9" w:rsidRPr="00191343">
        <w:t>, loss of access</w:t>
      </w:r>
      <w:r w:rsidRPr="00191343">
        <w:t xml:space="preserve"> and </w:t>
      </w:r>
      <w:r w:rsidR="00191343" w:rsidRPr="00191343">
        <w:t xml:space="preserve">the need for </w:t>
      </w:r>
      <w:r w:rsidR="00504FBB" w:rsidRPr="00191343">
        <w:t xml:space="preserve">costly reconstruction of </w:t>
      </w:r>
      <w:r w:rsidR="00191343" w:rsidRPr="00191343">
        <w:t xml:space="preserve">Local roads. </w:t>
      </w:r>
      <w:r w:rsidR="00191343">
        <w:t>The Transport Sector Strategy should establish the “optimum” level of expenditures on Local Roads, given that it may not be economically justified to keep all Local roads in good condition.</w:t>
      </w:r>
    </w:p>
    <w:p w:rsidR="007D5DCE" w:rsidRPr="007777E2" w:rsidRDefault="007D5DCE" w:rsidP="007D5DCE">
      <w:pPr>
        <w:autoSpaceDE w:val="0"/>
        <w:autoSpaceDN w:val="0"/>
        <w:adjustRightInd w:val="0"/>
        <w:spacing w:after="120"/>
        <w:jc w:val="both"/>
        <w:rPr>
          <w:b/>
          <w:i/>
        </w:rPr>
      </w:pPr>
      <w:r w:rsidRPr="007777E2">
        <w:rPr>
          <w:b/>
          <w:i/>
        </w:rPr>
        <w:t>Strengthen financing of the road sector</w:t>
      </w:r>
    </w:p>
    <w:p w:rsidR="007D5DCE" w:rsidRDefault="007D5DCE" w:rsidP="007D5DCE">
      <w:pPr>
        <w:numPr>
          <w:ilvl w:val="0"/>
          <w:numId w:val="7"/>
        </w:numPr>
        <w:autoSpaceDE w:val="0"/>
        <w:autoSpaceDN w:val="0"/>
        <w:adjustRightInd w:val="0"/>
        <w:spacing w:after="120"/>
        <w:ind w:left="0" w:firstLine="0"/>
        <w:jc w:val="both"/>
      </w:pPr>
      <w:r w:rsidRPr="007777E2">
        <w:rPr>
          <w:b/>
        </w:rPr>
        <w:t>The sustainability of road sector financing could be improved by increasing cost recovery</w:t>
      </w:r>
      <w:r>
        <w:rPr>
          <w:b/>
        </w:rPr>
        <w:t xml:space="preserve"> directly from road users through road tolling. </w:t>
      </w:r>
      <w:r>
        <w:t xml:space="preserve"> The Government’s plans for the gradual expansion of road tolling to all major roads </w:t>
      </w:r>
      <w:r w:rsidRPr="007777E2">
        <w:t xml:space="preserve">could </w:t>
      </w:r>
      <w:r>
        <w:t xml:space="preserve">be very helpful to </w:t>
      </w:r>
      <w:r w:rsidRPr="007777E2">
        <w:t xml:space="preserve">generate considerable revenue </w:t>
      </w:r>
      <w:r>
        <w:t>and thus help ensure adequate road conditions and service quality for road users</w:t>
      </w:r>
      <w:r w:rsidRPr="007777E2">
        <w:t>.</w:t>
      </w:r>
      <w:r>
        <w:t xml:space="preserve">  The level of tolls for trucks is an important instrument not only to influence the modal split for freight transport between road and rail, but also to ensure the financial viability of both modes of tran</w:t>
      </w:r>
      <w:r w:rsidR="003C5773">
        <w:t>sport.</w:t>
      </w:r>
    </w:p>
    <w:p w:rsidR="007D5DCE" w:rsidRPr="007777E2" w:rsidRDefault="007D5DCE" w:rsidP="007D5DCE">
      <w:pPr>
        <w:numPr>
          <w:ilvl w:val="0"/>
          <w:numId w:val="7"/>
        </w:numPr>
        <w:autoSpaceDE w:val="0"/>
        <w:autoSpaceDN w:val="0"/>
        <w:adjustRightInd w:val="0"/>
        <w:spacing w:after="120"/>
        <w:ind w:left="0" w:firstLine="0"/>
        <w:jc w:val="both"/>
      </w:pPr>
      <w:r w:rsidRPr="003C5773">
        <w:rPr>
          <w:b/>
        </w:rPr>
        <w:t xml:space="preserve">More coordination between MOTC and </w:t>
      </w:r>
      <w:proofErr w:type="spellStart"/>
      <w:r w:rsidRPr="003C5773">
        <w:rPr>
          <w:b/>
        </w:rPr>
        <w:t>Belavtodor</w:t>
      </w:r>
      <w:proofErr w:type="spellEnd"/>
      <w:r w:rsidRPr="003C5773">
        <w:rPr>
          <w:b/>
        </w:rPr>
        <w:t xml:space="preserve"> on one side, and the Ministry of Finance on the other, would help improve the budgeting process in the road sector.</w:t>
      </w:r>
      <w:r>
        <w:t xml:space="preserve">  Based on the proposed Transport Sector Strategy and national development priorities, rolling 5-year s</w:t>
      </w:r>
      <w:r w:rsidRPr="007777E2">
        <w:t xml:space="preserve">pending envelopes should be </w:t>
      </w:r>
      <w:r>
        <w:t xml:space="preserve">established </w:t>
      </w:r>
      <w:r w:rsidRPr="007777E2">
        <w:t xml:space="preserve">to </w:t>
      </w:r>
      <w:r>
        <w:t xml:space="preserve">allocate adequate </w:t>
      </w:r>
      <w:r w:rsidRPr="007777E2">
        <w:t xml:space="preserve">resources for </w:t>
      </w:r>
      <w:r>
        <w:t xml:space="preserve">the </w:t>
      </w:r>
      <w:r w:rsidRPr="007777E2">
        <w:t>maintenance and development</w:t>
      </w:r>
      <w:r>
        <w:t xml:space="preserve"> of the road network</w:t>
      </w:r>
      <w:r w:rsidRPr="007777E2">
        <w:t>.</w:t>
      </w:r>
    </w:p>
    <w:p w:rsidR="00BD508D" w:rsidRPr="007777E2" w:rsidRDefault="00C86B80" w:rsidP="00BD508D">
      <w:pPr>
        <w:autoSpaceDE w:val="0"/>
        <w:autoSpaceDN w:val="0"/>
        <w:adjustRightInd w:val="0"/>
        <w:spacing w:after="120"/>
        <w:jc w:val="both"/>
        <w:rPr>
          <w:b/>
          <w:i/>
        </w:rPr>
      </w:pPr>
      <w:r w:rsidRPr="007777E2">
        <w:rPr>
          <w:b/>
          <w:i/>
        </w:rPr>
        <w:t>Invest strategically in the railway sector</w:t>
      </w:r>
    </w:p>
    <w:p w:rsidR="00F43A4D" w:rsidRPr="00E41BEC" w:rsidRDefault="00C86B80" w:rsidP="00E41BEC">
      <w:pPr>
        <w:numPr>
          <w:ilvl w:val="0"/>
          <w:numId w:val="7"/>
        </w:numPr>
        <w:autoSpaceDE w:val="0"/>
        <w:autoSpaceDN w:val="0"/>
        <w:adjustRightInd w:val="0"/>
        <w:spacing w:after="120"/>
        <w:ind w:left="0" w:firstLine="0"/>
        <w:jc w:val="both"/>
      </w:pPr>
      <w:r w:rsidRPr="007777E2">
        <w:rPr>
          <w:b/>
        </w:rPr>
        <w:t>Throughout Europe, investments in the railway sector are financed through the railways companies’ own resources</w:t>
      </w:r>
      <w:r w:rsidR="00191343">
        <w:rPr>
          <w:b/>
        </w:rPr>
        <w:t>,</w:t>
      </w:r>
      <w:r w:rsidRPr="007777E2">
        <w:rPr>
          <w:b/>
        </w:rPr>
        <w:t xml:space="preserve"> in addition to support from State Budgets</w:t>
      </w:r>
      <w:r w:rsidRPr="00E41BEC">
        <w:rPr>
          <w:b/>
        </w:rPr>
        <w:t xml:space="preserve">. </w:t>
      </w:r>
      <w:r w:rsidRPr="00E41BEC">
        <w:t xml:space="preserve">The particular ratio is usually a function of the history of railway development in the country combined with the strategic priorities of the country and the condition of the railways. Investments to acquire rolling stock are generally covered exclusively from the income of the railway company. In the case of passenger services, </w:t>
      </w:r>
      <w:r w:rsidR="00C75C94" w:rsidRPr="00E41BEC">
        <w:t>revenues</w:t>
      </w:r>
      <w:r w:rsidRPr="00E41BEC">
        <w:t xml:space="preserve"> </w:t>
      </w:r>
      <w:r w:rsidR="00191343" w:rsidRPr="00E41BEC">
        <w:t xml:space="preserve">of railway companies </w:t>
      </w:r>
      <w:r w:rsidRPr="00E41BEC">
        <w:t xml:space="preserve">also include the compensation received </w:t>
      </w:r>
      <w:r w:rsidR="00C75C94" w:rsidRPr="00E41BEC">
        <w:t xml:space="preserve">from the State </w:t>
      </w:r>
      <w:r w:rsidRPr="00E41BEC">
        <w:t>through Public Service Contracts</w:t>
      </w:r>
      <w:r w:rsidR="00191343" w:rsidRPr="00E41BEC">
        <w:t xml:space="preserve"> for loss-making passenger transport services that the State wishes to maintain for social reasons</w:t>
      </w:r>
      <w:r w:rsidRPr="00E41BEC">
        <w:t xml:space="preserve">. Investments in </w:t>
      </w:r>
      <w:r w:rsidR="00191343" w:rsidRPr="00E41BEC">
        <w:t xml:space="preserve">railway </w:t>
      </w:r>
      <w:r w:rsidRPr="00E41BEC">
        <w:t>infrastructure</w:t>
      </w:r>
      <w:r w:rsidR="00191343" w:rsidRPr="00E41BEC">
        <w:t>,</w:t>
      </w:r>
      <w:r w:rsidRPr="00E41BEC">
        <w:t xml:space="preserve"> however</w:t>
      </w:r>
      <w:r w:rsidR="00191343" w:rsidRPr="00E41BEC">
        <w:t>,</w:t>
      </w:r>
      <w:r w:rsidRPr="00E41BEC">
        <w:t xml:space="preserve"> are usually covered by both incomes from the railways companies and transfers from State budgets. </w:t>
      </w:r>
      <w:r w:rsidR="00191343" w:rsidRPr="00E41BEC">
        <w:t xml:space="preserve">Belarusian Railways has so far been able to cover all railway infrastructure investments from its own resources, but the further upgrading and modernization of railway infrastructure in Belarus may require State support in the medium and long term.  </w:t>
      </w:r>
    </w:p>
    <w:p w:rsidR="007777E2" w:rsidRPr="007777E2" w:rsidRDefault="001B4C57">
      <w:pPr>
        <w:keepNext/>
        <w:autoSpaceDE w:val="0"/>
        <w:autoSpaceDN w:val="0"/>
        <w:adjustRightInd w:val="0"/>
        <w:spacing w:after="120"/>
        <w:jc w:val="both"/>
        <w:rPr>
          <w:b/>
          <w:i/>
        </w:rPr>
      </w:pPr>
      <w:r w:rsidRPr="00191343">
        <w:rPr>
          <w:b/>
          <w:i/>
        </w:rPr>
        <w:t>Assess possibil</w:t>
      </w:r>
      <w:r w:rsidRPr="007777E2">
        <w:rPr>
          <w:b/>
          <w:i/>
        </w:rPr>
        <w:t xml:space="preserve">ity of introducing gradually </w:t>
      </w:r>
      <w:r w:rsidR="00F43A4D" w:rsidRPr="007777E2">
        <w:rPr>
          <w:b/>
          <w:i/>
        </w:rPr>
        <w:t>Public Service Contracts</w:t>
      </w:r>
    </w:p>
    <w:p w:rsidR="00F43A4D" w:rsidRPr="007777E2" w:rsidRDefault="00F43A4D" w:rsidP="00BE35AE">
      <w:pPr>
        <w:numPr>
          <w:ilvl w:val="0"/>
          <w:numId w:val="7"/>
        </w:numPr>
        <w:autoSpaceDE w:val="0"/>
        <w:autoSpaceDN w:val="0"/>
        <w:adjustRightInd w:val="0"/>
        <w:spacing w:after="120"/>
        <w:ind w:left="0" w:firstLine="0"/>
        <w:jc w:val="both"/>
      </w:pPr>
      <w:r w:rsidRPr="007777E2">
        <w:rPr>
          <w:b/>
        </w:rPr>
        <w:t xml:space="preserve">In any country, the State plays multiple roles in the provision of </w:t>
      </w:r>
      <w:r w:rsidR="002E3443">
        <w:rPr>
          <w:b/>
        </w:rPr>
        <w:t xml:space="preserve">railway </w:t>
      </w:r>
      <w:r w:rsidRPr="007777E2">
        <w:rPr>
          <w:b/>
        </w:rPr>
        <w:t>passenger transport services</w:t>
      </w:r>
      <w:r w:rsidRPr="007777E2">
        <w:t xml:space="preserve">. This includes its role as policy maker, regulator, </w:t>
      </w:r>
      <w:proofErr w:type="gramStart"/>
      <w:r w:rsidRPr="007777E2">
        <w:t>owner</w:t>
      </w:r>
      <w:proofErr w:type="gramEnd"/>
      <w:r w:rsidR="002E3443">
        <w:t xml:space="preserve"> of the railway</w:t>
      </w:r>
      <w:r w:rsidRPr="007777E2">
        <w:t xml:space="preserve"> and </w:t>
      </w:r>
      <w:r w:rsidR="002E3443">
        <w:t xml:space="preserve">also as a </w:t>
      </w:r>
      <w:r w:rsidRPr="007777E2">
        <w:t xml:space="preserve">client </w:t>
      </w:r>
      <w:r w:rsidR="002E3443">
        <w:t xml:space="preserve">demanding the regular provision of passenger transport. </w:t>
      </w:r>
      <w:r w:rsidR="001B4C57" w:rsidRPr="007777E2">
        <w:t xml:space="preserve">Railways passenger transport services are </w:t>
      </w:r>
      <w:r w:rsidR="00C75C94">
        <w:t xml:space="preserve">most </w:t>
      </w:r>
      <w:r w:rsidR="001B4C57" w:rsidRPr="007777E2">
        <w:t>often not commercially viable</w:t>
      </w:r>
      <w:r w:rsidR="002E3443">
        <w:t xml:space="preserve"> since revenues from those services do </w:t>
      </w:r>
      <w:r w:rsidR="002E3443">
        <w:lastRenderedPageBreak/>
        <w:t xml:space="preserve">not cover the cost of providing the services.  </w:t>
      </w:r>
      <w:r w:rsidR="003C5773">
        <w:t xml:space="preserve">The </w:t>
      </w:r>
      <w:r w:rsidR="002E3443">
        <w:t>Government however demand</w:t>
      </w:r>
      <w:r w:rsidR="003C5773">
        <w:t>s</w:t>
      </w:r>
      <w:r w:rsidR="002E3443">
        <w:t xml:space="preserve"> that railway passenger services </w:t>
      </w:r>
      <w:r w:rsidR="001B4C57" w:rsidRPr="007777E2">
        <w:t>must be provided for social reasons</w:t>
      </w:r>
      <w:r w:rsidR="002E3443">
        <w:t xml:space="preserve">. </w:t>
      </w:r>
      <w:r w:rsidR="001B4C57" w:rsidRPr="007777E2">
        <w:t xml:space="preserve">In countries of the EU </w:t>
      </w:r>
      <w:r w:rsidR="00C75C94">
        <w:t xml:space="preserve">and </w:t>
      </w:r>
      <w:r w:rsidR="001B4C57" w:rsidRPr="007777E2">
        <w:t xml:space="preserve">in many other countries, railways </w:t>
      </w:r>
      <w:r w:rsidR="00C75C94">
        <w:t xml:space="preserve">receive </w:t>
      </w:r>
      <w:r w:rsidR="001B4C57" w:rsidRPr="007777E2">
        <w:t>compensat</w:t>
      </w:r>
      <w:r w:rsidR="00C75C94">
        <w:t>ion</w:t>
      </w:r>
      <w:r w:rsidR="001B4C57" w:rsidRPr="007777E2">
        <w:t xml:space="preserve"> by the State for loss</w:t>
      </w:r>
      <w:r w:rsidR="00C75C94">
        <w:t xml:space="preserve">-making passenger </w:t>
      </w:r>
      <w:r w:rsidR="001B4C57" w:rsidRPr="007777E2">
        <w:t xml:space="preserve">services requested by the Government. This compensation covers the difference between operating costs and </w:t>
      </w:r>
      <w:r w:rsidR="00C75C94">
        <w:t xml:space="preserve">the </w:t>
      </w:r>
      <w:r w:rsidR="001B4C57" w:rsidRPr="007777E2">
        <w:t>revenues from regulated tariffs.</w:t>
      </w:r>
    </w:p>
    <w:p w:rsidR="001B4C57" w:rsidRPr="007777E2" w:rsidRDefault="001B4C57" w:rsidP="00BE35AE">
      <w:pPr>
        <w:numPr>
          <w:ilvl w:val="0"/>
          <w:numId w:val="7"/>
        </w:numPr>
        <w:autoSpaceDE w:val="0"/>
        <w:autoSpaceDN w:val="0"/>
        <w:adjustRightInd w:val="0"/>
        <w:spacing w:after="120"/>
        <w:ind w:left="0" w:firstLine="0"/>
        <w:jc w:val="both"/>
      </w:pPr>
      <w:r w:rsidRPr="007777E2">
        <w:rPr>
          <w:b/>
        </w:rPr>
        <w:t>Ba</w:t>
      </w:r>
      <w:r w:rsidRPr="00191343">
        <w:rPr>
          <w:b/>
        </w:rPr>
        <w:t xml:space="preserve">sed on the current situation of Belarusian Railways, Public Service Contracts for passenger transport services </w:t>
      </w:r>
      <w:r w:rsidR="002E3443">
        <w:rPr>
          <w:b/>
        </w:rPr>
        <w:t>sh</w:t>
      </w:r>
      <w:r w:rsidR="00914E07" w:rsidRPr="00191343">
        <w:rPr>
          <w:b/>
        </w:rPr>
        <w:t>ould be introduced grad</w:t>
      </w:r>
      <w:r w:rsidR="00914E07" w:rsidRPr="007777E2">
        <w:rPr>
          <w:b/>
        </w:rPr>
        <w:t xml:space="preserve">ually </w:t>
      </w:r>
      <w:r w:rsidRPr="007777E2">
        <w:rPr>
          <w:b/>
        </w:rPr>
        <w:t xml:space="preserve">on selected major railway </w:t>
      </w:r>
      <w:r w:rsidR="00C75C94">
        <w:rPr>
          <w:b/>
        </w:rPr>
        <w:t>routes</w:t>
      </w:r>
      <w:r w:rsidR="00914E07" w:rsidRPr="007777E2">
        <w:rPr>
          <w:b/>
        </w:rPr>
        <w:t xml:space="preserve">. </w:t>
      </w:r>
      <w:r w:rsidR="00914E07" w:rsidRPr="007777E2">
        <w:t xml:space="preserve">The gradual introduction should be accompanied by an evaluation of its results. To determine the compensation scheme from the State budget, the needs </w:t>
      </w:r>
      <w:r w:rsidR="00C75C94">
        <w:t xml:space="preserve">for </w:t>
      </w:r>
      <w:r w:rsidR="00914E07" w:rsidRPr="007777E2">
        <w:t>railways passenger services should be evaluated based on (</w:t>
      </w:r>
      <w:proofErr w:type="spellStart"/>
      <w:r w:rsidR="00914E07" w:rsidRPr="007777E2">
        <w:t>i</w:t>
      </w:r>
      <w:proofErr w:type="spellEnd"/>
      <w:r w:rsidR="00914E07" w:rsidRPr="007777E2">
        <w:t xml:space="preserve">) a medium-term forecast for local and long-distance passenger demand considering different fare scales and service provision scenarios; (ii) </w:t>
      </w:r>
      <w:r w:rsidR="00C75C94">
        <w:t xml:space="preserve">the </w:t>
      </w:r>
      <w:r w:rsidR="00914E07" w:rsidRPr="007777E2">
        <w:t>correlat</w:t>
      </w:r>
      <w:r w:rsidR="00C75C94">
        <w:t xml:space="preserve">ion between </w:t>
      </w:r>
      <w:r w:rsidR="00914E07" w:rsidRPr="007777E2">
        <w:t xml:space="preserve">the passenger transport services provided on a social basis with </w:t>
      </w:r>
      <w:r w:rsidR="00C75C94">
        <w:t xml:space="preserve">the </w:t>
      </w:r>
      <w:r w:rsidR="00914E07" w:rsidRPr="007777E2">
        <w:t xml:space="preserve">travel needs of the population and the Government’s ability to compensate; (iii) </w:t>
      </w:r>
      <w:r w:rsidR="00C75C94">
        <w:t xml:space="preserve">an </w:t>
      </w:r>
      <w:r w:rsidR="00914E07" w:rsidRPr="007777E2">
        <w:t>identi</w:t>
      </w:r>
      <w:r w:rsidR="002E3443">
        <w:t>fi</w:t>
      </w:r>
      <w:r w:rsidR="00C75C94">
        <w:t xml:space="preserve">cation of </w:t>
      </w:r>
      <w:r w:rsidR="00914E07" w:rsidRPr="007777E2">
        <w:t>the extent, type and service level of passenger services</w:t>
      </w:r>
      <w:r w:rsidR="00C75C94">
        <w:t xml:space="preserve"> needed</w:t>
      </w:r>
      <w:r w:rsidR="00914E07" w:rsidRPr="007777E2">
        <w:t xml:space="preserve">; and (iv) </w:t>
      </w:r>
      <w:r w:rsidR="00C75C94">
        <w:t xml:space="preserve">an </w:t>
      </w:r>
      <w:r w:rsidR="00914E07" w:rsidRPr="007777E2">
        <w:t>identi</w:t>
      </w:r>
      <w:r w:rsidR="002E3443">
        <w:t>fi</w:t>
      </w:r>
      <w:r w:rsidR="00C75C94">
        <w:t xml:space="preserve">cation of </w:t>
      </w:r>
      <w:r w:rsidR="00914E07" w:rsidRPr="007777E2">
        <w:t xml:space="preserve">measures to reduce </w:t>
      </w:r>
      <w:r w:rsidR="00C75C94">
        <w:t xml:space="preserve">the cost of </w:t>
      </w:r>
      <w:r w:rsidR="00914E07" w:rsidRPr="007777E2">
        <w:t xml:space="preserve">passenger transport services at Belarusian Railways. </w:t>
      </w:r>
    </w:p>
    <w:p w:rsidR="00914E07" w:rsidRPr="007777E2" w:rsidRDefault="00914E07" w:rsidP="00BE35AE">
      <w:pPr>
        <w:numPr>
          <w:ilvl w:val="0"/>
          <w:numId w:val="7"/>
        </w:numPr>
        <w:autoSpaceDE w:val="0"/>
        <w:autoSpaceDN w:val="0"/>
        <w:adjustRightInd w:val="0"/>
        <w:spacing w:after="120"/>
        <w:ind w:left="0" w:firstLine="0"/>
        <w:jc w:val="both"/>
      </w:pPr>
      <w:r w:rsidRPr="007777E2">
        <w:rPr>
          <w:b/>
        </w:rPr>
        <w:t>The implementation of Public Service Contracts must be transparent based on the principle that the Government has full control of the utilization of State funds provided to Belarusian Railways.</w:t>
      </w:r>
      <w:r w:rsidRPr="007777E2">
        <w:t xml:space="preserve"> </w:t>
      </w:r>
      <w:r w:rsidR="002E3443">
        <w:t>I</w:t>
      </w:r>
      <w:r w:rsidRPr="007777E2">
        <w:t xml:space="preserve">t is advisable that contracts between the State and Belarusian Railways be signed for a period of time spanning 7 to 15 years in order to create a predictable environment for Belarusian Railways and </w:t>
      </w:r>
      <w:r w:rsidR="00C75C94">
        <w:t xml:space="preserve">to </w:t>
      </w:r>
      <w:r w:rsidRPr="007777E2">
        <w:t xml:space="preserve">encourage investments. The contracts should contain a clear description of the services </w:t>
      </w:r>
      <w:r w:rsidR="00C75C94">
        <w:t>requested by the State</w:t>
      </w:r>
      <w:r w:rsidRPr="007777E2">
        <w:t xml:space="preserve"> (number of trains to be operated daily, c</w:t>
      </w:r>
      <w:r w:rsidR="00C75C94">
        <w:t xml:space="preserve">apacity </w:t>
      </w:r>
      <w:r w:rsidRPr="007777E2">
        <w:t xml:space="preserve">of trains) and the quality conditions for the provided services (punctuality, cleanliness, service on board, etc.) for each railway line. Lastly, contracts should contain provisions stipulating that the compensation is paid only for </w:t>
      </w:r>
      <w:r w:rsidR="00113AF6" w:rsidRPr="007777E2">
        <w:t>services that were actually provided at the level of quality indicated in the contract.</w:t>
      </w:r>
    </w:p>
    <w:p w:rsidR="00BD508D" w:rsidRPr="007777E2" w:rsidRDefault="00BD508D" w:rsidP="00BD508D">
      <w:pPr>
        <w:autoSpaceDE w:val="0"/>
        <w:autoSpaceDN w:val="0"/>
        <w:adjustRightInd w:val="0"/>
        <w:spacing w:after="120"/>
        <w:jc w:val="both"/>
        <w:rPr>
          <w:b/>
          <w:i/>
        </w:rPr>
      </w:pPr>
      <w:r w:rsidRPr="007777E2">
        <w:rPr>
          <w:b/>
          <w:i/>
        </w:rPr>
        <w:t xml:space="preserve">Improve </w:t>
      </w:r>
      <w:r w:rsidR="00D41ACC">
        <w:rPr>
          <w:b/>
          <w:i/>
        </w:rPr>
        <w:t xml:space="preserve">further </w:t>
      </w:r>
      <w:r w:rsidRPr="007777E2">
        <w:rPr>
          <w:b/>
          <w:i/>
        </w:rPr>
        <w:t>the operational and financial performance of the railways</w:t>
      </w:r>
    </w:p>
    <w:p w:rsidR="009C4504" w:rsidRPr="007777E2" w:rsidRDefault="009C4504" w:rsidP="00BE35AE">
      <w:pPr>
        <w:numPr>
          <w:ilvl w:val="0"/>
          <w:numId w:val="7"/>
        </w:numPr>
        <w:autoSpaceDE w:val="0"/>
        <w:autoSpaceDN w:val="0"/>
        <w:adjustRightInd w:val="0"/>
        <w:spacing w:after="120"/>
        <w:ind w:left="0" w:firstLine="0"/>
        <w:jc w:val="both"/>
      </w:pPr>
      <w:r w:rsidRPr="007777E2">
        <w:rPr>
          <w:b/>
        </w:rPr>
        <w:t xml:space="preserve">The market conditions </w:t>
      </w:r>
      <w:r w:rsidR="00E168C9" w:rsidRPr="007777E2">
        <w:rPr>
          <w:b/>
        </w:rPr>
        <w:t xml:space="preserve">will continue to </w:t>
      </w:r>
      <w:r w:rsidRPr="007777E2">
        <w:rPr>
          <w:b/>
        </w:rPr>
        <w:t xml:space="preserve">force Belarusian Railways to </w:t>
      </w:r>
      <w:r w:rsidR="001102C7" w:rsidRPr="007777E2">
        <w:rPr>
          <w:b/>
        </w:rPr>
        <w:t xml:space="preserve">further </w:t>
      </w:r>
      <w:r w:rsidRPr="007777E2">
        <w:rPr>
          <w:b/>
        </w:rPr>
        <w:t xml:space="preserve">improve their </w:t>
      </w:r>
      <w:r w:rsidR="00FB7A94">
        <w:rPr>
          <w:b/>
        </w:rPr>
        <w:t xml:space="preserve">already </w:t>
      </w:r>
      <w:r w:rsidRPr="007777E2">
        <w:rPr>
          <w:b/>
        </w:rPr>
        <w:t xml:space="preserve">excellent operational </w:t>
      </w:r>
      <w:r w:rsidR="00717C19" w:rsidRPr="007777E2">
        <w:rPr>
          <w:b/>
        </w:rPr>
        <w:t xml:space="preserve">and financial </w:t>
      </w:r>
      <w:r w:rsidRPr="007777E2">
        <w:rPr>
          <w:b/>
        </w:rPr>
        <w:t>performance.</w:t>
      </w:r>
      <w:r w:rsidRPr="007777E2">
        <w:t xml:space="preserve"> The evolution </w:t>
      </w:r>
      <w:r w:rsidR="00E168C9" w:rsidRPr="007777E2">
        <w:t>with</w:t>
      </w:r>
      <w:r w:rsidRPr="007777E2">
        <w:t xml:space="preserve"> </w:t>
      </w:r>
      <w:r w:rsidR="00E168C9" w:rsidRPr="007777E2">
        <w:t>time</w:t>
      </w:r>
      <w:r w:rsidRPr="007777E2">
        <w:t xml:space="preserve"> of the productivity of staff and assets of Belarusian Railways illustrates the results of </w:t>
      </w:r>
      <w:r w:rsidR="00FB7A94">
        <w:t xml:space="preserve">past </w:t>
      </w:r>
      <w:r w:rsidRPr="007777E2">
        <w:t xml:space="preserve">efforts to improve operational performance. The </w:t>
      </w:r>
      <w:r w:rsidRPr="004C7E58">
        <w:t xml:space="preserve">data in </w:t>
      </w:r>
      <w:fldSimple w:instr=" REF _Ref257273806 \h  \* MERGEFORMAT ">
        <w:r w:rsidR="00E85C5F" w:rsidRPr="00E85C5F">
          <w:t xml:space="preserve">Figure </w:t>
        </w:r>
        <w:r w:rsidR="00E85C5F" w:rsidRPr="00E85C5F">
          <w:rPr>
            <w:noProof/>
          </w:rPr>
          <w:t>41</w:t>
        </w:r>
      </w:fldSimple>
      <w:r w:rsidRPr="004C7E58">
        <w:t xml:space="preserve"> presents</w:t>
      </w:r>
      <w:r w:rsidRPr="007777E2">
        <w:t xml:space="preserve"> the </w:t>
      </w:r>
      <w:r w:rsidR="00FB7A94">
        <w:t xml:space="preserve">variation of </w:t>
      </w:r>
      <w:r w:rsidRPr="007777E2">
        <w:t xml:space="preserve">operational performance in 2008 compared with </w:t>
      </w:r>
      <w:r w:rsidR="00D41ACC">
        <w:t xml:space="preserve">the </w:t>
      </w:r>
      <w:r w:rsidRPr="007777E2">
        <w:t xml:space="preserve">2004 </w:t>
      </w:r>
      <w:r w:rsidR="00D41ACC">
        <w:t xml:space="preserve">benchmark (100 percent).  It </w:t>
      </w:r>
      <w:r w:rsidRPr="007777E2">
        <w:t xml:space="preserve">reveals </w:t>
      </w:r>
      <w:r w:rsidR="00D41ACC">
        <w:t xml:space="preserve">important </w:t>
      </w:r>
      <w:r w:rsidRPr="007777E2">
        <w:t xml:space="preserve">improvements in staff productivity and traffic intensity, but </w:t>
      </w:r>
      <w:r w:rsidR="00D41ACC">
        <w:t xml:space="preserve">a reduction in </w:t>
      </w:r>
      <w:r w:rsidRPr="007777E2">
        <w:t>fleet</w:t>
      </w:r>
      <w:r w:rsidR="00D41ACC">
        <w:t xml:space="preserve"> utilization. </w:t>
      </w:r>
      <w:r w:rsidRPr="007777E2">
        <w:t>In particular, utilization of passenger coaches dramatically</w:t>
      </w:r>
      <w:r w:rsidR="00E168C9" w:rsidRPr="007777E2">
        <w:t xml:space="preserve"> decreased</w:t>
      </w:r>
      <w:r w:rsidRPr="007777E2">
        <w:t xml:space="preserve"> to only 68 percent compared to 2004, showing the effect of lost </w:t>
      </w:r>
      <w:r w:rsidR="00D41ACC">
        <w:t xml:space="preserve">passenger </w:t>
      </w:r>
      <w:r w:rsidRPr="007777E2">
        <w:t xml:space="preserve">traffic. </w:t>
      </w:r>
    </w:p>
    <w:p w:rsidR="009C4504" w:rsidRPr="007777E2" w:rsidRDefault="009C4504" w:rsidP="00BD508D">
      <w:pPr>
        <w:autoSpaceDE w:val="0"/>
        <w:autoSpaceDN w:val="0"/>
        <w:adjustRightInd w:val="0"/>
        <w:spacing w:after="120"/>
        <w:jc w:val="both"/>
      </w:pPr>
    </w:p>
    <w:tbl>
      <w:tblPr>
        <w:tblStyle w:val="TableGrid"/>
        <w:tblpPr w:leftFromText="180" w:rightFromText="180" w:vertAnchor="text" w:horzAnchor="margin" w:tblpXSpec="center" w:tblpY="-164"/>
        <w:tblW w:w="0" w:type="auto"/>
        <w:tblLook w:val="04A0"/>
      </w:tblPr>
      <w:tblGrid>
        <w:gridCol w:w="4791"/>
      </w:tblGrid>
      <w:tr w:rsidR="009C4504" w:rsidRPr="007777E2" w:rsidTr="009B1944">
        <w:trPr>
          <w:cantSplit/>
        </w:trPr>
        <w:tc>
          <w:tcPr>
            <w:tcW w:w="4791" w:type="dxa"/>
          </w:tcPr>
          <w:p w:rsidR="009C4504" w:rsidRPr="007777E2" w:rsidRDefault="009C4504" w:rsidP="009C4504">
            <w:pPr>
              <w:pStyle w:val="Caption"/>
              <w:rPr>
                <w:color w:val="auto"/>
                <w:sz w:val="22"/>
                <w:szCs w:val="22"/>
              </w:rPr>
            </w:pPr>
            <w:bookmarkStart w:id="327" w:name="_Ref257273806"/>
            <w:bookmarkStart w:id="328" w:name="_Toc264226798"/>
            <w:r w:rsidRPr="007777E2">
              <w:rPr>
                <w:color w:val="auto"/>
                <w:sz w:val="22"/>
                <w:szCs w:val="22"/>
              </w:rPr>
              <w:lastRenderedPageBreak/>
              <w:t xml:space="preserve">Figure </w:t>
            </w:r>
            <w:r w:rsidR="006B40AE" w:rsidRPr="007777E2">
              <w:rPr>
                <w:color w:val="auto"/>
                <w:sz w:val="22"/>
                <w:szCs w:val="22"/>
              </w:rPr>
              <w:fldChar w:fldCharType="begin"/>
            </w:r>
            <w:r w:rsidR="00B9265B" w:rsidRPr="007777E2">
              <w:rPr>
                <w:color w:val="auto"/>
                <w:sz w:val="22"/>
                <w:szCs w:val="22"/>
              </w:rPr>
              <w:instrText xml:space="preserve"> SEQ Figure \* ARABIC </w:instrText>
            </w:r>
            <w:r w:rsidR="006B40AE" w:rsidRPr="007777E2">
              <w:rPr>
                <w:color w:val="auto"/>
                <w:sz w:val="22"/>
                <w:szCs w:val="22"/>
              </w:rPr>
              <w:fldChar w:fldCharType="separate"/>
            </w:r>
            <w:r w:rsidR="009E2C86">
              <w:rPr>
                <w:noProof/>
                <w:color w:val="auto"/>
                <w:sz w:val="22"/>
                <w:szCs w:val="22"/>
              </w:rPr>
              <w:t>41</w:t>
            </w:r>
            <w:r w:rsidR="006B40AE" w:rsidRPr="007777E2">
              <w:rPr>
                <w:color w:val="auto"/>
                <w:sz w:val="22"/>
                <w:szCs w:val="22"/>
              </w:rPr>
              <w:fldChar w:fldCharType="end"/>
            </w:r>
            <w:bookmarkEnd w:id="327"/>
            <w:r w:rsidRPr="007777E2">
              <w:rPr>
                <w:color w:val="auto"/>
                <w:sz w:val="22"/>
                <w:szCs w:val="22"/>
              </w:rPr>
              <w:t xml:space="preserve">. Belarusian Railways: Operating Performance in 2008 </w:t>
            </w:r>
            <w:r w:rsidR="001102C7" w:rsidRPr="007777E2">
              <w:rPr>
                <w:color w:val="auto"/>
                <w:sz w:val="22"/>
                <w:szCs w:val="22"/>
              </w:rPr>
              <w:t>C</w:t>
            </w:r>
            <w:r w:rsidRPr="007777E2">
              <w:rPr>
                <w:color w:val="auto"/>
                <w:sz w:val="22"/>
                <w:szCs w:val="22"/>
              </w:rPr>
              <w:t>ompared with 2004</w:t>
            </w:r>
            <w:bookmarkEnd w:id="328"/>
          </w:p>
          <w:p w:rsidR="009C4504" w:rsidRPr="007777E2" w:rsidRDefault="007079D5" w:rsidP="009C4504">
            <w:r w:rsidRPr="007079D5">
              <w:rPr>
                <w:noProof/>
              </w:rPr>
              <w:drawing>
                <wp:inline distT="0" distB="0" distL="0" distR="0">
                  <wp:extent cx="2905125" cy="1828800"/>
                  <wp:effectExtent l="0" t="0" r="0" b="0"/>
                  <wp:docPr id="33"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9C4504" w:rsidRPr="007777E2" w:rsidRDefault="009C4504" w:rsidP="009C4504">
            <w:pPr>
              <w:tabs>
                <w:tab w:val="num" w:pos="3420"/>
              </w:tabs>
              <w:spacing w:after="120"/>
              <w:jc w:val="both"/>
            </w:pPr>
            <w:r w:rsidRPr="007777E2">
              <w:rPr>
                <w:sz w:val="18"/>
                <w:szCs w:val="18"/>
              </w:rPr>
              <w:t>Source: UIC Statistics. 2009.</w:t>
            </w:r>
          </w:p>
        </w:tc>
      </w:tr>
    </w:tbl>
    <w:p w:rsidR="009C4504" w:rsidRPr="007777E2" w:rsidRDefault="009C4504" w:rsidP="009C4504">
      <w:pPr>
        <w:autoSpaceDE w:val="0"/>
        <w:autoSpaceDN w:val="0"/>
        <w:adjustRightInd w:val="0"/>
        <w:spacing w:after="120"/>
        <w:jc w:val="both"/>
      </w:pPr>
    </w:p>
    <w:p w:rsidR="009C4504" w:rsidRPr="007777E2" w:rsidRDefault="009C4504" w:rsidP="009C4504">
      <w:pPr>
        <w:autoSpaceDE w:val="0"/>
        <w:autoSpaceDN w:val="0"/>
        <w:adjustRightInd w:val="0"/>
        <w:spacing w:after="120"/>
        <w:jc w:val="both"/>
      </w:pPr>
    </w:p>
    <w:p w:rsidR="009C4504" w:rsidRPr="007777E2" w:rsidRDefault="009C4504" w:rsidP="009C4504">
      <w:pPr>
        <w:autoSpaceDE w:val="0"/>
        <w:autoSpaceDN w:val="0"/>
        <w:adjustRightInd w:val="0"/>
        <w:spacing w:after="120"/>
        <w:jc w:val="both"/>
      </w:pPr>
    </w:p>
    <w:p w:rsidR="009C4504" w:rsidRPr="007777E2" w:rsidRDefault="009C4504" w:rsidP="009C4504">
      <w:pPr>
        <w:autoSpaceDE w:val="0"/>
        <w:autoSpaceDN w:val="0"/>
        <w:adjustRightInd w:val="0"/>
        <w:spacing w:after="120"/>
        <w:jc w:val="both"/>
      </w:pPr>
    </w:p>
    <w:p w:rsidR="009C4504" w:rsidRPr="007777E2" w:rsidRDefault="009C4504" w:rsidP="009C4504">
      <w:pPr>
        <w:autoSpaceDE w:val="0"/>
        <w:autoSpaceDN w:val="0"/>
        <w:adjustRightInd w:val="0"/>
        <w:spacing w:after="120"/>
        <w:jc w:val="both"/>
      </w:pPr>
    </w:p>
    <w:p w:rsidR="009C4504" w:rsidRPr="007777E2" w:rsidRDefault="009C4504" w:rsidP="009C4504">
      <w:pPr>
        <w:autoSpaceDE w:val="0"/>
        <w:autoSpaceDN w:val="0"/>
        <w:adjustRightInd w:val="0"/>
        <w:spacing w:after="120"/>
        <w:jc w:val="both"/>
      </w:pPr>
    </w:p>
    <w:p w:rsidR="009C4504" w:rsidRPr="007777E2" w:rsidRDefault="009C4504" w:rsidP="009C4504">
      <w:pPr>
        <w:autoSpaceDE w:val="0"/>
        <w:autoSpaceDN w:val="0"/>
        <w:adjustRightInd w:val="0"/>
        <w:spacing w:after="120"/>
        <w:jc w:val="both"/>
      </w:pPr>
    </w:p>
    <w:p w:rsidR="009C4504" w:rsidRPr="007777E2" w:rsidRDefault="009C4504" w:rsidP="009C4504">
      <w:pPr>
        <w:autoSpaceDE w:val="0"/>
        <w:autoSpaceDN w:val="0"/>
        <w:adjustRightInd w:val="0"/>
        <w:spacing w:after="120"/>
        <w:jc w:val="both"/>
      </w:pPr>
    </w:p>
    <w:p w:rsidR="009C4504" w:rsidRPr="007777E2" w:rsidRDefault="009C4504" w:rsidP="009C4504">
      <w:pPr>
        <w:autoSpaceDE w:val="0"/>
        <w:autoSpaceDN w:val="0"/>
        <w:adjustRightInd w:val="0"/>
        <w:spacing w:after="120"/>
        <w:jc w:val="both"/>
      </w:pPr>
    </w:p>
    <w:p w:rsidR="002D00DA" w:rsidRPr="007777E2" w:rsidRDefault="002D00DA" w:rsidP="00963581">
      <w:pPr>
        <w:pStyle w:val="Heading1a"/>
      </w:pPr>
      <w:bookmarkStart w:id="329" w:name="_Toc131314416"/>
      <w:bookmarkStart w:id="330" w:name="_Toc282029961"/>
      <w:bookmarkEnd w:id="235"/>
      <w:r w:rsidRPr="007777E2">
        <w:lastRenderedPageBreak/>
        <w:t>Annex 1: The concept of logistics costs and international reference data</w:t>
      </w:r>
      <w:bookmarkEnd w:id="329"/>
      <w:bookmarkEnd w:id="330"/>
    </w:p>
    <w:p w:rsidR="002D00DA" w:rsidRPr="007777E2" w:rsidRDefault="002D00DA" w:rsidP="004A14BB">
      <w:pPr>
        <w:pStyle w:val="lekanumbered"/>
        <w:numPr>
          <w:ilvl w:val="0"/>
          <w:numId w:val="0"/>
        </w:numPr>
        <w:spacing w:before="0" w:line="240" w:lineRule="auto"/>
        <w:rPr>
          <w:lang w:val="en-US"/>
        </w:rPr>
      </w:pPr>
      <w:r w:rsidRPr="007777E2">
        <w:rPr>
          <w:lang w:val="en-US"/>
        </w:rPr>
        <w:t xml:space="preserve">There is no uniform definition of logistics costs; companies have their own definitions of what constitutes logistics costs. Therefore, international comparisons should be regarded with </w:t>
      </w:r>
      <w:r w:rsidRPr="007777E2">
        <w:rPr>
          <w:szCs w:val="24"/>
          <w:lang w:val="en-US"/>
        </w:rPr>
        <w:t xml:space="preserve">caution. </w:t>
      </w:r>
      <w:fldSimple w:instr=" REF _Ref257640018 \h  \* MERGEFORMAT ">
        <w:r w:rsidR="00E85C5F" w:rsidRPr="00E85C5F">
          <w:rPr>
            <w:szCs w:val="24"/>
            <w:lang w:val="en-US"/>
          </w:rPr>
          <w:t xml:space="preserve">Figure </w:t>
        </w:r>
        <w:r w:rsidR="00E85C5F" w:rsidRPr="00E85C5F">
          <w:rPr>
            <w:noProof/>
            <w:szCs w:val="24"/>
            <w:lang w:val="en-US"/>
          </w:rPr>
          <w:t>42</w:t>
        </w:r>
      </w:fldSimple>
      <w:r w:rsidRPr="007777E2">
        <w:rPr>
          <w:szCs w:val="24"/>
          <w:lang w:val="en-US"/>
        </w:rPr>
        <w:t xml:space="preserve"> presents one useful</w:t>
      </w:r>
      <w:r w:rsidRPr="007777E2">
        <w:rPr>
          <w:lang w:val="en-US"/>
        </w:rPr>
        <w:t xml:space="preserve"> typology of logistics costs, whereby direct logistics costs consist of transportation (cargo handling and packaging included) and warehousing costs. Indirect costs, on the other hand, include inventory carrying costs (also the capital tied up in inventory) and logistics administration costs. Knowledge of alternative and indirect costs for logistics, such as managerial costs, may be relatively vague. The arrows indicate the shift in the significance of indirect and/or alternative costs under competitive pressure.  </w:t>
      </w:r>
    </w:p>
    <w:p w:rsidR="005132B5" w:rsidRPr="007777E2" w:rsidRDefault="005132B5" w:rsidP="00515EB8">
      <w:pPr>
        <w:pStyle w:val="Caption"/>
        <w:jc w:val="center"/>
        <w:rPr>
          <w:color w:val="auto"/>
          <w:sz w:val="22"/>
          <w:szCs w:val="22"/>
        </w:rPr>
      </w:pPr>
      <w:bookmarkStart w:id="331" w:name="_Ref257640018"/>
      <w:bookmarkStart w:id="332" w:name="_Toc264226799"/>
      <w:proofErr w:type="gramStart"/>
      <w:r w:rsidRPr="007777E2">
        <w:rPr>
          <w:color w:val="auto"/>
          <w:sz w:val="22"/>
          <w:szCs w:val="22"/>
        </w:rPr>
        <w:t xml:space="preserve">Figure </w:t>
      </w:r>
      <w:r w:rsidR="006B40AE" w:rsidRPr="007777E2">
        <w:rPr>
          <w:color w:val="auto"/>
          <w:sz w:val="22"/>
          <w:szCs w:val="22"/>
        </w:rPr>
        <w:fldChar w:fldCharType="begin"/>
      </w:r>
      <w:r w:rsidRPr="007777E2">
        <w:rPr>
          <w:color w:val="auto"/>
          <w:sz w:val="22"/>
          <w:szCs w:val="22"/>
        </w:rPr>
        <w:instrText xml:space="preserve"> SEQ Figure \* ARABIC </w:instrText>
      </w:r>
      <w:r w:rsidR="006B40AE" w:rsidRPr="007777E2">
        <w:rPr>
          <w:color w:val="auto"/>
          <w:sz w:val="22"/>
          <w:szCs w:val="22"/>
        </w:rPr>
        <w:fldChar w:fldCharType="separate"/>
      </w:r>
      <w:r w:rsidR="009E2C86">
        <w:rPr>
          <w:noProof/>
          <w:color w:val="auto"/>
          <w:sz w:val="22"/>
          <w:szCs w:val="22"/>
        </w:rPr>
        <w:t>42</w:t>
      </w:r>
      <w:r w:rsidR="006B40AE" w:rsidRPr="007777E2">
        <w:rPr>
          <w:color w:val="auto"/>
          <w:sz w:val="22"/>
          <w:szCs w:val="22"/>
        </w:rPr>
        <w:fldChar w:fldCharType="end"/>
      </w:r>
      <w:bookmarkEnd w:id="331"/>
      <w:r w:rsidRPr="007777E2">
        <w:rPr>
          <w:color w:val="auto"/>
          <w:sz w:val="22"/>
          <w:szCs w:val="22"/>
        </w:rPr>
        <w:t>.</w:t>
      </w:r>
      <w:proofErr w:type="gramEnd"/>
      <w:r w:rsidRPr="007777E2">
        <w:rPr>
          <w:color w:val="auto"/>
          <w:sz w:val="22"/>
          <w:szCs w:val="22"/>
        </w:rPr>
        <w:t xml:space="preserve"> Typology of Logistics Costs</w:t>
      </w:r>
      <w:bookmarkEnd w:id="332"/>
    </w:p>
    <w:p w:rsidR="002D00DA" w:rsidRPr="007777E2" w:rsidRDefault="002D00DA" w:rsidP="005132B5">
      <w:pPr>
        <w:pStyle w:val="lekanumbered"/>
        <w:numPr>
          <w:ilvl w:val="0"/>
          <w:numId w:val="0"/>
        </w:numPr>
        <w:spacing w:before="0" w:line="240" w:lineRule="auto"/>
        <w:rPr>
          <w:lang w:val="en-US"/>
        </w:rPr>
      </w:pPr>
      <w:r w:rsidRPr="007777E2">
        <w:rPr>
          <w:noProof/>
          <w:lang w:val="en-US"/>
        </w:rPr>
        <w:drawing>
          <wp:inline distT="0" distB="0" distL="0" distR="0">
            <wp:extent cx="4010025" cy="2415934"/>
            <wp:effectExtent l="19050" t="0" r="9525"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srcRect/>
                    <a:stretch>
                      <a:fillRect/>
                    </a:stretch>
                  </pic:blipFill>
                  <pic:spPr bwMode="auto">
                    <a:xfrm>
                      <a:off x="0" y="0"/>
                      <a:ext cx="4010025" cy="2415934"/>
                    </a:xfrm>
                    <a:prstGeom prst="rect">
                      <a:avLst/>
                    </a:prstGeom>
                    <a:noFill/>
                    <a:ln w="9525">
                      <a:noFill/>
                      <a:miter lim="800000"/>
                      <a:headEnd/>
                      <a:tailEnd/>
                    </a:ln>
                  </pic:spPr>
                </pic:pic>
              </a:graphicData>
            </a:graphic>
          </wp:inline>
        </w:drawing>
      </w:r>
    </w:p>
    <w:p w:rsidR="002D00DA" w:rsidRPr="007777E2" w:rsidRDefault="002D00DA" w:rsidP="005132B5">
      <w:pPr>
        <w:pStyle w:val="lekanumbered"/>
        <w:numPr>
          <w:ilvl w:val="0"/>
          <w:numId w:val="0"/>
        </w:numPr>
        <w:spacing w:before="0" w:line="240" w:lineRule="auto"/>
        <w:rPr>
          <w:sz w:val="18"/>
          <w:szCs w:val="18"/>
          <w:lang w:val="en-US"/>
        </w:rPr>
      </w:pPr>
      <w:r w:rsidRPr="007777E2">
        <w:rPr>
          <w:sz w:val="18"/>
          <w:szCs w:val="18"/>
          <w:lang w:val="en-US"/>
        </w:rPr>
        <w:t xml:space="preserve">Source: Adapted from </w:t>
      </w:r>
      <w:proofErr w:type="spellStart"/>
      <w:r w:rsidRPr="007777E2">
        <w:rPr>
          <w:sz w:val="18"/>
          <w:szCs w:val="18"/>
          <w:lang w:val="en-US"/>
        </w:rPr>
        <w:t>Ojala</w:t>
      </w:r>
      <w:proofErr w:type="spellEnd"/>
      <w:r w:rsidRPr="007777E2">
        <w:rPr>
          <w:sz w:val="18"/>
          <w:szCs w:val="18"/>
          <w:lang w:val="en-US"/>
        </w:rPr>
        <w:t>, 2004.</w:t>
      </w:r>
    </w:p>
    <w:p w:rsidR="002D00DA" w:rsidRPr="007777E2" w:rsidRDefault="002D00DA" w:rsidP="004A14BB">
      <w:pPr>
        <w:pStyle w:val="lekanumbered"/>
        <w:numPr>
          <w:ilvl w:val="0"/>
          <w:numId w:val="0"/>
        </w:numPr>
        <w:spacing w:before="0" w:line="240" w:lineRule="auto"/>
        <w:rPr>
          <w:lang w:val="en-US"/>
        </w:rPr>
      </w:pPr>
      <w:proofErr w:type="spellStart"/>
      <w:r w:rsidRPr="007777E2">
        <w:rPr>
          <w:lang w:val="en-US"/>
        </w:rPr>
        <w:t>Rodrigues</w:t>
      </w:r>
      <w:proofErr w:type="spellEnd"/>
      <w:r w:rsidRPr="007777E2">
        <w:rPr>
          <w:lang w:val="en-US"/>
        </w:rPr>
        <w:t xml:space="preserve">, </w:t>
      </w:r>
      <w:proofErr w:type="spellStart"/>
      <w:r w:rsidRPr="007777E2">
        <w:rPr>
          <w:lang w:val="en-US"/>
        </w:rPr>
        <w:t>Bowersox</w:t>
      </w:r>
      <w:proofErr w:type="spellEnd"/>
      <w:r w:rsidRPr="007777E2">
        <w:rPr>
          <w:lang w:val="en-US"/>
        </w:rPr>
        <w:t xml:space="preserve">, and </w:t>
      </w:r>
      <w:proofErr w:type="spellStart"/>
      <w:r w:rsidRPr="007777E2">
        <w:rPr>
          <w:lang w:val="en-US"/>
        </w:rPr>
        <w:t>Calantone</w:t>
      </w:r>
      <w:proofErr w:type="spellEnd"/>
      <w:r w:rsidRPr="007777E2">
        <w:rPr>
          <w:lang w:val="en-US"/>
        </w:rPr>
        <w:t xml:space="preserve"> (2005) estimated the level of logistics costs in relation to gross domestic product. Based on the econometric model they had developed for the purpose, global logistics costs in 2002 were around US$6,700 billion, corresponding to 13.8 percent of global GDP. According to Rodriguez et al., global logistics costs have decreased between 1997 and 2002. In parts of Europe, however, logistics costs seem to have been rising during </w:t>
      </w:r>
      <w:r w:rsidRPr="007777E2">
        <w:rPr>
          <w:szCs w:val="24"/>
          <w:lang w:val="en-US"/>
        </w:rPr>
        <w:t>this period (</w:t>
      </w:r>
      <w:fldSimple w:instr=" REF _Ref257640062 \h  \* MERGEFORMAT ">
        <w:r w:rsidR="00E85C5F" w:rsidRPr="00E85C5F">
          <w:rPr>
            <w:szCs w:val="24"/>
            <w:lang w:val="en-US"/>
          </w:rPr>
          <w:t xml:space="preserve">Table </w:t>
        </w:r>
        <w:r w:rsidR="00E85C5F" w:rsidRPr="00E85C5F">
          <w:rPr>
            <w:noProof/>
            <w:szCs w:val="24"/>
            <w:lang w:val="en-US"/>
          </w:rPr>
          <w:t>23</w:t>
        </w:r>
      </w:fldSimple>
      <w:r w:rsidRPr="007777E2">
        <w:rPr>
          <w:szCs w:val="24"/>
          <w:lang w:val="en-US"/>
        </w:rPr>
        <w:t xml:space="preserve"> and </w:t>
      </w:r>
      <w:fldSimple w:instr=" REF _Ref257640091 \h  \* MERGEFORMAT ">
        <w:r w:rsidR="00E85C5F" w:rsidRPr="00E85C5F">
          <w:rPr>
            <w:szCs w:val="24"/>
            <w:lang w:val="en-US"/>
          </w:rPr>
          <w:t xml:space="preserve">Table </w:t>
        </w:r>
        <w:r w:rsidR="00E85C5F" w:rsidRPr="00E85C5F">
          <w:rPr>
            <w:noProof/>
            <w:szCs w:val="24"/>
            <w:lang w:val="en-US"/>
          </w:rPr>
          <w:t>24</w:t>
        </w:r>
      </w:fldSimple>
      <w:r w:rsidRPr="007777E2">
        <w:rPr>
          <w:szCs w:val="24"/>
          <w:lang w:val="en-US"/>
        </w:rPr>
        <w:t>).</w:t>
      </w:r>
      <w:r w:rsidR="00F94ADD">
        <w:rPr>
          <w:szCs w:val="24"/>
          <w:lang w:val="en-US"/>
        </w:rPr>
        <w:t xml:space="preserve"> </w:t>
      </w:r>
    </w:p>
    <w:p w:rsidR="005132B5" w:rsidRPr="007777E2" w:rsidRDefault="005132B5" w:rsidP="005132B5">
      <w:pPr>
        <w:pStyle w:val="Caption"/>
        <w:keepNext/>
        <w:rPr>
          <w:color w:val="auto"/>
          <w:sz w:val="22"/>
          <w:szCs w:val="22"/>
        </w:rPr>
      </w:pPr>
      <w:bookmarkStart w:id="333" w:name="_Ref257640062"/>
      <w:bookmarkStart w:id="334" w:name="_Toc264227150"/>
      <w:bookmarkStart w:id="335" w:name="_Ref250468187"/>
      <w:bookmarkStart w:id="336" w:name="_Toc252531019"/>
      <w:bookmarkStart w:id="337" w:name="_Toc255237748"/>
      <w:proofErr w:type="gramStart"/>
      <w:r w:rsidRPr="007777E2">
        <w:rPr>
          <w:color w:val="auto"/>
          <w:sz w:val="22"/>
          <w:szCs w:val="22"/>
        </w:rPr>
        <w:lastRenderedPageBreak/>
        <w:t xml:space="preserve">Table </w:t>
      </w:r>
      <w:r w:rsidR="006B40AE" w:rsidRPr="007777E2">
        <w:rPr>
          <w:color w:val="auto"/>
          <w:sz w:val="22"/>
          <w:szCs w:val="22"/>
        </w:rPr>
        <w:fldChar w:fldCharType="begin"/>
      </w:r>
      <w:r w:rsidRPr="007777E2">
        <w:rPr>
          <w:color w:val="auto"/>
          <w:sz w:val="22"/>
          <w:szCs w:val="22"/>
        </w:rPr>
        <w:instrText xml:space="preserve"> SEQ Table \* ARABIC </w:instrText>
      </w:r>
      <w:r w:rsidR="006B40AE" w:rsidRPr="007777E2">
        <w:rPr>
          <w:color w:val="auto"/>
          <w:sz w:val="22"/>
          <w:szCs w:val="22"/>
        </w:rPr>
        <w:fldChar w:fldCharType="separate"/>
      </w:r>
      <w:r w:rsidR="009E2C86">
        <w:rPr>
          <w:noProof/>
          <w:color w:val="auto"/>
          <w:sz w:val="22"/>
          <w:szCs w:val="22"/>
        </w:rPr>
        <w:t>23</w:t>
      </w:r>
      <w:r w:rsidR="006B40AE" w:rsidRPr="007777E2">
        <w:rPr>
          <w:color w:val="auto"/>
          <w:sz w:val="22"/>
          <w:szCs w:val="22"/>
        </w:rPr>
        <w:fldChar w:fldCharType="end"/>
      </w:r>
      <w:bookmarkEnd w:id="333"/>
      <w:r w:rsidRPr="007777E2">
        <w:rPr>
          <w:color w:val="auto"/>
          <w:sz w:val="22"/>
          <w:szCs w:val="22"/>
        </w:rPr>
        <w:t>.</w:t>
      </w:r>
      <w:proofErr w:type="gramEnd"/>
      <w:r w:rsidRPr="007777E2">
        <w:rPr>
          <w:color w:val="auto"/>
          <w:sz w:val="22"/>
          <w:szCs w:val="22"/>
        </w:rPr>
        <w:t xml:space="preserve"> Global Logistics Costs in Selected Areas of the World</w:t>
      </w:r>
      <w:bookmarkEnd w:id="334"/>
    </w:p>
    <w:bookmarkEnd w:id="335"/>
    <w:bookmarkEnd w:id="336"/>
    <w:bookmarkEnd w:id="337"/>
    <w:p w:rsidR="002D00DA" w:rsidRPr="007777E2" w:rsidRDefault="002D00DA" w:rsidP="002D00DA">
      <w:pPr>
        <w:pStyle w:val="taulu"/>
        <w:rPr>
          <w:lang w:val="en-US"/>
        </w:rPr>
      </w:pPr>
      <w:r w:rsidRPr="007777E2">
        <w:rPr>
          <w:noProof/>
          <w:lang w:val="en-US"/>
        </w:rPr>
        <w:drawing>
          <wp:inline distT="0" distB="0" distL="0" distR="0">
            <wp:extent cx="5362575" cy="1562100"/>
            <wp:effectExtent l="19050" t="0" r="9525"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cstate="print"/>
                    <a:srcRect/>
                    <a:stretch>
                      <a:fillRect/>
                    </a:stretch>
                  </pic:blipFill>
                  <pic:spPr bwMode="auto">
                    <a:xfrm>
                      <a:off x="0" y="0"/>
                      <a:ext cx="5362575" cy="1562100"/>
                    </a:xfrm>
                    <a:prstGeom prst="rect">
                      <a:avLst/>
                    </a:prstGeom>
                    <a:noFill/>
                    <a:ln w="9525">
                      <a:noFill/>
                      <a:miter lim="800000"/>
                      <a:headEnd/>
                      <a:tailEnd/>
                    </a:ln>
                  </pic:spPr>
                </pic:pic>
              </a:graphicData>
            </a:graphic>
          </wp:inline>
        </w:drawing>
      </w:r>
      <w:r w:rsidRPr="007777E2">
        <w:rPr>
          <w:lang w:val="en-US"/>
        </w:rPr>
        <w:t xml:space="preserve"> </w:t>
      </w:r>
    </w:p>
    <w:p w:rsidR="002D00DA" w:rsidRPr="007777E2" w:rsidRDefault="002D00DA" w:rsidP="002D00DA">
      <w:pPr>
        <w:pStyle w:val="taulu"/>
        <w:rPr>
          <w:sz w:val="18"/>
          <w:szCs w:val="18"/>
          <w:lang w:val="en-US"/>
        </w:rPr>
      </w:pPr>
      <w:r w:rsidRPr="007777E2">
        <w:rPr>
          <w:sz w:val="18"/>
          <w:szCs w:val="18"/>
          <w:lang w:val="en-US"/>
        </w:rPr>
        <w:t xml:space="preserve">Source: Rodriguez, </w:t>
      </w:r>
      <w:proofErr w:type="spellStart"/>
      <w:r w:rsidRPr="007777E2">
        <w:rPr>
          <w:sz w:val="18"/>
          <w:szCs w:val="18"/>
          <w:lang w:val="en-US"/>
        </w:rPr>
        <w:t>Bowersox</w:t>
      </w:r>
      <w:proofErr w:type="spellEnd"/>
      <w:r w:rsidRPr="007777E2">
        <w:rPr>
          <w:sz w:val="18"/>
          <w:szCs w:val="18"/>
          <w:lang w:val="en-US"/>
        </w:rPr>
        <w:t xml:space="preserve">, and </w:t>
      </w:r>
      <w:proofErr w:type="spellStart"/>
      <w:r w:rsidRPr="007777E2">
        <w:rPr>
          <w:sz w:val="18"/>
          <w:szCs w:val="18"/>
          <w:lang w:val="en-US"/>
        </w:rPr>
        <w:t>Calantone</w:t>
      </w:r>
      <w:proofErr w:type="spellEnd"/>
      <w:r w:rsidRPr="007777E2">
        <w:rPr>
          <w:sz w:val="18"/>
          <w:szCs w:val="18"/>
          <w:lang w:val="en-US"/>
        </w:rPr>
        <w:t xml:space="preserve"> (2005).</w:t>
      </w:r>
    </w:p>
    <w:p w:rsidR="005132B5" w:rsidRPr="007777E2" w:rsidRDefault="005132B5" w:rsidP="002D00DA">
      <w:pPr>
        <w:pStyle w:val="taulu"/>
        <w:rPr>
          <w:sz w:val="18"/>
          <w:szCs w:val="18"/>
          <w:lang w:val="en-US"/>
        </w:rPr>
      </w:pPr>
    </w:p>
    <w:p w:rsidR="002D00DA" w:rsidRPr="007777E2" w:rsidRDefault="005132B5" w:rsidP="005132B5">
      <w:pPr>
        <w:pStyle w:val="Caption"/>
        <w:rPr>
          <w:b w:val="0"/>
          <w:color w:val="auto"/>
          <w:sz w:val="22"/>
          <w:szCs w:val="22"/>
        </w:rPr>
      </w:pPr>
      <w:bookmarkStart w:id="338" w:name="_Ref257640091"/>
      <w:bookmarkStart w:id="339" w:name="_Ref250468191"/>
      <w:bookmarkStart w:id="340" w:name="_Toc252531020"/>
      <w:bookmarkStart w:id="341" w:name="_Toc255237749"/>
      <w:bookmarkStart w:id="342" w:name="_Toc264227151"/>
      <w:proofErr w:type="gramStart"/>
      <w:r w:rsidRPr="007777E2">
        <w:rPr>
          <w:color w:val="auto"/>
          <w:sz w:val="22"/>
          <w:szCs w:val="22"/>
        </w:rPr>
        <w:t xml:space="preserve">Table </w:t>
      </w:r>
      <w:r w:rsidR="006B40AE" w:rsidRPr="007777E2">
        <w:rPr>
          <w:color w:val="auto"/>
          <w:sz w:val="22"/>
          <w:szCs w:val="22"/>
        </w:rPr>
        <w:fldChar w:fldCharType="begin"/>
      </w:r>
      <w:r w:rsidRPr="007777E2">
        <w:rPr>
          <w:color w:val="auto"/>
          <w:sz w:val="22"/>
          <w:szCs w:val="22"/>
        </w:rPr>
        <w:instrText xml:space="preserve"> SEQ Table \* ARABIC </w:instrText>
      </w:r>
      <w:r w:rsidR="006B40AE" w:rsidRPr="007777E2">
        <w:rPr>
          <w:color w:val="auto"/>
          <w:sz w:val="22"/>
          <w:szCs w:val="22"/>
        </w:rPr>
        <w:fldChar w:fldCharType="separate"/>
      </w:r>
      <w:r w:rsidR="009E2C86">
        <w:rPr>
          <w:noProof/>
          <w:color w:val="auto"/>
          <w:sz w:val="22"/>
          <w:szCs w:val="22"/>
        </w:rPr>
        <w:t>24</w:t>
      </w:r>
      <w:r w:rsidR="006B40AE" w:rsidRPr="007777E2">
        <w:rPr>
          <w:color w:val="auto"/>
          <w:sz w:val="22"/>
          <w:szCs w:val="22"/>
        </w:rPr>
        <w:fldChar w:fldCharType="end"/>
      </w:r>
      <w:bookmarkEnd w:id="338"/>
      <w:r w:rsidR="002D00DA" w:rsidRPr="007777E2">
        <w:rPr>
          <w:color w:val="auto"/>
          <w:sz w:val="22"/>
          <w:szCs w:val="22"/>
        </w:rPr>
        <w:t>.</w:t>
      </w:r>
      <w:bookmarkEnd w:id="339"/>
      <w:proofErr w:type="gramEnd"/>
      <w:r w:rsidR="002D00DA" w:rsidRPr="007777E2">
        <w:rPr>
          <w:color w:val="auto"/>
          <w:sz w:val="22"/>
          <w:szCs w:val="22"/>
        </w:rPr>
        <w:t xml:space="preserve"> Comparison of Logistics Costs in Selected European Union Countries</w:t>
      </w:r>
      <w:bookmarkEnd w:id="340"/>
      <w:bookmarkEnd w:id="341"/>
      <w:bookmarkEnd w:id="342"/>
    </w:p>
    <w:p w:rsidR="002D00DA" w:rsidRPr="007777E2" w:rsidRDefault="002D00DA" w:rsidP="002D00DA">
      <w:pPr>
        <w:pStyle w:val="taulu"/>
        <w:rPr>
          <w:lang w:val="en-US"/>
        </w:rPr>
      </w:pPr>
      <w:r w:rsidRPr="007777E2">
        <w:rPr>
          <w:noProof/>
          <w:lang w:val="en-US"/>
        </w:rPr>
        <w:drawing>
          <wp:inline distT="0" distB="0" distL="0" distR="0">
            <wp:extent cx="5362575" cy="2352675"/>
            <wp:effectExtent l="19050" t="0" r="9525"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print"/>
                    <a:srcRect/>
                    <a:stretch>
                      <a:fillRect/>
                    </a:stretch>
                  </pic:blipFill>
                  <pic:spPr bwMode="auto">
                    <a:xfrm>
                      <a:off x="0" y="0"/>
                      <a:ext cx="5362575" cy="2352675"/>
                    </a:xfrm>
                    <a:prstGeom prst="rect">
                      <a:avLst/>
                    </a:prstGeom>
                    <a:noFill/>
                    <a:ln w="9525">
                      <a:noFill/>
                      <a:miter lim="800000"/>
                      <a:headEnd/>
                      <a:tailEnd/>
                    </a:ln>
                  </pic:spPr>
                </pic:pic>
              </a:graphicData>
            </a:graphic>
          </wp:inline>
        </w:drawing>
      </w:r>
    </w:p>
    <w:p w:rsidR="002D00DA" w:rsidRPr="007777E2" w:rsidRDefault="002D00DA" w:rsidP="002D00DA">
      <w:pPr>
        <w:pStyle w:val="taulu"/>
        <w:rPr>
          <w:sz w:val="18"/>
          <w:szCs w:val="18"/>
          <w:lang w:val="en-US"/>
        </w:rPr>
      </w:pPr>
      <w:r w:rsidRPr="007777E2">
        <w:rPr>
          <w:sz w:val="18"/>
          <w:szCs w:val="18"/>
          <w:lang w:val="en-US"/>
        </w:rPr>
        <w:t xml:space="preserve">Source: Rodriguez, </w:t>
      </w:r>
      <w:proofErr w:type="spellStart"/>
      <w:r w:rsidRPr="007777E2">
        <w:rPr>
          <w:sz w:val="18"/>
          <w:szCs w:val="18"/>
          <w:lang w:val="en-US"/>
        </w:rPr>
        <w:t>Bowersox</w:t>
      </w:r>
      <w:proofErr w:type="spellEnd"/>
      <w:r w:rsidRPr="007777E2">
        <w:rPr>
          <w:sz w:val="18"/>
          <w:szCs w:val="18"/>
          <w:lang w:val="en-US"/>
        </w:rPr>
        <w:t xml:space="preserve">, and </w:t>
      </w:r>
      <w:proofErr w:type="spellStart"/>
      <w:r w:rsidRPr="007777E2">
        <w:rPr>
          <w:sz w:val="18"/>
          <w:szCs w:val="18"/>
          <w:lang w:val="en-US"/>
        </w:rPr>
        <w:t>Calantone</w:t>
      </w:r>
      <w:proofErr w:type="spellEnd"/>
      <w:r w:rsidRPr="007777E2">
        <w:rPr>
          <w:sz w:val="18"/>
          <w:szCs w:val="18"/>
          <w:lang w:val="en-US"/>
        </w:rPr>
        <w:t xml:space="preserve"> (2005).</w:t>
      </w:r>
    </w:p>
    <w:p w:rsidR="002D00DA" w:rsidRPr="007777E2" w:rsidRDefault="002D00DA" w:rsidP="005132B5">
      <w:pPr>
        <w:pStyle w:val="lekanumbered"/>
        <w:numPr>
          <w:ilvl w:val="0"/>
          <w:numId w:val="0"/>
        </w:numPr>
        <w:spacing w:before="0" w:line="240" w:lineRule="auto"/>
        <w:rPr>
          <w:lang w:val="en-US"/>
        </w:rPr>
      </w:pPr>
    </w:p>
    <w:p w:rsidR="002D00DA" w:rsidRPr="007777E2" w:rsidRDefault="002D00DA" w:rsidP="004A14BB">
      <w:pPr>
        <w:pStyle w:val="lekanumbered"/>
        <w:numPr>
          <w:ilvl w:val="0"/>
          <w:numId w:val="0"/>
        </w:numPr>
        <w:spacing w:before="0" w:line="240" w:lineRule="auto"/>
        <w:rPr>
          <w:bCs/>
          <w:lang w:val="en-US"/>
        </w:rPr>
      </w:pPr>
      <w:r w:rsidRPr="007777E2">
        <w:rPr>
          <w:lang w:val="en-US"/>
        </w:rPr>
        <w:t xml:space="preserve">Another estimate of national-level logistics costs is by the Council of Supply Chain Management Professionals (CSCMP, see </w:t>
      </w:r>
      <w:r w:rsidRPr="007777E2">
        <w:rPr>
          <w:color w:val="0000FF"/>
          <w:lang w:val="en-US"/>
        </w:rPr>
        <w:t>www.cscmp.org</w:t>
      </w:r>
      <w:r w:rsidRPr="007777E2">
        <w:rPr>
          <w:lang w:val="en-US"/>
        </w:rPr>
        <w:t>). CSCMP estimates that India’s logistics costs are 11 percent of its GDP and China’s are as much as 21 percent. In contrast, logistics costs in the United States seem to have fallen from 14.5 percent to as low as 8 percent in the past 25 years. The CSCMP estimates that logistics costs in Europe are somewhat higher—at least 11 percent of GDP (The Economist, 2006).</w:t>
      </w:r>
    </w:p>
    <w:p w:rsidR="002D00DA" w:rsidRPr="007777E2" w:rsidRDefault="002D00DA" w:rsidP="004A14BB">
      <w:pPr>
        <w:pStyle w:val="lekanumbered"/>
        <w:numPr>
          <w:ilvl w:val="0"/>
          <w:numId w:val="0"/>
        </w:numPr>
        <w:spacing w:before="0" w:line="240" w:lineRule="auto"/>
        <w:rPr>
          <w:lang w:val="en-US"/>
        </w:rPr>
      </w:pPr>
      <w:r w:rsidRPr="007777E2">
        <w:rPr>
          <w:lang w:val="en-US"/>
        </w:rPr>
        <w:t xml:space="preserve">A recent EU-financed project on the development of Baltic Sea Region (BSR) logistics, generated insight on the level and distribution in categories of logistics costs in several locations around the BSR. The estimated logistics costs of manufacturing companies by region range from about 8 percent in Lithuania to about 20 percent in Mecklenburg </w:t>
      </w:r>
      <w:proofErr w:type="spellStart"/>
      <w:r w:rsidRPr="007777E2">
        <w:rPr>
          <w:lang w:val="en-US"/>
        </w:rPr>
        <w:t>Vorpommern</w:t>
      </w:r>
      <w:proofErr w:type="spellEnd"/>
      <w:r w:rsidRPr="007777E2">
        <w:rPr>
          <w:lang w:val="en-US"/>
        </w:rPr>
        <w:t xml:space="preserve">, </w:t>
      </w:r>
      <w:r w:rsidRPr="007777E2">
        <w:rPr>
          <w:szCs w:val="24"/>
          <w:lang w:val="en-US"/>
        </w:rPr>
        <w:t>Germany (</w:t>
      </w:r>
      <w:fldSimple w:instr=" REF _Ref257640172 \h  \* MERGEFORMAT ">
        <w:r w:rsidR="00E85C5F" w:rsidRPr="00E85C5F">
          <w:rPr>
            <w:szCs w:val="24"/>
            <w:lang w:val="en-US"/>
          </w:rPr>
          <w:t xml:space="preserve">Figure </w:t>
        </w:r>
        <w:r w:rsidR="00E85C5F" w:rsidRPr="00E85C5F">
          <w:rPr>
            <w:noProof/>
            <w:szCs w:val="24"/>
            <w:lang w:val="en-US"/>
          </w:rPr>
          <w:t>43</w:t>
        </w:r>
      </w:fldSimple>
      <w:r w:rsidRPr="007777E2">
        <w:rPr>
          <w:szCs w:val="24"/>
          <w:lang w:val="en-US"/>
        </w:rPr>
        <w:t xml:space="preserve">). Respondents from Mecklenburg </w:t>
      </w:r>
      <w:proofErr w:type="spellStart"/>
      <w:r w:rsidRPr="007777E2">
        <w:rPr>
          <w:szCs w:val="24"/>
          <w:lang w:val="en-US"/>
        </w:rPr>
        <w:t>Vorpommern</w:t>
      </w:r>
      <w:proofErr w:type="spellEnd"/>
      <w:r w:rsidRPr="007777E2">
        <w:rPr>
          <w:szCs w:val="24"/>
          <w:lang w:val="en-US"/>
        </w:rPr>
        <w:t>, however, are predominantly very small firms and are located mainly in and around the city of Wismar, so the data is not representative</w:t>
      </w:r>
      <w:r w:rsidRPr="007777E2">
        <w:rPr>
          <w:lang w:val="en-US"/>
        </w:rPr>
        <w:t xml:space="preserve"> of the whole state. In Lithuania it is notable that all other logistics costs are completely missing from the answers. Transportation costs form the largest portion of overall logistics costs and contribute to over one third of the total logistics cost followed by inventory carrying and warehousing costs.</w:t>
      </w:r>
    </w:p>
    <w:p w:rsidR="005132B5" w:rsidRPr="007777E2" w:rsidRDefault="005132B5" w:rsidP="005132B5">
      <w:pPr>
        <w:pStyle w:val="Caption"/>
        <w:jc w:val="both"/>
        <w:rPr>
          <w:color w:val="auto"/>
          <w:sz w:val="22"/>
          <w:szCs w:val="22"/>
        </w:rPr>
      </w:pPr>
      <w:bookmarkStart w:id="343" w:name="_Ref257640172"/>
      <w:bookmarkStart w:id="344" w:name="_Toc264226800"/>
      <w:proofErr w:type="gramStart"/>
      <w:r w:rsidRPr="007777E2">
        <w:rPr>
          <w:color w:val="auto"/>
          <w:sz w:val="22"/>
          <w:szCs w:val="22"/>
        </w:rPr>
        <w:lastRenderedPageBreak/>
        <w:t xml:space="preserve">Figure </w:t>
      </w:r>
      <w:r w:rsidR="006B40AE" w:rsidRPr="007777E2">
        <w:rPr>
          <w:color w:val="auto"/>
          <w:sz w:val="22"/>
          <w:szCs w:val="22"/>
        </w:rPr>
        <w:fldChar w:fldCharType="begin"/>
      </w:r>
      <w:r w:rsidRPr="007777E2">
        <w:rPr>
          <w:color w:val="auto"/>
          <w:sz w:val="22"/>
          <w:szCs w:val="22"/>
        </w:rPr>
        <w:instrText xml:space="preserve"> SEQ Figure \* ARABIC </w:instrText>
      </w:r>
      <w:r w:rsidR="006B40AE" w:rsidRPr="007777E2">
        <w:rPr>
          <w:color w:val="auto"/>
          <w:sz w:val="22"/>
          <w:szCs w:val="22"/>
        </w:rPr>
        <w:fldChar w:fldCharType="separate"/>
      </w:r>
      <w:r w:rsidR="009E2C86">
        <w:rPr>
          <w:noProof/>
          <w:color w:val="auto"/>
          <w:sz w:val="22"/>
          <w:szCs w:val="22"/>
        </w:rPr>
        <w:t>43</w:t>
      </w:r>
      <w:r w:rsidR="006B40AE" w:rsidRPr="007777E2">
        <w:rPr>
          <w:color w:val="auto"/>
          <w:sz w:val="22"/>
          <w:szCs w:val="22"/>
        </w:rPr>
        <w:fldChar w:fldCharType="end"/>
      </w:r>
      <w:bookmarkEnd w:id="343"/>
      <w:r w:rsidRPr="007777E2">
        <w:rPr>
          <w:color w:val="auto"/>
          <w:sz w:val="22"/>
          <w:szCs w:val="22"/>
        </w:rPr>
        <w:t>.</w:t>
      </w:r>
      <w:proofErr w:type="gramEnd"/>
      <w:r w:rsidRPr="007777E2">
        <w:rPr>
          <w:color w:val="auto"/>
          <w:sz w:val="22"/>
          <w:szCs w:val="22"/>
        </w:rPr>
        <w:t xml:space="preserve"> Logistics Costs of Manufacturing Firms in Selected Baltic Sea Region Countries, Regions and Cities in 2006-2007</w:t>
      </w:r>
      <w:bookmarkEnd w:id="344"/>
    </w:p>
    <w:p w:rsidR="002D00DA" w:rsidRPr="007777E2" w:rsidRDefault="002D00DA" w:rsidP="005132B5">
      <w:pPr>
        <w:pStyle w:val="lekanumbered"/>
        <w:numPr>
          <w:ilvl w:val="0"/>
          <w:numId w:val="0"/>
        </w:numPr>
        <w:spacing w:before="0" w:line="240" w:lineRule="auto"/>
        <w:rPr>
          <w:lang w:val="en-US"/>
        </w:rPr>
      </w:pPr>
      <w:r w:rsidRPr="007777E2">
        <w:rPr>
          <w:noProof/>
          <w:lang w:val="en-US"/>
        </w:rPr>
        <w:drawing>
          <wp:inline distT="0" distB="0" distL="0" distR="0">
            <wp:extent cx="5400675" cy="2819400"/>
            <wp:effectExtent l="19050" t="0" r="9525"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srcRect/>
                    <a:stretch>
                      <a:fillRect/>
                    </a:stretch>
                  </pic:blipFill>
                  <pic:spPr bwMode="auto">
                    <a:xfrm>
                      <a:off x="0" y="0"/>
                      <a:ext cx="5400675" cy="2819400"/>
                    </a:xfrm>
                    <a:prstGeom prst="rect">
                      <a:avLst/>
                    </a:prstGeom>
                    <a:noFill/>
                    <a:ln w="9525">
                      <a:noFill/>
                      <a:miter lim="800000"/>
                      <a:headEnd/>
                      <a:tailEnd/>
                    </a:ln>
                  </pic:spPr>
                </pic:pic>
              </a:graphicData>
            </a:graphic>
          </wp:inline>
        </w:drawing>
      </w:r>
    </w:p>
    <w:p w:rsidR="002D00DA" w:rsidRPr="007777E2" w:rsidRDefault="002D00DA" w:rsidP="005132B5">
      <w:pPr>
        <w:pStyle w:val="lekanumbered"/>
        <w:numPr>
          <w:ilvl w:val="0"/>
          <w:numId w:val="0"/>
        </w:numPr>
        <w:spacing w:before="0" w:line="240" w:lineRule="auto"/>
        <w:rPr>
          <w:sz w:val="18"/>
          <w:szCs w:val="18"/>
          <w:lang w:val="en-US"/>
        </w:rPr>
      </w:pPr>
      <w:r w:rsidRPr="007777E2">
        <w:rPr>
          <w:sz w:val="18"/>
          <w:szCs w:val="18"/>
          <w:lang w:val="en-US"/>
        </w:rPr>
        <w:t xml:space="preserve">Source: </w:t>
      </w:r>
      <w:proofErr w:type="spellStart"/>
      <w:r w:rsidRPr="007777E2">
        <w:rPr>
          <w:sz w:val="18"/>
          <w:szCs w:val="18"/>
          <w:lang w:val="en-US"/>
        </w:rPr>
        <w:t>LogOn</w:t>
      </w:r>
      <w:proofErr w:type="spellEnd"/>
      <w:r w:rsidRPr="007777E2">
        <w:rPr>
          <w:sz w:val="18"/>
          <w:szCs w:val="18"/>
          <w:lang w:val="en-US"/>
        </w:rPr>
        <w:t xml:space="preserve"> Baltic Master Report 3:2007</w:t>
      </w:r>
    </w:p>
    <w:p w:rsidR="002D00DA" w:rsidRPr="007777E2" w:rsidRDefault="002D00DA" w:rsidP="005132B5">
      <w:pPr>
        <w:pStyle w:val="lekanumbered"/>
        <w:numPr>
          <w:ilvl w:val="0"/>
          <w:numId w:val="0"/>
        </w:numPr>
        <w:spacing w:before="0" w:line="240" w:lineRule="auto"/>
        <w:rPr>
          <w:lang w:val="en-US"/>
        </w:rPr>
      </w:pPr>
    </w:p>
    <w:p w:rsidR="002D00DA" w:rsidRPr="00FF044B" w:rsidRDefault="002D00DA" w:rsidP="00EE5173">
      <w:pPr>
        <w:pStyle w:val="lekanumbered"/>
        <w:numPr>
          <w:ilvl w:val="0"/>
          <w:numId w:val="0"/>
        </w:numPr>
        <w:spacing w:line="240" w:lineRule="auto"/>
        <w:ind w:left="142"/>
        <w:rPr>
          <w:szCs w:val="24"/>
        </w:rPr>
      </w:pPr>
      <w:r w:rsidRPr="007777E2">
        <w:rPr>
          <w:lang w:val="en-US"/>
        </w:rPr>
        <w:t xml:space="preserve">In the </w:t>
      </w:r>
      <w:proofErr w:type="spellStart"/>
      <w:r w:rsidRPr="007777E2">
        <w:rPr>
          <w:lang w:val="en-US"/>
        </w:rPr>
        <w:t>LogOn</w:t>
      </w:r>
      <w:proofErr w:type="spellEnd"/>
      <w:r w:rsidRPr="007777E2">
        <w:rPr>
          <w:lang w:val="en-US"/>
        </w:rPr>
        <w:t xml:space="preserve"> Baltic study, the range of logistics costs by region seems to vary slightly more among trading firms than in the manufacturing industries: the range is from approximately 10 percent (Latvia) to about 23 percent (Pomerania</w:t>
      </w:r>
      <w:r w:rsidRPr="007777E2">
        <w:rPr>
          <w:szCs w:val="24"/>
          <w:lang w:val="en-US"/>
        </w:rPr>
        <w:t>, Poland) (</w:t>
      </w:r>
      <w:fldSimple w:instr=" REF _Ref257640215 \h  \* MERGEFORMAT ">
        <w:r w:rsidR="00E85C5F" w:rsidRPr="00FF044B">
          <w:rPr>
            <w:noProof/>
            <w:szCs w:val="24"/>
            <w:lang w:val="en-US"/>
          </w:rPr>
          <w:t>Figure</w:t>
        </w:r>
        <w:r w:rsidR="009E2C86" w:rsidRPr="00FF044B">
          <w:rPr>
            <w:sz w:val="22"/>
            <w:szCs w:val="22"/>
          </w:rPr>
          <w:t xml:space="preserve"> </w:t>
        </w:r>
        <w:r w:rsidR="009E2C86" w:rsidRPr="00FF044B">
          <w:rPr>
            <w:noProof/>
            <w:sz w:val="22"/>
            <w:szCs w:val="22"/>
          </w:rPr>
          <w:t>44</w:t>
        </w:r>
      </w:fldSimple>
      <w:r w:rsidRPr="00FF044B">
        <w:rPr>
          <w:szCs w:val="24"/>
          <w:lang w:val="en-US"/>
        </w:rPr>
        <w:t>). The logistics</w:t>
      </w:r>
      <w:r w:rsidRPr="00FF044B">
        <w:rPr>
          <w:lang w:val="en-US"/>
        </w:rPr>
        <w:t xml:space="preserve"> costs of the trading companies in Poland (Pomerania) amount to a notably greater part of the companies’ turnover than in other regions. In Latvia overall logistics costs are significantly smaller than in the other areas. This could be due to the fact that the respondents in Latvia had a different concept of logistics costs than respondents in other countries; half of the costs are seen as transport related, whereas inventory-carrying costs are perceived as being very low in comparison with the other countries. Lithuanian trading companies report administrative costs as forming a large part of the total logistics costs.</w:t>
      </w:r>
    </w:p>
    <w:p w:rsidR="00F46418" w:rsidRDefault="00F46418">
      <w:pPr>
        <w:spacing w:after="200" w:line="276" w:lineRule="auto"/>
        <w:rPr>
          <w:b/>
          <w:bCs/>
          <w:sz w:val="22"/>
          <w:szCs w:val="22"/>
        </w:rPr>
      </w:pPr>
      <w:bookmarkStart w:id="345" w:name="_Ref257640215"/>
      <w:bookmarkStart w:id="346" w:name="_Toc264226801"/>
      <w:r>
        <w:rPr>
          <w:sz w:val="22"/>
          <w:szCs w:val="22"/>
        </w:rPr>
        <w:br w:type="page"/>
      </w:r>
    </w:p>
    <w:p w:rsidR="002D00DA" w:rsidRPr="007777E2" w:rsidRDefault="005132B5" w:rsidP="005132B5">
      <w:pPr>
        <w:pStyle w:val="Caption"/>
        <w:rPr>
          <w:b w:val="0"/>
          <w:color w:val="auto"/>
          <w:sz w:val="22"/>
          <w:szCs w:val="22"/>
        </w:rPr>
      </w:pPr>
      <w:proofErr w:type="gramStart"/>
      <w:r w:rsidRPr="007777E2">
        <w:rPr>
          <w:color w:val="auto"/>
          <w:sz w:val="22"/>
          <w:szCs w:val="22"/>
        </w:rPr>
        <w:lastRenderedPageBreak/>
        <w:t xml:space="preserve">Figure </w:t>
      </w:r>
      <w:r w:rsidR="006B40AE" w:rsidRPr="007777E2">
        <w:rPr>
          <w:color w:val="auto"/>
          <w:sz w:val="22"/>
          <w:szCs w:val="22"/>
        </w:rPr>
        <w:fldChar w:fldCharType="begin"/>
      </w:r>
      <w:r w:rsidRPr="007777E2">
        <w:rPr>
          <w:color w:val="auto"/>
          <w:sz w:val="22"/>
          <w:szCs w:val="22"/>
        </w:rPr>
        <w:instrText xml:space="preserve"> SEQ Figure \* ARABIC </w:instrText>
      </w:r>
      <w:r w:rsidR="006B40AE" w:rsidRPr="007777E2">
        <w:rPr>
          <w:color w:val="auto"/>
          <w:sz w:val="22"/>
          <w:szCs w:val="22"/>
        </w:rPr>
        <w:fldChar w:fldCharType="separate"/>
      </w:r>
      <w:r w:rsidR="009E2C86">
        <w:rPr>
          <w:noProof/>
          <w:color w:val="auto"/>
          <w:sz w:val="22"/>
          <w:szCs w:val="22"/>
        </w:rPr>
        <w:t>44</w:t>
      </w:r>
      <w:r w:rsidR="006B40AE" w:rsidRPr="007777E2">
        <w:rPr>
          <w:color w:val="auto"/>
          <w:sz w:val="22"/>
          <w:szCs w:val="22"/>
        </w:rPr>
        <w:fldChar w:fldCharType="end"/>
      </w:r>
      <w:bookmarkEnd w:id="345"/>
      <w:r w:rsidR="002D00DA" w:rsidRPr="007777E2">
        <w:rPr>
          <w:color w:val="auto"/>
          <w:sz w:val="22"/>
          <w:szCs w:val="22"/>
        </w:rPr>
        <w:t>.</w:t>
      </w:r>
      <w:proofErr w:type="gramEnd"/>
      <w:r w:rsidR="002D00DA" w:rsidRPr="007777E2">
        <w:rPr>
          <w:color w:val="auto"/>
          <w:sz w:val="22"/>
          <w:szCs w:val="22"/>
        </w:rPr>
        <w:t xml:space="preserve"> Logistics Costs </w:t>
      </w:r>
      <w:bookmarkStart w:id="347" w:name="_Toc252530892"/>
      <w:bookmarkStart w:id="348" w:name="_Toc255237715"/>
      <w:r w:rsidR="002D00DA" w:rsidRPr="007777E2">
        <w:rPr>
          <w:color w:val="auto"/>
          <w:sz w:val="22"/>
          <w:szCs w:val="22"/>
        </w:rPr>
        <w:t>of Trading Firms in Selected Baltic Sea Region Countries, Regions and Cities in 2006-2007</w:t>
      </w:r>
      <w:bookmarkEnd w:id="346"/>
      <w:r w:rsidR="002D00DA" w:rsidRPr="007777E2">
        <w:rPr>
          <w:color w:val="auto"/>
          <w:sz w:val="22"/>
          <w:szCs w:val="22"/>
        </w:rPr>
        <w:t xml:space="preserve"> </w:t>
      </w:r>
      <w:bookmarkEnd w:id="347"/>
      <w:bookmarkEnd w:id="348"/>
    </w:p>
    <w:p w:rsidR="002D00DA" w:rsidRPr="007777E2" w:rsidRDefault="002D00DA" w:rsidP="005132B5">
      <w:pPr>
        <w:pStyle w:val="lekanumbered"/>
        <w:numPr>
          <w:ilvl w:val="0"/>
          <w:numId w:val="0"/>
        </w:numPr>
        <w:spacing w:before="0" w:line="240" w:lineRule="auto"/>
        <w:rPr>
          <w:lang w:val="en-US"/>
        </w:rPr>
      </w:pPr>
      <w:r w:rsidRPr="007777E2">
        <w:rPr>
          <w:noProof/>
          <w:lang w:val="en-US"/>
        </w:rPr>
        <w:drawing>
          <wp:inline distT="0" distB="0" distL="0" distR="0">
            <wp:extent cx="5391150" cy="2828925"/>
            <wp:effectExtent l="19050" t="0" r="0" b="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cstate="print"/>
                    <a:srcRect/>
                    <a:stretch>
                      <a:fillRect/>
                    </a:stretch>
                  </pic:blipFill>
                  <pic:spPr bwMode="auto">
                    <a:xfrm>
                      <a:off x="0" y="0"/>
                      <a:ext cx="5391150" cy="2828925"/>
                    </a:xfrm>
                    <a:prstGeom prst="rect">
                      <a:avLst/>
                    </a:prstGeom>
                    <a:noFill/>
                    <a:ln w="9525">
                      <a:noFill/>
                      <a:miter lim="800000"/>
                      <a:headEnd/>
                      <a:tailEnd/>
                    </a:ln>
                  </pic:spPr>
                </pic:pic>
              </a:graphicData>
            </a:graphic>
          </wp:inline>
        </w:drawing>
      </w:r>
    </w:p>
    <w:p w:rsidR="002D00DA" w:rsidRPr="007777E2" w:rsidRDefault="002D00DA" w:rsidP="005132B5">
      <w:pPr>
        <w:pStyle w:val="lekanumbered"/>
        <w:numPr>
          <w:ilvl w:val="0"/>
          <w:numId w:val="0"/>
        </w:numPr>
        <w:spacing w:before="0" w:line="240" w:lineRule="auto"/>
        <w:rPr>
          <w:sz w:val="18"/>
          <w:szCs w:val="18"/>
          <w:lang w:val="en-US"/>
        </w:rPr>
      </w:pPr>
      <w:r w:rsidRPr="007777E2">
        <w:rPr>
          <w:sz w:val="18"/>
          <w:szCs w:val="18"/>
          <w:lang w:val="en-US"/>
        </w:rPr>
        <w:t xml:space="preserve">Source: </w:t>
      </w:r>
      <w:proofErr w:type="spellStart"/>
      <w:r w:rsidRPr="007777E2">
        <w:rPr>
          <w:sz w:val="18"/>
          <w:szCs w:val="18"/>
          <w:lang w:val="en-US"/>
        </w:rPr>
        <w:t>LogOn</w:t>
      </w:r>
      <w:proofErr w:type="spellEnd"/>
      <w:r w:rsidRPr="007777E2">
        <w:rPr>
          <w:sz w:val="18"/>
          <w:szCs w:val="18"/>
          <w:lang w:val="en-US"/>
        </w:rPr>
        <w:t xml:space="preserve"> Baltic Master Report 3:2007</w:t>
      </w:r>
    </w:p>
    <w:p w:rsidR="002D00DA" w:rsidRPr="007777E2" w:rsidRDefault="002D00DA" w:rsidP="004A14BB">
      <w:pPr>
        <w:pStyle w:val="lekanumbered"/>
        <w:numPr>
          <w:ilvl w:val="0"/>
          <w:numId w:val="0"/>
        </w:numPr>
        <w:spacing w:before="0" w:line="240" w:lineRule="auto"/>
        <w:rPr>
          <w:lang w:val="en-US"/>
        </w:rPr>
      </w:pPr>
      <w:r w:rsidRPr="007777E2">
        <w:rPr>
          <w:lang w:val="en-US"/>
        </w:rPr>
        <w:t xml:space="preserve">While the </w:t>
      </w:r>
      <w:proofErr w:type="spellStart"/>
      <w:r w:rsidRPr="007777E2">
        <w:rPr>
          <w:lang w:val="en-US"/>
        </w:rPr>
        <w:t>LogOn</w:t>
      </w:r>
      <w:proofErr w:type="spellEnd"/>
      <w:r w:rsidRPr="007777E2">
        <w:rPr>
          <w:lang w:val="en-US"/>
        </w:rPr>
        <w:t xml:space="preserve"> Baltic study gives valuable information on the level and distribution of logistics costs, it also highlights potential problems in the conceptualization and comprehension of logistics costs in companies, making exact assessment challenging. </w:t>
      </w:r>
    </w:p>
    <w:p w:rsidR="002D00DA" w:rsidRPr="007777E2" w:rsidRDefault="002D00DA" w:rsidP="004A14BB">
      <w:pPr>
        <w:pStyle w:val="lekanumbered"/>
        <w:numPr>
          <w:ilvl w:val="0"/>
          <w:numId w:val="0"/>
        </w:numPr>
        <w:spacing w:before="0" w:line="240" w:lineRule="auto"/>
        <w:rPr>
          <w:lang w:val="en-US"/>
        </w:rPr>
      </w:pPr>
      <w:r w:rsidRPr="007777E2">
        <w:rPr>
          <w:lang w:val="en-US"/>
        </w:rPr>
        <w:t xml:space="preserve">Despite these shortcomings, the key message is clear: while transportation costs are an important part of logistics costs as a whole, other costs (e.g., indirect, overhead) need to be taken into account to understand the true cost of logistics, such as international operations in general or locations and transport corridors in particular. </w:t>
      </w:r>
    </w:p>
    <w:p w:rsidR="002D00DA" w:rsidRPr="007777E2" w:rsidRDefault="002D00DA" w:rsidP="004A14BB">
      <w:pPr>
        <w:pStyle w:val="lekanumbered"/>
        <w:numPr>
          <w:ilvl w:val="0"/>
          <w:numId w:val="0"/>
        </w:numPr>
        <w:spacing w:before="0" w:line="240" w:lineRule="auto"/>
        <w:rPr>
          <w:lang w:val="en-US"/>
        </w:rPr>
      </w:pPr>
      <w:r w:rsidRPr="007777E2">
        <w:rPr>
          <w:lang w:val="en-US"/>
        </w:rPr>
        <w:t xml:space="preserve">Building on this foundation, a better understanding of firm behavior can be attained, enabling more successful policy making for economic development. Similar data on Belarus would be highly useful for both policy-making purposes, as well as benchmarks for manufacturing and trading firms in the country. Collection of this type of data requires a well-managed and time-intensive effort to provide reliable results. </w:t>
      </w:r>
    </w:p>
    <w:p w:rsidR="002D00DA" w:rsidRPr="007777E2" w:rsidRDefault="002D00DA" w:rsidP="004A14BB">
      <w:pPr>
        <w:pStyle w:val="lekanumbered"/>
        <w:numPr>
          <w:ilvl w:val="0"/>
          <w:numId w:val="0"/>
        </w:numPr>
        <w:spacing w:before="0" w:line="240" w:lineRule="auto"/>
        <w:rPr>
          <w:lang w:val="en-US"/>
        </w:rPr>
      </w:pPr>
      <w:r w:rsidRPr="007777E2">
        <w:rPr>
          <w:lang w:val="en-US"/>
        </w:rPr>
        <w:t xml:space="preserve">Belarus is absent from some of the important indices that are followed closely by the international community, including the following: </w:t>
      </w:r>
    </w:p>
    <w:p w:rsidR="002D00DA" w:rsidRPr="007777E2" w:rsidRDefault="002D00DA" w:rsidP="002D00DA">
      <w:pPr>
        <w:pStyle w:val="luettelo"/>
        <w:spacing w:after="120" w:line="240" w:lineRule="auto"/>
        <w:rPr>
          <w:lang w:val="en-US"/>
        </w:rPr>
      </w:pPr>
      <w:r w:rsidRPr="007777E2">
        <w:rPr>
          <w:lang w:val="en-US"/>
        </w:rPr>
        <w:t xml:space="preserve">Global Enabling Trade Index (GETI) was first presented in summer 2008 by World Economic Forum (available at: </w:t>
      </w:r>
      <w:hyperlink r:id="rId69" w:history="1">
        <w:r w:rsidRPr="007777E2">
          <w:rPr>
            <w:rStyle w:val="Hyperlink"/>
            <w:lang w:val="en-US"/>
          </w:rPr>
          <w:t>www.weforum.org</w:t>
        </w:r>
      </w:hyperlink>
      <w:r w:rsidRPr="007777E2">
        <w:rPr>
          <w:lang w:val="en-US"/>
        </w:rPr>
        <w:t>). It combines hard and soft data on 118 countries from a number of sources. A principal aim of the GETI is to measure the extent to which countries around the world have factors and policies in place to enable trade.</w:t>
      </w:r>
    </w:p>
    <w:p w:rsidR="002D00DA" w:rsidRPr="007777E2" w:rsidRDefault="002D00DA" w:rsidP="002D00DA">
      <w:pPr>
        <w:pStyle w:val="luettelo"/>
        <w:spacing w:after="120" w:line="240" w:lineRule="auto"/>
        <w:rPr>
          <w:lang w:val="en-US"/>
        </w:rPr>
      </w:pPr>
      <w:r w:rsidRPr="007777E2">
        <w:rPr>
          <w:lang w:val="en-US"/>
        </w:rPr>
        <w:t>Global Competitiveness ranking by the World Economic Forum does not include Belarus.</w:t>
      </w:r>
    </w:p>
    <w:p w:rsidR="002D00DA" w:rsidRPr="007777E2" w:rsidRDefault="002D00DA" w:rsidP="002D00DA">
      <w:pPr>
        <w:pStyle w:val="luettelo"/>
        <w:spacing w:after="120" w:line="240" w:lineRule="auto"/>
        <w:rPr>
          <w:lang w:val="en-US"/>
        </w:rPr>
      </w:pPr>
      <w:r w:rsidRPr="007777E2">
        <w:rPr>
          <w:lang w:val="en-US"/>
        </w:rPr>
        <w:t xml:space="preserve">The 2009 Logistics Performance Index does not include Belarus, as there were a low number of respondent answers evaluating its performance. </w:t>
      </w:r>
    </w:p>
    <w:p w:rsidR="002D00DA" w:rsidRPr="007777E2" w:rsidRDefault="002D00DA" w:rsidP="002D00DA">
      <w:pPr>
        <w:pStyle w:val="luettelo"/>
        <w:spacing w:after="120" w:line="240" w:lineRule="auto"/>
        <w:rPr>
          <w:lang w:val="en-US"/>
        </w:rPr>
      </w:pPr>
      <w:r w:rsidRPr="007777E2">
        <w:rPr>
          <w:lang w:val="en-US"/>
        </w:rPr>
        <w:lastRenderedPageBreak/>
        <w:t>Global Retail Development Index (GRDI) has been published since 2001 and does not include Belarus. The index aims to "help retailers prioritize their global development strategies by ranking the retail expansion attractiveness of emerging countries based on a set of 25 variables including economic and political risk, retail market attractiveness, retail saturation levels, and modern retailing sales area and sales growth" (A.T. Kearney 2009). While the GRDI focuses on opportunities for mass merchant and food retailers, it also provides valuable information for consumer product manufacturers in planning their international marketing and distribution strategies.</w:t>
      </w:r>
    </w:p>
    <w:p w:rsidR="005132B5" w:rsidRPr="007777E2" w:rsidRDefault="002D00DA" w:rsidP="004A14BB">
      <w:pPr>
        <w:pStyle w:val="lekanumbered"/>
        <w:numPr>
          <w:ilvl w:val="0"/>
          <w:numId w:val="0"/>
        </w:numPr>
        <w:spacing w:before="0" w:line="240" w:lineRule="auto"/>
        <w:rPr>
          <w:lang w:val="en-US"/>
        </w:rPr>
      </w:pPr>
      <w:r w:rsidRPr="007777E2">
        <w:rPr>
          <w:lang w:val="en-US"/>
        </w:rPr>
        <w:t>The absence of Belarus in some of the private sector comparisons (such as the GRDI) may be interpreted as a result in its own right, indicating some lack of interest towards the Belarus market perhaps due to the perceived regulatory or logistics constraints for investments. Further, Belarus may be perceived as uncharted territory in the eyes of foreign investors, as a lack of reliable information makes it more complicated for investors to assess the feasibility of market entry.</w:t>
      </w:r>
    </w:p>
    <w:p w:rsidR="002D00DA" w:rsidRDefault="002D00DA" w:rsidP="004A14BB">
      <w:pPr>
        <w:pStyle w:val="lekanumbered"/>
        <w:numPr>
          <w:ilvl w:val="0"/>
          <w:numId w:val="0"/>
        </w:numPr>
        <w:spacing w:before="0" w:line="240" w:lineRule="auto"/>
        <w:rPr>
          <w:lang w:val="en-US"/>
        </w:rPr>
      </w:pPr>
      <w:r w:rsidRPr="007777E2">
        <w:rPr>
          <w:lang w:val="en-US"/>
        </w:rPr>
        <w:t xml:space="preserve">To some extent foreign investor interest and opinion may be formed based on these indices; efforts should be undertaken to include Belarus in such comparative tools. As Belarus collects and makes available high quality data on trade and transport, the economy may benefit from international benchmarking and higher investor awareness. </w:t>
      </w:r>
    </w:p>
    <w:p w:rsidR="00CA4EA8" w:rsidRDefault="00CA4EA8">
      <w:pPr>
        <w:spacing w:after="200" w:line="276" w:lineRule="auto"/>
        <w:rPr>
          <w:szCs w:val="20"/>
        </w:rPr>
      </w:pPr>
      <w:r>
        <w:br w:type="page"/>
      </w:r>
    </w:p>
    <w:p w:rsidR="00CA4EA8" w:rsidRPr="007777E2" w:rsidRDefault="00CA4EA8" w:rsidP="00963581">
      <w:pPr>
        <w:pStyle w:val="Heading1a"/>
      </w:pPr>
      <w:bookmarkStart w:id="349" w:name="_Toc131314417"/>
      <w:bookmarkStart w:id="350" w:name="_Toc282029962"/>
      <w:r w:rsidRPr="007777E2">
        <w:lastRenderedPageBreak/>
        <w:t>Annex 2: Belarus Freight Transport Forecast until 2020</w:t>
      </w:r>
      <w:bookmarkEnd w:id="349"/>
      <w:bookmarkEnd w:id="350"/>
    </w:p>
    <w:p w:rsidR="00CA4EA8" w:rsidRPr="007777E2" w:rsidRDefault="00CA4EA8" w:rsidP="00CA4EA8">
      <w:pPr>
        <w:jc w:val="both"/>
      </w:pPr>
    </w:p>
    <w:p w:rsidR="00CA4EA8" w:rsidRDefault="00CA4EA8" w:rsidP="00CA4EA8">
      <w:pPr>
        <w:jc w:val="both"/>
      </w:pPr>
      <w:r w:rsidRPr="007777E2">
        <w:t xml:space="preserve">Annex 2 presents estimates for freight volume development in Belarus to 2020. To a large extent, the forecasts are based on limited </w:t>
      </w:r>
      <w:r>
        <w:t>time-series data, making the use of statistical techniques impossible.</w:t>
      </w:r>
      <w:r w:rsidRPr="007777E2">
        <w:t xml:space="preserve"> </w:t>
      </w:r>
      <w:r>
        <w:t>Additional sources of uncertainty include the absence of transport data on the following: (</w:t>
      </w:r>
      <w:proofErr w:type="spellStart"/>
      <w:r>
        <w:t>i</w:t>
      </w:r>
      <w:proofErr w:type="spellEnd"/>
      <w:r>
        <w:t xml:space="preserve">) breakdown by cargo types and modes; (ii) breakdown by cargo types by countries of origin and destination; (iii) breakdown by modes by countries of origin or destination; (iv) no data on traffic through the Belarus-Russia border; and (v) Kaliningrad’s share of transit traffic over Belarus territory which may be significant, especially in road-based transit in both directions. According to Belarus Customs Committee, customs declarations do not currently collect data by mode of transport. </w:t>
      </w:r>
    </w:p>
    <w:p w:rsidR="00CA4EA8" w:rsidRDefault="00CA4EA8" w:rsidP="00CA4EA8">
      <w:pPr>
        <w:jc w:val="both"/>
      </w:pPr>
    </w:p>
    <w:p w:rsidR="00CA4EA8" w:rsidRPr="007777E2" w:rsidRDefault="00CA4EA8" w:rsidP="00CA4EA8">
      <w:pPr>
        <w:jc w:val="both"/>
      </w:pPr>
      <w:r w:rsidRPr="007777E2">
        <w:t xml:space="preserve">Due to missing information, some of the forecasts are presented as indices. Even in more favorable circumstances, long-term forecasts are by nature highly </w:t>
      </w:r>
      <w:r w:rsidRPr="00570999">
        <w:t>uncertain; the reader’s focus should therefore be on trends and development patterns instead of the exact</w:t>
      </w:r>
      <w:r w:rsidRPr="007777E2">
        <w:t xml:space="preserve"> numbers. </w:t>
      </w:r>
    </w:p>
    <w:p w:rsidR="00CA4EA8" w:rsidRPr="007777E2" w:rsidRDefault="00CA4EA8" w:rsidP="00CA4EA8">
      <w:pPr>
        <w:jc w:val="both"/>
      </w:pPr>
    </w:p>
    <w:p w:rsidR="00CA4EA8" w:rsidRPr="007777E2" w:rsidRDefault="00CA4EA8" w:rsidP="00CA4EA8">
      <w:pPr>
        <w:jc w:val="both"/>
      </w:pPr>
      <w:r w:rsidRPr="007777E2">
        <w:t xml:space="preserve">The main assumption behind the freight volume forecasts is the reasonably swift recovery of Belarus and Russia from the economic crisis, as projected by the IMF. The role of the Russian economy is emphasized for two reasons: (1) it is the driver of transit cargo flows through the territory of Belarus, and (2) it is also the main trading partner of Belarus. The real GDP growth rates are </w:t>
      </w:r>
      <w:r w:rsidRPr="008C3523">
        <w:t xml:space="preserve">presented in </w:t>
      </w:r>
      <w:fldSimple w:instr=" REF _Ref256164424 \h  \* MERGEFORMAT ">
        <w:r w:rsidR="00E85C5F" w:rsidRPr="00E85C5F">
          <w:rPr>
            <w:noProof/>
          </w:rPr>
          <w:t>Figure</w:t>
        </w:r>
        <w:r w:rsidR="009E2C86" w:rsidRPr="007777E2">
          <w:rPr>
            <w:sz w:val="22"/>
            <w:szCs w:val="22"/>
          </w:rPr>
          <w:t xml:space="preserve"> </w:t>
        </w:r>
        <w:r w:rsidR="009E2C86">
          <w:rPr>
            <w:noProof/>
            <w:sz w:val="22"/>
            <w:szCs w:val="22"/>
          </w:rPr>
          <w:t>45</w:t>
        </w:r>
      </w:fldSimple>
      <w:r w:rsidRPr="008C3523">
        <w:t>. The cautious</w:t>
      </w:r>
      <w:r w:rsidRPr="007777E2">
        <w:t xml:space="preserve"> assumption is that in the long-term, i.e., until 2020, the economies of Belarus and Russia will remain in a growth trajectory. </w:t>
      </w:r>
    </w:p>
    <w:p w:rsidR="00CA4EA8" w:rsidRPr="007777E2" w:rsidRDefault="00CA4EA8" w:rsidP="00CA4EA8">
      <w:pPr>
        <w:jc w:val="both"/>
      </w:pPr>
    </w:p>
    <w:p w:rsidR="00F46418" w:rsidRDefault="00F46418">
      <w:pPr>
        <w:spacing w:after="200" w:line="276" w:lineRule="auto"/>
        <w:rPr>
          <w:b/>
          <w:bCs/>
          <w:sz w:val="22"/>
          <w:szCs w:val="22"/>
        </w:rPr>
      </w:pPr>
      <w:bookmarkStart w:id="351" w:name="_Ref256164424"/>
      <w:bookmarkStart w:id="352" w:name="_Ref257296004"/>
      <w:bookmarkStart w:id="353" w:name="_Toc131339018"/>
      <w:bookmarkStart w:id="354" w:name="_Toc264226802"/>
      <w:r>
        <w:rPr>
          <w:sz w:val="22"/>
          <w:szCs w:val="22"/>
        </w:rPr>
        <w:br w:type="page"/>
      </w:r>
    </w:p>
    <w:p w:rsidR="00CA4EA8" w:rsidRPr="007777E2" w:rsidRDefault="00CA4EA8" w:rsidP="00CA4EA8">
      <w:pPr>
        <w:pStyle w:val="Caption"/>
        <w:rPr>
          <w:color w:val="auto"/>
          <w:sz w:val="22"/>
          <w:szCs w:val="22"/>
        </w:rPr>
      </w:pPr>
      <w:proofErr w:type="gramStart"/>
      <w:r w:rsidRPr="007777E2">
        <w:rPr>
          <w:color w:val="auto"/>
          <w:sz w:val="22"/>
          <w:szCs w:val="22"/>
        </w:rPr>
        <w:lastRenderedPageBreak/>
        <w:t xml:space="preserve">Figure </w:t>
      </w:r>
      <w:r w:rsidR="006B40AE" w:rsidRPr="007777E2">
        <w:rPr>
          <w:b w:val="0"/>
          <w:bCs w:val="0"/>
          <w:sz w:val="22"/>
          <w:szCs w:val="22"/>
        </w:rPr>
        <w:fldChar w:fldCharType="begin"/>
      </w:r>
      <w:r w:rsidRPr="007777E2">
        <w:rPr>
          <w:color w:val="auto"/>
          <w:sz w:val="22"/>
          <w:szCs w:val="22"/>
        </w:rPr>
        <w:instrText xml:space="preserve"> SEQ Figure \* ARABIC </w:instrText>
      </w:r>
      <w:r w:rsidR="006B40AE" w:rsidRPr="007777E2">
        <w:rPr>
          <w:b w:val="0"/>
          <w:bCs w:val="0"/>
          <w:sz w:val="22"/>
          <w:szCs w:val="22"/>
        </w:rPr>
        <w:fldChar w:fldCharType="separate"/>
      </w:r>
      <w:r w:rsidR="009E2C86">
        <w:rPr>
          <w:noProof/>
          <w:color w:val="auto"/>
          <w:sz w:val="22"/>
          <w:szCs w:val="22"/>
        </w:rPr>
        <w:t>45</w:t>
      </w:r>
      <w:r w:rsidR="006B40AE" w:rsidRPr="007777E2">
        <w:rPr>
          <w:b w:val="0"/>
          <w:bCs w:val="0"/>
          <w:sz w:val="22"/>
          <w:szCs w:val="22"/>
        </w:rPr>
        <w:fldChar w:fldCharType="end"/>
      </w:r>
      <w:bookmarkEnd w:id="351"/>
      <w:r w:rsidRPr="007777E2">
        <w:rPr>
          <w:color w:val="auto"/>
          <w:sz w:val="22"/>
          <w:szCs w:val="22"/>
        </w:rPr>
        <w:t>.</w:t>
      </w:r>
      <w:proofErr w:type="gramEnd"/>
      <w:r w:rsidRPr="007777E2">
        <w:rPr>
          <w:color w:val="auto"/>
          <w:sz w:val="22"/>
          <w:szCs w:val="22"/>
        </w:rPr>
        <w:t xml:space="preserve"> Realized Real GDP Growth in Belarus and Russia 2000-2009 and Forecasts for 2010-2013</w:t>
      </w:r>
      <w:bookmarkEnd w:id="352"/>
      <w:bookmarkEnd w:id="353"/>
      <w:bookmarkEnd w:id="354"/>
      <w:r w:rsidRPr="007777E2">
        <w:rPr>
          <w:color w:val="auto"/>
          <w:sz w:val="22"/>
          <w:szCs w:val="22"/>
        </w:rPr>
        <w:t xml:space="preserve"> </w:t>
      </w:r>
    </w:p>
    <w:p w:rsidR="00CA4EA8" w:rsidRPr="007777E2" w:rsidRDefault="00CA4EA8" w:rsidP="00CA4EA8">
      <w:pPr>
        <w:jc w:val="both"/>
      </w:pPr>
    </w:p>
    <w:p w:rsidR="00CA4EA8" w:rsidRPr="007777E2" w:rsidRDefault="00CA4EA8" w:rsidP="00CA4EA8">
      <w:pPr>
        <w:jc w:val="both"/>
      </w:pPr>
      <w:r>
        <w:rPr>
          <w:noProof/>
        </w:rPr>
        <w:drawing>
          <wp:inline distT="0" distB="0" distL="0" distR="0">
            <wp:extent cx="5486400" cy="3200400"/>
            <wp:effectExtent l="0" t="0" r="0" b="0"/>
            <wp:docPr id="1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0" cstate="print"/>
                    <a:srcRect/>
                    <a:stretch>
                      <a:fillRect/>
                    </a:stretch>
                  </pic:blipFill>
                  <pic:spPr bwMode="auto">
                    <a:xfrm>
                      <a:off x="0" y="0"/>
                      <a:ext cx="5486400" cy="3200400"/>
                    </a:xfrm>
                    <a:prstGeom prst="rect">
                      <a:avLst/>
                    </a:prstGeom>
                    <a:noFill/>
                    <a:ln w="9525">
                      <a:noFill/>
                      <a:miter lim="800000"/>
                      <a:headEnd/>
                      <a:tailEnd/>
                    </a:ln>
                  </pic:spPr>
                </pic:pic>
              </a:graphicData>
            </a:graphic>
          </wp:inline>
        </w:drawing>
      </w:r>
    </w:p>
    <w:p w:rsidR="00CA4EA8" w:rsidRPr="007777E2" w:rsidRDefault="00CA4EA8" w:rsidP="00CA4EA8">
      <w:pPr>
        <w:jc w:val="both"/>
      </w:pPr>
    </w:p>
    <w:p w:rsidR="00CA4EA8" w:rsidRPr="007777E2" w:rsidRDefault="00CA4EA8" w:rsidP="00CA4EA8">
      <w:pPr>
        <w:jc w:val="both"/>
        <w:rPr>
          <w:sz w:val="18"/>
          <w:szCs w:val="18"/>
        </w:rPr>
      </w:pPr>
      <w:r w:rsidRPr="007777E2">
        <w:rPr>
          <w:sz w:val="18"/>
          <w:szCs w:val="18"/>
        </w:rPr>
        <w:t xml:space="preserve">Source: IMF Data </w:t>
      </w:r>
      <w:proofErr w:type="spellStart"/>
      <w:r w:rsidRPr="007777E2">
        <w:rPr>
          <w:sz w:val="18"/>
          <w:szCs w:val="18"/>
        </w:rPr>
        <w:t>Mapper</w:t>
      </w:r>
      <w:proofErr w:type="spellEnd"/>
      <w:r w:rsidRPr="007777E2">
        <w:rPr>
          <w:sz w:val="18"/>
          <w:szCs w:val="18"/>
        </w:rPr>
        <w:t>.</w:t>
      </w:r>
    </w:p>
    <w:p w:rsidR="00CA4EA8" w:rsidRPr="007777E2" w:rsidRDefault="00CA4EA8" w:rsidP="00CA4EA8">
      <w:pPr>
        <w:ind w:left="1440" w:hanging="1440"/>
      </w:pPr>
    </w:p>
    <w:p w:rsidR="00CA4EA8" w:rsidRPr="007777E2" w:rsidRDefault="00CA4EA8" w:rsidP="00CA4EA8">
      <w:pPr>
        <w:jc w:val="both"/>
      </w:pPr>
      <w:r>
        <w:t>L</w:t>
      </w:r>
      <w:r w:rsidRPr="007777E2">
        <w:t>ong-term forecasts are given separately for road and rail (the majority of Belarus freight turnover) freight transport volumes in the domestic, export, import, and transit categories. In the forecasts, no significant changes in modal split are assumed, although, for example, the use of road transport will grow more rapidly for imports. Also no major changes in international trade patterns of Belarus are projected to 2020.</w:t>
      </w:r>
    </w:p>
    <w:p w:rsidR="00CA4EA8" w:rsidRPr="007777E2" w:rsidRDefault="00CA4EA8" w:rsidP="00CA4EA8">
      <w:pPr>
        <w:jc w:val="both"/>
      </w:pPr>
    </w:p>
    <w:p w:rsidR="00CA4EA8" w:rsidRPr="007777E2" w:rsidRDefault="00CA4EA8" w:rsidP="00CA4EA8">
      <w:pPr>
        <w:jc w:val="both"/>
      </w:pPr>
      <w:r w:rsidRPr="007777E2">
        <w:t xml:space="preserve">For future domestic freight volume, 2009 estimates are based on </w:t>
      </w:r>
      <w:proofErr w:type="spellStart"/>
      <w:r w:rsidRPr="007777E2">
        <w:t>MoTC</w:t>
      </w:r>
      <w:proofErr w:type="spellEnd"/>
      <w:r w:rsidRPr="007777E2">
        <w:t xml:space="preserve"> figures for road and the authors' own for rail. While in 2009 domestic road transport volume growth only slowed, the assumption is a 10 percent drop in rail freight volumes, due to the economic crisis. In 2010 for both road and rail, a 2 percent recovery is projected. As economic prospects improve, the annual freight volume growth rate is estimated at 4 percent in 2011-2015 and at 6 percent in 2016-2020 (</w:t>
      </w:r>
      <w:fldSimple w:instr=" REF _Ref256167502 \h  \* MERGEFORMAT ">
        <w:r w:rsidR="00E85C5F" w:rsidRPr="00E85C5F">
          <w:rPr>
            <w:noProof/>
          </w:rPr>
          <w:t>Figure</w:t>
        </w:r>
        <w:r w:rsidR="009E2C86" w:rsidRPr="007777E2">
          <w:rPr>
            <w:sz w:val="22"/>
            <w:szCs w:val="22"/>
          </w:rPr>
          <w:t xml:space="preserve"> </w:t>
        </w:r>
        <w:r w:rsidR="009E2C86">
          <w:rPr>
            <w:noProof/>
            <w:sz w:val="22"/>
            <w:szCs w:val="22"/>
          </w:rPr>
          <w:t>46</w:t>
        </w:r>
      </w:fldSimple>
      <w:r w:rsidRPr="007777E2">
        <w:t xml:space="preserve">).    </w:t>
      </w:r>
    </w:p>
    <w:p w:rsidR="00CA4EA8" w:rsidRPr="007777E2" w:rsidRDefault="00CA4EA8" w:rsidP="00CA4EA8">
      <w:pPr>
        <w:jc w:val="both"/>
      </w:pPr>
    </w:p>
    <w:p w:rsidR="00F46418" w:rsidRDefault="00F46418">
      <w:pPr>
        <w:spacing w:after="200" w:line="276" w:lineRule="auto"/>
        <w:rPr>
          <w:b/>
          <w:bCs/>
          <w:sz w:val="22"/>
          <w:szCs w:val="22"/>
        </w:rPr>
      </w:pPr>
      <w:bookmarkStart w:id="355" w:name="_Ref256167502"/>
      <w:bookmarkStart w:id="356" w:name="_Toc131339019"/>
      <w:bookmarkStart w:id="357" w:name="_Toc264226803"/>
      <w:r>
        <w:rPr>
          <w:sz w:val="22"/>
          <w:szCs w:val="22"/>
        </w:rPr>
        <w:br w:type="page"/>
      </w:r>
    </w:p>
    <w:p w:rsidR="00CA4EA8" w:rsidRPr="007777E2" w:rsidRDefault="00CA4EA8" w:rsidP="00CA4EA8">
      <w:pPr>
        <w:pStyle w:val="Caption"/>
        <w:rPr>
          <w:color w:val="auto"/>
          <w:sz w:val="22"/>
          <w:szCs w:val="22"/>
        </w:rPr>
      </w:pPr>
      <w:proofErr w:type="gramStart"/>
      <w:r w:rsidRPr="007777E2">
        <w:rPr>
          <w:color w:val="auto"/>
          <w:sz w:val="22"/>
          <w:szCs w:val="22"/>
        </w:rPr>
        <w:lastRenderedPageBreak/>
        <w:t xml:space="preserve">Figure </w:t>
      </w:r>
      <w:r w:rsidR="006B40AE" w:rsidRPr="007777E2">
        <w:rPr>
          <w:b w:val="0"/>
          <w:bCs w:val="0"/>
          <w:sz w:val="22"/>
          <w:szCs w:val="22"/>
        </w:rPr>
        <w:fldChar w:fldCharType="begin"/>
      </w:r>
      <w:r w:rsidRPr="007777E2">
        <w:rPr>
          <w:color w:val="auto"/>
          <w:sz w:val="22"/>
          <w:szCs w:val="22"/>
        </w:rPr>
        <w:instrText xml:space="preserve"> SEQ Figure \* ARABIC </w:instrText>
      </w:r>
      <w:r w:rsidR="006B40AE" w:rsidRPr="007777E2">
        <w:rPr>
          <w:b w:val="0"/>
          <w:bCs w:val="0"/>
          <w:sz w:val="22"/>
          <w:szCs w:val="22"/>
        </w:rPr>
        <w:fldChar w:fldCharType="separate"/>
      </w:r>
      <w:r w:rsidR="009E2C86">
        <w:rPr>
          <w:noProof/>
          <w:color w:val="auto"/>
          <w:sz w:val="22"/>
          <w:szCs w:val="22"/>
        </w:rPr>
        <w:t>46</w:t>
      </w:r>
      <w:r w:rsidR="006B40AE" w:rsidRPr="007777E2">
        <w:rPr>
          <w:b w:val="0"/>
          <w:bCs w:val="0"/>
          <w:sz w:val="22"/>
          <w:szCs w:val="22"/>
        </w:rPr>
        <w:fldChar w:fldCharType="end"/>
      </w:r>
      <w:bookmarkEnd w:id="355"/>
      <w:r w:rsidRPr="007777E2">
        <w:rPr>
          <w:color w:val="auto"/>
          <w:sz w:val="22"/>
          <w:szCs w:val="22"/>
        </w:rPr>
        <w:t>.</w:t>
      </w:r>
      <w:proofErr w:type="gramEnd"/>
      <w:r w:rsidRPr="007777E2">
        <w:rPr>
          <w:color w:val="auto"/>
          <w:sz w:val="22"/>
          <w:szCs w:val="22"/>
        </w:rPr>
        <w:t xml:space="preserve"> Forecast for domestic freight volume (road and rail)</w:t>
      </w:r>
      <w:bookmarkEnd w:id="356"/>
      <w:bookmarkEnd w:id="357"/>
    </w:p>
    <w:p w:rsidR="00CA4EA8" w:rsidRPr="007777E2" w:rsidRDefault="00CA4EA8" w:rsidP="00CA4EA8">
      <w:r>
        <w:rPr>
          <w:noProof/>
        </w:rPr>
        <w:drawing>
          <wp:inline distT="0" distB="0" distL="0" distR="0">
            <wp:extent cx="5486400" cy="3533775"/>
            <wp:effectExtent l="0" t="0" r="0" b="0"/>
            <wp:docPr id="2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1" cstate="print"/>
                    <a:srcRect/>
                    <a:stretch>
                      <a:fillRect/>
                    </a:stretch>
                  </pic:blipFill>
                  <pic:spPr bwMode="auto">
                    <a:xfrm>
                      <a:off x="0" y="0"/>
                      <a:ext cx="5486400" cy="3533775"/>
                    </a:xfrm>
                    <a:prstGeom prst="rect">
                      <a:avLst/>
                    </a:prstGeom>
                    <a:noFill/>
                    <a:ln w="9525">
                      <a:noFill/>
                      <a:miter lim="800000"/>
                      <a:headEnd/>
                      <a:tailEnd/>
                    </a:ln>
                  </pic:spPr>
                </pic:pic>
              </a:graphicData>
            </a:graphic>
          </wp:inline>
        </w:drawing>
      </w:r>
    </w:p>
    <w:p w:rsidR="00CA4EA8" w:rsidRPr="007777E2" w:rsidRDefault="00CA4EA8" w:rsidP="00CA4EA8">
      <w:pPr>
        <w:jc w:val="both"/>
      </w:pPr>
      <w:r w:rsidRPr="007777E2">
        <w:t xml:space="preserve">In 2008 domestic rail freight transport volume was 47,851 thousand tons, which equals 13,941 million ton-kilometers. </w:t>
      </w:r>
    </w:p>
    <w:p w:rsidR="00CA4EA8" w:rsidRPr="007777E2" w:rsidRDefault="00CA4EA8" w:rsidP="00CA4EA8">
      <w:pPr>
        <w:jc w:val="both"/>
      </w:pPr>
    </w:p>
    <w:p w:rsidR="00CA4EA8" w:rsidRPr="007777E2" w:rsidRDefault="00CA4EA8" w:rsidP="00CA4EA8">
      <w:pPr>
        <w:jc w:val="both"/>
      </w:pPr>
      <w:r w:rsidRPr="007777E2">
        <w:t xml:space="preserve">Due </w:t>
      </w:r>
      <w:r>
        <w:t>to requests to keep available data confidential</w:t>
      </w:r>
      <w:r w:rsidRPr="007777E2">
        <w:t xml:space="preserve">, </w:t>
      </w:r>
      <w:r>
        <w:t xml:space="preserve">our </w:t>
      </w:r>
      <w:r w:rsidRPr="007777E2">
        <w:t>forecasts for export</w:t>
      </w:r>
      <w:r>
        <w:t>, import and transit</w:t>
      </w:r>
      <w:r w:rsidRPr="007777E2">
        <w:t xml:space="preserve"> </w:t>
      </w:r>
      <w:r w:rsidRPr="00570999">
        <w:t xml:space="preserve">road freight volumes are presented as indices with the base year 2005 as 100. As indicated in </w:t>
      </w:r>
      <w:fldSimple w:instr=" REF _Ref256169470 \h  \* MERGEFORMAT ">
        <w:r w:rsidR="00E85C5F" w:rsidRPr="00E85C5F">
          <w:rPr>
            <w:noProof/>
          </w:rPr>
          <w:t>Figure</w:t>
        </w:r>
        <w:r w:rsidR="009E2C86" w:rsidRPr="007777E2">
          <w:rPr>
            <w:sz w:val="22"/>
            <w:szCs w:val="22"/>
          </w:rPr>
          <w:t xml:space="preserve"> </w:t>
        </w:r>
        <w:r w:rsidR="009E2C86">
          <w:rPr>
            <w:noProof/>
            <w:sz w:val="22"/>
            <w:szCs w:val="22"/>
          </w:rPr>
          <w:t>47</w:t>
        </w:r>
      </w:fldSimple>
      <w:r>
        <w:t xml:space="preserve"> from year 2010 onwards are forecasts. Until 2008, import and export road freight transport developed quite differently. Imports in tons grew rapidly, with even two-digit annual growth rates. Exports in tons however have been declining since 2005. According to statistics provided by the Government, import road freight transport declined by about 9 percent in 2009, while export declined only by 1.5 percent. </w:t>
      </w:r>
    </w:p>
    <w:p w:rsidR="00CA4EA8" w:rsidRPr="007777E2" w:rsidRDefault="00CA4EA8" w:rsidP="00CA4EA8">
      <w:pPr>
        <w:jc w:val="both"/>
      </w:pPr>
    </w:p>
    <w:p w:rsidR="00CA4EA8" w:rsidRPr="007777E2" w:rsidRDefault="00CA4EA8" w:rsidP="00CA4EA8">
      <w:pPr>
        <w:jc w:val="both"/>
      </w:pPr>
      <w:r>
        <w:t>According to our forecast,</w:t>
      </w:r>
      <w:r w:rsidRPr="007777E2">
        <w:t xml:space="preserve"> imports recover 2 percent in 2010, grow 5 percent annually during 2011-2015, and grow 10 percent annually during 2016-2020. General economic growth, as well as specific increases in retail trade and consumer demand, results in increased use of relatively more flexible road transport. Export-related freight by road transport demonstrates </w:t>
      </w:r>
      <w:r>
        <w:t xml:space="preserve">slow growth: </w:t>
      </w:r>
      <w:r w:rsidRPr="007777E2">
        <w:t xml:space="preserve">3 percent during 2011-2015 and 4 percent during 2016-2020. </w:t>
      </w:r>
    </w:p>
    <w:p w:rsidR="00CA4EA8" w:rsidRPr="007777E2" w:rsidRDefault="00CA4EA8" w:rsidP="00CA4EA8">
      <w:pPr>
        <w:jc w:val="both"/>
      </w:pPr>
    </w:p>
    <w:p w:rsidR="00F46418" w:rsidRDefault="00F46418">
      <w:pPr>
        <w:spacing w:after="200" w:line="276" w:lineRule="auto"/>
        <w:rPr>
          <w:b/>
          <w:bCs/>
          <w:sz w:val="22"/>
          <w:szCs w:val="22"/>
        </w:rPr>
      </w:pPr>
      <w:bookmarkStart w:id="358" w:name="_Ref256169470"/>
      <w:bookmarkStart w:id="359" w:name="_Toc131339020"/>
      <w:bookmarkStart w:id="360" w:name="_Toc264226804"/>
      <w:r>
        <w:rPr>
          <w:sz w:val="22"/>
          <w:szCs w:val="22"/>
        </w:rPr>
        <w:br w:type="page"/>
      </w:r>
    </w:p>
    <w:p w:rsidR="00CA4EA8" w:rsidRPr="007777E2" w:rsidRDefault="00CA4EA8" w:rsidP="00CA4EA8">
      <w:pPr>
        <w:pStyle w:val="Caption"/>
        <w:rPr>
          <w:color w:val="auto"/>
          <w:sz w:val="22"/>
          <w:szCs w:val="22"/>
        </w:rPr>
      </w:pPr>
      <w:proofErr w:type="gramStart"/>
      <w:r w:rsidRPr="007777E2">
        <w:rPr>
          <w:color w:val="auto"/>
          <w:sz w:val="22"/>
          <w:szCs w:val="22"/>
        </w:rPr>
        <w:lastRenderedPageBreak/>
        <w:t xml:space="preserve">Figure </w:t>
      </w:r>
      <w:r w:rsidR="006B40AE" w:rsidRPr="007777E2">
        <w:rPr>
          <w:b w:val="0"/>
          <w:bCs w:val="0"/>
          <w:sz w:val="22"/>
          <w:szCs w:val="22"/>
        </w:rPr>
        <w:fldChar w:fldCharType="begin"/>
      </w:r>
      <w:r w:rsidRPr="007777E2">
        <w:rPr>
          <w:color w:val="auto"/>
          <w:sz w:val="22"/>
          <w:szCs w:val="22"/>
        </w:rPr>
        <w:instrText xml:space="preserve"> SEQ Figure \* ARABIC </w:instrText>
      </w:r>
      <w:r w:rsidR="006B40AE" w:rsidRPr="007777E2">
        <w:rPr>
          <w:b w:val="0"/>
          <w:bCs w:val="0"/>
          <w:sz w:val="22"/>
          <w:szCs w:val="22"/>
        </w:rPr>
        <w:fldChar w:fldCharType="separate"/>
      </w:r>
      <w:r w:rsidR="009E2C86">
        <w:rPr>
          <w:noProof/>
          <w:color w:val="auto"/>
          <w:sz w:val="22"/>
          <w:szCs w:val="22"/>
        </w:rPr>
        <w:t>47</w:t>
      </w:r>
      <w:r w:rsidR="006B40AE" w:rsidRPr="007777E2">
        <w:rPr>
          <w:b w:val="0"/>
          <w:bCs w:val="0"/>
          <w:sz w:val="22"/>
          <w:szCs w:val="22"/>
        </w:rPr>
        <w:fldChar w:fldCharType="end"/>
      </w:r>
      <w:bookmarkEnd w:id="358"/>
      <w:r w:rsidRPr="007777E2">
        <w:rPr>
          <w:color w:val="auto"/>
          <w:sz w:val="22"/>
          <w:szCs w:val="22"/>
        </w:rPr>
        <w:t>.</w:t>
      </w:r>
      <w:proofErr w:type="gramEnd"/>
      <w:r w:rsidRPr="007777E2">
        <w:rPr>
          <w:color w:val="auto"/>
          <w:sz w:val="22"/>
          <w:szCs w:val="22"/>
        </w:rPr>
        <w:t xml:space="preserve"> Forecast of Import and Export Freight Transport Volumes by Road (20</w:t>
      </w:r>
      <w:r>
        <w:rPr>
          <w:color w:val="auto"/>
          <w:sz w:val="22"/>
          <w:szCs w:val="22"/>
        </w:rPr>
        <w:t>05</w:t>
      </w:r>
      <w:r w:rsidRPr="007777E2">
        <w:rPr>
          <w:color w:val="auto"/>
          <w:sz w:val="22"/>
          <w:szCs w:val="22"/>
        </w:rPr>
        <w:t>=100)</w:t>
      </w:r>
      <w:bookmarkEnd w:id="359"/>
      <w:bookmarkEnd w:id="360"/>
    </w:p>
    <w:p w:rsidR="00CA4EA8" w:rsidRPr="007777E2" w:rsidRDefault="00CA4EA8" w:rsidP="00CA4EA8">
      <w:pPr>
        <w:jc w:val="both"/>
      </w:pPr>
      <w:r>
        <w:rPr>
          <w:noProof/>
        </w:rPr>
        <w:drawing>
          <wp:inline distT="0" distB="0" distL="0" distR="0">
            <wp:extent cx="5943600" cy="2597150"/>
            <wp:effectExtent l="0" t="0" r="0" b="0"/>
            <wp:docPr id="1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CA4EA8" w:rsidRPr="007777E2" w:rsidRDefault="00CA4EA8" w:rsidP="00CA4EA8"/>
    <w:p w:rsidR="00CA4EA8" w:rsidRPr="007777E2" w:rsidRDefault="00CA4EA8" w:rsidP="00CA4EA8">
      <w:pPr>
        <w:jc w:val="both"/>
      </w:pPr>
      <w:r w:rsidRPr="007777E2">
        <w:t xml:space="preserve">For rail, the assumed changes in import and export freight volumes are somewhat more moderate, resulting in forecasts presented in </w:t>
      </w:r>
      <w:fldSimple w:instr=" REF _Ref256171309 \h  \* MERGEFORMAT ">
        <w:r w:rsidR="00E85C5F" w:rsidRPr="00E85C5F">
          <w:t xml:space="preserve">Figure </w:t>
        </w:r>
        <w:r w:rsidR="00E85C5F" w:rsidRPr="00E85C5F">
          <w:rPr>
            <w:noProof/>
          </w:rPr>
          <w:t>48</w:t>
        </w:r>
      </w:fldSimple>
      <w:r w:rsidRPr="007777E2">
        <w:t xml:space="preserve">. Both imports and exports decrease by 15 percent from 2008 to 2009, recover 2 percent in 2010, grow 3 percent annually in 2011-2015, and 4 percent annually in 2011-2015. Belarus MOTC provides the time series for the period 2005-2008. </w:t>
      </w:r>
    </w:p>
    <w:p w:rsidR="00CA4EA8" w:rsidRPr="007777E2" w:rsidRDefault="00CA4EA8" w:rsidP="00CA4EA8">
      <w:pPr>
        <w:jc w:val="both"/>
      </w:pPr>
    </w:p>
    <w:p w:rsidR="00CA4EA8" w:rsidRPr="007777E2" w:rsidRDefault="00CA4EA8" w:rsidP="00CA4EA8">
      <w:pPr>
        <w:pStyle w:val="Caption"/>
        <w:rPr>
          <w:color w:val="auto"/>
          <w:sz w:val="22"/>
          <w:szCs w:val="22"/>
        </w:rPr>
      </w:pPr>
      <w:bookmarkStart w:id="361" w:name="_Ref256171309"/>
      <w:bookmarkStart w:id="362" w:name="_Toc131339021"/>
      <w:bookmarkStart w:id="363" w:name="_Toc264226805"/>
      <w:proofErr w:type="gramStart"/>
      <w:r w:rsidRPr="007777E2">
        <w:rPr>
          <w:color w:val="auto"/>
          <w:sz w:val="22"/>
          <w:szCs w:val="22"/>
        </w:rPr>
        <w:t xml:space="preserve">Figure </w:t>
      </w:r>
      <w:r w:rsidR="006B40AE" w:rsidRPr="007777E2">
        <w:rPr>
          <w:b w:val="0"/>
          <w:bCs w:val="0"/>
          <w:sz w:val="22"/>
          <w:szCs w:val="22"/>
        </w:rPr>
        <w:fldChar w:fldCharType="begin"/>
      </w:r>
      <w:r w:rsidRPr="007777E2">
        <w:rPr>
          <w:color w:val="auto"/>
          <w:sz w:val="22"/>
          <w:szCs w:val="22"/>
        </w:rPr>
        <w:instrText xml:space="preserve"> SEQ Figure \* ARABIC </w:instrText>
      </w:r>
      <w:r w:rsidR="006B40AE" w:rsidRPr="007777E2">
        <w:rPr>
          <w:b w:val="0"/>
          <w:bCs w:val="0"/>
          <w:sz w:val="22"/>
          <w:szCs w:val="22"/>
        </w:rPr>
        <w:fldChar w:fldCharType="separate"/>
      </w:r>
      <w:r w:rsidR="009E2C86">
        <w:rPr>
          <w:noProof/>
          <w:color w:val="auto"/>
          <w:sz w:val="22"/>
          <w:szCs w:val="22"/>
        </w:rPr>
        <w:t>48</w:t>
      </w:r>
      <w:r w:rsidR="006B40AE" w:rsidRPr="007777E2">
        <w:rPr>
          <w:b w:val="0"/>
          <w:bCs w:val="0"/>
          <w:sz w:val="22"/>
          <w:szCs w:val="22"/>
        </w:rPr>
        <w:fldChar w:fldCharType="end"/>
      </w:r>
      <w:bookmarkEnd w:id="361"/>
      <w:r w:rsidRPr="007777E2">
        <w:rPr>
          <w:color w:val="auto"/>
          <w:sz w:val="22"/>
          <w:szCs w:val="22"/>
        </w:rPr>
        <w:t>.</w:t>
      </w:r>
      <w:proofErr w:type="gramEnd"/>
      <w:r w:rsidRPr="007777E2">
        <w:rPr>
          <w:color w:val="auto"/>
          <w:sz w:val="22"/>
          <w:szCs w:val="22"/>
        </w:rPr>
        <w:t xml:space="preserve"> Forecast of Import and Export Freight Transport Volumes by Rail</w:t>
      </w:r>
      <w:bookmarkEnd w:id="362"/>
      <w:bookmarkEnd w:id="363"/>
    </w:p>
    <w:p w:rsidR="00CA4EA8" w:rsidRPr="007777E2" w:rsidRDefault="00CA4EA8" w:rsidP="00CA4EA8">
      <w:pPr>
        <w:jc w:val="both"/>
      </w:pPr>
      <w:r>
        <w:rPr>
          <w:noProof/>
        </w:rPr>
        <w:drawing>
          <wp:inline distT="0" distB="0" distL="0" distR="0">
            <wp:extent cx="5486400" cy="2686050"/>
            <wp:effectExtent l="0" t="0" r="0" b="0"/>
            <wp:docPr id="3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3" cstate="print"/>
                    <a:srcRect/>
                    <a:stretch>
                      <a:fillRect/>
                    </a:stretch>
                  </pic:blipFill>
                  <pic:spPr bwMode="auto">
                    <a:xfrm>
                      <a:off x="0" y="0"/>
                      <a:ext cx="5486400" cy="2686050"/>
                    </a:xfrm>
                    <a:prstGeom prst="rect">
                      <a:avLst/>
                    </a:prstGeom>
                    <a:noFill/>
                    <a:ln w="9525">
                      <a:noFill/>
                      <a:miter lim="800000"/>
                      <a:headEnd/>
                      <a:tailEnd/>
                    </a:ln>
                  </pic:spPr>
                </pic:pic>
              </a:graphicData>
            </a:graphic>
          </wp:inline>
        </w:drawing>
      </w:r>
    </w:p>
    <w:p w:rsidR="00CA4EA8" w:rsidRPr="007777E2" w:rsidRDefault="00CA4EA8" w:rsidP="00CA4EA8">
      <w:pPr>
        <w:jc w:val="both"/>
      </w:pPr>
      <w:r>
        <w:t>Transit transport by road, in tons, through the territory of Belarus grew at two-digit rates over the period of 2005 to 2008. In 2009, due to the financial crisis, transit transport declined by 10.6 percent</w:t>
      </w:r>
      <w:r w:rsidRPr="007777E2">
        <w:t xml:space="preserve"> (</w:t>
      </w:r>
      <w:fldSimple w:instr=" REF _Ref256173544 \h  \* MERGEFORMAT ">
        <w:r w:rsidR="00E85C5F" w:rsidRPr="00E85C5F">
          <w:t xml:space="preserve">Figure </w:t>
        </w:r>
        <w:r w:rsidR="00E85C5F" w:rsidRPr="00E85C5F">
          <w:rPr>
            <w:noProof/>
          </w:rPr>
          <w:t>49</w:t>
        </w:r>
      </w:fldSimple>
      <w:r>
        <w:t>). In comparison, the east-bound road transit volumes through Finland declined some 50 percent in 2009, compared to 2008. The nature of products moved along the route through Finland may be characterized as high-value, such as cars, and therefore the effect of the crisis was more serious than on the route through Belarus.</w:t>
      </w:r>
    </w:p>
    <w:p w:rsidR="00CA4EA8" w:rsidRPr="007777E2" w:rsidRDefault="00CA4EA8" w:rsidP="00CA4EA8">
      <w:pPr>
        <w:jc w:val="both"/>
      </w:pPr>
    </w:p>
    <w:p w:rsidR="00CA4EA8" w:rsidRPr="007777E2" w:rsidRDefault="00CA4EA8" w:rsidP="00CA4EA8">
      <w:pPr>
        <w:pStyle w:val="Caption"/>
        <w:rPr>
          <w:color w:val="auto"/>
          <w:sz w:val="22"/>
          <w:szCs w:val="22"/>
        </w:rPr>
      </w:pPr>
      <w:bookmarkStart w:id="364" w:name="_Ref256173544"/>
      <w:bookmarkStart w:id="365" w:name="_Toc131339022"/>
      <w:bookmarkStart w:id="366" w:name="_Toc264226806"/>
      <w:proofErr w:type="gramStart"/>
      <w:r w:rsidRPr="007777E2">
        <w:rPr>
          <w:color w:val="auto"/>
          <w:sz w:val="22"/>
          <w:szCs w:val="22"/>
        </w:rPr>
        <w:t xml:space="preserve">Figure </w:t>
      </w:r>
      <w:r w:rsidR="006B40AE" w:rsidRPr="007777E2">
        <w:rPr>
          <w:b w:val="0"/>
          <w:bCs w:val="0"/>
          <w:sz w:val="22"/>
          <w:szCs w:val="22"/>
        </w:rPr>
        <w:fldChar w:fldCharType="begin"/>
      </w:r>
      <w:r w:rsidRPr="007777E2">
        <w:rPr>
          <w:color w:val="auto"/>
          <w:sz w:val="22"/>
          <w:szCs w:val="22"/>
        </w:rPr>
        <w:instrText xml:space="preserve"> SEQ Figure \* ARABIC </w:instrText>
      </w:r>
      <w:r w:rsidR="006B40AE" w:rsidRPr="007777E2">
        <w:rPr>
          <w:b w:val="0"/>
          <w:bCs w:val="0"/>
          <w:sz w:val="22"/>
          <w:szCs w:val="22"/>
        </w:rPr>
        <w:fldChar w:fldCharType="separate"/>
      </w:r>
      <w:r w:rsidR="009E2C86">
        <w:rPr>
          <w:noProof/>
          <w:color w:val="auto"/>
          <w:sz w:val="22"/>
          <w:szCs w:val="22"/>
        </w:rPr>
        <w:t>49</w:t>
      </w:r>
      <w:r w:rsidR="006B40AE" w:rsidRPr="007777E2">
        <w:rPr>
          <w:b w:val="0"/>
          <w:bCs w:val="0"/>
          <w:sz w:val="22"/>
          <w:szCs w:val="22"/>
        </w:rPr>
        <w:fldChar w:fldCharType="end"/>
      </w:r>
      <w:bookmarkEnd w:id="364"/>
      <w:r w:rsidRPr="007777E2">
        <w:rPr>
          <w:color w:val="auto"/>
          <w:sz w:val="22"/>
          <w:szCs w:val="22"/>
        </w:rPr>
        <w:t>.</w:t>
      </w:r>
      <w:proofErr w:type="gramEnd"/>
      <w:r w:rsidRPr="007777E2">
        <w:rPr>
          <w:color w:val="auto"/>
          <w:sz w:val="22"/>
          <w:szCs w:val="22"/>
        </w:rPr>
        <w:t xml:space="preserve"> Forecast of </w:t>
      </w:r>
      <w:r>
        <w:rPr>
          <w:color w:val="auto"/>
          <w:sz w:val="22"/>
          <w:szCs w:val="22"/>
        </w:rPr>
        <w:t xml:space="preserve">Total </w:t>
      </w:r>
      <w:r w:rsidRPr="007777E2">
        <w:rPr>
          <w:color w:val="auto"/>
          <w:sz w:val="22"/>
          <w:szCs w:val="22"/>
        </w:rPr>
        <w:t>Transit Transport Freight Volumes by Road</w:t>
      </w:r>
      <w:bookmarkEnd w:id="365"/>
      <w:r>
        <w:rPr>
          <w:color w:val="auto"/>
          <w:sz w:val="22"/>
          <w:szCs w:val="22"/>
        </w:rPr>
        <w:t xml:space="preserve"> through Belarus</w:t>
      </w:r>
      <w:bookmarkEnd w:id="366"/>
    </w:p>
    <w:p w:rsidR="00CA4EA8" w:rsidRDefault="00CA4EA8" w:rsidP="00CA4EA8">
      <w:pPr>
        <w:jc w:val="both"/>
      </w:pPr>
      <w:r>
        <w:rPr>
          <w:noProof/>
        </w:rPr>
        <w:drawing>
          <wp:inline distT="0" distB="0" distL="0" distR="0">
            <wp:extent cx="5047488" cy="2882189"/>
            <wp:effectExtent l="0" t="0" r="0" b="0"/>
            <wp:docPr id="1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CA4EA8" w:rsidRPr="00E502FB" w:rsidRDefault="00CA4EA8" w:rsidP="00CA4EA8">
      <w:pPr>
        <w:jc w:val="both"/>
        <w:rPr>
          <w:sz w:val="20"/>
          <w:szCs w:val="20"/>
        </w:rPr>
      </w:pPr>
      <w:r w:rsidRPr="00E502FB">
        <w:rPr>
          <w:sz w:val="20"/>
          <w:szCs w:val="20"/>
        </w:rPr>
        <w:t xml:space="preserve">Note: </w:t>
      </w:r>
      <w:r>
        <w:rPr>
          <w:sz w:val="20"/>
          <w:szCs w:val="20"/>
        </w:rPr>
        <w:t>The available data does not distinguish between eastbound and westbound flows nor provide any data on flows between Russia and Kaliningrad.</w:t>
      </w:r>
    </w:p>
    <w:p w:rsidR="00CA4EA8" w:rsidRPr="007777E2" w:rsidRDefault="00CA4EA8" w:rsidP="00CA4EA8">
      <w:pPr>
        <w:jc w:val="both"/>
      </w:pPr>
    </w:p>
    <w:p w:rsidR="00CA4EA8" w:rsidRDefault="00CA4EA8" w:rsidP="00CA4EA8">
      <w:pPr>
        <w:jc w:val="both"/>
      </w:pPr>
      <w:r w:rsidRPr="007777E2">
        <w:t xml:space="preserve">The baseline forecast assumes the </w:t>
      </w:r>
      <w:r>
        <w:t xml:space="preserve">relatively </w:t>
      </w:r>
      <w:r w:rsidRPr="007777E2">
        <w:t xml:space="preserve">swift recovery of the Russian economy from the economic crisis and is based on 4 percent annual </w:t>
      </w:r>
      <w:r>
        <w:t xml:space="preserve">transport </w:t>
      </w:r>
      <w:r w:rsidRPr="007777E2">
        <w:t xml:space="preserve">growth during 2011-2015 and 6 percent annual growth in 2016-2020. The upside potential may be reached with higher than conservatively expected Russian GDP growth, as well as higher service level in the Poland-Belarus-Russia transport corridor (e.g., </w:t>
      </w:r>
      <w:proofErr w:type="spellStart"/>
      <w:r w:rsidRPr="007777E2">
        <w:t>Lautso</w:t>
      </w:r>
      <w:proofErr w:type="spellEnd"/>
      <w:r w:rsidRPr="007777E2">
        <w:t xml:space="preserve"> 2007). </w:t>
      </w:r>
    </w:p>
    <w:p w:rsidR="00CA4EA8" w:rsidRDefault="00CA4EA8" w:rsidP="00CA4EA8">
      <w:pPr>
        <w:jc w:val="both"/>
      </w:pPr>
    </w:p>
    <w:p w:rsidR="00CA4EA8" w:rsidRPr="007777E2" w:rsidRDefault="00CA4EA8" w:rsidP="00CA4EA8">
      <w:pPr>
        <w:jc w:val="both"/>
      </w:pPr>
      <w:r>
        <w:t>According to our estimate based on data from other countries around the Baltic Sea, 50 to 60 percent of road-based transit volumes (measured per ton) to and from Northwestern Russia go through Belarus. Due to the already high market share, a rapid increase of volumes, at least in the short term, is less likely than a possible decrease.</w:t>
      </w:r>
    </w:p>
    <w:p w:rsidR="00CA4EA8" w:rsidRPr="007777E2" w:rsidRDefault="00CA4EA8" w:rsidP="00CA4EA8">
      <w:pPr>
        <w:jc w:val="both"/>
      </w:pPr>
    </w:p>
    <w:p w:rsidR="00CA4EA8" w:rsidRDefault="00CA4EA8" w:rsidP="00CA4EA8">
      <w:pPr>
        <w:jc w:val="both"/>
      </w:pPr>
      <w:r>
        <w:t>However, b</w:t>
      </w:r>
      <w:r w:rsidRPr="007777E2">
        <w:t xml:space="preserve">y presenting the fairly pessimistic lower-bound scenario, </w:t>
      </w:r>
      <w:r>
        <w:t>we want to point out that (</w:t>
      </w:r>
      <w:proofErr w:type="spellStart"/>
      <w:r>
        <w:t>i</w:t>
      </w:r>
      <w:proofErr w:type="spellEnd"/>
      <w:r>
        <w:t xml:space="preserve">) </w:t>
      </w:r>
      <w:r w:rsidRPr="007777E2">
        <w:t>the danger of inflicting increased friction for road transit transport</w:t>
      </w:r>
      <w:r>
        <w:t>, in the form of for example overly stringent Customs regime, as well as (ii) the uncertainty</w:t>
      </w:r>
      <w:r w:rsidRPr="007777E2">
        <w:t xml:space="preserve"> from the newly established Customs Union. </w:t>
      </w:r>
      <w:r>
        <w:t>Particularly, t</w:t>
      </w:r>
      <w:r w:rsidRPr="007777E2">
        <w:t xml:space="preserve">he former impediment could encourage the somewhat foot-lose road freight transport to move elsewhere, for example, to routes via Ukraine, the Baltic States, and Finland. </w:t>
      </w:r>
    </w:p>
    <w:p w:rsidR="00CA4EA8" w:rsidRDefault="00CA4EA8" w:rsidP="00CA4EA8">
      <w:pPr>
        <w:jc w:val="both"/>
      </w:pPr>
    </w:p>
    <w:p w:rsidR="00CA4EA8" w:rsidRPr="007777E2" w:rsidRDefault="00CA4EA8" w:rsidP="00CA4EA8">
      <w:pPr>
        <w:jc w:val="both"/>
      </w:pPr>
      <w:r>
        <w:t xml:space="preserve">Shift of transit volumes to alternative routes due to low service level are not impossible, as for example in Finland where a 16 day long strike in March 2010 caused immediate shift of some of the Russia-bound shipments from Finnish ports directly to </w:t>
      </w:r>
      <w:proofErr w:type="spellStart"/>
      <w:r>
        <w:t>e.g</w:t>
      </w:r>
      <w:proofErr w:type="spellEnd"/>
      <w:r>
        <w:t xml:space="preserve"> Russian ports (St. Petersburg). Finnish logistics and port operators fear that to some degree this shift may have been permanent.</w:t>
      </w:r>
    </w:p>
    <w:p w:rsidR="00CA4EA8" w:rsidRPr="007777E2" w:rsidRDefault="00CA4EA8" w:rsidP="00CA4EA8">
      <w:pPr>
        <w:jc w:val="both"/>
      </w:pPr>
    </w:p>
    <w:p w:rsidR="00CA4EA8" w:rsidRPr="007777E2" w:rsidRDefault="00CA4EA8" w:rsidP="00CA4EA8">
      <w:pPr>
        <w:jc w:val="both"/>
      </w:pPr>
      <w:r w:rsidRPr="007777E2">
        <w:t xml:space="preserve">For rail transit, </w:t>
      </w:r>
      <w:r>
        <w:t xml:space="preserve">our </w:t>
      </w:r>
      <w:r w:rsidRPr="007777E2">
        <w:t>estimates demonstrate more moderate dynamics (</w:t>
      </w:r>
      <w:fldSimple w:instr=" REF _Ref256685126 \h  \* MERGEFORMAT ">
        <w:r w:rsidR="00E85C5F" w:rsidRPr="00E85C5F">
          <w:t xml:space="preserve">Figure </w:t>
        </w:r>
        <w:r w:rsidR="00E85C5F" w:rsidRPr="00E85C5F">
          <w:rPr>
            <w:noProof/>
          </w:rPr>
          <w:t>50</w:t>
        </w:r>
      </w:fldSimple>
      <w:r w:rsidRPr="007777E2">
        <w:t>)</w:t>
      </w:r>
      <w:r>
        <w:t xml:space="preserve">, due to the nature of </w:t>
      </w:r>
      <w:r w:rsidRPr="007777E2">
        <w:t>products transported</w:t>
      </w:r>
      <w:r>
        <w:t>, e</w:t>
      </w:r>
      <w:r w:rsidR="00245E04">
        <w:t>.</w:t>
      </w:r>
      <w:r>
        <w:t>g. they are less</w:t>
      </w:r>
      <w:r w:rsidRPr="007777E2">
        <w:t xml:space="preserve"> sensitive to friction in border crossings and less prone </w:t>
      </w:r>
      <w:r w:rsidRPr="007777E2">
        <w:lastRenderedPageBreak/>
        <w:t xml:space="preserve">to move elsewhere. The baseline assumes a 20 percent decrease in 2009, no growth in 2010, 4 percent annual growth during 2011-2015, and 6 percent annual growth in 2016-2020. Both upside and downside depend on the performance of the Russian and EU economies. </w:t>
      </w:r>
    </w:p>
    <w:p w:rsidR="00CA4EA8" w:rsidRPr="007777E2" w:rsidRDefault="00CA4EA8" w:rsidP="00CA4EA8">
      <w:pPr>
        <w:jc w:val="both"/>
      </w:pPr>
    </w:p>
    <w:p w:rsidR="00CA4EA8" w:rsidRPr="007777E2" w:rsidRDefault="00CA4EA8" w:rsidP="00CA4EA8">
      <w:pPr>
        <w:pStyle w:val="Caption"/>
        <w:rPr>
          <w:color w:val="auto"/>
          <w:sz w:val="22"/>
          <w:szCs w:val="22"/>
        </w:rPr>
      </w:pPr>
      <w:bookmarkStart w:id="367" w:name="_Ref256685126"/>
      <w:bookmarkStart w:id="368" w:name="_Toc131339023"/>
      <w:bookmarkStart w:id="369" w:name="_Toc264226807"/>
      <w:proofErr w:type="gramStart"/>
      <w:r w:rsidRPr="007777E2">
        <w:rPr>
          <w:color w:val="auto"/>
          <w:sz w:val="22"/>
          <w:szCs w:val="22"/>
        </w:rPr>
        <w:t xml:space="preserve">Figure </w:t>
      </w:r>
      <w:r w:rsidR="006B40AE" w:rsidRPr="007777E2">
        <w:rPr>
          <w:b w:val="0"/>
          <w:bCs w:val="0"/>
          <w:sz w:val="22"/>
          <w:szCs w:val="22"/>
        </w:rPr>
        <w:fldChar w:fldCharType="begin"/>
      </w:r>
      <w:r w:rsidRPr="007777E2">
        <w:rPr>
          <w:color w:val="auto"/>
          <w:sz w:val="22"/>
          <w:szCs w:val="22"/>
        </w:rPr>
        <w:instrText xml:space="preserve"> SEQ Figure \* ARABIC </w:instrText>
      </w:r>
      <w:r w:rsidR="006B40AE" w:rsidRPr="007777E2">
        <w:rPr>
          <w:b w:val="0"/>
          <w:bCs w:val="0"/>
          <w:sz w:val="22"/>
          <w:szCs w:val="22"/>
        </w:rPr>
        <w:fldChar w:fldCharType="separate"/>
      </w:r>
      <w:r w:rsidR="009E2C86">
        <w:rPr>
          <w:noProof/>
          <w:color w:val="auto"/>
          <w:sz w:val="22"/>
          <w:szCs w:val="22"/>
        </w:rPr>
        <w:t>50</w:t>
      </w:r>
      <w:r w:rsidR="006B40AE" w:rsidRPr="007777E2">
        <w:rPr>
          <w:b w:val="0"/>
          <w:bCs w:val="0"/>
          <w:sz w:val="22"/>
          <w:szCs w:val="22"/>
        </w:rPr>
        <w:fldChar w:fldCharType="end"/>
      </w:r>
      <w:bookmarkEnd w:id="367"/>
      <w:r w:rsidRPr="007777E2">
        <w:rPr>
          <w:color w:val="auto"/>
          <w:sz w:val="22"/>
          <w:szCs w:val="22"/>
        </w:rPr>
        <w:t>.</w:t>
      </w:r>
      <w:proofErr w:type="gramEnd"/>
      <w:r w:rsidRPr="007777E2">
        <w:rPr>
          <w:color w:val="auto"/>
          <w:sz w:val="22"/>
          <w:szCs w:val="22"/>
        </w:rPr>
        <w:t xml:space="preserve"> Forecast of Transit Transport Freight Volumes by Rail</w:t>
      </w:r>
      <w:bookmarkEnd w:id="368"/>
      <w:bookmarkEnd w:id="369"/>
    </w:p>
    <w:p w:rsidR="008133CD" w:rsidRDefault="00CA4EA8" w:rsidP="008133CD">
      <w:r>
        <w:rPr>
          <w:noProof/>
        </w:rPr>
        <w:drawing>
          <wp:inline distT="0" distB="0" distL="0" distR="0">
            <wp:extent cx="5486400" cy="2600325"/>
            <wp:effectExtent l="0" t="0" r="0" b="0"/>
            <wp:docPr id="3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5" cstate="print"/>
                    <a:srcRect/>
                    <a:stretch>
                      <a:fillRect/>
                    </a:stretch>
                  </pic:blipFill>
                  <pic:spPr bwMode="auto">
                    <a:xfrm>
                      <a:off x="0" y="0"/>
                      <a:ext cx="5486400" cy="2600325"/>
                    </a:xfrm>
                    <a:prstGeom prst="rect">
                      <a:avLst/>
                    </a:prstGeom>
                    <a:noFill/>
                    <a:ln w="9525">
                      <a:noFill/>
                      <a:miter lim="800000"/>
                      <a:headEnd/>
                      <a:tailEnd/>
                    </a:ln>
                  </pic:spPr>
                </pic:pic>
              </a:graphicData>
            </a:graphic>
          </wp:inline>
        </w:drawing>
      </w:r>
      <w:bookmarkStart w:id="370" w:name="_Toc131314418"/>
    </w:p>
    <w:p w:rsidR="008133CD" w:rsidRDefault="008133CD" w:rsidP="008133CD"/>
    <w:p w:rsidR="008133CD" w:rsidRDefault="008133CD" w:rsidP="008133CD"/>
    <w:p w:rsidR="00F9673D" w:rsidRDefault="00F9673D">
      <w:pPr>
        <w:spacing w:after="200" w:line="276" w:lineRule="auto"/>
        <w:rPr>
          <w:b/>
          <w:color w:val="000000"/>
          <w:sz w:val="28"/>
          <w:szCs w:val="28"/>
        </w:rPr>
      </w:pPr>
      <w:r>
        <w:rPr>
          <w:b/>
          <w:color w:val="000000"/>
          <w:sz w:val="28"/>
          <w:szCs w:val="28"/>
        </w:rPr>
        <w:br w:type="page"/>
      </w:r>
    </w:p>
    <w:p w:rsidR="008133CD" w:rsidRPr="00ED700C" w:rsidRDefault="008133CD" w:rsidP="008133CD">
      <w:pPr>
        <w:shd w:val="clear" w:color="auto" w:fill="FFFFFF"/>
        <w:spacing w:line="317" w:lineRule="exact"/>
        <w:ind w:right="36"/>
        <w:jc w:val="center"/>
        <w:rPr>
          <w:b/>
          <w:color w:val="000000"/>
          <w:sz w:val="28"/>
          <w:szCs w:val="28"/>
        </w:rPr>
      </w:pPr>
      <w:r w:rsidRPr="00ED700C">
        <w:rPr>
          <w:b/>
          <w:color w:val="000000"/>
          <w:sz w:val="28"/>
          <w:szCs w:val="28"/>
        </w:rPr>
        <w:lastRenderedPageBreak/>
        <w:t>ANNEX 3: CUSTOM DUTIES ON VEHICLES</w:t>
      </w:r>
    </w:p>
    <w:p w:rsidR="008133CD" w:rsidRDefault="008133CD" w:rsidP="008133CD">
      <w:pPr>
        <w:shd w:val="clear" w:color="auto" w:fill="FFFFFF"/>
        <w:spacing w:line="317" w:lineRule="exact"/>
        <w:ind w:right="36"/>
        <w:jc w:val="both"/>
        <w:rPr>
          <w:color w:val="000000"/>
        </w:rPr>
      </w:pPr>
    </w:p>
    <w:p w:rsidR="008133CD" w:rsidRPr="00ED700C" w:rsidRDefault="008133CD" w:rsidP="008133CD">
      <w:pPr>
        <w:shd w:val="clear" w:color="auto" w:fill="FFFFFF"/>
        <w:spacing w:line="317" w:lineRule="exact"/>
        <w:ind w:right="36"/>
        <w:jc w:val="both"/>
        <w:rPr>
          <w:color w:val="000000"/>
        </w:rPr>
      </w:pPr>
      <w:r w:rsidRPr="00ED700C">
        <w:rPr>
          <w:color w:val="000000"/>
        </w:rPr>
        <w:t>«On the procedure of importing by private individuals across the customs border of the Republic of Belarus of goods not intended for production purposes or other commercial use» (approved by Decree of the President of the Republic of Belarus dated 5 February 2001  № 57 (as amended by Decree of the President of the Republic of Belarus  dated 24 November 2005 № 547), customs duty depends on the number of cars submitted by a private individual for customs clearance during a calendar year, vehicle age and engine displacement. Customs duties imposed on private individuals and legal entities are summarized in the Tables below.</w:t>
      </w:r>
    </w:p>
    <w:p w:rsidR="008133CD" w:rsidRPr="00ED700C" w:rsidRDefault="008133CD" w:rsidP="008133CD">
      <w:pPr>
        <w:spacing w:after="336" w:line="1" w:lineRule="exact"/>
        <w:ind w:right="36"/>
      </w:pPr>
    </w:p>
    <w:tbl>
      <w:tblPr>
        <w:tblW w:w="9180" w:type="dxa"/>
        <w:tblInd w:w="40" w:type="dxa"/>
        <w:tblLayout w:type="fixed"/>
        <w:tblCellMar>
          <w:left w:w="40" w:type="dxa"/>
          <w:right w:w="40" w:type="dxa"/>
        </w:tblCellMar>
        <w:tblLook w:val="0000"/>
      </w:tblPr>
      <w:tblGrid>
        <w:gridCol w:w="2070"/>
        <w:gridCol w:w="1980"/>
        <w:gridCol w:w="2340"/>
        <w:gridCol w:w="2790"/>
      </w:tblGrid>
      <w:tr w:rsidR="008133CD" w:rsidRPr="00ED700C" w:rsidTr="00497AE0">
        <w:trPr>
          <w:trHeight w:hRule="exact" w:val="322"/>
        </w:trPr>
        <w:tc>
          <w:tcPr>
            <w:tcW w:w="9180" w:type="dxa"/>
            <w:gridSpan w:val="4"/>
            <w:tcBorders>
              <w:top w:val="nil"/>
              <w:left w:val="nil"/>
              <w:bottom w:val="single" w:sz="6" w:space="0" w:color="auto"/>
              <w:right w:val="nil"/>
            </w:tcBorders>
            <w:shd w:val="clear" w:color="auto" w:fill="FFFFFF"/>
          </w:tcPr>
          <w:p w:rsidR="008133CD" w:rsidRPr="00ED700C" w:rsidRDefault="008133CD" w:rsidP="009B1944">
            <w:pPr>
              <w:shd w:val="clear" w:color="auto" w:fill="FFFFFF"/>
              <w:ind w:right="36"/>
              <w:jc w:val="center"/>
              <w:rPr>
                <w:b/>
              </w:rPr>
            </w:pPr>
            <w:r w:rsidRPr="00ED700C">
              <w:rPr>
                <w:b/>
                <w:color w:val="000000"/>
              </w:rPr>
              <w:t>Customs duties imposed on individual</w:t>
            </w:r>
            <w:r>
              <w:rPr>
                <w:b/>
                <w:color w:val="000000"/>
              </w:rPr>
              <w:t xml:space="preserve"> vehicles</w:t>
            </w:r>
          </w:p>
        </w:tc>
      </w:tr>
      <w:tr w:rsidR="008133CD" w:rsidRPr="00ED700C" w:rsidTr="00C33B92">
        <w:trPr>
          <w:trHeight w:hRule="exact" w:val="1275"/>
        </w:trPr>
        <w:tc>
          <w:tcPr>
            <w:tcW w:w="207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rPr>
                <w:b/>
                <w:sz w:val="20"/>
                <w:szCs w:val="20"/>
              </w:rPr>
            </w:pPr>
            <w:r w:rsidRPr="00C33B92">
              <w:rPr>
                <w:b/>
                <w:color w:val="000000"/>
                <w:sz w:val="20"/>
                <w:szCs w:val="20"/>
              </w:rPr>
              <w:t>Number of vehicles submitted for customs clearance</w:t>
            </w:r>
          </w:p>
          <w:p w:rsidR="008133CD" w:rsidRPr="00C33B92" w:rsidRDefault="008133CD" w:rsidP="00497AE0">
            <w:pPr>
              <w:shd w:val="clear" w:color="auto" w:fill="FFFFFF"/>
              <w:ind w:right="43"/>
              <w:rPr>
                <w:b/>
                <w:sz w:val="20"/>
                <w:szCs w:val="20"/>
              </w:rPr>
            </w:pPr>
            <w:r w:rsidRPr="00C33B92">
              <w:rPr>
                <w:b/>
                <w:color w:val="000000"/>
                <w:sz w:val="20"/>
                <w:szCs w:val="20"/>
              </w:rPr>
              <w:t>during a calendar year</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rPr>
                <w:b/>
                <w:sz w:val="20"/>
                <w:szCs w:val="20"/>
              </w:rPr>
            </w:pPr>
            <w:r w:rsidRPr="00C33B92">
              <w:rPr>
                <w:b/>
                <w:color w:val="000000"/>
                <w:sz w:val="20"/>
                <w:szCs w:val="20"/>
              </w:rPr>
              <w:t>Vehicle age</w:t>
            </w:r>
          </w:p>
        </w:tc>
        <w:tc>
          <w:tcPr>
            <w:tcW w:w="234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rPr>
                <w:b/>
                <w:sz w:val="20"/>
                <w:szCs w:val="20"/>
              </w:rPr>
            </w:pPr>
            <w:r w:rsidRPr="00C33B92">
              <w:rPr>
                <w:b/>
                <w:color w:val="000000"/>
                <w:sz w:val="20"/>
                <w:szCs w:val="20"/>
              </w:rPr>
              <w:t>Engine displacement</w:t>
            </w:r>
          </w:p>
        </w:tc>
        <w:tc>
          <w:tcPr>
            <w:tcW w:w="279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rPr>
                <w:b/>
                <w:sz w:val="20"/>
                <w:szCs w:val="20"/>
              </w:rPr>
            </w:pPr>
            <w:r w:rsidRPr="00C33B92">
              <w:rPr>
                <w:b/>
                <w:color w:val="000000"/>
                <w:sz w:val="20"/>
                <w:szCs w:val="20"/>
              </w:rPr>
              <w:t>Customs duties and tax rates (cm</w:t>
            </w:r>
            <w:r w:rsidRPr="00C33B92">
              <w:rPr>
                <w:b/>
                <w:color w:val="000000"/>
                <w:sz w:val="20"/>
                <w:szCs w:val="20"/>
                <w:vertAlign w:val="superscript"/>
              </w:rPr>
              <w:t>3</w:t>
            </w:r>
            <w:r w:rsidRPr="00C33B92">
              <w:rPr>
                <w:b/>
                <w:color w:val="000000"/>
                <w:sz w:val="20"/>
                <w:szCs w:val="20"/>
              </w:rPr>
              <w:t xml:space="preserve"> of engine displacement)</w:t>
            </w:r>
          </w:p>
        </w:tc>
      </w:tr>
      <w:tr w:rsidR="008133CD" w:rsidRPr="00ED700C" w:rsidTr="00C33B92">
        <w:trPr>
          <w:trHeight w:hRule="exact" w:val="537"/>
        </w:trPr>
        <w:tc>
          <w:tcPr>
            <w:tcW w:w="2070" w:type="dxa"/>
            <w:vMerge w:val="restart"/>
            <w:tcBorders>
              <w:top w:val="single" w:sz="6" w:space="0" w:color="auto"/>
              <w:left w:val="single" w:sz="6" w:space="0" w:color="auto"/>
              <w:right w:val="single" w:sz="6" w:space="0" w:color="auto"/>
            </w:tcBorders>
            <w:shd w:val="clear" w:color="auto" w:fill="FFFFFF"/>
          </w:tcPr>
          <w:p w:rsidR="008133CD" w:rsidRPr="00C33B92" w:rsidRDefault="008133CD" w:rsidP="00497AE0">
            <w:pPr>
              <w:shd w:val="clear" w:color="auto" w:fill="FFFFFF"/>
              <w:ind w:right="43"/>
              <w:rPr>
                <w:sz w:val="20"/>
                <w:szCs w:val="20"/>
              </w:rPr>
            </w:pPr>
            <w:r w:rsidRPr="00C33B92">
              <w:rPr>
                <w:color w:val="000000"/>
                <w:sz w:val="20"/>
                <w:szCs w:val="20"/>
              </w:rPr>
              <w:t>First vehicle</w:t>
            </w:r>
          </w:p>
          <w:p w:rsidR="008133CD" w:rsidRPr="00C33B92" w:rsidRDefault="008133CD" w:rsidP="00497AE0">
            <w:pPr>
              <w:ind w:right="43"/>
              <w:rPr>
                <w:sz w:val="20"/>
                <w:szCs w:val="20"/>
              </w:rPr>
            </w:pPr>
          </w:p>
          <w:p w:rsidR="008133CD" w:rsidRPr="00C33B92" w:rsidRDefault="008133CD" w:rsidP="00497AE0">
            <w:pPr>
              <w:ind w:right="43"/>
              <w:rPr>
                <w:sz w:val="20"/>
                <w:szCs w:val="20"/>
              </w:rPr>
            </w:pPr>
          </w:p>
          <w:p w:rsidR="008133CD" w:rsidRPr="00C33B92" w:rsidRDefault="008133CD" w:rsidP="00497AE0">
            <w:pPr>
              <w:ind w:right="43"/>
              <w:rPr>
                <w:sz w:val="20"/>
                <w:szCs w:val="20"/>
              </w:rPr>
            </w:pPr>
          </w:p>
          <w:p w:rsidR="008133CD" w:rsidRPr="00C33B92" w:rsidRDefault="008133CD" w:rsidP="00497AE0">
            <w:pPr>
              <w:ind w:right="43"/>
              <w:rPr>
                <w:sz w:val="20"/>
                <w:szCs w:val="20"/>
              </w:rPr>
            </w:pPr>
          </w:p>
        </w:tc>
        <w:tc>
          <w:tcPr>
            <w:tcW w:w="1980" w:type="dxa"/>
            <w:tcBorders>
              <w:top w:val="single" w:sz="6" w:space="0" w:color="auto"/>
              <w:left w:val="single" w:sz="6" w:space="0" w:color="auto"/>
              <w:bottom w:val="nil"/>
              <w:right w:val="single" w:sz="6" w:space="0" w:color="auto"/>
            </w:tcBorders>
            <w:shd w:val="clear" w:color="auto" w:fill="FFFFFF"/>
          </w:tcPr>
          <w:p w:rsidR="008133CD" w:rsidRPr="00C33B92" w:rsidRDefault="008133CD" w:rsidP="00497AE0">
            <w:pPr>
              <w:shd w:val="clear" w:color="auto" w:fill="FFFFFF"/>
              <w:ind w:right="43"/>
              <w:rPr>
                <w:sz w:val="20"/>
                <w:szCs w:val="20"/>
              </w:rPr>
            </w:pPr>
            <w:r w:rsidRPr="00C33B92">
              <w:rPr>
                <w:color w:val="000000"/>
                <w:sz w:val="20"/>
                <w:szCs w:val="20"/>
              </w:rPr>
              <w:t>3 years and below</w:t>
            </w:r>
          </w:p>
        </w:tc>
        <w:tc>
          <w:tcPr>
            <w:tcW w:w="234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firstLine="5"/>
              <w:rPr>
                <w:sz w:val="20"/>
                <w:szCs w:val="20"/>
              </w:rPr>
            </w:pPr>
            <w:r w:rsidRPr="00C33B92">
              <w:rPr>
                <w:color w:val="000000"/>
                <w:sz w:val="20"/>
                <w:szCs w:val="20"/>
              </w:rPr>
              <w:t>Not more than 1.500 cm</w:t>
            </w:r>
            <w:r w:rsidRPr="00C33B92">
              <w:rPr>
                <w:color w:val="000000"/>
                <w:sz w:val="20"/>
                <w:szCs w:val="20"/>
                <w:vertAlign w:val="superscript"/>
              </w:rPr>
              <w:t>3</w:t>
            </w:r>
            <w:r w:rsidRPr="00C33B92">
              <w:rPr>
                <w:color w:val="000000"/>
                <w:sz w:val="20"/>
                <w:szCs w:val="20"/>
              </w:rPr>
              <w:t xml:space="preserve"> inclusive</w:t>
            </w:r>
          </w:p>
        </w:tc>
        <w:tc>
          <w:tcPr>
            <w:tcW w:w="279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rPr>
                <w:sz w:val="20"/>
                <w:szCs w:val="20"/>
              </w:rPr>
            </w:pPr>
            <w:r w:rsidRPr="00C33B92">
              <w:rPr>
                <w:color w:val="000000"/>
                <w:sz w:val="20"/>
                <w:szCs w:val="20"/>
              </w:rPr>
              <w:t xml:space="preserve">0,6 euro              </w:t>
            </w:r>
          </w:p>
        </w:tc>
      </w:tr>
      <w:tr w:rsidR="008133CD" w:rsidRPr="00ED700C" w:rsidTr="00C33B92">
        <w:trPr>
          <w:trHeight w:hRule="exact" w:val="537"/>
        </w:trPr>
        <w:tc>
          <w:tcPr>
            <w:tcW w:w="2070" w:type="dxa"/>
            <w:vMerge/>
            <w:tcBorders>
              <w:left w:val="single" w:sz="6" w:space="0" w:color="auto"/>
              <w:right w:val="single" w:sz="6" w:space="0" w:color="auto"/>
            </w:tcBorders>
            <w:shd w:val="clear" w:color="auto" w:fill="FFFFFF"/>
          </w:tcPr>
          <w:p w:rsidR="008133CD" w:rsidRPr="00C33B92" w:rsidRDefault="008133CD" w:rsidP="00497AE0">
            <w:pPr>
              <w:ind w:right="43"/>
              <w:rPr>
                <w:sz w:val="20"/>
                <w:szCs w:val="20"/>
              </w:rPr>
            </w:pPr>
          </w:p>
        </w:tc>
        <w:tc>
          <w:tcPr>
            <w:tcW w:w="1980" w:type="dxa"/>
            <w:tcBorders>
              <w:top w:val="nil"/>
              <w:left w:val="single" w:sz="6" w:space="0" w:color="auto"/>
              <w:bottom w:val="nil"/>
              <w:right w:val="single" w:sz="6" w:space="0" w:color="auto"/>
            </w:tcBorders>
            <w:shd w:val="clear" w:color="auto" w:fill="FFFFFF"/>
          </w:tcPr>
          <w:p w:rsidR="008133CD" w:rsidRPr="00C33B92" w:rsidRDefault="008133CD" w:rsidP="00497AE0">
            <w:pPr>
              <w:ind w:right="43"/>
              <w:rPr>
                <w:sz w:val="20"/>
                <w:szCs w:val="20"/>
              </w:rPr>
            </w:pPr>
          </w:p>
          <w:p w:rsidR="008133CD" w:rsidRPr="00C33B92" w:rsidRDefault="008133CD" w:rsidP="00497AE0">
            <w:pPr>
              <w:ind w:right="43"/>
              <w:rPr>
                <w:sz w:val="20"/>
                <w:szCs w:val="20"/>
              </w:rPr>
            </w:pPr>
          </w:p>
        </w:tc>
        <w:tc>
          <w:tcPr>
            <w:tcW w:w="234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rPr>
                <w:sz w:val="20"/>
                <w:szCs w:val="20"/>
              </w:rPr>
            </w:pPr>
            <w:r w:rsidRPr="00C33B92">
              <w:rPr>
                <w:color w:val="000000"/>
                <w:sz w:val="20"/>
                <w:szCs w:val="20"/>
              </w:rPr>
              <w:t>More than 1.500 cm</w:t>
            </w:r>
            <w:r w:rsidRPr="00C33B92">
              <w:rPr>
                <w:color w:val="000000"/>
                <w:sz w:val="20"/>
                <w:szCs w:val="20"/>
                <w:vertAlign w:val="superscript"/>
              </w:rPr>
              <w:t xml:space="preserve">3 </w:t>
            </w:r>
            <w:r w:rsidRPr="00C33B92">
              <w:rPr>
                <w:color w:val="000000"/>
                <w:sz w:val="20"/>
                <w:szCs w:val="20"/>
              </w:rPr>
              <w:t>but less than</w:t>
            </w:r>
            <w:r w:rsidRPr="00C33B92">
              <w:rPr>
                <w:color w:val="000000"/>
                <w:sz w:val="20"/>
                <w:szCs w:val="20"/>
                <w:vertAlign w:val="superscript"/>
              </w:rPr>
              <w:t xml:space="preserve"> </w:t>
            </w:r>
            <w:r w:rsidRPr="00C33B92">
              <w:rPr>
                <w:color w:val="000000"/>
                <w:sz w:val="20"/>
                <w:szCs w:val="20"/>
              </w:rPr>
              <w:t>2500 cm</w:t>
            </w:r>
            <w:r w:rsidRPr="00C33B92">
              <w:rPr>
                <w:color w:val="000000"/>
                <w:sz w:val="20"/>
                <w:szCs w:val="20"/>
                <w:vertAlign w:val="superscript"/>
              </w:rPr>
              <w:t>3</w:t>
            </w:r>
          </w:p>
        </w:tc>
        <w:tc>
          <w:tcPr>
            <w:tcW w:w="279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rPr>
                <w:sz w:val="20"/>
                <w:szCs w:val="20"/>
              </w:rPr>
            </w:pPr>
            <w:r w:rsidRPr="00C33B92">
              <w:rPr>
                <w:color w:val="000000"/>
                <w:sz w:val="20"/>
                <w:szCs w:val="20"/>
              </w:rPr>
              <w:t xml:space="preserve">0,7 euro               </w:t>
            </w:r>
          </w:p>
        </w:tc>
      </w:tr>
      <w:tr w:rsidR="008133CD" w:rsidRPr="00ED700C" w:rsidTr="00497AE0">
        <w:trPr>
          <w:trHeight w:hRule="exact" w:val="298"/>
        </w:trPr>
        <w:tc>
          <w:tcPr>
            <w:tcW w:w="2070" w:type="dxa"/>
            <w:vMerge/>
            <w:tcBorders>
              <w:left w:val="single" w:sz="6" w:space="0" w:color="auto"/>
              <w:right w:val="single" w:sz="6" w:space="0" w:color="auto"/>
            </w:tcBorders>
            <w:shd w:val="clear" w:color="auto" w:fill="FFFFFF"/>
          </w:tcPr>
          <w:p w:rsidR="008133CD" w:rsidRPr="00C33B92" w:rsidRDefault="008133CD" w:rsidP="00497AE0">
            <w:pPr>
              <w:ind w:right="43"/>
              <w:rPr>
                <w:sz w:val="20"/>
                <w:szCs w:val="20"/>
              </w:rPr>
            </w:pPr>
          </w:p>
        </w:tc>
        <w:tc>
          <w:tcPr>
            <w:tcW w:w="1980" w:type="dxa"/>
            <w:tcBorders>
              <w:top w:val="nil"/>
              <w:left w:val="single" w:sz="6" w:space="0" w:color="auto"/>
              <w:bottom w:val="single" w:sz="6" w:space="0" w:color="auto"/>
              <w:right w:val="single" w:sz="6" w:space="0" w:color="auto"/>
            </w:tcBorders>
            <w:shd w:val="clear" w:color="auto" w:fill="FFFFFF"/>
          </w:tcPr>
          <w:p w:rsidR="008133CD" w:rsidRPr="00C33B92" w:rsidRDefault="008133CD" w:rsidP="00497AE0">
            <w:pPr>
              <w:ind w:right="43"/>
              <w:rPr>
                <w:sz w:val="20"/>
                <w:szCs w:val="20"/>
              </w:rPr>
            </w:pPr>
          </w:p>
          <w:p w:rsidR="008133CD" w:rsidRPr="00C33B92" w:rsidRDefault="008133CD" w:rsidP="00497AE0">
            <w:pPr>
              <w:ind w:right="43"/>
              <w:rPr>
                <w:sz w:val="20"/>
                <w:szCs w:val="20"/>
              </w:rPr>
            </w:pPr>
          </w:p>
        </w:tc>
        <w:tc>
          <w:tcPr>
            <w:tcW w:w="234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rPr>
                <w:sz w:val="20"/>
                <w:szCs w:val="20"/>
              </w:rPr>
            </w:pPr>
            <w:r w:rsidRPr="00C33B92">
              <w:rPr>
                <w:color w:val="000000"/>
                <w:sz w:val="20"/>
                <w:szCs w:val="20"/>
              </w:rPr>
              <w:t>More than 2 500 cm</w:t>
            </w:r>
            <w:r w:rsidRPr="00C33B92">
              <w:rPr>
                <w:color w:val="000000"/>
                <w:sz w:val="20"/>
                <w:szCs w:val="20"/>
                <w:vertAlign w:val="superscript"/>
              </w:rPr>
              <w:t>3</w:t>
            </w:r>
          </w:p>
        </w:tc>
        <w:tc>
          <w:tcPr>
            <w:tcW w:w="279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rPr>
                <w:sz w:val="20"/>
                <w:szCs w:val="20"/>
              </w:rPr>
            </w:pPr>
            <w:r w:rsidRPr="00C33B92">
              <w:rPr>
                <w:color w:val="000000"/>
                <w:sz w:val="20"/>
                <w:szCs w:val="20"/>
              </w:rPr>
              <w:t xml:space="preserve">0,75 euro            </w:t>
            </w:r>
          </w:p>
        </w:tc>
      </w:tr>
      <w:tr w:rsidR="008133CD" w:rsidRPr="00ED700C" w:rsidTr="00497AE0">
        <w:trPr>
          <w:trHeight w:hRule="exact" w:val="528"/>
        </w:trPr>
        <w:tc>
          <w:tcPr>
            <w:tcW w:w="2070" w:type="dxa"/>
            <w:vMerge/>
            <w:tcBorders>
              <w:left w:val="single" w:sz="6" w:space="0" w:color="auto"/>
              <w:bottom w:val="single" w:sz="6" w:space="0" w:color="auto"/>
              <w:right w:val="single" w:sz="6" w:space="0" w:color="auto"/>
            </w:tcBorders>
            <w:shd w:val="clear" w:color="auto" w:fill="FFFFFF"/>
          </w:tcPr>
          <w:p w:rsidR="008133CD" w:rsidRPr="00C33B92" w:rsidRDefault="008133CD" w:rsidP="00497AE0">
            <w:pPr>
              <w:ind w:right="43"/>
              <w:rPr>
                <w:sz w:val="20"/>
                <w:szCs w:val="20"/>
              </w:rPr>
            </w:pP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rPr>
                <w:sz w:val="20"/>
                <w:szCs w:val="20"/>
              </w:rPr>
            </w:pPr>
            <w:r w:rsidRPr="00C33B92">
              <w:rPr>
                <w:color w:val="000000"/>
                <w:sz w:val="20"/>
                <w:szCs w:val="20"/>
              </w:rPr>
              <w:t xml:space="preserve">From 3 to 10 years inclusive </w:t>
            </w:r>
          </w:p>
        </w:tc>
        <w:tc>
          <w:tcPr>
            <w:tcW w:w="234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firstLine="5"/>
              <w:rPr>
                <w:sz w:val="20"/>
                <w:szCs w:val="20"/>
              </w:rPr>
            </w:pPr>
            <w:r w:rsidRPr="00C33B92">
              <w:rPr>
                <w:color w:val="000000"/>
                <w:sz w:val="20"/>
                <w:szCs w:val="20"/>
              </w:rPr>
              <w:t>Not more than 1.500 cm</w:t>
            </w:r>
            <w:r w:rsidRPr="00C33B92">
              <w:rPr>
                <w:color w:val="000000"/>
                <w:sz w:val="20"/>
                <w:szCs w:val="20"/>
                <w:vertAlign w:val="superscript"/>
              </w:rPr>
              <w:t>3</w:t>
            </w:r>
            <w:r w:rsidRPr="00C33B92">
              <w:rPr>
                <w:color w:val="000000"/>
                <w:sz w:val="20"/>
                <w:szCs w:val="20"/>
              </w:rPr>
              <w:t xml:space="preserve"> inclusive</w:t>
            </w:r>
          </w:p>
        </w:tc>
        <w:tc>
          <w:tcPr>
            <w:tcW w:w="279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rPr>
                <w:sz w:val="20"/>
                <w:szCs w:val="20"/>
              </w:rPr>
            </w:pPr>
            <w:r w:rsidRPr="00C33B92">
              <w:rPr>
                <w:color w:val="000000"/>
                <w:sz w:val="20"/>
                <w:szCs w:val="20"/>
              </w:rPr>
              <w:t xml:space="preserve">0,35 euro              </w:t>
            </w:r>
          </w:p>
        </w:tc>
      </w:tr>
      <w:tr w:rsidR="008133CD" w:rsidRPr="00ED700C" w:rsidTr="00497AE0">
        <w:trPr>
          <w:trHeight w:hRule="exact" w:val="528"/>
        </w:trPr>
        <w:tc>
          <w:tcPr>
            <w:tcW w:w="2070" w:type="dxa"/>
            <w:vMerge/>
            <w:tcBorders>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36"/>
              <w:rPr>
                <w:sz w:val="20"/>
                <w:szCs w:val="20"/>
              </w:rPr>
            </w:pP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rPr>
                <w:color w:val="000000"/>
                <w:sz w:val="20"/>
                <w:szCs w:val="20"/>
              </w:rPr>
            </w:pPr>
          </w:p>
        </w:tc>
        <w:tc>
          <w:tcPr>
            <w:tcW w:w="234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rPr>
                <w:color w:val="000000"/>
                <w:sz w:val="20"/>
                <w:szCs w:val="20"/>
              </w:rPr>
            </w:pPr>
            <w:r w:rsidRPr="00C33B92">
              <w:rPr>
                <w:color w:val="000000"/>
                <w:sz w:val="20"/>
                <w:szCs w:val="20"/>
              </w:rPr>
              <w:t>More than 1.500 cm3 but less than 2.500 cm3</w:t>
            </w:r>
          </w:p>
        </w:tc>
        <w:tc>
          <w:tcPr>
            <w:tcW w:w="279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firstLine="5"/>
              <w:rPr>
                <w:color w:val="000000"/>
                <w:sz w:val="20"/>
                <w:szCs w:val="20"/>
              </w:rPr>
            </w:pPr>
            <w:r w:rsidRPr="00C33B92">
              <w:rPr>
                <w:color w:val="000000"/>
                <w:sz w:val="20"/>
                <w:szCs w:val="20"/>
              </w:rPr>
              <w:t xml:space="preserve">0, 4 euro                </w:t>
            </w:r>
          </w:p>
        </w:tc>
      </w:tr>
      <w:tr w:rsidR="008133CD" w:rsidRPr="00ED700C" w:rsidTr="00C33B92">
        <w:trPr>
          <w:trHeight w:hRule="exact" w:val="339"/>
        </w:trPr>
        <w:tc>
          <w:tcPr>
            <w:tcW w:w="2070" w:type="dxa"/>
            <w:vMerge w:val="restart"/>
            <w:tcBorders>
              <w:left w:val="single" w:sz="6" w:space="0" w:color="auto"/>
              <w:bottom w:val="single" w:sz="6" w:space="0" w:color="auto"/>
              <w:right w:val="single" w:sz="6" w:space="0" w:color="auto"/>
            </w:tcBorders>
            <w:shd w:val="clear" w:color="auto" w:fill="FFFFFF"/>
          </w:tcPr>
          <w:p w:rsidR="008133CD" w:rsidRPr="00C33B92" w:rsidRDefault="008133CD" w:rsidP="00497AE0">
            <w:pPr>
              <w:ind w:right="36"/>
              <w:rPr>
                <w:sz w:val="20"/>
                <w:szCs w:val="20"/>
              </w:rPr>
            </w:pPr>
          </w:p>
          <w:p w:rsidR="008133CD" w:rsidRPr="00C33B92" w:rsidRDefault="008133CD" w:rsidP="00497AE0">
            <w:pPr>
              <w:ind w:right="36"/>
              <w:rPr>
                <w:sz w:val="20"/>
                <w:szCs w:val="20"/>
              </w:rPr>
            </w:pP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rPr>
                <w:color w:val="000000"/>
                <w:sz w:val="20"/>
                <w:szCs w:val="20"/>
              </w:rPr>
            </w:pPr>
          </w:p>
          <w:p w:rsidR="008133CD" w:rsidRPr="00C33B92" w:rsidRDefault="008133CD" w:rsidP="00497AE0">
            <w:pPr>
              <w:shd w:val="clear" w:color="auto" w:fill="FFFFFF"/>
              <w:ind w:right="43"/>
              <w:rPr>
                <w:color w:val="000000"/>
                <w:sz w:val="20"/>
                <w:szCs w:val="20"/>
              </w:rPr>
            </w:pPr>
          </w:p>
        </w:tc>
        <w:tc>
          <w:tcPr>
            <w:tcW w:w="234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rPr>
                <w:color w:val="000000"/>
                <w:sz w:val="20"/>
                <w:szCs w:val="20"/>
              </w:rPr>
            </w:pPr>
            <w:r w:rsidRPr="00C33B92">
              <w:rPr>
                <w:color w:val="000000"/>
                <w:sz w:val="20"/>
                <w:szCs w:val="20"/>
              </w:rPr>
              <w:t>More than 2.500 cm3</w:t>
            </w:r>
          </w:p>
        </w:tc>
        <w:tc>
          <w:tcPr>
            <w:tcW w:w="279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firstLine="5"/>
              <w:rPr>
                <w:color w:val="000000"/>
                <w:sz w:val="20"/>
                <w:szCs w:val="20"/>
              </w:rPr>
            </w:pPr>
            <w:r w:rsidRPr="00C33B92">
              <w:rPr>
                <w:color w:val="000000"/>
                <w:sz w:val="20"/>
                <w:szCs w:val="20"/>
              </w:rPr>
              <w:t xml:space="preserve">0,6 euro             </w:t>
            </w:r>
          </w:p>
        </w:tc>
      </w:tr>
      <w:tr w:rsidR="008133CD" w:rsidRPr="00ED700C" w:rsidTr="00C33B92">
        <w:trPr>
          <w:trHeight w:hRule="exact" w:val="366"/>
        </w:trPr>
        <w:tc>
          <w:tcPr>
            <w:tcW w:w="2070" w:type="dxa"/>
            <w:vMerge w:val="restart"/>
            <w:tcBorders>
              <w:left w:val="single" w:sz="6" w:space="0" w:color="auto"/>
              <w:bottom w:val="single" w:sz="6" w:space="0" w:color="auto"/>
              <w:right w:val="single" w:sz="6" w:space="0" w:color="auto"/>
            </w:tcBorders>
            <w:shd w:val="clear" w:color="auto" w:fill="FFFFFF"/>
          </w:tcPr>
          <w:p w:rsidR="008133CD" w:rsidRPr="00C33B92" w:rsidRDefault="008133CD" w:rsidP="00497AE0">
            <w:pPr>
              <w:ind w:right="36"/>
              <w:rPr>
                <w:sz w:val="20"/>
                <w:szCs w:val="20"/>
              </w:rPr>
            </w:pPr>
          </w:p>
          <w:p w:rsidR="008133CD" w:rsidRPr="00C33B92" w:rsidRDefault="008133CD" w:rsidP="00497AE0">
            <w:pPr>
              <w:ind w:right="36"/>
              <w:rPr>
                <w:sz w:val="20"/>
                <w:szCs w:val="20"/>
              </w:rPr>
            </w:pP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rPr>
                <w:color w:val="000000"/>
                <w:sz w:val="20"/>
                <w:szCs w:val="20"/>
              </w:rPr>
            </w:pPr>
            <w:r w:rsidRPr="00C33B92">
              <w:rPr>
                <w:color w:val="000000"/>
                <w:sz w:val="20"/>
                <w:szCs w:val="20"/>
              </w:rPr>
              <w:t>From 10 to 14 years</w:t>
            </w:r>
          </w:p>
        </w:tc>
        <w:tc>
          <w:tcPr>
            <w:tcW w:w="234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rPr>
                <w:color w:val="000000"/>
                <w:sz w:val="20"/>
                <w:szCs w:val="20"/>
              </w:rPr>
            </w:pPr>
            <w:r w:rsidRPr="00C33B92">
              <w:rPr>
                <w:color w:val="000000"/>
                <w:sz w:val="20"/>
                <w:szCs w:val="20"/>
              </w:rPr>
              <w:t>Irrespective</w:t>
            </w:r>
          </w:p>
        </w:tc>
        <w:tc>
          <w:tcPr>
            <w:tcW w:w="279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firstLine="5"/>
              <w:rPr>
                <w:color w:val="000000"/>
                <w:sz w:val="20"/>
                <w:szCs w:val="20"/>
              </w:rPr>
            </w:pPr>
            <w:r w:rsidRPr="00C33B92">
              <w:rPr>
                <w:color w:val="000000"/>
                <w:sz w:val="20"/>
                <w:szCs w:val="20"/>
              </w:rPr>
              <w:t xml:space="preserve">0,75 euro               </w:t>
            </w:r>
          </w:p>
        </w:tc>
      </w:tr>
      <w:tr w:rsidR="008133CD" w:rsidRPr="00ED700C" w:rsidTr="00C33B92">
        <w:trPr>
          <w:trHeight w:hRule="exact" w:val="366"/>
        </w:trPr>
        <w:tc>
          <w:tcPr>
            <w:tcW w:w="2070" w:type="dxa"/>
            <w:vMerge w:val="restart"/>
            <w:tcBorders>
              <w:left w:val="single" w:sz="6" w:space="0" w:color="auto"/>
              <w:bottom w:val="single" w:sz="6" w:space="0" w:color="auto"/>
              <w:right w:val="single" w:sz="6" w:space="0" w:color="auto"/>
            </w:tcBorders>
            <w:shd w:val="clear" w:color="auto" w:fill="FFFFFF"/>
          </w:tcPr>
          <w:p w:rsidR="008133CD" w:rsidRPr="00C33B92" w:rsidRDefault="008133CD" w:rsidP="00497AE0">
            <w:pPr>
              <w:ind w:right="36"/>
              <w:rPr>
                <w:sz w:val="20"/>
                <w:szCs w:val="20"/>
              </w:rPr>
            </w:pPr>
          </w:p>
          <w:p w:rsidR="008133CD" w:rsidRPr="00C33B92" w:rsidRDefault="008133CD" w:rsidP="00497AE0">
            <w:pPr>
              <w:ind w:right="36"/>
              <w:rPr>
                <w:sz w:val="20"/>
                <w:szCs w:val="20"/>
              </w:rPr>
            </w:pP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rPr>
                <w:color w:val="000000"/>
                <w:sz w:val="20"/>
                <w:szCs w:val="20"/>
              </w:rPr>
            </w:pPr>
            <w:r w:rsidRPr="00C33B92">
              <w:rPr>
                <w:color w:val="000000"/>
                <w:sz w:val="20"/>
                <w:szCs w:val="20"/>
              </w:rPr>
              <w:t>Older than 14 years</w:t>
            </w:r>
          </w:p>
        </w:tc>
        <w:tc>
          <w:tcPr>
            <w:tcW w:w="234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rPr>
                <w:color w:val="000000"/>
                <w:sz w:val="20"/>
                <w:szCs w:val="20"/>
              </w:rPr>
            </w:pPr>
            <w:r w:rsidRPr="00C33B92">
              <w:rPr>
                <w:color w:val="000000"/>
                <w:sz w:val="20"/>
                <w:szCs w:val="20"/>
              </w:rPr>
              <w:t>Irrespective</w:t>
            </w:r>
          </w:p>
        </w:tc>
        <w:tc>
          <w:tcPr>
            <w:tcW w:w="279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firstLine="5"/>
              <w:rPr>
                <w:color w:val="000000"/>
                <w:sz w:val="20"/>
                <w:szCs w:val="20"/>
              </w:rPr>
            </w:pPr>
            <w:r w:rsidRPr="00C33B92">
              <w:rPr>
                <w:color w:val="000000"/>
                <w:sz w:val="20"/>
                <w:szCs w:val="20"/>
              </w:rPr>
              <w:t xml:space="preserve">2 euro                 </w:t>
            </w:r>
          </w:p>
        </w:tc>
      </w:tr>
      <w:tr w:rsidR="008133CD" w:rsidRPr="00ED700C" w:rsidTr="00497AE0">
        <w:trPr>
          <w:trHeight w:hRule="exact" w:val="528"/>
        </w:trPr>
        <w:tc>
          <w:tcPr>
            <w:tcW w:w="2070" w:type="dxa"/>
            <w:vMerge w:val="restart"/>
            <w:tcBorders>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36"/>
              <w:rPr>
                <w:sz w:val="20"/>
                <w:szCs w:val="20"/>
              </w:rPr>
            </w:pPr>
            <w:r w:rsidRPr="00C33B92">
              <w:rPr>
                <w:color w:val="000000"/>
                <w:sz w:val="20"/>
                <w:szCs w:val="20"/>
              </w:rPr>
              <w:t>Second and subsequent vehicles</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rPr>
                <w:color w:val="000000"/>
                <w:sz w:val="20"/>
                <w:szCs w:val="20"/>
              </w:rPr>
            </w:pPr>
            <w:r w:rsidRPr="00C33B92">
              <w:rPr>
                <w:color w:val="000000"/>
                <w:sz w:val="20"/>
                <w:szCs w:val="20"/>
              </w:rPr>
              <w:t>3 years and less</w:t>
            </w:r>
          </w:p>
        </w:tc>
        <w:tc>
          <w:tcPr>
            <w:tcW w:w="234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rPr>
                <w:color w:val="000000"/>
                <w:sz w:val="20"/>
                <w:szCs w:val="20"/>
              </w:rPr>
            </w:pPr>
            <w:r w:rsidRPr="00C33B92">
              <w:rPr>
                <w:color w:val="000000"/>
                <w:sz w:val="20"/>
                <w:szCs w:val="20"/>
              </w:rPr>
              <w:t>Less than 2.500 cm3</w:t>
            </w:r>
          </w:p>
        </w:tc>
        <w:tc>
          <w:tcPr>
            <w:tcW w:w="279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firstLine="5"/>
              <w:rPr>
                <w:color w:val="000000"/>
                <w:sz w:val="20"/>
                <w:szCs w:val="20"/>
              </w:rPr>
            </w:pPr>
            <w:r w:rsidRPr="00C33B92">
              <w:rPr>
                <w:color w:val="000000"/>
                <w:sz w:val="20"/>
                <w:szCs w:val="20"/>
              </w:rPr>
              <w:t xml:space="preserve">3,5 euro               </w:t>
            </w:r>
          </w:p>
        </w:tc>
      </w:tr>
      <w:tr w:rsidR="008133CD" w:rsidRPr="00ED700C" w:rsidTr="00C33B92">
        <w:trPr>
          <w:trHeight w:hRule="exact" w:val="375"/>
        </w:trPr>
        <w:tc>
          <w:tcPr>
            <w:tcW w:w="2070" w:type="dxa"/>
            <w:vMerge w:val="restart"/>
            <w:tcBorders>
              <w:left w:val="single" w:sz="6" w:space="0" w:color="auto"/>
              <w:bottom w:val="single" w:sz="6" w:space="0" w:color="auto"/>
              <w:right w:val="single" w:sz="6" w:space="0" w:color="auto"/>
            </w:tcBorders>
            <w:shd w:val="clear" w:color="auto" w:fill="FFFFFF"/>
          </w:tcPr>
          <w:p w:rsidR="008133CD" w:rsidRPr="00C33B92" w:rsidRDefault="008133CD" w:rsidP="00497AE0">
            <w:pPr>
              <w:ind w:right="36"/>
              <w:rPr>
                <w:sz w:val="20"/>
                <w:szCs w:val="20"/>
              </w:rPr>
            </w:pPr>
          </w:p>
          <w:p w:rsidR="008133CD" w:rsidRPr="00C33B92" w:rsidRDefault="008133CD" w:rsidP="00497AE0">
            <w:pPr>
              <w:ind w:right="36"/>
              <w:rPr>
                <w:sz w:val="20"/>
                <w:szCs w:val="20"/>
              </w:rPr>
            </w:pP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rPr>
                <w:color w:val="000000"/>
                <w:sz w:val="20"/>
                <w:szCs w:val="20"/>
              </w:rPr>
            </w:pPr>
          </w:p>
          <w:p w:rsidR="008133CD" w:rsidRPr="00C33B92" w:rsidRDefault="008133CD" w:rsidP="00497AE0">
            <w:pPr>
              <w:shd w:val="clear" w:color="auto" w:fill="FFFFFF"/>
              <w:ind w:right="43"/>
              <w:rPr>
                <w:color w:val="000000"/>
                <w:sz w:val="20"/>
                <w:szCs w:val="20"/>
              </w:rPr>
            </w:pPr>
          </w:p>
        </w:tc>
        <w:tc>
          <w:tcPr>
            <w:tcW w:w="234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rPr>
                <w:color w:val="000000"/>
                <w:sz w:val="20"/>
                <w:szCs w:val="20"/>
              </w:rPr>
            </w:pPr>
            <w:r w:rsidRPr="00C33B92">
              <w:rPr>
                <w:color w:val="000000"/>
                <w:sz w:val="20"/>
                <w:szCs w:val="20"/>
              </w:rPr>
              <w:t>2.500 cm3 and more</w:t>
            </w:r>
          </w:p>
        </w:tc>
        <w:tc>
          <w:tcPr>
            <w:tcW w:w="279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firstLine="5"/>
              <w:rPr>
                <w:color w:val="000000"/>
                <w:sz w:val="20"/>
                <w:szCs w:val="20"/>
              </w:rPr>
            </w:pPr>
            <w:r w:rsidRPr="00C33B92">
              <w:rPr>
                <w:color w:val="000000"/>
                <w:sz w:val="20"/>
                <w:szCs w:val="20"/>
              </w:rPr>
              <w:t xml:space="preserve">5 euro               </w:t>
            </w:r>
          </w:p>
        </w:tc>
      </w:tr>
      <w:tr w:rsidR="008133CD" w:rsidRPr="00ED700C" w:rsidTr="00497AE0">
        <w:trPr>
          <w:trHeight w:hRule="exact" w:val="528"/>
        </w:trPr>
        <w:tc>
          <w:tcPr>
            <w:tcW w:w="2070" w:type="dxa"/>
            <w:vMerge w:val="restart"/>
            <w:tcBorders>
              <w:left w:val="single" w:sz="6" w:space="0" w:color="auto"/>
              <w:bottom w:val="single" w:sz="6" w:space="0" w:color="auto"/>
              <w:right w:val="single" w:sz="6" w:space="0" w:color="auto"/>
            </w:tcBorders>
            <w:shd w:val="clear" w:color="auto" w:fill="FFFFFF"/>
          </w:tcPr>
          <w:p w:rsidR="008133CD" w:rsidRPr="00C33B92" w:rsidRDefault="008133CD" w:rsidP="00497AE0">
            <w:pPr>
              <w:ind w:right="36"/>
              <w:rPr>
                <w:sz w:val="20"/>
                <w:szCs w:val="20"/>
              </w:rPr>
            </w:pPr>
          </w:p>
          <w:p w:rsidR="008133CD" w:rsidRPr="00C33B92" w:rsidRDefault="008133CD" w:rsidP="00497AE0">
            <w:pPr>
              <w:ind w:right="36"/>
              <w:rPr>
                <w:sz w:val="20"/>
                <w:szCs w:val="20"/>
              </w:rPr>
            </w:pP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rPr>
                <w:color w:val="000000"/>
                <w:sz w:val="20"/>
                <w:szCs w:val="20"/>
              </w:rPr>
            </w:pPr>
            <w:r w:rsidRPr="00C33B92">
              <w:rPr>
                <w:color w:val="000000"/>
                <w:sz w:val="20"/>
                <w:szCs w:val="20"/>
              </w:rPr>
              <w:t>From 3 to 7 years inclusive</w:t>
            </w:r>
          </w:p>
        </w:tc>
        <w:tc>
          <w:tcPr>
            <w:tcW w:w="234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rPr>
                <w:color w:val="000000"/>
                <w:sz w:val="20"/>
                <w:szCs w:val="20"/>
              </w:rPr>
            </w:pPr>
            <w:r w:rsidRPr="00C33B92">
              <w:rPr>
                <w:color w:val="000000"/>
                <w:sz w:val="20"/>
                <w:szCs w:val="20"/>
              </w:rPr>
              <w:t>Less than 1.000 cm3</w:t>
            </w:r>
          </w:p>
        </w:tc>
        <w:tc>
          <w:tcPr>
            <w:tcW w:w="279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firstLine="5"/>
              <w:rPr>
                <w:color w:val="000000"/>
                <w:sz w:val="20"/>
                <w:szCs w:val="20"/>
              </w:rPr>
            </w:pPr>
            <w:r w:rsidRPr="00C33B92">
              <w:rPr>
                <w:color w:val="000000"/>
                <w:sz w:val="20"/>
                <w:szCs w:val="20"/>
              </w:rPr>
              <w:t xml:space="preserve">0, 85 euro            </w:t>
            </w:r>
          </w:p>
        </w:tc>
      </w:tr>
      <w:tr w:rsidR="008133CD" w:rsidRPr="00ED700C" w:rsidTr="00C33B92">
        <w:trPr>
          <w:trHeight w:hRule="exact" w:val="375"/>
        </w:trPr>
        <w:tc>
          <w:tcPr>
            <w:tcW w:w="2070" w:type="dxa"/>
            <w:vMerge w:val="restart"/>
            <w:tcBorders>
              <w:left w:val="single" w:sz="6" w:space="0" w:color="auto"/>
              <w:bottom w:val="single" w:sz="6" w:space="0" w:color="auto"/>
              <w:right w:val="single" w:sz="6" w:space="0" w:color="auto"/>
            </w:tcBorders>
            <w:shd w:val="clear" w:color="auto" w:fill="FFFFFF"/>
          </w:tcPr>
          <w:p w:rsidR="008133CD" w:rsidRPr="00C33B92" w:rsidRDefault="008133CD" w:rsidP="00497AE0">
            <w:pPr>
              <w:ind w:right="36"/>
              <w:rPr>
                <w:sz w:val="20"/>
                <w:szCs w:val="20"/>
              </w:rPr>
            </w:pPr>
          </w:p>
          <w:p w:rsidR="008133CD" w:rsidRPr="00C33B92" w:rsidRDefault="008133CD" w:rsidP="00497AE0">
            <w:pPr>
              <w:ind w:right="36"/>
              <w:rPr>
                <w:sz w:val="20"/>
                <w:szCs w:val="20"/>
              </w:rPr>
            </w:pP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rPr>
                <w:color w:val="000000"/>
                <w:sz w:val="20"/>
                <w:szCs w:val="20"/>
              </w:rPr>
            </w:pPr>
          </w:p>
          <w:p w:rsidR="008133CD" w:rsidRPr="00C33B92" w:rsidRDefault="008133CD" w:rsidP="00497AE0">
            <w:pPr>
              <w:shd w:val="clear" w:color="auto" w:fill="FFFFFF"/>
              <w:ind w:right="43"/>
              <w:rPr>
                <w:color w:val="000000"/>
                <w:sz w:val="20"/>
                <w:szCs w:val="20"/>
              </w:rPr>
            </w:pPr>
          </w:p>
        </w:tc>
        <w:tc>
          <w:tcPr>
            <w:tcW w:w="234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rPr>
                <w:color w:val="000000"/>
                <w:sz w:val="20"/>
                <w:szCs w:val="20"/>
              </w:rPr>
            </w:pPr>
            <w:r w:rsidRPr="00C33B92">
              <w:rPr>
                <w:color w:val="000000"/>
                <w:sz w:val="20"/>
                <w:szCs w:val="20"/>
              </w:rPr>
              <w:t>From 1.000 to 1.500 cm3</w:t>
            </w:r>
          </w:p>
        </w:tc>
        <w:tc>
          <w:tcPr>
            <w:tcW w:w="279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firstLine="5"/>
              <w:rPr>
                <w:color w:val="000000"/>
                <w:sz w:val="20"/>
                <w:szCs w:val="20"/>
              </w:rPr>
            </w:pPr>
            <w:r w:rsidRPr="00C33B92">
              <w:rPr>
                <w:color w:val="000000"/>
                <w:sz w:val="20"/>
                <w:szCs w:val="20"/>
              </w:rPr>
              <w:t xml:space="preserve">1 euro              </w:t>
            </w:r>
          </w:p>
        </w:tc>
      </w:tr>
      <w:tr w:rsidR="008133CD" w:rsidRPr="00ED700C" w:rsidTr="00497AE0">
        <w:trPr>
          <w:trHeight w:hRule="exact" w:val="528"/>
        </w:trPr>
        <w:tc>
          <w:tcPr>
            <w:tcW w:w="2070" w:type="dxa"/>
            <w:vMerge w:val="restart"/>
            <w:tcBorders>
              <w:left w:val="single" w:sz="6" w:space="0" w:color="auto"/>
              <w:bottom w:val="single" w:sz="6" w:space="0" w:color="auto"/>
              <w:right w:val="single" w:sz="6" w:space="0" w:color="auto"/>
            </w:tcBorders>
            <w:shd w:val="clear" w:color="auto" w:fill="FFFFFF"/>
          </w:tcPr>
          <w:p w:rsidR="008133CD" w:rsidRPr="00C33B92" w:rsidRDefault="008133CD" w:rsidP="00497AE0">
            <w:pPr>
              <w:ind w:right="36"/>
              <w:rPr>
                <w:sz w:val="20"/>
                <w:szCs w:val="20"/>
              </w:rPr>
            </w:pPr>
          </w:p>
          <w:p w:rsidR="008133CD" w:rsidRPr="00C33B92" w:rsidRDefault="008133CD" w:rsidP="00497AE0">
            <w:pPr>
              <w:ind w:right="36"/>
              <w:rPr>
                <w:sz w:val="20"/>
                <w:szCs w:val="20"/>
              </w:rPr>
            </w:pP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rPr>
                <w:color w:val="000000"/>
                <w:sz w:val="20"/>
                <w:szCs w:val="20"/>
              </w:rPr>
            </w:pPr>
          </w:p>
          <w:p w:rsidR="008133CD" w:rsidRPr="00C33B92" w:rsidRDefault="008133CD" w:rsidP="00497AE0">
            <w:pPr>
              <w:shd w:val="clear" w:color="auto" w:fill="FFFFFF"/>
              <w:ind w:right="43"/>
              <w:rPr>
                <w:color w:val="000000"/>
                <w:sz w:val="20"/>
                <w:szCs w:val="20"/>
              </w:rPr>
            </w:pPr>
          </w:p>
        </w:tc>
        <w:tc>
          <w:tcPr>
            <w:tcW w:w="234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rPr>
                <w:color w:val="000000"/>
                <w:sz w:val="20"/>
                <w:szCs w:val="20"/>
              </w:rPr>
            </w:pPr>
            <w:r w:rsidRPr="00C33B92">
              <w:rPr>
                <w:color w:val="000000"/>
                <w:sz w:val="20"/>
                <w:szCs w:val="20"/>
              </w:rPr>
              <w:t>From 1.500 cm3 inclusive to 1.800 cm3</w:t>
            </w:r>
          </w:p>
        </w:tc>
        <w:tc>
          <w:tcPr>
            <w:tcW w:w="279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firstLine="5"/>
              <w:rPr>
                <w:color w:val="000000"/>
                <w:sz w:val="20"/>
                <w:szCs w:val="20"/>
              </w:rPr>
            </w:pPr>
            <w:r w:rsidRPr="00C33B92">
              <w:rPr>
                <w:color w:val="000000"/>
                <w:sz w:val="20"/>
                <w:szCs w:val="20"/>
              </w:rPr>
              <w:t xml:space="preserve">1,5 euro           </w:t>
            </w:r>
          </w:p>
        </w:tc>
      </w:tr>
      <w:tr w:rsidR="008133CD" w:rsidRPr="00ED700C" w:rsidTr="00497AE0">
        <w:trPr>
          <w:trHeight w:hRule="exact" w:val="528"/>
        </w:trPr>
        <w:tc>
          <w:tcPr>
            <w:tcW w:w="2070" w:type="dxa"/>
            <w:vMerge w:val="restart"/>
            <w:tcBorders>
              <w:left w:val="single" w:sz="6" w:space="0" w:color="auto"/>
              <w:bottom w:val="single" w:sz="6" w:space="0" w:color="auto"/>
              <w:right w:val="single" w:sz="6" w:space="0" w:color="auto"/>
            </w:tcBorders>
            <w:shd w:val="clear" w:color="auto" w:fill="FFFFFF"/>
          </w:tcPr>
          <w:p w:rsidR="008133CD" w:rsidRPr="00C33B92" w:rsidRDefault="008133CD" w:rsidP="00497AE0">
            <w:pPr>
              <w:ind w:right="36"/>
              <w:rPr>
                <w:sz w:val="20"/>
                <w:szCs w:val="20"/>
              </w:rPr>
            </w:pPr>
          </w:p>
          <w:p w:rsidR="008133CD" w:rsidRPr="00C33B92" w:rsidRDefault="008133CD" w:rsidP="00497AE0">
            <w:pPr>
              <w:ind w:right="36"/>
              <w:rPr>
                <w:sz w:val="20"/>
                <w:szCs w:val="20"/>
              </w:rPr>
            </w:pP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rPr>
                <w:color w:val="000000"/>
                <w:sz w:val="20"/>
                <w:szCs w:val="20"/>
              </w:rPr>
            </w:pPr>
          </w:p>
          <w:p w:rsidR="008133CD" w:rsidRPr="00C33B92" w:rsidRDefault="008133CD" w:rsidP="00497AE0">
            <w:pPr>
              <w:shd w:val="clear" w:color="auto" w:fill="FFFFFF"/>
              <w:ind w:right="43"/>
              <w:rPr>
                <w:color w:val="000000"/>
                <w:sz w:val="20"/>
                <w:szCs w:val="20"/>
              </w:rPr>
            </w:pPr>
          </w:p>
        </w:tc>
        <w:tc>
          <w:tcPr>
            <w:tcW w:w="234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rPr>
                <w:color w:val="000000"/>
                <w:sz w:val="20"/>
                <w:szCs w:val="20"/>
              </w:rPr>
            </w:pPr>
            <w:r w:rsidRPr="00C33B92">
              <w:rPr>
                <w:color w:val="000000"/>
                <w:sz w:val="20"/>
                <w:szCs w:val="20"/>
              </w:rPr>
              <w:t>From 1.800 cm3 inclusive to 3.000 cm3</w:t>
            </w:r>
          </w:p>
        </w:tc>
        <w:tc>
          <w:tcPr>
            <w:tcW w:w="279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firstLine="5"/>
              <w:rPr>
                <w:color w:val="000000"/>
                <w:sz w:val="20"/>
                <w:szCs w:val="20"/>
              </w:rPr>
            </w:pPr>
            <w:r w:rsidRPr="00C33B92">
              <w:rPr>
                <w:color w:val="000000"/>
                <w:sz w:val="20"/>
                <w:szCs w:val="20"/>
              </w:rPr>
              <w:t xml:space="preserve">2 euro              </w:t>
            </w:r>
          </w:p>
        </w:tc>
      </w:tr>
      <w:tr w:rsidR="008133CD" w:rsidRPr="00ED700C" w:rsidTr="00C33B92">
        <w:trPr>
          <w:trHeight w:hRule="exact" w:val="375"/>
        </w:trPr>
        <w:tc>
          <w:tcPr>
            <w:tcW w:w="2070" w:type="dxa"/>
            <w:vMerge w:val="restart"/>
            <w:tcBorders>
              <w:left w:val="single" w:sz="6" w:space="0" w:color="auto"/>
              <w:bottom w:val="single" w:sz="6" w:space="0" w:color="auto"/>
              <w:right w:val="single" w:sz="6" w:space="0" w:color="auto"/>
            </w:tcBorders>
            <w:shd w:val="clear" w:color="auto" w:fill="FFFFFF"/>
          </w:tcPr>
          <w:p w:rsidR="008133CD" w:rsidRPr="00C33B92" w:rsidRDefault="008133CD" w:rsidP="00497AE0">
            <w:pPr>
              <w:ind w:right="36"/>
              <w:rPr>
                <w:sz w:val="20"/>
                <w:szCs w:val="20"/>
              </w:rPr>
            </w:pPr>
          </w:p>
          <w:p w:rsidR="008133CD" w:rsidRPr="00C33B92" w:rsidRDefault="008133CD" w:rsidP="00497AE0">
            <w:pPr>
              <w:ind w:right="36"/>
              <w:rPr>
                <w:sz w:val="20"/>
                <w:szCs w:val="20"/>
              </w:rPr>
            </w:pP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rPr>
                <w:color w:val="000000"/>
                <w:sz w:val="20"/>
                <w:szCs w:val="20"/>
              </w:rPr>
            </w:pPr>
          </w:p>
          <w:p w:rsidR="008133CD" w:rsidRPr="00C33B92" w:rsidRDefault="008133CD" w:rsidP="00497AE0">
            <w:pPr>
              <w:shd w:val="clear" w:color="auto" w:fill="FFFFFF"/>
              <w:ind w:right="43"/>
              <w:rPr>
                <w:color w:val="000000"/>
                <w:sz w:val="20"/>
                <w:szCs w:val="20"/>
              </w:rPr>
            </w:pPr>
          </w:p>
        </w:tc>
        <w:tc>
          <w:tcPr>
            <w:tcW w:w="234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rPr>
                <w:color w:val="000000"/>
                <w:sz w:val="20"/>
                <w:szCs w:val="20"/>
              </w:rPr>
            </w:pPr>
            <w:r w:rsidRPr="00C33B92">
              <w:rPr>
                <w:color w:val="000000"/>
                <w:sz w:val="20"/>
                <w:szCs w:val="20"/>
              </w:rPr>
              <w:t>3.000 cm3 and more</w:t>
            </w:r>
          </w:p>
        </w:tc>
        <w:tc>
          <w:tcPr>
            <w:tcW w:w="279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firstLine="5"/>
              <w:rPr>
                <w:color w:val="000000"/>
                <w:sz w:val="20"/>
                <w:szCs w:val="20"/>
              </w:rPr>
            </w:pPr>
            <w:r w:rsidRPr="00C33B92">
              <w:rPr>
                <w:color w:val="000000"/>
                <w:sz w:val="20"/>
                <w:szCs w:val="20"/>
              </w:rPr>
              <w:t xml:space="preserve">2,25 euro     </w:t>
            </w:r>
          </w:p>
        </w:tc>
      </w:tr>
      <w:tr w:rsidR="008133CD" w:rsidRPr="00ED700C" w:rsidTr="00C33B92">
        <w:trPr>
          <w:trHeight w:hRule="exact" w:val="357"/>
        </w:trPr>
        <w:tc>
          <w:tcPr>
            <w:tcW w:w="2070" w:type="dxa"/>
            <w:vMerge w:val="restart"/>
            <w:tcBorders>
              <w:left w:val="single" w:sz="6" w:space="0" w:color="auto"/>
              <w:bottom w:val="single" w:sz="6" w:space="0" w:color="auto"/>
              <w:right w:val="single" w:sz="6" w:space="0" w:color="auto"/>
            </w:tcBorders>
            <w:shd w:val="clear" w:color="auto" w:fill="FFFFFF"/>
          </w:tcPr>
          <w:p w:rsidR="008133CD" w:rsidRPr="00C33B92" w:rsidRDefault="008133CD" w:rsidP="00497AE0">
            <w:pPr>
              <w:ind w:right="36"/>
              <w:rPr>
                <w:sz w:val="20"/>
                <w:szCs w:val="20"/>
              </w:rPr>
            </w:pPr>
          </w:p>
          <w:p w:rsidR="008133CD" w:rsidRPr="00C33B92" w:rsidRDefault="008133CD" w:rsidP="00497AE0">
            <w:pPr>
              <w:ind w:right="36"/>
              <w:rPr>
                <w:sz w:val="20"/>
                <w:szCs w:val="20"/>
              </w:rPr>
            </w:pP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rPr>
                <w:color w:val="000000"/>
                <w:sz w:val="20"/>
                <w:szCs w:val="20"/>
              </w:rPr>
            </w:pPr>
            <w:r w:rsidRPr="00C33B92">
              <w:rPr>
                <w:color w:val="000000"/>
                <w:sz w:val="20"/>
                <w:szCs w:val="20"/>
              </w:rPr>
              <w:t>Older than 7 years</w:t>
            </w:r>
          </w:p>
        </w:tc>
        <w:tc>
          <w:tcPr>
            <w:tcW w:w="234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rPr>
                <w:color w:val="000000"/>
                <w:sz w:val="20"/>
                <w:szCs w:val="20"/>
              </w:rPr>
            </w:pPr>
            <w:r w:rsidRPr="00C33B92">
              <w:rPr>
                <w:color w:val="000000"/>
                <w:sz w:val="20"/>
                <w:szCs w:val="20"/>
              </w:rPr>
              <w:t>Below 2.500 cm3</w:t>
            </w:r>
          </w:p>
        </w:tc>
        <w:tc>
          <w:tcPr>
            <w:tcW w:w="279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firstLine="5"/>
              <w:rPr>
                <w:color w:val="000000"/>
                <w:sz w:val="20"/>
                <w:szCs w:val="20"/>
              </w:rPr>
            </w:pPr>
            <w:r w:rsidRPr="00C33B92">
              <w:rPr>
                <w:color w:val="000000"/>
                <w:sz w:val="20"/>
                <w:szCs w:val="20"/>
              </w:rPr>
              <w:t xml:space="preserve">2 euro     </w:t>
            </w:r>
          </w:p>
        </w:tc>
      </w:tr>
      <w:tr w:rsidR="008133CD" w:rsidRPr="00ED700C" w:rsidTr="00C33B92">
        <w:trPr>
          <w:trHeight w:hRule="exact" w:val="348"/>
        </w:trPr>
        <w:tc>
          <w:tcPr>
            <w:tcW w:w="2070" w:type="dxa"/>
            <w:tcBorders>
              <w:left w:val="single" w:sz="6" w:space="0" w:color="auto"/>
              <w:bottom w:val="single" w:sz="6" w:space="0" w:color="auto"/>
              <w:right w:val="single" w:sz="6" w:space="0" w:color="auto"/>
            </w:tcBorders>
            <w:shd w:val="clear" w:color="auto" w:fill="FFFFFF"/>
          </w:tcPr>
          <w:p w:rsidR="008133CD" w:rsidRPr="00C33B92" w:rsidRDefault="008133CD" w:rsidP="00497AE0">
            <w:pPr>
              <w:ind w:right="36"/>
              <w:rPr>
                <w:sz w:val="20"/>
                <w:szCs w:val="20"/>
              </w:rPr>
            </w:pPr>
          </w:p>
          <w:p w:rsidR="008133CD" w:rsidRPr="00C33B92" w:rsidRDefault="008133CD" w:rsidP="00497AE0">
            <w:pPr>
              <w:ind w:right="36"/>
              <w:rPr>
                <w:sz w:val="20"/>
                <w:szCs w:val="20"/>
              </w:rPr>
            </w:pP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rPr>
                <w:color w:val="000000"/>
                <w:sz w:val="20"/>
                <w:szCs w:val="20"/>
              </w:rPr>
            </w:pPr>
          </w:p>
          <w:p w:rsidR="008133CD" w:rsidRPr="00C33B92" w:rsidRDefault="008133CD" w:rsidP="00497AE0">
            <w:pPr>
              <w:shd w:val="clear" w:color="auto" w:fill="FFFFFF"/>
              <w:ind w:right="43"/>
              <w:rPr>
                <w:color w:val="000000"/>
                <w:sz w:val="20"/>
                <w:szCs w:val="20"/>
              </w:rPr>
            </w:pPr>
          </w:p>
        </w:tc>
        <w:tc>
          <w:tcPr>
            <w:tcW w:w="234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rPr>
                <w:color w:val="000000"/>
                <w:sz w:val="20"/>
                <w:szCs w:val="20"/>
              </w:rPr>
            </w:pPr>
            <w:r w:rsidRPr="00C33B92">
              <w:rPr>
                <w:color w:val="000000"/>
                <w:sz w:val="20"/>
                <w:szCs w:val="20"/>
              </w:rPr>
              <w:t>2.500 cm3 and more</w:t>
            </w:r>
          </w:p>
        </w:tc>
        <w:tc>
          <w:tcPr>
            <w:tcW w:w="279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firstLine="5"/>
              <w:rPr>
                <w:color w:val="000000"/>
                <w:sz w:val="20"/>
                <w:szCs w:val="20"/>
              </w:rPr>
            </w:pPr>
            <w:r w:rsidRPr="00C33B92">
              <w:rPr>
                <w:color w:val="000000"/>
                <w:sz w:val="20"/>
                <w:szCs w:val="20"/>
              </w:rPr>
              <w:t xml:space="preserve">3 euro  </w:t>
            </w:r>
          </w:p>
        </w:tc>
      </w:tr>
    </w:tbl>
    <w:p w:rsidR="008133CD" w:rsidRPr="00ED700C" w:rsidRDefault="008133CD" w:rsidP="008133CD">
      <w:pPr>
        <w:shd w:val="clear" w:color="auto" w:fill="FFFFFF"/>
        <w:spacing w:line="326" w:lineRule="exact"/>
        <w:ind w:right="36"/>
        <w:rPr>
          <w:color w:val="000000"/>
        </w:rPr>
      </w:pPr>
    </w:p>
    <w:p w:rsidR="00C33B92" w:rsidRDefault="00C33B92">
      <w:pPr>
        <w:spacing w:after="200" w:line="276" w:lineRule="auto"/>
        <w:rPr>
          <w:color w:val="000000"/>
        </w:rPr>
      </w:pPr>
      <w:r>
        <w:rPr>
          <w:color w:val="000000"/>
        </w:rPr>
        <w:br w:type="page"/>
      </w:r>
    </w:p>
    <w:p w:rsidR="008133CD" w:rsidRPr="00ED700C" w:rsidRDefault="008133CD" w:rsidP="008133CD">
      <w:pPr>
        <w:shd w:val="clear" w:color="auto" w:fill="FFFFFF"/>
        <w:spacing w:line="326" w:lineRule="exact"/>
        <w:ind w:right="36"/>
        <w:jc w:val="center"/>
        <w:rPr>
          <w:color w:val="000000"/>
        </w:rPr>
      </w:pPr>
      <w:r w:rsidRPr="00ED700C">
        <w:rPr>
          <w:color w:val="000000"/>
        </w:rPr>
        <w:lastRenderedPageBreak/>
        <w:t>Effective 1 January 2010</w:t>
      </w:r>
    </w:p>
    <w:p w:rsidR="008133CD" w:rsidRPr="00ED700C" w:rsidRDefault="008133CD" w:rsidP="008133CD">
      <w:pPr>
        <w:shd w:val="clear" w:color="auto" w:fill="FFFFFF"/>
        <w:spacing w:line="326" w:lineRule="exact"/>
        <w:ind w:right="36"/>
        <w:jc w:val="center"/>
        <w:rPr>
          <w:b/>
          <w:color w:val="000000"/>
        </w:rPr>
      </w:pPr>
      <w:r w:rsidRPr="00ED700C">
        <w:rPr>
          <w:b/>
          <w:color w:val="000000"/>
        </w:rPr>
        <w:t>Cars with petrol engine</w:t>
      </w:r>
    </w:p>
    <w:tbl>
      <w:tblPr>
        <w:tblW w:w="9270" w:type="dxa"/>
        <w:tblInd w:w="40" w:type="dxa"/>
        <w:tblLayout w:type="fixed"/>
        <w:tblCellMar>
          <w:left w:w="40" w:type="dxa"/>
          <w:right w:w="40" w:type="dxa"/>
        </w:tblCellMar>
        <w:tblLook w:val="0000"/>
      </w:tblPr>
      <w:tblGrid>
        <w:gridCol w:w="2160"/>
        <w:gridCol w:w="3240"/>
        <w:gridCol w:w="3870"/>
      </w:tblGrid>
      <w:tr w:rsidR="008133CD" w:rsidRPr="00C33B92" w:rsidTr="00497AE0">
        <w:trPr>
          <w:trHeight w:hRule="exact" w:val="998"/>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rPr>
                <w:b/>
              </w:rPr>
            </w:pPr>
            <w:r w:rsidRPr="00C33B92">
              <w:rPr>
                <w:b/>
                <w:color w:val="000000"/>
                <w:sz w:val="22"/>
              </w:rPr>
              <w:t>Vehicle age</w:t>
            </w:r>
          </w:p>
        </w:tc>
        <w:tc>
          <w:tcPr>
            <w:tcW w:w="324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rPr>
                <w:b/>
              </w:rPr>
            </w:pPr>
            <w:r w:rsidRPr="00C33B92">
              <w:rPr>
                <w:b/>
                <w:color w:val="000000"/>
                <w:sz w:val="22"/>
              </w:rPr>
              <w:t>Engine displacement, cm</w:t>
            </w:r>
            <w:r w:rsidRPr="00C33B92">
              <w:rPr>
                <w:b/>
                <w:color w:val="000000"/>
                <w:sz w:val="22"/>
                <w:vertAlign w:val="superscript"/>
              </w:rPr>
              <w:t>3</w:t>
            </w:r>
          </w:p>
        </w:tc>
        <w:tc>
          <w:tcPr>
            <w:tcW w:w="387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rPr>
                <w:b/>
              </w:rPr>
            </w:pPr>
            <w:r w:rsidRPr="00C33B92">
              <w:rPr>
                <w:b/>
                <w:color w:val="000000"/>
                <w:sz w:val="22"/>
              </w:rPr>
              <w:t>Customs duty and tax rates as percentage of customs value, euro per cm</w:t>
            </w:r>
            <w:r w:rsidRPr="00C33B92">
              <w:rPr>
                <w:b/>
                <w:color w:val="000000"/>
                <w:sz w:val="22"/>
                <w:vertAlign w:val="superscript"/>
              </w:rPr>
              <w:t xml:space="preserve">3 </w:t>
            </w:r>
            <w:r w:rsidRPr="00C33B92">
              <w:rPr>
                <w:b/>
                <w:color w:val="000000"/>
                <w:sz w:val="22"/>
              </w:rPr>
              <w:t>of engine displacement</w:t>
            </w:r>
          </w:p>
        </w:tc>
      </w:tr>
      <w:tr w:rsidR="008133CD" w:rsidRPr="00C33B92" w:rsidTr="00497AE0">
        <w:trPr>
          <w:trHeight w:hRule="exact" w:val="360"/>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pPr>
            <w:r w:rsidRPr="00C33B92">
              <w:rPr>
                <w:color w:val="000000"/>
                <w:sz w:val="22"/>
              </w:rPr>
              <w:t xml:space="preserve">New vehicles </w:t>
            </w:r>
          </w:p>
        </w:tc>
        <w:tc>
          <w:tcPr>
            <w:tcW w:w="324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pPr>
          </w:p>
        </w:tc>
        <w:tc>
          <w:tcPr>
            <w:tcW w:w="387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pPr>
          </w:p>
        </w:tc>
      </w:tr>
      <w:tr w:rsidR="008133CD" w:rsidRPr="00C33B92" w:rsidTr="00497AE0">
        <w:trPr>
          <w:trHeight w:hRule="exact" w:val="355"/>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pPr>
          </w:p>
        </w:tc>
        <w:tc>
          <w:tcPr>
            <w:tcW w:w="324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pPr>
            <w:r w:rsidRPr="00C33B92">
              <w:rPr>
                <w:color w:val="000000"/>
                <w:sz w:val="22"/>
              </w:rPr>
              <w:t>Not more than 1.000 inclusive</w:t>
            </w:r>
          </w:p>
        </w:tc>
        <w:tc>
          <w:tcPr>
            <w:tcW w:w="387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pPr>
            <w:r w:rsidRPr="00C33B92">
              <w:rPr>
                <w:color w:val="000000"/>
                <w:sz w:val="22"/>
              </w:rPr>
              <w:t>30 but not less than 1,2 euro</w:t>
            </w:r>
          </w:p>
        </w:tc>
      </w:tr>
      <w:tr w:rsidR="008133CD" w:rsidRPr="00C33B92" w:rsidTr="00497AE0">
        <w:trPr>
          <w:trHeight w:hRule="exact" w:val="360"/>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pPr>
          </w:p>
        </w:tc>
        <w:tc>
          <w:tcPr>
            <w:tcW w:w="324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pPr>
            <w:r w:rsidRPr="00C33B92">
              <w:rPr>
                <w:color w:val="000000"/>
                <w:sz w:val="22"/>
              </w:rPr>
              <w:t>1000-1500</w:t>
            </w:r>
          </w:p>
        </w:tc>
        <w:tc>
          <w:tcPr>
            <w:tcW w:w="387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pPr>
            <w:r w:rsidRPr="00C33B92">
              <w:rPr>
                <w:color w:val="000000"/>
                <w:sz w:val="22"/>
              </w:rPr>
              <w:t>30 but not less than 1,45 euro</w:t>
            </w:r>
          </w:p>
        </w:tc>
      </w:tr>
      <w:tr w:rsidR="008133CD" w:rsidRPr="00C33B92" w:rsidTr="00497AE0">
        <w:trPr>
          <w:trHeight w:hRule="exact" w:val="355"/>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pPr>
          </w:p>
        </w:tc>
        <w:tc>
          <w:tcPr>
            <w:tcW w:w="324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pPr>
            <w:r w:rsidRPr="00C33B92">
              <w:rPr>
                <w:color w:val="000000"/>
                <w:sz w:val="22"/>
              </w:rPr>
              <w:t>1500-1800</w:t>
            </w:r>
          </w:p>
        </w:tc>
        <w:tc>
          <w:tcPr>
            <w:tcW w:w="387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pPr>
            <w:r w:rsidRPr="00C33B92">
              <w:rPr>
                <w:color w:val="000000"/>
                <w:sz w:val="22"/>
              </w:rPr>
              <w:t>30 but not less than 1,5 euro</w:t>
            </w:r>
          </w:p>
        </w:tc>
      </w:tr>
      <w:tr w:rsidR="008133CD" w:rsidRPr="00C33B92" w:rsidTr="00497AE0">
        <w:trPr>
          <w:trHeight w:hRule="exact" w:val="350"/>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pPr>
          </w:p>
        </w:tc>
        <w:tc>
          <w:tcPr>
            <w:tcW w:w="324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pPr>
            <w:r w:rsidRPr="00C33B92">
              <w:rPr>
                <w:color w:val="000000"/>
                <w:sz w:val="22"/>
              </w:rPr>
              <w:t>1800-2300</w:t>
            </w:r>
          </w:p>
        </w:tc>
        <w:tc>
          <w:tcPr>
            <w:tcW w:w="387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pPr>
            <w:r w:rsidRPr="00C33B92">
              <w:rPr>
                <w:color w:val="000000"/>
                <w:sz w:val="22"/>
              </w:rPr>
              <w:t>30 but not less than 2,15 euro</w:t>
            </w:r>
          </w:p>
        </w:tc>
      </w:tr>
      <w:tr w:rsidR="008133CD" w:rsidRPr="00C33B92" w:rsidTr="00497AE0">
        <w:trPr>
          <w:trHeight w:hRule="exact" w:val="350"/>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pPr>
          </w:p>
        </w:tc>
        <w:tc>
          <w:tcPr>
            <w:tcW w:w="324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pPr>
            <w:r w:rsidRPr="00C33B92">
              <w:rPr>
                <w:color w:val="000000"/>
                <w:sz w:val="22"/>
              </w:rPr>
              <w:t>2300-3000</w:t>
            </w:r>
          </w:p>
        </w:tc>
        <w:tc>
          <w:tcPr>
            <w:tcW w:w="387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pPr>
            <w:r w:rsidRPr="00C33B92">
              <w:rPr>
                <w:color w:val="000000"/>
                <w:sz w:val="22"/>
              </w:rPr>
              <w:t>30 but not less than 2,15 euro</w:t>
            </w:r>
          </w:p>
        </w:tc>
      </w:tr>
      <w:tr w:rsidR="008133CD" w:rsidRPr="00C33B92" w:rsidTr="00497AE0">
        <w:trPr>
          <w:trHeight w:hRule="exact" w:val="355"/>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pPr>
          </w:p>
        </w:tc>
        <w:tc>
          <w:tcPr>
            <w:tcW w:w="324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pPr>
            <w:r w:rsidRPr="00C33B92">
              <w:rPr>
                <w:color w:val="000000"/>
                <w:sz w:val="22"/>
              </w:rPr>
              <w:t>More than 3000</w:t>
            </w:r>
          </w:p>
        </w:tc>
        <w:tc>
          <w:tcPr>
            <w:tcW w:w="387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pPr>
            <w:r w:rsidRPr="00C33B92">
              <w:rPr>
                <w:color w:val="000000"/>
                <w:sz w:val="22"/>
              </w:rPr>
              <w:t>30 but not less than 2,8 euro</w:t>
            </w:r>
          </w:p>
        </w:tc>
      </w:tr>
      <w:tr w:rsidR="008133CD" w:rsidRPr="00C33B92" w:rsidTr="00497AE0">
        <w:trPr>
          <w:trHeight w:hRule="exact" w:val="360"/>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pPr>
            <w:r w:rsidRPr="00C33B92">
              <w:rPr>
                <w:color w:val="000000"/>
                <w:sz w:val="22"/>
              </w:rPr>
              <w:t>Less than 5 years old</w:t>
            </w:r>
          </w:p>
        </w:tc>
        <w:tc>
          <w:tcPr>
            <w:tcW w:w="324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pPr>
          </w:p>
        </w:tc>
        <w:tc>
          <w:tcPr>
            <w:tcW w:w="387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pPr>
          </w:p>
        </w:tc>
      </w:tr>
      <w:tr w:rsidR="008133CD" w:rsidRPr="00C33B92" w:rsidTr="00497AE0">
        <w:trPr>
          <w:trHeight w:hRule="exact" w:val="360"/>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pPr>
          </w:p>
        </w:tc>
        <w:tc>
          <w:tcPr>
            <w:tcW w:w="324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pPr>
            <w:r w:rsidRPr="00C33B92">
              <w:rPr>
                <w:color w:val="000000"/>
                <w:sz w:val="22"/>
              </w:rPr>
              <w:t>Not more than 1.000 inclusive</w:t>
            </w:r>
          </w:p>
        </w:tc>
        <w:tc>
          <w:tcPr>
            <w:tcW w:w="387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pPr>
            <w:r w:rsidRPr="00C33B92">
              <w:rPr>
                <w:color w:val="000000"/>
                <w:sz w:val="22"/>
              </w:rPr>
              <w:t>35 but not less than 1,2 euro</w:t>
            </w:r>
          </w:p>
        </w:tc>
      </w:tr>
      <w:tr w:rsidR="008133CD" w:rsidRPr="00C33B92" w:rsidTr="00497AE0">
        <w:trPr>
          <w:trHeight w:hRule="exact" w:val="355"/>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pPr>
          </w:p>
        </w:tc>
        <w:tc>
          <w:tcPr>
            <w:tcW w:w="324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pPr>
            <w:r w:rsidRPr="00C33B92">
              <w:rPr>
                <w:color w:val="000000"/>
                <w:sz w:val="22"/>
              </w:rPr>
              <w:t>1000-1500</w:t>
            </w:r>
          </w:p>
        </w:tc>
        <w:tc>
          <w:tcPr>
            <w:tcW w:w="387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pPr>
            <w:r w:rsidRPr="00C33B92">
              <w:rPr>
                <w:color w:val="000000"/>
                <w:sz w:val="22"/>
              </w:rPr>
              <w:t>35 but not less than 1,45 euro</w:t>
            </w:r>
          </w:p>
        </w:tc>
      </w:tr>
      <w:tr w:rsidR="008133CD" w:rsidRPr="00C33B92" w:rsidTr="00497AE0">
        <w:trPr>
          <w:trHeight w:hRule="exact" w:val="355"/>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pPr>
          </w:p>
        </w:tc>
        <w:tc>
          <w:tcPr>
            <w:tcW w:w="324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pPr>
            <w:r w:rsidRPr="00C33B92">
              <w:rPr>
                <w:color w:val="000000"/>
                <w:sz w:val="22"/>
              </w:rPr>
              <w:t>1500-1800</w:t>
            </w:r>
          </w:p>
        </w:tc>
        <w:tc>
          <w:tcPr>
            <w:tcW w:w="387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pPr>
            <w:r w:rsidRPr="00C33B92">
              <w:rPr>
                <w:color w:val="000000"/>
                <w:sz w:val="22"/>
              </w:rPr>
              <w:t>35 but not less than 1,5 euro</w:t>
            </w:r>
          </w:p>
        </w:tc>
      </w:tr>
      <w:tr w:rsidR="008133CD" w:rsidRPr="00C33B92" w:rsidTr="00497AE0">
        <w:trPr>
          <w:trHeight w:hRule="exact" w:val="350"/>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pPr>
          </w:p>
        </w:tc>
        <w:tc>
          <w:tcPr>
            <w:tcW w:w="324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pPr>
            <w:r w:rsidRPr="00C33B92">
              <w:rPr>
                <w:color w:val="000000"/>
                <w:sz w:val="22"/>
              </w:rPr>
              <w:t>1800-2300</w:t>
            </w:r>
          </w:p>
        </w:tc>
        <w:tc>
          <w:tcPr>
            <w:tcW w:w="387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pPr>
            <w:r w:rsidRPr="00C33B92">
              <w:rPr>
                <w:color w:val="000000"/>
                <w:sz w:val="22"/>
              </w:rPr>
              <w:t>35 but not less than 2,15 euro</w:t>
            </w:r>
          </w:p>
        </w:tc>
      </w:tr>
      <w:tr w:rsidR="008133CD" w:rsidRPr="00C33B92" w:rsidTr="00497AE0">
        <w:trPr>
          <w:trHeight w:hRule="exact" w:val="350"/>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pPr>
          </w:p>
        </w:tc>
        <w:tc>
          <w:tcPr>
            <w:tcW w:w="324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pPr>
            <w:r w:rsidRPr="00C33B92">
              <w:rPr>
                <w:color w:val="000000"/>
                <w:sz w:val="22"/>
              </w:rPr>
              <w:t>2300-3000</w:t>
            </w:r>
          </w:p>
        </w:tc>
        <w:tc>
          <w:tcPr>
            <w:tcW w:w="387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pPr>
            <w:r w:rsidRPr="00C33B92">
              <w:rPr>
                <w:color w:val="000000"/>
                <w:sz w:val="22"/>
              </w:rPr>
              <w:t>35 but less than 2,15 euro</w:t>
            </w:r>
          </w:p>
        </w:tc>
      </w:tr>
      <w:tr w:rsidR="008133CD" w:rsidRPr="00C33B92" w:rsidTr="00497AE0">
        <w:trPr>
          <w:trHeight w:hRule="exact" w:val="360"/>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pPr>
          </w:p>
        </w:tc>
        <w:tc>
          <w:tcPr>
            <w:tcW w:w="324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pPr>
            <w:r w:rsidRPr="00C33B92">
              <w:rPr>
                <w:color w:val="000000"/>
                <w:sz w:val="22"/>
              </w:rPr>
              <w:t>More than 3000</w:t>
            </w:r>
          </w:p>
        </w:tc>
        <w:tc>
          <w:tcPr>
            <w:tcW w:w="387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pPr>
            <w:r w:rsidRPr="00C33B92">
              <w:rPr>
                <w:color w:val="000000"/>
                <w:sz w:val="22"/>
              </w:rPr>
              <w:t>35 but not less than 2,8 euro</w:t>
            </w:r>
          </w:p>
        </w:tc>
      </w:tr>
      <w:tr w:rsidR="008133CD" w:rsidRPr="00C33B92" w:rsidTr="00497AE0">
        <w:trPr>
          <w:trHeight w:hRule="exact" w:val="355"/>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pPr>
            <w:r w:rsidRPr="00C33B92">
              <w:rPr>
                <w:color w:val="000000"/>
                <w:sz w:val="22"/>
              </w:rPr>
              <w:t>5 years and older</w:t>
            </w:r>
          </w:p>
        </w:tc>
        <w:tc>
          <w:tcPr>
            <w:tcW w:w="324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pPr>
          </w:p>
        </w:tc>
        <w:tc>
          <w:tcPr>
            <w:tcW w:w="387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pPr>
          </w:p>
        </w:tc>
      </w:tr>
      <w:tr w:rsidR="008133CD" w:rsidRPr="00C33B92" w:rsidTr="00497AE0">
        <w:trPr>
          <w:trHeight w:hRule="exact" w:val="355"/>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pPr>
          </w:p>
        </w:tc>
        <w:tc>
          <w:tcPr>
            <w:tcW w:w="324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pPr>
            <w:r w:rsidRPr="00C33B92">
              <w:rPr>
                <w:color w:val="000000"/>
                <w:sz w:val="22"/>
              </w:rPr>
              <w:t>Not more than 1.000 inclusive</w:t>
            </w:r>
          </w:p>
        </w:tc>
        <w:tc>
          <w:tcPr>
            <w:tcW w:w="387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pPr>
            <w:r w:rsidRPr="00C33B92">
              <w:rPr>
                <w:color w:val="000000"/>
                <w:sz w:val="22"/>
              </w:rPr>
              <w:t>2,5 euro</w:t>
            </w:r>
          </w:p>
        </w:tc>
      </w:tr>
      <w:tr w:rsidR="008133CD" w:rsidRPr="00C33B92" w:rsidTr="00497AE0">
        <w:trPr>
          <w:trHeight w:hRule="exact" w:val="336"/>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pPr>
          </w:p>
        </w:tc>
        <w:tc>
          <w:tcPr>
            <w:tcW w:w="324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pPr>
            <w:r w:rsidRPr="00C33B92">
              <w:rPr>
                <w:color w:val="000000"/>
                <w:sz w:val="22"/>
              </w:rPr>
              <w:t>1000-1500</w:t>
            </w:r>
          </w:p>
        </w:tc>
        <w:tc>
          <w:tcPr>
            <w:tcW w:w="387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pPr>
            <w:r w:rsidRPr="00C33B92">
              <w:rPr>
                <w:color w:val="000000"/>
                <w:sz w:val="22"/>
              </w:rPr>
              <w:t>2,7 euro</w:t>
            </w:r>
          </w:p>
        </w:tc>
      </w:tr>
      <w:tr w:rsidR="008133CD" w:rsidRPr="00C33B92" w:rsidTr="00497AE0">
        <w:trPr>
          <w:trHeight w:hRule="exact" w:val="346"/>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pPr>
          </w:p>
        </w:tc>
        <w:tc>
          <w:tcPr>
            <w:tcW w:w="324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pPr>
            <w:r w:rsidRPr="00C33B92">
              <w:rPr>
                <w:color w:val="000000"/>
                <w:sz w:val="22"/>
              </w:rPr>
              <w:t>1500-1800</w:t>
            </w:r>
          </w:p>
        </w:tc>
        <w:tc>
          <w:tcPr>
            <w:tcW w:w="387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pPr>
            <w:r w:rsidRPr="00C33B92">
              <w:rPr>
                <w:color w:val="000000"/>
                <w:sz w:val="22"/>
              </w:rPr>
              <w:t>2,9 euro</w:t>
            </w:r>
          </w:p>
        </w:tc>
      </w:tr>
      <w:tr w:rsidR="008133CD" w:rsidRPr="00C33B92" w:rsidTr="00497AE0">
        <w:trPr>
          <w:trHeight w:hRule="exact" w:val="350"/>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pPr>
          </w:p>
        </w:tc>
        <w:tc>
          <w:tcPr>
            <w:tcW w:w="324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pPr>
            <w:r w:rsidRPr="00C33B92">
              <w:rPr>
                <w:color w:val="000000"/>
                <w:sz w:val="22"/>
              </w:rPr>
              <w:t>1800-2300</w:t>
            </w:r>
          </w:p>
        </w:tc>
        <w:tc>
          <w:tcPr>
            <w:tcW w:w="387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pPr>
            <w:r w:rsidRPr="00C33B92">
              <w:rPr>
                <w:color w:val="000000"/>
                <w:sz w:val="22"/>
              </w:rPr>
              <w:t>4,0 euro</w:t>
            </w:r>
          </w:p>
        </w:tc>
      </w:tr>
      <w:tr w:rsidR="008133CD" w:rsidRPr="00C33B92" w:rsidTr="00497AE0">
        <w:trPr>
          <w:trHeight w:hRule="exact" w:val="355"/>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pPr>
          </w:p>
        </w:tc>
        <w:tc>
          <w:tcPr>
            <w:tcW w:w="324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pPr>
            <w:r w:rsidRPr="00C33B92">
              <w:rPr>
                <w:color w:val="000000"/>
                <w:sz w:val="22"/>
              </w:rPr>
              <w:t>2300-3000</w:t>
            </w:r>
          </w:p>
        </w:tc>
        <w:tc>
          <w:tcPr>
            <w:tcW w:w="387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pPr>
            <w:r w:rsidRPr="00C33B92">
              <w:rPr>
                <w:color w:val="000000"/>
                <w:sz w:val="22"/>
              </w:rPr>
              <w:t>4,0 euro</w:t>
            </w:r>
          </w:p>
        </w:tc>
      </w:tr>
      <w:tr w:rsidR="008133CD" w:rsidRPr="00C33B92" w:rsidTr="00497AE0">
        <w:trPr>
          <w:trHeight w:hRule="exact" w:val="379"/>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pPr>
          </w:p>
        </w:tc>
        <w:tc>
          <w:tcPr>
            <w:tcW w:w="324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pPr>
            <w:r w:rsidRPr="00C33B92">
              <w:rPr>
                <w:color w:val="000000"/>
                <w:sz w:val="22"/>
              </w:rPr>
              <w:t>More than 3000</w:t>
            </w:r>
          </w:p>
        </w:tc>
        <w:tc>
          <w:tcPr>
            <w:tcW w:w="387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pPr>
            <w:r w:rsidRPr="00C33B92">
              <w:rPr>
                <w:color w:val="000000"/>
                <w:sz w:val="22"/>
              </w:rPr>
              <w:t>5,8 euro</w:t>
            </w:r>
          </w:p>
        </w:tc>
      </w:tr>
    </w:tbl>
    <w:p w:rsidR="008133CD" w:rsidRPr="00ED700C" w:rsidRDefault="008133CD" w:rsidP="008133CD">
      <w:pPr>
        <w:ind w:right="36"/>
      </w:pPr>
    </w:p>
    <w:p w:rsidR="008133CD" w:rsidRDefault="008133CD" w:rsidP="008133CD">
      <w:pPr>
        <w:shd w:val="clear" w:color="auto" w:fill="FFFFFF"/>
        <w:spacing w:line="326" w:lineRule="exact"/>
        <w:ind w:right="36"/>
        <w:jc w:val="center"/>
        <w:rPr>
          <w:color w:val="000000"/>
        </w:rPr>
      </w:pPr>
    </w:p>
    <w:p w:rsidR="008133CD" w:rsidRDefault="008133CD" w:rsidP="008133CD">
      <w:pPr>
        <w:shd w:val="clear" w:color="auto" w:fill="FFFFFF"/>
        <w:spacing w:line="326" w:lineRule="exact"/>
        <w:ind w:right="36"/>
        <w:jc w:val="center"/>
        <w:rPr>
          <w:color w:val="000000"/>
        </w:rPr>
      </w:pPr>
    </w:p>
    <w:p w:rsidR="008133CD" w:rsidRDefault="008133CD" w:rsidP="008133CD">
      <w:pPr>
        <w:shd w:val="clear" w:color="auto" w:fill="FFFFFF"/>
        <w:spacing w:line="326" w:lineRule="exact"/>
        <w:ind w:right="36"/>
        <w:jc w:val="center"/>
        <w:rPr>
          <w:color w:val="000000"/>
        </w:rPr>
      </w:pPr>
    </w:p>
    <w:p w:rsidR="008133CD" w:rsidRDefault="008133CD" w:rsidP="008133CD">
      <w:pPr>
        <w:shd w:val="clear" w:color="auto" w:fill="FFFFFF"/>
        <w:spacing w:line="326" w:lineRule="exact"/>
        <w:ind w:right="36"/>
        <w:jc w:val="center"/>
        <w:rPr>
          <w:color w:val="000000"/>
        </w:rPr>
      </w:pPr>
    </w:p>
    <w:p w:rsidR="008133CD" w:rsidRDefault="008133CD" w:rsidP="008133CD">
      <w:pPr>
        <w:shd w:val="clear" w:color="auto" w:fill="FFFFFF"/>
        <w:spacing w:line="326" w:lineRule="exact"/>
        <w:ind w:right="36"/>
        <w:jc w:val="center"/>
        <w:rPr>
          <w:color w:val="000000"/>
        </w:rPr>
      </w:pPr>
    </w:p>
    <w:p w:rsidR="00C33B92" w:rsidRDefault="00C33B92">
      <w:pPr>
        <w:spacing w:after="200" w:line="276" w:lineRule="auto"/>
        <w:rPr>
          <w:color w:val="000000"/>
        </w:rPr>
      </w:pPr>
      <w:r>
        <w:rPr>
          <w:color w:val="000000"/>
        </w:rPr>
        <w:br w:type="page"/>
      </w:r>
    </w:p>
    <w:p w:rsidR="008133CD" w:rsidRPr="00ED700C" w:rsidRDefault="008133CD" w:rsidP="008133CD">
      <w:pPr>
        <w:shd w:val="clear" w:color="auto" w:fill="FFFFFF"/>
        <w:spacing w:line="326" w:lineRule="exact"/>
        <w:ind w:right="36"/>
        <w:jc w:val="center"/>
        <w:rPr>
          <w:color w:val="000000"/>
        </w:rPr>
      </w:pPr>
      <w:r w:rsidRPr="00ED700C">
        <w:rPr>
          <w:color w:val="000000"/>
        </w:rPr>
        <w:lastRenderedPageBreak/>
        <w:t>Effective 1 January 2010</w:t>
      </w:r>
    </w:p>
    <w:p w:rsidR="008133CD" w:rsidRPr="00ED700C" w:rsidRDefault="008133CD" w:rsidP="008133CD">
      <w:pPr>
        <w:shd w:val="clear" w:color="auto" w:fill="FFFFFF"/>
        <w:spacing w:line="326" w:lineRule="exact"/>
        <w:ind w:right="36"/>
        <w:jc w:val="center"/>
        <w:rPr>
          <w:b/>
          <w:color w:val="000000"/>
        </w:rPr>
      </w:pPr>
      <w:r w:rsidRPr="00ED700C">
        <w:rPr>
          <w:b/>
          <w:color w:val="000000"/>
        </w:rPr>
        <w:t>Cars with diesel engine</w:t>
      </w:r>
    </w:p>
    <w:p w:rsidR="008133CD" w:rsidRPr="00ED700C" w:rsidRDefault="008133CD" w:rsidP="008133CD">
      <w:pPr>
        <w:shd w:val="clear" w:color="auto" w:fill="FFFFFF"/>
        <w:spacing w:line="326" w:lineRule="exact"/>
        <w:ind w:right="36"/>
        <w:rPr>
          <w:b/>
        </w:rPr>
      </w:pPr>
    </w:p>
    <w:tbl>
      <w:tblPr>
        <w:tblW w:w="0" w:type="auto"/>
        <w:tblInd w:w="40" w:type="dxa"/>
        <w:tblLayout w:type="fixed"/>
        <w:tblCellMar>
          <w:left w:w="40" w:type="dxa"/>
          <w:right w:w="40" w:type="dxa"/>
        </w:tblCellMar>
        <w:tblLook w:val="0000"/>
      </w:tblPr>
      <w:tblGrid>
        <w:gridCol w:w="3150"/>
        <w:gridCol w:w="2970"/>
        <w:gridCol w:w="2970"/>
      </w:tblGrid>
      <w:tr w:rsidR="008133CD" w:rsidRPr="00C33B92" w:rsidTr="00497AE0">
        <w:trPr>
          <w:trHeight w:hRule="exact" w:val="1152"/>
        </w:trPr>
        <w:tc>
          <w:tcPr>
            <w:tcW w:w="315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rPr>
                <w:b/>
              </w:rPr>
            </w:pPr>
            <w:r w:rsidRPr="00C33B92">
              <w:rPr>
                <w:b/>
                <w:color w:val="000000"/>
                <w:sz w:val="22"/>
              </w:rPr>
              <w:t>Vehicle age</w:t>
            </w:r>
          </w:p>
        </w:tc>
        <w:tc>
          <w:tcPr>
            <w:tcW w:w="297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rPr>
                <w:b/>
              </w:rPr>
            </w:pPr>
            <w:r w:rsidRPr="00C33B92">
              <w:rPr>
                <w:b/>
                <w:color w:val="000000"/>
                <w:sz w:val="22"/>
              </w:rPr>
              <w:t>Engine displacement, cm</w:t>
            </w:r>
            <w:r w:rsidRPr="00C33B92">
              <w:rPr>
                <w:b/>
                <w:color w:val="000000"/>
                <w:sz w:val="22"/>
                <w:vertAlign w:val="superscript"/>
              </w:rPr>
              <w:t>3</w:t>
            </w:r>
          </w:p>
        </w:tc>
        <w:tc>
          <w:tcPr>
            <w:tcW w:w="297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rPr>
                <w:b/>
              </w:rPr>
            </w:pPr>
            <w:r w:rsidRPr="00C33B92">
              <w:rPr>
                <w:b/>
                <w:color w:val="000000"/>
                <w:sz w:val="22"/>
              </w:rPr>
              <w:t>Customs duty and tax rates as percentage of customs value, euro per cm</w:t>
            </w:r>
            <w:r w:rsidRPr="00C33B92">
              <w:rPr>
                <w:b/>
                <w:color w:val="000000"/>
                <w:sz w:val="22"/>
                <w:vertAlign w:val="superscript"/>
              </w:rPr>
              <w:t xml:space="preserve">3 </w:t>
            </w:r>
            <w:r w:rsidRPr="00C33B92">
              <w:rPr>
                <w:b/>
                <w:color w:val="000000"/>
                <w:sz w:val="22"/>
              </w:rPr>
              <w:t>of engine displacement</w:t>
            </w:r>
          </w:p>
        </w:tc>
      </w:tr>
      <w:tr w:rsidR="008133CD" w:rsidRPr="00C33B92" w:rsidTr="00497AE0">
        <w:trPr>
          <w:trHeight w:hRule="exact" w:val="204"/>
        </w:trPr>
        <w:tc>
          <w:tcPr>
            <w:tcW w:w="3150" w:type="dxa"/>
            <w:vMerge w:val="restart"/>
            <w:tcBorders>
              <w:top w:val="single" w:sz="6" w:space="0" w:color="auto"/>
              <w:left w:val="single" w:sz="6" w:space="0" w:color="auto"/>
              <w:right w:val="single" w:sz="6" w:space="0" w:color="auto"/>
            </w:tcBorders>
            <w:shd w:val="clear" w:color="auto" w:fill="FFFFFF"/>
            <w:vAlign w:val="center"/>
          </w:tcPr>
          <w:p w:rsidR="008133CD" w:rsidRPr="00C33B92" w:rsidRDefault="008133CD" w:rsidP="00497AE0">
            <w:pPr>
              <w:shd w:val="clear" w:color="auto" w:fill="FFFFFF"/>
              <w:ind w:right="43"/>
            </w:pPr>
            <w:r w:rsidRPr="00C33B92">
              <w:rPr>
                <w:color w:val="000000"/>
                <w:sz w:val="22"/>
              </w:rPr>
              <w:t>New vehicles</w:t>
            </w:r>
          </w:p>
        </w:tc>
        <w:tc>
          <w:tcPr>
            <w:tcW w:w="297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pPr>
          </w:p>
        </w:tc>
        <w:tc>
          <w:tcPr>
            <w:tcW w:w="297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pPr>
          </w:p>
        </w:tc>
      </w:tr>
      <w:tr w:rsidR="008133CD" w:rsidRPr="00C33B92" w:rsidTr="00497AE0">
        <w:trPr>
          <w:trHeight w:hRule="exact" w:val="634"/>
        </w:trPr>
        <w:tc>
          <w:tcPr>
            <w:tcW w:w="3150" w:type="dxa"/>
            <w:vMerge/>
            <w:tcBorders>
              <w:left w:val="single" w:sz="6" w:space="0" w:color="auto"/>
              <w:right w:val="single" w:sz="6" w:space="0" w:color="auto"/>
            </w:tcBorders>
            <w:shd w:val="clear" w:color="auto" w:fill="FFFFFF"/>
            <w:vAlign w:val="center"/>
          </w:tcPr>
          <w:p w:rsidR="008133CD" w:rsidRPr="00C33B92" w:rsidRDefault="008133CD" w:rsidP="00497AE0">
            <w:pPr>
              <w:shd w:val="clear" w:color="auto" w:fill="FFFFFF"/>
              <w:ind w:right="43"/>
            </w:pPr>
          </w:p>
        </w:tc>
        <w:tc>
          <w:tcPr>
            <w:tcW w:w="297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firstLine="5"/>
            </w:pPr>
            <w:r w:rsidRPr="00C33B92">
              <w:rPr>
                <w:color w:val="000000"/>
                <w:sz w:val="22"/>
              </w:rPr>
              <w:t>Not more than 1500 inclusive</w:t>
            </w:r>
          </w:p>
        </w:tc>
        <w:tc>
          <w:tcPr>
            <w:tcW w:w="297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pPr>
            <w:r w:rsidRPr="00C33B92">
              <w:rPr>
                <w:color w:val="000000"/>
                <w:sz w:val="22"/>
              </w:rPr>
              <w:t>30 but not less than 1,45 euro</w:t>
            </w:r>
          </w:p>
        </w:tc>
      </w:tr>
      <w:tr w:rsidR="008133CD" w:rsidRPr="00C33B92" w:rsidTr="00497AE0">
        <w:trPr>
          <w:trHeight w:hRule="exact" w:val="389"/>
        </w:trPr>
        <w:tc>
          <w:tcPr>
            <w:tcW w:w="3150" w:type="dxa"/>
            <w:vMerge/>
            <w:tcBorders>
              <w:left w:val="single" w:sz="6" w:space="0" w:color="auto"/>
              <w:right w:val="single" w:sz="6" w:space="0" w:color="auto"/>
            </w:tcBorders>
            <w:shd w:val="clear" w:color="auto" w:fill="FFFFFF"/>
            <w:vAlign w:val="center"/>
          </w:tcPr>
          <w:p w:rsidR="008133CD" w:rsidRPr="00C33B92" w:rsidRDefault="008133CD" w:rsidP="00497AE0">
            <w:pPr>
              <w:shd w:val="clear" w:color="auto" w:fill="FFFFFF"/>
              <w:ind w:right="43"/>
            </w:pPr>
          </w:p>
        </w:tc>
        <w:tc>
          <w:tcPr>
            <w:tcW w:w="297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pPr>
            <w:r w:rsidRPr="00C33B92">
              <w:rPr>
                <w:color w:val="000000"/>
                <w:sz w:val="22"/>
              </w:rPr>
              <w:t>1500-2500</w:t>
            </w:r>
          </w:p>
        </w:tc>
        <w:tc>
          <w:tcPr>
            <w:tcW w:w="297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pPr>
            <w:r w:rsidRPr="00C33B92">
              <w:rPr>
                <w:color w:val="000000"/>
                <w:sz w:val="22"/>
              </w:rPr>
              <w:t>30 but not less than 1,9 euro</w:t>
            </w:r>
          </w:p>
        </w:tc>
      </w:tr>
      <w:tr w:rsidR="008133CD" w:rsidRPr="00C33B92" w:rsidTr="00497AE0">
        <w:trPr>
          <w:trHeight w:hRule="exact" w:val="389"/>
        </w:trPr>
        <w:tc>
          <w:tcPr>
            <w:tcW w:w="3150" w:type="dxa"/>
            <w:vMerge/>
            <w:tcBorders>
              <w:left w:val="single" w:sz="6" w:space="0" w:color="auto"/>
              <w:bottom w:val="single" w:sz="6" w:space="0" w:color="auto"/>
              <w:right w:val="single" w:sz="6" w:space="0" w:color="auto"/>
            </w:tcBorders>
            <w:shd w:val="clear" w:color="auto" w:fill="FFFFFF"/>
            <w:vAlign w:val="center"/>
          </w:tcPr>
          <w:p w:rsidR="008133CD" w:rsidRPr="00C33B92" w:rsidRDefault="008133CD" w:rsidP="00497AE0">
            <w:pPr>
              <w:shd w:val="clear" w:color="auto" w:fill="FFFFFF"/>
              <w:ind w:right="43"/>
            </w:pPr>
          </w:p>
        </w:tc>
        <w:tc>
          <w:tcPr>
            <w:tcW w:w="297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pPr>
            <w:r w:rsidRPr="00C33B92">
              <w:rPr>
                <w:color w:val="000000"/>
                <w:sz w:val="22"/>
              </w:rPr>
              <w:t>More than 2500</w:t>
            </w:r>
          </w:p>
        </w:tc>
        <w:tc>
          <w:tcPr>
            <w:tcW w:w="297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pPr>
            <w:r w:rsidRPr="00C33B92">
              <w:rPr>
                <w:color w:val="000000"/>
                <w:sz w:val="22"/>
              </w:rPr>
              <w:t>30 but not less than 2,8 euro</w:t>
            </w:r>
          </w:p>
        </w:tc>
      </w:tr>
      <w:tr w:rsidR="008133CD" w:rsidRPr="00C33B92" w:rsidTr="00497AE0">
        <w:trPr>
          <w:trHeight w:hRule="exact" w:val="204"/>
        </w:trPr>
        <w:tc>
          <w:tcPr>
            <w:tcW w:w="3150" w:type="dxa"/>
            <w:vMerge w:val="restart"/>
            <w:tcBorders>
              <w:top w:val="single" w:sz="6" w:space="0" w:color="auto"/>
              <w:left w:val="single" w:sz="6" w:space="0" w:color="auto"/>
              <w:right w:val="single" w:sz="6" w:space="0" w:color="auto"/>
            </w:tcBorders>
            <w:shd w:val="clear" w:color="auto" w:fill="FFFFFF"/>
            <w:vAlign w:val="center"/>
          </w:tcPr>
          <w:p w:rsidR="008133CD" w:rsidRPr="00C33B92" w:rsidRDefault="008133CD" w:rsidP="00497AE0">
            <w:pPr>
              <w:shd w:val="clear" w:color="auto" w:fill="FFFFFF"/>
              <w:ind w:right="43"/>
            </w:pPr>
            <w:r w:rsidRPr="00C33B92">
              <w:rPr>
                <w:color w:val="000000"/>
                <w:sz w:val="22"/>
              </w:rPr>
              <w:t>Less than 5 years old</w:t>
            </w:r>
          </w:p>
        </w:tc>
        <w:tc>
          <w:tcPr>
            <w:tcW w:w="297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pPr>
          </w:p>
        </w:tc>
        <w:tc>
          <w:tcPr>
            <w:tcW w:w="297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pPr>
          </w:p>
        </w:tc>
      </w:tr>
      <w:tr w:rsidR="008133CD" w:rsidRPr="00C33B92" w:rsidTr="00497AE0">
        <w:trPr>
          <w:trHeight w:hRule="exact" w:val="629"/>
        </w:trPr>
        <w:tc>
          <w:tcPr>
            <w:tcW w:w="3150" w:type="dxa"/>
            <w:vMerge/>
            <w:tcBorders>
              <w:left w:val="single" w:sz="6" w:space="0" w:color="auto"/>
              <w:right w:val="single" w:sz="6" w:space="0" w:color="auto"/>
            </w:tcBorders>
            <w:shd w:val="clear" w:color="auto" w:fill="FFFFFF"/>
            <w:vAlign w:val="center"/>
          </w:tcPr>
          <w:p w:rsidR="008133CD" w:rsidRPr="00C33B92" w:rsidRDefault="008133CD" w:rsidP="00497AE0">
            <w:pPr>
              <w:shd w:val="clear" w:color="auto" w:fill="FFFFFF"/>
              <w:ind w:right="43"/>
            </w:pPr>
          </w:p>
        </w:tc>
        <w:tc>
          <w:tcPr>
            <w:tcW w:w="297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firstLine="5"/>
            </w:pPr>
            <w:r w:rsidRPr="00C33B92">
              <w:rPr>
                <w:color w:val="000000"/>
                <w:sz w:val="22"/>
              </w:rPr>
              <w:t>Not more than 1500 inclusive</w:t>
            </w:r>
          </w:p>
        </w:tc>
        <w:tc>
          <w:tcPr>
            <w:tcW w:w="297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pPr>
            <w:r w:rsidRPr="00C33B92">
              <w:rPr>
                <w:color w:val="000000"/>
                <w:sz w:val="22"/>
              </w:rPr>
              <w:t>35 but not less than 1,45 euro</w:t>
            </w:r>
          </w:p>
        </w:tc>
      </w:tr>
      <w:tr w:rsidR="008133CD" w:rsidRPr="00C33B92" w:rsidTr="00497AE0">
        <w:trPr>
          <w:trHeight w:hRule="exact" w:val="394"/>
        </w:trPr>
        <w:tc>
          <w:tcPr>
            <w:tcW w:w="3150" w:type="dxa"/>
            <w:vMerge/>
            <w:tcBorders>
              <w:left w:val="single" w:sz="6" w:space="0" w:color="auto"/>
              <w:right w:val="single" w:sz="6" w:space="0" w:color="auto"/>
            </w:tcBorders>
            <w:shd w:val="clear" w:color="auto" w:fill="FFFFFF"/>
            <w:vAlign w:val="center"/>
          </w:tcPr>
          <w:p w:rsidR="008133CD" w:rsidRPr="00C33B92" w:rsidRDefault="008133CD" w:rsidP="00497AE0">
            <w:pPr>
              <w:shd w:val="clear" w:color="auto" w:fill="FFFFFF"/>
              <w:ind w:right="43"/>
            </w:pPr>
          </w:p>
        </w:tc>
        <w:tc>
          <w:tcPr>
            <w:tcW w:w="297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pPr>
            <w:r w:rsidRPr="00C33B92">
              <w:rPr>
                <w:color w:val="000000"/>
                <w:sz w:val="22"/>
              </w:rPr>
              <w:t>1500-2500</w:t>
            </w:r>
          </w:p>
        </w:tc>
        <w:tc>
          <w:tcPr>
            <w:tcW w:w="297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pPr>
            <w:r w:rsidRPr="00C33B92">
              <w:rPr>
                <w:color w:val="000000"/>
                <w:sz w:val="22"/>
              </w:rPr>
              <w:t>35 but not less than 2,15 euro</w:t>
            </w:r>
          </w:p>
        </w:tc>
      </w:tr>
      <w:tr w:rsidR="008133CD" w:rsidRPr="00C33B92" w:rsidTr="00497AE0">
        <w:trPr>
          <w:trHeight w:hRule="exact" w:val="389"/>
        </w:trPr>
        <w:tc>
          <w:tcPr>
            <w:tcW w:w="3150" w:type="dxa"/>
            <w:vMerge/>
            <w:tcBorders>
              <w:left w:val="single" w:sz="6" w:space="0" w:color="auto"/>
              <w:bottom w:val="single" w:sz="6" w:space="0" w:color="auto"/>
              <w:right w:val="single" w:sz="6" w:space="0" w:color="auto"/>
            </w:tcBorders>
            <w:shd w:val="clear" w:color="auto" w:fill="FFFFFF"/>
            <w:vAlign w:val="center"/>
          </w:tcPr>
          <w:p w:rsidR="008133CD" w:rsidRPr="00C33B92" w:rsidRDefault="008133CD" w:rsidP="00497AE0">
            <w:pPr>
              <w:shd w:val="clear" w:color="auto" w:fill="FFFFFF"/>
              <w:ind w:right="43"/>
            </w:pPr>
          </w:p>
        </w:tc>
        <w:tc>
          <w:tcPr>
            <w:tcW w:w="297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pPr>
            <w:r w:rsidRPr="00C33B92">
              <w:rPr>
                <w:color w:val="000000"/>
                <w:sz w:val="22"/>
              </w:rPr>
              <w:t>More than 2500</w:t>
            </w:r>
          </w:p>
        </w:tc>
        <w:tc>
          <w:tcPr>
            <w:tcW w:w="297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pPr>
            <w:r w:rsidRPr="00C33B92">
              <w:rPr>
                <w:color w:val="000000"/>
                <w:sz w:val="22"/>
              </w:rPr>
              <w:t>35 but not less than 2,8 euro</w:t>
            </w:r>
          </w:p>
        </w:tc>
      </w:tr>
      <w:tr w:rsidR="008133CD" w:rsidRPr="00C33B92" w:rsidTr="00497AE0">
        <w:trPr>
          <w:trHeight w:hRule="exact" w:val="132"/>
        </w:trPr>
        <w:tc>
          <w:tcPr>
            <w:tcW w:w="3150" w:type="dxa"/>
            <w:vMerge w:val="restart"/>
            <w:tcBorders>
              <w:top w:val="single" w:sz="6" w:space="0" w:color="auto"/>
              <w:left w:val="single" w:sz="6" w:space="0" w:color="auto"/>
              <w:right w:val="single" w:sz="6" w:space="0" w:color="auto"/>
            </w:tcBorders>
            <w:shd w:val="clear" w:color="auto" w:fill="FFFFFF"/>
            <w:vAlign w:val="center"/>
          </w:tcPr>
          <w:p w:rsidR="008133CD" w:rsidRPr="00C33B92" w:rsidRDefault="008133CD" w:rsidP="00497AE0">
            <w:pPr>
              <w:shd w:val="clear" w:color="auto" w:fill="FFFFFF"/>
              <w:ind w:right="43"/>
            </w:pPr>
            <w:r w:rsidRPr="00C33B92">
              <w:rPr>
                <w:color w:val="000000"/>
                <w:sz w:val="22"/>
              </w:rPr>
              <w:t>5 years and older</w:t>
            </w:r>
          </w:p>
        </w:tc>
        <w:tc>
          <w:tcPr>
            <w:tcW w:w="297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pPr>
          </w:p>
        </w:tc>
        <w:tc>
          <w:tcPr>
            <w:tcW w:w="297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pPr>
          </w:p>
        </w:tc>
      </w:tr>
      <w:tr w:rsidR="008133CD" w:rsidRPr="00C33B92" w:rsidTr="00497AE0">
        <w:trPr>
          <w:trHeight w:hRule="exact" w:val="629"/>
        </w:trPr>
        <w:tc>
          <w:tcPr>
            <w:tcW w:w="3150" w:type="dxa"/>
            <w:vMerge/>
            <w:tcBorders>
              <w:left w:val="single" w:sz="6" w:space="0" w:color="auto"/>
              <w:right w:val="single" w:sz="6" w:space="0" w:color="auto"/>
            </w:tcBorders>
            <w:shd w:val="clear" w:color="auto" w:fill="FFFFFF"/>
          </w:tcPr>
          <w:p w:rsidR="008133CD" w:rsidRPr="00C33B92" w:rsidRDefault="008133CD" w:rsidP="00497AE0">
            <w:pPr>
              <w:shd w:val="clear" w:color="auto" w:fill="FFFFFF"/>
              <w:ind w:right="43"/>
            </w:pPr>
          </w:p>
        </w:tc>
        <w:tc>
          <w:tcPr>
            <w:tcW w:w="297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firstLine="5"/>
            </w:pPr>
            <w:r w:rsidRPr="00C33B92">
              <w:rPr>
                <w:color w:val="000000"/>
                <w:sz w:val="22"/>
              </w:rPr>
              <w:t>Not more than 1500 inclusive</w:t>
            </w:r>
          </w:p>
        </w:tc>
        <w:tc>
          <w:tcPr>
            <w:tcW w:w="297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pPr>
            <w:r w:rsidRPr="00C33B92">
              <w:rPr>
                <w:color w:val="000000"/>
                <w:sz w:val="22"/>
              </w:rPr>
              <w:t>2,7 euro</w:t>
            </w:r>
          </w:p>
        </w:tc>
      </w:tr>
      <w:tr w:rsidR="008133CD" w:rsidRPr="00C33B92" w:rsidTr="00497AE0">
        <w:trPr>
          <w:trHeight w:hRule="exact" w:val="394"/>
        </w:trPr>
        <w:tc>
          <w:tcPr>
            <w:tcW w:w="3150" w:type="dxa"/>
            <w:vMerge/>
            <w:tcBorders>
              <w:left w:val="single" w:sz="6" w:space="0" w:color="auto"/>
              <w:right w:val="single" w:sz="6" w:space="0" w:color="auto"/>
            </w:tcBorders>
            <w:shd w:val="clear" w:color="auto" w:fill="FFFFFF"/>
          </w:tcPr>
          <w:p w:rsidR="008133CD" w:rsidRPr="00C33B92" w:rsidRDefault="008133CD" w:rsidP="00497AE0">
            <w:pPr>
              <w:shd w:val="clear" w:color="auto" w:fill="FFFFFF"/>
              <w:ind w:right="43"/>
            </w:pPr>
          </w:p>
        </w:tc>
        <w:tc>
          <w:tcPr>
            <w:tcW w:w="297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pPr>
            <w:r w:rsidRPr="00C33B92">
              <w:rPr>
                <w:color w:val="000000"/>
                <w:sz w:val="22"/>
              </w:rPr>
              <w:t>1500-2500</w:t>
            </w:r>
          </w:p>
        </w:tc>
        <w:tc>
          <w:tcPr>
            <w:tcW w:w="297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pPr>
            <w:r w:rsidRPr="00C33B92">
              <w:rPr>
                <w:color w:val="000000"/>
                <w:sz w:val="22"/>
              </w:rPr>
              <w:t>4,0 euro</w:t>
            </w:r>
          </w:p>
        </w:tc>
      </w:tr>
      <w:tr w:rsidR="008133CD" w:rsidRPr="00C33B92" w:rsidTr="00497AE0">
        <w:trPr>
          <w:trHeight w:hRule="exact" w:val="422"/>
        </w:trPr>
        <w:tc>
          <w:tcPr>
            <w:tcW w:w="3150" w:type="dxa"/>
            <w:vMerge/>
            <w:tcBorders>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pPr>
          </w:p>
        </w:tc>
        <w:tc>
          <w:tcPr>
            <w:tcW w:w="297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pPr>
            <w:r w:rsidRPr="00C33B92">
              <w:rPr>
                <w:color w:val="000000"/>
                <w:sz w:val="22"/>
              </w:rPr>
              <w:t>More than 2500</w:t>
            </w:r>
          </w:p>
        </w:tc>
        <w:tc>
          <w:tcPr>
            <w:tcW w:w="2970" w:type="dxa"/>
            <w:tcBorders>
              <w:top w:val="single" w:sz="6" w:space="0" w:color="auto"/>
              <w:left w:val="single" w:sz="6" w:space="0" w:color="auto"/>
              <w:bottom w:val="single" w:sz="6" w:space="0" w:color="auto"/>
              <w:right w:val="single" w:sz="6" w:space="0" w:color="auto"/>
            </w:tcBorders>
            <w:shd w:val="clear" w:color="auto" w:fill="FFFFFF"/>
          </w:tcPr>
          <w:p w:rsidR="008133CD" w:rsidRPr="00C33B92" w:rsidRDefault="008133CD" w:rsidP="00497AE0">
            <w:pPr>
              <w:shd w:val="clear" w:color="auto" w:fill="FFFFFF"/>
              <w:ind w:right="43"/>
            </w:pPr>
            <w:r w:rsidRPr="00C33B92">
              <w:rPr>
                <w:color w:val="000000"/>
                <w:sz w:val="22"/>
              </w:rPr>
              <w:t>5,8 euro</w:t>
            </w:r>
          </w:p>
        </w:tc>
      </w:tr>
    </w:tbl>
    <w:p w:rsidR="008133CD" w:rsidRDefault="008133CD" w:rsidP="008133CD">
      <w:pPr>
        <w:shd w:val="clear" w:color="auto" w:fill="FFFFFF"/>
        <w:spacing w:line="317" w:lineRule="exact"/>
        <w:ind w:right="36"/>
        <w:jc w:val="both"/>
        <w:rPr>
          <w:color w:val="000000"/>
        </w:rPr>
      </w:pPr>
    </w:p>
    <w:p w:rsidR="008133CD" w:rsidRPr="00ED700C" w:rsidRDefault="008133CD" w:rsidP="008133CD">
      <w:pPr>
        <w:shd w:val="clear" w:color="auto" w:fill="FFFFFF"/>
        <w:spacing w:line="317" w:lineRule="exact"/>
        <w:ind w:right="36"/>
        <w:jc w:val="both"/>
        <w:rPr>
          <w:color w:val="000000"/>
        </w:rPr>
      </w:pPr>
      <w:r w:rsidRPr="00ED700C">
        <w:rPr>
          <w:color w:val="000000"/>
        </w:rPr>
        <w:t>As for vehicle age (based on the data of the Ministry of Transport and Communications of the Republic of Belarus as of 1 July 2010), vehicles aged 5 - 10 years account for about 25 % of the total vehicle fleet. The data are summarized in the Table below.</w:t>
      </w:r>
    </w:p>
    <w:p w:rsidR="008133CD" w:rsidRPr="00ED700C" w:rsidRDefault="008133CD" w:rsidP="008133CD">
      <w:pPr>
        <w:shd w:val="clear" w:color="auto" w:fill="FFFFFF"/>
        <w:spacing w:line="317" w:lineRule="exact"/>
        <w:ind w:right="36" w:firstLine="734"/>
        <w:rPr>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6"/>
        <w:gridCol w:w="1316"/>
        <w:gridCol w:w="1172"/>
        <w:gridCol w:w="1098"/>
        <w:gridCol w:w="1172"/>
        <w:gridCol w:w="1099"/>
        <w:gridCol w:w="1238"/>
      </w:tblGrid>
      <w:tr w:rsidR="008133CD" w:rsidRPr="00C33B92" w:rsidTr="00497AE0">
        <w:trPr>
          <w:trHeight w:val="265"/>
          <w:jc w:val="center"/>
        </w:trPr>
        <w:tc>
          <w:tcPr>
            <w:tcW w:w="8481" w:type="dxa"/>
            <w:gridSpan w:val="7"/>
          </w:tcPr>
          <w:p w:rsidR="008133CD" w:rsidRPr="00C33B92" w:rsidRDefault="008133CD" w:rsidP="00497AE0">
            <w:pPr>
              <w:spacing w:line="317" w:lineRule="exact"/>
              <w:ind w:right="36"/>
              <w:rPr>
                <w:color w:val="000000"/>
              </w:rPr>
            </w:pPr>
            <w:r w:rsidRPr="00C33B92">
              <w:rPr>
                <w:b/>
                <w:color w:val="000000"/>
                <w:sz w:val="22"/>
              </w:rPr>
              <w:t>Age structure of commercial truck fleet in Belarus in 2010</w:t>
            </w:r>
          </w:p>
        </w:tc>
      </w:tr>
      <w:tr w:rsidR="008133CD" w:rsidRPr="00C33B92" w:rsidTr="00497AE0">
        <w:trPr>
          <w:trHeight w:val="265"/>
          <w:jc w:val="center"/>
        </w:trPr>
        <w:tc>
          <w:tcPr>
            <w:tcW w:w="2702" w:type="dxa"/>
            <w:gridSpan w:val="2"/>
          </w:tcPr>
          <w:p w:rsidR="008133CD" w:rsidRPr="00C33B92" w:rsidRDefault="008133CD" w:rsidP="00497AE0">
            <w:pPr>
              <w:spacing w:line="317" w:lineRule="exact"/>
              <w:ind w:right="36"/>
              <w:rPr>
                <w:color w:val="000000"/>
              </w:rPr>
            </w:pPr>
            <w:r w:rsidRPr="00C33B92">
              <w:rPr>
                <w:color w:val="000000"/>
                <w:sz w:val="22"/>
              </w:rPr>
              <w:t>Below 5 years</w:t>
            </w:r>
          </w:p>
        </w:tc>
        <w:tc>
          <w:tcPr>
            <w:tcW w:w="2270" w:type="dxa"/>
            <w:gridSpan w:val="2"/>
          </w:tcPr>
          <w:p w:rsidR="008133CD" w:rsidRPr="00C33B92" w:rsidRDefault="008133CD" w:rsidP="00497AE0">
            <w:pPr>
              <w:spacing w:line="317" w:lineRule="exact"/>
              <w:ind w:right="36"/>
              <w:rPr>
                <w:color w:val="000000"/>
              </w:rPr>
            </w:pPr>
            <w:r w:rsidRPr="00C33B92">
              <w:rPr>
                <w:color w:val="000000"/>
                <w:sz w:val="22"/>
              </w:rPr>
              <w:t>From 5 to 10 years</w:t>
            </w:r>
          </w:p>
        </w:tc>
        <w:tc>
          <w:tcPr>
            <w:tcW w:w="2271" w:type="dxa"/>
            <w:gridSpan w:val="2"/>
          </w:tcPr>
          <w:p w:rsidR="008133CD" w:rsidRPr="00C33B92" w:rsidRDefault="008133CD" w:rsidP="00497AE0">
            <w:pPr>
              <w:spacing w:line="317" w:lineRule="exact"/>
              <w:ind w:right="36"/>
              <w:rPr>
                <w:color w:val="000000"/>
              </w:rPr>
            </w:pPr>
            <w:r w:rsidRPr="00C33B92">
              <w:rPr>
                <w:color w:val="000000"/>
                <w:sz w:val="22"/>
              </w:rPr>
              <w:t>More than 10 years</w:t>
            </w:r>
          </w:p>
        </w:tc>
        <w:tc>
          <w:tcPr>
            <w:tcW w:w="1238" w:type="dxa"/>
            <w:vMerge w:val="restart"/>
          </w:tcPr>
          <w:p w:rsidR="008133CD" w:rsidRPr="00C33B92" w:rsidRDefault="008133CD" w:rsidP="00497AE0">
            <w:pPr>
              <w:spacing w:line="317" w:lineRule="exact"/>
              <w:ind w:right="36"/>
              <w:rPr>
                <w:color w:val="000000"/>
              </w:rPr>
            </w:pPr>
            <w:r w:rsidRPr="00C33B92">
              <w:rPr>
                <w:color w:val="000000"/>
                <w:sz w:val="22"/>
              </w:rPr>
              <w:t>Total</w:t>
            </w:r>
          </w:p>
        </w:tc>
      </w:tr>
      <w:tr w:rsidR="008133CD" w:rsidRPr="00C33B92" w:rsidTr="00497AE0">
        <w:trPr>
          <w:trHeight w:val="337"/>
          <w:jc w:val="center"/>
        </w:trPr>
        <w:tc>
          <w:tcPr>
            <w:tcW w:w="1386" w:type="dxa"/>
          </w:tcPr>
          <w:p w:rsidR="008133CD" w:rsidRPr="00C33B92" w:rsidRDefault="008133CD" w:rsidP="00497AE0">
            <w:pPr>
              <w:spacing w:line="317" w:lineRule="exact"/>
              <w:ind w:right="36"/>
              <w:rPr>
                <w:color w:val="000000"/>
              </w:rPr>
            </w:pPr>
            <w:r w:rsidRPr="00C33B92">
              <w:rPr>
                <w:color w:val="000000"/>
                <w:sz w:val="22"/>
              </w:rPr>
              <w:t>Number</w:t>
            </w:r>
          </w:p>
        </w:tc>
        <w:tc>
          <w:tcPr>
            <w:tcW w:w="1316" w:type="dxa"/>
          </w:tcPr>
          <w:p w:rsidR="008133CD" w:rsidRPr="00C33B92" w:rsidRDefault="008133CD" w:rsidP="00497AE0">
            <w:pPr>
              <w:spacing w:line="317" w:lineRule="exact"/>
              <w:ind w:right="36"/>
              <w:rPr>
                <w:color w:val="000000"/>
              </w:rPr>
            </w:pPr>
            <w:r w:rsidRPr="00C33B92">
              <w:rPr>
                <w:color w:val="000000"/>
                <w:sz w:val="22"/>
              </w:rPr>
              <w:t>Share, %</w:t>
            </w:r>
          </w:p>
        </w:tc>
        <w:tc>
          <w:tcPr>
            <w:tcW w:w="1172" w:type="dxa"/>
          </w:tcPr>
          <w:p w:rsidR="008133CD" w:rsidRPr="00C33B92" w:rsidRDefault="008133CD" w:rsidP="00497AE0">
            <w:pPr>
              <w:spacing w:line="317" w:lineRule="exact"/>
              <w:ind w:right="36"/>
              <w:rPr>
                <w:color w:val="000000"/>
              </w:rPr>
            </w:pPr>
            <w:r w:rsidRPr="00C33B92">
              <w:rPr>
                <w:color w:val="000000"/>
                <w:sz w:val="22"/>
              </w:rPr>
              <w:t>Number</w:t>
            </w:r>
          </w:p>
        </w:tc>
        <w:tc>
          <w:tcPr>
            <w:tcW w:w="1098" w:type="dxa"/>
          </w:tcPr>
          <w:p w:rsidR="008133CD" w:rsidRPr="00C33B92" w:rsidRDefault="008133CD" w:rsidP="00497AE0">
            <w:pPr>
              <w:spacing w:line="317" w:lineRule="exact"/>
              <w:ind w:right="36"/>
              <w:rPr>
                <w:color w:val="000000"/>
              </w:rPr>
            </w:pPr>
            <w:r w:rsidRPr="00C33B92">
              <w:rPr>
                <w:color w:val="000000"/>
                <w:sz w:val="22"/>
              </w:rPr>
              <w:t>Share, %</w:t>
            </w:r>
          </w:p>
        </w:tc>
        <w:tc>
          <w:tcPr>
            <w:tcW w:w="1172" w:type="dxa"/>
          </w:tcPr>
          <w:p w:rsidR="008133CD" w:rsidRPr="00C33B92" w:rsidRDefault="008133CD" w:rsidP="00497AE0">
            <w:pPr>
              <w:spacing w:line="317" w:lineRule="exact"/>
              <w:ind w:right="36"/>
              <w:rPr>
                <w:color w:val="000000"/>
              </w:rPr>
            </w:pPr>
            <w:r w:rsidRPr="00C33B92">
              <w:rPr>
                <w:color w:val="000000"/>
                <w:sz w:val="22"/>
              </w:rPr>
              <w:t>Number</w:t>
            </w:r>
          </w:p>
        </w:tc>
        <w:tc>
          <w:tcPr>
            <w:tcW w:w="1099" w:type="dxa"/>
          </w:tcPr>
          <w:p w:rsidR="008133CD" w:rsidRPr="00C33B92" w:rsidRDefault="008133CD" w:rsidP="00497AE0">
            <w:pPr>
              <w:spacing w:line="317" w:lineRule="exact"/>
              <w:ind w:right="36"/>
              <w:rPr>
                <w:color w:val="000000"/>
              </w:rPr>
            </w:pPr>
            <w:r w:rsidRPr="00C33B92">
              <w:rPr>
                <w:color w:val="000000"/>
                <w:sz w:val="22"/>
              </w:rPr>
              <w:t>Share, %</w:t>
            </w:r>
          </w:p>
        </w:tc>
        <w:tc>
          <w:tcPr>
            <w:tcW w:w="1238" w:type="dxa"/>
            <w:vMerge/>
          </w:tcPr>
          <w:p w:rsidR="008133CD" w:rsidRPr="00C33B92" w:rsidRDefault="008133CD" w:rsidP="00497AE0">
            <w:pPr>
              <w:spacing w:line="317" w:lineRule="exact"/>
              <w:ind w:right="36"/>
              <w:rPr>
                <w:color w:val="000000"/>
              </w:rPr>
            </w:pPr>
          </w:p>
        </w:tc>
      </w:tr>
      <w:tr w:rsidR="008133CD" w:rsidRPr="00C33B92" w:rsidTr="00497AE0">
        <w:trPr>
          <w:jc w:val="center"/>
        </w:trPr>
        <w:tc>
          <w:tcPr>
            <w:tcW w:w="1386" w:type="dxa"/>
          </w:tcPr>
          <w:p w:rsidR="008133CD" w:rsidRPr="00C33B92" w:rsidRDefault="008133CD" w:rsidP="00497AE0">
            <w:pPr>
              <w:spacing w:line="317" w:lineRule="exact"/>
              <w:ind w:right="36"/>
              <w:rPr>
                <w:b/>
                <w:color w:val="000000"/>
              </w:rPr>
            </w:pPr>
            <w:r w:rsidRPr="00C33B92">
              <w:rPr>
                <w:b/>
                <w:color w:val="000000"/>
                <w:sz w:val="22"/>
              </w:rPr>
              <w:t>57.715</w:t>
            </w:r>
          </w:p>
        </w:tc>
        <w:tc>
          <w:tcPr>
            <w:tcW w:w="1316" w:type="dxa"/>
          </w:tcPr>
          <w:p w:rsidR="008133CD" w:rsidRPr="00C33B92" w:rsidRDefault="008133CD" w:rsidP="00497AE0">
            <w:pPr>
              <w:spacing w:line="317" w:lineRule="exact"/>
              <w:ind w:right="36"/>
              <w:rPr>
                <w:b/>
                <w:color w:val="000000"/>
              </w:rPr>
            </w:pPr>
            <w:r w:rsidRPr="00C33B92">
              <w:rPr>
                <w:b/>
                <w:color w:val="000000"/>
                <w:sz w:val="22"/>
              </w:rPr>
              <w:t>11%</w:t>
            </w:r>
          </w:p>
        </w:tc>
        <w:tc>
          <w:tcPr>
            <w:tcW w:w="1172" w:type="dxa"/>
          </w:tcPr>
          <w:p w:rsidR="008133CD" w:rsidRPr="00C33B92" w:rsidRDefault="008133CD" w:rsidP="00497AE0">
            <w:pPr>
              <w:spacing w:line="317" w:lineRule="exact"/>
              <w:ind w:right="36"/>
              <w:rPr>
                <w:b/>
                <w:color w:val="000000"/>
              </w:rPr>
            </w:pPr>
            <w:r w:rsidRPr="00C33B92">
              <w:rPr>
                <w:b/>
                <w:color w:val="000000"/>
                <w:sz w:val="22"/>
              </w:rPr>
              <w:t>129.157</w:t>
            </w:r>
          </w:p>
        </w:tc>
        <w:tc>
          <w:tcPr>
            <w:tcW w:w="1098" w:type="dxa"/>
          </w:tcPr>
          <w:p w:rsidR="008133CD" w:rsidRPr="00C33B92" w:rsidRDefault="008133CD" w:rsidP="00497AE0">
            <w:pPr>
              <w:spacing w:line="317" w:lineRule="exact"/>
              <w:ind w:right="36"/>
              <w:rPr>
                <w:b/>
                <w:color w:val="000000"/>
              </w:rPr>
            </w:pPr>
            <w:r w:rsidRPr="00C33B92">
              <w:rPr>
                <w:b/>
                <w:color w:val="000000"/>
                <w:sz w:val="22"/>
              </w:rPr>
              <w:t>25%</w:t>
            </w:r>
          </w:p>
        </w:tc>
        <w:tc>
          <w:tcPr>
            <w:tcW w:w="1172" w:type="dxa"/>
          </w:tcPr>
          <w:p w:rsidR="008133CD" w:rsidRPr="00C33B92" w:rsidRDefault="008133CD" w:rsidP="00497AE0">
            <w:pPr>
              <w:spacing w:line="317" w:lineRule="exact"/>
              <w:ind w:right="36"/>
              <w:rPr>
                <w:b/>
                <w:color w:val="000000"/>
              </w:rPr>
            </w:pPr>
            <w:r w:rsidRPr="00C33B92">
              <w:rPr>
                <w:b/>
                <w:color w:val="000000"/>
                <w:sz w:val="22"/>
              </w:rPr>
              <w:t>313.594</w:t>
            </w:r>
          </w:p>
        </w:tc>
        <w:tc>
          <w:tcPr>
            <w:tcW w:w="1099" w:type="dxa"/>
          </w:tcPr>
          <w:p w:rsidR="008133CD" w:rsidRPr="00C33B92" w:rsidRDefault="008133CD" w:rsidP="00497AE0">
            <w:pPr>
              <w:spacing w:line="317" w:lineRule="exact"/>
              <w:ind w:right="36"/>
              <w:rPr>
                <w:b/>
                <w:color w:val="000000"/>
              </w:rPr>
            </w:pPr>
            <w:r w:rsidRPr="00C33B92">
              <w:rPr>
                <w:b/>
                <w:color w:val="000000"/>
                <w:sz w:val="22"/>
              </w:rPr>
              <w:t>64%</w:t>
            </w:r>
          </w:p>
        </w:tc>
        <w:tc>
          <w:tcPr>
            <w:tcW w:w="1238" w:type="dxa"/>
          </w:tcPr>
          <w:p w:rsidR="008133CD" w:rsidRPr="00C33B92" w:rsidRDefault="008133CD" w:rsidP="00497AE0">
            <w:pPr>
              <w:spacing w:line="317" w:lineRule="exact"/>
              <w:ind w:right="36"/>
              <w:rPr>
                <w:b/>
                <w:color w:val="000000"/>
              </w:rPr>
            </w:pPr>
            <w:r w:rsidRPr="00C33B92">
              <w:rPr>
                <w:b/>
                <w:color w:val="000000"/>
                <w:sz w:val="22"/>
              </w:rPr>
              <w:t>602.610</w:t>
            </w:r>
          </w:p>
        </w:tc>
      </w:tr>
    </w:tbl>
    <w:p w:rsidR="008133CD" w:rsidRPr="00ED700C" w:rsidRDefault="008133CD" w:rsidP="008133CD">
      <w:pPr>
        <w:shd w:val="clear" w:color="auto" w:fill="FFFFFF"/>
        <w:spacing w:line="317" w:lineRule="exact"/>
        <w:ind w:right="36" w:firstLine="734"/>
      </w:pPr>
    </w:p>
    <w:p w:rsidR="008133CD" w:rsidRPr="00ED700C" w:rsidRDefault="008133CD" w:rsidP="008133CD">
      <w:pPr>
        <w:shd w:val="clear" w:color="auto" w:fill="FFFFFF"/>
        <w:spacing w:line="317" w:lineRule="exact"/>
        <w:ind w:right="36"/>
        <w:jc w:val="both"/>
      </w:pPr>
      <w:r w:rsidRPr="00ED700C">
        <w:rPr>
          <w:color w:val="000000"/>
        </w:rPr>
        <w:t xml:space="preserve">According to the estimates (the State Road Inspection of the Ministry of Internal Affairs of the Republic of Belarus, BAMAP Association, Transport Inspection of the Ministry of Transport, BAME, Euro NCAP), as of June 2010  11% of vehicles operated in Belarus meet EURO-5 standards;  7.5% - EURO-4 standards, 22.5% - EURO-3 standards and  the rest fall under EURO-2 standard and lower. </w:t>
      </w:r>
    </w:p>
    <w:p w:rsidR="008133CD" w:rsidRDefault="008133CD" w:rsidP="008133CD"/>
    <w:p w:rsidR="00C33B92" w:rsidRDefault="00C33B92">
      <w:pPr>
        <w:spacing w:after="200" w:line="276" w:lineRule="auto"/>
        <w:rPr>
          <w:b/>
          <w:sz w:val="28"/>
          <w:szCs w:val="28"/>
        </w:rPr>
      </w:pPr>
      <w:r>
        <w:rPr>
          <w:b/>
          <w:sz w:val="28"/>
          <w:szCs w:val="28"/>
        </w:rPr>
        <w:br w:type="page"/>
      </w:r>
    </w:p>
    <w:p w:rsidR="002D00DA" w:rsidRDefault="008133CD" w:rsidP="008133CD">
      <w:pPr>
        <w:jc w:val="center"/>
        <w:rPr>
          <w:b/>
          <w:sz w:val="28"/>
          <w:szCs w:val="28"/>
        </w:rPr>
      </w:pPr>
      <w:r w:rsidRPr="008133CD">
        <w:rPr>
          <w:b/>
          <w:sz w:val="28"/>
          <w:szCs w:val="28"/>
        </w:rPr>
        <w:lastRenderedPageBreak/>
        <w:t>REFERENCES</w:t>
      </w:r>
      <w:bookmarkEnd w:id="370"/>
    </w:p>
    <w:p w:rsidR="008133CD" w:rsidRPr="008133CD" w:rsidRDefault="008133CD" w:rsidP="008133CD">
      <w:pPr>
        <w:jc w:val="center"/>
        <w:rPr>
          <w:b/>
          <w:sz w:val="28"/>
          <w:szCs w:val="28"/>
        </w:rPr>
      </w:pPr>
    </w:p>
    <w:p w:rsidR="002D00DA" w:rsidRPr="007777E2" w:rsidRDefault="002D00DA" w:rsidP="002D00DA">
      <w:pPr>
        <w:pStyle w:val="lhdeluettelo"/>
        <w:ind w:left="0" w:firstLine="0"/>
        <w:rPr>
          <w:lang w:val="en-US"/>
        </w:rPr>
      </w:pPr>
      <w:proofErr w:type="spellStart"/>
      <w:proofErr w:type="gramStart"/>
      <w:r w:rsidRPr="007777E2">
        <w:rPr>
          <w:lang w:val="en-US"/>
        </w:rPr>
        <w:t>AdLog</w:t>
      </w:r>
      <w:proofErr w:type="spellEnd"/>
      <w:r w:rsidRPr="007777E2">
        <w:rPr>
          <w:lang w:val="en-US"/>
        </w:rPr>
        <w:t xml:space="preserve"> Study, available at www.tedim.com.</w:t>
      </w:r>
      <w:proofErr w:type="gramEnd"/>
      <w:r w:rsidRPr="007777E2">
        <w:rPr>
          <w:lang w:val="en-US"/>
        </w:rPr>
        <w:t xml:space="preserve"> </w:t>
      </w:r>
    </w:p>
    <w:p w:rsidR="002D00DA" w:rsidRPr="007777E2" w:rsidRDefault="002D00DA" w:rsidP="002D00DA">
      <w:pPr>
        <w:pStyle w:val="lhdeluettelo"/>
        <w:ind w:left="0" w:firstLine="0"/>
        <w:rPr>
          <w:lang w:val="en-US"/>
        </w:rPr>
      </w:pPr>
      <w:proofErr w:type="gramStart"/>
      <w:r w:rsidRPr="007777E2">
        <w:rPr>
          <w:lang w:val="en-US"/>
        </w:rPr>
        <w:t>Belarus, Ministry of Transportation and Communications.</w:t>
      </w:r>
      <w:proofErr w:type="gramEnd"/>
      <w:r w:rsidRPr="007777E2">
        <w:rPr>
          <w:lang w:val="en-US"/>
        </w:rPr>
        <w:t xml:space="preserve"> 2009. </w:t>
      </w:r>
      <w:r w:rsidRPr="007777E2">
        <w:rPr>
          <w:i/>
          <w:lang w:val="en-US"/>
        </w:rPr>
        <w:t>Status and Prospective of Development of the Transport and Logistics System</w:t>
      </w:r>
      <w:r w:rsidRPr="007777E2">
        <w:rPr>
          <w:lang w:val="en-US"/>
        </w:rPr>
        <w:t>. Minsk.</w:t>
      </w:r>
    </w:p>
    <w:p w:rsidR="002D00DA" w:rsidRPr="007777E2" w:rsidRDefault="002D00DA" w:rsidP="002D00DA">
      <w:pPr>
        <w:pStyle w:val="lhdeluettelo"/>
        <w:ind w:left="0" w:firstLine="0"/>
        <w:rPr>
          <w:lang w:val="en-US"/>
        </w:rPr>
      </w:pPr>
      <w:proofErr w:type="spellStart"/>
      <w:proofErr w:type="gramStart"/>
      <w:r w:rsidRPr="007777E2">
        <w:rPr>
          <w:lang w:val="en-US"/>
        </w:rPr>
        <w:t>Belstat</w:t>
      </w:r>
      <w:proofErr w:type="spellEnd"/>
      <w:r w:rsidRPr="007777E2">
        <w:rPr>
          <w:lang w:val="en-US"/>
        </w:rPr>
        <w:t>.</w:t>
      </w:r>
      <w:proofErr w:type="gramEnd"/>
      <w:r w:rsidRPr="007777E2">
        <w:rPr>
          <w:lang w:val="en-US"/>
        </w:rPr>
        <w:t xml:space="preserve"> 2009. </w:t>
      </w:r>
      <w:r w:rsidRPr="007777E2">
        <w:rPr>
          <w:i/>
          <w:lang w:val="en-US"/>
        </w:rPr>
        <w:t>Foreign Trade of the Republic of Belarus</w:t>
      </w:r>
      <w:r w:rsidRPr="007777E2">
        <w:rPr>
          <w:lang w:val="en-US"/>
        </w:rPr>
        <w:t>, Statistical Book. Minsk.</w:t>
      </w:r>
    </w:p>
    <w:p w:rsidR="002D00DA" w:rsidRPr="007777E2" w:rsidRDefault="002D00DA" w:rsidP="002D00DA">
      <w:pPr>
        <w:pStyle w:val="lhdeluettelo"/>
        <w:ind w:left="0" w:firstLine="0"/>
        <w:rPr>
          <w:lang w:val="en-US"/>
        </w:rPr>
      </w:pPr>
      <w:r w:rsidRPr="007777E2">
        <w:rPr>
          <w:lang w:val="en-US"/>
        </w:rPr>
        <w:t>Belarusian Telegraph Agency (</w:t>
      </w:r>
      <w:proofErr w:type="spellStart"/>
      <w:r w:rsidRPr="007777E2">
        <w:rPr>
          <w:lang w:val="en-US"/>
        </w:rPr>
        <w:t>BelTA</w:t>
      </w:r>
      <w:proofErr w:type="spellEnd"/>
      <w:r w:rsidRPr="007777E2">
        <w:rPr>
          <w:lang w:val="en-US"/>
        </w:rPr>
        <w:t>), http://www.belta.by/en.</w:t>
      </w:r>
    </w:p>
    <w:p w:rsidR="002D00DA" w:rsidRPr="007777E2" w:rsidRDefault="002D00DA" w:rsidP="002D00DA">
      <w:pPr>
        <w:pStyle w:val="lhdeluettelo"/>
        <w:ind w:left="0" w:firstLine="0"/>
        <w:rPr>
          <w:lang w:val="en-US"/>
        </w:rPr>
      </w:pPr>
      <w:proofErr w:type="gramStart"/>
      <w:r w:rsidRPr="007777E2">
        <w:rPr>
          <w:lang w:val="en-US"/>
        </w:rPr>
        <w:t xml:space="preserve">Blackburn, J.D., D.R.V. Guide, C.S. Galvan, and L.N. van </w:t>
      </w:r>
      <w:proofErr w:type="spellStart"/>
      <w:r w:rsidRPr="007777E2">
        <w:rPr>
          <w:lang w:val="en-US"/>
        </w:rPr>
        <w:t>Wassenhove</w:t>
      </w:r>
      <w:proofErr w:type="spellEnd"/>
      <w:r w:rsidRPr="007777E2">
        <w:rPr>
          <w:lang w:val="en-US"/>
        </w:rPr>
        <w:t>.</w:t>
      </w:r>
      <w:proofErr w:type="gramEnd"/>
      <w:r w:rsidRPr="007777E2">
        <w:rPr>
          <w:lang w:val="en-US"/>
        </w:rPr>
        <w:t xml:space="preserve"> 2004. "Reverse Supply Chains for Commercial Returns." </w:t>
      </w:r>
      <w:r w:rsidRPr="007777E2">
        <w:rPr>
          <w:i/>
          <w:lang w:val="en-US"/>
        </w:rPr>
        <w:t>California Management Review</w:t>
      </w:r>
      <w:r w:rsidRPr="007777E2">
        <w:rPr>
          <w:lang w:val="en-US"/>
        </w:rPr>
        <w:t xml:space="preserve"> 46 (3) 6-22.</w:t>
      </w:r>
    </w:p>
    <w:p w:rsidR="002D00DA" w:rsidRPr="007777E2" w:rsidRDefault="002D00DA" w:rsidP="002D00DA">
      <w:pPr>
        <w:pStyle w:val="lhdeluettelo"/>
        <w:ind w:left="0" w:firstLine="0"/>
        <w:jc w:val="left"/>
        <w:rPr>
          <w:lang w:val="en-US"/>
        </w:rPr>
      </w:pPr>
      <w:r w:rsidRPr="007777E2">
        <w:rPr>
          <w:lang w:val="en-US"/>
        </w:rPr>
        <w:t>BOFIT Russia Statistics, available at: http://www.bof.fi/bofit_en/seuranta/venajatilastot/index.htm.</w:t>
      </w:r>
    </w:p>
    <w:p w:rsidR="002D00DA" w:rsidRPr="007777E2" w:rsidRDefault="002D00DA" w:rsidP="002D00DA">
      <w:pPr>
        <w:pStyle w:val="lhdeluettelo"/>
        <w:ind w:left="0" w:firstLine="0"/>
        <w:rPr>
          <w:lang w:val="en-US"/>
        </w:rPr>
      </w:pPr>
      <w:proofErr w:type="spellStart"/>
      <w:proofErr w:type="gramStart"/>
      <w:r w:rsidRPr="007777E2">
        <w:rPr>
          <w:lang w:val="en-US"/>
        </w:rPr>
        <w:t>Bowersox</w:t>
      </w:r>
      <w:proofErr w:type="spellEnd"/>
      <w:r w:rsidRPr="007777E2">
        <w:rPr>
          <w:lang w:val="en-US"/>
        </w:rPr>
        <w:t xml:space="preserve">, D., A. </w:t>
      </w:r>
      <w:proofErr w:type="spellStart"/>
      <w:r w:rsidRPr="007777E2">
        <w:rPr>
          <w:lang w:val="en-US"/>
        </w:rPr>
        <w:t>Rodrigues</w:t>
      </w:r>
      <w:proofErr w:type="spellEnd"/>
      <w:r w:rsidRPr="007777E2">
        <w:rPr>
          <w:lang w:val="en-US"/>
        </w:rPr>
        <w:t xml:space="preserve">, and R. </w:t>
      </w:r>
      <w:proofErr w:type="spellStart"/>
      <w:r w:rsidRPr="007777E2">
        <w:rPr>
          <w:lang w:val="en-US"/>
        </w:rPr>
        <w:t>Calantone</w:t>
      </w:r>
      <w:proofErr w:type="spellEnd"/>
      <w:r w:rsidRPr="007777E2">
        <w:rPr>
          <w:lang w:val="en-US"/>
        </w:rPr>
        <w:t>.</w:t>
      </w:r>
      <w:proofErr w:type="gramEnd"/>
      <w:r w:rsidRPr="007777E2">
        <w:rPr>
          <w:lang w:val="en-US"/>
        </w:rPr>
        <w:t xml:space="preserve"> 2005. "Estimation of Global and National Logistics Expenditures: 2002 Data Update." </w:t>
      </w:r>
      <w:r w:rsidRPr="007777E2">
        <w:rPr>
          <w:i/>
          <w:lang w:val="en-US"/>
        </w:rPr>
        <w:t>Journal of Business Logistics</w:t>
      </w:r>
      <w:r w:rsidRPr="007777E2">
        <w:rPr>
          <w:lang w:val="en-US"/>
        </w:rPr>
        <w:t xml:space="preserve"> 26 (2) 1-16.</w:t>
      </w:r>
    </w:p>
    <w:p w:rsidR="002D00DA" w:rsidRPr="007777E2" w:rsidRDefault="002D00DA" w:rsidP="002D00DA">
      <w:pPr>
        <w:pStyle w:val="lhdeluettelo"/>
        <w:ind w:left="0" w:firstLine="0"/>
        <w:rPr>
          <w:lang w:val="en-US"/>
        </w:rPr>
      </w:pPr>
      <w:proofErr w:type="gramStart"/>
      <w:r w:rsidRPr="007777E2">
        <w:rPr>
          <w:lang w:val="en-US"/>
        </w:rPr>
        <w:t>Colliers International.</w:t>
      </w:r>
      <w:proofErr w:type="gramEnd"/>
      <w:r w:rsidRPr="007777E2">
        <w:rPr>
          <w:lang w:val="en-US"/>
        </w:rPr>
        <w:t xml:space="preserve"> 2009. </w:t>
      </w:r>
      <w:r w:rsidRPr="007777E2">
        <w:rPr>
          <w:i/>
          <w:lang w:val="en-US"/>
        </w:rPr>
        <w:t>Real Estate Review - The Baltic States and Belarus</w:t>
      </w:r>
      <w:r w:rsidRPr="007777E2">
        <w:rPr>
          <w:lang w:val="en-US"/>
        </w:rPr>
        <w:t xml:space="preserve">. </w:t>
      </w:r>
    </w:p>
    <w:p w:rsidR="002D00DA" w:rsidRPr="007777E2" w:rsidRDefault="002D00DA" w:rsidP="002D00DA">
      <w:pPr>
        <w:pStyle w:val="lhdeluettelo"/>
        <w:ind w:left="0" w:firstLine="0"/>
        <w:rPr>
          <w:lang w:val="en-US"/>
        </w:rPr>
      </w:pPr>
      <w:proofErr w:type="gramStart"/>
      <w:r w:rsidRPr="007777E2">
        <w:rPr>
          <w:lang w:val="en-US"/>
        </w:rPr>
        <w:t>Doing Business Index, available at: http://www.doingbusiness.org/.</w:t>
      </w:r>
      <w:proofErr w:type="gramEnd"/>
    </w:p>
    <w:p w:rsidR="002D00DA" w:rsidRPr="007777E2" w:rsidRDefault="002D00DA" w:rsidP="002D00DA">
      <w:pPr>
        <w:pStyle w:val="lhdeluettelo"/>
        <w:ind w:left="0" w:firstLine="0"/>
        <w:rPr>
          <w:lang w:val="en-US"/>
        </w:rPr>
      </w:pPr>
      <w:r w:rsidRPr="007777E2">
        <w:rPr>
          <w:lang w:val="en-US"/>
        </w:rPr>
        <w:t xml:space="preserve">EBRD, "EBRD Takes Its First Stake in Belarus Retail Chain." </w:t>
      </w:r>
      <w:proofErr w:type="gramStart"/>
      <w:r w:rsidRPr="007777E2">
        <w:rPr>
          <w:lang w:val="en-US"/>
        </w:rPr>
        <w:t>Available at http://www.ebrd.com/new/pressrel/2009/091118.htm.</w:t>
      </w:r>
      <w:proofErr w:type="gramEnd"/>
    </w:p>
    <w:p w:rsidR="002D00DA" w:rsidRPr="007777E2" w:rsidRDefault="002D00DA" w:rsidP="002D00DA">
      <w:pPr>
        <w:pStyle w:val="lhdeluettelo"/>
        <w:ind w:left="0" w:firstLine="0"/>
        <w:rPr>
          <w:lang w:val="en-US"/>
        </w:rPr>
      </w:pPr>
      <w:proofErr w:type="gramStart"/>
      <w:r w:rsidRPr="007777E2">
        <w:rPr>
          <w:lang w:val="en-US"/>
        </w:rPr>
        <w:t>Economist.</w:t>
      </w:r>
      <w:proofErr w:type="gramEnd"/>
      <w:r w:rsidRPr="007777E2">
        <w:rPr>
          <w:lang w:val="en-US"/>
        </w:rPr>
        <w:t xml:space="preserve"> 2006. "A Survey of Logistics." </w:t>
      </w:r>
      <w:proofErr w:type="gramStart"/>
      <w:r w:rsidRPr="007777E2">
        <w:rPr>
          <w:lang w:val="en-US"/>
        </w:rPr>
        <w:t>June 17, 2006, p. 9.</w:t>
      </w:r>
      <w:proofErr w:type="gramEnd"/>
    </w:p>
    <w:p w:rsidR="002D00DA" w:rsidRPr="007777E2" w:rsidRDefault="002D00DA" w:rsidP="002D00DA">
      <w:pPr>
        <w:pStyle w:val="lhdeluettelo"/>
        <w:ind w:left="0" w:firstLine="0"/>
        <w:rPr>
          <w:lang w:val="en-US"/>
        </w:rPr>
      </w:pPr>
      <w:r w:rsidRPr="007777E2">
        <w:rPr>
          <w:lang w:val="en-US"/>
        </w:rPr>
        <w:t xml:space="preserve">Global Enabling Trade Index, available at www.weforum.org. </w:t>
      </w:r>
    </w:p>
    <w:p w:rsidR="002D00DA" w:rsidRPr="007777E2" w:rsidRDefault="002D00DA" w:rsidP="002D00DA">
      <w:pPr>
        <w:pStyle w:val="lhdeluettelo"/>
        <w:ind w:left="0" w:firstLine="0"/>
        <w:rPr>
          <w:lang w:val="en-US"/>
        </w:rPr>
      </w:pPr>
      <w:proofErr w:type="gramStart"/>
      <w:r w:rsidRPr="007777E2">
        <w:rPr>
          <w:lang w:val="en-US"/>
        </w:rPr>
        <w:t>Global Retail Development Index.</w:t>
      </w:r>
      <w:proofErr w:type="gramEnd"/>
      <w:r w:rsidRPr="007777E2">
        <w:rPr>
          <w:lang w:val="en-US"/>
        </w:rPr>
        <w:t xml:space="preserve"> A.T. Kearney. </w:t>
      </w:r>
      <w:proofErr w:type="gramStart"/>
      <w:r w:rsidRPr="007777E2">
        <w:rPr>
          <w:lang w:val="en-US"/>
        </w:rPr>
        <w:t>Available at http://www.atkearney.com.</w:t>
      </w:r>
      <w:proofErr w:type="gramEnd"/>
    </w:p>
    <w:p w:rsidR="002D00DA" w:rsidRPr="007777E2" w:rsidRDefault="002D00DA" w:rsidP="002D00DA">
      <w:pPr>
        <w:pStyle w:val="lhdeluettelo"/>
        <w:ind w:left="0" w:firstLine="0"/>
        <w:rPr>
          <w:lang w:val="en-US"/>
        </w:rPr>
      </w:pPr>
      <w:proofErr w:type="spellStart"/>
      <w:r w:rsidRPr="007777E2">
        <w:rPr>
          <w:lang w:val="en-US"/>
        </w:rPr>
        <w:t>Grawe</w:t>
      </w:r>
      <w:proofErr w:type="spellEnd"/>
      <w:r w:rsidRPr="007777E2">
        <w:rPr>
          <w:lang w:val="en-US"/>
        </w:rPr>
        <w:t xml:space="preserve">, S.J. 2009. "Logistics Innovation: A Literature-based Conceptual Framework." </w:t>
      </w:r>
      <w:r w:rsidRPr="007777E2">
        <w:rPr>
          <w:i/>
          <w:lang w:val="en-US"/>
        </w:rPr>
        <w:t>The International Journal of Logistics Management</w:t>
      </w:r>
      <w:r w:rsidRPr="007777E2">
        <w:rPr>
          <w:lang w:val="en-US"/>
        </w:rPr>
        <w:t xml:space="preserve"> 20 (3) 360-377.</w:t>
      </w:r>
    </w:p>
    <w:p w:rsidR="002D00DA" w:rsidRDefault="002D00DA" w:rsidP="002D00DA">
      <w:pPr>
        <w:pStyle w:val="lhdeluettelo"/>
        <w:ind w:left="0" w:firstLine="0"/>
        <w:rPr>
          <w:lang w:val="en-US"/>
        </w:rPr>
      </w:pPr>
      <w:r w:rsidRPr="007777E2">
        <w:rPr>
          <w:lang w:val="en-US"/>
        </w:rPr>
        <w:t xml:space="preserve">IMF Data </w:t>
      </w:r>
      <w:proofErr w:type="spellStart"/>
      <w:r w:rsidRPr="007777E2">
        <w:rPr>
          <w:lang w:val="en-US"/>
        </w:rPr>
        <w:t>Mapper</w:t>
      </w:r>
      <w:proofErr w:type="spellEnd"/>
      <w:r w:rsidRPr="007777E2">
        <w:rPr>
          <w:lang w:val="en-US"/>
        </w:rPr>
        <w:t xml:space="preserve"> ®, </w:t>
      </w:r>
      <w:hyperlink r:id="rId76" w:history="1">
        <w:r w:rsidR="00AB5AA1" w:rsidRPr="0031718C">
          <w:rPr>
            <w:rStyle w:val="Hyperlink"/>
            <w:lang w:val="en-US"/>
          </w:rPr>
          <w:t>http://www.imf.org/external/datamapper/index.php</w:t>
        </w:r>
      </w:hyperlink>
      <w:r w:rsidRPr="007777E2">
        <w:rPr>
          <w:lang w:val="en-US"/>
        </w:rPr>
        <w:t>.</w:t>
      </w:r>
    </w:p>
    <w:p w:rsidR="00AB5AA1" w:rsidRPr="007777E2" w:rsidRDefault="00AB5AA1" w:rsidP="002D00DA">
      <w:pPr>
        <w:pStyle w:val="lhdeluettelo"/>
        <w:ind w:left="0" w:firstLine="0"/>
        <w:rPr>
          <w:lang w:val="en-US"/>
        </w:rPr>
      </w:pPr>
      <w:proofErr w:type="gramStart"/>
      <w:r>
        <w:rPr>
          <w:lang w:val="en-US"/>
        </w:rPr>
        <w:t>International Energy Agency.</w:t>
      </w:r>
      <w:proofErr w:type="gramEnd"/>
      <w:r>
        <w:rPr>
          <w:lang w:val="en-US"/>
        </w:rPr>
        <w:t xml:space="preserve"> 2009. CO2 Emissions from Fuel Combustion in 2009 – Highlights. </w:t>
      </w:r>
      <w:hyperlink r:id="rId77" w:history="1">
        <w:r w:rsidRPr="0031718C">
          <w:rPr>
            <w:rStyle w:val="Hyperlink"/>
            <w:lang w:val="en-US"/>
          </w:rPr>
          <w:t>http://www.iea.org/co2highlights/co2highlights.pdf</w:t>
        </w:r>
      </w:hyperlink>
      <w:r>
        <w:rPr>
          <w:lang w:val="en-US"/>
        </w:rPr>
        <w:t xml:space="preserve"> </w:t>
      </w:r>
    </w:p>
    <w:p w:rsidR="002D00DA" w:rsidRPr="007777E2" w:rsidRDefault="002D00DA" w:rsidP="002D00DA">
      <w:pPr>
        <w:pStyle w:val="lhdeluettelo"/>
        <w:ind w:left="0" w:firstLine="0"/>
        <w:rPr>
          <w:lang w:val="en-US"/>
        </w:rPr>
      </w:pPr>
      <w:r w:rsidRPr="007777E2">
        <w:rPr>
          <w:lang w:val="en-US"/>
        </w:rPr>
        <w:t>International Trade Centre (ITC), http://www.intracen.org/menus/countries.htm.</w:t>
      </w:r>
    </w:p>
    <w:p w:rsidR="002D00DA" w:rsidRPr="007777E2" w:rsidRDefault="002D00DA" w:rsidP="002D00DA">
      <w:pPr>
        <w:pStyle w:val="lhdeluettelo"/>
        <w:ind w:left="0" w:firstLine="0"/>
        <w:rPr>
          <w:lang w:val="en-US"/>
        </w:rPr>
      </w:pPr>
      <w:proofErr w:type="spellStart"/>
      <w:r w:rsidRPr="007777E2">
        <w:rPr>
          <w:lang w:val="en-US"/>
        </w:rPr>
        <w:t>Lautso</w:t>
      </w:r>
      <w:proofErr w:type="spellEnd"/>
      <w:r w:rsidRPr="007777E2">
        <w:rPr>
          <w:lang w:val="en-US"/>
        </w:rPr>
        <w:t xml:space="preserve">, K. 2007. </w:t>
      </w:r>
      <w:proofErr w:type="gramStart"/>
      <w:r w:rsidRPr="007777E2">
        <w:rPr>
          <w:lang w:val="en-US"/>
        </w:rPr>
        <w:t>"The Northern Transport Axis."</w:t>
      </w:r>
      <w:proofErr w:type="gramEnd"/>
      <w:r w:rsidRPr="007777E2">
        <w:rPr>
          <w:lang w:val="en-US"/>
        </w:rPr>
        <w:t xml:space="preserve"> </w:t>
      </w:r>
      <w:proofErr w:type="gramStart"/>
      <w:r w:rsidRPr="007777E2">
        <w:rPr>
          <w:lang w:val="en-US"/>
        </w:rPr>
        <w:t>Final Report, European Commission Directorate-General Energy and Transport, December.</w:t>
      </w:r>
      <w:proofErr w:type="gramEnd"/>
      <w:r w:rsidRPr="007777E2">
        <w:rPr>
          <w:lang w:val="en-US"/>
        </w:rPr>
        <w:t xml:space="preserve"> </w:t>
      </w:r>
      <w:proofErr w:type="gramStart"/>
      <w:r w:rsidRPr="007777E2">
        <w:rPr>
          <w:lang w:val="en-US"/>
        </w:rPr>
        <w:t>Available at http://www.ten-naxis.info/ten-naxis/ten_naxis_final_report.pdf.</w:t>
      </w:r>
      <w:proofErr w:type="gramEnd"/>
    </w:p>
    <w:p w:rsidR="002D00DA" w:rsidRPr="007777E2" w:rsidRDefault="002D00DA" w:rsidP="002D00DA">
      <w:pPr>
        <w:pStyle w:val="lhdeluettelo"/>
        <w:ind w:left="0" w:firstLine="0"/>
        <w:rPr>
          <w:lang w:val="en-US"/>
        </w:rPr>
      </w:pPr>
      <w:proofErr w:type="spellStart"/>
      <w:r w:rsidRPr="007777E2">
        <w:rPr>
          <w:lang w:val="en-US"/>
        </w:rPr>
        <w:lastRenderedPageBreak/>
        <w:t>Liuhto</w:t>
      </w:r>
      <w:proofErr w:type="spellEnd"/>
      <w:r w:rsidRPr="007777E2">
        <w:rPr>
          <w:lang w:val="en-US"/>
        </w:rPr>
        <w:t xml:space="preserve">, K., M. </w:t>
      </w:r>
      <w:proofErr w:type="spellStart"/>
      <w:r w:rsidRPr="007777E2">
        <w:rPr>
          <w:lang w:val="en-US"/>
        </w:rPr>
        <w:t>Heikkilä</w:t>
      </w:r>
      <w:proofErr w:type="spellEnd"/>
      <w:r w:rsidRPr="007777E2">
        <w:rPr>
          <w:lang w:val="en-US"/>
        </w:rPr>
        <w:t xml:space="preserve">, E. </w:t>
      </w:r>
      <w:proofErr w:type="spellStart"/>
      <w:r w:rsidRPr="007777E2">
        <w:rPr>
          <w:lang w:val="en-US"/>
        </w:rPr>
        <w:t>Laaksonen</w:t>
      </w:r>
      <w:proofErr w:type="spellEnd"/>
      <w:r w:rsidRPr="007777E2">
        <w:rPr>
          <w:lang w:val="en-US"/>
        </w:rPr>
        <w:t xml:space="preserve">. 2009. "Political Risk for Foreign Firms in the Western CIS: An Analysis of Belarus, Moldova, Russia and Ukraine." </w:t>
      </w:r>
      <w:proofErr w:type="gramStart"/>
      <w:r w:rsidRPr="007777E2">
        <w:rPr>
          <w:i/>
          <w:lang w:val="en-US"/>
        </w:rPr>
        <w:t>Electronic Publications of the Pan-European Institute</w:t>
      </w:r>
      <w:r w:rsidRPr="007777E2">
        <w:rPr>
          <w:lang w:val="en-US"/>
        </w:rPr>
        <w:t>, No. 18.</w:t>
      </w:r>
      <w:proofErr w:type="gramEnd"/>
      <w:r w:rsidRPr="007777E2">
        <w:rPr>
          <w:lang w:val="en-US"/>
        </w:rPr>
        <w:t xml:space="preserve"> </w:t>
      </w:r>
    </w:p>
    <w:p w:rsidR="002D00DA" w:rsidRPr="007777E2" w:rsidRDefault="002D00DA" w:rsidP="002D00DA">
      <w:pPr>
        <w:pStyle w:val="lhdeluettelo"/>
        <w:ind w:left="0" w:firstLine="0"/>
        <w:rPr>
          <w:lang w:val="en-US"/>
        </w:rPr>
      </w:pPr>
      <w:proofErr w:type="gramStart"/>
      <w:r w:rsidRPr="007777E2">
        <w:rPr>
          <w:lang w:val="en-US"/>
        </w:rPr>
        <w:t xml:space="preserve">Logistics Performance Index 2007 and 2010, available at </w:t>
      </w:r>
      <w:hyperlink r:id="rId78" w:history="1">
        <w:r w:rsidRPr="007777E2">
          <w:rPr>
            <w:lang w:val="en-US"/>
          </w:rPr>
          <w:t>http://www.worldbank.org/lpi</w:t>
        </w:r>
      </w:hyperlink>
      <w:r w:rsidRPr="007777E2">
        <w:rPr>
          <w:lang w:val="en-US"/>
        </w:rPr>
        <w:t>.</w:t>
      </w:r>
      <w:proofErr w:type="gramEnd"/>
    </w:p>
    <w:p w:rsidR="002D00DA" w:rsidRPr="007777E2" w:rsidRDefault="002D00DA" w:rsidP="002D00DA">
      <w:pPr>
        <w:pStyle w:val="lhdeluettelo"/>
        <w:ind w:left="0" w:firstLine="0"/>
        <w:rPr>
          <w:lang w:val="en-US"/>
        </w:rPr>
      </w:pPr>
      <w:r w:rsidRPr="007777E2">
        <w:rPr>
          <w:lang w:val="en-US"/>
        </w:rPr>
        <w:t>McKinnon A. 2009. "Logistics and Land: The Changing Land Use Requirements of Logistical Activity." 14th Annual Logistics Research Network Conference, Cardiff.</w:t>
      </w:r>
    </w:p>
    <w:p w:rsidR="002D00DA" w:rsidRPr="007777E2" w:rsidRDefault="002D00DA" w:rsidP="002D00DA">
      <w:pPr>
        <w:pStyle w:val="lhdeluettelo"/>
        <w:ind w:left="0" w:firstLine="0"/>
        <w:rPr>
          <w:lang w:val="en-US"/>
        </w:rPr>
      </w:pPr>
      <w:proofErr w:type="spellStart"/>
      <w:proofErr w:type="gramStart"/>
      <w:r w:rsidRPr="007777E2">
        <w:rPr>
          <w:lang w:val="en-US"/>
        </w:rPr>
        <w:t>Ojala</w:t>
      </w:r>
      <w:proofErr w:type="spellEnd"/>
      <w:r w:rsidRPr="007777E2">
        <w:rPr>
          <w:lang w:val="en-US"/>
        </w:rPr>
        <w:t xml:space="preserve">, L., T. </w:t>
      </w:r>
      <w:proofErr w:type="spellStart"/>
      <w:r w:rsidRPr="007777E2">
        <w:rPr>
          <w:lang w:val="en-US"/>
        </w:rPr>
        <w:t>Solakivi</w:t>
      </w:r>
      <w:proofErr w:type="spellEnd"/>
      <w:r w:rsidRPr="007777E2">
        <w:rPr>
          <w:lang w:val="en-US"/>
        </w:rPr>
        <w:t>, H.-M.</w:t>
      </w:r>
      <w:proofErr w:type="gramEnd"/>
      <w:r w:rsidRPr="007777E2">
        <w:rPr>
          <w:lang w:val="en-US"/>
        </w:rPr>
        <w:t xml:space="preserve"> </w:t>
      </w:r>
      <w:proofErr w:type="spellStart"/>
      <w:proofErr w:type="gramStart"/>
      <w:r w:rsidRPr="007777E2">
        <w:rPr>
          <w:lang w:val="en-US"/>
        </w:rPr>
        <w:t>Hälinen</w:t>
      </w:r>
      <w:proofErr w:type="spellEnd"/>
      <w:r w:rsidRPr="007777E2">
        <w:rPr>
          <w:lang w:val="en-US"/>
        </w:rPr>
        <w:t>, H. Lorentz, and T.M. Hoffmann.</w:t>
      </w:r>
      <w:proofErr w:type="gramEnd"/>
      <w:r w:rsidRPr="007777E2">
        <w:rPr>
          <w:lang w:val="en-US"/>
        </w:rPr>
        <w:t xml:space="preserve"> 2007. “State of Logistics in the Baltic Sea Region: Survey Results from Eight Countries.” </w:t>
      </w:r>
      <w:proofErr w:type="spellStart"/>
      <w:r w:rsidRPr="007777E2">
        <w:rPr>
          <w:i/>
          <w:lang w:val="en-US"/>
        </w:rPr>
        <w:t>LogOn</w:t>
      </w:r>
      <w:proofErr w:type="spellEnd"/>
      <w:r w:rsidRPr="007777E2">
        <w:rPr>
          <w:i/>
          <w:lang w:val="en-US"/>
        </w:rPr>
        <w:t xml:space="preserve"> Baltic Master Reports</w:t>
      </w:r>
      <w:r w:rsidRPr="007777E2">
        <w:rPr>
          <w:lang w:val="en-US"/>
        </w:rPr>
        <w:t xml:space="preserve">, No. 3. </w:t>
      </w:r>
    </w:p>
    <w:p w:rsidR="002D00DA" w:rsidRPr="007777E2" w:rsidRDefault="002D00DA" w:rsidP="002D00DA">
      <w:pPr>
        <w:pStyle w:val="lhdeluettelo"/>
        <w:ind w:left="0" w:firstLine="0"/>
        <w:rPr>
          <w:lang w:val="en-US"/>
        </w:rPr>
      </w:pPr>
      <w:r w:rsidRPr="007777E2">
        <w:rPr>
          <w:lang w:val="en-US"/>
        </w:rPr>
        <w:t>Product.ru, http://product.ru/</w:t>
      </w:r>
    </w:p>
    <w:p w:rsidR="002D00DA" w:rsidRPr="007777E2" w:rsidRDefault="002D00DA" w:rsidP="002D00DA">
      <w:pPr>
        <w:pStyle w:val="lhdeluettelo"/>
        <w:ind w:left="0" w:firstLine="0"/>
        <w:rPr>
          <w:lang w:val="en-US"/>
        </w:rPr>
      </w:pPr>
      <w:proofErr w:type="spellStart"/>
      <w:proofErr w:type="gramStart"/>
      <w:r w:rsidRPr="007777E2">
        <w:rPr>
          <w:lang w:val="en-US"/>
        </w:rPr>
        <w:t>Ruutikainen</w:t>
      </w:r>
      <w:proofErr w:type="spellEnd"/>
      <w:r w:rsidRPr="007777E2">
        <w:rPr>
          <w:lang w:val="en-US"/>
        </w:rPr>
        <w:t xml:space="preserve">, P. and U. </w:t>
      </w:r>
      <w:proofErr w:type="spellStart"/>
      <w:r w:rsidRPr="007777E2">
        <w:rPr>
          <w:lang w:val="en-US"/>
        </w:rPr>
        <w:t>Tapanine</w:t>
      </w:r>
      <w:proofErr w:type="spellEnd"/>
      <w:r w:rsidRPr="007777E2">
        <w:rPr>
          <w:lang w:val="en-US"/>
        </w:rPr>
        <w:t>.</w:t>
      </w:r>
      <w:proofErr w:type="gramEnd"/>
      <w:r w:rsidRPr="007777E2">
        <w:rPr>
          <w:lang w:val="en-US"/>
        </w:rPr>
        <w:t xml:space="preserve"> </w:t>
      </w:r>
      <w:r w:rsidR="00461419" w:rsidRPr="00461419">
        <w:rPr>
          <w:lang w:val="es-ES_tradnl"/>
        </w:rPr>
        <w:t>2007. "</w:t>
      </w:r>
      <w:proofErr w:type="spellStart"/>
      <w:r w:rsidR="00461419" w:rsidRPr="00461419">
        <w:rPr>
          <w:lang w:val="es-ES_tradnl"/>
        </w:rPr>
        <w:t>Elintarvikkeiden</w:t>
      </w:r>
      <w:proofErr w:type="spellEnd"/>
      <w:r w:rsidR="00461419" w:rsidRPr="00461419">
        <w:rPr>
          <w:lang w:val="es-ES_tradnl"/>
        </w:rPr>
        <w:t xml:space="preserve"> </w:t>
      </w:r>
      <w:proofErr w:type="spellStart"/>
      <w:r w:rsidR="00461419" w:rsidRPr="00461419">
        <w:rPr>
          <w:lang w:val="es-ES_tradnl"/>
        </w:rPr>
        <w:t>vienti</w:t>
      </w:r>
      <w:proofErr w:type="spellEnd"/>
      <w:r w:rsidR="00461419" w:rsidRPr="00461419">
        <w:rPr>
          <w:lang w:val="es-ES_tradnl"/>
        </w:rPr>
        <w:t xml:space="preserve">, </w:t>
      </w:r>
      <w:proofErr w:type="spellStart"/>
      <w:r w:rsidR="00461419" w:rsidRPr="00461419">
        <w:rPr>
          <w:lang w:val="es-ES_tradnl"/>
        </w:rPr>
        <w:t>autojen</w:t>
      </w:r>
      <w:proofErr w:type="spellEnd"/>
      <w:r w:rsidR="00461419" w:rsidRPr="00461419">
        <w:rPr>
          <w:lang w:val="es-ES_tradnl"/>
        </w:rPr>
        <w:t xml:space="preserve"> </w:t>
      </w:r>
      <w:proofErr w:type="spellStart"/>
      <w:r w:rsidR="00461419" w:rsidRPr="00461419">
        <w:rPr>
          <w:lang w:val="es-ES_tradnl"/>
        </w:rPr>
        <w:t>ja</w:t>
      </w:r>
      <w:proofErr w:type="spellEnd"/>
      <w:r w:rsidR="00461419" w:rsidRPr="00461419">
        <w:rPr>
          <w:lang w:val="es-ES_tradnl"/>
        </w:rPr>
        <w:t xml:space="preserve"> </w:t>
      </w:r>
      <w:proofErr w:type="spellStart"/>
      <w:r w:rsidR="00461419" w:rsidRPr="00461419">
        <w:rPr>
          <w:lang w:val="es-ES_tradnl"/>
        </w:rPr>
        <w:t>arvotavaran</w:t>
      </w:r>
      <w:proofErr w:type="spellEnd"/>
      <w:r w:rsidR="00461419" w:rsidRPr="00461419">
        <w:rPr>
          <w:lang w:val="es-ES_tradnl"/>
        </w:rPr>
        <w:t xml:space="preserve"> transito </w:t>
      </w:r>
      <w:proofErr w:type="spellStart"/>
      <w:r w:rsidR="00461419" w:rsidRPr="00461419">
        <w:rPr>
          <w:lang w:val="es-ES_tradnl"/>
        </w:rPr>
        <w:t>Venäjälle</w:t>
      </w:r>
      <w:proofErr w:type="spellEnd"/>
      <w:r w:rsidR="00461419" w:rsidRPr="00461419">
        <w:rPr>
          <w:lang w:val="es-ES_tradnl"/>
        </w:rPr>
        <w:t xml:space="preserve"> - </w:t>
      </w:r>
      <w:proofErr w:type="spellStart"/>
      <w:r w:rsidR="00461419" w:rsidRPr="00461419">
        <w:rPr>
          <w:lang w:val="es-ES_tradnl"/>
        </w:rPr>
        <w:t>Nykytila</w:t>
      </w:r>
      <w:proofErr w:type="spellEnd"/>
      <w:r w:rsidR="00461419" w:rsidRPr="00461419">
        <w:rPr>
          <w:lang w:val="es-ES_tradnl"/>
        </w:rPr>
        <w:t xml:space="preserve"> </w:t>
      </w:r>
      <w:proofErr w:type="spellStart"/>
      <w:r w:rsidR="00461419" w:rsidRPr="00461419">
        <w:rPr>
          <w:lang w:val="es-ES_tradnl"/>
        </w:rPr>
        <w:t>ja</w:t>
      </w:r>
      <w:proofErr w:type="spellEnd"/>
      <w:r w:rsidR="00461419" w:rsidRPr="00461419">
        <w:rPr>
          <w:lang w:val="es-ES_tradnl"/>
        </w:rPr>
        <w:t xml:space="preserve"> </w:t>
      </w:r>
      <w:proofErr w:type="spellStart"/>
      <w:r w:rsidR="00461419" w:rsidRPr="00461419">
        <w:rPr>
          <w:lang w:val="es-ES_tradnl"/>
        </w:rPr>
        <w:t>tulevaisuus</w:t>
      </w:r>
      <w:proofErr w:type="spellEnd"/>
      <w:r w:rsidR="00461419" w:rsidRPr="00461419">
        <w:rPr>
          <w:lang w:val="es-ES_tradnl"/>
        </w:rPr>
        <w:t xml:space="preserve">." </w:t>
      </w:r>
      <w:proofErr w:type="gramStart"/>
      <w:r w:rsidRPr="007777E2">
        <w:rPr>
          <w:i/>
          <w:lang w:val="en-US"/>
        </w:rPr>
        <w:t>Publications from the Centre for Maritime Studies</w:t>
      </w:r>
      <w:r w:rsidRPr="007777E2">
        <w:rPr>
          <w:lang w:val="en-US"/>
        </w:rPr>
        <w:t>, University of Turku, B 142.</w:t>
      </w:r>
      <w:proofErr w:type="gramEnd"/>
      <w:r w:rsidRPr="007777E2">
        <w:rPr>
          <w:lang w:val="en-US"/>
        </w:rPr>
        <w:t xml:space="preserve"> </w:t>
      </w:r>
      <w:proofErr w:type="gramStart"/>
      <w:r w:rsidRPr="007777E2">
        <w:rPr>
          <w:lang w:val="en-US"/>
        </w:rPr>
        <w:t>Available at http://mkk.utu.fi.</w:t>
      </w:r>
      <w:proofErr w:type="gramEnd"/>
      <w:r w:rsidRPr="007777E2">
        <w:rPr>
          <w:lang w:val="en-US"/>
        </w:rPr>
        <w:t xml:space="preserve">   </w:t>
      </w:r>
    </w:p>
    <w:p w:rsidR="002D00DA" w:rsidRPr="005958BE" w:rsidRDefault="002D00DA" w:rsidP="002D00DA">
      <w:pPr>
        <w:pStyle w:val="lhdeluettelo"/>
        <w:ind w:left="0" w:firstLine="0"/>
        <w:rPr>
          <w:lang w:val="pt-BR"/>
        </w:rPr>
      </w:pPr>
      <w:proofErr w:type="spellStart"/>
      <w:proofErr w:type="gramStart"/>
      <w:r w:rsidRPr="007777E2">
        <w:rPr>
          <w:lang w:val="en-US"/>
        </w:rPr>
        <w:t>Tatarchuk</w:t>
      </w:r>
      <w:proofErr w:type="spellEnd"/>
      <w:r w:rsidRPr="007777E2">
        <w:rPr>
          <w:lang w:val="en-US"/>
        </w:rPr>
        <w:t>, A. 2009.</w:t>
      </w:r>
      <w:proofErr w:type="gramEnd"/>
      <w:r w:rsidRPr="007777E2">
        <w:rPr>
          <w:lang w:val="en-US"/>
        </w:rPr>
        <w:t xml:space="preserve"> </w:t>
      </w:r>
      <w:proofErr w:type="gramStart"/>
      <w:r w:rsidRPr="007777E2">
        <w:rPr>
          <w:lang w:val="en-US"/>
        </w:rPr>
        <w:t xml:space="preserve">"Brest </w:t>
      </w:r>
      <w:proofErr w:type="spellStart"/>
      <w:r w:rsidRPr="007777E2">
        <w:rPr>
          <w:lang w:val="en-US"/>
        </w:rPr>
        <w:t>idet</w:t>
      </w:r>
      <w:proofErr w:type="spellEnd"/>
      <w:r w:rsidRPr="007777E2">
        <w:rPr>
          <w:lang w:val="en-US"/>
        </w:rPr>
        <w:t xml:space="preserve"> v </w:t>
      </w:r>
      <w:proofErr w:type="spellStart"/>
      <w:r w:rsidRPr="007777E2">
        <w:rPr>
          <w:lang w:val="en-US"/>
        </w:rPr>
        <w:t>nastuplenie</w:t>
      </w:r>
      <w:proofErr w:type="spellEnd"/>
      <w:r w:rsidRPr="007777E2">
        <w:rPr>
          <w:lang w:val="en-US"/>
        </w:rPr>
        <w:t>."</w:t>
      </w:r>
      <w:proofErr w:type="gramEnd"/>
      <w:r w:rsidRPr="007777E2">
        <w:rPr>
          <w:lang w:val="en-US"/>
        </w:rPr>
        <w:t xml:space="preserve"> </w:t>
      </w:r>
      <w:r w:rsidRPr="005958BE">
        <w:rPr>
          <w:i/>
          <w:lang w:val="pt-BR"/>
        </w:rPr>
        <w:t>Bisnes &amp; Baltia</w:t>
      </w:r>
      <w:r w:rsidRPr="005958BE">
        <w:rPr>
          <w:lang w:val="pt-BR"/>
        </w:rPr>
        <w:t xml:space="preserve">, No. 221. </w:t>
      </w:r>
    </w:p>
    <w:p w:rsidR="002D00DA" w:rsidRPr="007777E2" w:rsidRDefault="002D00DA" w:rsidP="002D00DA">
      <w:pPr>
        <w:pStyle w:val="lhdeluettelo"/>
        <w:ind w:left="0" w:firstLine="0"/>
        <w:rPr>
          <w:lang w:val="en-US"/>
        </w:rPr>
      </w:pPr>
      <w:r w:rsidRPr="005958BE">
        <w:rPr>
          <w:lang w:val="pt-BR"/>
        </w:rPr>
        <w:t xml:space="preserve">Tvaja Stalitsa. </w:t>
      </w:r>
      <w:r w:rsidRPr="007777E2">
        <w:rPr>
          <w:lang w:val="en-US"/>
        </w:rPr>
        <w:t xml:space="preserve">2009. </w:t>
      </w:r>
      <w:r w:rsidRPr="007777E2">
        <w:rPr>
          <w:i/>
          <w:lang w:val="en-US"/>
        </w:rPr>
        <w:t>Market Review: Warehouse Real Estate in Minsk Q2/2009</w:t>
      </w:r>
      <w:r w:rsidRPr="007777E2">
        <w:rPr>
          <w:lang w:val="en-US"/>
        </w:rPr>
        <w:t>, Minsk.</w:t>
      </w:r>
    </w:p>
    <w:p w:rsidR="002D00DA" w:rsidRPr="007777E2" w:rsidRDefault="002D00DA" w:rsidP="002D00DA">
      <w:pPr>
        <w:pStyle w:val="lhdeluettelo"/>
        <w:ind w:left="0" w:firstLine="0"/>
        <w:rPr>
          <w:lang w:val="en-US"/>
        </w:rPr>
      </w:pPr>
      <w:proofErr w:type="gramStart"/>
      <w:r w:rsidRPr="007777E2">
        <w:rPr>
          <w:lang w:val="en-US"/>
        </w:rPr>
        <w:t>UNCTAD.</w:t>
      </w:r>
      <w:proofErr w:type="gramEnd"/>
      <w:r w:rsidRPr="007777E2">
        <w:rPr>
          <w:lang w:val="en-US"/>
        </w:rPr>
        <w:t xml:space="preserve"> </w:t>
      </w:r>
      <w:proofErr w:type="gramStart"/>
      <w:r w:rsidRPr="007777E2">
        <w:rPr>
          <w:lang w:val="en-US"/>
        </w:rPr>
        <w:t>World Investment Report 2009.</w:t>
      </w:r>
      <w:proofErr w:type="gramEnd"/>
      <w:r w:rsidRPr="007777E2">
        <w:rPr>
          <w:lang w:val="en-US"/>
        </w:rPr>
        <w:t xml:space="preserve"> </w:t>
      </w:r>
      <w:proofErr w:type="gramStart"/>
      <w:r w:rsidRPr="007777E2">
        <w:rPr>
          <w:lang w:val="en-US"/>
        </w:rPr>
        <w:t>Available at http://www.unctad.org/WIR.</w:t>
      </w:r>
      <w:proofErr w:type="gramEnd"/>
    </w:p>
    <w:p w:rsidR="003653F3" w:rsidRDefault="002D00DA" w:rsidP="002D00DA">
      <w:pPr>
        <w:pStyle w:val="lhdeluettelo"/>
        <w:ind w:left="0" w:firstLine="0"/>
        <w:rPr>
          <w:lang w:val="en-US"/>
        </w:rPr>
      </w:pPr>
      <w:proofErr w:type="spellStart"/>
      <w:proofErr w:type="gramStart"/>
      <w:r w:rsidRPr="007777E2">
        <w:rPr>
          <w:lang w:val="en-US"/>
        </w:rPr>
        <w:t>Uniter</w:t>
      </w:r>
      <w:proofErr w:type="spellEnd"/>
      <w:r w:rsidRPr="007777E2">
        <w:rPr>
          <w:lang w:val="en-US"/>
        </w:rPr>
        <w:t>.</w:t>
      </w:r>
      <w:proofErr w:type="gramEnd"/>
      <w:r w:rsidRPr="007777E2">
        <w:rPr>
          <w:lang w:val="en-US"/>
        </w:rPr>
        <w:t xml:space="preserve"> 2009. “Investing into Belarus: Discovering Retail Sector Opportunities.” </w:t>
      </w:r>
      <w:proofErr w:type="gramStart"/>
      <w:r w:rsidRPr="007777E2">
        <w:rPr>
          <w:lang w:val="en-US"/>
        </w:rPr>
        <w:t>Available at http://www.uniter.by/_modules/_cfiles/files/4_investing_into_belarus_retail</w:t>
      </w:r>
      <w:r w:rsidRPr="009301AA">
        <w:rPr>
          <w:lang w:val="en-US"/>
        </w:rPr>
        <w:t>.pdf.</w:t>
      </w:r>
      <w:proofErr w:type="gramEnd"/>
      <w:r w:rsidRPr="009301AA">
        <w:rPr>
          <w:lang w:val="en-US"/>
        </w:rPr>
        <w:t xml:space="preserve"> </w:t>
      </w:r>
    </w:p>
    <w:p w:rsidR="003653F3" w:rsidRDefault="003653F3" w:rsidP="002D00DA">
      <w:pPr>
        <w:pStyle w:val="lhdeluettelo"/>
        <w:ind w:left="0" w:firstLine="0"/>
        <w:rPr>
          <w:lang w:val="en-US"/>
        </w:rPr>
      </w:pPr>
    </w:p>
    <w:p w:rsidR="002D00DA" w:rsidRPr="003653F3" w:rsidRDefault="002D00DA" w:rsidP="002D00DA">
      <w:pPr>
        <w:pStyle w:val="lhdeluettelo"/>
        <w:ind w:left="0" w:firstLine="0"/>
        <w:rPr>
          <w:sz w:val="16"/>
          <w:lang w:val="en-US"/>
        </w:rPr>
      </w:pPr>
    </w:p>
    <w:sectPr w:rsidR="002D00DA" w:rsidRPr="003653F3" w:rsidSect="00094D19">
      <w:pgSz w:w="12240" w:h="15840"/>
      <w:pgMar w:top="1170" w:right="1440" w:bottom="171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5EB8" w:rsidRDefault="00515EB8" w:rsidP="00096ADF">
      <w:r>
        <w:separator/>
      </w:r>
    </w:p>
  </w:endnote>
  <w:endnote w:type="continuationSeparator" w:id="0">
    <w:p w:rsidR="00515EB8" w:rsidRDefault="00515EB8" w:rsidP="00096AD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DE"/>
    <w:family w:val="roman"/>
    <w:notTrueType/>
    <w:pitch w:val="variable"/>
    <w:sig w:usb0="01000001" w:usb1="00000000" w:usb2="00000000" w:usb3="00000000" w:csb0="00010000"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rdia New">
    <w:panose1 w:val="020B0304020202020204"/>
    <w:charset w:val="DE"/>
    <w:family w:val="roman"/>
    <w:notTrueType/>
    <w:pitch w:val="variable"/>
    <w:sig w:usb0="01000001" w:usb1="00000000" w:usb2="00000000" w:usb3="00000000" w:csb0="00010000" w:csb1="00000000"/>
  </w:font>
  <w:font w:name="Times New Roman Bold">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EB8" w:rsidRDefault="00515EB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155134"/>
      <w:docPartObj>
        <w:docPartGallery w:val="Page Numbers (Bottom of Page)"/>
        <w:docPartUnique/>
      </w:docPartObj>
    </w:sdtPr>
    <w:sdtContent>
      <w:p w:rsidR="00515EB8" w:rsidRDefault="006B40AE">
        <w:pPr>
          <w:pStyle w:val="Footer"/>
          <w:jc w:val="center"/>
        </w:pPr>
        <w:fldSimple w:instr=" PAGE   \* MERGEFORMAT ">
          <w:r w:rsidR="00354462">
            <w:rPr>
              <w:noProof/>
            </w:rPr>
            <w:t>83</w:t>
          </w:r>
        </w:fldSimple>
      </w:p>
    </w:sdtContent>
  </w:sdt>
  <w:p w:rsidR="00515EB8" w:rsidRDefault="00515EB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EB8" w:rsidRDefault="00515EB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5EB8" w:rsidRDefault="00515EB8" w:rsidP="00096ADF">
      <w:r>
        <w:separator/>
      </w:r>
    </w:p>
  </w:footnote>
  <w:footnote w:type="continuationSeparator" w:id="0">
    <w:p w:rsidR="00515EB8" w:rsidRDefault="00515EB8" w:rsidP="00096ADF">
      <w:r>
        <w:continuationSeparator/>
      </w:r>
    </w:p>
  </w:footnote>
  <w:footnote w:id="1">
    <w:p w:rsidR="00515EB8" w:rsidRDefault="00515EB8" w:rsidP="00963581">
      <w:pPr>
        <w:pStyle w:val="FootnoteText"/>
      </w:pPr>
      <w:r>
        <w:rPr>
          <w:rStyle w:val="FootnoteReference"/>
        </w:rPr>
        <w:footnoteRef/>
      </w:r>
      <w:r>
        <w:t xml:space="preserve"> There are 3 Pan-European corridors through Belarus, 2 being promoted by the EU.</w:t>
      </w:r>
    </w:p>
  </w:footnote>
  <w:footnote w:id="2">
    <w:p w:rsidR="00515EB8" w:rsidRDefault="00515EB8" w:rsidP="00963581">
      <w:pPr>
        <w:pStyle w:val="FootnoteText"/>
      </w:pPr>
      <w:r>
        <w:rPr>
          <w:rStyle w:val="FootnoteReference"/>
        </w:rPr>
        <w:footnoteRef/>
      </w:r>
      <w:r>
        <w:t xml:space="preserve"> This paper refers to EU-25 in case of lack of data for EU-27</w:t>
      </w:r>
    </w:p>
  </w:footnote>
  <w:footnote w:id="3">
    <w:p w:rsidR="00515EB8" w:rsidRDefault="00515EB8">
      <w:pPr>
        <w:pStyle w:val="FootnoteText"/>
      </w:pPr>
      <w:r>
        <w:rPr>
          <w:rStyle w:val="FootnoteReference"/>
        </w:rPr>
        <w:footnoteRef/>
      </w:r>
      <w:r>
        <w:t xml:space="preserve">  Consolidation of freight Less-t</w:t>
      </w:r>
      <w:r w:rsidRPr="00F97DAC">
        <w:t>han Truck Load</w:t>
      </w:r>
      <w:r>
        <w:t xml:space="preserve"> (LTL)</w:t>
      </w:r>
    </w:p>
  </w:footnote>
  <w:footnote w:id="4">
    <w:p w:rsidR="00515EB8" w:rsidRDefault="00515EB8">
      <w:pPr>
        <w:pStyle w:val="FootnoteText"/>
      </w:pPr>
      <w:r>
        <w:rPr>
          <w:rStyle w:val="FootnoteReference"/>
        </w:rPr>
        <w:footnoteRef/>
      </w:r>
      <w:r>
        <w:t xml:space="preserve"> </w:t>
      </w:r>
      <w:proofErr w:type="gramStart"/>
      <w:r>
        <w:t>Approved by the World Bank</w:t>
      </w:r>
      <w:r w:rsidRPr="008F6DEF">
        <w:t xml:space="preserve"> </w:t>
      </w:r>
      <w:r>
        <w:t xml:space="preserve">on </w:t>
      </w:r>
      <w:r w:rsidRPr="008F6DEF">
        <w:t>October 23, 2009</w:t>
      </w:r>
      <w:r>
        <w:t>.</w:t>
      </w:r>
      <w:proofErr w:type="gramEnd"/>
    </w:p>
  </w:footnote>
  <w:footnote w:id="5">
    <w:p w:rsidR="00515EB8" w:rsidRDefault="00515EB8">
      <w:pPr>
        <w:pStyle w:val="FootnoteText"/>
      </w:pPr>
      <w:r>
        <w:rPr>
          <w:rStyle w:val="FootnoteReference"/>
        </w:rPr>
        <w:footnoteRef/>
      </w:r>
      <w:r>
        <w:t xml:space="preserve"> Employment strictly refers to the actual impact on staffing (number of employees) in the sector</w:t>
      </w:r>
    </w:p>
  </w:footnote>
  <w:footnote w:id="6">
    <w:p w:rsidR="00515EB8" w:rsidRDefault="00515EB8">
      <w:pPr>
        <w:pStyle w:val="FootnoteText"/>
      </w:pPr>
      <w:r w:rsidRPr="003B38AB">
        <w:rPr>
          <w:rStyle w:val="FootnoteReference"/>
        </w:rPr>
        <w:footnoteRef/>
      </w:r>
      <w:r w:rsidRPr="003B38AB">
        <w:t xml:space="preserve"> In the UK for example, some 60 percent of demand for large distribution centers comes from retailers (McKinnon, 2009), especially the more developed retail chains with differentiated store formats (hypermarkets, supermarkets, convenience stores). Their respective location strategies require separate locations for warehousing and materials management in order to fully exploit store space for consumer sales generation. These in-house or outsourced distribution centers may operate, for example, based on the cross-docking concept, allowing low inventory and transportation cost levels, while the coordination complexity may be high. </w:t>
      </w:r>
    </w:p>
  </w:footnote>
  <w:footnote w:id="7">
    <w:p w:rsidR="00515EB8" w:rsidRPr="00C7352D" w:rsidRDefault="00515EB8" w:rsidP="00DA4A91">
      <w:pPr>
        <w:pStyle w:val="FootnoteText"/>
      </w:pPr>
      <w:r w:rsidRPr="00C7352D">
        <w:rPr>
          <w:rStyle w:val="FootnoteReference"/>
          <w:b/>
          <w:sz w:val="20"/>
          <w:szCs w:val="20"/>
        </w:rPr>
        <w:footnoteRef/>
      </w:r>
      <w:r w:rsidRPr="00D74ABC">
        <w:t>See:</w:t>
      </w:r>
      <w:hyperlink r:id="rId1" w:history="1">
        <w:r w:rsidRPr="00D74ABC">
          <w:rPr>
            <w:rStyle w:val="Hyperlink"/>
          </w:rPr>
          <w:t>http://www.unece.org/env/europe/monitoring/EECCA_CSI/EECCA%20CSI%20_Eng/EECCA%20CSI%2030_freight%20transport%20demand_eng.doc</w:t>
        </w:r>
      </w:hyperlink>
    </w:p>
  </w:footnote>
  <w:footnote w:id="8">
    <w:p w:rsidR="00515EB8" w:rsidRPr="00C7352D" w:rsidRDefault="00515EB8" w:rsidP="00DA4A91">
      <w:pPr>
        <w:pStyle w:val="FootnoteText"/>
      </w:pPr>
      <w:r w:rsidRPr="00C7352D">
        <w:rPr>
          <w:rStyle w:val="FootnoteReference"/>
          <w:sz w:val="20"/>
          <w:szCs w:val="20"/>
        </w:rPr>
        <w:footnoteRef/>
      </w:r>
      <w:r w:rsidRPr="00C7352D">
        <w:t xml:space="preserve"> See page 13 at </w:t>
      </w:r>
      <w:hyperlink r:id="rId2" w:history="1">
        <w:r w:rsidRPr="00D74ABC">
          <w:rPr>
            <w:rStyle w:val="Hyperlink"/>
          </w:rPr>
          <w:t>http://www.eea.europa.eu/publications/eea_report_2006_3</w:t>
        </w:r>
      </w:hyperlink>
      <w:r w:rsidRPr="00D74ABC">
        <w:t>. No data is available for EU-27</w:t>
      </w:r>
    </w:p>
  </w:footnote>
  <w:footnote w:id="9">
    <w:p w:rsidR="00515EB8" w:rsidRDefault="00515EB8">
      <w:pPr>
        <w:pStyle w:val="FootnoteText"/>
      </w:pPr>
      <w:r>
        <w:rPr>
          <w:rStyle w:val="FootnoteReference"/>
        </w:rPr>
        <w:footnoteRef/>
      </w:r>
      <w:r>
        <w:t xml:space="preserve"> </w:t>
      </w:r>
      <w:r w:rsidRPr="0063281D">
        <w:t>Report № 2 of the Research Work «Road Transport Review and Prospects» prepared in October 2010 by RUE Belarusian Research Institute of Transport «</w:t>
      </w:r>
      <w:proofErr w:type="spellStart"/>
      <w:r w:rsidRPr="0063281D">
        <w:t>Transtechnika</w:t>
      </w:r>
      <w:proofErr w:type="spellEnd"/>
      <w:r w:rsidRPr="0063281D">
        <w:t xml:space="preserve">» of the Ministry of Transport and </w:t>
      </w:r>
      <w:proofErr w:type="gramStart"/>
      <w:r w:rsidRPr="0063281D">
        <w:t>Communications  of</w:t>
      </w:r>
      <w:proofErr w:type="gramEnd"/>
      <w:r w:rsidRPr="0063281D">
        <w:t xml:space="preserve"> the Republic of Belarus</w:t>
      </w:r>
      <w:r>
        <w:t xml:space="preserve"> provides a i</w:t>
      </w:r>
      <w:r w:rsidRPr="0063281D">
        <w:t>nfluence of Belarus’ GDP on the growth rates of freight transportation volumes estimated at 21.8%.</w:t>
      </w:r>
    </w:p>
  </w:footnote>
  <w:footnote w:id="10">
    <w:p w:rsidR="00515EB8" w:rsidRPr="003B38AB" w:rsidRDefault="00515EB8" w:rsidP="00DA4A91">
      <w:pPr>
        <w:pStyle w:val="FootnoteText"/>
        <w:rPr>
          <w:b/>
        </w:rPr>
      </w:pPr>
      <w:r w:rsidRPr="003B6C46">
        <w:rPr>
          <w:rStyle w:val="FootnoteReference"/>
          <w:sz w:val="20"/>
          <w:szCs w:val="20"/>
        </w:rPr>
        <w:footnoteRef/>
      </w:r>
      <w:r w:rsidRPr="00D74ABC">
        <w:t xml:space="preserve"> There are 12 EECCA countries: </w:t>
      </w:r>
      <w:r w:rsidRPr="00D74ABC">
        <w:rPr>
          <w:rStyle w:val="Strong"/>
          <w:b w:val="0"/>
          <w:color w:val="333333"/>
        </w:rPr>
        <w:t>Armenia, Azerbaijan, Belarus, Georgia, Kazakhstan, Kyrgyzstan, Moldova, Russian Federation, Tajikistan, Turkmenistan, Ukraine and Uzbekistan</w:t>
      </w:r>
      <w:r w:rsidRPr="00C7352D">
        <w:rPr>
          <w:b/>
        </w:rPr>
        <w:t>.</w:t>
      </w:r>
    </w:p>
  </w:footnote>
  <w:footnote w:id="11">
    <w:p w:rsidR="00515EB8" w:rsidRPr="003B38AB" w:rsidRDefault="00515EB8" w:rsidP="00DA4A91">
      <w:pPr>
        <w:pStyle w:val="FootnoteText"/>
      </w:pPr>
      <w:r w:rsidRPr="003B38AB">
        <w:rPr>
          <w:rStyle w:val="FootnoteReference"/>
        </w:rPr>
        <w:footnoteRef/>
      </w:r>
      <w:r w:rsidRPr="003B38AB">
        <w:t xml:space="preserve"> This percentage does not take into consideration the volume of passengers transported in private cars. </w:t>
      </w:r>
    </w:p>
  </w:footnote>
  <w:footnote w:id="12">
    <w:p w:rsidR="00515EB8" w:rsidRPr="003B38AB" w:rsidRDefault="00515EB8" w:rsidP="00DA4A91">
      <w:pPr>
        <w:pStyle w:val="FootnoteText"/>
      </w:pPr>
      <w:r w:rsidRPr="003B38AB">
        <w:rPr>
          <w:rStyle w:val="FootnoteReference"/>
        </w:rPr>
        <w:footnoteRef/>
      </w:r>
      <w:r w:rsidRPr="003B38AB">
        <w:t xml:space="preserve"> The </w:t>
      </w:r>
      <w:proofErr w:type="spellStart"/>
      <w:r w:rsidRPr="003B38AB">
        <w:t>EurAsian</w:t>
      </w:r>
      <w:proofErr w:type="spellEnd"/>
      <w:r w:rsidRPr="003B38AB">
        <w:t xml:space="preserve"> Economic Community includes Russia and Kazakhstan, Belarus, Kyrgyzstan and Tajikistan.</w:t>
      </w:r>
    </w:p>
  </w:footnote>
  <w:footnote w:id="13">
    <w:p w:rsidR="00515EB8" w:rsidRPr="003B38AB" w:rsidRDefault="00515EB8" w:rsidP="00DA4A91">
      <w:pPr>
        <w:pStyle w:val="FootnoteText"/>
      </w:pPr>
      <w:r w:rsidRPr="003B38AB">
        <w:rPr>
          <w:rStyle w:val="FootnoteReference"/>
        </w:rPr>
        <w:footnoteRef/>
      </w:r>
      <w:r w:rsidRPr="003B38AB">
        <w:t xml:space="preserve"> The “Roads of Belarus” Program was approved by the Republic of Belarus Council of Minister’s Resolution No. 468, April 6, 2006. The program was reviewed in 2009 jointly by the Ministry of Transport and Ministry of Finance to prioritize proposed investments. </w:t>
      </w:r>
    </w:p>
  </w:footnote>
  <w:footnote w:id="14">
    <w:p w:rsidR="00515EB8" w:rsidRDefault="00515EB8">
      <w:pPr>
        <w:pStyle w:val="FootnoteText"/>
      </w:pPr>
      <w:r>
        <w:rPr>
          <w:rStyle w:val="FootnoteReference"/>
        </w:rPr>
        <w:footnoteRef/>
      </w:r>
      <w:r>
        <w:t xml:space="preserve"> Please refer to Annex 3 for details.</w:t>
      </w:r>
    </w:p>
  </w:footnote>
  <w:footnote w:id="15">
    <w:p w:rsidR="00515EB8" w:rsidRPr="003B38AB" w:rsidRDefault="00515EB8" w:rsidP="00DA4A91">
      <w:pPr>
        <w:pStyle w:val="FootnoteText"/>
      </w:pPr>
      <w:r w:rsidRPr="003B38AB">
        <w:rPr>
          <w:rStyle w:val="FootnoteReference"/>
        </w:rPr>
        <w:footnoteRef/>
      </w:r>
      <w:r w:rsidRPr="003B38AB">
        <w:t xml:space="preserve"> A recently published report by the World Bank on road safety records in Europe and Central Asian countries reports</w:t>
      </w:r>
      <w:r>
        <w:t xml:space="preserve"> </w:t>
      </w:r>
      <w:r w:rsidRPr="003B38AB">
        <w:t xml:space="preserve">that the fatality rate per 100,000 population is about 15.7 which is </w:t>
      </w:r>
      <w:r>
        <w:t>slightly lower</w:t>
      </w:r>
      <w:r w:rsidRPr="003B38AB">
        <w:t xml:space="preserve"> than the data reported by </w:t>
      </w:r>
      <w:r>
        <w:t>National Statistical Committee</w:t>
      </w:r>
      <w:r w:rsidRPr="003B38AB">
        <w:t xml:space="preserve">. This may be due to the different in sources of data. </w:t>
      </w:r>
    </w:p>
  </w:footnote>
  <w:footnote w:id="16">
    <w:p w:rsidR="00515EB8" w:rsidRDefault="00515EB8">
      <w:pPr>
        <w:pStyle w:val="FootnoteText"/>
      </w:pPr>
      <w:r w:rsidRPr="003B38AB">
        <w:rPr>
          <w:rStyle w:val="FootnoteReference"/>
        </w:rPr>
        <w:footnoteRef/>
      </w:r>
      <w:r w:rsidRPr="003B38AB">
        <w:t xml:space="preserve"> These figures are influenced by legislative testing practices and it has been suggested that the actual figures are much higher. </w:t>
      </w:r>
    </w:p>
  </w:footnote>
  <w:footnote w:id="17">
    <w:p w:rsidR="00515EB8" w:rsidRDefault="00515EB8">
      <w:pPr>
        <w:pStyle w:val="FootnoteText"/>
      </w:pPr>
      <w:r>
        <w:rPr>
          <w:rStyle w:val="FootnoteReference"/>
        </w:rPr>
        <w:footnoteRef/>
      </w:r>
      <w:r>
        <w:t xml:space="preserve"> </w:t>
      </w:r>
      <w:r w:rsidRPr="003B38AB">
        <w:t xml:space="preserve">Public roads are classified as republican roads (main and regional) and local roads with the distinction between the two being related to their functional purpose. </w:t>
      </w:r>
      <w:r w:rsidRPr="003B38AB">
        <w:rPr>
          <w:rStyle w:val="shorttext"/>
          <w:sz w:val="18"/>
          <w:szCs w:val="18"/>
          <w:shd w:val="clear" w:color="auto" w:fill="FFFFFF"/>
        </w:rPr>
        <w:t xml:space="preserve">Law of the Republic of Belarus on Roads and Road Works, </w:t>
      </w:r>
      <w:r w:rsidRPr="003B38AB">
        <w:rPr>
          <w:rStyle w:val="shorttext"/>
          <w:rFonts w:eastAsia="Calibri"/>
          <w:sz w:val="18"/>
          <w:szCs w:val="18"/>
          <w:shd w:val="clear" w:color="auto" w:fill="FFFFFF"/>
        </w:rPr>
        <w:t>December 2, 1994, No. 3434-XII</w:t>
      </w:r>
      <w:r w:rsidRPr="003B38AB">
        <w:rPr>
          <w:rStyle w:val="shorttext"/>
          <w:sz w:val="18"/>
          <w:szCs w:val="18"/>
          <w:shd w:val="clear" w:color="auto" w:fill="FFFFFF"/>
        </w:rPr>
        <w:t xml:space="preserve">, </w:t>
      </w:r>
      <w:r w:rsidRPr="003B38AB">
        <w:rPr>
          <w:rFonts w:eastAsia="Calibri"/>
        </w:rPr>
        <w:t>(as amended by the Laws from 22.07.2003 No. 228-</w:t>
      </w:r>
      <w:r w:rsidRPr="003B38AB">
        <w:rPr>
          <w:rFonts w:eastAsia="Calibri"/>
          <w:lang w:val="ru-RU"/>
        </w:rPr>
        <w:t>З</w:t>
      </w:r>
      <w:r w:rsidRPr="003B38AB">
        <w:rPr>
          <w:rFonts w:eastAsia="Calibri"/>
        </w:rPr>
        <w:t>,</w:t>
      </w:r>
      <w:r w:rsidRPr="003B38AB">
        <w:t xml:space="preserve"> </w:t>
      </w:r>
      <w:r w:rsidRPr="003B38AB">
        <w:rPr>
          <w:rFonts w:eastAsia="Calibri"/>
        </w:rPr>
        <w:t>from 20.07.2006 No. 162-</w:t>
      </w:r>
      <w:r w:rsidRPr="003B38AB">
        <w:rPr>
          <w:rFonts w:eastAsia="Calibri"/>
          <w:lang w:val="ru-RU"/>
        </w:rPr>
        <w:t>З</w:t>
      </w:r>
      <w:r w:rsidRPr="003B38AB">
        <w:rPr>
          <w:rFonts w:eastAsia="Calibri"/>
        </w:rPr>
        <w:t>, from 07.05.2007 No. 212-</w:t>
      </w:r>
      <w:r w:rsidRPr="003B38AB">
        <w:rPr>
          <w:rFonts w:eastAsia="Calibri"/>
          <w:lang w:val="ru-RU"/>
        </w:rPr>
        <w:t>З</w:t>
      </w:r>
      <w:r w:rsidRPr="003B38AB">
        <w:rPr>
          <w:rFonts w:eastAsia="Calibri"/>
        </w:rPr>
        <w:t>,</w:t>
      </w:r>
      <w:r w:rsidRPr="003B38AB">
        <w:t xml:space="preserve"> </w:t>
      </w:r>
      <w:r w:rsidRPr="003B38AB">
        <w:rPr>
          <w:rFonts w:eastAsia="Calibri"/>
        </w:rPr>
        <w:t>from 09.07.2007 No. 247-</w:t>
      </w:r>
      <w:r w:rsidRPr="003B38AB">
        <w:rPr>
          <w:rFonts w:eastAsia="Calibri"/>
          <w:lang w:val="ru-RU"/>
        </w:rPr>
        <w:t>З</w:t>
      </w:r>
      <w:r w:rsidRPr="003B38AB">
        <w:rPr>
          <w:rFonts w:eastAsia="Calibri"/>
        </w:rPr>
        <w:t>, from 08.07.2008 No. 367-</w:t>
      </w:r>
      <w:r w:rsidRPr="003B38AB">
        <w:rPr>
          <w:rFonts w:eastAsia="Calibri"/>
          <w:lang w:val="ru-RU"/>
        </w:rPr>
        <w:t>З</w:t>
      </w:r>
      <w:r w:rsidRPr="003B38AB">
        <w:rPr>
          <w:rFonts w:eastAsia="Calibri"/>
        </w:rPr>
        <w:t>)</w:t>
      </w:r>
    </w:p>
  </w:footnote>
  <w:footnote w:id="18">
    <w:p w:rsidR="00515EB8" w:rsidRDefault="00515EB8">
      <w:pPr>
        <w:pStyle w:val="FootnoteText"/>
      </w:pPr>
      <w:r w:rsidRPr="003B38AB">
        <w:rPr>
          <w:rStyle w:val="FootnoteReference"/>
        </w:rPr>
        <w:footnoteRef/>
      </w:r>
      <w:r w:rsidRPr="003B38AB">
        <w:t xml:space="preserve"> EU-15 countries include Belgium, Denmark, Germany, Greece, Spain, France, Ireland, Italy, Luxembourg, Netherlands, Austria, Portugal, Finland, Sweden, and United Kingdom. </w:t>
      </w:r>
    </w:p>
  </w:footnote>
  <w:footnote w:id="19">
    <w:p w:rsidR="00515EB8" w:rsidRDefault="00515EB8">
      <w:pPr>
        <w:pStyle w:val="FootnoteText"/>
      </w:pPr>
      <w:r w:rsidRPr="003B38AB">
        <w:rPr>
          <w:rStyle w:val="FootnoteReference"/>
        </w:rPr>
        <w:footnoteRef/>
      </w:r>
      <w:r w:rsidRPr="003B38AB">
        <w:t xml:space="preserve"> Local roads provide transport links between administrative centers of village councils, towns under district jurisdiction, etc.</w:t>
      </w:r>
    </w:p>
  </w:footnote>
  <w:footnote w:id="20">
    <w:p w:rsidR="00515EB8" w:rsidRDefault="00515EB8">
      <w:pPr>
        <w:pStyle w:val="FootnoteText"/>
      </w:pPr>
      <w:r w:rsidRPr="003B38AB">
        <w:rPr>
          <w:rStyle w:val="FootnoteReference"/>
        </w:rPr>
        <w:footnoteRef/>
      </w:r>
      <w:r w:rsidRPr="003B38AB">
        <w:t xml:space="preserve"> European emission standards define the acceptable limits for exhaust emissions of new vehicles sold in EU member states. These are classified as numbered EURO emission levels.</w:t>
      </w:r>
    </w:p>
  </w:footnote>
  <w:footnote w:id="21">
    <w:p w:rsidR="00515EB8" w:rsidRDefault="00515EB8">
      <w:pPr>
        <w:pStyle w:val="FootnoteText"/>
      </w:pPr>
      <w:r w:rsidRPr="003B38AB">
        <w:rPr>
          <w:rStyle w:val="FootnoteReference"/>
        </w:rPr>
        <w:footnoteRef/>
      </w:r>
      <w:r w:rsidRPr="003B38AB">
        <w:t xml:space="preserve"> </w:t>
      </w:r>
      <w:proofErr w:type="gramStart"/>
      <w:r w:rsidRPr="003B38AB">
        <w:t xml:space="preserve">Law of </w:t>
      </w:r>
      <w:r w:rsidRPr="003B38AB">
        <w:rPr>
          <w:rStyle w:val="shorttext"/>
          <w:sz w:val="18"/>
          <w:szCs w:val="18"/>
          <w:shd w:val="clear" w:color="auto" w:fill="FFFFFF"/>
        </w:rPr>
        <w:t xml:space="preserve">the Republic of Belarus on Roads and Road Works, </w:t>
      </w:r>
      <w:r w:rsidRPr="003B38AB">
        <w:rPr>
          <w:rStyle w:val="shorttext"/>
          <w:rFonts w:eastAsia="Calibri"/>
          <w:sz w:val="18"/>
          <w:szCs w:val="18"/>
          <w:shd w:val="clear" w:color="auto" w:fill="FFFFFF"/>
        </w:rPr>
        <w:t>December 2, 1994 No. 3434-XII</w:t>
      </w:r>
      <w:r w:rsidRPr="003B38AB">
        <w:rPr>
          <w:rStyle w:val="shorttext"/>
          <w:sz w:val="18"/>
          <w:szCs w:val="18"/>
          <w:shd w:val="clear" w:color="auto" w:fill="FFFFFF"/>
        </w:rPr>
        <w:t xml:space="preserve">, </w:t>
      </w:r>
      <w:r w:rsidRPr="003B38AB">
        <w:t>(as amended by the Laws from 22.07.2003 No. 228-</w:t>
      </w:r>
      <w:r w:rsidRPr="003B38AB">
        <w:rPr>
          <w:lang w:val="ru-RU"/>
        </w:rPr>
        <w:t>З</w:t>
      </w:r>
      <w:r w:rsidRPr="003B38AB">
        <w:t>, from 20.07.2006 No. 162-</w:t>
      </w:r>
      <w:r w:rsidRPr="003B38AB">
        <w:rPr>
          <w:lang w:val="ru-RU"/>
        </w:rPr>
        <w:t>З</w:t>
      </w:r>
      <w:r w:rsidRPr="003B38AB">
        <w:t>, from 07.05.2007 No. 212-</w:t>
      </w:r>
      <w:r w:rsidRPr="003B38AB">
        <w:rPr>
          <w:lang w:val="ru-RU"/>
        </w:rPr>
        <w:t>З</w:t>
      </w:r>
      <w:r w:rsidRPr="003B38AB">
        <w:t>, from 09.07.2007 No. 247-</w:t>
      </w:r>
      <w:r w:rsidRPr="003B38AB">
        <w:rPr>
          <w:lang w:val="ru-RU"/>
        </w:rPr>
        <w:t>З</w:t>
      </w:r>
      <w:r w:rsidRPr="003B38AB">
        <w:t>, from 08.07.2008 No. 367-</w:t>
      </w:r>
      <w:r w:rsidRPr="003B38AB">
        <w:rPr>
          <w:lang w:val="ru-RU"/>
        </w:rPr>
        <w:t>З</w:t>
      </w:r>
      <w:r w:rsidRPr="003B38AB">
        <w:t>).</w:t>
      </w:r>
      <w:proofErr w:type="gramEnd"/>
      <w:r w:rsidRPr="003B38AB">
        <w:t xml:space="preserve"> </w:t>
      </w:r>
    </w:p>
  </w:footnote>
  <w:footnote w:id="22">
    <w:p w:rsidR="00515EB8" w:rsidRDefault="00515EB8">
      <w:pPr>
        <w:pStyle w:val="FootnoteText"/>
      </w:pPr>
      <w:r>
        <w:rPr>
          <w:rStyle w:val="FootnoteReference"/>
        </w:rPr>
        <w:footnoteRef/>
      </w:r>
      <w:r>
        <w:t xml:space="preserve"> </w:t>
      </w:r>
      <w:proofErr w:type="gramStart"/>
      <w:r>
        <w:t>One percent business turnover tax on most business entities.</w:t>
      </w:r>
      <w:proofErr w:type="gramEnd"/>
    </w:p>
  </w:footnote>
  <w:footnote w:id="23">
    <w:p w:rsidR="00515EB8" w:rsidRDefault="00515EB8">
      <w:pPr>
        <w:pStyle w:val="FootnoteText"/>
      </w:pPr>
      <w:r>
        <w:rPr>
          <w:rStyle w:val="FootnoteReference"/>
        </w:rPr>
        <w:footnoteRef/>
      </w:r>
      <w:r>
        <w:t xml:space="preserve"> The above estimates do not take into consideration external financing (loans). In 2007-2008, </w:t>
      </w:r>
      <w:proofErr w:type="spellStart"/>
      <w:r>
        <w:t>Belavtodor</w:t>
      </w:r>
      <w:proofErr w:type="spellEnd"/>
      <w:r>
        <w:t xml:space="preserve"> received loans totaling BYR 814 billion from the Bank of Belarus. From this amount, BYR 435 billion was used for the reconstruction of the M1-E30 road and the remainder was spent on other republican roads. These loans will be repaid from the national budget over 2011-2015.</w:t>
      </w:r>
    </w:p>
  </w:footnote>
  <w:footnote w:id="24">
    <w:p w:rsidR="00515EB8" w:rsidRPr="003B38AB" w:rsidRDefault="00515EB8" w:rsidP="00DA4A91">
      <w:pPr>
        <w:pStyle w:val="FootnoteText"/>
      </w:pPr>
      <w:r w:rsidRPr="003B38AB">
        <w:rPr>
          <w:rStyle w:val="FootnoteReference"/>
        </w:rPr>
        <w:footnoteRef/>
      </w:r>
      <w:r w:rsidRPr="003B38AB">
        <w:t xml:space="preserve"> Of this amount, US$131 would be spent on upgrading M5/E-271 and US$19 million on </w:t>
      </w:r>
      <w:r>
        <w:t xml:space="preserve">the introduction of </w:t>
      </w:r>
      <w:r w:rsidRPr="003B38AB">
        <w:t>e-tolling and institutional development.</w:t>
      </w:r>
    </w:p>
  </w:footnote>
  <w:footnote w:id="25">
    <w:p w:rsidR="00515EB8" w:rsidRPr="003B38AB" w:rsidRDefault="00515EB8" w:rsidP="00DA4A91">
      <w:pPr>
        <w:pStyle w:val="FootnoteText"/>
      </w:pPr>
      <w:r w:rsidRPr="003B38AB">
        <w:rPr>
          <w:rStyle w:val="FootnoteReference"/>
        </w:rPr>
        <w:footnoteRef/>
      </w:r>
      <w:r w:rsidRPr="003B38AB">
        <w:t xml:space="preserve"> Traffic intensity on </w:t>
      </w:r>
      <w:r>
        <w:t>L</w:t>
      </w:r>
      <w:r w:rsidRPr="003B38AB">
        <w:t>ocal roads (category III, V, and V) ranges from below 100 to a maximum of 7,000 vehicles per day. Specific traffic counts for the selected types of networks have not been studied for this report. The study therefore cannot determine the cost-effectiveness of such interventions. A more detailed study would be necessary to assess investments to upgrade priority sections of the local road network, taking into account both level of traffic, serviceability and actual road user costs.</w:t>
      </w:r>
    </w:p>
  </w:footnote>
  <w:footnote w:id="26">
    <w:p w:rsidR="00515EB8" w:rsidRPr="00DA4A91" w:rsidRDefault="00515EB8" w:rsidP="00DA4A91">
      <w:pPr>
        <w:pStyle w:val="FootnoteText"/>
      </w:pPr>
      <w:r w:rsidRPr="00DA4A91">
        <w:rPr>
          <w:rStyle w:val="FootnoteReference"/>
        </w:rPr>
        <w:footnoteRef/>
      </w:r>
      <w:r w:rsidRPr="00DA4A91">
        <w:t xml:space="preserve"> According to </w:t>
      </w:r>
      <w:proofErr w:type="spellStart"/>
      <w:r w:rsidRPr="00DA4A91">
        <w:t>Belavtodor</w:t>
      </w:r>
      <w:proofErr w:type="spellEnd"/>
      <w:r w:rsidRPr="00DA4A91">
        <w:t>, actual maintenance spending allocations in 2010 were US$ 94 million (B</w:t>
      </w:r>
      <w:r>
        <w:t>Y</w:t>
      </w:r>
      <w:r w:rsidRPr="00DA4A91">
        <w:t>R 282 billion) and US$ 64 million (BYR 192 billion),</w:t>
      </w:r>
      <w:r>
        <w:t xml:space="preserve"> for republican and local roads</w:t>
      </w:r>
      <w:r w:rsidRPr="00DA4A91">
        <w:t xml:space="preserve"> respectively. Both spending allocations fall short of the total needs in 2010 as presented in </w:t>
      </w:r>
      <w:r w:rsidRPr="00D74ABC">
        <w:t xml:space="preserve">the table above. </w:t>
      </w:r>
    </w:p>
  </w:footnote>
  <w:footnote w:id="27">
    <w:p w:rsidR="00515EB8" w:rsidRDefault="00515EB8" w:rsidP="00DA4A91">
      <w:pPr>
        <w:pStyle w:val="FootnoteText"/>
      </w:pPr>
      <w:r>
        <w:rPr>
          <w:rStyle w:val="FootnoteReference"/>
        </w:rPr>
        <w:footnoteRef/>
      </w:r>
      <w:r>
        <w:t xml:space="preserve"> </w:t>
      </w:r>
      <w:r w:rsidRPr="0004363C">
        <w:t>This is less than the average normal maintenance cost for main roads in comparable countries.  In France, it costs about US$</w:t>
      </w:r>
      <w:r>
        <w:t>15,000</w:t>
      </w:r>
      <w:r w:rsidRPr="0004363C">
        <w:t xml:space="preserve"> per year to maintain one kilometer of main road (see </w:t>
      </w:r>
      <w:fldSimple w:instr=" REF _Ref264022194 \h  \* MERGEFORMAT ">
        <w:r w:rsidRPr="003A1F56">
          <w:t xml:space="preserve">Table </w:t>
        </w:r>
        <w:r w:rsidRPr="003A1F56">
          <w:rPr>
            <w:noProof/>
          </w:rPr>
          <w:t>13</w:t>
        </w:r>
      </w:fldSimple>
      <w:r w:rsidRPr="0004363C">
        <w:t>), but the French main roads have much higher traffic levels.</w:t>
      </w:r>
    </w:p>
  </w:footnote>
  <w:footnote w:id="28">
    <w:p w:rsidR="00515EB8" w:rsidRDefault="00515EB8" w:rsidP="00DA4A91">
      <w:pPr>
        <w:pStyle w:val="FootnoteText"/>
      </w:pPr>
      <w:r>
        <w:rPr>
          <w:rStyle w:val="FootnoteReference"/>
        </w:rPr>
        <w:footnoteRef/>
      </w:r>
      <w:r>
        <w:t xml:space="preserve"> The estimates presented in the study (</w:t>
      </w:r>
      <w:proofErr w:type="spellStart"/>
      <w:r>
        <w:t>eg</w:t>
      </w:r>
      <w:proofErr w:type="spellEnd"/>
      <w:r>
        <w:t>. US$127 million for routine and periodic maintenance of the republican road network for 2010) is similar to actual budgets allocated (</w:t>
      </w:r>
      <w:proofErr w:type="spellStart"/>
      <w:r>
        <w:t>eg</w:t>
      </w:r>
      <w:proofErr w:type="spellEnd"/>
      <w:r>
        <w:t xml:space="preserve">. US$124 for 2009) as presented in </w:t>
      </w:r>
      <w:r w:rsidR="006B40AE">
        <w:fldChar w:fldCharType="begin"/>
      </w:r>
      <w:r>
        <w:instrText xml:space="preserve"> REF _Ref264021581 \h </w:instrText>
      </w:r>
      <w:r w:rsidR="006B40AE">
        <w:fldChar w:fldCharType="separate"/>
      </w:r>
      <w:r w:rsidRPr="00B26D5A">
        <w:rPr>
          <w:sz w:val="22"/>
          <w:szCs w:val="22"/>
        </w:rPr>
        <w:t xml:space="preserve">Table </w:t>
      </w:r>
      <w:r>
        <w:rPr>
          <w:noProof/>
          <w:sz w:val="22"/>
          <w:szCs w:val="22"/>
        </w:rPr>
        <w:t>18</w:t>
      </w:r>
      <w:r w:rsidR="006B40AE">
        <w:fldChar w:fldCharType="end"/>
      </w:r>
      <w:r>
        <w:t xml:space="preserve">.  </w:t>
      </w:r>
    </w:p>
  </w:footnote>
  <w:footnote w:id="29">
    <w:p w:rsidR="00515EB8" w:rsidRDefault="00515EB8" w:rsidP="00DA4A91">
      <w:pPr>
        <w:pStyle w:val="FootnoteText"/>
      </w:pPr>
      <w:r>
        <w:rPr>
          <w:rStyle w:val="FootnoteReference"/>
        </w:rPr>
        <w:footnoteRef/>
      </w:r>
      <w:r>
        <w:t xml:space="preserve"> </w:t>
      </w:r>
      <w:proofErr w:type="gramStart"/>
      <w:r>
        <w:t>The current budget for the maintenance of the local roads network in Belarus of US$116 million in 2009 for 67,500 km of local roads, resulting in an average expenditure of US$ 1,700 per year and km.</w:t>
      </w:r>
      <w:proofErr w:type="gramEnd"/>
      <w:r>
        <w:t xml:space="preserve"> </w:t>
      </w:r>
    </w:p>
  </w:footnote>
  <w:footnote w:id="30">
    <w:p w:rsidR="00515EB8" w:rsidRDefault="00515EB8">
      <w:pPr>
        <w:pStyle w:val="FootnoteText"/>
      </w:pPr>
      <w:r w:rsidRPr="003B38AB">
        <w:rPr>
          <w:rStyle w:val="FootnoteReference"/>
        </w:rPr>
        <w:footnoteRef/>
      </w:r>
      <w:r w:rsidRPr="003B38AB">
        <w:t xml:space="preserve"> While the significant differences in population density between the countries account for most of the differences observed, the relatively high values for the Czech Republic, Slovakia, Hungary and Poland exemplify the still strong relevance of their heritage for Europe’s infrastructure landscape today.</w:t>
      </w:r>
    </w:p>
  </w:footnote>
  <w:footnote w:id="31">
    <w:p w:rsidR="00515EB8" w:rsidRDefault="00515EB8">
      <w:pPr>
        <w:pStyle w:val="FootnoteText"/>
      </w:pPr>
      <w:r w:rsidRPr="003B38AB">
        <w:rPr>
          <w:rStyle w:val="FootnoteReference"/>
        </w:rPr>
        <w:footnoteRef/>
      </w:r>
      <w:r w:rsidRPr="003B38AB">
        <w:t xml:space="preserve"> Based on the annual intensity of traffic and the life cycle of railway systems critical for traffic safety (signaling, power sub-stations, </w:t>
      </w:r>
      <w:proofErr w:type="spellStart"/>
      <w:r w:rsidRPr="003B38AB">
        <w:t>catenary</w:t>
      </w:r>
      <w:proofErr w:type="spellEnd"/>
      <w:r w:rsidRPr="003B38AB">
        <w:t xml:space="preserve"> equipment, interlocking) Belarusian Railways calculates, like any other railway in Europe, the annual number of km of track renewal works necessary for maintaining the existing transport capacity.</w:t>
      </w:r>
    </w:p>
  </w:footnote>
  <w:footnote w:id="32">
    <w:p w:rsidR="00515EB8" w:rsidRDefault="00515EB8">
      <w:pPr>
        <w:pStyle w:val="FootnoteText"/>
      </w:pPr>
      <w:r w:rsidRPr="003B38AB">
        <w:rPr>
          <w:rStyle w:val="FootnoteReference"/>
        </w:rPr>
        <w:footnoteRef/>
      </w:r>
      <w:r w:rsidRPr="003B38AB">
        <w:t xml:space="preserve"> Centralized Traffic Control (CTC) consists of a centralized train dispatcher’s office that remotely controls the switches and the signals in a certain area in order to keep the traffic moving safely and smoothly across the railroad. The graphical depiction of the railroad and computer facilities allows oversight of train locations across the territory by dispatcher controls.</w:t>
      </w:r>
    </w:p>
  </w:footnote>
  <w:footnote w:id="33">
    <w:p w:rsidR="00515EB8" w:rsidRDefault="00515EB8">
      <w:pPr>
        <w:pStyle w:val="FootnoteText"/>
      </w:pPr>
      <w:r w:rsidRPr="003B38AB">
        <w:rPr>
          <w:rStyle w:val="FootnoteReference"/>
        </w:rPr>
        <w:footnoteRef/>
      </w:r>
      <w:r w:rsidRPr="003B38AB">
        <w:t xml:space="preserve"> The business relations between Belarusian Railways and its clients are regulated by the Charter of Rail Transport of General Use, Resolution of the Council of Ministers of the Republic of Belarus on Approval of the Charter of Railways, August 2, 1999, </w:t>
      </w:r>
      <w:proofErr w:type="gramStart"/>
      <w:r w:rsidRPr="003B38AB">
        <w:t>No</w:t>
      </w:r>
      <w:proofErr w:type="gramEnd"/>
      <w:r w:rsidRPr="003B38AB">
        <w:t>. 1196.</w:t>
      </w:r>
    </w:p>
  </w:footnote>
  <w:footnote w:id="34">
    <w:p w:rsidR="00515EB8" w:rsidRDefault="00515EB8">
      <w:pPr>
        <w:pStyle w:val="FootnoteText"/>
      </w:pPr>
      <w:r>
        <w:rPr>
          <w:rStyle w:val="FootnoteReference"/>
        </w:rPr>
        <w:footnoteRef/>
      </w:r>
      <w:r>
        <w:t xml:space="preserve"> </w:t>
      </w:r>
      <w:r w:rsidRPr="003B38AB">
        <w:t>Law on Rail Transport January 6, 1999, No .237-3 (as amended by Law of the Republic of Belarus on Mary 21, 2002, No. 100-3, on July 19, 2004 No. 306-3, and on June 20, 2008 No. 344-3).</w:t>
      </w:r>
    </w:p>
  </w:footnote>
  <w:footnote w:id="35">
    <w:p w:rsidR="00515EB8" w:rsidRDefault="00515EB8">
      <w:pPr>
        <w:pStyle w:val="FootnoteText"/>
      </w:pPr>
      <w:r w:rsidRPr="003B38AB">
        <w:rPr>
          <w:rStyle w:val="FootnoteReference"/>
        </w:rPr>
        <w:footnoteRef/>
      </w:r>
      <w:r w:rsidRPr="003B38AB">
        <w:t xml:space="preserve"> </w:t>
      </w:r>
      <w:proofErr w:type="gramStart"/>
      <w:r w:rsidRPr="003B38AB">
        <w:t>Article 10 of the Law on Rail Transport.</w:t>
      </w:r>
      <w:proofErr w:type="gramEnd"/>
    </w:p>
  </w:footnote>
  <w:footnote w:id="36">
    <w:p w:rsidR="00515EB8" w:rsidRPr="00CA5188" w:rsidRDefault="00515EB8" w:rsidP="00CA5188">
      <w:pPr>
        <w:pStyle w:val="FootnoteText"/>
      </w:pPr>
      <w:r>
        <w:rPr>
          <w:rStyle w:val="FootnoteReference"/>
        </w:rPr>
        <w:footnoteRef/>
      </w:r>
      <w:r>
        <w:t xml:space="preserve"> </w:t>
      </w:r>
      <w:r w:rsidRPr="00CA5188">
        <w:t>The Government of the Republic of Belarus (Resolution № 1356 dated 30 November 2005) endorsed a set of measures to improve functional efficiency of the Belarusian Railway for 2006-2010 stipulating that tariffs on freight transport by rail within the country should be brought to profitability level and tariffs on passenger transport by rail should be brought  to cost recovery level.</w:t>
      </w:r>
    </w:p>
    <w:p w:rsidR="00515EB8" w:rsidRDefault="00515EB8">
      <w:pPr>
        <w:pStyle w:val="FootnoteText"/>
      </w:pPr>
    </w:p>
  </w:footnote>
  <w:footnote w:id="37">
    <w:p w:rsidR="00515EB8" w:rsidRDefault="00515EB8">
      <w:pPr>
        <w:pStyle w:val="FootnoteText"/>
      </w:pPr>
      <w:r w:rsidRPr="003B38AB">
        <w:rPr>
          <w:rStyle w:val="FootnoteReference"/>
        </w:rPr>
        <w:footnoteRef/>
      </w:r>
      <w:r w:rsidRPr="003B38AB">
        <w:t xml:space="preserve"> The working ratio is defined as the total operating expenses, less depreciation and debt service, and divided by revenues. </w:t>
      </w:r>
    </w:p>
  </w:footnote>
  <w:footnote w:id="38">
    <w:p w:rsidR="00515EB8" w:rsidRDefault="00515EB8">
      <w:pPr>
        <w:pStyle w:val="FootnoteText"/>
      </w:pPr>
      <w:r w:rsidRPr="003B38AB">
        <w:rPr>
          <w:rStyle w:val="FootnoteReference"/>
        </w:rPr>
        <w:footnoteRef/>
      </w:r>
      <w:r w:rsidRPr="003B38AB">
        <w:t xml:space="preserve"> The operating ratio represents the operating expenses divided by the operating revenue.</w:t>
      </w:r>
    </w:p>
  </w:footnote>
  <w:footnote w:id="39">
    <w:p w:rsidR="00515EB8" w:rsidRDefault="00515EB8">
      <w:pPr>
        <w:pStyle w:val="FootnoteText"/>
      </w:pPr>
      <w:r w:rsidRPr="003B38AB">
        <w:rPr>
          <w:rStyle w:val="FootnoteReference"/>
        </w:rPr>
        <w:footnoteRef/>
      </w:r>
      <w:r w:rsidRPr="003B38AB">
        <w:t xml:space="preserve"> This is the current unit rate for domestic traffic.</w:t>
      </w:r>
    </w:p>
  </w:footnote>
  <w:footnote w:id="40">
    <w:p w:rsidR="00515EB8" w:rsidRDefault="00515EB8">
      <w:pPr>
        <w:pStyle w:val="FootnoteText"/>
      </w:pPr>
      <w:r>
        <w:rPr>
          <w:rStyle w:val="FootnoteReference"/>
        </w:rPr>
        <w:footnoteRef/>
      </w:r>
      <w:r>
        <w:t xml:space="preserve"> Data provided by </w:t>
      </w:r>
      <w:proofErr w:type="spellStart"/>
      <w:r>
        <w:t>MoTC</w:t>
      </w:r>
      <w:proofErr w:type="spellEnd"/>
    </w:p>
  </w:footnote>
  <w:footnote w:id="41">
    <w:p w:rsidR="00515EB8" w:rsidRDefault="00515EB8">
      <w:pPr>
        <w:pStyle w:val="FootnoteText"/>
      </w:pPr>
      <w:r>
        <w:rPr>
          <w:rStyle w:val="FootnoteReference"/>
        </w:rPr>
        <w:footnoteRef/>
      </w:r>
      <w:r>
        <w:t xml:space="preserve"> Data provided by </w:t>
      </w:r>
      <w:proofErr w:type="spellStart"/>
      <w:r>
        <w:t>MoTC</w:t>
      </w:r>
      <w:proofErr w:type="spellEnd"/>
    </w:p>
  </w:footnote>
  <w:footnote w:id="42">
    <w:p w:rsidR="00515EB8" w:rsidRDefault="00515EB8">
      <w:pPr>
        <w:pStyle w:val="FootnoteText"/>
      </w:pPr>
      <w:r w:rsidRPr="003B38AB">
        <w:rPr>
          <w:rStyle w:val="FootnoteReference"/>
        </w:rPr>
        <w:footnoteRef/>
      </w:r>
      <w:r w:rsidRPr="003B38AB">
        <w:t xml:space="preserve"> </w:t>
      </w:r>
      <w:r w:rsidRPr="003B38AB">
        <w:rPr>
          <w:lang w:val="en-GB"/>
        </w:rPr>
        <w:t>In the near past, high cost of land and services in Moscow, changing from low emission trucks to high emission and low cost trucks in Belarus etc.</w:t>
      </w:r>
    </w:p>
  </w:footnote>
  <w:footnote w:id="43">
    <w:p w:rsidR="00515EB8" w:rsidRDefault="00515EB8">
      <w:pPr>
        <w:pStyle w:val="FootnoteText"/>
      </w:pPr>
      <w:r w:rsidRPr="003B38AB">
        <w:rPr>
          <w:rStyle w:val="FootnoteReference"/>
        </w:rPr>
        <w:footnoteRef/>
      </w:r>
      <w:r w:rsidRPr="003B38AB">
        <w:t xml:space="preserve"> Infrastructure management and operation of freight and passenger transport services.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EB8" w:rsidRDefault="00515EB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EB8" w:rsidRDefault="00515EB8">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EB8" w:rsidRDefault="00515EB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AF0B43"/>
    <w:multiLevelType w:val="hybridMultilevel"/>
    <w:tmpl w:val="CC32307A"/>
    <w:lvl w:ilvl="0" w:tplc="BED0C6EC">
      <w:start w:val="1"/>
      <w:numFmt w:val="decimal"/>
      <w:lvlText w:val="1.%1"/>
      <w:lvlJc w:val="left"/>
      <w:pPr>
        <w:tabs>
          <w:tab w:val="num" w:pos="720"/>
        </w:tabs>
        <w:ind w:left="720" w:hanging="360"/>
      </w:pPr>
      <w:rPr>
        <w:rFonts w:hint="default"/>
        <w:b w:val="0"/>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C695442"/>
    <w:multiLevelType w:val="hybridMultilevel"/>
    <w:tmpl w:val="7BD87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B26E11"/>
    <w:multiLevelType w:val="hybridMultilevel"/>
    <w:tmpl w:val="B3A8D338"/>
    <w:lvl w:ilvl="0" w:tplc="D9A4F262">
      <w:start w:val="1"/>
      <w:numFmt w:val="decimal"/>
      <w:pStyle w:val="lekanumbered"/>
      <w:lvlText w:val="%1."/>
      <w:lvlJc w:val="left"/>
      <w:pPr>
        <w:tabs>
          <w:tab w:val="num" w:pos="502"/>
        </w:tabs>
        <w:ind w:left="502"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F2B1A1C"/>
    <w:multiLevelType w:val="hybridMultilevel"/>
    <w:tmpl w:val="044062BC"/>
    <w:lvl w:ilvl="0" w:tplc="50424A8E">
      <w:start w:val="1"/>
      <w:numFmt w:val="bullet"/>
      <w:pStyle w:val="luettelo"/>
      <w:lvlText w:val=""/>
      <w:lvlJc w:val="left"/>
      <w:pPr>
        <w:tabs>
          <w:tab w:val="num" w:pos="851"/>
        </w:tabs>
        <w:ind w:left="851"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D782F27"/>
    <w:multiLevelType w:val="hybridMultilevel"/>
    <w:tmpl w:val="CE566AE8"/>
    <w:lvl w:ilvl="0" w:tplc="F51CCD98">
      <w:start w:val="1"/>
      <w:numFmt w:val="decimal"/>
      <w:lvlText w:val="5.%1"/>
      <w:lvlJc w:val="left"/>
      <w:pPr>
        <w:tabs>
          <w:tab w:val="num" w:pos="720"/>
        </w:tabs>
        <w:ind w:left="720" w:hanging="360"/>
      </w:pPr>
      <w:rPr>
        <w:rFonts w:ascii="Times New Roman" w:hAnsi="Times New Roman" w:hint="default"/>
        <w:b w:val="0"/>
        <w:i w:val="0"/>
        <w:caps w:val="0"/>
        <w:smallCaps w:val="0"/>
        <w:color w:val="auto"/>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33DC3DE0"/>
    <w:multiLevelType w:val="hybridMultilevel"/>
    <w:tmpl w:val="7CFAF31A"/>
    <w:lvl w:ilvl="0" w:tplc="A2D2F618">
      <w:start w:val="1"/>
      <w:numFmt w:val="decimal"/>
      <w:lvlText w:val="2.%1"/>
      <w:lvlJc w:val="left"/>
      <w:pPr>
        <w:tabs>
          <w:tab w:val="num" w:pos="720"/>
        </w:tabs>
        <w:ind w:left="720" w:hanging="360"/>
      </w:pPr>
      <w:rPr>
        <w:rFonts w:ascii="Times New Roman" w:hAnsi="Times New Roman" w:hint="default"/>
        <w:b w:val="0"/>
        <w:i w:val="0"/>
        <w:caps w:val="0"/>
        <w:smallCaps w:val="0"/>
        <w:color w:val="auto"/>
        <w:sz w:val="24"/>
        <w:szCs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39AB0630"/>
    <w:multiLevelType w:val="hybridMultilevel"/>
    <w:tmpl w:val="0804F8C0"/>
    <w:lvl w:ilvl="0" w:tplc="0C4AADC2">
      <w:start w:val="1"/>
      <w:numFmt w:val="lowerLetter"/>
      <w:lvlText w:val="%1)"/>
      <w:lvlJc w:val="left"/>
      <w:pPr>
        <w:tabs>
          <w:tab w:val="num" w:pos="780"/>
        </w:tabs>
        <w:ind w:left="78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CD14F1E"/>
    <w:multiLevelType w:val="hybridMultilevel"/>
    <w:tmpl w:val="AABED672"/>
    <w:lvl w:ilvl="0" w:tplc="50322172">
      <w:start w:val="1"/>
      <w:numFmt w:val="decimal"/>
      <w:pStyle w:val="Style3"/>
      <w:lvlText w:val="5.%1"/>
      <w:lvlJc w:val="left"/>
      <w:pPr>
        <w:tabs>
          <w:tab w:val="num" w:pos="360"/>
        </w:tabs>
        <w:ind w:left="360" w:hanging="360"/>
      </w:pPr>
      <w:rPr>
        <w:rFonts w:ascii="Times New Roman" w:hAnsi="Times New Roman" w:hint="default"/>
        <w:b w:val="0"/>
        <w:i w:val="0"/>
        <w:caps w:val="0"/>
        <w:smallCaps w:val="0"/>
        <w:color w:val="auto"/>
        <w:sz w:val="24"/>
        <w:szCs w:val="24"/>
      </w:rPr>
    </w:lvl>
    <w:lvl w:ilvl="1" w:tplc="04090019" w:tentative="1">
      <w:start w:val="1"/>
      <w:numFmt w:val="lowerLetter"/>
      <w:lvlText w:val="%2."/>
      <w:lvlJc w:val="left"/>
      <w:pPr>
        <w:ind w:left="450" w:hanging="360"/>
      </w:pPr>
    </w:lvl>
    <w:lvl w:ilvl="2" w:tplc="0409001B" w:tentative="1">
      <w:start w:val="1"/>
      <w:numFmt w:val="lowerRoman"/>
      <w:lvlText w:val="%3."/>
      <w:lvlJc w:val="right"/>
      <w:pPr>
        <w:ind w:left="1170" w:hanging="180"/>
      </w:pPr>
    </w:lvl>
    <w:lvl w:ilvl="3" w:tplc="0409000F" w:tentative="1">
      <w:start w:val="1"/>
      <w:numFmt w:val="decimal"/>
      <w:lvlText w:val="%4."/>
      <w:lvlJc w:val="left"/>
      <w:pPr>
        <w:ind w:left="1890" w:hanging="360"/>
      </w:pPr>
    </w:lvl>
    <w:lvl w:ilvl="4" w:tplc="04090019" w:tentative="1">
      <w:start w:val="1"/>
      <w:numFmt w:val="lowerLetter"/>
      <w:lvlText w:val="%5."/>
      <w:lvlJc w:val="left"/>
      <w:pPr>
        <w:ind w:left="2610" w:hanging="360"/>
      </w:pPr>
    </w:lvl>
    <w:lvl w:ilvl="5" w:tplc="0409001B" w:tentative="1">
      <w:start w:val="1"/>
      <w:numFmt w:val="lowerRoman"/>
      <w:lvlText w:val="%6."/>
      <w:lvlJc w:val="right"/>
      <w:pPr>
        <w:ind w:left="3330" w:hanging="180"/>
      </w:pPr>
    </w:lvl>
    <w:lvl w:ilvl="6" w:tplc="0409000F" w:tentative="1">
      <w:start w:val="1"/>
      <w:numFmt w:val="decimal"/>
      <w:lvlText w:val="%7."/>
      <w:lvlJc w:val="left"/>
      <w:pPr>
        <w:ind w:left="4050" w:hanging="360"/>
      </w:pPr>
    </w:lvl>
    <w:lvl w:ilvl="7" w:tplc="04090019" w:tentative="1">
      <w:start w:val="1"/>
      <w:numFmt w:val="lowerLetter"/>
      <w:lvlText w:val="%8."/>
      <w:lvlJc w:val="left"/>
      <w:pPr>
        <w:ind w:left="4770" w:hanging="360"/>
      </w:pPr>
    </w:lvl>
    <w:lvl w:ilvl="8" w:tplc="0409001B" w:tentative="1">
      <w:start w:val="1"/>
      <w:numFmt w:val="lowerRoman"/>
      <w:lvlText w:val="%9."/>
      <w:lvlJc w:val="right"/>
      <w:pPr>
        <w:ind w:left="5490" w:hanging="180"/>
      </w:pPr>
    </w:lvl>
  </w:abstractNum>
  <w:abstractNum w:abstractNumId="8">
    <w:nsid w:val="3EE63D8D"/>
    <w:multiLevelType w:val="hybridMultilevel"/>
    <w:tmpl w:val="2496EA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421738CA"/>
    <w:multiLevelType w:val="hybridMultilevel"/>
    <w:tmpl w:val="FFBA2E94"/>
    <w:lvl w:ilvl="0" w:tplc="B5F4DA1C">
      <w:start w:val="1"/>
      <w:numFmt w:val="decimal"/>
      <w:lvlText w:val="6.%1"/>
      <w:lvlJc w:val="left"/>
      <w:pPr>
        <w:tabs>
          <w:tab w:val="num" w:pos="810"/>
        </w:tabs>
        <w:ind w:left="810" w:hanging="360"/>
      </w:pPr>
      <w:rPr>
        <w:rFonts w:ascii="Times New Roman" w:hAnsi="Times New Roman" w:hint="default"/>
        <w:b w:val="0"/>
        <w:i w:val="0"/>
        <w:caps w:val="0"/>
        <w:smallCaps w:val="0"/>
        <w:color w:val="auto"/>
        <w:sz w:val="24"/>
        <w:szCs w:val="24"/>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0">
    <w:nsid w:val="42C655BE"/>
    <w:multiLevelType w:val="hybridMultilevel"/>
    <w:tmpl w:val="AF049FCA"/>
    <w:lvl w:ilvl="0" w:tplc="A100F01C">
      <w:start w:val="1"/>
      <w:numFmt w:val="decimal"/>
      <w:pStyle w:val="Style2"/>
      <w:lvlText w:val="3.%1"/>
      <w:lvlJc w:val="left"/>
      <w:pPr>
        <w:tabs>
          <w:tab w:val="num" w:pos="450"/>
        </w:tabs>
        <w:ind w:left="45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B10593B"/>
    <w:multiLevelType w:val="hybridMultilevel"/>
    <w:tmpl w:val="FBA81254"/>
    <w:lvl w:ilvl="0" w:tplc="C79C2F6C">
      <w:start w:val="1"/>
      <w:numFmt w:val="decimal"/>
      <w:lvlText w:val="4.%1"/>
      <w:lvlJc w:val="left"/>
      <w:pPr>
        <w:tabs>
          <w:tab w:val="num" w:pos="720"/>
        </w:tabs>
        <w:ind w:left="720" w:hanging="360"/>
      </w:pPr>
      <w:rPr>
        <w:rFonts w:ascii="Times New Roman" w:hAnsi="Times New Roman" w:hint="default"/>
        <w:b w:val="0"/>
        <w:i w:val="0"/>
        <w:caps w:val="0"/>
        <w:smallCaps w:val="0"/>
        <w:color w:val="auto"/>
        <w:sz w:val="24"/>
        <w:szCs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C790553"/>
    <w:multiLevelType w:val="hybridMultilevel"/>
    <w:tmpl w:val="57CECFDA"/>
    <w:lvl w:ilvl="0" w:tplc="A3A203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53534EA2"/>
    <w:multiLevelType w:val="hybridMultilevel"/>
    <w:tmpl w:val="D6D07FB0"/>
    <w:lvl w:ilvl="0" w:tplc="45E4C2FA">
      <w:start w:val="1"/>
      <w:numFmt w:val="decimal"/>
      <w:lvlText w:val="5.%1"/>
      <w:lvlJc w:val="left"/>
      <w:pPr>
        <w:tabs>
          <w:tab w:val="num" w:pos="360"/>
        </w:tabs>
        <w:ind w:left="360" w:hanging="360"/>
      </w:pPr>
      <w:rPr>
        <w:rFonts w:ascii="Times New Roman" w:hAnsi="Times New Roman" w:hint="default"/>
        <w:b w:val="0"/>
        <w:bCs w:val="0"/>
        <w:i w:val="0"/>
        <w:iCs w:val="0"/>
        <w:caps w:val="0"/>
        <w:smallCaps w:val="0"/>
        <w:strike w:val="0"/>
        <w:dstrike w:val="0"/>
        <w:outline w:val="0"/>
        <w:shadow w:val="0"/>
        <w:emboss w:val="0"/>
        <w:imprint w:val="0"/>
        <w:noProof w:val="0"/>
        <w:snapToGrid w:val="0"/>
        <w:vanish w:val="0"/>
        <w:color w:val="auto"/>
        <w:spacing w:val="0"/>
        <w:w w:val="0"/>
        <w:kern w:val="0"/>
        <w:position w:val="0"/>
        <w:sz w:val="24"/>
        <w:szCs w:val="24"/>
        <w:u w:val="none"/>
        <w:vertAlign w:val="baseline"/>
        <w:em w:val="none"/>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nsid w:val="737D640E"/>
    <w:multiLevelType w:val="hybridMultilevel"/>
    <w:tmpl w:val="8E7494D4"/>
    <w:lvl w:ilvl="0" w:tplc="04090017">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77E262DD"/>
    <w:multiLevelType w:val="hybridMultilevel"/>
    <w:tmpl w:val="A5789D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2"/>
  </w:num>
  <w:num w:numId="4">
    <w:abstractNumId w:val="4"/>
  </w:num>
  <w:num w:numId="5">
    <w:abstractNumId w:val="3"/>
  </w:num>
  <w:num w:numId="6">
    <w:abstractNumId w:val="6"/>
  </w:num>
  <w:num w:numId="7">
    <w:abstractNumId w:val="9"/>
  </w:num>
  <w:num w:numId="8">
    <w:abstractNumId w:val="10"/>
  </w:num>
  <w:num w:numId="9">
    <w:abstractNumId w:val="11"/>
  </w:num>
  <w:num w:numId="10">
    <w:abstractNumId w:val="1"/>
  </w:num>
  <w:num w:numId="11">
    <w:abstractNumId w:val="10"/>
  </w:num>
  <w:num w:numId="12">
    <w:abstractNumId w:val="10"/>
    <w:lvlOverride w:ilvl="0">
      <w:startOverride w:val="1"/>
    </w:lvlOverride>
  </w:num>
  <w:num w:numId="13">
    <w:abstractNumId w:val="10"/>
    <w:lvlOverride w:ilvl="0">
      <w:startOverride w:val="1"/>
    </w:lvlOverride>
  </w:num>
  <w:num w:numId="14">
    <w:abstractNumId w:val="10"/>
    <w:lvlOverride w:ilvl="0">
      <w:startOverride w:val="1"/>
    </w:lvlOverride>
  </w:num>
  <w:num w:numId="15">
    <w:abstractNumId w:val="10"/>
    <w:lvlOverride w:ilvl="0">
      <w:startOverride w:val="1"/>
    </w:lvlOverride>
  </w:num>
  <w:num w:numId="16">
    <w:abstractNumId w:val="10"/>
    <w:lvlOverride w:ilvl="0">
      <w:startOverride w:val="1"/>
    </w:lvlOverride>
  </w:num>
  <w:num w:numId="17">
    <w:abstractNumId w:val="8"/>
  </w:num>
  <w:num w:numId="18">
    <w:abstractNumId w:val="14"/>
  </w:num>
  <w:num w:numId="19">
    <w:abstractNumId w:val="13"/>
  </w:num>
  <w:num w:numId="20">
    <w:abstractNumId w:val="7"/>
  </w:num>
  <w:num w:numId="21">
    <w:abstractNumId w:val="12"/>
  </w:num>
  <w:num w:numId="22">
    <w:abstractNumId w:val="15"/>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removePersonalInformation/>
  <w:removeDateAndTime/>
  <w:proofState w:spelling="clean" w:grammar="clean"/>
  <w:defaultTabStop w:val="720"/>
  <w:drawingGridHorizontalSpacing w:val="120"/>
  <w:displayHorizontalDrawingGridEvery w:val="2"/>
  <w:characterSpacingControl w:val="doNotCompress"/>
  <w:hdrShapeDefaults>
    <o:shapedefaults v:ext="edit" spidmax="164865"/>
  </w:hdrShapeDefaults>
  <w:footnotePr>
    <w:footnote w:id="-1"/>
    <w:footnote w:id="0"/>
  </w:footnotePr>
  <w:endnotePr>
    <w:endnote w:id="-1"/>
    <w:endnote w:id="0"/>
  </w:endnotePr>
  <w:compat/>
  <w:rsids>
    <w:rsidRoot w:val="000D28A0"/>
    <w:rsid w:val="000006EA"/>
    <w:rsid w:val="00000BBE"/>
    <w:rsid w:val="00010206"/>
    <w:rsid w:val="000113A0"/>
    <w:rsid w:val="00013774"/>
    <w:rsid w:val="00015A67"/>
    <w:rsid w:val="000225BE"/>
    <w:rsid w:val="000229F8"/>
    <w:rsid w:val="00025D98"/>
    <w:rsid w:val="00027392"/>
    <w:rsid w:val="00030A9F"/>
    <w:rsid w:val="00030F29"/>
    <w:rsid w:val="00031C8F"/>
    <w:rsid w:val="0004363C"/>
    <w:rsid w:val="00044350"/>
    <w:rsid w:val="00051937"/>
    <w:rsid w:val="00053CB5"/>
    <w:rsid w:val="0005416F"/>
    <w:rsid w:val="000548F7"/>
    <w:rsid w:val="00055B7A"/>
    <w:rsid w:val="00057E22"/>
    <w:rsid w:val="00062769"/>
    <w:rsid w:val="00063102"/>
    <w:rsid w:val="000679A2"/>
    <w:rsid w:val="00070903"/>
    <w:rsid w:val="000749EB"/>
    <w:rsid w:val="00080B4C"/>
    <w:rsid w:val="0008584B"/>
    <w:rsid w:val="0008767B"/>
    <w:rsid w:val="00090884"/>
    <w:rsid w:val="00091E8C"/>
    <w:rsid w:val="00093652"/>
    <w:rsid w:val="00094D19"/>
    <w:rsid w:val="000951BB"/>
    <w:rsid w:val="00096962"/>
    <w:rsid w:val="00096ADF"/>
    <w:rsid w:val="00096CB4"/>
    <w:rsid w:val="00097A67"/>
    <w:rsid w:val="000A7901"/>
    <w:rsid w:val="000B072D"/>
    <w:rsid w:val="000B1D72"/>
    <w:rsid w:val="000B220F"/>
    <w:rsid w:val="000B3DEB"/>
    <w:rsid w:val="000B5108"/>
    <w:rsid w:val="000C1E81"/>
    <w:rsid w:val="000C2C0F"/>
    <w:rsid w:val="000C3D75"/>
    <w:rsid w:val="000C3F9F"/>
    <w:rsid w:val="000C7098"/>
    <w:rsid w:val="000D0DC6"/>
    <w:rsid w:val="000D28A0"/>
    <w:rsid w:val="000D4FCF"/>
    <w:rsid w:val="000D66B6"/>
    <w:rsid w:val="000E0CCA"/>
    <w:rsid w:val="000E7D3B"/>
    <w:rsid w:val="000F2788"/>
    <w:rsid w:val="000F7EE4"/>
    <w:rsid w:val="001023E2"/>
    <w:rsid w:val="0010414D"/>
    <w:rsid w:val="00104EEF"/>
    <w:rsid w:val="001102C7"/>
    <w:rsid w:val="00111D71"/>
    <w:rsid w:val="00113AF6"/>
    <w:rsid w:val="00115D8B"/>
    <w:rsid w:val="0012013F"/>
    <w:rsid w:val="0012068F"/>
    <w:rsid w:val="001215D5"/>
    <w:rsid w:val="00121F4B"/>
    <w:rsid w:val="001223AB"/>
    <w:rsid w:val="00122617"/>
    <w:rsid w:val="00122701"/>
    <w:rsid w:val="00123D2B"/>
    <w:rsid w:val="001251FE"/>
    <w:rsid w:val="0013006E"/>
    <w:rsid w:val="00131863"/>
    <w:rsid w:val="0013477B"/>
    <w:rsid w:val="00135E44"/>
    <w:rsid w:val="00140C0E"/>
    <w:rsid w:val="00143DAD"/>
    <w:rsid w:val="0014434B"/>
    <w:rsid w:val="00150572"/>
    <w:rsid w:val="001510D5"/>
    <w:rsid w:val="00151D59"/>
    <w:rsid w:val="00152210"/>
    <w:rsid w:val="0015278F"/>
    <w:rsid w:val="00153439"/>
    <w:rsid w:val="00155230"/>
    <w:rsid w:val="00156D2D"/>
    <w:rsid w:val="0015757A"/>
    <w:rsid w:val="00157C1E"/>
    <w:rsid w:val="00160C09"/>
    <w:rsid w:val="00161070"/>
    <w:rsid w:val="00161C9F"/>
    <w:rsid w:val="0016259E"/>
    <w:rsid w:val="00163259"/>
    <w:rsid w:val="00165EF3"/>
    <w:rsid w:val="001667E5"/>
    <w:rsid w:val="00167C85"/>
    <w:rsid w:val="00171293"/>
    <w:rsid w:val="00173D3C"/>
    <w:rsid w:val="00175424"/>
    <w:rsid w:val="0018143D"/>
    <w:rsid w:val="00181507"/>
    <w:rsid w:val="00181FD1"/>
    <w:rsid w:val="001820AD"/>
    <w:rsid w:val="001821D8"/>
    <w:rsid w:val="00182C45"/>
    <w:rsid w:val="001842FA"/>
    <w:rsid w:val="00184B37"/>
    <w:rsid w:val="00191343"/>
    <w:rsid w:val="00193EA8"/>
    <w:rsid w:val="001A070A"/>
    <w:rsid w:val="001A265C"/>
    <w:rsid w:val="001A30FB"/>
    <w:rsid w:val="001B4C57"/>
    <w:rsid w:val="001B51C2"/>
    <w:rsid w:val="001C174F"/>
    <w:rsid w:val="001C4450"/>
    <w:rsid w:val="001C598F"/>
    <w:rsid w:val="001C697C"/>
    <w:rsid w:val="001D22A2"/>
    <w:rsid w:val="001D2F8F"/>
    <w:rsid w:val="001D4D41"/>
    <w:rsid w:val="001D560E"/>
    <w:rsid w:val="001D5FB2"/>
    <w:rsid w:val="001D7082"/>
    <w:rsid w:val="001D74F4"/>
    <w:rsid w:val="001E1331"/>
    <w:rsid w:val="001E2D18"/>
    <w:rsid w:val="001E6912"/>
    <w:rsid w:val="001E7058"/>
    <w:rsid w:val="001F28DC"/>
    <w:rsid w:val="001F55E1"/>
    <w:rsid w:val="00200967"/>
    <w:rsid w:val="00200EF1"/>
    <w:rsid w:val="00203090"/>
    <w:rsid w:val="002048E8"/>
    <w:rsid w:val="00210319"/>
    <w:rsid w:val="0021096B"/>
    <w:rsid w:val="00212595"/>
    <w:rsid w:val="00212D34"/>
    <w:rsid w:val="002145D9"/>
    <w:rsid w:val="002150E2"/>
    <w:rsid w:val="002151B1"/>
    <w:rsid w:val="002173D0"/>
    <w:rsid w:val="00217B37"/>
    <w:rsid w:val="00217F66"/>
    <w:rsid w:val="002267AE"/>
    <w:rsid w:val="00234829"/>
    <w:rsid w:val="00234A32"/>
    <w:rsid w:val="0023663C"/>
    <w:rsid w:val="00245221"/>
    <w:rsid w:val="00245E04"/>
    <w:rsid w:val="002501AA"/>
    <w:rsid w:val="002529B6"/>
    <w:rsid w:val="00252DD8"/>
    <w:rsid w:val="00252E13"/>
    <w:rsid w:val="002541FE"/>
    <w:rsid w:val="002553BA"/>
    <w:rsid w:val="00256FF6"/>
    <w:rsid w:val="00262B32"/>
    <w:rsid w:val="00263320"/>
    <w:rsid w:val="00265059"/>
    <w:rsid w:val="0026670B"/>
    <w:rsid w:val="002721B2"/>
    <w:rsid w:val="00272AAF"/>
    <w:rsid w:val="00272EEE"/>
    <w:rsid w:val="002756F1"/>
    <w:rsid w:val="00275843"/>
    <w:rsid w:val="002800D8"/>
    <w:rsid w:val="00280870"/>
    <w:rsid w:val="0028189F"/>
    <w:rsid w:val="0028228F"/>
    <w:rsid w:val="00285AD6"/>
    <w:rsid w:val="00286286"/>
    <w:rsid w:val="00286CEE"/>
    <w:rsid w:val="00286F40"/>
    <w:rsid w:val="00293BA3"/>
    <w:rsid w:val="00296645"/>
    <w:rsid w:val="00296E83"/>
    <w:rsid w:val="0029777E"/>
    <w:rsid w:val="00297DF5"/>
    <w:rsid w:val="002A0B7A"/>
    <w:rsid w:val="002A35A6"/>
    <w:rsid w:val="002A36FA"/>
    <w:rsid w:val="002A38D9"/>
    <w:rsid w:val="002A47FA"/>
    <w:rsid w:val="002A62C5"/>
    <w:rsid w:val="002B005D"/>
    <w:rsid w:val="002B2A4E"/>
    <w:rsid w:val="002B4486"/>
    <w:rsid w:val="002C1ECA"/>
    <w:rsid w:val="002C46EC"/>
    <w:rsid w:val="002C4B0C"/>
    <w:rsid w:val="002C5DF1"/>
    <w:rsid w:val="002D00DA"/>
    <w:rsid w:val="002D05CB"/>
    <w:rsid w:val="002D502E"/>
    <w:rsid w:val="002D5148"/>
    <w:rsid w:val="002D6D66"/>
    <w:rsid w:val="002D6DF3"/>
    <w:rsid w:val="002D720C"/>
    <w:rsid w:val="002D765A"/>
    <w:rsid w:val="002E24BC"/>
    <w:rsid w:val="002E3059"/>
    <w:rsid w:val="002E3443"/>
    <w:rsid w:val="002E4D6C"/>
    <w:rsid w:val="002E5DFF"/>
    <w:rsid w:val="002E62C0"/>
    <w:rsid w:val="002E775D"/>
    <w:rsid w:val="002F1090"/>
    <w:rsid w:val="002F51F1"/>
    <w:rsid w:val="002F5D68"/>
    <w:rsid w:val="003015DC"/>
    <w:rsid w:val="00301B92"/>
    <w:rsid w:val="00302358"/>
    <w:rsid w:val="0030515C"/>
    <w:rsid w:val="003074FD"/>
    <w:rsid w:val="00310EC7"/>
    <w:rsid w:val="00311D43"/>
    <w:rsid w:val="00313CF2"/>
    <w:rsid w:val="003155FA"/>
    <w:rsid w:val="00315DD4"/>
    <w:rsid w:val="0031617F"/>
    <w:rsid w:val="00316AE1"/>
    <w:rsid w:val="003202B9"/>
    <w:rsid w:val="003332A0"/>
    <w:rsid w:val="00334680"/>
    <w:rsid w:val="0033567F"/>
    <w:rsid w:val="003426B6"/>
    <w:rsid w:val="003473F4"/>
    <w:rsid w:val="003523AE"/>
    <w:rsid w:val="00354462"/>
    <w:rsid w:val="00356CDE"/>
    <w:rsid w:val="00363A67"/>
    <w:rsid w:val="003643E0"/>
    <w:rsid w:val="003653F3"/>
    <w:rsid w:val="00365AEA"/>
    <w:rsid w:val="0036640E"/>
    <w:rsid w:val="00371DBC"/>
    <w:rsid w:val="0037391B"/>
    <w:rsid w:val="003765A7"/>
    <w:rsid w:val="003805D1"/>
    <w:rsid w:val="00381F0B"/>
    <w:rsid w:val="00383A34"/>
    <w:rsid w:val="003843F3"/>
    <w:rsid w:val="003854D4"/>
    <w:rsid w:val="00392088"/>
    <w:rsid w:val="003937E1"/>
    <w:rsid w:val="00397A04"/>
    <w:rsid w:val="003A1F56"/>
    <w:rsid w:val="003A4063"/>
    <w:rsid w:val="003A7C04"/>
    <w:rsid w:val="003B2F84"/>
    <w:rsid w:val="003B38AB"/>
    <w:rsid w:val="003B40F9"/>
    <w:rsid w:val="003B60CE"/>
    <w:rsid w:val="003B6C46"/>
    <w:rsid w:val="003B7450"/>
    <w:rsid w:val="003B7723"/>
    <w:rsid w:val="003C5773"/>
    <w:rsid w:val="003C7EB1"/>
    <w:rsid w:val="003D45C6"/>
    <w:rsid w:val="003E1353"/>
    <w:rsid w:val="003E1C0C"/>
    <w:rsid w:val="003E3081"/>
    <w:rsid w:val="003E5B45"/>
    <w:rsid w:val="003F43CB"/>
    <w:rsid w:val="00402159"/>
    <w:rsid w:val="00403176"/>
    <w:rsid w:val="00404740"/>
    <w:rsid w:val="00406C76"/>
    <w:rsid w:val="00407674"/>
    <w:rsid w:val="00410187"/>
    <w:rsid w:val="004107C9"/>
    <w:rsid w:val="00410F79"/>
    <w:rsid w:val="004151C2"/>
    <w:rsid w:val="004178CC"/>
    <w:rsid w:val="00422E82"/>
    <w:rsid w:val="00423A9A"/>
    <w:rsid w:val="0042420C"/>
    <w:rsid w:val="00426F36"/>
    <w:rsid w:val="00430996"/>
    <w:rsid w:val="00431049"/>
    <w:rsid w:val="0043202C"/>
    <w:rsid w:val="00433F12"/>
    <w:rsid w:val="00434074"/>
    <w:rsid w:val="00435258"/>
    <w:rsid w:val="00442B20"/>
    <w:rsid w:val="00446F01"/>
    <w:rsid w:val="00452AB9"/>
    <w:rsid w:val="004537E7"/>
    <w:rsid w:val="00453CBC"/>
    <w:rsid w:val="004540E1"/>
    <w:rsid w:val="00456F22"/>
    <w:rsid w:val="00461419"/>
    <w:rsid w:val="0046244D"/>
    <w:rsid w:val="00463BDA"/>
    <w:rsid w:val="00470480"/>
    <w:rsid w:val="00470645"/>
    <w:rsid w:val="00470E4A"/>
    <w:rsid w:val="004721F8"/>
    <w:rsid w:val="00473302"/>
    <w:rsid w:val="004763FE"/>
    <w:rsid w:val="00476F62"/>
    <w:rsid w:val="0048132C"/>
    <w:rsid w:val="00483971"/>
    <w:rsid w:val="00484DC0"/>
    <w:rsid w:val="0048580D"/>
    <w:rsid w:val="00485B1C"/>
    <w:rsid w:val="004861C7"/>
    <w:rsid w:val="004909B2"/>
    <w:rsid w:val="00490F8C"/>
    <w:rsid w:val="00494FB8"/>
    <w:rsid w:val="00495EDA"/>
    <w:rsid w:val="00495FF1"/>
    <w:rsid w:val="0049692A"/>
    <w:rsid w:val="00497A1F"/>
    <w:rsid w:val="00497AE0"/>
    <w:rsid w:val="004A100D"/>
    <w:rsid w:val="004A14B3"/>
    <w:rsid w:val="004A14BB"/>
    <w:rsid w:val="004A3507"/>
    <w:rsid w:val="004B1280"/>
    <w:rsid w:val="004B16F0"/>
    <w:rsid w:val="004B1940"/>
    <w:rsid w:val="004B33E8"/>
    <w:rsid w:val="004B4A41"/>
    <w:rsid w:val="004B615E"/>
    <w:rsid w:val="004B6E14"/>
    <w:rsid w:val="004B6EA8"/>
    <w:rsid w:val="004C2458"/>
    <w:rsid w:val="004C71C2"/>
    <w:rsid w:val="004C7764"/>
    <w:rsid w:val="004C7E58"/>
    <w:rsid w:val="004D133A"/>
    <w:rsid w:val="004D481C"/>
    <w:rsid w:val="004D53BF"/>
    <w:rsid w:val="004D6F6F"/>
    <w:rsid w:val="004E1AE8"/>
    <w:rsid w:val="004E1CF3"/>
    <w:rsid w:val="004E222C"/>
    <w:rsid w:val="004E2493"/>
    <w:rsid w:val="004E3C74"/>
    <w:rsid w:val="004E56AB"/>
    <w:rsid w:val="004E6A30"/>
    <w:rsid w:val="004F01B3"/>
    <w:rsid w:val="004F2C05"/>
    <w:rsid w:val="004F46C8"/>
    <w:rsid w:val="004F7EC8"/>
    <w:rsid w:val="005001D8"/>
    <w:rsid w:val="00500D8F"/>
    <w:rsid w:val="00503709"/>
    <w:rsid w:val="00504B81"/>
    <w:rsid w:val="00504FBB"/>
    <w:rsid w:val="00505A2E"/>
    <w:rsid w:val="00505DAF"/>
    <w:rsid w:val="00510D34"/>
    <w:rsid w:val="005129C5"/>
    <w:rsid w:val="005132B5"/>
    <w:rsid w:val="005138B9"/>
    <w:rsid w:val="00513C89"/>
    <w:rsid w:val="0051410C"/>
    <w:rsid w:val="00515EB8"/>
    <w:rsid w:val="0052139C"/>
    <w:rsid w:val="0052366E"/>
    <w:rsid w:val="005239B3"/>
    <w:rsid w:val="005314A4"/>
    <w:rsid w:val="005321EE"/>
    <w:rsid w:val="00533637"/>
    <w:rsid w:val="005364C0"/>
    <w:rsid w:val="00536517"/>
    <w:rsid w:val="00536846"/>
    <w:rsid w:val="005417EF"/>
    <w:rsid w:val="00545CE9"/>
    <w:rsid w:val="005507AF"/>
    <w:rsid w:val="00552241"/>
    <w:rsid w:val="005525C2"/>
    <w:rsid w:val="00557700"/>
    <w:rsid w:val="00562738"/>
    <w:rsid w:val="0056484D"/>
    <w:rsid w:val="005668F4"/>
    <w:rsid w:val="00570871"/>
    <w:rsid w:val="00570999"/>
    <w:rsid w:val="00574792"/>
    <w:rsid w:val="005753C9"/>
    <w:rsid w:val="00576733"/>
    <w:rsid w:val="00577891"/>
    <w:rsid w:val="00582706"/>
    <w:rsid w:val="00586311"/>
    <w:rsid w:val="00590FF9"/>
    <w:rsid w:val="00591E77"/>
    <w:rsid w:val="005926CF"/>
    <w:rsid w:val="00592AD2"/>
    <w:rsid w:val="00594B10"/>
    <w:rsid w:val="005958BE"/>
    <w:rsid w:val="005A0A76"/>
    <w:rsid w:val="005A21CD"/>
    <w:rsid w:val="005A2BC4"/>
    <w:rsid w:val="005A3F15"/>
    <w:rsid w:val="005A664D"/>
    <w:rsid w:val="005B0511"/>
    <w:rsid w:val="005B2B59"/>
    <w:rsid w:val="005B659A"/>
    <w:rsid w:val="005B6E24"/>
    <w:rsid w:val="005C325C"/>
    <w:rsid w:val="005C5F46"/>
    <w:rsid w:val="005C60F0"/>
    <w:rsid w:val="005D0B16"/>
    <w:rsid w:val="005D15E8"/>
    <w:rsid w:val="005D51EB"/>
    <w:rsid w:val="005D757F"/>
    <w:rsid w:val="005E031F"/>
    <w:rsid w:val="005E062C"/>
    <w:rsid w:val="005E1F49"/>
    <w:rsid w:val="005F00D9"/>
    <w:rsid w:val="005F4D28"/>
    <w:rsid w:val="005F52EB"/>
    <w:rsid w:val="005F56CC"/>
    <w:rsid w:val="005F5D16"/>
    <w:rsid w:val="005F757C"/>
    <w:rsid w:val="00603D84"/>
    <w:rsid w:val="00605DB2"/>
    <w:rsid w:val="0060689F"/>
    <w:rsid w:val="00607319"/>
    <w:rsid w:val="00610B7B"/>
    <w:rsid w:val="00611060"/>
    <w:rsid w:val="006110FA"/>
    <w:rsid w:val="0061359F"/>
    <w:rsid w:val="00614FB8"/>
    <w:rsid w:val="006207A6"/>
    <w:rsid w:val="00621857"/>
    <w:rsid w:val="00626B91"/>
    <w:rsid w:val="00630457"/>
    <w:rsid w:val="0063281D"/>
    <w:rsid w:val="0063478F"/>
    <w:rsid w:val="006363D9"/>
    <w:rsid w:val="0064024A"/>
    <w:rsid w:val="0064536A"/>
    <w:rsid w:val="00646FF6"/>
    <w:rsid w:val="00647C1B"/>
    <w:rsid w:val="00651F54"/>
    <w:rsid w:val="006555E4"/>
    <w:rsid w:val="00657725"/>
    <w:rsid w:val="0066051C"/>
    <w:rsid w:val="00661BA8"/>
    <w:rsid w:val="00663CED"/>
    <w:rsid w:val="00665E2C"/>
    <w:rsid w:val="0067020A"/>
    <w:rsid w:val="00670689"/>
    <w:rsid w:val="00670BD0"/>
    <w:rsid w:val="00670DD8"/>
    <w:rsid w:val="00670EAA"/>
    <w:rsid w:val="00673727"/>
    <w:rsid w:val="00674329"/>
    <w:rsid w:val="00677001"/>
    <w:rsid w:val="00682BC8"/>
    <w:rsid w:val="00685034"/>
    <w:rsid w:val="00685037"/>
    <w:rsid w:val="00690B8F"/>
    <w:rsid w:val="006922AB"/>
    <w:rsid w:val="00695EBD"/>
    <w:rsid w:val="00696BF6"/>
    <w:rsid w:val="006A102A"/>
    <w:rsid w:val="006A2167"/>
    <w:rsid w:val="006A4216"/>
    <w:rsid w:val="006A6776"/>
    <w:rsid w:val="006A6AD5"/>
    <w:rsid w:val="006B3469"/>
    <w:rsid w:val="006B3CBA"/>
    <w:rsid w:val="006B40AE"/>
    <w:rsid w:val="006B4F60"/>
    <w:rsid w:val="006B6FB6"/>
    <w:rsid w:val="006C024E"/>
    <w:rsid w:val="006C0AD6"/>
    <w:rsid w:val="006C131E"/>
    <w:rsid w:val="006C29F3"/>
    <w:rsid w:val="006C2CD7"/>
    <w:rsid w:val="006C55C3"/>
    <w:rsid w:val="006C5B60"/>
    <w:rsid w:val="006C6251"/>
    <w:rsid w:val="006C62E5"/>
    <w:rsid w:val="006C69FE"/>
    <w:rsid w:val="006D37A9"/>
    <w:rsid w:val="006D5FBD"/>
    <w:rsid w:val="006D7C30"/>
    <w:rsid w:val="006E1577"/>
    <w:rsid w:val="006E310F"/>
    <w:rsid w:val="006E6C1B"/>
    <w:rsid w:val="006E7463"/>
    <w:rsid w:val="006F0F97"/>
    <w:rsid w:val="006F1CAF"/>
    <w:rsid w:val="006F2F06"/>
    <w:rsid w:val="006F3815"/>
    <w:rsid w:val="006F6408"/>
    <w:rsid w:val="00700D9E"/>
    <w:rsid w:val="00704000"/>
    <w:rsid w:val="00705589"/>
    <w:rsid w:val="007079D5"/>
    <w:rsid w:val="007111EE"/>
    <w:rsid w:val="00712590"/>
    <w:rsid w:val="00712C68"/>
    <w:rsid w:val="0071517F"/>
    <w:rsid w:val="00717C19"/>
    <w:rsid w:val="0072773B"/>
    <w:rsid w:val="00730FA7"/>
    <w:rsid w:val="00732AA8"/>
    <w:rsid w:val="00737C5F"/>
    <w:rsid w:val="00740C94"/>
    <w:rsid w:val="00744BF4"/>
    <w:rsid w:val="00745EC2"/>
    <w:rsid w:val="007464DB"/>
    <w:rsid w:val="007467F1"/>
    <w:rsid w:val="00751839"/>
    <w:rsid w:val="00753CBE"/>
    <w:rsid w:val="00753F20"/>
    <w:rsid w:val="007546B1"/>
    <w:rsid w:val="007606AC"/>
    <w:rsid w:val="0076220F"/>
    <w:rsid w:val="00762BC0"/>
    <w:rsid w:val="00764BB9"/>
    <w:rsid w:val="0077139D"/>
    <w:rsid w:val="00771858"/>
    <w:rsid w:val="00776DE2"/>
    <w:rsid w:val="007777E2"/>
    <w:rsid w:val="00780584"/>
    <w:rsid w:val="00782323"/>
    <w:rsid w:val="007852D2"/>
    <w:rsid w:val="007866A6"/>
    <w:rsid w:val="00790875"/>
    <w:rsid w:val="0079134C"/>
    <w:rsid w:val="0079212C"/>
    <w:rsid w:val="00792AD7"/>
    <w:rsid w:val="00794209"/>
    <w:rsid w:val="007945BE"/>
    <w:rsid w:val="00795C8D"/>
    <w:rsid w:val="00796155"/>
    <w:rsid w:val="007A656B"/>
    <w:rsid w:val="007A7A51"/>
    <w:rsid w:val="007B188C"/>
    <w:rsid w:val="007B306F"/>
    <w:rsid w:val="007C1D6D"/>
    <w:rsid w:val="007C56DD"/>
    <w:rsid w:val="007D1468"/>
    <w:rsid w:val="007D1E92"/>
    <w:rsid w:val="007D2E99"/>
    <w:rsid w:val="007D4493"/>
    <w:rsid w:val="007D5540"/>
    <w:rsid w:val="007D5DCE"/>
    <w:rsid w:val="007E0533"/>
    <w:rsid w:val="007E1A1B"/>
    <w:rsid w:val="007E3218"/>
    <w:rsid w:val="007E3910"/>
    <w:rsid w:val="007E4AEC"/>
    <w:rsid w:val="007E78E8"/>
    <w:rsid w:val="007E7BE3"/>
    <w:rsid w:val="007F26E4"/>
    <w:rsid w:val="007F2F40"/>
    <w:rsid w:val="007F43E5"/>
    <w:rsid w:val="007F4F64"/>
    <w:rsid w:val="007F5FE1"/>
    <w:rsid w:val="007F6502"/>
    <w:rsid w:val="007F74BF"/>
    <w:rsid w:val="00800685"/>
    <w:rsid w:val="008046F3"/>
    <w:rsid w:val="00804DB6"/>
    <w:rsid w:val="008068CA"/>
    <w:rsid w:val="00807892"/>
    <w:rsid w:val="00811429"/>
    <w:rsid w:val="008133CD"/>
    <w:rsid w:val="008148F4"/>
    <w:rsid w:val="00821333"/>
    <w:rsid w:val="00831FE3"/>
    <w:rsid w:val="00834996"/>
    <w:rsid w:val="0083586F"/>
    <w:rsid w:val="00835F27"/>
    <w:rsid w:val="00836FB9"/>
    <w:rsid w:val="008400A3"/>
    <w:rsid w:val="00842584"/>
    <w:rsid w:val="00846214"/>
    <w:rsid w:val="0084698B"/>
    <w:rsid w:val="00846EA7"/>
    <w:rsid w:val="008472BE"/>
    <w:rsid w:val="00847788"/>
    <w:rsid w:val="008530C1"/>
    <w:rsid w:val="008566E2"/>
    <w:rsid w:val="008567B4"/>
    <w:rsid w:val="00856877"/>
    <w:rsid w:val="00856CCE"/>
    <w:rsid w:val="008615B3"/>
    <w:rsid w:val="00862601"/>
    <w:rsid w:val="00864EF8"/>
    <w:rsid w:val="008651C3"/>
    <w:rsid w:val="00870326"/>
    <w:rsid w:val="008709CD"/>
    <w:rsid w:val="008710DE"/>
    <w:rsid w:val="00872888"/>
    <w:rsid w:val="00872D9E"/>
    <w:rsid w:val="00874A57"/>
    <w:rsid w:val="00882955"/>
    <w:rsid w:val="00885067"/>
    <w:rsid w:val="00885A89"/>
    <w:rsid w:val="00887027"/>
    <w:rsid w:val="0089296D"/>
    <w:rsid w:val="0089318E"/>
    <w:rsid w:val="00893E07"/>
    <w:rsid w:val="00896FC6"/>
    <w:rsid w:val="00897F5C"/>
    <w:rsid w:val="008A595A"/>
    <w:rsid w:val="008B24E5"/>
    <w:rsid w:val="008B6659"/>
    <w:rsid w:val="008C0594"/>
    <w:rsid w:val="008C0D21"/>
    <w:rsid w:val="008C1EBA"/>
    <w:rsid w:val="008C2CEF"/>
    <w:rsid w:val="008C3523"/>
    <w:rsid w:val="008C63A4"/>
    <w:rsid w:val="008D0B7F"/>
    <w:rsid w:val="008D0DAD"/>
    <w:rsid w:val="008D30D0"/>
    <w:rsid w:val="008D3A9E"/>
    <w:rsid w:val="008D61DC"/>
    <w:rsid w:val="008E26DE"/>
    <w:rsid w:val="008E2FBB"/>
    <w:rsid w:val="008F6793"/>
    <w:rsid w:val="008F6DEF"/>
    <w:rsid w:val="00900BBC"/>
    <w:rsid w:val="00901191"/>
    <w:rsid w:val="00911950"/>
    <w:rsid w:val="00914E07"/>
    <w:rsid w:val="00915352"/>
    <w:rsid w:val="00921212"/>
    <w:rsid w:val="00921A97"/>
    <w:rsid w:val="00922D7D"/>
    <w:rsid w:val="00923F87"/>
    <w:rsid w:val="00925BBC"/>
    <w:rsid w:val="009271B6"/>
    <w:rsid w:val="00927CF9"/>
    <w:rsid w:val="009300F1"/>
    <w:rsid w:val="00930C79"/>
    <w:rsid w:val="0093180B"/>
    <w:rsid w:val="0093491D"/>
    <w:rsid w:val="00934AF4"/>
    <w:rsid w:val="00934C6E"/>
    <w:rsid w:val="00937784"/>
    <w:rsid w:val="00943104"/>
    <w:rsid w:val="0094591E"/>
    <w:rsid w:val="00953EA3"/>
    <w:rsid w:val="0095563A"/>
    <w:rsid w:val="00960573"/>
    <w:rsid w:val="00960756"/>
    <w:rsid w:val="0096103D"/>
    <w:rsid w:val="009632DD"/>
    <w:rsid w:val="00963581"/>
    <w:rsid w:val="00963BDA"/>
    <w:rsid w:val="009706F3"/>
    <w:rsid w:val="00971CE8"/>
    <w:rsid w:val="00973C11"/>
    <w:rsid w:val="00974B45"/>
    <w:rsid w:val="00974C73"/>
    <w:rsid w:val="00975628"/>
    <w:rsid w:val="00975ED6"/>
    <w:rsid w:val="00976496"/>
    <w:rsid w:val="0097678E"/>
    <w:rsid w:val="0097725A"/>
    <w:rsid w:val="0098641B"/>
    <w:rsid w:val="00990440"/>
    <w:rsid w:val="00993224"/>
    <w:rsid w:val="009954D0"/>
    <w:rsid w:val="009958F2"/>
    <w:rsid w:val="009969D5"/>
    <w:rsid w:val="009A5414"/>
    <w:rsid w:val="009A62CE"/>
    <w:rsid w:val="009A6539"/>
    <w:rsid w:val="009B14AE"/>
    <w:rsid w:val="009B1944"/>
    <w:rsid w:val="009B2A57"/>
    <w:rsid w:val="009B3F6B"/>
    <w:rsid w:val="009B458A"/>
    <w:rsid w:val="009B7706"/>
    <w:rsid w:val="009C0BBC"/>
    <w:rsid w:val="009C4504"/>
    <w:rsid w:val="009C6D5E"/>
    <w:rsid w:val="009D106A"/>
    <w:rsid w:val="009D26E4"/>
    <w:rsid w:val="009D3D4E"/>
    <w:rsid w:val="009E2C86"/>
    <w:rsid w:val="009E42BF"/>
    <w:rsid w:val="009F52A0"/>
    <w:rsid w:val="009F5674"/>
    <w:rsid w:val="009F5694"/>
    <w:rsid w:val="009F6DA6"/>
    <w:rsid w:val="00A04BBD"/>
    <w:rsid w:val="00A15240"/>
    <w:rsid w:val="00A220EC"/>
    <w:rsid w:val="00A33E28"/>
    <w:rsid w:val="00A344BF"/>
    <w:rsid w:val="00A345B1"/>
    <w:rsid w:val="00A3508B"/>
    <w:rsid w:val="00A4129A"/>
    <w:rsid w:val="00A41454"/>
    <w:rsid w:val="00A52D36"/>
    <w:rsid w:val="00A566FC"/>
    <w:rsid w:val="00A601D8"/>
    <w:rsid w:val="00A63E59"/>
    <w:rsid w:val="00A64F9B"/>
    <w:rsid w:val="00A654F3"/>
    <w:rsid w:val="00A65AD8"/>
    <w:rsid w:val="00A67287"/>
    <w:rsid w:val="00A739F3"/>
    <w:rsid w:val="00A75313"/>
    <w:rsid w:val="00A76498"/>
    <w:rsid w:val="00A76DDF"/>
    <w:rsid w:val="00A77F4F"/>
    <w:rsid w:val="00A805AC"/>
    <w:rsid w:val="00A83BF2"/>
    <w:rsid w:val="00A870FC"/>
    <w:rsid w:val="00A872FF"/>
    <w:rsid w:val="00A907D3"/>
    <w:rsid w:val="00A91D34"/>
    <w:rsid w:val="00A974E5"/>
    <w:rsid w:val="00A9782D"/>
    <w:rsid w:val="00AA0381"/>
    <w:rsid w:val="00AA2764"/>
    <w:rsid w:val="00AA3166"/>
    <w:rsid w:val="00AA7798"/>
    <w:rsid w:val="00AB0820"/>
    <w:rsid w:val="00AB5AA1"/>
    <w:rsid w:val="00AB75F1"/>
    <w:rsid w:val="00AC1BE0"/>
    <w:rsid w:val="00AC4098"/>
    <w:rsid w:val="00AC422F"/>
    <w:rsid w:val="00AC4F58"/>
    <w:rsid w:val="00AC64D6"/>
    <w:rsid w:val="00AD34DC"/>
    <w:rsid w:val="00AD4440"/>
    <w:rsid w:val="00AD527D"/>
    <w:rsid w:val="00AD5672"/>
    <w:rsid w:val="00AD664C"/>
    <w:rsid w:val="00AE0656"/>
    <w:rsid w:val="00AE2C44"/>
    <w:rsid w:val="00AE7E06"/>
    <w:rsid w:val="00AF05F4"/>
    <w:rsid w:val="00AF3DC4"/>
    <w:rsid w:val="00AF690C"/>
    <w:rsid w:val="00AF71DF"/>
    <w:rsid w:val="00AF75CD"/>
    <w:rsid w:val="00B02FE0"/>
    <w:rsid w:val="00B03149"/>
    <w:rsid w:val="00B04B06"/>
    <w:rsid w:val="00B11763"/>
    <w:rsid w:val="00B15F25"/>
    <w:rsid w:val="00B21098"/>
    <w:rsid w:val="00B223EC"/>
    <w:rsid w:val="00B2254C"/>
    <w:rsid w:val="00B22B05"/>
    <w:rsid w:val="00B2644E"/>
    <w:rsid w:val="00B26918"/>
    <w:rsid w:val="00B26D5A"/>
    <w:rsid w:val="00B32FA8"/>
    <w:rsid w:val="00B422D2"/>
    <w:rsid w:val="00B4718E"/>
    <w:rsid w:val="00B517FE"/>
    <w:rsid w:val="00B52725"/>
    <w:rsid w:val="00B52B4D"/>
    <w:rsid w:val="00B532CB"/>
    <w:rsid w:val="00B54707"/>
    <w:rsid w:val="00B56035"/>
    <w:rsid w:val="00B575F4"/>
    <w:rsid w:val="00B60EF4"/>
    <w:rsid w:val="00B62F6E"/>
    <w:rsid w:val="00B63758"/>
    <w:rsid w:val="00B64ED9"/>
    <w:rsid w:val="00B67575"/>
    <w:rsid w:val="00B71749"/>
    <w:rsid w:val="00B726F7"/>
    <w:rsid w:val="00B735F2"/>
    <w:rsid w:val="00B76A91"/>
    <w:rsid w:val="00B8118D"/>
    <w:rsid w:val="00B82306"/>
    <w:rsid w:val="00B85D9E"/>
    <w:rsid w:val="00B9265B"/>
    <w:rsid w:val="00B96E40"/>
    <w:rsid w:val="00B97988"/>
    <w:rsid w:val="00BA1174"/>
    <w:rsid w:val="00BA1610"/>
    <w:rsid w:val="00BA2F5D"/>
    <w:rsid w:val="00BA3C63"/>
    <w:rsid w:val="00BA5805"/>
    <w:rsid w:val="00BA7B85"/>
    <w:rsid w:val="00BB1962"/>
    <w:rsid w:val="00BB1E85"/>
    <w:rsid w:val="00BB2427"/>
    <w:rsid w:val="00BB3509"/>
    <w:rsid w:val="00BB52BC"/>
    <w:rsid w:val="00BB5EFD"/>
    <w:rsid w:val="00BC219B"/>
    <w:rsid w:val="00BC4928"/>
    <w:rsid w:val="00BC5174"/>
    <w:rsid w:val="00BC7FEB"/>
    <w:rsid w:val="00BD087B"/>
    <w:rsid w:val="00BD1BAC"/>
    <w:rsid w:val="00BD4E2E"/>
    <w:rsid w:val="00BD508D"/>
    <w:rsid w:val="00BD578A"/>
    <w:rsid w:val="00BD6CC3"/>
    <w:rsid w:val="00BE35AE"/>
    <w:rsid w:val="00BE38CB"/>
    <w:rsid w:val="00BE5AC4"/>
    <w:rsid w:val="00BE5F61"/>
    <w:rsid w:val="00BF359F"/>
    <w:rsid w:val="00BF3E7D"/>
    <w:rsid w:val="00BF5EFA"/>
    <w:rsid w:val="00BF6E04"/>
    <w:rsid w:val="00C00C60"/>
    <w:rsid w:val="00C037F6"/>
    <w:rsid w:val="00C03C71"/>
    <w:rsid w:val="00C04B28"/>
    <w:rsid w:val="00C0587A"/>
    <w:rsid w:val="00C0703B"/>
    <w:rsid w:val="00C10AB1"/>
    <w:rsid w:val="00C10E0C"/>
    <w:rsid w:val="00C12CCC"/>
    <w:rsid w:val="00C16587"/>
    <w:rsid w:val="00C21AB2"/>
    <w:rsid w:val="00C21CE8"/>
    <w:rsid w:val="00C24428"/>
    <w:rsid w:val="00C2446D"/>
    <w:rsid w:val="00C2739C"/>
    <w:rsid w:val="00C27842"/>
    <w:rsid w:val="00C3144E"/>
    <w:rsid w:val="00C3233D"/>
    <w:rsid w:val="00C33B92"/>
    <w:rsid w:val="00C352D3"/>
    <w:rsid w:val="00C441FC"/>
    <w:rsid w:val="00C44789"/>
    <w:rsid w:val="00C47CB8"/>
    <w:rsid w:val="00C51818"/>
    <w:rsid w:val="00C52304"/>
    <w:rsid w:val="00C565BD"/>
    <w:rsid w:val="00C60554"/>
    <w:rsid w:val="00C6549A"/>
    <w:rsid w:val="00C657E4"/>
    <w:rsid w:val="00C678AD"/>
    <w:rsid w:val="00C703A6"/>
    <w:rsid w:val="00C72FC7"/>
    <w:rsid w:val="00C7352D"/>
    <w:rsid w:val="00C75C94"/>
    <w:rsid w:val="00C76A60"/>
    <w:rsid w:val="00C76B2F"/>
    <w:rsid w:val="00C77714"/>
    <w:rsid w:val="00C81A01"/>
    <w:rsid w:val="00C84101"/>
    <w:rsid w:val="00C85875"/>
    <w:rsid w:val="00C85AB8"/>
    <w:rsid w:val="00C86A41"/>
    <w:rsid w:val="00C86B80"/>
    <w:rsid w:val="00C876B6"/>
    <w:rsid w:val="00C91B20"/>
    <w:rsid w:val="00C92513"/>
    <w:rsid w:val="00C926DA"/>
    <w:rsid w:val="00C96702"/>
    <w:rsid w:val="00C97E2C"/>
    <w:rsid w:val="00CA1A08"/>
    <w:rsid w:val="00CA2F6E"/>
    <w:rsid w:val="00CA324D"/>
    <w:rsid w:val="00CA4EA8"/>
    <w:rsid w:val="00CA5188"/>
    <w:rsid w:val="00CA686D"/>
    <w:rsid w:val="00CA7ED7"/>
    <w:rsid w:val="00CB644F"/>
    <w:rsid w:val="00CB704E"/>
    <w:rsid w:val="00CB7BCB"/>
    <w:rsid w:val="00CC1F17"/>
    <w:rsid w:val="00CC232E"/>
    <w:rsid w:val="00CC314C"/>
    <w:rsid w:val="00CC435E"/>
    <w:rsid w:val="00CC741C"/>
    <w:rsid w:val="00CC7CDA"/>
    <w:rsid w:val="00CD26C4"/>
    <w:rsid w:val="00CD2A2D"/>
    <w:rsid w:val="00CD5629"/>
    <w:rsid w:val="00CD7D02"/>
    <w:rsid w:val="00CE1A45"/>
    <w:rsid w:val="00CE4780"/>
    <w:rsid w:val="00CE69C6"/>
    <w:rsid w:val="00CF01D4"/>
    <w:rsid w:val="00CF1EFD"/>
    <w:rsid w:val="00CF24A5"/>
    <w:rsid w:val="00D023B0"/>
    <w:rsid w:val="00D02567"/>
    <w:rsid w:val="00D036BA"/>
    <w:rsid w:val="00D03C22"/>
    <w:rsid w:val="00D04647"/>
    <w:rsid w:val="00D0608F"/>
    <w:rsid w:val="00D0627D"/>
    <w:rsid w:val="00D062CC"/>
    <w:rsid w:val="00D1738B"/>
    <w:rsid w:val="00D215DF"/>
    <w:rsid w:val="00D220B6"/>
    <w:rsid w:val="00D22129"/>
    <w:rsid w:val="00D22FDE"/>
    <w:rsid w:val="00D269CD"/>
    <w:rsid w:val="00D27B52"/>
    <w:rsid w:val="00D318F2"/>
    <w:rsid w:val="00D40D69"/>
    <w:rsid w:val="00D41ACC"/>
    <w:rsid w:val="00D42BF9"/>
    <w:rsid w:val="00D43A34"/>
    <w:rsid w:val="00D451B0"/>
    <w:rsid w:val="00D46055"/>
    <w:rsid w:val="00D4727C"/>
    <w:rsid w:val="00D474F5"/>
    <w:rsid w:val="00D5363E"/>
    <w:rsid w:val="00D54B19"/>
    <w:rsid w:val="00D569D8"/>
    <w:rsid w:val="00D655D2"/>
    <w:rsid w:val="00D70CB8"/>
    <w:rsid w:val="00D74349"/>
    <w:rsid w:val="00D745F3"/>
    <w:rsid w:val="00D74ABC"/>
    <w:rsid w:val="00D75737"/>
    <w:rsid w:val="00D77F87"/>
    <w:rsid w:val="00D826A4"/>
    <w:rsid w:val="00D82956"/>
    <w:rsid w:val="00D82E2B"/>
    <w:rsid w:val="00D853BF"/>
    <w:rsid w:val="00D859B7"/>
    <w:rsid w:val="00D86EA8"/>
    <w:rsid w:val="00D91589"/>
    <w:rsid w:val="00D9352B"/>
    <w:rsid w:val="00D97666"/>
    <w:rsid w:val="00D97E92"/>
    <w:rsid w:val="00DA0FE1"/>
    <w:rsid w:val="00DA3C5F"/>
    <w:rsid w:val="00DA4A91"/>
    <w:rsid w:val="00DA6188"/>
    <w:rsid w:val="00DA706A"/>
    <w:rsid w:val="00DB4F58"/>
    <w:rsid w:val="00DB61A2"/>
    <w:rsid w:val="00DB6F88"/>
    <w:rsid w:val="00DC0E3A"/>
    <w:rsid w:val="00DC3FA0"/>
    <w:rsid w:val="00DC7826"/>
    <w:rsid w:val="00DC7A7E"/>
    <w:rsid w:val="00DD06DD"/>
    <w:rsid w:val="00DD4713"/>
    <w:rsid w:val="00DD541B"/>
    <w:rsid w:val="00DE0F07"/>
    <w:rsid w:val="00DE274C"/>
    <w:rsid w:val="00DE4B9E"/>
    <w:rsid w:val="00DE75BD"/>
    <w:rsid w:val="00DF0248"/>
    <w:rsid w:val="00DF0257"/>
    <w:rsid w:val="00DF46CE"/>
    <w:rsid w:val="00DF54FC"/>
    <w:rsid w:val="00DF7415"/>
    <w:rsid w:val="00E00111"/>
    <w:rsid w:val="00E07785"/>
    <w:rsid w:val="00E1096A"/>
    <w:rsid w:val="00E11936"/>
    <w:rsid w:val="00E122CA"/>
    <w:rsid w:val="00E123B6"/>
    <w:rsid w:val="00E159FE"/>
    <w:rsid w:val="00E15F75"/>
    <w:rsid w:val="00E168C9"/>
    <w:rsid w:val="00E209CF"/>
    <w:rsid w:val="00E32DA6"/>
    <w:rsid w:val="00E41BEC"/>
    <w:rsid w:val="00E44867"/>
    <w:rsid w:val="00E459BF"/>
    <w:rsid w:val="00E4657D"/>
    <w:rsid w:val="00E47B99"/>
    <w:rsid w:val="00E502FB"/>
    <w:rsid w:val="00E5157A"/>
    <w:rsid w:val="00E5330C"/>
    <w:rsid w:val="00E5735A"/>
    <w:rsid w:val="00E60F9F"/>
    <w:rsid w:val="00E61D12"/>
    <w:rsid w:val="00E62817"/>
    <w:rsid w:val="00E64084"/>
    <w:rsid w:val="00E645DD"/>
    <w:rsid w:val="00E7299C"/>
    <w:rsid w:val="00E72D0B"/>
    <w:rsid w:val="00E7673D"/>
    <w:rsid w:val="00E80B4A"/>
    <w:rsid w:val="00E80F94"/>
    <w:rsid w:val="00E8256F"/>
    <w:rsid w:val="00E834F9"/>
    <w:rsid w:val="00E837DD"/>
    <w:rsid w:val="00E8389B"/>
    <w:rsid w:val="00E84BEA"/>
    <w:rsid w:val="00E855C7"/>
    <w:rsid w:val="00E85C5F"/>
    <w:rsid w:val="00E87165"/>
    <w:rsid w:val="00E9005A"/>
    <w:rsid w:val="00E9109F"/>
    <w:rsid w:val="00E9323E"/>
    <w:rsid w:val="00E93C70"/>
    <w:rsid w:val="00E94154"/>
    <w:rsid w:val="00E96113"/>
    <w:rsid w:val="00E97D32"/>
    <w:rsid w:val="00EA0531"/>
    <w:rsid w:val="00EA1755"/>
    <w:rsid w:val="00EA1DF9"/>
    <w:rsid w:val="00EA3713"/>
    <w:rsid w:val="00EA700C"/>
    <w:rsid w:val="00EB1402"/>
    <w:rsid w:val="00EB14A7"/>
    <w:rsid w:val="00EB4908"/>
    <w:rsid w:val="00EB5B7D"/>
    <w:rsid w:val="00EC391C"/>
    <w:rsid w:val="00EC7C36"/>
    <w:rsid w:val="00ED079C"/>
    <w:rsid w:val="00ED4166"/>
    <w:rsid w:val="00ED4F26"/>
    <w:rsid w:val="00ED6374"/>
    <w:rsid w:val="00ED7A9B"/>
    <w:rsid w:val="00EE0CB4"/>
    <w:rsid w:val="00EE2053"/>
    <w:rsid w:val="00EE5173"/>
    <w:rsid w:val="00EF1086"/>
    <w:rsid w:val="00EF2400"/>
    <w:rsid w:val="00EF43CE"/>
    <w:rsid w:val="00EF45AD"/>
    <w:rsid w:val="00EF6801"/>
    <w:rsid w:val="00EF7B80"/>
    <w:rsid w:val="00F00254"/>
    <w:rsid w:val="00F00D8F"/>
    <w:rsid w:val="00F02B3A"/>
    <w:rsid w:val="00F02EA2"/>
    <w:rsid w:val="00F05F21"/>
    <w:rsid w:val="00F1110B"/>
    <w:rsid w:val="00F1720B"/>
    <w:rsid w:val="00F17DFD"/>
    <w:rsid w:val="00F231CE"/>
    <w:rsid w:val="00F24397"/>
    <w:rsid w:val="00F24CBE"/>
    <w:rsid w:val="00F2515F"/>
    <w:rsid w:val="00F2791A"/>
    <w:rsid w:val="00F304CE"/>
    <w:rsid w:val="00F34722"/>
    <w:rsid w:val="00F37558"/>
    <w:rsid w:val="00F43A4D"/>
    <w:rsid w:val="00F449A2"/>
    <w:rsid w:val="00F4528F"/>
    <w:rsid w:val="00F45976"/>
    <w:rsid w:val="00F46418"/>
    <w:rsid w:val="00F50132"/>
    <w:rsid w:val="00F52521"/>
    <w:rsid w:val="00F53577"/>
    <w:rsid w:val="00F5412F"/>
    <w:rsid w:val="00F54B94"/>
    <w:rsid w:val="00F60312"/>
    <w:rsid w:val="00F60886"/>
    <w:rsid w:val="00F60FF5"/>
    <w:rsid w:val="00F615FA"/>
    <w:rsid w:val="00F63075"/>
    <w:rsid w:val="00F63608"/>
    <w:rsid w:val="00F673B9"/>
    <w:rsid w:val="00F70DFA"/>
    <w:rsid w:val="00F71C7D"/>
    <w:rsid w:val="00F724AE"/>
    <w:rsid w:val="00F73FA6"/>
    <w:rsid w:val="00F74D65"/>
    <w:rsid w:val="00F75A95"/>
    <w:rsid w:val="00F807C2"/>
    <w:rsid w:val="00F81E83"/>
    <w:rsid w:val="00F820F9"/>
    <w:rsid w:val="00F83AAC"/>
    <w:rsid w:val="00F85BE4"/>
    <w:rsid w:val="00F86F22"/>
    <w:rsid w:val="00F87A75"/>
    <w:rsid w:val="00F9231D"/>
    <w:rsid w:val="00F94ADD"/>
    <w:rsid w:val="00F953A4"/>
    <w:rsid w:val="00F9673D"/>
    <w:rsid w:val="00F97DAC"/>
    <w:rsid w:val="00FA2F03"/>
    <w:rsid w:val="00FA44DC"/>
    <w:rsid w:val="00FA4A2B"/>
    <w:rsid w:val="00FA4DAC"/>
    <w:rsid w:val="00FB31ED"/>
    <w:rsid w:val="00FB3E59"/>
    <w:rsid w:val="00FB7525"/>
    <w:rsid w:val="00FB7A94"/>
    <w:rsid w:val="00FC3C68"/>
    <w:rsid w:val="00FC525D"/>
    <w:rsid w:val="00FC5575"/>
    <w:rsid w:val="00FD05DD"/>
    <w:rsid w:val="00FD1C51"/>
    <w:rsid w:val="00FD22FE"/>
    <w:rsid w:val="00FD37EA"/>
    <w:rsid w:val="00FD617A"/>
    <w:rsid w:val="00FD6765"/>
    <w:rsid w:val="00FD70EE"/>
    <w:rsid w:val="00FE1874"/>
    <w:rsid w:val="00FE6BA5"/>
    <w:rsid w:val="00FF044B"/>
    <w:rsid w:val="00FF4C53"/>
    <w:rsid w:val="00FF6A0B"/>
    <w:rsid w:val="00FF730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6486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5BE4"/>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FD70E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8530C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0D28A0"/>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rsid w:val="0012068F"/>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a">
    <w:name w:val="Heading 1a"/>
    <w:basedOn w:val="Normal"/>
    <w:next w:val="Normal"/>
    <w:autoRedefine/>
    <w:rsid w:val="00963581"/>
    <w:pPr>
      <w:keepNext/>
      <w:keepLines/>
      <w:pageBreakBefore/>
      <w:spacing w:before="960" w:after="240"/>
      <w:jc w:val="center"/>
      <w:outlineLvl w:val="0"/>
    </w:pPr>
    <w:rPr>
      <w:b/>
      <w:caps/>
      <w:sz w:val="28"/>
      <w:szCs w:val="28"/>
    </w:rPr>
  </w:style>
  <w:style w:type="paragraph" w:styleId="BodyText">
    <w:name w:val="Body Text"/>
    <w:basedOn w:val="Normal"/>
    <w:link w:val="BodyTextChar"/>
    <w:rsid w:val="000D28A0"/>
    <w:pPr>
      <w:spacing w:after="120"/>
    </w:pPr>
  </w:style>
  <w:style w:type="character" w:customStyle="1" w:styleId="BodyTextChar">
    <w:name w:val="Body Text Char"/>
    <w:basedOn w:val="DefaultParagraphFont"/>
    <w:link w:val="BodyText"/>
    <w:rsid w:val="000D28A0"/>
    <w:rPr>
      <w:rFonts w:ascii="Times New Roman" w:eastAsia="Times New Roman" w:hAnsi="Times New Roman" w:cs="Times New Roman"/>
      <w:sz w:val="24"/>
      <w:szCs w:val="24"/>
    </w:rPr>
  </w:style>
  <w:style w:type="character" w:customStyle="1" w:styleId="Heading3Char">
    <w:name w:val="Heading 3 Char"/>
    <w:basedOn w:val="DefaultParagraphFont"/>
    <w:link w:val="Heading3"/>
    <w:rsid w:val="000D28A0"/>
    <w:rPr>
      <w:rFonts w:ascii="Arial" w:eastAsia="Times New Roman" w:hAnsi="Arial" w:cs="Arial"/>
      <w:b/>
      <w:bCs/>
      <w:sz w:val="26"/>
      <w:szCs w:val="26"/>
    </w:rPr>
  </w:style>
  <w:style w:type="character" w:customStyle="1" w:styleId="Heading2CharCharChar">
    <w:name w:val="Heading 2 Char Char Char"/>
    <w:basedOn w:val="DefaultParagraphFont"/>
    <w:rsid w:val="000D28A0"/>
    <w:rPr>
      <w:rFonts w:ascii="Arial" w:eastAsia="MS Mincho" w:hAnsi="Arial" w:cs="Angsana New"/>
      <w:b/>
      <w:bCs/>
      <w:sz w:val="32"/>
      <w:lang w:val="en-US" w:eastAsia="en-AU" w:bidi="ar-SA"/>
    </w:rPr>
  </w:style>
  <w:style w:type="paragraph" w:styleId="ListParagraph">
    <w:name w:val="List Paragraph"/>
    <w:basedOn w:val="Normal"/>
    <w:link w:val="ListParagraphChar"/>
    <w:uiPriority w:val="34"/>
    <w:qFormat/>
    <w:rsid w:val="000D28A0"/>
    <w:pPr>
      <w:spacing w:after="200" w:line="276" w:lineRule="auto"/>
      <w:ind w:left="720"/>
      <w:contextualSpacing/>
    </w:pPr>
    <w:rPr>
      <w:rFonts w:ascii="Calibri" w:eastAsia="Calibri" w:hAnsi="Calibri"/>
      <w:sz w:val="22"/>
      <w:szCs w:val="22"/>
    </w:rPr>
  </w:style>
  <w:style w:type="character" w:customStyle="1" w:styleId="Heading1Char">
    <w:name w:val="Heading 1 Char"/>
    <w:basedOn w:val="DefaultParagraphFont"/>
    <w:link w:val="Heading1"/>
    <w:uiPriority w:val="9"/>
    <w:rsid w:val="00FD70EE"/>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FD70EE"/>
    <w:pPr>
      <w:spacing w:line="276" w:lineRule="auto"/>
      <w:outlineLvl w:val="9"/>
    </w:pPr>
  </w:style>
  <w:style w:type="paragraph" w:styleId="TOC1">
    <w:name w:val="toc 1"/>
    <w:basedOn w:val="Normal"/>
    <w:next w:val="Normal"/>
    <w:autoRedefine/>
    <w:uiPriority w:val="39"/>
    <w:unhideWhenUsed/>
    <w:rsid w:val="00C6549A"/>
    <w:pPr>
      <w:keepNext/>
      <w:tabs>
        <w:tab w:val="left" w:pos="480"/>
        <w:tab w:val="right" w:leader="dot" w:pos="9350"/>
      </w:tabs>
      <w:spacing w:after="100"/>
    </w:pPr>
    <w:rPr>
      <w:b/>
      <w:noProof/>
    </w:rPr>
  </w:style>
  <w:style w:type="paragraph" w:styleId="TOC3">
    <w:name w:val="toc 3"/>
    <w:basedOn w:val="Normal"/>
    <w:next w:val="Normal"/>
    <w:autoRedefine/>
    <w:uiPriority w:val="39"/>
    <w:unhideWhenUsed/>
    <w:rsid w:val="00FD70EE"/>
    <w:pPr>
      <w:spacing w:after="100"/>
      <w:ind w:left="480"/>
    </w:pPr>
  </w:style>
  <w:style w:type="character" w:styleId="Hyperlink">
    <w:name w:val="Hyperlink"/>
    <w:basedOn w:val="DefaultParagraphFont"/>
    <w:uiPriority w:val="99"/>
    <w:unhideWhenUsed/>
    <w:rsid w:val="00FD70EE"/>
    <w:rPr>
      <w:color w:val="0000FF" w:themeColor="hyperlink"/>
      <w:u w:val="single"/>
    </w:rPr>
  </w:style>
  <w:style w:type="paragraph" w:styleId="BalloonText">
    <w:name w:val="Balloon Text"/>
    <w:basedOn w:val="Normal"/>
    <w:link w:val="BalloonTextChar"/>
    <w:uiPriority w:val="99"/>
    <w:semiHidden/>
    <w:unhideWhenUsed/>
    <w:rsid w:val="00FD70EE"/>
    <w:rPr>
      <w:rFonts w:ascii="Tahoma" w:hAnsi="Tahoma" w:cs="Tahoma"/>
      <w:sz w:val="16"/>
      <w:szCs w:val="16"/>
    </w:rPr>
  </w:style>
  <w:style w:type="character" w:customStyle="1" w:styleId="BalloonTextChar">
    <w:name w:val="Balloon Text Char"/>
    <w:basedOn w:val="DefaultParagraphFont"/>
    <w:link w:val="BalloonText"/>
    <w:uiPriority w:val="99"/>
    <w:semiHidden/>
    <w:rsid w:val="00FD70EE"/>
    <w:rPr>
      <w:rFonts w:ascii="Tahoma" w:eastAsia="Times New Roman" w:hAnsi="Tahoma" w:cs="Tahoma"/>
      <w:sz w:val="16"/>
      <w:szCs w:val="16"/>
    </w:rPr>
  </w:style>
  <w:style w:type="character" w:styleId="FootnoteReference">
    <w:name w:val="footnote reference"/>
    <w:basedOn w:val="DefaultParagraphFont"/>
    <w:rsid w:val="00015A67"/>
    <w:rPr>
      <w:rFonts w:ascii="Times New Roman" w:eastAsia="MS Mincho" w:hAnsi="Times New Roman"/>
      <w:sz w:val="22"/>
      <w:szCs w:val="18"/>
      <w:vertAlign w:val="superscript"/>
    </w:rPr>
  </w:style>
  <w:style w:type="paragraph" w:styleId="FootnoteText">
    <w:name w:val="footnote text"/>
    <w:aliases w:val="fn,FOOTNOTES,single space,footnote text,ADB,Footnote Text Char1,Footnote Text Char2 Char,Footnote Text Char1 Char Char,Footnote Text Char2 Char Char Char,Footnote Text Char1 Char Char Char Char,Footnote Text Char2 Char Char Char Char Char"/>
    <w:basedOn w:val="Normal"/>
    <w:link w:val="FootnoteTextChar"/>
    <w:autoRedefine/>
    <w:rsid w:val="00DA4A91"/>
    <w:pPr>
      <w:autoSpaceDE w:val="0"/>
      <w:spacing w:before="120"/>
      <w:ind w:right="29"/>
      <w:jc w:val="both"/>
    </w:pPr>
    <w:rPr>
      <w:rFonts w:eastAsia="MS Mincho"/>
      <w:sz w:val="20"/>
      <w:szCs w:val="20"/>
    </w:rPr>
  </w:style>
  <w:style w:type="character" w:customStyle="1" w:styleId="FootnoteTextChar">
    <w:name w:val="Footnote Text Char"/>
    <w:aliases w:val="fn Char,FOOTNOTES Char,single space Char,footnote text Char,ADB Char,Footnote Text Char1 Char,Footnote Text Char2 Char Char,Footnote Text Char1 Char Char Char,Footnote Text Char2 Char Char Char Char"/>
    <w:basedOn w:val="DefaultParagraphFont"/>
    <w:link w:val="FootnoteText"/>
    <w:rsid w:val="00DA4A91"/>
    <w:rPr>
      <w:rFonts w:ascii="Times New Roman" w:eastAsia="MS Mincho" w:hAnsi="Times New Roman" w:cs="Times New Roman"/>
      <w:sz w:val="20"/>
      <w:szCs w:val="20"/>
    </w:rPr>
  </w:style>
  <w:style w:type="paragraph" w:styleId="Header">
    <w:name w:val="header"/>
    <w:basedOn w:val="Normal"/>
    <w:link w:val="HeaderChar"/>
    <w:uiPriority w:val="99"/>
    <w:semiHidden/>
    <w:unhideWhenUsed/>
    <w:rsid w:val="00D5363E"/>
    <w:pPr>
      <w:tabs>
        <w:tab w:val="center" w:pos="4680"/>
        <w:tab w:val="right" w:pos="9360"/>
      </w:tabs>
    </w:pPr>
  </w:style>
  <w:style w:type="character" w:customStyle="1" w:styleId="HeaderChar">
    <w:name w:val="Header Char"/>
    <w:basedOn w:val="DefaultParagraphFont"/>
    <w:link w:val="Header"/>
    <w:uiPriority w:val="99"/>
    <w:semiHidden/>
    <w:rsid w:val="00D5363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5363E"/>
    <w:pPr>
      <w:tabs>
        <w:tab w:val="center" w:pos="4680"/>
        <w:tab w:val="right" w:pos="9360"/>
      </w:tabs>
    </w:pPr>
  </w:style>
  <w:style w:type="character" w:customStyle="1" w:styleId="FooterChar">
    <w:name w:val="Footer Char"/>
    <w:basedOn w:val="DefaultParagraphFont"/>
    <w:link w:val="Footer"/>
    <w:uiPriority w:val="99"/>
    <w:rsid w:val="00D5363E"/>
    <w:rPr>
      <w:rFonts w:ascii="Times New Roman" w:eastAsia="Times New Roman" w:hAnsi="Times New Roman" w:cs="Times New Roman"/>
      <w:sz w:val="24"/>
      <w:szCs w:val="24"/>
    </w:rPr>
  </w:style>
  <w:style w:type="paragraph" w:styleId="Caption">
    <w:name w:val="caption"/>
    <w:aliases w:val="Caption SEETO,Beskrivning Char,Beskrivning Char1 Char,Beskrivning Char Char Char,Beskrivning Char1 Char Char Char,Beskrivning Char Char Char Char Char,Beskrivning Char2 Char Char Char Char Char,Beskrivning Char1 Char Char Char Char Char Char"/>
    <w:basedOn w:val="Normal"/>
    <w:next w:val="Normal"/>
    <w:link w:val="CaptionChar"/>
    <w:unhideWhenUsed/>
    <w:qFormat/>
    <w:rsid w:val="00AF75CD"/>
    <w:pPr>
      <w:spacing w:after="200"/>
    </w:pPr>
    <w:rPr>
      <w:b/>
      <w:bCs/>
      <w:color w:val="4F81BD" w:themeColor="accent1"/>
      <w:sz w:val="18"/>
      <w:szCs w:val="18"/>
    </w:rPr>
  </w:style>
  <w:style w:type="paragraph" w:customStyle="1" w:styleId="lekanumbered">
    <w:name w:val="l eka numbered"/>
    <w:basedOn w:val="Normal"/>
    <w:rsid w:val="006E310F"/>
    <w:pPr>
      <w:numPr>
        <w:numId w:val="3"/>
      </w:numPr>
      <w:spacing w:before="120" w:after="120" w:line="360" w:lineRule="atLeast"/>
      <w:jc w:val="both"/>
    </w:pPr>
    <w:rPr>
      <w:szCs w:val="20"/>
      <w:lang w:val="fi-FI"/>
    </w:rPr>
  </w:style>
  <w:style w:type="character" w:customStyle="1" w:styleId="Heading4Char">
    <w:name w:val="Heading 4 Char"/>
    <w:basedOn w:val="DefaultParagraphFont"/>
    <w:link w:val="Heading4"/>
    <w:uiPriority w:val="9"/>
    <w:rsid w:val="0012068F"/>
    <w:rPr>
      <w:rFonts w:asciiTheme="majorHAnsi" w:eastAsiaTheme="majorEastAsia" w:hAnsiTheme="majorHAnsi" w:cstheme="majorBidi"/>
      <w:b/>
      <w:bCs/>
      <w:i/>
      <w:iCs/>
      <w:color w:val="4F81BD" w:themeColor="accent1"/>
      <w:sz w:val="24"/>
      <w:szCs w:val="24"/>
    </w:rPr>
  </w:style>
  <w:style w:type="character" w:customStyle="1" w:styleId="CaptionChar">
    <w:name w:val="Caption Char"/>
    <w:aliases w:val="Caption SEETO Char,Beskrivning Char Char,Beskrivning Char1 Char Char,Beskrivning Char Char Char Char,Beskrivning Char1 Char Char Char Char,Beskrivning Char Char Char Char Char Char,Beskrivning Char2 Char Char Char Char Char Char"/>
    <w:basedOn w:val="DefaultParagraphFont"/>
    <w:link w:val="Caption"/>
    <w:rsid w:val="0012068F"/>
    <w:rPr>
      <w:rFonts w:ascii="Times New Roman" w:eastAsia="Times New Roman" w:hAnsi="Times New Roman" w:cs="Times New Roman"/>
      <w:b/>
      <w:bCs/>
      <w:color w:val="4F81BD" w:themeColor="accent1"/>
      <w:sz w:val="18"/>
      <w:szCs w:val="18"/>
    </w:rPr>
  </w:style>
  <w:style w:type="character" w:customStyle="1" w:styleId="Heading2Char">
    <w:name w:val="Heading 2 Char"/>
    <w:basedOn w:val="DefaultParagraphFont"/>
    <w:link w:val="Heading2"/>
    <w:uiPriority w:val="9"/>
    <w:semiHidden/>
    <w:rsid w:val="008530C1"/>
    <w:rPr>
      <w:rFonts w:asciiTheme="majorHAnsi" w:eastAsiaTheme="majorEastAsia" w:hAnsiTheme="majorHAnsi" w:cstheme="majorBidi"/>
      <w:b/>
      <w:bCs/>
      <w:color w:val="4F81BD" w:themeColor="accent1"/>
      <w:sz w:val="26"/>
      <w:szCs w:val="26"/>
    </w:rPr>
  </w:style>
  <w:style w:type="paragraph" w:customStyle="1" w:styleId="Default">
    <w:name w:val="Default"/>
    <w:rsid w:val="00835F27"/>
    <w:pPr>
      <w:autoSpaceDE w:val="0"/>
      <w:autoSpaceDN w:val="0"/>
      <w:adjustRightInd w:val="0"/>
      <w:spacing w:after="0" w:line="240" w:lineRule="auto"/>
    </w:pPr>
    <w:rPr>
      <w:rFonts w:ascii="Arial Narrow" w:hAnsi="Arial Narrow" w:cs="Arial Narrow"/>
      <w:color w:val="000000"/>
      <w:sz w:val="24"/>
      <w:szCs w:val="24"/>
    </w:rPr>
  </w:style>
  <w:style w:type="paragraph" w:styleId="NormalWeb">
    <w:name w:val="Normal (Web)"/>
    <w:basedOn w:val="Normal"/>
    <w:uiPriority w:val="99"/>
    <w:unhideWhenUsed/>
    <w:rsid w:val="00835F27"/>
    <w:pPr>
      <w:spacing w:before="100" w:beforeAutospacing="1" w:after="100" w:afterAutospacing="1"/>
    </w:pPr>
  </w:style>
  <w:style w:type="character" w:customStyle="1" w:styleId="google-src-text1">
    <w:name w:val="google-src-text1"/>
    <w:basedOn w:val="DefaultParagraphFont"/>
    <w:rsid w:val="00835F27"/>
    <w:rPr>
      <w:vanish/>
      <w:webHidden w:val="0"/>
      <w:specVanish w:val="0"/>
    </w:rPr>
  </w:style>
  <w:style w:type="character" w:customStyle="1" w:styleId="longtext1">
    <w:name w:val="long_text1"/>
    <w:basedOn w:val="DefaultParagraphFont"/>
    <w:rsid w:val="00835F27"/>
    <w:rPr>
      <w:sz w:val="20"/>
      <w:szCs w:val="20"/>
    </w:rPr>
  </w:style>
  <w:style w:type="table" w:styleId="TableGrid">
    <w:name w:val="Table Grid"/>
    <w:basedOn w:val="TableNormal"/>
    <w:uiPriority w:val="59"/>
    <w:rsid w:val="007F26E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3">
    <w:name w:val="Body Text 3"/>
    <w:basedOn w:val="Normal"/>
    <w:link w:val="BodyText3Char"/>
    <w:uiPriority w:val="99"/>
    <w:semiHidden/>
    <w:unhideWhenUsed/>
    <w:rsid w:val="001D5FB2"/>
    <w:pPr>
      <w:spacing w:after="120"/>
    </w:pPr>
    <w:rPr>
      <w:sz w:val="16"/>
      <w:szCs w:val="16"/>
    </w:rPr>
  </w:style>
  <w:style w:type="character" w:customStyle="1" w:styleId="BodyText3Char">
    <w:name w:val="Body Text 3 Char"/>
    <w:basedOn w:val="DefaultParagraphFont"/>
    <w:link w:val="BodyText3"/>
    <w:uiPriority w:val="99"/>
    <w:semiHidden/>
    <w:rsid w:val="001D5FB2"/>
    <w:rPr>
      <w:rFonts w:ascii="Times New Roman" w:eastAsia="Times New Roman" w:hAnsi="Times New Roman" w:cs="Times New Roman"/>
      <w:sz w:val="16"/>
      <w:szCs w:val="16"/>
    </w:rPr>
  </w:style>
  <w:style w:type="character" w:styleId="Strong">
    <w:name w:val="Strong"/>
    <w:basedOn w:val="DefaultParagraphFont"/>
    <w:uiPriority w:val="22"/>
    <w:qFormat/>
    <w:rsid w:val="00BE5AC4"/>
    <w:rPr>
      <w:b/>
      <w:bCs/>
    </w:rPr>
  </w:style>
  <w:style w:type="paragraph" w:customStyle="1" w:styleId="kuvionotsikko">
    <w:name w:val="kuvion otsikko"/>
    <w:basedOn w:val="Normal"/>
    <w:next w:val="Normal"/>
    <w:link w:val="kuvionotsikkoChar"/>
    <w:rsid w:val="002A62C5"/>
    <w:pPr>
      <w:keepLines/>
      <w:spacing w:before="240" w:after="360" w:line="360" w:lineRule="atLeast"/>
      <w:ind w:left="1418" w:hanging="1418"/>
    </w:pPr>
    <w:rPr>
      <w:bCs/>
      <w:szCs w:val="20"/>
      <w:lang w:val="fi-FI"/>
    </w:rPr>
  </w:style>
  <w:style w:type="character" w:customStyle="1" w:styleId="kuvionotsikkoChar">
    <w:name w:val="kuvion otsikko Char"/>
    <w:basedOn w:val="DefaultParagraphFont"/>
    <w:link w:val="kuvionotsikko"/>
    <w:rsid w:val="002A62C5"/>
    <w:rPr>
      <w:rFonts w:ascii="Times New Roman" w:eastAsia="Times New Roman" w:hAnsi="Times New Roman" w:cs="Times New Roman"/>
      <w:bCs/>
      <w:sz w:val="24"/>
      <w:szCs w:val="20"/>
      <w:lang w:val="fi-FI"/>
    </w:rPr>
  </w:style>
  <w:style w:type="paragraph" w:customStyle="1" w:styleId="luettelo">
    <w:name w:val="luettelo"/>
    <w:basedOn w:val="Normal"/>
    <w:rsid w:val="00915352"/>
    <w:pPr>
      <w:numPr>
        <w:numId w:val="5"/>
      </w:numPr>
      <w:spacing w:line="360" w:lineRule="atLeast"/>
      <w:jc w:val="both"/>
    </w:pPr>
    <w:rPr>
      <w:szCs w:val="20"/>
      <w:lang w:val="fi-FI"/>
    </w:rPr>
  </w:style>
  <w:style w:type="character" w:customStyle="1" w:styleId="shorttext">
    <w:name w:val="short_text"/>
    <w:basedOn w:val="DefaultParagraphFont"/>
    <w:rsid w:val="005C60F0"/>
  </w:style>
  <w:style w:type="paragraph" w:customStyle="1" w:styleId="newncpi">
    <w:name w:val="newncpi"/>
    <w:basedOn w:val="Normal"/>
    <w:rsid w:val="003805D1"/>
    <w:pPr>
      <w:ind w:firstLine="567"/>
      <w:jc w:val="both"/>
    </w:pPr>
  </w:style>
  <w:style w:type="paragraph" w:customStyle="1" w:styleId="NormalNumbered">
    <w:name w:val="Normal Numbered"/>
    <w:basedOn w:val="Normal"/>
    <w:rsid w:val="003805D1"/>
    <w:pPr>
      <w:tabs>
        <w:tab w:val="num" w:pos="720"/>
      </w:tabs>
      <w:spacing w:after="240"/>
      <w:ind w:left="720" w:hanging="720"/>
      <w:jc w:val="both"/>
      <w:outlineLvl w:val="1"/>
    </w:pPr>
  </w:style>
  <w:style w:type="paragraph" w:styleId="TOC2">
    <w:name w:val="toc 2"/>
    <w:basedOn w:val="Normal"/>
    <w:next w:val="Normal"/>
    <w:autoRedefine/>
    <w:uiPriority w:val="39"/>
    <w:unhideWhenUsed/>
    <w:rsid w:val="00D27B52"/>
    <w:pPr>
      <w:spacing w:after="100"/>
      <w:ind w:left="240"/>
    </w:pPr>
  </w:style>
  <w:style w:type="character" w:styleId="Emphasis">
    <w:name w:val="Emphasis"/>
    <w:basedOn w:val="DefaultParagraphFont"/>
    <w:uiPriority w:val="20"/>
    <w:qFormat/>
    <w:rsid w:val="007D2E99"/>
    <w:rPr>
      <w:b/>
      <w:bCs/>
      <w:i w:val="0"/>
      <w:iCs w:val="0"/>
    </w:rPr>
  </w:style>
  <w:style w:type="paragraph" w:customStyle="1" w:styleId="taulu">
    <w:name w:val="taulu"/>
    <w:basedOn w:val="Normal"/>
    <w:rsid w:val="004B33E8"/>
    <w:pPr>
      <w:keepNext/>
      <w:keepLines/>
    </w:pPr>
    <w:rPr>
      <w:szCs w:val="20"/>
      <w:lang w:val="fi-FI"/>
    </w:rPr>
  </w:style>
  <w:style w:type="paragraph" w:customStyle="1" w:styleId="kuvio">
    <w:name w:val="kuvio"/>
    <w:basedOn w:val="Normal"/>
    <w:next w:val="kuvionotsikko"/>
    <w:rsid w:val="004B33E8"/>
    <w:pPr>
      <w:keepNext/>
      <w:spacing w:before="360" w:line="240" w:lineRule="atLeast"/>
      <w:jc w:val="both"/>
    </w:pPr>
    <w:rPr>
      <w:szCs w:val="20"/>
      <w:lang w:val="fi-FI"/>
    </w:rPr>
  </w:style>
  <w:style w:type="character" w:styleId="CommentReference">
    <w:name w:val="annotation reference"/>
    <w:basedOn w:val="DefaultParagraphFont"/>
    <w:uiPriority w:val="99"/>
    <w:semiHidden/>
    <w:unhideWhenUsed/>
    <w:rsid w:val="00504FBB"/>
    <w:rPr>
      <w:sz w:val="16"/>
      <w:szCs w:val="16"/>
    </w:rPr>
  </w:style>
  <w:style w:type="paragraph" w:styleId="CommentText">
    <w:name w:val="annotation text"/>
    <w:basedOn w:val="Normal"/>
    <w:link w:val="CommentTextChar"/>
    <w:uiPriority w:val="99"/>
    <w:semiHidden/>
    <w:unhideWhenUsed/>
    <w:rsid w:val="00504FBB"/>
    <w:rPr>
      <w:sz w:val="20"/>
      <w:szCs w:val="20"/>
    </w:rPr>
  </w:style>
  <w:style w:type="character" w:customStyle="1" w:styleId="CommentTextChar">
    <w:name w:val="Comment Text Char"/>
    <w:basedOn w:val="DefaultParagraphFont"/>
    <w:link w:val="CommentText"/>
    <w:uiPriority w:val="99"/>
    <w:semiHidden/>
    <w:rsid w:val="00504FBB"/>
    <w:rPr>
      <w:rFonts w:ascii="Times New Roman" w:eastAsia="Times New Roman" w:hAnsi="Times New Roman" w:cs="Times New Roman"/>
      <w:sz w:val="20"/>
      <w:szCs w:val="20"/>
    </w:rPr>
  </w:style>
  <w:style w:type="table" w:customStyle="1" w:styleId="LightShading1">
    <w:name w:val="Light Shading1"/>
    <w:basedOn w:val="TableNormal"/>
    <w:uiPriority w:val="60"/>
    <w:rsid w:val="0063478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ableofFigures">
    <w:name w:val="table of figures"/>
    <w:basedOn w:val="Normal"/>
    <w:next w:val="Normal"/>
    <w:uiPriority w:val="99"/>
    <w:unhideWhenUsed/>
    <w:rsid w:val="00FA4DAC"/>
  </w:style>
  <w:style w:type="paragraph" w:customStyle="1" w:styleId="MainParanoChapter">
    <w:name w:val="Main Para no Chapter #"/>
    <w:basedOn w:val="Normal"/>
    <w:rsid w:val="0033567F"/>
    <w:pPr>
      <w:tabs>
        <w:tab w:val="num" w:pos="720"/>
      </w:tabs>
      <w:spacing w:after="240"/>
      <w:ind w:left="720" w:hanging="720"/>
      <w:outlineLvl w:val="1"/>
    </w:pPr>
  </w:style>
  <w:style w:type="paragraph" w:customStyle="1" w:styleId="lhdeluettelo">
    <w:name w:val="lähdeluettelo"/>
    <w:basedOn w:val="Normal"/>
    <w:rsid w:val="00062769"/>
    <w:pPr>
      <w:keepLines/>
      <w:spacing w:before="240" w:line="240" w:lineRule="atLeast"/>
      <w:ind w:left="1276" w:hanging="1276"/>
      <w:jc w:val="both"/>
    </w:pPr>
    <w:rPr>
      <w:szCs w:val="20"/>
      <w:lang w:val="en-GB"/>
    </w:rPr>
  </w:style>
  <w:style w:type="paragraph" w:customStyle="1" w:styleId="Style1">
    <w:name w:val="Style1"/>
    <w:basedOn w:val="Normal"/>
    <w:link w:val="Style1Char"/>
    <w:qFormat/>
    <w:rsid w:val="0048132C"/>
    <w:pPr>
      <w:tabs>
        <w:tab w:val="num" w:pos="0"/>
      </w:tabs>
      <w:spacing w:after="120"/>
      <w:jc w:val="both"/>
    </w:pPr>
    <w:rPr>
      <w:vertAlign w:val="superscript"/>
    </w:rPr>
  </w:style>
  <w:style w:type="paragraph" w:customStyle="1" w:styleId="Style2">
    <w:name w:val="Style2"/>
    <w:basedOn w:val="ListParagraph"/>
    <w:link w:val="Style2Char"/>
    <w:autoRedefine/>
    <w:qFormat/>
    <w:rsid w:val="00A63E59"/>
    <w:pPr>
      <w:numPr>
        <w:numId w:val="8"/>
      </w:numPr>
      <w:tabs>
        <w:tab w:val="clear" w:pos="450"/>
        <w:tab w:val="num" w:pos="0"/>
      </w:tabs>
      <w:spacing w:after="120" w:line="240" w:lineRule="auto"/>
      <w:ind w:left="0" w:firstLine="0"/>
      <w:contextualSpacing w:val="0"/>
      <w:jc w:val="both"/>
    </w:pPr>
    <w:rPr>
      <w:rFonts w:ascii="Times New Roman" w:hAnsi="Times New Roman"/>
      <w:bCs/>
      <w:color w:val="000000"/>
      <w:sz w:val="24"/>
    </w:rPr>
  </w:style>
  <w:style w:type="character" w:customStyle="1" w:styleId="Style1Char">
    <w:name w:val="Style1 Char"/>
    <w:basedOn w:val="DefaultParagraphFont"/>
    <w:link w:val="Style1"/>
    <w:rsid w:val="0048132C"/>
    <w:rPr>
      <w:rFonts w:ascii="Times New Roman" w:eastAsia="Times New Roman" w:hAnsi="Times New Roman" w:cs="Times New Roman"/>
      <w:sz w:val="24"/>
      <w:szCs w:val="24"/>
      <w:vertAlign w:val="superscript"/>
    </w:rPr>
  </w:style>
  <w:style w:type="paragraph" w:styleId="CommentSubject">
    <w:name w:val="annotation subject"/>
    <w:basedOn w:val="CommentText"/>
    <w:next w:val="CommentText"/>
    <w:link w:val="CommentSubjectChar"/>
    <w:uiPriority w:val="99"/>
    <w:semiHidden/>
    <w:unhideWhenUsed/>
    <w:rsid w:val="003643E0"/>
    <w:rPr>
      <w:b/>
      <w:bCs/>
    </w:rPr>
  </w:style>
  <w:style w:type="character" w:customStyle="1" w:styleId="ListParagraphChar">
    <w:name w:val="List Paragraph Char"/>
    <w:basedOn w:val="DefaultParagraphFont"/>
    <w:link w:val="ListParagraph"/>
    <w:uiPriority w:val="34"/>
    <w:rsid w:val="0048132C"/>
    <w:rPr>
      <w:rFonts w:ascii="Calibri" w:eastAsia="Calibri" w:hAnsi="Calibri" w:cs="Times New Roman"/>
    </w:rPr>
  </w:style>
  <w:style w:type="character" w:customStyle="1" w:styleId="Style2Char">
    <w:name w:val="Style2 Char"/>
    <w:basedOn w:val="ListParagraphChar"/>
    <w:link w:val="Style2"/>
    <w:rsid w:val="00A63E59"/>
    <w:rPr>
      <w:rFonts w:ascii="Times New Roman" w:hAnsi="Times New Roman"/>
      <w:bCs/>
      <w:color w:val="000000"/>
      <w:sz w:val="24"/>
    </w:rPr>
  </w:style>
  <w:style w:type="character" w:customStyle="1" w:styleId="CommentSubjectChar">
    <w:name w:val="Comment Subject Char"/>
    <w:basedOn w:val="CommentTextChar"/>
    <w:link w:val="CommentSubject"/>
    <w:uiPriority w:val="99"/>
    <w:semiHidden/>
    <w:rsid w:val="003643E0"/>
    <w:rPr>
      <w:b/>
      <w:bCs/>
    </w:rPr>
  </w:style>
  <w:style w:type="paragraph" w:styleId="NoSpacing">
    <w:name w:val="No Spacing"/>
    <w:uiPriority w:val="1"/>
    <w:qFormat/>
    <w:rsid w:val="00193EA8"/>
    <w:pPr>
      <w:spacing w:after="0" w:line="240" w:lineRule="auto"/>
    </w:pPr>
    <w:rPr>
      <w:rFonts w:ascii="Times New Roman" w:eastAsia="Times New Roman" w:hAnsi="Times New Roman" w:cs="Times New Roman"/>
      <w:sz w:val="24"/>
      <w:szCs w:val="24"/>
    </w:rPr>
  </w:style>
  <w:style w:type="paragraph" w:styleId="Revision">
    <w:name w:val="Revision"/>
    <w:hidden/>
    <w:uiPriority w:val="99"/>
    <w:semiHidden/>
    <w:rsid w:val="00426F36"/>
    <w:pPr>
      <w:spacing w:after="0" w:line="240" w:lineRule="auto"/>
    </w:pPr>
    <w:rPr>
      <w:rFonts w:ascii="Times New Roman" w:eastAsia="Times New Roman" w:hAnsi="Times New Roman" w:cs="Times New Roman"/>
      <w:sz w:val="24"/>
      <w:szCs w:val="24"/>
    </w:rPr>
  </w:style>
  <w:style w:type="paragraph" w:customStyle="1" w:styleId="Style5">
    <w:name w:val="Style5"/>
    <w:basedOn w:val="Style2"/>
    <w:link w:val="Style5Char"/>
    <w:qFormat/>
    <w:rsid w:val="00626B91"/>
    <w:rPr>
      <w:b/>
    </w:rPr>
  </w:style>
  <w:style w:type="paragraph" w:customStyle="1" w:styleId="Style3">
    <w:name w:val="Style3"/>
    <w:basedOn w:val="Normal"/>
    <w:link w:val="Style3Char"/>
    <w:qFormat/>
    <w:rsid w:val="00FC5575"/>
    <w:pPr>
      <w:numPr>
        <w:numId w:val="20"/>
      </w:numPr>
      <w:autoSpaceDE w:val="0"/>
      <w:autoSpaceDN w:val="0"/>
      <w:adjustRightInd w:val="0"/>
      <w:spacing w:after="120"/>
      <w:ind w:left="0" w:firstLine="0"/>
      <w:jc w:val="both"/>
    </w:pPr>
    <w:rPr>
      <w:b/>
    </w:rPr>
  </w:style>
  <w:style w:type="character" w:customStyle="1" w:styleId="Style5Char">
    <w:name w:val="Style5 Char"/>
    <w:basedOn w:val="Style2Char"/>
    <w:link w:val="Style5"/>
    <w:rsid w:val="00626B91"/>
    <w:rPr>
      <w:b/>
      <w:bCs/>
    </w:rPr>
  </w:style>
  <w:style w:type="character" w:customStyle="1" w:styleId="Style3Char">
    <w:name w:val="Style3 Char"/>
    <w:basedOn w:val="DefaultParagraphFont"/>
    <w:link w:val="Style3"/>
    <w:rsid w:val="00FC5575"/>
    <w:rPr>
      <w:rFonts w:ascii="Times New Roman" w:eastAsia="Times New Roman" w:hAnsi="Times New Roman" w:cs="Times New Roman"/>
      <w:b/>
      <w:sz w:val="24"/>
      <w:szCs w:val="24"/>
    </w:rPr>
  </w:style>
  <w:style w:type="paragraph" w:styleId="Title">
    <w:name w:val="Title"/>
    <w:basedOn w:val="Normal"/>
    <w:next w:val="Normal"/>
    <w:link w:val="TitleChar"/>
    <w:uiPriority w:val="10"/>
    <w:qFormat/>
    <w:rsid w:val="00490F8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90F8C"/>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r="http://schemas.openxmlformats.org/officeDocument/2006/relationships" xmlns:w="http://schemas.openxmlformats.org/wordprocessingml/2006/main">
  <w:divs>
    <w:div w:id="13042697">
      <w:bodyDiv w:val="1"/>
      <w:marLeft w:val="0"/>
      <w:marRight w:val="0"/>
      <w:marTop w:val="0"/>
      <w:marBottom w:val="0"/>
      <w:divBdr>
        <w:top w:val="none" w:sz="0" w:space="0" w:color="auto"/>
        <w:left w:val="none" w:sz="0" w:space="0" w:color="auto"/>
        <w:bottom w:val="none" w:sz="0" w:space="0" w:color="auto"/>
        <w:right w:val="none" w:sz="0" w:space="0" w:color="auto"/>
      </w:divBdr>
    </w:div>
    <w:div w:id="502937430">
      <w:bodyDiv w:val="1"/>
      <w:marLeft w:val="0"/>
      <w:marRight w:val="0"/>
      <w:marTop w:val="0"/>
      <w:marBottom w:val="0"/>
      <w:divBdr>
        <w:top w:val="none" w:sz="0" w:space="0" w:color="auto"/>
        <w:left w:val="none" w:sz="0" w:space="0" w:color="auto"/>
        <w:bottom w:val="none" w:sz="0" w:space="0" w:color="auto"/>
        <w:right w:val="none" w:sz="0" w:space="0" w:color="auto"/>
      </w:divBdr>
    </w:div>
    <w:div w:id="554853219">
      <w:bodyDiv w:val="1"/>
      <w:marLeft w:val="0"/>
      <w:marRight w:val="0"/>
      <w:marTop w:val="0"/>
      <w:marBottom w:val="0"/>
      <w:divBdr>
        <w:top w:val="none" w:sz="0" w:space="0" w:color="auto"/>
        <w:left w:val="none" w:sz="0" w:space="0" w:color="auto"/>
        <w:bottom w:val="none" w:sz="0" w:space="0" w:color="auto"/>
        <w:right w:val="none" w:sz="0" w:space="0" w:color="auto"/>
      </w:divBdr>
    </w:div>
    <w:div w:id="625476835">
      <w:bodyDiv w:val="1"/>
      <w:marLeft w:val="0"/>
      <w:marRight w:val="0"/>
      <w:marTop w:val="0"/>
      <w:marBottom w:val="0"/>
      <w:divBdr>
        <w:top w:val="none" w:sz="0" w:space="0" w:color="auto"/>
        <w:left w:val="none" w:sz="0" w:space="0" w:color="auto"/>
        <w:bottom w:val="none" w:sz="0" w:space="0" w:color="auto"/>
        <w:right w:val="none" w:sz="0" w:space="0" w:color="auto"/>
      </w:divBdr>
    </w:div>
    <w:div w:id="692656942">
      <w:bodyDiv w:val="1"/>
      <w:marLeft w:val="0"/>
      <w:marRight w:val="0"/>
      <w:marTop w:val="0"/>
      <w:marBottom w:val="0"/>
      <w:divBdr>
        <w:top w:val="none" w:sz="0" w:space="0" w:color="auto"/>
        <w:left w:val="none" w:sz="0" w:space="0" w:color="auto"/>
        <w:bottom w:val="none" w:sz="0" w:space="0" w:color="auto"/>
        <w:right w:val="none" w:sz="0" w:space="0" w:color="auto"/>
      </w:divBdr>
    </w:div>
    <w:div w:id="799614619">
      <w:bodyDiv w:val="1"/>
      <w:marLeft w:val="0"/>
      <w:marRight w:val="0"/>
      <w:marTop w:val="0"/>
      <w:marBottom w:val="0"/>
      <w:divBdr>
        <w:top w:val="none" w:sz="0" w:space="0" w:color="auto"/>
        <w:left w:val="none" w:sz="0" w:space="0" w:color="auto"/>
        <w:bottom w:val="none" w:sz="0" w:space="0" w:color="auto"/>
        <w:right w:val="none" w:sz="0" w:space="0" w:color="auto"/>
      </w:divBdr>
    </w:div>
    <w:div w:id="1014694806">
      <w:bodyDiv w:val="1"/>
      <w:marLeft w:val="0"/>
      <w:marRight w:val="0"/>
      <w:marTop w:val="0"/>
      <w:marBottom w:val="0"/>
      <w:divBdr>
        <w:top w:val="none" w:sz="0" w:space="0" w:color="auto"/>
        <w:left w:val="none" w:sz="0" w:space="0" w:color="auto"/>
        <w:bottom w:val="none" w:sz="0" w:space="0" w:color="auto"/>
        <w:right w:val="none" w:sz="0" w:space="0" w:color="auto"/>
      </w:divBdr>
    </w:div>
    <w:div w:id="1102653847">
      <w:bodyDiv w:val="1"/>
      <w:marLeft w:val="0"/>
      <w:marRight w:val="0"/>
      <w:marTop w:val="0"/>
      <w:marBottom w:val="0"/>
      <w:divBdr>
        <w:top w:val="none" w:sz="0" w:space="0" w:color="auto"/>
        <w:left w:val="none" w:sz="0" w:space="0" w:color="auto"/>
        <w:bottom w:val="none" w:sz="0" w:space="0" w:color="auto"/>
        <w:right w:val="none" w:sz="0" w:space="0" w:color="auto"/>
      </w:divBdr>
    </w:div>
    <w:div w:id="1116216487">
      <w:bodyDiv w:val="1"/>
      <w:marLeft w:val="0"/>
      <w:marRight w:val="0"/>
      <w:marTop w:val="0"/>
      <w:marBottom w:val="0"/>
      <w:divBdr>
        <w:top w:val="none" w:sz="0" w:space="0" w:color="auto"/>
        <w:left w:val="none" w:sz="0" w:space="0" w:color="auto"/>
        <w:bottom w:val="none" w:sz="0" w:space="0" w:color="auto"/>
        <w:right w:val="none" w:sz="0" w:space="0" w:color="auto"/>
      </w:divBdr>
    </w:div>
    <w:div w:id="1222054977">
      <w:bodyDiv w:val="1"/>
      <w:marLeft w:val="0"/>
      <w:marRight w:val="0"/>
      <w:marTop w:val="0"/>
      <w:marBottom w:val="0"/>
      <w:divBdr>
        <w:top w:val="none" w:sz="0" w:space="0" w:color="auto"/>
        <w:left w:val="none" w:sz="0" w:space="0" w:color="auto"/>
        <w:bottom w:val="none" w:sz="0" w:space="0" w:color="auto"/>
        <w:right w:val="none" w:sz="0" w:space="0" w:color="auto"/>
      </w:divBdr>
    </w:div>
    <w:div w:id="1314599910">
      <w:bodyDiv w:val="1"/>
      <w:marLeft w:val="0"/>
      <w:marRight w:val="0"/>
      <w:marTop w:val="0"/>
      <w:marBottom w:val="0"/>
      <w:divBdr>
        <w:top w:val="none" w:sz="0" w:space="0" w:color="auto"/>
        <w:left w:val="none" w:sz="0" w:space="0" w:color="auto"/>
        <w:bottom w:val="none" w:sz="0" w:space="0" w:color="auto"/>
        <w:right w:val="none" w:sz="0" w:space="0" w:color="auto"/>
      </w:divBdr>
    </w:div>
    <w:div w:id="1597982582">
      <w:bodyDiv w:val="1"/>
      <w:marLeft w:val="0"/>
      <w:marRight w:val="0"/>
      <w:marTop w:val="0"/>
      <w:marBottom w:val="0"/>
      <w:divBdr>
        <w:top w:val="none" w:sz="0" w:space="0" w:color="auto"/>
        <w:left w:val="none" w:sz="0" w:space="0" w:color="auto"/>
        <w:bottom w:val="none" w:sz="0" w:space="0" w:color="auto"/>
        <w:right w:val="none" w:sz="0" w:space="0" w:color="auto"/>
      </w:divBdr>
    </w:div>
    <w:div w:id="1676960210">
      <w:bodyDiv w:val="1"/>
      <w:marLeft w:val="0"/>
      <w:marRight w:val="0"/>
      <w:marTop w:val="0"/>
      <w:marBottom w:val="0"/>
      <w:divBdr>
        <w:top w:val="none" w:sz="0" w:space="0" w:color="auto"/>
        <w:left w:val="none" w:sz="0" w:space="0" w:color="auto"/>
        <w:bottom w:val="none" w:sz="0" w:space="0" w:color="auto"/>
        <w:right w:val="none" w:sz="0" w:space="0" w:color="auto"/>
      </w:divBdr>
    </w:div>
    <w:div w:id="1934195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1.png"/><Relationship Id="rId26" Type="http://schemas.openxmlformats.org/officeDocument/2006/relationships/chart" Target="charts/chart11.xml"/><Relationship Id="rId39" Type="http://schemas.openxmlformats.org/officeDocument/2006/relationships/image" Target="media/image4.png"/><Relationship Id="rId21" Type="http://schemas.openxmlformats.org/officeDocument/2006/relationships/chart" Target="charts/chart7.xml"/><Relationship Id="rId34" Type="http://schemas.openxmlformats.org/officeDocument/2006/relationships/chart" Target="charts/chart16.xml"/><Relationship Id="rId42" Type="http://schemas.openxmlformats.org/officeDocument/2006/relationships/chart" Target="charts/chart22.xml"/><Relationship Id="rId47" Type="http://schemas.openxmlformats.org/officeDocument/2006/relationships/chart" Target="charts/chart25.xml"/><Relationship Id="rId50" Type="http://schemas.openxmlformats.org/officeDocument/2006/relationships/chart" Target="charts/chart28.xml"/><Relationship Id="rId55" Type="http://schemas.openxmlformats.org/officeDocument/2006/relationships/chart" Target="charts/chart33.xml"/><Relationship Id="rId63" Type="http://schemas.openxmlformats.org/officeDocument/2006/relationships/chart" Target="charts/chart39.xml"/><Relationship Id="rId68" Type="http://schemas.openxmlformats.org/officeDocument/2006/relationships/image" Target="media/image12.emf"/><Relationship Id="rId76" Type="http://schemas.openxmlformats.org/officeDocument/2006/relationships/hyperlink" Target="http://www.imf.org/external/datamapper/index.php" TargetMode="External"/><Relationship Id="rId7" Type="http://schemas.openxmlformats.org/officeDocument/2006/relationships/endnotes" Target="endnotes.xml"/><Relationship Id="rId71"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image" Target="media/image2.emf"/><Relationship Id="rId11" Type="http://schemas.openxmlformats.org/officeDocument/2006/relationships/footer" Target="footer2.xml"/><Relationship Id="rId24" Type="http://schemas.openxmlformats.org/officeDocument/2006/relationships/chart" Target="charts/chart10.xml"/><Relationship Id="rId32" Type="http://schemas.openxmlformats.org/officeDocument/2006/relationships/chart" Target="charts/chart14.xml"/><Relationship Id="rId37" Type="http://schemas.openxmlformats.org/officeDocument/2006/relationships/chart" Target="charts/chart19.xml"/><Relationship Id="rId40" Type="http://schemas.openxmlformats.org/officeDocument/2006/relationships/chart" Target="charts/chart20.xml"/><Relationship Id="rId45" Type="http://schemas.openxmlformats.org/officeDocument/2006/relationships/image" Target="media/image6.emf"/><Relationship Id="rId53" Type="http://schemas.openxmlformats.org/officeDocument/2006/relationships/chart" Target="charts/chart31.xml"/><Relationship Id="rId58" Type="http://schemas.openxmlformats.org/officeDocument/2006/relationships/chart" Target="charts/chart36.xml"/><Relationship Id="rId66" Type="http://schemas.openxmlformats.org/officeDocument/2006/relationships/image" Target="media/image10.emf"/><Relationship Id="rId74" Type="http://schemas.openxmlformats.org/officeDocument/2006/relationships/chart" Target="charts/chart41.xm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7.emf"/><Relationship Id="rId10" Type="http://schemas.openxmlformats.org/officeDocument/2006/relationships/footer" Target="footer1.xml"/><Relationship Id="rId19" Type="http://schemas.openxmlformats.org/officeDocument/2006/relationships/chart" Target="charts/chart5.xml"/><Relationship Id="rId31" Type="http://schemas.openxmlformats.org/officeDocument/2006/relationships/chart" Target="charts/chart13.xml"/><Relationship Id="rId44" Type="http://schemas.openxmlformats.org/officeDocument/2006/relationships/image" Target="media/image5.emf"/><Relationship Id="rId52" Type="http://schemas.openxmlformats.org/officeDocument/2006/relationships/chart" Target="charts/chart30.xml"/><Relationship Id="rId60" Type="http://schemas.openxmlformats.org/officeDocument/2006/relationships/chart" Target="charts/chart38.xml"/><Relationship Id="rId65" Type="http://schemas.openxmlformats.org/officeDocument/2006/relationships/image" Target="media/image9.emf"/><Relationship Id="rId73" Type="http://schemas.openxmlformats.org/officeDocument/2006/relationships/image" Target="media/image15.emf"/><Relationship Id="rId78" Type="http://schemas.openxmlformats.org/officeDocument/2006/relationships/hyperlink" Target="http://www.worldbank.org/lpi"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hart" Target="charts/chart1.xml"/><Relationship Id="rId22" Type="http://schemas.openxmlformats.org/officeDocument/2006/relationships/chart" Target="charts/chart8.xml"/><Relationship Id="rId27" Type="http://schemas.openxmlformats.org/officeDocument/2006/relationships/chart" Target="charts/chart12.xml"/><Relationship Id="rId30" Type="http://schemas.openxmlformats.org/officeDocument/2006/relationships/oleObject" Target="embeddings/oleObject1.bin"/><Relationship Id="rId35" Type="http://schemas.openxmlformats.org/officeDocument/2006/relationships/chart" Target="charts/chart17.xml"/><Relationship Id="rId43" Type="http://schemas.openxmlformats.org/officeDocument/2006/relationships/chart" Target="charts/chart23.xml"/><Relationship Id="rId48" Type="http://schemas.openxmlformats.org/officeDocument/2006/relationships/chart" Target="charts/chart26.xml"/><Relationship Id="rId56" Type="http://schemas.openxmlformats.org/officeDocument/2006/relationships/chart" Target="charts/chart34.xml"/><Relationship Id="rId64" Type="http://schemas.openxmlformats.org/officeDocument/2006/relationships/image" Target="media/image8.emf"/><Relationship Id="rId69" Type="http://schemas.openxmlformats.org/officeDocument/2006/relationships/hyperlink" Target="http://www.weforum.org" TargetMode="External"/><Relationship Id="rId77" Type="http://schemas.openxmlformats.org/officeDocument/2006/relationships/hyperlink" Target="http://www.iea.org/co2highlights/co2highlights.pdf" TargetMode="External"/><Relationship Id="rId8" Type="http://schemas.openxmlformats.org/officeDocument/2006/relationships/header" Target="header1.xml"/><Relationship Id="rId51" Type="http://schemas.openxmlformats.org/officeDocument/2006/relationships/chart" Target="charts/chart29.xml"/><Relationship Id="rId72" Type="http://schemas.openxmlformats.org/officeDocument/2006/relationships/chart" Target="charts/chart40.xm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chart" Target="charts/chart4.xml"/><Relationship Id="rId25" Type="http://schemas.openxmlformats.org/officeDocument/2006/relationships/hyperlink" Target="http://www.worldbank.org/lpi" TargetMode="External"/><Relationship Id="rId33" Type="http://schemas.openxmlformats.org/officeDocument/2006/relationships/chart" Target="charts/chart15.xml"/><Relationship Id="rId38" Type="http://schemas.openxmlformats.org/officeDocument/2006/relationships/image" Target="media/image3.jpeg"/><Relationship Id="rId46" Type="http://schemas.openxmlformats.org/officeDocument/2006/relationships/chart" Target="charts/chart24.xml"/><Relationship Id="rId59" Type="http://schemas.openxmlformats.org/officeDocument/2006/relationships/chart" Target="charts/chart37.xml"/><Relationship Id="rId67" Type="http://schemas.openxmlformats.org/officeDocument/2006/relationships/image" Target="media/image11.emf"/><Relationship Id="rId20" Type="http://schemas.openxmlformats.org/officeDocument/2006/relationships/chart" Target="charts/chart6.xml"/><Relationship Id="rId41" Type="http://schemas.openxmlformats.org/officeDocument/2006/relationships/chart" Target="charts/chart21.xml"/><Relationship Id="rId54" Type="http://schemas.openxmlformats.org/officeDocument/2006/relationships/chart" Target="charts/chart32.xml"/><Relationship Id="rId62" Type="http://schemas.openxmlformats.org/officeDocument/2006/relationships/oleObject" Target="embeddings/oleObject2.bin"/><Relationship Id="rId70" Type="http://schemas.openxmlformats.org/officeDocument/2006/relationships/image" Target="media/image13.emf"/><Relationship Id="rId75"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chart" Target="charts/chart9.xml"/><Relationship Id="rId28" Type="http://schemas.openxmlformats.org/officeDocument/2006/relationships/hyperlink" Target="http://www.worldbank.org/lpi" TargetMode="External"/><Relationship Id="rId36" Type="http://schemas.openxmlformats.org/officeDocument/2006/relationships/chart" Target="charts/chart18.xml"/><Relationship Id="rId49" Type="http://schemas.openxmlformats.org/officeDocument/2006/relationships/chart" Target="charts/chart27.xml"/><Relationship Id="rId57" Type="http://schemas.openxmlformats.org/officeDocument/2006/relationships/chart" Target="charts/chart35.xml"/></Relationships>
</file>

<file path=word/_rels/footnotes.xml.rels><?xml version="1.0" encoding="UTF-8" standalone="yes"?>
<Relationships xmlns="http://schemas.openxmlformats.org/package/2006/relationships"><Relationship Id="rId2" Type="http://schemas.openxmlformats.org/officeDocument/2006/relationships/hyperlink" Target="http://www.eea.europa.eu/publications/eea_report_2006_3" TargetMode="External"/><Relationship Id="rId1" Type="http://schemas.openxmlformats.org/officeDocument/2006/relationships/hyperlink" Target="http://www.unece.org/env/europe/monitoring/EECCA_CSI/EECCA%20CSI%20_Eng/EECCA%20CSI%2030_freight%20transport%20demand_eng.doc"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wb232649\Cordula%20Rastogi\Desktop\Belarus%20Transport%20Policy%20Table%20and%20Figure%20of%20Report%20.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wb232649\Cordula%20Rastogi\Desktop\Belarus%20Transport%20Policy%20Table%20and%20Figure%20of%20Report%20.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wb232649\Cordula%20Rastogi\Desktop\Belarus%20Transport%20Policy%20Table%20and%20Figure%20of%20Report%20.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wb232649\Cordula%20Rastogi\Desktop\Belarus%20Transport%20Policy%20Table%20and%20Figure%20of%20Report%20.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wb232649\Cordula%20Rastogi\Desktop\Belarus%20Transport%20Policy%20Table%20and%20Figure%20of%20Report%20.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wb232649\Cordula%20Rastogi\Desktop\Belarus%20Transport%20Policy%20Table%20and%20Figure%20of%20Report%20.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wb232649\Cordula%20Rastogi\Desktop\Belarus%20Transport%20Policy%20Table%20and%20Figure%20of%20Report%20.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wb232649\Cordula%20Rastogi\Desktop\Belarus%20Transport%20Policy%20Table%20and%20Figure%20of%20Report%20.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wb172816\Documents\Nichi\Railways%20Belarus\Policy%20Paper\Date%20Statisitice\Statistics\Statistics%20Belarus%20Railway.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wb172816\Documents\Nichi\Railways%20Belarus\Policy%20Paper\Date%20Statisitice\Statistics\Statistics%20Belarus%20Railway.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wb232649\Cordula%20Rastogi\Desktop\Belarus%20Transport%20Policy%20Table%20and%20Figure%20of%20Report%20.xlsx" TargetMode="External"/></Relationships>
</file>

<file path=word/charts/_rels/chart20.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wb232649\Cordula%20Rastogi\Desktop\Belarus%20Transport%20Policy%20Table%20and%20Figure%20of%20Report%20.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wb232649\Cordula%20Rastogi\Desktop\Belarus%20Transport%20Policy%20Table%20and%20Figure%20of%20Report%20.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wb351127\AppData\Local\Temp\notesC768E2\Belarus%20Roads&amp;Rail%20Data%20Request%20RESPONSE%20JPS%20edits%2015FEB10.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wb232649\Cordula%20Rastogi\Desktop\Belarus%20Transport%20Policy%20Table%20and%20Figure%20of%20Report%20.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wb333239\Documents\Belarus\Belarus%20Transport%20Policy%20Note\Belarus%20Roads&amp;Rail%20Data%20Request%20RESPONSE%20JPS%20edits%2027MAY10.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wb232649\Cordula%20Rastogi\Desktop\Belarus%20Transport%20Policy%20Table%20and%20Figure%20of%20Report%20.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wb232649\Cordula%20Rastogi\Desktop\Belarus%20Transport%20Policy%20Table%20and%20Figure%20of%20Report%20.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wb232649\Cordula%20Rastogi\Desktop\Belarus%20Transport%20Policy%20Table%20and%20Figure%20of%20Report%20.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wb232649\Cordula%20Rastogi\Desktop\Belarus%20Transport%20Policy%20Table%20and%20Figure%20of%20Report%20.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wb232649\Cordula%20Rastogi\Desktop\Belarus%20Transport%20Policy%20Table%20and%20Figure%20of%20Report%2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wb232649\Cordula%20Rastogi\Desktop\Belarus%20Transport%20Policy%20Table%20and%20Figure%20of%20Report%20.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wb172816\Documents\Nichi\Railways%20Belarus\Policy%20Paper\Date%20Statisitice\Statistics\Statistics%20Belarus%20Railway.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wb172816\Documents\Nichi\Railways%20Poland\Policy%20Paper\Statistics\Statistic_data_Poland.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wb172816\Documents\Nichi\Railways%20Belarus\Policy%20Paper\Date%20Statisitice\Statistics\Statistics%20Belarus%20Railway.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wb232649\Cordula%20Rastogi\Desktop\Belarus%20Transport%20Policy%20Table%20and%20Figure%20of%20Report%20.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wb232649\Cordula%20Rastogi\Desktop\Belarus%20Transport%20Policy%20Table%20and%20Figure%20of%20Report%20.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wb232649\Cordula%20Rastogi\Desktop\Belarus%20Transport%20Policy%20Table%20and%20Figure%20of%20Report%20.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wb172816\Documents\Nichi\Railways%20Belarus\Policy%20Paper\Date%20Statisitice\Statistics\Statistics%20Belarus%20Railway.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wb232649\Cordula%20Rastogi\Desktop\Belarus%20Transport%20Policy%20Table%20and%20Figure%20of%20Report%20.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Users\wb232649\AppData\Local\Temp\notes14AF53\Statistics%20Belarus%20Railway.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Users\wb232649\Cordula%20Rastogi\Desktop\Belarus%20Transport%20Policy%20Table%20and%20Figure%20of%20Report%2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wb232649\Cordula%20Rastogi\Desktop\Belarus%20Transport%20Policy%20Table%20and%20Figure%20of%20Report%20.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C:\Users\wb232649\AppData\Local\Temp\notes14AF53\BY_traffic%20forecast%20(4).xls"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C:\Users\wb232649\AppData\Local\Temp\notes14AF53\BY_traffic%20forecast%20(4).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wb232649\Cordula%20Rastogi\Desktop\Belarus%20Transport%20Policy%20Table%20and%20Figure%20of%20Report%2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wb232649\Cordula%20Rastogi\Desktop\Belarus%20Transport%20Policy%20Table%20and%20Figure%20of%20Report%2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wb232649\Cordula%20Rastogi\Desktop\Belarus%20Transport%20Policy%20Table%20and%20Figure%20of%20Report%20.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wb232649\Cordula%20Rastogi\Desktop\Belarus%20Transport%20Policy%20Table%20and%20Figure%20of%20Report%20.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wb232649\Cordula%20Rastogi\Desktop\Belarus%20Transport%20Policy%20Table%20and%20Figure%20of%20Report%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1843285214348313"/>
          <c:y val="5.1400554097404488E-2"/>
          <c:w val="0.8356601049868766"/>
          <c:h val="0.65470654709829224"/>
        </c:manualLayout>
      </c:layout>
      <c:barChart>
        <c:barDir val="col"/>
        <c:grouping val="percentStacked"/>
        <c:ser>
          <c:idx val="0"/>
          <c:order val="0"/>
          <c:tx>
            <c:strRef>
              <c:f>Sheet1!$D$5</c:f>
              <c:strCache>
                <c:ptCount val="1"/>
                <c:pt idx="0">
                  <c:v>Industry</c:v>
                </c:pt>
              </c:strCache>
            </c:strRef>
          </c:tx>
          <c:cat>
            <c:numRef>
              <c:f>Sheet1!$B$6:$B$10</c:f>
              <c:numCache>
                <c:formatCode>General</c:formatCode>
                <c:ptCount val="5"/>
                <c:pt idx="0">
                  <c:v>2000</c:v>
                </c:pt>
                <c:pt idx="1">
                  <c:v>2005</c:v>
                </c:pt>
                <c:pt idx="2">
                  <c:v>2006</c:v>
                </c:pt>
                <c:pt idx="3">
                  <c:v>2007</c:v>
                </c:pt>
                <c:pt idx="4">
                  <c:v>2008</c:v>
                </c:pt>
              </c:numCache>
            </c:numRef>
          </c:cat>
          <c:val>
            <c:numRef>
              <c:f>Sheet1!$D$6:$D$10</c:f>
              <c:numCache>
                <c:formatCode>General</c:formatCode>
                <c:ptCount val="5"/>
                <c:pt idx="0">
                  <c:v>26.5</c:v>
                </c:pt>
                <c:pt idx="1">
                  <c:v>28.4</c:v>
                </c:pt>
                <c:pt idx="2">
                  <c:v>28.1</c:v>
                </c:pt>
                <c:pt idx="3">
                  <c:v>27.1</c:v>
                </c:pt>
                <c:pt idx="4">
                  <c:v>28.1</c:v>
                </c:pt>
              </c:numCache>
            </c:numRef>
          </c:val>
        </c:ser>
        <c:ser>
          <c:idx val="1"/>
          <c:order val="1"/>
          <c:tx>
            <c:strRef>
              <c:f>Sheet1!$E$5</c:f>
              <c:strCache>
                <c:ptCount val="1"/>
                <c:pt idx="0">
                  <c:v>Agriculture</c:v>
                </c:pt>
              </c:strCache>
            </c:strRef>
          </c:tx>
          <c:cat>
            <c:numRef>
              <c:f>Sheet1!$B$6:$B$10</c:f>
              <c:numCache>
                <c:formatCode>General</c:formatCode>
                <c:ptCount val="5"/>
                <c:pt idx="0">
                  <c:v>2000</c:v>
                </c:pt>
                <c:pt idx="1">
                  <c:v>2005</c:v>
                </c:pt>
                <c:pt idx="2">
                  <c:v>2006</c:v>
                </c:pt>
                <c:pt idx="3">
                  <c:v>2007</c:v>
                </c:pt>
                <c:pt idx="4">
                  <c:v>2008</c:v>
                </c:pt>
              </c:numCache>
            </c:numRef>
          </c:cat>
          <c:val>
            <c:numRef>
              <c:f>Sheet1!$E$6:$E$10</c:f>
              <c:numCache>
                <c:formatCode>General</c:formatCode>
                <c:ptCount val="5"/>
                <c:pt idx="0">
                  <c:v>11.6</c:v>
                </c:pt>
                <c:pt idx="1">
                  <c:v>7.9</c:v>
                </c:pt>
                <c:pt idx="2">
                  <c:v>7.9</c:v>
                </c:pt>
                <c:pt idx="3">
                  <c:v>7.5</c:v>
                </c:pt>
                <c:pt idx="4">
                  <c:v>8.4</c:v>
                </c:pt>
              </c:numCache>
            </c:numRef>
          </c:val>
        </c:ser>
        <c:ser>
          <c:idx val="2"/>
          <c:order val="2"/>
          <c:tx>
            <c:strRef>
              <c:f>Sheet1!$F$5</c:f>
              <c:strCache>
                <c:ptCount val="1"/>
                <c:pt idx="0">
                  <c:v>Construction</c:v>
                </c:pt>
              </c:strCache>
            </c:strRef>
          </c:tx>
          <c:cat>
            <c:numRef>
              <c:f>Sheet1!$B$6:$B$10</c:f>
              <c:numCache>
                <c:formatCode>General</c:formatCode>
                <c:ptCount val="5"/>
                <c:pt idx="0">
                  <c:v>2000</c:v>
                </c:pt>
                <c:pt idx="1">
                  <c:v>2005</c:v>
                </c:pt>
                <c:pt idx="2">
                  <c:v>2006</c:v>
                </c:pt>
                <c:pt idx="3">
                  <c:v>2007</c:v>
                </c:pt>
                <c:pt idx="4">
                  <c:v>2008</c:v>
                </c:pt>
              </c:numCache>
            </c:numRef>
          </c:cat>
          <c:val>
            <c:numRef>
              <c:f>Sheet1!$F$6:$F$10</c:f>
              <c:numCache>
                <c:formatCode>General</c:formatCode>
                <c:ptCount val="5"/>
                <c:pt idx="0">
                  <c:v>6.4</c:v>
                </c:pt>
                <c:pt idx="1">
                  <c:v>6.9</c:v>
                </c:pt>
                <c:pt idx="2">
                  <c:v>8</c:v>
                </c:pt>
                <c:pt idx="3">
                  <c:v>8.5</c:v>
                </c:pt>
                <c:pt idx="4">
                  <c:v>9.4</c:v>
                </c:pt>
              </c:numCache>
            </c:numRef>
          </c:val>
        </c:ser>
        <c:ser>
          <c:idx val="3"/>
          <c:order val="3"/>
          <c:tx>
            <c:strRef>
              <c:f>Sheet1!$G$5</c:f>
              <c:strCache>
                <c:ptCount val="1"/>
                <c:pt idx="0">
                  <c:v>Transport</c:v>
                </c:pt>
              </c:strCache>
            </c:strRef>
          </c:tx>
          <c:cat>
            <c:numRef>
              <c:f>Sheet1!$B$6:$B$10</c:f>
              <c:numCache>
                <c:formatCode>General</c:formatCode>
                <c:ptCount val="5"/>
                <c:pt idx="0">
                  <c:v>2000</c:v>
                </c:pt>
                <c:pt idx="1">
                  <c:v>2005</c:v>
                </c:pt>
                <c:pt idx="2">
                  <c:v>2006</c:v>
                </c:pt>
                <c:pt idx="3">
                  <c:v>2007</c:v>
                </c:pt>
                <c:pt idx="4">
                  <c:v>2008</c:v>
                </c:pt>
              </c:numCache>
            </c:numRef>
          </c:cat>
          <c:val>
            <c:numRef>
              <c:f>Sheet1!$G$6:$G$10</c:f>
              <c:numCache>
                <c:formatCode>General</c:formatCode>
                <c:ptCount val="5"/>
                <c:pt idx="0">
                  <c:v>9.5</c:v>
                </c:pt>
                <c:pt idx="1">
                  <c:v>7.4</c:v>
                </c:pt>
                <c:pt idx="2">
                  <c:v>7.1</c:v>
                </c:pt>
                <c:pt idx="3">
                  <c:v>7.2</c:v>
                </c:pt>
                <c:pt idx="4">
                  <c:v>6</c:v>
                </c:pt>
              </c:numCache>
            </c:numRef>
          </c:val>
        </c:ser>
        <c:ser>
          <c:idx val="4"/>
          <c:order val="4"/>
          <c:tx>
            <c:strRef>
              <c:f>Sheet1!$H$5</c:f>
              <c:strCache>
                <c:ptCount val="1"/>
                <c:pt idx="0">
                  <c:v>Communications</c:v>
                </c:pt>
              </c:strCache>
            </c:strRef>
          </c:tx>
          <c:cat>
            <c:numRef>
              <c:f>Sheet1!$B$6:$B$10</c:f>
              <c:numCache>
                <c:formatCode>General</c:formatCode>
                <c:ptCount val="5"/>
                <c:pt idx="0">
                  <c:v>2000</c:v>
                </c:pt>
                <c:pt idx="1">
                  <c:v>2005</c:v>
                </c:pt>
                <c:pt idx="2">
                  <c:v>2006</c:v>
                </c:pt>
                <c:pt idx="3">
                  <c:v>2007</c:v>
                </c:pt>
                <c:pt idx="4">
                  <c:v>2008</c:v>
                </c:pt>
              </c:numCache>
            </c:numRef>
          </c:cat>
          <c:val>
            <c:numRef>
              <c:f>Sheet1!$H$6:$H$10</c:f>
              <c:numCache>
                <c:formatCode>General</c:formatCode>
                <c:ptCount val="5"/>
                <c:pt idx="0">
                  <c:v>1.6</c:v>
                </c:pt>
                <c:pt idx="1">
                  <c:v>2.1</c:v>
                </c:pt>
                <c:pt idx="2">
                  <c:v>2.2000000000000002</c:v>
                </c:pt>
                <c:pt idx="3">
                  <c:v>2.1</c:v>
                </c:pt>
                <c:pt idx="4">
                  <c:v>2</c:v>
                </c:pt>
              </c:numCache>
            </c:numRef>
          </c:val>
        </c:ser>
        <c:ser>
          <c:idx val="5"/>
          <c:order val="5"/>
          <c:tx>
            <c:strRef>
              <c:f>Sheet1!$I$5</c:f>
              <c:strCache>
                <c:ptCount val="1"/>
                <c:pt idx="0">
                  <c:v>Other sectors</c:v>
                </c:pt>
              </c:strCache>
            </c:strRef>
          </c:tx>
          <c:cat>
            <c:numRef>
              <c:f>Sheet1!$B$6:$B$10</c:f>
              <c:numCache>
                <c:formatCode>General</c:formatCode>
                <c:ptCount val="5"/>
                <c:pt idx="0">
                  <c:v>2000</c:v>
                </c:pt>
                <c:pt idx="1">
                  <c:v>2005</c:v>
                </c:pt>
                <c:pt idx="2">
                  <c:v>2006</c:v>
                </c:pt>
                <c:pt idx="3">
                  <c:v>2007</c:v>
                </c:pt>
                <c:pt idx="4">
                  <c:v>2008</c:v>
                </c:pt>
              </c:numCache>
            </c:numRef>
          </c:cat>
          <c:val>
            <c:numRef>
              <c:f>Sheet1!$I$6:$I$10</c:f>
              <c:numCache>
                <c:formatCode>General</c:formatCode>
                <c:ptCount val="5"/>
                <c:pt idx="0">
                  <c:v>44.4</c:v>
                </c:pt>
                <c:pt idx="1">
                  <c:v>47.3</c:v>
                </c:pt>
                <c:pt idx="2">
                  <c:v>46.7</c:v>
                </c:pt>
                <c:pt idx="3">
                  <c:v>47.6</c:v>
                </c:pt>
                <c:pt idx="4">
                  <c:v>46.1</c:v>
                </c:pt>
              </c:numCache>
            </c:numRef>
          </c:val>
        </c:ser>
        <c:overlap val="100"/>
        <c:axId val="180075520"/>
        <c:axId val="180089600"/>
      </c:barChart>
      <c:catAx>
        <c:axId val="180075520"/>
        <c:scaling>
          <c:orientation val="minMax"/>
        </c:scaling>
        <c:axPos val="b"/>
        <c:numFmt formatCode="General" sourceLinked="1"/>
        <c:tickLblPos val="nextTo"/>
        <c:crossAx val="180089600"/>
        <c:crosses val="autoZero"/>
        <c:auto val="1"/>
        <c:lblAlgn val="ctr"/>
        <c:lblOffset val="100"/>
      </c:catAx>
      <c:valAx>
        <c:axId val="180089600"/>
        <c:scaling>
          <c:orientation val="minMax"/>
        </c:scaling>
        <c:axPos val="l"/>
        <c:numFmt formatCode="0%" sourceLinked="1"/>
        <c:tickLblPos val="nextTo"/>
        <c:crossAx val="180075520"/>
        <c:crosses val="autoZero"/>
        <c:crossBetween val="between"/>
      </c:valAx>
    </c:plotArea>
    <c:legend>
      <c:legendPos val="r"/>
      <c:layout>
        <c:manualLayout>
          <c:xMode val="edge"/>
          <c:yMode val="edge"/>
          <c:x val="0.19298184601924892"/>
          <c:y val="0.82117891513560803"/>
          <c:w val="0.67368482064743662"/>
          <c:h val="0.17708661417322841"/>
        </c:manualLayout>
      </c:layout>
      <c:txPr>
        <a:bodyPr/>
        <a:lstStyle/>
        <a:p>
          <a:pPr>
            <a:defRPr sz="700"/>
          </a:pPr>
          <a:endParaRPr lang="en-US"/>
        </a:p>
      </c:txPr>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5.8823529411764705E-2"/>
          <c:y val="0.13802118433935634"/>
          <c:w val="0.92327365728901445"/>
          <c:h val="0.71614765459101326"/>
        </c:manualLayout>
      </c:layout>
      <c:barChart>
        <c:barDir val="col"/>
        <c:grouping val="clustered"/>
        <c:ser>
          <c:idx val="0"/>
          <c:order val="0"/>
          <c:tx>
            <c:strRef>
              <c:f>'[2]Figures 4, 5 &amp; 31 (score)'!$A$2</c:f>
              <c:strCache>
                <c:ptCount val="1"/>
                <c:pt idx="0">
                  <c:v>Belarus</c:v>
                </c:pt>
              </c:strCache>
            </c:strRef>
          </c:tx>
          <c:spPr>
            <a:solidFill>
              <a:schemeClr val="tx2"/>
            </a:solidFill>
            <a:ln w="12700">
              <a:solidFill>
                <a:srgbClr val="000000"/>
              </a:solidFill>
              <a:prstDash val="solid"/>
            </a:ln>
          </c:spPr>
          <c:dLbls>
            <c:spPr>
              <a:noFill/>
              <a:ln w="25400">
                <a:noFill/>
              </a:ln>
            </c:spPr>
            <c:txPr>
              <a:bodyPr rot="-5400000" vert="horz"/>
              <a:lstStyle/>
              <a:p>
                <a:pPr algn="ctr">
                  <a:defRPr/>
                </a:pPr>
                <a:endParaRPr lang="en-US"/>
              </a:p>
            </c:txPr>
            <c:dLblPos val="outEnd"/>
            <c:showVal val="1"/>
          </c:dLbls>
          <c:cat>
            <c:strRef>
              <c:f>'[2]Figures 4, 5 &amp; 31 (score)'!$B$1:$I$1</c:f>
              <c:strCache>
                <c:ptCount val="8"/>
                <c:pt idx="0">
                  <c:v>Overall score</c:v>
                </c:pt>
                <c:pt idx="1">
                  <c:v>Customs</c:v>
                </c:pt>
                <c:pt idx="2">
                  <c:v>Infrastructure</c:v>
                </c:pt>
                <c:pt idx="3">
                  <c:v>International shipments</c:v>
                </c:pt>
                <c:pt idx="4">
                  <c:v>Logistics competence </c:v>
                </c:pt>
                <c:pt idx="5">
                  <c:v>Tracking &amp; tracing</c:v>
                </c:pt>
                <c:pt idx="6">
                  <c:v>Domestic logistics costs </c:v>
                </c:pt>
                <c:pt idx="7">
                  <c:v>Timeliness</c:v>
                </c:pt>
              </c:strCache>
            </c:strRef>
          </c:cat>
          <c:val>
            <c:numRef>
              <c:f>'[2]Figures 4, 5 &amp; 31 (score)'!$B$2:$I$2</c:f>
              <c:numCache>
                <c:formatCode>0.00</c:formatCode>
                <c:ptCount val="8"/>
                <c:pt idx="0">
                  <c:v>2.5299999999999998</c:v>
                </c:pt>
                <c:pt idx="1">
                  <c:v>2.67</c:v>
                </c:pt>
                <c:pt idx="2">
                  <c:v>2.63</c:v>
                </c:pt>
                <c:pt idx="3">
                  <c:v>2.13</c:v>
                </c:pt>
                <c:pt idx="4">
                  <c:v>2.13</c:v>
                </c:pt>
                <c:pt idx="5">
                  <c:v>2.71</c:v>
                </c:pt>
                <c:pt idx="6">
                  <c:v>3.13</c:v>
                </c:pt>
                <c:pt idx="7">
                  <c:v>3</c:v>
                </c:pt>
              </c:numCache>
            </c:numRef>
          </c:val>
        </c:ser>
        <c:ser>
          <c:idx val="1"/>
          <c:order val="1"/>
          <c:tx>
            <c:strRef>
              <c:f>'[2]Figures 4, 5 &amp; 31 (score)'!$A$3</c:f>
              <c:strCache>
                <c:ptCount val="1"/>
                <c:pt idx="0">
                  <c:v>Russia</c:v>
                </c:pt>
              </c:strCache>
            </c:strRef>
          </c:tx>
          <c:spPr>
            <a:solidFill>
              <a:schemeClr val="accent2"/>
            </a:solidFill>
            <a:ln w="12700">
              <a:solidFill>
                <a:srgbClr val="000000"/>
              </a:solidFill>
              <a:prstDash val="solid"/>
            </a:ln>
          </c:spPr>
          <c:dLbls>
            <c:spPr>
              <a:noFill/>
              <a:ln w="25400">
                <a:noFill/>
              </a:ln>
            </c:spPr>
            <c:txPr>
              <a:bodyPr rot="-5400000" vert="horz"/>
              <a:lstStyle/>
              <a:p>
                <a:pPr algn="ctr">
                  <a:defRPr/>
                </a:pPr>
                <a:endParaRPr lang="en-US"/>
              </a:p>
            </c:txPr>
            <c:dLblPos val="outEnd"/>
            <c:showVal val="1"/>
          </c:dLbls>
          <c:cat>
            <c:strRef>
              <c:f>'[2]Figures 4, 5 &amp; 31 (score)'!$B$1:$I$1</c:f>
              <c:strCache>
                <c:ptCount val="8"/>
                <c:pt idx="0">
                  <c:v>Overall score</c:v>
                </c:pt>
                <c:pt idx="1">
                  <c:v>Customs</c:v>
                </c:pt>
                <c:pt idx="2">
                  <c:v>Infrastructure</c:v>
                </c:pt>
                <c:pt idx="3">
                  <c:v>International shipments</c:v>
                </c:pt>
                <c:pt idx="4">
                  <c:v>Logistics competence </c:v>
                </c:pt>
                <c:pt idx="5">
                  <c:v>Tracking &amp; tracing</c:v>
                </c:pt>
                <c:pt idx="6">
                  <c:v>Domestic logistics costs </c:v>
                </c:pt>
                <c:pt idx="7">
                  <c:v>Timeliness</c:v>
                </c:pt>
              </c:strCache>
            </c:strRef>
          </c:cat>
          <c:val>
            <c:numRef>
              <c:f>'[2]Figures 4, 5 &amp; 31 (score)'!$B$3:$I$3</c:f>
              <c:numCache>
                <c:formatCode>0.00</c:formatCode>
                <c:ptCount val="8"/>
                <c:pt idx="0">
                  <c:v>2.3699999999999997</c:v>
                </c:pt>
                <c:pt idx="1">
                  <c:v>1.9400000000000197</c:v>
                </c:pt>
                <c:pt idx="2">
                  <c:v>2.23</c:v>
                </c:pt>
                <c:pt idx="3">
                  <c:v>2.48</c:v>
                </c:pt>
                <c:pt idx="4">
                  <c:v>2.46</c:v>
                </c:pt>
                <c:pt idx="5">
                  <c:v>2.17</c:v>
                </c:pt>
                <c:pt idx="6">
                  <c:v>2.4</c:v>
                </c:pt>
                <c:pt idx="7">
                  <c:v>2.94</c:v>
                </c:pt>
              </c:numCache>
            </c:numRef>
          </c:val>
        </c:ser>
        <c:ser>
          <c:idx val="2"/>
          <c:order val="2"/>
          <c:tx>
            <c:strRef>
              <c:f>'[2]Figures 4, 5 &amp; 31 (score)'!$A$4</c:f>
              <c:strCache>
                <c:ptCount val="1"/>
                <c:pt idx="0">
                  <c:v>Ukraine</c:v>
                </c:pt>
              </c:strCache>
            </c:strRef>
          </c:tx>
          <c:spPr>
            <a:solidFill>
              <a:schemeClr val="accent3"/>
            </a:solidFill>
            <a:ln w="12700">
              <a:solidFill>
                <a:srgbClr val="000000"/>
              </a:solidFill>
              <a:prstDash val="solid"/>
            </a:ln>
          </c:spPr>
          <c:dLbls>
            <c:spPr>
              <a:noFill/>
              <a:ln w="25400">
                <a:noFill/>
              </a:ln>
            </c:spPr>
            <c:txPr>
              <a:bodyPr rot="-5400000" vert="horz"/>
              <a:lstStyle/>
              <a:p>
                <a:pPr algn="ctr">
                  <a:defRPr/>
                </a:pPr>
                <a:endParaRPr lang="en-US"/>
              </a:p>
            </c:txPr>
            <c:dLblPos val="outEnd"/>
            <c:showVal val="1"/>
          </c:dLbls>
          <c:cat>
            <c:strRef>
              <c:f>'[2]Figures 4, 5 &amp; 31 (score)'!$B$1:$I$1</c:f>
              <c:strCache>
                <c:ptCount val="8"/>
                <c:pt idx="0">
                  <c:v>Overall score</c:v>
                </c:pt>
                <c:pt idx="1">
                  <c:v>Customs</c:v>
                </c:pt>
                <c:pt idx="2">
                  <c:v>Infrastructure</c:v>
                </c:pt>
                <c:pt idx="3">
                  <c:v>International shipments</c:v>
                </c:pt>
                <c:pt idx="4">
                  <c:v>Logistics competence </c:v>
                </c:pt>
                <c:pt idx="5">
                  <c:v>Tracking &amp; tracing</c:v>
                </c:pt>
                <c:pt idx="6">
                  <c:v>Domestic logistics costs </c:v>
                </c:pt>
                <c:pt idx="7">
                  <c:v>Timeliness</c:v>
                </c:pt>
              </c:strCache>
            </c:strRef>
          </c:cat>
          <c:val>
            <c:numRef>
              <c:f>'[2]Figures 4, 5 &amp; 31 (score)'!$B$4:$I$4</c:f>
              <c:numCache>
                <c:formatCode>0.00</c:formatCode>
                <c:ptCount val="8"/>
                <c:pt idx="0">
                  <c:v>2.5499999999999998</c:v>
                </c:pt>
                <c:pt idx="1">
                  <c:v>2.2200000000000002</c:v>
                </c:pt>
                <c:pt idx="2">
                  <c:v>2.3499999999999988</c:v>
                </c:pt>
                <c:pt idx="3">
                  <c:v>2.5299999999999998</c:v>
                </c:pt>
                <c:pt idx="4">
                  <c:v>2.4099999999999997</c:v>
                </c:pt>
                <c:pt idx="5">
                  <c:v>2.5299999999999998</c:v>
                </c:pt>
                <c:pt idx="6">
                  <c:v>3.25</c:v>
                </c:pt>
                <c:pt idx="7">
                  <c:v>3.3099999999999987</c:v>
                </c:pt>
              </c:numCache>
            </c:numRef>
          </c:val>
        </c:ser>
        <c:ser>
          <c:idx val="3"/>
          <c:order val="3"/>
          <c:tx>
            <c:strRef>
              <c:f>'[2]Figures 4, 5 &amp; 31 (score)'!$A$5</c:f>
              <c:strCache>
                <c:ptCount val="1"/>
                <c:pt idx="0">
                  <c:v>Kazakhstan</c:v>
                </c:pt>
              </c:strCache>
            </c:strRef>
          </c:tx>
          <c:spPr>
            <a:solidFill>
              <a:schemeClr val="accent4"/>
            </a:solidFill>
            <a:ln w="12700">
              <a:solidFill>
                <a:srgbClr val="000000"/>
              </a:solidFill>
              <a:prstDash val="solid"/>
            </a:ln>
          </c:spPr>
          <c:dLbls>
            <c:spPr>
              <a:noFill/>
              <a:ln w="25400">
                <a:noFill/>
              </a:ln>
            </c:spPr>
            <c:txPr>
              <a:bodyPr rot="-5400000" vert="horz"/>
              <a:lstStyle/>
              <a:p>
                <a:pPr algn="ctr">
                  <a:defRPr/>
                </a:pPr>
                <a:endParaRPr lang="en-US"/>
              </a:p>
            </c:txPr>
            <c:dLblPos val="outEnd"/>
            <c:showVal val="1"/>
          </c:dLbls>
          <c:cat>
            <c:strRef>
              <c:f>'[2]Figures 4, 5 &amp; 31 (score)'!$B$1:$I$1</c:f>
              <c:strCache>
                <c:ptCount val="8"/>
                <c:pt idx="0">
                  <c:v>Overall score</c:v>
                </c:pt>
                <c:pt idx="1">
                  <c:v>Customs</c:v>
                </c:pt>
                <c:pt idx="2">
                  <c:v>Infrastructure</c:v>
                </c:pt>
                <c:pt idx="3">
                  <c:v>International shipments</c:v>
                </c:pt>
                <c:pt idx="4">
                  <c:v>Logistics competence </c:v>
                </c:pt>
                <c:pt idx="5">
                  <c:v>Tracking &amp; tracing</c:v>
                </c:pt>
                <c:pt idx="6">
                  <c:v>Domestic logistics costs </c:v>
                </c:pt>
                <c:pt idx="7">
                  <c:v>Timeliness</c:v>
                </c:pt>
              </c:strCache>
            </c:strRef>
          </c:cat>
          <c:val>
            <c:numRef>
              <c:f>'[2]Figures 4, 5 &amp; 31 (score)'!$B$5:$I$5</c:f>
              <c:numCache>
                <c:formatCode>0.00</c:formatCode>
                <c:ptCount val="8"/>
                <c:pt idx="0">
                  <c:v>2.12</c:v>
                </c:pt>
                <c:pt idx="1">
                  <c:v>1.9100000000000001</c:v>
                </c:pt>
                <c:pt idx="2">
                  <c:v>1.86</c:v>
                </c:pt>
                <c:pt idx="3">
                  <c:v>2.1</c:v>
                </c:pt>
                <c:pt idx="4">
                  <c:v>2.0499999999999998</c:v>
                </c:pt>
                <c:pt idx="5">
                  <c:v>2.19</c:v>
                </c:pt>
                <c:pt idx="6">
                  <c:v>2.8099999999999987</c:v>
                </c:pt>
                <c:pt idx="7">
                  <c:v>2.65</c:v>
                </c:pt>
              </c:numCache>
            </c:numRef>
          </c:val>
        </c:ser>
        <c:ser>
          <c:idx val="4"/>
          <c:order val="4"/>
          <c:tx>
            <c:strRef>
              <c:f>'[2]Figures 4, 5 &amp; 31 (score)'!$A$6</c:f>
              <c:strCache>
                <c:ptCount val="1"/>
                <c:pt idx="0">
                  <c:v>Moldova</c:v>
                </c:pt>
              </c:strCache>
            </c:strRef>
          </c:tx>
          <c:spPr>
            <a:solidFill>
              <a:schemeClr val="accent5"/>
            </a:solidFill>
            <a:ln w="12700">
              <a:solidFill>
                <a:srgbClr val="000000"/>
              </a:solidFill>
              <a:prstDash val="solid"/>
            </a:ln>
          </c:spPr>
          <c:dLbls>
            <c:spPr>
              <a:noFill/>
              <a:ln w="25400">
                <a:noFill/>
              </a:ln>
            </c:spPr>
            <c:txPr>
              <a:bodyPr rot="-5400000" vert="horz"/>
              <a:lstStyle/>
              <a:p>
                <a:pPr algn="ctr">
                  <a:defRPr/>
                </a:pPr>
                <a:endParaRPr lang="en-US"/>
              </a:p>
            </c:txPr>
            <c:dLblPos val="outEnd"/>
            <c:showVal val="1"/>
          </c:dLbls>
          <c:cat>
            <c:strRef>
              <c:f>'[2]Figures 4, 5 &amp; 31 (score)'!$B$1:$I$1</c:f>
              <c:strCache>
                <c:ptCount val="8"/>
                <c:pt idx="0">
                  <c:v>Overall score</c:v>
                </c:pt>
                <c:pt idx="1">
                  <c:v>Customs</c:v>
                </c:pt>
                <c:pt idx="2">
                  <c:v>Infrastructure</c:v>
                </c:pt>
                <c:pt idx="3">
                  <c:v>International shipments</c:v>
                </c:pt>
                <c:pt idx="4">
                  <c:v>Logistics competence </c:v>
                </c:pt>
                <c:pt idx="5">
                  <c:v>Tracking &amp; tracing</c:v>
                </c:pt>
                <c:pt idx="6">
                  <c:v>Domestic logistics costs </c:v>
                </c:pt>
                <c:pt idx="7">
                  <c:v>Timeliness</c:v>
                </c:pt>
              </c:strCache>
            </c:strRef>
          </c:cat>
          <c:val>
            <c:numRef>
              <c:f>'[2]Figures 4, 5 &amp; 31 (score)'!$B$6:$I$6</c:f>
              <c:numCache>
                <c:formatCode>0.00</c:formatCode>
                <c:ptCount val="8"/>
                <c:pt idx="0">
                  <c:v>2.3099999999999987</c:v>
                </c:pt>
                <c:pt idx="1">
                  <c:v>2.14</c:v>
                </c:pt>
                <c:pt idx="2">
                  <c:v>1.9400000000000197</c:v>
                </c:pt>
                <c:pt idx="3">
                  <c:v>2.36</c:v>
                </c:pt>
                <c:pt idx="4">
                  <c:v>2.21</c:v>
                </c:pt>
                <c:pt idx="5">
                  <c:v>2.5</c:v>
                </c:pt>
                <c:pt idx="6">
                  <c:v>2.92</c:v>
                </c:pt>
                <c:pt idx="7">
                  <c:v>2.73</c:v>
                </c:pt>
              </c:numCache>
            </c:numRef>
          </c:val>
        </c:ser>
        <c:dLbls>
          <c:showVal val="1"/>
        </c:dLbls>
        <c:axId val="192033920"/>
        <c:axId val="192035456"/>
      </c:barChart>
      <c:catAx>
        <c:axId val="192033920"/>
        <c:scaling>
          <c:orientation val="minMax"/>
        </c:scaling>
        <c:axPos val="b"/>
        <c:numFmt formatCode="General" sourceLinked="1"/>
        <c:tickLblPos val="nextTo"/>
        <c:spPr>
          <a:ln w="3175">
            <a:solidFill>
              <a:srgbClr val="000000"/>
            </a:solidFill>
            <a:prstDash val="solid"/>
          </a:ln>
        </c:spPr>
        <c:txPr>
          <a:bodyPr rot="0" vert="horz"/>
          <a:lstStyle/>
          <a:p>
            <a:pPr>
              <a:defRPr/>
            </a:pPr>
            <a:endParaRPr lang="en-US"/>
          </a:p>
        </c:txPr>
        <c:crossAx val="192035456"/>
        <c:crosses val="autoZero"/>
        <c:auto val="1"/>
        <c:lblAlgn val="ctr"/>
        <c:lblOffset val="100"/>
        <c:tickLblSkip val="1"/>
        <c:tickMarkSkip val="1"/>
      </c:catAx>
      <c:valAx>
        <c:axId val="192035456"/>
        <c:scaling>
          <c:orientation val="minMax"/>
          <c:min val="1"/>
        </c:scaling>
        <c:axPos val="l"/>
        <c:majorGridlines>
          <c:spPr>
            <a:ln w="3175">
              <a:solidFill>
                <a:srgbClr val="808080"/>
              </a:solidFill>
              <a:prstDash val="sysDash"/>
            </a:ln>
          </c:spPr>
        </c:majorGridlines>
        <c:numFmt formatCode="0.00" sourceLinked="1"/>
        <c:tickLblPos val="nextTo"/>
        <c:spPr>
          <a:ln w="3175">
            <a:solidFill>
              <a:srgbClr val="000000"/>
            </a:solidFill>
            <a:prstDash val="solid"/>
          </a:ln>
        </c:spPr>
        <c:txPr>
          <a:bodyPr rot="0" vert="horz"/>
          <a:lstStyle/>
          <a:p>
            <a:pPr>
              <a:defRPr/>
            </a:pPr>
            <a:endParaRPr lang="en-US"/>
          </a:p>
        </c:txPr>
        <c:crossAx val="192033920"/>
        <c:crosses val="autoZero"/>
        <c:crossBetween val="between"/>
      </c:valAx>
      <c:spPr>
        <a:solidFill>
          <a:srgbClr val="FFFFFF"/>
        </a:solidFill>
        <a:ln w="12700">
          <a:solidFill>
            <a:srgbClr val="808080"/>
          </a:solidFill>
          <a:prstDash val="solid"/>
        </a:ln>
      </c:spPr>
    </c:plotArea>
    <c:legend>
      <c:legendPos val="t"/>
      <c:layout>
        <c:manualLayout>
          <c:xMode val="edge"/>
          <c:yMode val="edge"/>
          <c:x val="0.30690537084399488"/>
          <c:y val="2.0833386315375294E-2"/>
          <c:w val="0.42710997442455839"/>
          <c:h val="6.2500158946123624E-2"/>
        </c:manualLayout>
      </c:layout>
      <c:spPr>
        <a:solidFill>
          <a:srgbClr val="FFFFFF"/>
        </a:solidFill>
        <a:ln w="3175">
          <a:solidFill>
            <a:srgbClr val="000000"/>
          </a:solidFill>
          <a:prstDash val="solid"/>
        </a:ln>
      </c:spPr>
    </c:legend>
    <c:plotVisOnly val="1"/>
    <c:dispBlanksAs val="gap"/>
  </c:chart>
  <c:spPr>
    <a:solidFill>
      <a:srgbClr val="FFFFFF"/>
    </a:solidFill>
    <a:ln w="9525">
      <a:noFill/>
    </a:ln>
  </c:spPr>
  <c:txPr>
    <a:bodyPr/>
    <a:lstStyle/>
    <a:p>
      <a:pPr>
        <a:defRPr sz="800" b="0" i="0" u="none" strike="noStrike" baseline="0">
          <a:solidFill>
            <a:srgbClr val="000000"/>
          </a:solidFill>
          <a:latin typeface="+mn-lt"/>
          <a:ea typeface="Arial"/>
          <a:cs typeface="Arial"/>
        </a:defRPr>
      </a:pPr>
      <a:endParaRPr lang="en-U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5.4987212276214836E-2"/>
          <c:y val="0.13802118433935634"/>
          <c:w val="0.92710997442456422"/>
          <c:h val="0.71614765459101326"/>
        </c:manualLayout>
      </c:layout>
      <c:barChart>
        <c:barDir val="col"/>
        <c:grouping val="clustered"/>
        <c:ser>
          <c:idx val="0"/>
          <c:order val="0"/>
          <c:tx>
            <c:strRef>
              <c:f>'[2]Figures 4 &amp; 5 (rank)'!$A$2</c:f>
              <c:strCache>
                <c:ptCount val="1"/>
                <c:pt idx="0">
                  <c:v>Belarus</c:v>
                </c:pt>
              </c:strCache>
            </c:strRef>
          </c:tx>
          <c:spPr>
            <a:solidFill>
              <a:schemeClr val="tx2"/>
            </a:solidFill>
            <a:ln w="12700">
              <a:solidFill>
                <a:srgbClr val="000000"/>
              </a:solidFill>
              <a:prstDash val="solid"/>
            </a:ln>
          </c:spPr>
          <c:dLbls>
            <c:spPr>
              <a:noFill/>
              <a:ln w="25400">
                <a:noFill/>
              </a:ln>
            </c:spPr>
            <c:txPr>
              <a:bodyPr rot="-5400000" vert="horz"/>
              <a:lstStyle/>
              <a:p>
                <a:pPr algn="ctr">
                  <a:defRPr/>
                </a:pPr>
                <a:endParaRPr lang="en-US"/>
              </a:p>
            </c:txPr>
            <c:dLblPos val="outEnd"/>
            <c:showVal val="1"/>
          </c:dLbls>
          <c:cat>
            <c:strRef>
              <c:f>'[2]Figures 4 &amp; 5 (rank)'!$B$1:$I$1</c:f>
              <c:strCache>
                <c:ptCount val="8"/>
                <c:pt idx="0">
                  <c:v>Overall rank</c:v>
                </c:pt>
                <c:pt idx="1">
                  <c:v>Customs</c:v>
                </c:pt>
                <c:pt idx="2">
                  <c:v>Infrastructure</c:v>
                </c:pt>
                <c:pt idx="3">
                  <c:v>International shipments</c:v>
                </c:pt>
                <c:pt idx="4">
                  <c:v>Logistics competence </c:v>
                </c:pt>
                <c:pt idx="5">
                  <c:v>Tracking &amp; tracing</c:v>
                </c:pt>
                <c:pt idx="6">
                  <c:v>Domestic logistics costs </c:v>
                </c:pt>
                <c:pt idx="7">
                  <c:v>Timeliness</c:v>
                </c:pt>
              </c:strCache>
            </c:strRef>
          </c:cat>
          <c:val>
            <c:numRef>
              <c:f>'[2]Figures 4 &amp; 5 (rank)'!$B$2:$I$2</c:f>
              <c:numCache>
                <c:formatCode>0</c:formatCode>
                <c:ptCount val="8"/>
                <c:pt idx="0">
                  <c:v>74</c:v>
                </c:pt>
                <c:pt idx="1">
                  <c:v>50</c:v>
                </c:pt>
                <c:pt idx="2">
                  <c:v>54</c:v>
                </c:pt>
                <c:pt idx="3">
                  <c:v>126</c:v>
                </c:pt>
                <c:pt idx="4">
                  <c:v>120</c:v>
                </c:pt>
                <c:pt idx="5">
                  <c:v>66</c:v>
                </c:pt>
                <c:pt idx="6">
                  <c:v>37</c:v>
                </c:pt>
                <c:pt idx="7">
                  <c:v>78</c:v>
                </c:pt>
              </c:numCache>
            </c:numRef>
          </c:val>
        </c:ser>
        <c:ser>
          <c:idx val="1"/>
          <c:order val="1"/>
          <c:tx>
            <c:strRef>
              <c:f>'[2]Figures 4 &amp; 5 (rank)'!$A$7</c:f>
              <c:strCache>
                <c:ptCount val="1"/>
                <c:pt idx="0">
                  <c:v>Poland</c:v>
                </c:pt>
              </c:strCache>
            </c:strRef>
          </c:tx>
          <c:spPr>
            <a:solidFill>
              <a:schemeClr val="accent2"/>
            </a:solidFill>
            <a:ln w="12700">
              <a:solidFill>
                <a:srgbClr val="000000"/>
              </a:solidFill>
              <a:prstDash val="solid"/>
            </a:ln>
          </c:spPr>
          <c:dLbls>
            <c:spPr>
              <a:noFill/>
              <a:ln w="25400">
                <a:noFill/>
              </a:ln>
            </c:spPr>
            <c:txPr>
              <a:bodyPr rot="-5400000" vert="horz"/>
              <a:lstStyle/>
              <a:p>
                <a:pPr algn="ctr">
                  <a:defRPr/>
                </a:pPr>
                <a:endParaRPr lang="en-US"/>
              </a:p>
            </c:txPr>
            <c:dLblPos val="outEnd"/>
            <c:showVal val="1"/>
          </c:dLbls>
          <c:cat>
            <c:strRef>
              <c:f>'[2]Figures 4 &amp; 5 (rank)'!$B$1:$I$1</c:f>
              <c:strCache>
                <c:ptCount val="8"/>
                <c:pt idx="0">
                  <c:v>Overall rank</c:v>
                </c:pt>
                <c:pt idx="1">
                  <c:v>Customs</c:v>
                </c:pt>
                <c:pt idx="2">
                  <c:v>Infrastructure</c:v>
                </c:pt>
                <c:pt idx="3">
                  <c:v>International shipments</c:v>
                </c:pt>
                <c:pt idx="4">
                  <c:v>Logistics competence </c:v>
                </c:pt>
                <c:pt idx="5">
                  <c:v>Tracking &amp; tracing</c:v>
                </c:pt>
                <c:pt idx="6">
                  <c:v>Domestic logistics costs </c:v>
                </c:pt>
                <c:pt idx="7">
                  <c:v>Timeliness</c:v>
                </c:pt>
              </c:strCache>
            </c:strRef>
          </c:cat>
          <c:val>
            <c:numRef>
              <c:f>'[2]Figures 4 &amp; 5 (rank)'!$B$7:$I$7</c:f>
              <c:numCache>
                <c:formatCode>0</c:formatCode>
                <c:ptCount val="8"/>
                <c:pt idx="0">
                  <c:v>40</c:v>
                </c:pt>
                <c:pt idx="1">
                  <c:v>38</c:v>
                </c:pt>
                <c:pt idx="2">
                  <c:v>51</c:v>
                </c:pt>
                <c:pt idx="3">
                  <c:v>52</c:v>
                </c:pt>
                <c:pt idx="4">
                  <c:v>38</c:v>
                </c:pt>
                <c:pt idx="5">
                  <c:v>40</c:v>
                </c:pt>
                <c:pt idx="6">
                  <c:v>23</c:v>
                </c:pt>
                <c:pt idx="7">
                  <c:v>40</c:v>
                </c:pt>
              </c:numCache>
            </c:numRef>
          </c:val>
        </c:ser>
        <c:ser>
          <c:idx val="2"/>
          <c:order val="2"/>
          <c:tx>
            <c:strRef>
              <c:f>'[2]Figures 4 &amp; 5 (rank)'!$A$8</c:f>
              <c:strCache>
                <c:ptCount val="1"/>
                <c:pt idx="0">
                  <c:v>Latvia</c:v>
                </c:pt>
              </c:strCache>
            </c:strRef>
          </c:tx>
          <c:spPr>
            <a:solidFill>
              <a:schemeClr val="accent3"/>
            </a:solidFill>
            <a:ln w="12700">
              <a:solidFill>
                <a:srgbClr val="000000"/>
              </a:solidFill>
              <a:prstDash val="solid"/>
            </a:ln>
          </c:spPr>
          <c:dLbls>
            <c:spPr>
              <a:noFill/>
              <a:ln w="25400">
                <a:noFill/>
              </a:ln>
            </c:spPr>
            <c:txPr>
              <a:bodyPr rot="-5400000" vert="horz"/>
              <a:lstStyle/>
              <a:p>
                <a:pPr algn="ctr">
                  <a:defRPr/>
                </a:pPr>
                <a:endParaRPr lang="en-US"/>
              </a:p>
            </c:txPr>
            <c:dLblPos val="outEnd"/>
            <c:showVal val="1"/>
          </c:dLbls>
          <c:cat>
            <c:strRef>
              <c:f>'[2]Figures 4 &amp; 5 (rank)'!$B$1:$I$1</c:f>
              <c:strCache>
                <c:ptCount val="8"/>
                <c:pt idx="0">
                  <c:v>Overall rank</c:v>
                </c:pt>
                <c:pt idx="1">
                  <c:v>Customs</c:v>
                </c:pt>
                <c:pt idx="2">
                  <c:v>Infrastructure</c:v>
                </c:pt>
                <c:pt idx="3">
                  <c:v>International shipments</c:v>
                </c:pt>
                <c:pt idx="4">
                  <c:v>Logistics competence </c:v>
                </c:pt>
                <c:pt idx="5">
                  <c:v>Tracking &amp; tracing</c:v>
                </c:pt>
                <c:pt idx="6">
                  <c:v>Domestic logistics costs </c:v>
                </c:pt>
                <c:pt idx="7">
                  <c:v>Timeliness</c:v>
                </c:pt>
              </c:strCache>
            </c:strRef>
          </c:cat>
          <c:val>
            <c:numRef>
              <c:f>'[2]Figures 4 &amp; 5 (rank)'!$B$8:$I$8</c:f>
              <c:numCache>
                <c:formatCode>0</c:formatCode>
                <c:ptCount val="8"/>
                <c:pt idx="0">
                  <c:v>42</c:v>
                </c:pt>
                <c:pt idx="1">
                  <c:v>58</c:v>
                </c:pt>
                <c:pt idx="2">
                  <c:v>58</c:v>
                </c:pt>
                <c:pt idx="3">
                  <c:v>29</c:v>
                </c:pt>
                <c:pt idx="4">
                  <c:v>48</c:v>
                </c:pt>
                <c:pt idx="5">
                  <c:v>41</c:v>
                </c:pt>
                <c:pt idx="6">
                  <c:v>73</c:v>
                </c:pt>
                <c:pt idx="7">
                  <c:v>35</c:v>
                </c:pt>
              </c:numCache>
            </c:numRef>
          </c:val>
        </c:ser>
        <c:ser>
          <c:idx val="3"/>
          <c:order val="3"/>
          <c:tx>
            <c:strRef>
              <c:f>'[2]Figures 4 &amp; 5 (rank)'!$A$9</c:f>
              <c:strCache>
                <c:ptCount val="1"/>
                <c:pt idx="0">
                  <c:v>Lithuania</c:v>
                </c:pt>
              </c:strCache>
            </c:strRef>
          </c:tx>
          <c:spPr>
            <a:solidFill>
              <a:schemeClr val="accent4"/>
            </a:solidFill>
            <a:ln w="12700">
              <a:solidFill>
                <a:srgbClr val="000000"/>
              </a:solidFill>
              <a:prstDash val="solid"/>
            </a:ln>
          </c:spPr>
          <c:dLbls>
            <c:spPr>
              <a:noFill/>
              <a:ln w="25400">
                <a:noFill/>
              </a:ln>
            </c:spPr>
            <c:txPr>
              <a:bodyPr rot="-5400000" vert="horz"/>
              <a:lstStyle/>
              <a:p>
                <a:pPr algn="ctr">
                  <a:defRPr/>
                </a:pPr>
                <a:endParaRPr lang="en-US"/>
              </a:p>
            </c:txPr>
            <c:dLblPos val="outEnd"/>
            <c:showVal val="1"/>
          </c:dLbls>
          <c:cat>
            <c:strRef>
              <c:f>'[2]Figures 4 &amp; 5 (rank)'!$B$1:$I$1</c:f>
              <c:strCache>
                <c:ptCount val="8"/>
                <c:pt idx="0">
                  <c:v>Overall rank</c:v>
                </c:pt>
                <c:pt idx="1">
                  <c:v>Customs</c:v>
                </c:pt>
                <c:pt idx="2">
                  <c:v>Infrastructure</c:v>
                </c:pt>
                <c:pt idx="3">
                  <c:v>International shipments</c:v>
                </c:pt>
                <c:pt idx="4">
                  <c:v>Logistics competence </c:v>
                </c:pt>
                <c:pt idx="5">
                  <c:v>Tracking &amp; tracing</c:v>
                </c:pt>
                <c:pt idx="6">
                  <c:v>Domestic logistics costs </c:v>
                </c:pt>
                <c:pt idx="7">
                  <c:v>Timeliness</c:v>
                </c:pt>
              </c:strCache>
            </c:strRef>
          </c:cat>
          <c:val>
            <c:numRef>
              <c:f>'[2]Figures 4 &amp; 5 (rank)'!$B$9:$I$9</c:f>
              <c:numCache>
                <c:formatCode>0</c:formatCode>
                <c:ptCount val="8"/>
                <c:pt idx="0">
                  <c:v>58</c:v>
                </c:pt>
                <c:pt idx="1">
                  <c:v>52</c:v>
                </c:pt>
                <c:pt idx="2">
                  <c:v>80</c:v>
                </c:pt>
                <c:pt idx="3">
                  <c:v>48</c:v>
                </c:pt>
                <c:pt idx="4">
                  <c:v>64</c:v>
                </c:pt>
                <c:pt idx="5">
                  <c:v>74</c:v>
                </c:pt>
                <c:pt idx="6">
                  <c:v>60</c:v>
                </c:pt>
                <c:pt idx="7">
                  <c:v>50</c:v>
                </c:pt>
              </c:numCache>
            </c:numRef>
          </c:val>
        </c:ser>
        <c:dLbls>
          <c:showVal val="1"/>
        </c:dLbls>
        <c:axId val="192096128"/>
        <c:axId val="192097664"/>
      </c:barChart>
      <c:catAx>
        <c:axId val="192096128"/>
        <c:scaling>
          <c:orientation val="minMax"/>
        </c:scaling>
        <c:axPos val="b"/>
        <c:numFmt formatCode="General" sourceLinked="1"/>
        <c:tickLblPos val="nextTo"/>
        <c:spPr>
          <a:ln w="3175">
            <a:solidFill>
              <a:srgbClr val="000000"/>
            </a:solidFill>
            <a:prstDash val="solid"/>
          </a:ln>
        </c:spPr>
        <c:txPr>
          <a:bodyPr rot="0" vert="horz"/>
          <a:lstStyle/>
          <a:p>
            <a:pPr>
              <a:defRPr/>
            </a:pPr>
            <a:endParaRPr lang="en-US"/>
          </a:p>
        </c:txPr>
        <c:crossAx val="192097664"/>
        <c:crosses val="autoZero"/>
        <c:auto val="1"/>
        <c:lblAlgn val="ctr"/>
        <c:lblOffset val="100"/>
        <c:tickLblSkip val="1"/>
        <c:tickMarkSkip val="1"/>
      </c:catAx>
      <c:valAx>
        <c:axId val="192097664"/>
        <c:scaling>
          <c:orientation val="minMax"/>
          <c:min val="1"/>
        </c:scaling>
        <c:axPos val="l"/>
        <c:majorGridlines>
          <c:spPr>
            <a:ln w="3175">
              <a:solidFill>
                <a:srgbClr val="808080"/>
              </a:solidFill>
              <a:prstDash val="sysDash"/>
            </a:ln>
          </c:spPr>
        </c:majorGridlines>
        <c:numFmt formatCode="0" sourceLinked="1"/>
        <c:tickLblPos val="nextTo"/>
        <c:spPr>
          <a:ln w="3175">
            <a:solidFill>
              <a:srgbClr val="000000"/>
            </a:solidFill>
            <a:prstDash val="solid"/>
          </a:ln>
        </c:spPr>
        <c:txPr>
          <a:bodyPr rot="0" vert="horz"/>
          <a:lstStyle/>
          <a:p>
            <a:pPr>
              <a:defRPr/>
            </a:pPr>
            <a:endParaRPr lang="en-US"/>
          </a:p>
        </c:txPr>
        <c:crossAx val="192096128"/>
        <c:crosses val="autoZero"/>
        <c:crossBetween val="between"/>
      </c:valAx>
      <c:spPr>
        <a:solidFill>
          <a:srgbClr val="FFFFFF"/>
        </a:solidFill>
        <a:ln w="12700">
          <a:solidFill>
            <a:srgbClr val="808080"/>
          </a:solidFill>
          <a:prstDash val="solid"/>
        </a:ln>
      </c:spPr>
    </c:plotArea>
    <c:legend>
      <c:legendPos val="t"/>
      <c:layout>
        <c:manualLayout>
          <c:xMode val="edge"/>
          <c:yMode val="edge"/>
          <c:x val="0.3631713554987212"/>
          <c:y val="2.0833386315375294E-2"/>
          <c:w val="0.30946291560102901"/>
          <c:h val="6.2500158946123624E-2"/>
        </c:manualLayout>
      </c:layout>
      <c:spPr>
        <a:solidFill>
          <a:srgbClr val="FFFFFF"/>
        </a:solidFill>
        <a:ln w="3175">
          <a:solidFill>
            <a:srgbClr val="000000"/>
          </a:solidFill>
          <a:prstDash val="solid"/>
        </a:ln>
      </c:spPr>
    </c:legend>
    <c:plotVisOnly val="1"/>
    <c:dispBlanksAs val="gap"/>
  </c:chart>
  <c:spPr>
    <a:solidFill>
      <a:srgbClr val="FFFFFF"/>
    </a:solidFill>
    <a:ln w="9525">
      <a:noFill/>
    </a:ln>
  </c:spPr>
  <c:txPr>
    <a:bodyPr/>
    <a:lstStyle/>
    <a:p>
      <a:pPr>
        <a:defRPr sz="800" b="0" i="0" u="none" strike="noStrike" baseline="0">
          <a:solidFill>
            <a:srgbClr val="000000"/>
          </a:solidFill>
          <a:latin typeface="+mn-lt"/>
          <a:ea typeface="Arial"/>
          <a:cs typeface="Arial"/>
        </a:defRPr>
      </a:pPr>
      <a:endParaRPr lang="en-U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6.4725021372214711E-2"/>
          <c:y val="0.13316582914572864"/>
          <c:w val="0.9126228013482276"/>
          <c:h val="0.6884422110552767"/>
        </c:manualLayout>
      </c:layout>
      <c:barChart>
        <c:barDir val="col"/>
        <c:grouping val="clustered"/>
        <c:ser>
          <c:idx val="0"/>
          <c:order val="0"/>
          <c:tx>
            <c:strRef>
              <c:f>'[2]Figures 4, 5 &amp; 31 (score)'!$A$10</c:f>
              <c:strCache>
                <c:ptCount val="1"/>
                <c:pt idx="0">
                  <c:v>Selected CIS average</c:v>
                </c:pt>
              </c:strCache>
            </c:strRef>
          </c:tx>
          <c:spPr>
            <a:solidFill>
              <a:schemeClr val="tx2"/>
            </a:solidFill>
            <a:ln w="12700">
              <a:solidFill>
                <a:srgbClr val="000000"/>
              </a:solidFill>
              <a:prstDash val="solid"/>
            </a:ln>
          </c:spPr>
          <c:dLbls>
            <c:spPr>
              <a:noFill/>
              <a:ln w="25400">
                <a:noFill/>
              </a:ln>
            </c:spPr>
            <c:txPr>
              <a:bodyPr rot="-5400000" vert="horz"/>
              <a:lstStyle/>
              <a:p>
                <a:pPr algn="ctr">
                  <a:defRPr/>
                </a:pPr>
                <a:endParaRPr lang="en-US"/>
              </a:p>
            </c:txPr>
            <c:dLblPos val="outEnd"/>
            <c:showVal val="1"/>
          </c:dLbls>
          <c:cat>
            <c:strRef>
              <c:f>'[2]Figures 4, 5 &amp; 31 (score)'!$B$1:$I$1</c:f>
              <c:strCache>
                <c:ptCount val="8"/>
                <c:pt idx="0">
                  <c:v>Overall score</c:v>
                </c:pt>
                <c:pt idx="1">
                  <c:v>Customs</c:v>
                </c:pt>
                <c:pt idx="2">
                  <c:v>Infrastructure</c:v>
                </c:pt>
                <c:pt idx="3">
                  <c:v>International shipments</c:v>
                </c:pt>
                <c:pt idx="4">
                  <c:v>Logistics competence </c:v>
                </c:pt>
                <c:pt idx="5">
                  <c:v>Tracking &amp; tracing</c:v>
                </c:pt>
                <c:pt idx="6">
                  <c:v>Domestic logistics costs </c:v>
                </c:pt>
                <c:pt idx="7">
                  <c:v>Timeliness</c:v>
                </c:pt>
              </c:strCache>
            </c:strRef>
          </c:cat>
          <c:val>
            <c:numRef>
              <c:f>'[2]Figures 4, 5 &amp; 31 (score)'!$B$10:$I$10</c:f>
              <c:numCache>
                <c:formatCode>0.00</c:formatCode>
                <c:ptCount val="8"/>
                <c:pt idx="0">
                  <c:v>2.3374999999999977</c:v>
                </c:pt>
                <c:pt idx="1">
                  <c:v>2.0524999999999967</c:v>
                </c:pt>
                <c:pt idx="2">
                  <c:v>2.0949999999999998</c:v>
                </c:pt>
                <c:pt idx="3">
                  <c:v>2.3674999999999997</c:v>
                </c:pt>
                <c:pt idx="4">
                  <c:v>2.2824999999999998</c:v>
                </c:pt>
                <c:pt idx="5">
                  <c:v>2.3474999999999997</c:v>
                </c:pt>
                <c:pt idx="6">
                  <c:v>2.8449999999999998</c:v>
                </c:pt>
                <c:pt idx="7">
                  <c:v>2.9075000000000002</c:v>
                </c:pt>
              </c:numCache>
            </c:numRef>
          </c:val>
        </c:ser>
        <c:ser>
          <c:idx val="1"/>
          <c:order val="1"/>
          <c:tx>
            <c:strRef>
              <c:f>'[2]Figures 4, 5 &amp; 31 (score)'!$A$2</c:f>
              <c:strCache>
                <c:ptCount val="1"/>
                <c:pt idx="0">
                  <c:v>Belarus</c:v>
                </c:pt>
              </c:strCache>
            </c:strRef>
          </c:tx>
          <c:spPr>
            <a:solidFill>
              <a:schemeClr val="accent2"/>
            </a:solidFill>
            <a:ln w="12700">
              <a:solidFill>
                <a:srgbClr val="000000"/>
              </a:solidFill>
              <a:prstDash val="solid"/>
            </a:ln>
          </c:spPr>
          <c:dLbls>
            <c:spPr>
              <a:noFill/>
              <a:ln w="25400">
                <a:noFill/>
              </a:ln>
            </c:spPr>
            <c:txPr>
              <a:bodyPr rot="-5400000" vert="horz"/>
              <a:lstStyle/>
              <a:p>
                <a:pPr algn="ctr">
                  <a:defRPr/>
                </a:pPr>
                <a:endParaRPr lang="en-US"/>
              </a:p>
            </c:txPr>
            <c:dLblPos val="outEnd"/>
            <c:showVal val="1"/>
          </c:dLbls>
          <c:val>
            <c:numRef>
              <c:f>'[2]Figures 4, 5 &amp; 31 (score)'!$B$2:$I$2</c:f>
              <c:numCache>
                <c:formatCode>0.00</c:formatCode>
                <c:ptCount val="8"/>
                <c:pt idx="0">
                  <c:v>2.5299999999999998</c:v>
                </c:pt>
                <c:pt idx="1">
                  <c:v>2.67</c:v>
                </c:pt>
                <c:pt idx="2">
                  <c:v>2.63</c:v>
                </c:pt>
                <c:pt idx="3">
                  <c:v>2.13</c:v>
                </c:pt>
                <c:pt idx="4">
                  <c:v>2.13</c:v>
                </c:pt>
                <c:pt idx="5">
                  <c:v>2.71</c:v>
                </c:pt>
                <c:pt idx="6">
                  <c:v>3.13</c:v>
                </c:pt>
                <c:pt idx="7">
                  <c:v>3</c:v>
                </c:pt>
              </c:numCache>
            </c:numRef>
          </c:val>
        </c:ser>
        <c:ser>
          <c:idx val="2"/>
          <c:order val="2"/>
          <c:tx>
            <c:strRef>
              <c:f>'[2]Figures 4, 5 &amp; 31 (score)'!$A$11</c:f>
              <c:strCache>
                <c:ptCount val="1"/>
                <c:pt idx="0">
                  <c:v>Neighbouring EU average </c:v>
                </c:pt>
              </c:strCache>
            </c:strRef>
          </c:tx>
          <c:spPr>
            <a:solidFill>
              <a:schemeClr val="accent3"/>
            </a:solidFill>
            <a:ln w="12700">
              <a:solidFill>
                <a:srgbClr val="000000"/>
              </a:solidFill>
              <a:prstDash val="solid"/>
            </a:ln>
          </c:spPr>
          <c:dLbls>
            <c:spPr>
              <a:noFill/>
              <a:ln w="25400">
                <a:noFill/>
              </a:ln>
            </c:spPr>
            <c:txPr>
              <a:bodyPr rot="-5400000" vert="horz"/>
              <a:lstStyle/>
              <a:p>
                <a:pPr algn="ctr">
                  <a:defRPr/>
                </a:pPr>
                <a:endParaRPr lang="en-US"/>
              </a:p>
            </c:txPr>
            <c:dLblPos val="outEnd"/>
            <c:showVal val="1"/>
          </c:dLbls>
          <c:val>
            <c:numRef>
              <c:f>'[2]Figures 4, 5 &amp; 31 (score)'!$B$11:$I$11</c:f>
              <c:numCache>
                <c:formatCode>0.00</c:formatCode>
                <c:ptCount val="8"/>
                <c:pt idx="0">
                  <c:v>2.9466666666666668</c:v>
                </c:pt>
                <c:pt idx="1">
                  <c:v>2.6833333333333402</c:v>
                </c:pt>
                <c:pt idx="2">
                  <c:v>2.5166666666666577</c:v>
                </c:pt>
                <c:pt idx="3">
                  <c:v>3.0766666666666667</c:v>
                </c:pt>
                <c:pt idx="4">
                  <c:v>2.8933333333333331</c:v>
                </c:pt>
                <c:pt idx="5">
                  <c:v>2.9266666666666663</c:v>
                </c:pt>
                <c:pt idx="6">
                  <c:v>3.0566666666666578</c:v>
                </c:pt>
                <c:pt idx="7">
                  <c:v>3.56</c:v>
                </c:pt>
              </c:numCache>
            </c:numRef>
          </c:val>
        </c:ser>
        <c:dLbls>
          <c:showVal val="1"/>
        </c:dLbls>
        <c:axId val="192140800"/>
        <c:axId val="192142336"/>
      </c:barChart>
      <c:catAx>
        <c:axId val="192140800"/>
        <c:scaling>
          <c:orientation val="minMax"/>
        </c:scaling>
        <c:axPos val="b"/>
        <c:numFmt formatCode="General" sourceLinked="1"/>
        <c:tickLblPos val="nextTo"/>
        <c:spPr>
          <a:ln w="3175">
            <a:solidFill>
              <a:srgbClr val="000000"/>
            </a:solidFill>
            <a:prstDash val="solid"/>
          </a:ln>
        </c:spPr>
        <c:txPr>
          <a:bodyPr rot="0" vert="horz"/>
          <a:lstStyle/>
          <a:p>
            <a:pPr>
              <a:defRPr/>
            </a:pPr>
            <a:endParaRPr lang="en-US"/>
          </a:p>
        </c:txPr>
        <c:crossAx val="192142336"/>
        <c:crosses val="autoZero"/>
        <c:auto val="1"/>
        <c:lblAlgn val="ctr"/>
        <c:lblOffset val="100"/>
        <c:tickLblSkip val="1"/>
        <c:tickMarkSkip val="1"/>
      </c:catAx>
      <c:valAx>
        <c:axId val="192142336"/>
        <c:scaling>
          <c:orientation val="minMax"/>
          <c:min val="1"/>
        </c:scaling>
        <c:axPos val="l"/>
        <c:majorGridlines>
          <c:spPr>
            <a:ln w="3175">
              <a:solidFill>
                <a:srgbClr val="808080"/>
              </a:solidFill>
              <a:prstDash val="sysDash"/>
            </a:ln>
          </c:spPr>
        </c:majorGridlines>
        <c:numFmt formatCode="0.0" sourceLinked="0"/>
        <c:tickLblPos val="nextTo"/>
        <c:spPr>
          <a:ln w="3175">
            <a:solidFill>
              <a:srgbClr val="000000"/>
            </a:solidFill>
            <a:prstDash val="solid"/>
          </a:ln>
        </c:spPr>
        <c:txPr>
          <a:bodyPr rot="0" vert="horz"/>
          <a:lstStyle/>
          <a:p>
            <a:pPr>
              <a:defRPr/>
            </a:pPr>
            <a:endParaRPr lang="en-US"/>
          </a:p>
        </c:txPr>
        <c:crossAx val="192140800"/>
        <c:crosses val="autoZero"/>
        <c:crossBetween val="between"/>
      </c:valAx>
      <c:spPr>
        <a:solidFill>
          <a:srgbClr val="FFFFFF"/>
        </a:solidFill>
        <a:ln w="12700">
          <a:solidFill>
            <a:srgbClr val="808080"/>
          </a:solidFill>
          <a:prstDash val="solid"/>
        </a:ln>
      </c:spPr>
    </c:plotArea>
    <c:legend>
      <c:legendPos val="t"/>
      <c:layout>
        <c:manualLayout>
          <c:xMode val="edge"/>
          <c:yMode val="edge"/>
          <c:x val="0.21844694713123256"/>
          <c:y val="2.0100502512562814E-2"/>
          <c:w val="0.60356082429590208"/>
          <c:h val="6.0301507537688523E-2"/>
        </c:manualLayout>
      </c:layout>
      <c:spPr>
        <a:solidFill>
          <a:srgbClr val="FFFFFF"/>
        </a:solidFill>
        <a:ln w="3175">
          <a:solidFill>
            <a:srgbClr val="000000"/>
          </a:solidFill>
          <a:prstDash val="solid"/>
        </a:ln>
      </c:spPr>
    </c:legend>
    <c:plotVisOnly val="1"/>
    <c:dispBlanksAs val="gap"/>
  </c:chart>
  <c:spPr>
    <a:solidFill>
      <a:srgbClr val="FFFFFF"/>
    </a:solidFill>
    <a:ln w="9525">
      <a:noFill/>
    </a:ln>
  </c:spPr>
  <c:txPr>
    <a:bodyPr/>
    <a:lstStyle/>
    <a:p>
      <a:pPr>
        <a:defRPr sz="800" b="0" i="0" u="none" strike="noStrike" baseline="0">
          <a:solidFill>
            <a:srgbClr val="000000"/>
          </a:solidFill>
          <a:latin typeface="+mn-lt"/>
          <a:ea typeface="Arial"/>
          <a:cs typeface="Arial"/>
        </a:defRPr>
      </a:pPr>
      <a:endParaRPr lang="en-US"/>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style val="1"/>
  <c:chart>
    <c:title>
      <c:tx>
        <c:rich>
          <a:bodyPr/>
          <a:lstStyle/>
          <a:p>
            <a:pPr>
              <a:defRPr sz="1000">
                <a:latin typeface="+mn-lt"/>
              </a:defRPr>
            </a:pPr>
            <a:r>
              <a:rPr lang="en-US" sz="1000">
                <a:latin typeface="+mn-lt"/>
              </a:rPr>
              <a:t>Freight </a:t>
            </a:r>
          </a:p>
        </c:rich>
      </c:tx>
      <c:layout>
        <c:manualLayout>
          <c:xMode val="edge"/>
          <c:yMode val="edge"/>
          <c:x val="1.6374890638670161E-2"/>
          <c:y val="2.777777777777898E-2"/>
        </c:manualLayout>
      </c:layout>
    </c:title>
    <c:view3D>
      <c:rotX val="30"/>
      <c:perspective val="30"/>
    </c:view3D>
    <c:plotArea>
      <c:layout/>
      <c:pie3DChart>
        <c:varyColors val="1"/>
        <c:ser>
          <c:idx val="0"/>
          <c:order val="0"/>
          <c:tx>
            <c:strRef>
              <c:f>'[4]Transport evolution'!$F$9</c:f>
              <c:strCache>
                <c:ptCount val="1"/>
                <c:pt idx="0">
                  <c:v>2008</c:v>
                </c:pt>
              </c:strCache>
            </c:strRef>
          </c:tx>
          <c:dPt>
            <c:idx val="0"/>
            <c:spPr>
              <a:solidFill>
                <a:schemeClr val="accent1"/>
              </a:solidFill>
            </c:spPr>
          </c:dPt>
          <c:dPt>
            <c:idx val="1"/>
            <c:spPr>
              <a:solidFill>
                <a:schemeClr val="accent2"/>
              </a:solidFill>
            </c:spPr>
          </c:dPt>
          <c:dLbls>
            <c:dLbl>
              <c:idx val="0"/>
              <c:layout>
                <c:manualLayout>
                  <c:x val="1.5618110236220483E-2"/>
                  <c:y val="-4.5121391076115493E-2"/>
                </c:manualLayout>
              </c:layout>
              <c:numFmt formatCode="0.00%" sourceLinked="0"/>
              <c:spPr/>
              <c:txPr>
                <a:bodyPr/>
                <a:lstStyle/>
                <a:p>
                  <a:pPr>
                    <a:defRPr sz="700"/>
                  </a:pPr>
                  <a:endParaRPr lang="en-US"/>
                </a:p>
              </c:txPr>
              <c:showCatName val="1"/>
              <c:showPercent val="1"/>
            </c:dLbl>
            <c:dLbl>
              <c:idx val="1"/>
              <c:layout>
                <c:manualLayout>
                  <c:x val="0.10119313210848672"/>
                  <c:y val="-7.5648148148148145E-2"/>
                </c:manualLayout>
              </c:layout>
              <c:numFmt formatCode="0.00%" sourceLinked="0"/>
              <c:spPr/>
              <c:txPr>
                <a:bodyPr/>
                <a:lstStyle/>
                <a:p>
                  <a:pPr>
                    <a:defRPr sz="700"/>
                  </a:pPr>
                  <a:endParaRPr lang="en-US"/>
                </a:p>
              </c:txPr>
              <c:showCatName val="1"/>
              <c:showPercent val="1"/>
            </c:dLbl>
            <c:dLbl>
              <c:idx val="2"/>
              <c:delete val="1"/>
            </c:dLbl>
            <c:dLbl>
              <c:idx val="3"/>
              <c:layout>
                <c:manualLayout>
                  <c:x val="1.7170822397200365E-2"/>
                  <c:y val="-0.14259477981918928"/>
                </c:manualLayout>
              </c:layout>
              <c:numFmt formatCode="0.00%" sourceLinked="0"/>
              <c:spPr/>
              <c:txPr>
                <a:bodyPr/>
                <a:lstStyle/>
                <a:p>
                  <a:pPr>
                    <a:defRPr sz="700"/>
                  </a:pPr>
                  <a:endParaRPr lang="en-US"/>
                </a:p>
              </c:txPr>
              <c:showCatName val="1"/>
              <c:showPercent val="1"/>
            </c:dLbl>
            <c:numFmt formatCode="0.00%" sourceLinked="0"/>
            <c:txPr>
              <a:bodyPr/>
              <a:lstStyle/>
              <a:p>
                <a:pPr>
                  <a:defRPr sz="900"/>
                </a:pPr>
                <a:endParaRPr lang="en-US"/>
              </a:p>
            </c:txPr>
            <c:showCatName val="1"/>
            <c:showPercent val="1"/>
          </c:dLbls>
          <c:cat>
            <c:strRef>
              <c:f>('[4]Transport evolution'!$A$10:$A$11,'[4]Transport evolution'!$A$13:$A$14)</c:f>
              <c:strCache>
                <c:ptCount val="4"/>
                <c:pt idx="0">
                  <c:v>Rail</c:v>
                </c:pt>
                <c:pt idx="1">
                  <c:v>Road</c:v>
                </c:pt>
                <c:pt idx="2">
                  <c:v>IWT</c:v>
                </c:pt>
                <c:pt idx="3">
                  <c:v>Pipeline</c:v>
                </c:pt>
              </c:strCache>
            </c:strRef>
          </c:cat>
          <c:val>
            <c:numRef>
              <c:f>('[4]Transport evolution'!$F$10:$F$11,'[4]Transport evolution'!$F$13:$F$14)</c:f>
              <c:numCache>
                <c:formatCode>0.00%</c:formatCode>
                <c:ptCount val="4"/>
                <c:pt idx="0">
                  <c:v>0.35041017315244433</c:v>
                </c:pt>
                <c:pt idx="1">
                  <c:v>0.16283194701721521</c:v>
                </c:pt>
                <c:pt idx="2">
                  <c:v>9.4407770045558924E-4</c:v>
                </c:pt>
                <c:pt idx="3">
                  <c:v>0.48541328431758812</c:v>
                </c:pt>
              </c:numCache>
            </c:numRef>
          </c:val>
        </c:ser>
        <c:dLbls>
          <c:showCatName val="1"/>
          <c:showPercent val="1"/>
        </c:dLbls>
      </c:pie3DChart>
    </c:plotArea>
    <c:plotVisOnly val="1"/>
  </c:chart>
  <c:spPr>
    <a:ln>
      <a:noFill/>
    </a:ln>
  </c:sp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style val="1"/>
  <c:chart>
    <c:title>
      <c:tx>
        <c:rich>
          <a:bodyPr/>
          <a:lstStyle/>
          <a:p>
            <a:pPr>
              <a:defRPr sz="1000"/>
            </a:pPr>
            <a:r>
              <a:rPr lang="en-US" sz="1000"/>
              <a:t>Passenger </a:t>
            </a:r>
          </a:p>
        </c:rich>
      </c:tx>
      <c:layout>
        <c:manualLayout>
          <c:xMode val="edge"/>
          <c:yMode val="edge"/>
          <c:x val="1.9855022848041901E-2"/>
          <c:y val="2.6229508196721311E-2"/>
        </c:manualLayout>
      </c:layout>
    </c:title>
    <c:view3D>
      <c:rotX val="30"/>
      <c:depthPercent val="290"/>
      <c:perspective val="0"/>
    </c:view3D>
    <c:plotArea>
      <c:layout>
        <c:manualLayout>
          <c:layoutTarget val="inner"/>
          <c:xMode val="edge"/>
          <c:yMode val="edge"/>
          <c:x val="0.11106499104830439"/>
          <c:y val="0.27445243913476997"/>
          <c:w val="0.73371990752813498"/>
          <c:h val="0.6074459227079374"/>
        </c:manualLayout>
      </c:layout>
      <c:pie3DChart>
        <c:varyColors val="1"/>
        <c:ser>
          <c:idx val="0"/>
          <c:order val="0"/>
          <c:dPt>
            <c:idx val="0"/>
            <c:spPr>
              <a:solidFill>
                <a:schemeClr val="accent1"/>
              </a:solidFill>
            </c:spPr>
          </c:dPt>
          <c:dPt>
            <c:idx val="1"/>
            <c:spPr>
              <a:solidFill>
                <a:schemeClr val="accent2"/>
              </a:solidFill>
            </c:spPr>
          </c:dPt>
          <c:dPt>
            <c:idx val="3"/>
            <c:spPr>
              <a:solidFill>
                <a:schemeClr val="accent3"/>
              </a:solidFill>
            </c:spPr>
          </c:dPt>
          <c:dLbls>
            <c:dLbl>
              <c:idx val="0"/>
              <c:layout>
                <c:manualLayout>
                  <c:x val="8.3562806067014311E-3"/>
                  <c:y val="-8.8163159932877266E-2"/>
                </c:manualLayout>
              </c:layout>
              <c:showVal val="1"/>
              <c:showCatName val="1"/>
            </c:dLbl>
            <c:dLbl>
              <c:idx val="1"/>
              <c:layout>
                <c:manualLayout>
                  <c:x val="-1.5437437050047379E-2"/>
                  <c:y val="-1.8976808226840822E-3"/>
                </c:manualLayout>
              </c:layout>
              <c:showVal val="1"/>
              <c:showCatName val="1"/>
            </c:dLbl>
            <c:dLbl>
              <c:idx val="2"/>
              <c:delete val="1"/>
            </c:dLbl>
            <c:dLbl>
              <c:idx val="3"/>
              <c:layout>
                <c:manualLayout>
                  <c:x val="7.1497650695364443E-2"/>
                  <c:y val="-4.0198614517449126E-2"/>
                </c:manualLayout>
              </c:layout>
              <c:showVal val="1"/>
              <c:showCatName val="1"/>
            </c:dLbl>
            <c:txPr>
              <a:bodyPr/>
              <a:lstStyle/>
              <a:p>
                <a:pPr>
                  <a:defRPr sz="700"/>
                </a:pPr>
                <a:endParaRPr lang="en-US"/>
              </a:p>
            </c:txPr>
            <c:showVal val="1"/>
            <c:showCatName val="1"/>
          </c:dLbls>
          <c:cat>
            <c:strRef>
              <c:f>'[4]Transport evolution'!$A$34:$A$37</c:f>
              <c:strCache>
                <c:ptCount val="4"/>
                <c:pt idx="0">
                  <c:v>Rail</c:v>
                </c:pt>
                <c:pt idx="1">
                  <c:v>Bus</c:v>
                </c:pt>
                <c:pt idx="2">
                  <c:v>IWT</c:v>
                </c:pt>
                <c:pt idx="3">
                  <c:v>Air</c:v>
                </c:pt>
              </c:strCache>
            </c:strRef>
          </c:cat>
          <c:val>
            <c:numRef>
              <c:f>'[4]Transport evolution'!$F$34:$F$37</c:f>
              <c:numCache>
                <c:formatCode>0.00%</c:formatCode>
                <c:ptCount val="4"/>
                <c:pt idx="0">
                  <c:v>0.46283420948505088</c:v>
                </c:pt>
                <c:pt idx="1">
                  <c:v>0.46464303883329938</c:v>
                </c:pt>
                <c:pt idx="2">
                  <c:v>1.6957775139902126E-4</c:v>
                </c:pt>
                <c:pt idx="3">
                  <c:v>7.2353173930248788E-2</c:v>
                </c:pt>
              </c:numCache>
            </c:numRef>
          </c:val>
        </c:ser>
        <c:dLbls>
          <c:showVal val="1"/>
        </c:dLbls>
      </c:pie3DChart>
    </c:plotArea>
    <c:plotVisOnly val="1"/>
  </c:chart>
  <c:spPr>
    <a:ln>
      <a:noFill/>
    </a:ln>
  </c:sp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style val="1"/>
  <c:chart>
    <c:title>
      <c:tx>
        <c:rich>
          <a:bodyPr/>
          <a:lstStyle/>
          <a:p>
            <a:pPr>
              <a:defRPr/>
            </a:pPr>
            <a:endParaRPr lang="en-US"/>
          </a:p>
        </c:rich>
      </c:tx>
    </c:title>
    <c:view3D>
      <c:rAngAx val="1"/>
    </c:view3D>
    <c:plotArea>
      <c:layout>
        <c:manualLayout>
          <c:layoutTarget val="inner"/>
          <c:xMode val="edge"/>
          <c:yMode val="edge"/>
          <c:x val="0.16180125948420271"/>
          <c:y val="7.4533543307086794E-2"/>
          <c:w val="0.76083810342821023"/>
          <c:h val="0.65193070866142777"/>
        </c:manualLayout>
      </c:layout>
      <c:bar3DChart>
        <c:barDir val="bar"/>
        <c:grouping val="clustered"/>
        <c:ser>
          <c:idx val="0"/>
          <c:order val="0"/>
          <c:tx>
            <c:strRef>
              <c:f>[4]Freight!$B$35</c:f>
              <c:strCache>
                <c:ptCount val="1"/>
                <c:pt idx="0">
                  <c:v>International</c:v>
                </c:pt>
              </c:strCache>
            </c:strRef>
          </c:tx>
          <c:spPr>
            <a:solidFill>
              <a:schemeClr val="accent3"/>
            </a:solidFill>
          </c:spPr>
          <c:dLbls>
            <c:txPr>
              <a:bodyPr/>
              <a:lstStyle/>
              <a:p>
                <a:pPr>
                  <a:defRPr sz="800"/>
                </a:pPr>
                <a:endParaRPr lang="en-US"/>
              </a:p>
            </c:txPr>
            <c:showVal val="1"/>
          </c:dLbls>
          <c:cat>
            <c:numRef>
              <c:f>[4]Freight!$C$33:$G$33</c:f>
              <c:numCache>
                <c:formatCode>General</c:formatCode>
                <c:ptCount val="5"/>
                <c:pt idx="0">
                  <c:v>2000</c:v>
                </c:pt>
                <c:pt idx="1">
                  <c:v>2005</c:v>
                </c:pt>
                <c:pt idx="2">
                  <c:v>2006</c:v>
                </c:pt>
                <c:pt idx="3">
                  <c:v>2007</c:v>
                </c:pt>
                <c:pt idx="4">
                  <c:v>2008</c:v>
                </c:pt>
              </c:numCache>
            </c:numRef>
          </c:cat>
          <c:val>
            <c:numRef>
              <c:f>[4]Freight!$C$35:$G$35</c:f>
              <c:numCache>
                <c:formatCode>#,##0.0</c:formatCode>
                <c:ptCount val="5"/>
                <c:pt idx="0">
                  <c:v>23425.5</c:v>
                </c:pt>
                <c:pt idx="1">
                  <c:v>33339.199999999997</c:v>
                </c:pt>
                <c:pt idx="2">
                  <c:v>34062.300000000003</c:v>
                </c:pt>
                <c:pt idx="3">
                  <c:v>35543.800000000003</c:v>
                </c:pt>
                <c:pt idx="4">
                  <c:v>35053.4</c:v>
                </c:pt>
              </c:numCache>
            </c:numRef>
          </c:val>
        </c:ser>
        <c:ser>
          <c:idx val="1"/>
          <c:order val="1"/>
          <c:tx>
            <c:strRef>
              <c:f>[4]Freight!$B$39</c:f>
              <c:strCache>
                <c:ptCount val="1"/>
                <c:pt idx="0">
                  <c:v>Domestic</c:v>
                </c:pt>
              </c:strCache>
            </c:strRef>
          </c:tx>
          <c:spPr>
            <a:solidFill>
              <a:schemeClr val="accent2"/>
            </a:solidFill>
          </c:spPr>
          <c:dLbls>
            <c:dLbl>
              <c:idx val="0"/>
              <c:layout>
                <c:manualLayout>
                  <c:x val="0"/>
                  <c:y val="-2.777777777777906E-2"/>
                </c:manualLayout>
              </c:layout>
              <c:showVal val="1"/>
            </c:dLbl>
            <c:dLbl>
              <c:idx val="1"/>
              <c:layout>
                <c:manualLayout>
                  <c:x val="5.5555555555555558E-3"/>
                  <c:y val="-2.777777777777906E-2"/>
                </c:manualLayout>
              </c:layout>
              <c:showVal val="1"/>
            </c:dLbl>
            <c:dLbl>
              <c:idx val="2"/>
              <c:layout>
                <c:manualLayout>
                  <c:x val="0"/>
                  <c:y val="-2.3148148148148147E-2"/>
                </c:manualLayout>
              </c:layout>
              <c:showVal val="1"/>
            </c:dLbl>
            <c:dLbl>
              <c:idx val="3"/>
              <c:layout>
                <c:manualLayout>
                  <c:x val="2.7777777777779908E-3"/>
                  <c:y val="-1.3888888888889268E-2"/>
                </c:manualLayout>
              </c:layout>
              <c:showVal val="1"/>
            </c:dLbl>
            <c:dLbl>
              <c:idx val="4"/>
              <c:layout>
                <c:manualLayout>
                  <c:x val="2.7777777777779284E-3"/>
                  <c:y val="-1.3888888888889261E-2"/>
                </c:manualLayout>
              </c:layout>
              <c:showVal val="1"/>
            </c:dLbl>
            <c:txPr>
              <a:bodyPr/>
              <a:lstStyle/>
              <a:p>
                <a:pPr>
                  <a:defRPr sz="800"/>
                </a:pPr>
                <a:endParaRPr lang="en-US"/>
              </a:p>
            </c:txPr>
            <c:showVal val="1"/>
          </c:dLbls>
          <c:cat>
            <c:numRef>
              <c:f>[4]Freight!$C$33:$G$33</c:f>
              <c:numCache>
                <c:formatCode>General</c:formatCode>
                <c:ptCount val="5"/>
                <c:pt idx="0">
                  <c:v>2000</c:v>
                </c:pt>
                <c:pt idx="1">
                  <c:v>2005</c:v>
                </c:pt>
                <c:pt idx="2">
                  <c:v>2006</c:v>
                </c:pt>
                <c:pt idx="3">
                  <c:v>2007</c:v>
                </c:pt>
                <c:pt idx="4">
                  <c:v>2008</c:v>
                </c:pt>
              </c:numCache>
            </c:numRef>
          </c:cat>
          <c:val>
            <c:numRef>
              <c:f>[4]Freight!$C$39:$G$39</c:f>
              <c:numCache>
                <c:formatCode>#,##0.0</c:formatCode>
                <c:ptCount val="5"/>
                <c:pt idx="0">
                  <c:v>7999.6</c:v>
                </c:pt>
                <c:pt idx="1">
                  <c:v>10220.1</c:v>
                </c:pt>
                <c:pt idx="2">
                  <c:v>11660.9</c:v>
                </c:pt>
                <c:pt idx="3">
                  <c:v>12388.9</c:v>
                </c:pt>
                <c:pt idx="4">
                  <c:v>13940.9</c:v>
                </c:pt>
              </c:numCache>
            </c:numRef>
          </c:val>
        </c:ser>
        <c:dLbls>
          <c:showVal val="1"/>
        </c:dLbls>
        <c:shape val="box"/>
        <c:axId val="192408576"/>
        <c:axId val="192545536"/>
        <c:axId val="0"/>
      </c:bar3DChart>
      <c:catAx>
        <c:axId val="192408576"/>
        <c:scaling>
          <c:orientation val="minMax"/>
        </c:scaling>
        <c:axPos val="l"/>
        <c:numFmt formatCode="General" sourceLinked="1"/>
        <c:tickLblPos val="nextTo"/>
        <c:txPr>
          <a:bodyPr/>
          <a:lstStyle/>
          <a:p>
            <a:pPr>
              <a:defRPr sz="800"/>
            </a:pPr>
            <a:endParaRPr lang="en-US"/>
          </a:p>
        </c:txPr>
        <c:crossAx val="192545536"/>
        <c:crosses val="autoZero"/>
        <c:auto val="1"/>
        <c:lblAlgn val="ctr"/>
        <c:lblOffset val="100"/>
      </c:catAx>
      <c:valAx>
        <c:axId val="192545536"/>
        <c:scaling>
          <c:orientation val="minMax"/>
        </c:scaling>
        <c:axPos val="b"/>
        <c:title>
          <c:tx>
            <c:rich>
              <a:bodyPr/>
              <a:lstStyle/>
              <a:p>
                <a:pPr>
                  <a:defRPr sz="800"/>
                </a:pPr>
                <a:r>
                  <a:rPr lang="en-US" sz="800"/>
                  <a:t>Million Ton-km</a:t>
                </a:r>
              </a:p>
            </c:rich>
          </c:tx>
        </c:title>
        <c:numFmt formatCode="#,##0.0" sourceLinked="1"/>
        <c:majorTickMark val="none"/>
        <c:tickLblPos val="none"/>
        <c:crossAx val="192408576"/>
        <c:crosses val="autoZero"/>
        <c:crossBetween val="between"/>
      </c:valAx>
    </c:plotArea>
    <c:legend>
      <c:legendPos val="b"/>
      <c:txPr>
        <a:bodyPr/>
        <a:lstStyle/>
        <a:p>
          <a:pPr>
            <a:defRPr sz="800"/>
          </a:pPr>
          <a:endParaRPr lang="en-US"/>
        </a:p>
      </c:txPr>
    </c:legend>
    <c:plotVisOnly val="1"/>
  </c:chart>
  <c:spPr>
    <a:ln>
      <a:noFill/>
    </a:ln>
  </c:sp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style val="1"/>
  <c:chart>
    <c:autoTitleDeleted val="1"/>
    <c:plotArea>
      <c:layout>
        <c:manualLayout>
          <c:layoutTarget val="inner"/>
          <c:xMode val="edge"/>
          <c:yMode val="edge"/>
          <c:x val="0.17243305371142875"/>
          <c:y val="6.2947067238912732E-2"/>
          <c:w val="0.67422640797352829"/>
          <c:h val="0.63292307345703258"/>
        </c:manualLayout>
      </c:layout>
      <c:barChart>
        <c:barDir val="col"/>
        <c:grouping val="clustered"/>
        <c:ser>
          <c:idx val="0"/>
          <c:order val="0"/>
          <c:tx>
            <c:strRef>
              <c:f>'[4]Transport evolution'!$A$49</c:f>
              <c:strCache>
                <c:ptCount val="1"/>
                <c:pt idx="0">
                  <c:v>Road</c:v>
                </c:pt>
              </c:strCache>
            </c:strRef>
          </c:tx>
          <c:spPr>
            <a:solidFill>
              <a:schemeClr val="accent2"/>
            </a:solidFill>
          </c:spPr>
          <c:cat>
            <c:numRef>
              <c:f>'[4]Transport evolution'!$B$48:$F$48</c:f>
              <c:numCache>
                <c:formatCode>General</c:formatCode>
                <c:ptCount val="5"/>
                <c:pt idx="0">
                  <c:v>2000</c:v>
                </c:pt>
                <c:pt idx="1">
                  <c:v>2005</c:v>
                </c:pt>
                <c:pt idx="2">
                  <c:v>2006</c:v>
                </c:pt>
                <c:pt idx="3">
                  <c:v>2007</c:v>
                </c:pt>
                <c:pt idx="4">
                  <c:v>2008</c:v>
                </c:pt>
              </c:numCache>
            </c:numRef>
          </c:cat>
          <c:val>
            <c:numRef>
              <c:f>'[4]Transport evolution'!$B$49:$F$49</c:f>
              <c:numCache>
                <c:formatCode>#,##0</c:formatCode>
                <c:ptCount val="5"/>
                <c:pt idx="0">
                  <c:v>18980</c:v>
                </c:pt>
                <c:pt idx="1">
                  <c:v>24276</c:v>
                </c:pt>
                <c:pt idx="2">
                  <c:v>25122</c:v>
                </c:pt>
                <c:pt idx="3">
                  <c:v>28553</c:v>
                </c:pt>
                <c:pt idx="4">
                  <c:v>30987</c:v>
                </c:pt>
              </c:numCache>
            </c:numRef>
          </c:val>
        </c:ser>
        <c:ser>
          <c:idx val="1"/>
          <c:order val="1"/>
          <c:tx>
            <c:strRef>
              <c:f>'[4]Transport evolution'!$A$50</c:f>
              <c:strCache>
                <c:ptCount val="1"/>
                <c:pt idx="0">
                  <c:v>Rail</c:v>
                </c:pt>
              </c:strCache>
            </c:strRef>
          </c:tx>
          <c:spPr>
            <a:solidFill>
              <a:schemeClr val="tx2"/>
            </a:solidFill>
          </c:spPr>
          <c:cat>
            <c:numRef>
              <c:f>'[4]Transport evolution'!$B$48:$F$48</c:f>
              <c:numCache>
                <c:formatCode>General</c:formatCode>
                <c:ptCount val="5"/>
                <c:pt idx="0">
                  <c:v>2000</c:v>
                </c:pt>
                <c:pt idx="1">
                  <c:v>2005</c:v>
                </c:pt>
                <c:pt idx="2">
                  <c:v>2006</c:v>
                </c:pt>
                <c:pt idx="3">
                  <c:v>2007</c:v>
                </c:pt>
                <c:pt idx="4">
                  <c:v>2008</c:v>
                </c:pt>
              </c:numCache>
            </c:numRef>
          </c:cat>
          <c:val>
            <c:numRef>
              <c:f>'[4]Transport evolution'!$B$50:$F$50</c:f>
              <c:numCache>
                <c:formatCode>#,##0</c:formatCode>
                <c:ptCount val="5"/>
                <c:pt idx="0">
                  <c:v>49147</c:v>
                </c:pt>
                <c:pt idx="1">
                  <c:v>53910</c:v>
                </c:pt>
                <c:pt idx="2">
                  <c:v>55691</c:v>
                </c:pt>
                <c:pt idx="3">
                  <c:v>57299</c:v>
                </c:pt>
                <c:pt idx="4">
                  <c:v>57182</c:v>
                </c:pt>
              </c:numCache>
            </c:numRef>
          </c:val>
        </c:ser>
        <c:axId val="192599168"/>
        <c:axId val="192600704"/>
      </c:barChart>
      <c:lineChart>
        <c:grouping val="standard"/>
        <c:ser>
          <c:idx val="2"/>
          <c:order val="2"/>
          <c:tx>
            <c:strRef>
              <c:f>'[4]Transport evolution'!$A$51</c:f>
              <c:strCache>
                <c:ptCount val="1"/>
                <c:pt idx="0">
                  <c:v>Road Market Share</c:v>
                </c:pt>
              </c:strCache>
            </c:strRef>
          </c:tx>
          <c:dLbls>
            <c:dLbl>
              <c:idx val="1"/>
              <c:delete val="1"/>
            </c:dLbl>
            <c:dLbl>
              <c:idx val="2"/>
              <c:delete val="1"/>
            </c:dLbl>
            <c:dLbl>
              <c:idx val="3"/>
              <c:delete val="1"/>
            </c:dLbl>
            <c:txPr>
              <a:bodyPr/>
              <a:lstStyle/>
              <a:p>
                <a:pPr>
                  <a:defRPr sz="800"/>
                </a:pPr>
                <a:endParaRPr lang="en-US"/>
              </a:p>
            </c:txPr>
            <c:dLblPos val="t"/>
            <c:showVal val="1"/>
          </c:dLbls>
          <c:cat>
            <c:numRef>
              <c:f>'[4]Transport evolution'!$B$48:$F$48</c:f>
              <c:numCache>
                <c:formatCode>General</c:formatCode>
                <c:ptCount val="5"/>
                <c:pt idx="0">
                  <c:v>2000</c:v>
                </c:pt>
                <c:pt idx="1">
                  <c:v>2005</c:v>
                </c:pt>
                <c:pt idx="2">
                  <c:v>2006</c:v>
                </c:pt>
                <c:pt idx="3">
                  <c:v>2007</c:v>
                </c:pt>
                <c:pt idx="4">
                  <c:v>2008</c:v>
                </c:pt>
              </c:numCache>
            </c:numRef>
          </c:cat>
          <c:val>
            <c:numRef>
              <c:f>'[4]Transport evolution'!$B$51:$F$51</c:f>
              <c:numCache>
                <c:formatCode>0.00%</c:formatCode>
                <c:ptCount val="5"/>
                <c:pt idx="0">
                  <c:v>0.27859732558310213</c:v>
                </c:pt>
                <c:pt idx="1">
                  <c:v>0.31049036911980066</c:v>
                </c:pt>
                <c:pt idx="2">
                  <c:v>0.31086582604285057</c:v>
                </c:pt>
                <c:pt idx="3">
                  <c:v>0.33258398173602066</c:v>
                </c:pt>
                <c:pt idx="4">
                  <c:v>0.3514500561421815</c:v>
                </c:pt>
              </c:numCache>
            </c:numRef>
          </c:val>
        </c:ser>
        <c:ser>
          <c:idx val="3"/>
          <c:order val="3"/>
          <c:tx>
            <c:strRef>
              <c:f>'[4]Transport evolution'!$A$52</c:f>
              <c:strCache>
                <c:ptCount val="1"/>
                <c:pt idx="0">
                  <c:v>Rail Market Share</c:v>
                </c:pt>
              </c:strCache>
            </c:strRef>
          </c:tx>
          <c:dLbls>
            <c:dLbl>
              <c:idx val="1"/>
              <c:delete val="1"/>
            </c:dLbl>
            <c:dLbl>
              <c:idx val="2"/>
              <c:delete val="1"/>
            </c:dLbl>
            <c:dLbl>
              <c:idx val="3"/>
              <c:delete val="1"/>
            </c:dLbl>
            <c:txPr>
              <a:bodyPr/>
              <a:lstStyle/>
              <a:p>
                <a:pPr>
                  <a:defRPr sz="800"/>
                </a:pPr>
                <a:endParaRPr lang="en-US"/>
              </a:p>
            </c:txPr>
            <c:dLblPos val="t"/>
            <c:showVal val="1"/>
          </c:dLbls>
          <c:cat>
            <c:numRef>
              <c:f>'[4]Transport evolution'!$B$48:$F$48</c:f>
              <c:numCache>
                <c:formatCode>General</c:formatCode>
                <c:ptCount val="5"/>
                <c:pt idx="0">
                  <c:v>2000</c:v>
                </c:pt>
                <c:pt idx="1">
                  <c:v>2005</c:v>
                </c:pt>
                <c:pt idx="2">
                  <c:v>2006</c:v>
                </c:pt>
                <c:pt idx="3">
                  <c:v>2007</c:v>
                </c:pt>
                <c:pt idx="4">
                  <c:v>2008</c:v>
                </c:pt>
              </c:numCache>
            </c:numRef>
          </c:cat>
          <c:val>
            <c:numRef>
              <c:f>'[4]Transport evolution'!$B$52:$F$52</c:f>
              <c:numCache>
                <c:formatCode>0.00%</c:formatCode>
                <c:ptCount val="5"/>
                <c:pt idx="0">
                  <c:v>0.72140267441689865</c:v>
                </c:pt>
                <c:pt idx="1">
                  <c:v>0.68950963088020878</c:v>
                </c:pt>
                <c:pt idx="2">
                  <c:v>0.68913417395716037</c:v>
                </c:pt>
                <c:pt idx="3">
                  <c:v>0.6674160182639991</c:v>
                </c:pt>
                <c:pt idx="4">
                  <c:v>0.64854994385781861</c:v>
                </c:pt>
              </c:numCache>
            </c:numRef>
          </c:val>
        </c:ser>
        <c:marker val="1"/>
        <c:axId val="192620800"/>
        <c:axId val="192619264"/>
      </c:lineChart>
      <c:catAx>
        <c:axId val="192599168"/>
        <c:scaling>
          <c:orientation val="minMax"/>
        </c:scaling>
        <c:axPos val="b"/>
        <c:numFmt formatCode="General" sourceLinked="1"/>
        <c:tickLblPos val="nextTo"/>
        <c:txPr>
          <a:bodyPr/>
          <a:lstStyle/>
          <a:p>
            <a:pPr>
              <a:defRPr sz="700"/>
            </a:pPr>
            <a:endParaRPr lang="en-US"/>
          </a:p>
        </c:txPr>
        <c:crossAx val="192600704"/>
        <c:crosses val="autoZero"/>
        <c:auto val="1"/>
        <c:lblAlgn val="ctr"/>
        <c:lblOffset val="100"/>
      </c:catAx>
      <c:valAx>
        <c:axId val="192600704"/>
        <c:scaling>
          <c:orientation val="minMax"/>
        </c:scaling>
        <c:axPos val="l"/>
        <c:title>
          <c:tx>
            <c:rich>
              <a:bodyPr rot="-5400000" vert="horz"/>
              <a:lstStyle/>
              <a:p>
                <a:pPr>
                  <a:defRPr sz="700" b="0"/>
                </a:pPr>
                <a:r>
                  <a:rPr lang="en-US" sz="700" b="0"/>
                  <a:t>Mln traffic units</a:t>
                </a:r>
              </a:p>
            </c:rich>
          </c:tx>
        </c:title>
        <c:numFmt formatCode="#,##0" sourceLinked="1"/>
        <c:tickLblPos val="nextTo"/>
        <c:txPr>
          <a:bodyPr/>
          <a:lstStyle/>
          <a:p>
            <a:pPr>
              <a:defRPr sz="600"/>
            </a:pPr>
            <a:endParaRPr lang="en-US"/>
          </a:p>
        </c:txPr>
        <c:crossAx val="192599168"/>
        <c:crosses val="autoZero"/>
        <c:crossBetween val="between"/>
      </c:valAx>
      <c:valAx>
        <c:axId val="192619264"/>
        <c:scaling>
          <c:orientation val="minMax"/>
        </c:scaling>
        <c:axPos val="r"/>
        <c:numFmt formatCode="0.00%" sourceLinked="1"/>
        <c:tickLblPos val="nextTo"/>
        <c:txPr>
          <a:bodyPr/>
          <a:lstStyle/>
          <a:p>
            <a:pPr>
              <a:defRPr sz="700"/>
            </a:pPr>
            <a:endParaRPr lang="en-US"/>
          </a:p>
        </c:txPr>
        <c:crossAx val="192620800"/>
        <c:crosses val="max"/>
        <c:crossBetween val="between"/>
      </c:valAx>
      <c:catAx>
        <c:axId val="192620800"/>
        <c:scaling>
          <c:orientation val="minMax"/>
        </c:scaling>
        <c:delete val="1"/>
        <c:axPos val="b"/>
        <c:numFmt formatCode="General" sourceLinked="1"/>
        <c:tickLblPos val="none"/>
        <c:crossAx val="192619264"/>
        <c:crosses val="autoZero"/>
        <c:auto val="1"/>
        <c:lblAlgn val="ctr"/>
        <c:lblOffset val="100"/>
      </c:catAx>
    </c:plotArea>
    <c:legend>
      <c:legendPos val="b"/>
      <c:layout>
        <c:manualLayout>
          <c:xMode val="edge"/>
          <c:yMode val="edge"/>
          <c:x val="6.2287410152162423E-2"/>
          <c:y val="0.79493764996113658"/>
          <c:w val="0.8144230010464375"/>
          <c:h val="0.15928266477419994"/>
        </c:manualLayout>
      </c:layout>
      <c:txPr>
        <a:bodyPr/>
        <a:lstStyle/>
        <a:p>
          <a:pPr>
            <a:defRPr sz="800"/>
          </a:pPr>
          <a:endParaRPr lang="en-US"/>
        </a:p>
      </c:txPr>
    </c:legend>
    <c:plotVisOnly val="1"/>
    <c:dispBlanksAs val="gap"/>
  </c:chart>
  <c:spPr>
    <a:ln>
      <a:noFill/>
    </a:ln>
  </c:sp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style val="1"/>
  <c:chart>
    <c:autoTitleDeleted val="1"/>
    <c:view3D>
      <c:depthPercent val="100"/>
      <c:rAngAx val="1"/>
    </c:view3D>
    <c:plotArea>
      <c:layout>
        <c:manualLayout>
          <c:layoutTarget val="inner"/>
          <c:xMode val="edge"/>
          <c:yMode val="edge"/>
          <c:x val="0.14759382784158351"/>
          <c:y val="5.3547523427041513E-2"/>
          <c:w val="0.85240617215841663"/>
          <c:h val="0.79977579073802263"/>
        </c:manualLayout>
      </c:layout>
      <c:bar3DChart>
        <c:barDir val="bar"/>
        <c:grouping val="clustered"/>
        <c:ser>
          <c:idx val="0"/>
          <c:order val="0"/>
          <c:tx>
            <c:strRef>
              <c:f>[4]Passengers!$B$41</c:f>
              <c:strCache>
                <c:ptCount val="1"/>
                <c:pt idx="0">
                  <c:v>International</c:v>
                </c:pt>
              </c:strCache>
            </c:strRef>
          </c:tx>
          <c:spPr>
            <a:solidFill>
              <a:schemeClr val="accent3"/>
            </a:solidFill>
          </c:spPr>
          <c:dLbls>
            <c:txPr>
              <a:bodyPr/>
              <a:lstStyle/>
              <a:p>
                <a:pPr>
                  <a:defRPr sz="800"/>
                </a:pPr>
                <a:endParaRPr lang="en-US"/>
              </a:p>
            </c:txPr>
            <c:showVal val="1"/>
          </c:dLbls>
          <c:cat>
            <c:numRef>
              <c:f>[4]Passengers!$C$37:$G$37</c:f>
              <c:numCache>
                <c:formatCode>General</c:formatCode>
                <c:ptCount val="5"/>
                <c:pt idx="0">
                  <c:v>2000</c:v>
                </c:pt>
                <c:pt idx="1">
                  <c:v>2005</c:v>
                </c:pt>
                <c:pt idx="2">
                  <c:v>2006</c:v>
                </c:pt>
                <c:pt idx="3">
                  <c:v>2007</c:v>
                </c:pt>
                <c:pt idx="4">
                  <c:v>2008</c:v>
                </c:pt>
              </c:numCache>
            </c:numRef>
          </c:cat>
          <c:val>
            <c:numRef>
              <c:f>[4]Passengers!$C$41:$G$41</c:f>
              <c:numCache>
                <c:formatCode>#,##0</c:formatCode>
                <c:ptCount val="5"/>
                <c:pt idx="0">
                  <c:v>2211</c:v>
                </c:pt>
                <c:pt idx="1">
                  <c:v>2671</c:v>
                </c:pt>
                <c:pt idx="2">
                  <c:v>2852</c:v>
                </c:pt>
                <c:pt idx="3">
                  <c:v>2885</c:v>
                </c:pt>
                <c:pt idx="4">
                  <c:v>2791</c:v>
                </c:pt>
              </c:numCache>
            </c:numRef>
          </c:val>
        </c:ser>
        <c:ser>
          <c:idx val="1"/>
          <c:order val="1"/>
          <c:tx>
            <c:strRef>
              <c:f>[4]Passengers!$B$46</c:f>
              <c:strCache>
                <c:ptCount val="1"/>
                <c:pt idx="0">
                  <c:v>National</c:v>
                </c:pt>
              </c:strCache>
            </c:strRef>
          </c:tx>
          <c:spPr>
            <a:solidFill>
              <a:schemeClr val="accent2"/>
            </a:solidFill>
          </c:spPr>
          <c:dLbls>
            <c:txPr>
              <a:bodyPr/>
              <a:lstStyle/>
              <a:p>
                <a:pPr>
                  <a:defRPr sz="800"/>
                </a:pPr>
                <a:endParaRPr lang="en-US"/>
              </a:p>
            </c:txPr>
            <c:showVal val="1"/>
          </c:dLbls>
          <c:cat>
            <c:numRef>
              <c:f>[4]Passengers!$C$37:$G$37</c:f>
              <c:numCache>
                <c:formatCode>General</c:formatCode>
                <c:ptCount val="5"/>
                <c:pt idx="0">
                  <c:v>2000</c:v>
                </c:pt>
                <c:pt idx="1">
                  <c:v>2005</c:v>
                </c:pt>
                <c:pt idx="2">
                  <c:v>2006</c:v>
                </c:pt>
                <c:pt idx="3">
                  <c:v>2007</c:v>
                </c:pt>
                <c:pt idx="4">
                  <c:v>2008</c:v>
                </c:pt>
              </c:numCache>
            </c:numRef>
          </c:cat>
          <c:val>
            <c:numRef>
              <c:f>[4]Passengers!$C$46:$G$46</c:f>
              <c:numCache>
                <c:formatCode>#,##0</c:formatCode>
                <c:ptCount val="5"/>
                <c:pt idx="0">
                  <c:v>2654</c:v>
                </c:pt>
                <c:pt idx="1">
                  <c:v>1880</c:v>
                </c:pt>
                <c:pt idx="2">
                  <c:v>1957</c:v>
                </c:pt>
                <c:pt idx="3">
                  <c:v>1969</c:v>
                </c:pt>
                <c:pt idx="4">
                  <c:v>1981</c:v>
                </c:pt>
              </c:numCache>
            </c:numRef>
          </c:val>
        </c:ser>
        <c:ser>
          <c:idx val="2"/>
          <c:order val="2"/>
          <c:tx>
            <c:strRef>
              <c:f>[4]Passengers!$B$47</c:f>
              <c:strCache>
                <c:ptCount val="1"/>
                <c:pt idx="0">
                  <c:v>Suburban (including intra-urban)</c:v>
                </c:pt>
              </c:strCache>
            </c:strRef>
          </c:tx>
          <c:spPr>
            <a:solidFill>
              <a:schemeClr val="tx2"/>
            </a:solidFill>
          </c:spPr>
          <c:dLbls>
            <c:txPr>
              <a:bodyPr/>
              <a:lstStyle/>
              <a:p>
                <a:pPr>
                  <a:defRPr sz="800"/>
                </a:pPr>
                <a:endParaRPr lang="en-US"/>
              </a:p>
            </c:txPr>
            <c:showVal val="1"/>
          </c:dLbls>
          <c:cat>
            <c:numRef>
              <c:f>[4]Passengers!$C$37:$G$37</c:f>
              <c:numCache>
                <c:formatCode>General</c:formatCode>
                <c:ptCount val="5"/>
                <c:pt idx="0">
                  <c:v>2000</c:v>
                </c:pt>
                <c:pt idx="1">
                  <c:v>2005</c:v>
                </c:pt>
                <c:pt idx="2">
                  <c:v>2006</c:v>
                </c:pt>
                <c:pt idx="3">
                  <c:v>2007</c:v>
                </c:pt>
                <c:pt idx="4">
                  <c:v>2008</c:v>
                </c:pt>
              </c:numCache>
            </c:numRef>
          </c:cat>
          <c:val>
            <c:numRef>
              <c:f>[4]Passengers!$C$47:$G$47</c:f>
              <c:numCache>
                <c:formatCode>#,##0</c:formatCode>
                <c:ptCount val="5"/>
                <c:pt idx="0">
                  <c:v>12857</c:v>
                </c:pt>
                <c:pt idx="1">
                  <c:v>5800</c:v>
                </c:pt>
                <c:pt idx="2">
                  <c:v>5159</c:v>
                </c:pt>
                <c:pt idx="3">
                  <c:v>4512</c:v>
                </c:pt>
                <c:pt idx="4">
                  <c:v>3416</c:v>
                </c:pt>
              </c:numCache>
            </c:numRef>
          </c:val>
        </c:ser>
        <c:dLbls>
          <c:showVal val="1"/>
        </c:dLbls>
        <c:shape val="box"/>
        <c:axId val="192672128"/>
        <c:axId val="192673664"/>
        <c:axId val="0"/>
      </c:bar3DChart>
      <c:catAx>
        <c:axId val="192672128"/>
        <c:scaling>
          <c:orientation val="minMax"/>
        </c:scaling>
        <c:axPos val="l"/>
        <c:numFmt formatCode="General" sourceLinked="1"/>
        <c:majorTickMark val="none"/>
        <c:tickLblPos val="nextTo"/>
        <c:txPr>
          <a:bodyPr/>
          <a:lstStyle/>
          <a:p>
            <a:pPr>
              <a:defRPr sz="800"/>
            </a:pPr>
            <a:endParaRPr lang="en-US"/>
          </a:p>
        </c:txPr>
        <c:crossAx val="192673664"/>
        <c:crosses val="autoZero"/>
        <c:auto val="1"/>
        <c:lblAlgn val="ctr"/>
        <c:lblOffset val="100"/>
      </c:catAx>
      <c:valAx>
        <c:axId val="192673664"/>
        <c:scaling>
          <c:orientation val="minMax"/>
        </c:scaling>
        <c:delete val="1"/>
        <c:axPos val="b"/>
        <c:numFmt formatCode="#,##0" sourceLinked="1"/>
        <c:tickLblPos val="none"/>
        <c:crossAx val="192672128"/>
        <c:crosses val="autoZero"/>
        <c:crossBetween val="between"/>
      </c:valAx>
    </c:plotArea>
    <c:legend>
      <c:legendPos val="b"/>
      <c:layout>
        <c:manualLayout>
          <c:xMode val="edge"/>
          <c:yMode val="edge"/>
          <c:x val="0"/>
          <c:y val="0.83270119970635859"/>
          <c:w val="0.99620302846759534"/>
          <c:h val="0.13664745929747693"/>
        </c:manualLayout>
      </c:layout>
      <c:txPr>
        <a:bodyPr/>
        <a:lstStyle/>
        <a:p>
          <a:pPr>
            <a:defRPr sz="800"/>
          </a:pPr>
          <a:endParaRPr lang="en-US"/>
        </a:p>
      </c:txPr>
    </c:legend>
    <c:plotVisOnly val="1"/>
  </c:chart>
  <c:spPr>
    <a:ln>
      <a:noFill/>
    </a:ln>
  </c:sp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style val="26"/>
  <c:chart>
    <c:autoTitleDeleted val="1"/>
    <c:plotArea>
      <c:layout/>
      <c:barChart>
        <c:barDir val="bar"/>
        <c:grouping val="clustered"/>
        <c:ser>
          <c:idx val="0"/>
          <c:order val="0"/>
          <c:tx>
            <c:strRef>
              <c:f>Passengers!$B$38</c:f>
              <c:strCache>
                <c:ptCount val="1"/>
                <c:pt idx="0">
                  <c:v>Passenger turnover, total, mln passenger-km</c:v>
                </c:pt>
              </c:strCache>
            </c:strRef>
          </c:tx>
          <c:spPr>
            <a:solidFill>
              <a:schemeClr val="tx2"/>
            </a:solidFill>
            <a:scene3d>
              <a:camera prst="orthographicFront"/>
              <a:lightRig rig="threePt" dir="t">
                <a:rot lat="0" lon="0" rev="1200000"/>
              </a:lightRig>
            </a:scene3d>
            <a:sp3d/>
          </c:spPr>
          <c:dPt>
            <c:idx val="5"/>
            <c:spPr>
              <a:solidFill>
                <a:schemeClr val="tx2"/>
              </a:solidFill>
              <a:scene3d>
                <a:camera prst="orthographicFront"/>
                <a:lightRig rig="threePt" dir="t">
                  <a:rot lat="0" lon="0" rev="1200000"/>
                </a:lightRig>
              </a:scene3d>
              <a:sp3d/>
            </c:spPr>
          </c:dPt>
          <c:dLbls>
            <c:dLbl>
              <c:idx val="5"/>
              <c:spPr/>
              <c:txPr>
                <a:bodyPr/>
                <a:lstStyle/>
                <a:p>
                  <a:pPr>
                    <a:defRPr sz="700" b="1">
                      <a:solidFill>
                        <a:srgbClr val="FF0000"/>
                      </a:solidFill>
                    </a:defRPr>
                  </a:pPr>
                  <a:endParaRPr lang="en-US"/>
                </a:p>
              </c:txPr>
            </c:dLbl>
            <c:txPr>
              <a:bodyPr/>
              <a:lstStyle/>
              <a:p>
                <a:pPr>
                  <a:defRPr sz="700"/>
                </a:pPr>
                <a:endParaRPr lang="en-US"/>
              </a:p>
            </c:txPr>
            <c:dLblPos val="outEnd"/>
            <c:showVal val="1"/>
          </c:dLbls>
          <c:cat>
            <c:numRef>
              <c:f>Passengers!$C$37:$H$37</c:f>
              <c:numCache>
                <c:formatCode>General</c:formatCode>
                <c:ptCount val="6"/>
                <c:pt idx="0">
                  <c:v>2000</c:v>
                </c:pt>
                <c:pt idx="1">
                  <c:v>2005</c:v>
                </c:pt>
                <c:pt idx="2">
                  <c:v>2006</c:v>
                </c:pt>
                <c:pt idx="3">
                  <c:v>2007</c:v>
                </c:pt>
                <c:pt idx="4">
                  <c:v>2008</c:v>
                </c:pt>
                <c:pt idx="5">
                  <c:v>2009</c:v>
                </c:pt>
              </c:numCache>
            </c:numRef>
          </c:cat>
          <c:val>
            <c:numRef>
              <c:f>Passengers!$C$38:$H$38</c:f>
              <c:numCache>
                <c:formatCode>#,##0</c:formatCode>
                <c:ptCount val="6"/>
                <c:pt idx="0">
                  <c:v>17722</c:v>
                </c:pt>
                <c:pt idx="1">
                  <c:v>10351</c:v>
                </c:pt>
                <c:pt idx="2">
                  <c:v>9968</c:v>
                </c:pt>
                <c:pt idx="3">
                  <c:v>9366</c:v>
                </c:pt>
                <c:pt idx="4">
                  <c:v>8188</c:v>
                </c:pt>
                <c:pt idx="5">
                  <c:v>7401</c:v>
                </c:pt>
              </c:numCache>
            </c:numRef>
          </c:val>
        </c:ser>
        <c:dLbls>
          <c:showVal val="1"/>
        </c:dLbls>
        <c:axId val="192395520"/>
        <c:axId val="193302528"/>
      </c:barChart>
      <c:catAx>
        <c:axId val="192395520"/>
        <c:scaling>
          <c:orientation val="minMax"/>
        </c:scaling>
        <c:axPos val="l"/>
        <c:numFmt formatCode="General" sourceLinked="1"/>
        <c:tickLblPos val="nextTo"/>
        <c:txPr>
          <a:bodyPr/>
          <a:lstStyle/>
          <a:p>
            <a:pPr>
              <a:defRPr sz="700"/>
            </a:pPr>
            <a:endParaRPr lang="en-US"/>
          </a:p>
        </c:txPr>
        <c:crossAx val="193302528"/>
        <c:crosses val="autoZero"/>
        <c:auto val="1"/>
        <c:lblAlgn val="ctr"/>
        <c:lblOffset val="100"/>
      </c:catAx>
      <c:valAx>
        <c:axId val="193302528"/>
        <c:scaling>
          <c:orientation val="minMax"/>
        </c:scaling>
        <c:axPos val="b"/>
        <c:title>
          <c:tx>
            <c:rich>
              <a:bodyPr/>
              <a:lstStyle/>
              <a:p>
                <a:pPr>
                  <a:defRPr sz="700"/>
                </a:pPr>
                <a:r>
                  <a:rPr lang="en-US" sz="700"/>
                  <a:t>Million Passenger-km</a:t>
                </a:r>
              </a:p>
            </c:rich>
          </c:tx>
        </c:title>
        <c:numFmt formatCode="#,##0" sourceLinked="1"/>
        <c:tickLblPos val="nextTo"/>
        <c:txPr>
          <a:bodyPr/>
          <a:lstStyle/>
          <a:p>
            <a:pPr>
              <a:defRPr sz="700"/>
            </a:pPr>
            <a:endParaRPr lang="en-US"/>
          </a:p>
        </c:txPr>
        <c:crossAx val="192395520"/>
        <c:crosses val="autoZero"/>
        <c:crossBetween val="between"/>
      </c:valAx>
    </c:plotArea>
    <c:plotVisOnly val="1"/>
  </c:chart>
  <c:spPr>
    <a:ln>
      <a:noFill/>
    </a:ln>
  </c:sp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US"/>
  <c:style val="26"/>
  <c:chart>
    <c:autoTitleDeleted val="1"/>
    <c:plotArea>
      <c:layout/>
      <c:barChart>
        <c:barDir val="bar"/>
        <c:grouping val="clustered"/>
        <c:ser>
          <c:idx val="0"/>
          <c:order val="0"/>
          <c:tx>
            <c:strRef>
              <c:f>Freight!$B$34</c:f>
              <c:strCache>
                <c:ptCount val="1"/>
                <c:pt idx="0">
                  <c:v>Total [mln ton-km]</c:v>
                </c:pt>
              </c:strCache>
            </c:strRef>
          </c:tx>
          <c:spPr>
            <a:solidFill>
              <a:schemeClr val="tx2"/>
            </a:solidFill>
            <a:scene3d>
              <a:camera prst="orthographicFront"/>
              <a:lightRig rig="threePt" dir="t">
                <a:rot lat="0" lon="0" rev="1200000"/>
              </a:lightRig>
            </a:scene3d>
            <a:sp3d/>
          </c:spPr>
          <c:dPt>
            <c:idx val="5"/>
            <c:spPr>
              <a:solidFill>
                <a:schemeClr val="tx2"/>
              </a:solidFill>
              <a:scene3d>
                <a:camera prst="orthographicFront"/>
                <a:lightRig rig="threePt" dir="t">
                  <a:rot lat="0" lon="0" rev="1200000"/>
                </a:lightRig>
              </a:scene3d>
              <a:sp3d/>
            </c:spPr>
          </c:dPt>
          <c:dLbls>
            <c:dLbl>
              <c:idx val="5"/>
              <c:numFmt formatCode="#,##0" sourceLinked="0"/>
              <c:spPr/>
              <c:txPr>
                <a:bodyPr/>
                <a:lstStyle/>
                <a:p>
                  <a:pPr>
                    <a:defRPr sz="700" b="1">
                      <a:solidFill>
                        <a:srgbClr val="FF0000"/>
                      </a:solidFill>
                    </a:defRPr>
                  </a:pPr>
                  <a:endParaRPr lang="en-US"/>
                </a:p>
              </c:txPr>
            </c:dLbl>
            <c:numFmt formatCode="#,##0" sourceLinked="0"/>
            <c:txPr>
              <a:bodyPr/>
              <a:lstStyle/>
              <a:p>
                <a:pPr>
                  <a:defRPr sz="700"/>
                </a:pPr>
                <a:endParaRPr lang="en-US"/>
              </a:p>
            </c:txPr>
            <c:dLblPos val="outEnd"/>
            <c:showVal val="1"/>
          </c:dLbls>
          <c:cat>
            <c:numRef>
              <c:f>Freight!$C$33:$H$33</c:f>
              <c:numCache>
                <c:formatCode>General</c:formatCode>
                <c:ptCount val="6"/>
                <c:pt idx="0">
                  <c:v>2000</c:v>
                </c:pt>
                <c:pt idx="1">
                  <c:v>2005</c:v>
                </c:pt>
                <c:pt idx="2">
                  <c:v>2006</c:v>
                </c:pt>
                <c:pt idx="3">
                  <c:v>2007</c:v>
                </c:pt>
                <c:pt idx="4">
                  <c:v>2008</c:v>
                </c:pt>
                <c:pt idx="5">
                  <c:v>2009</c:v>
                </c:pt>
              </c:numCache>
            </c:numRef>
          </c:cat>
          <c:val>
            <c:numRef>
              <c:f>Freight!$C$34:$H$34</c:f>
              <c:numCache>
                <c:formatCode>#,##0.0</c:formatCode>
                <c:ptCount val="6"/>
                <c:pt idx="0">
                  <c:v>31425.1</c:v>
                </c:pt>
                <c:pt idx="1">
                  <c:v>43559.3</c:v>
                </c:pt>
                <c:pt idx="2">
                  <c:v>45723.7</c:v>
                </c:pt>
                <c:pt idx="3">
                  <c:v>47932.7</c:v>
                </c:pt>
                <c:pt idx="4">
                  <c:v>48994.3</c:v>
                </c:pt>
                <c:pt idx="5" formatCode="#,##0">
                  <c:v>42742</c:v>
                </c:pt>
              </c:numCache>
            </c:numRef>
          </c:val>
        </c:ser>
        <c:dLbls>
          <c:showVal val="1"/>
        </c:dLbls>
        <c:axId val="193315200"/>
        <c:axId val="193316736"/>
      </c:barChart>
      <c:catAx>
        <c:axId val="193315200"/>
        <c:scaling>
          <c:orientation val="minMax"/>
        </c:scaling>
        <c:axPos val="l"/>
        <c:numFmt formatCode="General" sourceLinked="1"/>
        <c:tickLblPos val="nextTo"/>
        <c:txPr>
          <a:bodyPr/>
          <a:lstStyle/>
          <a:p>
            <a:pPr>
              <a:defRPr sz="700"/>
            </a:pPr>
            <a:endParaRPr lang="en-US"/>
          </a:p>
        </c:txPr>
        <c:crossAx val="193316736"/>
        <c:crosses val="autoZero"/>
        <c:auto val="1"/>
        <c:lblAlgn val="ctr"/>
        <c:lblOffset val="100"/>
      </c:catAx>
      <c:valAx>
        <c:axId val="193316736"/>
        <c:scaling>
          <c:orientation val="minMax"/>
        </c:scaling>
        <c:axPos val="b"/>
        <c:title>
          <c:tx>
            <c:rich>
              <a:bodyPr/>
              <a:lstStyle/>
              <a:p>
                <a:pPr>
                  <a:defRPr sz="700"/>
                </a:pPr>
                <a:r>
                  <a:rPr lang="en-US" sz="700"/>
                  <a:t>Million Tons-km</a:t>
                </a:r>
              </a:p>
            </c:rich>
          </c:tx>
        </c:title>
        <c:numFmt formatCode="#,##0" sourceLinked="0"/>
        <c:tickLblPos val="nextTo"/>
        <c:txPr>
          <a:bodyPr/>
          <a:lstStyle/>
          <a:p>
            <a:pPr>
              <a:defRPr sz="700"/>
            </a:pPr>
            <a:endParaRPr lang="en-US"/>
          </a:p>
        </c:txPr>
        <c:crossAx val="193315200"/>
        <c:crosses val="autoZero"/>
        <c:crossBetween val="between"/>
      </c:valAx>
    </c:plotArea>
    <c:plotVisOnly val="1"/>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1265507436570428"/>
          <c:y val="5.1400554097404488E-2"/>
          <c:w val="0.86216426071741037"/>
          <c:h val="0.79822506561679785"/>
        </c:manualLayout>
      </c:layout>
      <c:lineChart>
        <c:grouping val="standard"/>
        <c:ser>
          <c:idx val="0"/>
          <c:order val="0"/>
          <c:tx>
            <c:strRef>
              <c:f>[3]Sheet3!$A$49</c:f>
              <c:strCache>
                <c:ptCount val="1"/>
                <c:pt idx="0">
                  <c:v>Air </c:v>
                </c:pt>
              </c:strCache>
            </c:strRef>
          </c:tx>
          <c:marker>
            <c:symbol val="none"/>
          </c:marker>
          <c:cat>
            <c:numRef>
              <c:f>[3]Sheet3!$B$48:$G$48</c:f>
              <c:numCache>
                <c:formatCode>General</c:formatCode>
                <c:ptCount val="6"/>
                <c:pt idx="0">
                  <c:v>2003</c:v>
                </c:pt>
                <c:pt idx="1">
                  <c:v>2004</c:v>
                </c:pt>
                <c:pt idx="2">
                  <c:v>2005</c:v>
                </c:pt>
                <c:pt idx="3">
                  <c:v>2006</c:v>
                </c:pt>
                <c:pt idx="4">
                  <c:v>2007</c:v>
                </c:pt>
                <c:pt idx="5">
                  <c:v>2008</c:v>
                </c:pt>
              </c:numCache>
            </c:numRef>
          </c:cat>
          <c:val>
            <c:numRef>
              <c:f>[3]Sheet3!$B$49:$G$49</c:f>
              <c:numCache>
                <c:formatCode>General</c:formatCode>
                <c:ptCount val="6"/>
                <c:pt idx="0">
                  <c:v>68</c:v>
                </c:pt>
                <c:pt idx="1">
                  <c:v>55.3</c:v>
                </c:pt>
                <c:pt idx="2">
                  <c:v>50.5</c:v>
                </c:pt>
                <c:pt idx="3">
                  <c:v>66.599999999999994</c:v>
                </c:pt>
                <c:pt idx="4">
                  <c:v>82.5</c:v>
                </c:pt>
                <c:pt idx="5">
                  <c:v>117.2</c:v>
                </c:pt>
              </c:numCache>
            </c:numRef>
          </c:val>
        </c:ser>
        <c:ser>
          <c:idx val="1"/>
          <c:order val="1"/>
          <c:tx>
            <c:strRef>
              <c:f>[3]Sheet3!$A$50</c:f>
              <c:strCache>
                <c:ptCount val="1"/>
                <c:pt idx="0">
                  <c:v>Rail </c:v>
                </c:pt>
              </c:strCache>
            </c:strRef>
          </c:tx>
          <c:marker>
            <c:symbol val="none"/>
          </c:marker>
          <c:cat>
            <c:numRef>
              <c:f>[3]Sheet3!$B$48:$G$48</c:f>
              <c:numCache>
                <c:formatCode>General</c:formatCode>
                <c:ptCount val="6"/>
                <c:pt idx="0">
                  <c:v>2003</c:v>
                </c:pt>
                <c:pt idx="1">
                  <c:v>2004</c:v>
                </c:pt>
                <c:pt idx="2">
                  <c:v>2005</c:v>
                </c:pt>
                <c:pt idx="3">
                  <c:v>2006</c:v>
                </c:pt>
                <c:pt idx="4">
                  <c:v>2007</c:v>
                </c:pt>
                <c:pt idx="5">
                  <c:v>2008</c:v>
                </c:pt>
              </c:numCache>
            </c:numRef>
          </c:cat>
          <c:val>
            <c:numRef>
              <c:f>[3]Sheet3!$B$50:$G$50</c:f>
              <c:numCache>
                <c:formatCode>General</c:formatCode>
                <c:ptCount val="6"/>
                <c:pt idx="0">
                  <c:v>274.3</c:v>
                </c:pt>
                <c:pt idx="1">
                  <c:v>261.8</c:v>
                </c:pt>
                <c:pt idx="2">
                  <c:v>339.9</c:v>
                </c:pt>
                <c:pt idx="3">
                  <c:v>523.4</c:v>
                </c:pt>
                <c:pt idx="4">
                  <c:v>650.5</c:v>
                </c:pt>
                <c:pt idx="5">
                  <c:v>801.3</c:v>
                </c:pt>
              </c:numCache>
            </c:numRef>
          </c:val>
        </c:ser>
        <c:ser>
          <c:idx val="2"/>
          <c:order val="2"/>
          <c:tx>
            <c:strRef>
              <c:f>[3]Sheet3!$A$51</c:f>
              <c:strCache>
                <c:ptCount val="1"/>
                <c:pt idx="0">
                  <c:v>Road </c:v>
                </c:pt>
              </c:strCache>
            </c:strRef>
          </c:tx>
          <c:marker>
            <c:symbol val="none"/>
          </c:marker>
          <c:cat>
            <c:numRef>
              <c:f>[3]Sheet3!$B$48:$G$48</c:f>
              <c:numCache>
                <c:formatCode>General</c:formatCode>
                <c:ptCount val="6"/>
                <c:pt idx="0">
                  <c:v>2003</c:v>
                </c:pt>
                <c:pt idx="1">
                  <c:v>2004</c:v>
                </c:pt>
                <c:pt idx="2">
                  <c:v>2005</c:v>
                </c:pt>
                <c:pt idx="3">
                  <c:v>2006</c:v>
                </c:pt>
                <c:pt idx="4">
                  <c:v>2007</c:v>
                </c:pt>
                <c:pt idx="5">
                  <c:v>2008</c:v>
                </c:pt>
              </c:numCache>
            </c:numRef>
          </c:cat>
          <c:val>
            <c:numRef>
              <c:f>[3]Sheet3!$B$51:$G$51</c:f>
              <c:numCache>
                <c:formatCode>General</c:formatCode>
                <c:ptCount val="6"/>
                <c:pt idx="0">
                  <c:v>234.2</c:v>
                </c:pt>
                <c:pt idx="1">
                  <c:v>257</c:v>
                </c:pt>
                <c:pt idx="2">
                  <c:v>290.8</c:v>
                </c:pt>
                <c:pt idx="3">
                  <c:v>339.6</c:v>
                </c:pt>
                <c:pt idx="4">
                  <c:v>449.1</c:v>
                </c:pt>
                <c:pt idx="5">
                  <c:v>626.79999999999995</c:v>
                </c:pt>
              </c:numCache>
            </c:numRef>
          </c:val>
        </c:ser>
        <c:ser>
          <c:idx val="3"/>
          <c:order val="3"/>
          <c:tx>
            <c:strRef>
              <c:f>[3]Sheet3!$A$52</c:f>
              <c:strCache>
                <c:ptCount val="1"/>
                <c:pt idx="0">
                  <c:v>Pipelines</c:v>
                </c:pt>
              </c:strCache>
            </c:strRef>
          </c:tx>
          <c:marker>
            <c:symbol val="none"/>
          </c:marker>
          <c:cat>
            <c:numRef>
              <c:f>[3]Sheet3!$B$48:$G$48</c:f>
              <c:numCache>
                <c:formatCode>General</c:formatCode>
                <c:ptCount val="6"/>
                <c:pt idx="0">
                  <c:v>2003</c:v>
                </c:pt>
                <c:pt idx="1">
                  <c:v>2004</c:v>
                </c:pt>
                <c:pt idx="2">
                  <c:v>2005</c:v>
                </c:pt>
                <c:pt idx="3">
                  <c:v>2006</c:v>
                </c:pt>
                <c:pt idx="4">
                  <c:v>2007</c:v>
                </c:pt>
                <c:pt idx="5">
                  <c:v>2008</c:v>
                </c:pt>
              </c:numCache>
            </c:numRef>
          </c:cat>
          <c:val>
            <c:numRef>
              <c:f>[3]Sheet3!$B$52:$G$52</c:f>
              <c:numCache>
                <c:formatCode>General</c:formatCode>
                <c:ptCount val="6"/>
                <c:pt idx="0">
                  <c:v>269.60000000000002</c:v>
                </c:pt>
                <c:pt idx="1">
                  <c:v>370.2</c:v>
                </c:pt>
                <c:pt idx="2">
                  <c:v>396.4</c:v>
                </c:pt>
                <c:pt idx="3">
                  <c:v>477.4</c:v>
                </c:pt>
                <c:pt idx="4">
                  <c:v>992.3</c:v>
                </c:pt>
                <c:pt idx="5">
                  <c:v>1218.5999999999999</c:v>
                </c:pt>
              </c:numCache>
            </c:numRef>
          </c:val>
        </c:ser>
        <c:ser>
          <c:idx val="4"/>
          <c:order val="4"/>
          <c:tx>
            <c:strRef>
              <c:f>[3]Sheet3!$A$53</c:f>
              <c:strCache>
                <c:ptCount val="1"/>
                <c:pt idx="0">
                  <c:v>Other transportation</c:v>
                </c:pt>
              </c:strCache>
            </c:strRef>
          </c:tx>
          <c:marker>
            <c:symbol val="none"/>
          </c:marker>
          <c:cat>
            <c:numRef>
              <c:f>[3]Sheet3!$B$48:$G$48</c:f>
              <c:numCache>
                <c:formatCode>General</c:formatCode>
                <c:ptCount val="6"/>
                <c:pt idx="0">
                  <c:v>2003</c:v>
                </c:pt>
                <c:pt idx="1">
                  <c:v>2004</c:v>
                </c:pt>
                <c:pt idx="2">
                  <c:v>2005</c:v>
                </c:pt>
                <c:pt idx="3">
                  <c:v>2006</c:v>
                </c:pt>
                <c:pt idx="4">
                  <c:v>2007</c:v>
                </c:pt>
                <c:pt idx="5">
                  <c:v>2008</c:v>
                </c:pt>
              </c:numCache>
            </c:numRef>
          </c:cat>
          <c:val>
            <c:numRef>
              <c:f>[3]Sheet3!$B$53:$G$53</c:f>
              <c:numCache>
                <c:formatCode>General</c:formatCode>
                <c:ptCount val="6"/>
                <c:pt idx="0">
                  <c:v>14.3</c:v>
                </c:pt>
                <c:pt idx="1">
                  <c:v>81.2</c:v>
                </c:pt>
                <c:pt idx="2">
                  <c:v>112.3</c:v>
                </c:pt>
                <c:pt idx="3">
                  <c:v>144.19999999999999</c:v>
                </c:pt>
                <c:pt idx="4">
                  <c:v>175.1</c:v>
                </c:pt>
                <c:pt idx="5">
                  <c:v>227.6</c:v>
                </c:pt>
              </c:numCache>
            </c:numRef>
          </c:val>
        </c:ser>
        <c:marker val="1"/>
        <c:axId val="180115712"/>
        <c:axId val="180121600"/>
      </c:lineChart>
      <c:catAx>
        <c:axId val="180115712"/>
        <c:scaling>
          <c:orientation val="minMax"/>
        </c:scaling>
        <c:axPos val="b"/>
        <c:numFmt formatCode="General" sourceLinked="1"/>
        <c:tickLblPos val="nextTo"/>
        <c:crossAx val="180121600"/>
        <c:crosses val="autoZero"/>
        <c:auto val="1"/>
        <c:lblAlgn val="ctr"/>
        <c:lblOffset val="100"/>
      </c:catAx>
      <c:valAx>
        <c:axId val="180121600"/>
        <c:scaling>
          <c:orientation val="minMax"/>
        </c:scaling>
        <c:axPos val="l"/>
        <c:majorGridlines/>
        <c:numFmt formatCode="General" sourceLinked="1"/>
        <c:tickLblPos val="nextTo"/>
        <c:crossAx val="180115712"/>
        <c:crosses val="autoZero"/>
        <c:crossBetween val="between"/>
      </c:valAx>
    </c:plotArea>
    <c:legend>
      <c:legendPos val="r"/>
      <c:layout>
        <c:manualLayout>
          <c:xMode val="edge"/>
          <c:yMode val="edge"/>
          <c:x val="0.1785426163834784"/>
          <c:y val="6.8484597320071894E-2"/>
          <c:w val="0.51992225461613262"/>
          <c:h val="0.38732931662895276"/>
        </c:manualLayout>
      </c:layout>
    </c:legend>
    <c:plotVisOnly val="1"/>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US"/>
  <c:style val="1"/>
  <c:chart>
    <c:autoTitleDeleted val="1"/>
    <c:plotArea>
      <c:layout>
        <c:manualLayout>
          <c:layoutTarget val="inner"/>
          <c:xMode val="edge"/>
          <c:yMode val="edge"/>
          <c:x val="0.11241425330308299"/>
          <c:y val="0.11929531535830749"/>
          <c:w val="0.94117647058823561"/>
          <c:h val="0.72267536704730861"/>
        </c:manualLayout>
      </c:layout>
      <c:barChart>
        <c:barDir val="col"/>
        <c:grouping val="clustered"/>
        <c:ser>
          <c:idx val="0"/>
          <c:order val="0"/>
          <c:tx>
            <c:strRef>
              <c:f>[5]Data!$E$4</c:f>
              <c:strCache>
                <c:ptCount val="1"/>
                <c:pt idx="0">
                  <c:v>Motorway network density (per 1 million habitant)</c:v>
                </c:pt>
              </c:strCache>
            </c:strRef>
          </c:tx>
          <c:spPr>
            <a:solidFill>
              <a:schemeClr val="accent2"/>
            </a:solidFill>
          </c:spPr>
          <c:dPt>
            <c:idx val="15"/>
            <c:spPr>
              <a:solidFill>
                <a:schemeClr val="tx1"/>
              </a:solidFill>
            </c:spPr>
          </c:dPt>
          <c:dLbls>
            <c:txPr>
              <a:bodyPr/>
              <a:lstStyle/>
              <a:p>
                <a:pPr>
                  <a:defRPr sz="700"/>
                </a:pPr>
                <a:endParaRPr lang="en-US"/>
              </a:p>
            </c:txPr>
            <c:showVal val="1"/>
          </c:dLbls>
          <c:cat>
            <c:strRef>
              <c:f>[5]Data!$B$6:$B$21</c:f>
              <c:strCache>
                <c:ptCount val="16"/>
                <c:pt idx="0">
                  <c:v>Belgium</c:v>
                </c:pt>
                <c:pt idx="1">
                  <c:v>Denmark</c:v>
                </c:pt>
                <c:pt idx="2">
                  <c:v>Germany</c:v>
                </c:pt>
                <c:pt idx="3">
                  <c:v>Greece</c:v>
                </c:pt>
                <c:pt idx="4">
                  <c:v>Spain</c:v>
                </c:pt>
                <c:pt idx="5">
                  <c:v>France</c:v>
                </c:pt>
                <c:pt idx="6">
                  <c:v>Ireland</c:v>
                </c:pt>
                <c:pt idx="7">
                  <c:v>Italy</c:v>
                </c:pt>
                <c:pt idx="8">
                  <c:v>Luxembourg</c:v>
                </c:pt>
                <c:pt idx="9">
                  <c:v>Netherlands</c:v>
                </c:pt>
                <c:pt idx="10">
                  <c:v>Austria</c:v>
                </c:pt>
                <c:pt idx="11">
                  <c:v>Portugal</c:v>
                </c:pt>
                <c:pt idx="12">
                  <c:v>Finland</c:v>
                </c:pt>
                <c:pt idx="13">
                  <c:v>Sweden</c:v>
                </c:pt>
                <c:pt idx="14">
                  <c:v>United Kingdom</c:v>
                </c:pt>
                <c:pt idx="15">
                  <c:v>Belarus</c:v>
                </c:pt>
              </c:strCache>
            </c:strRef>
          </c:cat>
          <c:val>
            <c:numRef>
              <c:f>[5]Data!$E$6:$E$21</c:f>
              <c:numCache>
                <c:formatCode>#,##0</c:formatCode>
                <c:ptCount val="16"/>
                <c:pt idx="0">
                  <c:v>163.65044033678808</c:v>
                </c:pt>
                <c:pt idx="1">
                  <c:v>177.33531819873627</c:v>
                </c:pt>
                <c:pt idx="2">
                  <c:v>142.86926480392751</c:v>
                </c:pt>
                <c:pt idx="3">
                  <c:v>47.032264133195355</c:v>
                </c:pt>
                <c:pt idx="4">
                  <c:v>233.91255468386859</c:v>
                </c:pt>
                <c:pt idx="5">
                  <c:v>164.17584264940712</c:v>
                </c:pt>
                <c:pt idx="6">
                  <c:v>27.040816326530614</c:v>
                </c:pt>
                <c:pt idx="7">
                  <c:v>111.85647425897037</c:v>
                </c:pt>
                <c:pt idx="8">
                  <c:v>259.00900900900905</c:v>
                </c:pt>
                <c:pt idx="9">
                  <c:v>146.18434093161667</c:v>
                </c:pt>
                <c:pt idx="10">
                  <c:v>204.39860834990247</c:v>
                </c:pt>
                <c:pt idx="11">
                  <c:v>163.01464085683403</c:v>
                </c:pt>
                <c:pt idx="12">
                  <c:v>89.824966339680458</c:v>
                </c:pt>
                <c:pt idx="13">
                  <c:v>171.33572389063201</c:v>
                </c:pt>
                <c:pt idx="14">
                  <c:v>60.865454422664094</c:v>
                </c:pt>
                <c:pt idx="15">
                  <c:v>111.66830377914491</c:v>
                </c:pt>
              </c:numCache>
            </c:numRef>
          </c:val>
        </c:ser>
        <c:axId val="193374080"/>
        <c:axId val="193375616"/>
      </c:barChart>
      <c:catAx>
        <c:axId val="193374080"/>
        <c:scaling>
          <c:orientation val="minMax"/>
        </c:scaling>
        <c:axPos val="b"/>
        <c:numFmt formatCode="General" sourceLinked="1"/>
        <c:tickLblPos val="nextTo"/>
        <c:txPr>
          <a:bodyPr rot="-2700000" vert="horz"/>
          <a:lstStyle/>
          <a:p>
            <a:pPr>
              <a:defRPr sz="700"/>
            </a:pPr>
            <a:endParaRPr lang="en-US"/>
          </a:p>
        </c:txPr>
        <c:crossAx val="193375616"/>
        <c:crosses val="autoZero"/>
        <c:auto val="1"/>
        <c:lblAlgn val="ctr"/>
        <c:lblOffset val="100"/>
        <c:tickLblSkip val="1"/>
        <c:tickMarkSkip val="1"/>
      </c:catAx>
      <c:valAx>
        <c:axId val="193375616"/>
        <c:scaling>
          <c:orientation val="minMax"/>
        </c:scaling>
        <c:axPos val="l"/>
        <c:numFmt formatCode="#,##0" sourceLinked="1"/>
        <c:minorTickMark val="in"/>
        <c:tickLblPos val="nextTo"/>
        <c:txPr>
          <a:bodyPr rot="0" vert="horz"/>
          <a:lstStyle/>
          <a:p>
            <a:pPr>
              <a:defRPr sz="700"/>
            </a:pPr>
            <a:endParaRPr lang="en-US"/>
          </a:p>
        </c:txPr>
        <c:crossAx val="193374080"/>
        <c:crosses val="autoZero"/>
        <c:crossBetween val="between"/>
      </c:valAx>
    </c:plotArea>
    <c:plotVisOnly val="1"/>
    <c:dispBlanksAs val="gap"/>
  </c:chart>
  <c:spPr>
    <a:ln>
      <a:noFill/>
    </a:ln>
  </c:spPr>
  <c:externalData r:id="rId1"/>
  <c:userShapes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n-US"/>
  <c:style val="1"/>
  <c:chart>
    <c:view3D>
      <c:rAngAx val="1"/>
    </c:view3D>
    <c:sideWall>
      <c:spPr>
        <a:scene3d>
          <a:camera prst="orthographicFront"/>
          <a:lightRig rig="threePt" dir="t"/>
        </a:scene3d>
        <a:sp3d/>
      </c:spPr>
    </c:sideWall>
    <c:backWall>
      <c:spPr>
        <a:scene3d>
          <a:camera prst="orthographicFront"/>
          <a:lightRig rig="threePt" dir="t"/>
        </a:scene3d>
        <a:sp3d/>
      </c:spPr>
    </c:backWall>
    <c:plotArea>
      <c:layout>
        <c:manualLayout>
          <c:layoutTarget val="inner"/>
          <c:xMode val="edge"/>
          <c:yMode val="edge"/>
          <c:x val="0.20802106807356152"/>
          <c:y val="7.1895424836603133E-2"/>
          <c:w val="0.72992497149979096"/>
          <c:h val="0.69161271507728206"/>
        </c:manualLayout>
      </c:layout>
      <c:bar3DChart>
        <c:barDir val="bar"/>
        <c:grouping val="percentStacked"/>
        <c:ser>
          <c:idx val="0"/>
          <c:order val="0"/>
          <c:tx>
            <c:strRef>
              <c:f>Sheet1!$B$501</c:f>
              <c:strCache>
                <c:ptCount val="1"/>
                <c:pt idx="0">
                  <c:v>Good </c:v>
                </c:pt>
              </c:strCache>
            </c:strRef>
          </c:tx>
          <c:spPr>
            <a:solidFill>
              <a:schemeClr val="tx2"/>
            </a:solidFill>
          </c:spPr>
          <c:cat>
            <c:strRef>
              <c:f>Sheet1!$A$502:$A$504</c:f>
              <c:strCache>
                <c:ptCount val="3"/>
                <c:pt idx="0">
                  <c:v>Local roads</c:v>
                </c:pt>
                <c:pt idx="1">
                  <c:v>Regional roads</c:v>
                </c:pt>
                <c:pt idx="2">
                  <c:v>Main roads</c:v>
                </c:pt>
              </c:strCache>
            </c:strRef>
          </c:cat>
          <c:val>
            <c:numRef>
              <c:f>Sheet1!$B$502:$B$504</c:f>
              <c:numCache>
                <c:formatCode>0%</c:formatCode>
                <c:ptCount val="3"/>
                <c:pt idx="0">
                  <c:v>5.0035528185693985E-3</c:v>
                </c:pt>
                <c:pt idx="1">
                  <c:v>2.0224900897985601E-3</c:v>
                </c:pt>
                <c:pt idx="2">
                  <c:v>0.12959947899706944</c:v>
                </c:pt>
              </c:numCache>
            </c:numRef>
          </c:val>
        </c:ser>
        <c:ser>
          <c:idx val="1"/>
          <c:order val="1"/>
          <c:tx>
            <c:strRef>
              <c:f>Sheet1!$C$501</c:f>
              <c:strCache>
                <c:ptCount val="1"/>
                <c:pt idx="0">
                  <c:v>Satisfactory</c:v>
                </c:pt>
              </c:strCache>
            </c:strRef>
          </c:tx>
          <c:spPr>
            <a:solidFill>
              <a:schemeClr val="accent2"/>
            </a:solidFill>
          </c:spPr>
          <c:cat>
            <c:strRef>
              <c:f>Sheet1!$A$502:$A$504</c:f>
              <c:strCache>
                <c:ptCount val="3"/>
                <c:pt idx="0">
                  <c:v>Local roads</c:v>
                </c:pt>
                <c:pt idx="1">
                  <c:v>Regional roads</c:v>
                </c:pt>
                <c:pt idx="2">
                  <c:v>Main roads</c:v>
                </c:pt>
              </c:strCache>
            </c:strRef>
          </c:cat>
          <c:val>
            <c:numRef>
              <c:f>Sheet1!$C$502:$C$504</c:f>
              <c:numCache>
                <c:formatCode>0%</c:formatCode>
                <c:ptCount val="3"/>
                <c:pt idx="0">
                  <c:v>0.55900639507342487</c:v>
                </c:pt>
                <c:pt idx="1">
                  <c:v>0.2048377962947982</c:v>
                </c:pt>
                <c:pt idx="2">
                  <c:v>0.52849234776944565</c:v>
                </c:pt>
              </c:numCache>
            </c:numRef>
          </c:val>
        </c:ser>
        <c:ser>
          <c:idx val="2"/>
          <c:order val="2"/>
          <c:tx>
            <c:strRef>
              <c:f>Sheet1!$D$501</c:f>
              <c:strCache>
                <c:ptCount val="1"/>
                <c:pt idx="0">
                  <c:v>Poor/Very Poor</c:v>
                </c:pt>
              </c:strCache>
            </c:strRef>
          </c:tx>
          <c:spPr>
            <a:solidFill>
              <a:schemeClr val="accent2">
                <a:lumMod val="60000"/>
                <a:lumOff val="40000"/>
              </a:schemeClr>
            </a:solidFill>
          </c:spPr>
          <c:cat>
            <c:strRef>
              <c:f>Sheet1!$A$502:$A$504</c:f>
              <c:strCache>
                <c:ptCount val="3"/>
                <c:pt idx="0">
                  <c:v>Local roads</c:v>
                </c:pt>
                <c:pt idx="1">
                  <c:v>Regional roads</c:v>
                </c:pt>
                <c:pt idx="2">
                  <c:v>Main roads</c:v>
                </c:pt>
              </c:strCache>
            </c:strRef>
          </c:cat>
          <c:val>
            <c:numRef>
              <c:f>Sheet1!$D$502:$D$504</c:f>
              <c:numCache>
                <c:formatCode>0%</c:formatCode>
                <c:ptCount val="3"/>
                <c:pt idx="0">
                  <c:v>0.43599005210800568</c:v>
                </c:pt>
                <c:pt idx="1">
                  <c:v>0.79313971361541524</c:v>
                </c:pt>
                <c:pt idx="2">
                  <c:v>0.34190817323348338</c:v>
                </c:pt>
              </c:numCache>
            </c:numRef>
          </c:val>
        </c:ser>
        <c:shape val="box"/>
        <c:axId val="196522368"/>
        <c:axId val="196523904"/>
        <c:axId val="0"/>
      </c:bar3DChart>
      <c:catAx>
        <c:axId val="196522368"/>
        <c:scaling>
          <c:orientation val="minMax"/>
        </c:scaling>
        <c:axPos val="l"/>
        <c:tickLblPos val="nextTo"/>
        <c:crossAx val="196523904"/>
        <c:crosses val="autoZero"/>
        <c:auto val="1"/>
        <c:lblAlgn val="ctr"/>
        <c:lblOffset val="100"/>
      </c:catAx>
      <c:valAx>
        <c:axId val="196523904"/>
        <c:scaling>
          <c:orientation val="minMax"/>
        </c:scaling>
        <c:axPos val="b"/>
        <c:majorGridlines/>
        <c:numFmt formatCode="0%" sourceLinked="1"/>
        <c:tickLblPos val="nextTo"/>
        <c:crossAx val="196522368"/>
        <c:crosses val="autoZero"/>
        <c:crossBetween val="between"/>
      </c:valAx>
    </c:plotArea>
    <c:legend>
      <c:legendPos val="r"/>
      <c:layout>
        <c:manualLayout>
          <c:xMode val="edge"/>
          <c:yMode val="edge"/>
          <c:x val="3.5624132841980613E-2"/>
          <c:y val="0.84921025496812885"/>
          <c:w val="0.9152658828605329"/>
          <c:h val="0.12580875919921777"/>
        </c:manualLayout>
      </c:layout>
    </c:legend>
    <c:plotVisOnly val="1"/>
  </c:chart>
  <c:spPr>
    <a:ln>
      <a:noFill/>
    </a:ln>
  </c:spPr>
  <c:txPr>
    <a:bodyPr/>
    <a:lstStyle/>
    <a:p>
      <a:pPr>
        <a:defRPr sz="700"/>
      </a:pPr>
      <a:endParaRPr lang="en-US"/>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lang val="en-US"/>
  <c:chart>
    <c:plotArea>
      <c:layout/>
      <c:barChart>
        <c:barDir val="col"/>
        <c:grouping val="clustered"/>
        <c:ser>
          <c:idx val="0"/>
          <c:order val="0"/>
          <c:tx>
            <c:strRef>
              <c:f>Sheet2!$D$9</c:f>
              <c:strCache>
                <c:ptCount val="1"/>
                <c:pt idx="0">
                  <c:v>Republican Roads</c:v>
                </c:pt>
              </c:strCache>
            </c:strRef>
          </c:tx>
          <c:dLbls>
            <c:numFmt formatCode="#,##0" sourceLinked="0"/>
            <c:txPr>
              <a:bodyPr/>
              <a:lstStyle/>
              <a:p>
                <a:pPr>
                  <a:defRPr sz="700"/>
                </a:pPr>
                <a:endParaRPr lang="en-US"/>
              </a:p>
            </c:txPr>
            <c:showVal val="1"/>
          </c:dLbls>
          <c:cat>
            <c:strRef>
              <c:f>Sheet2!$C$10:$C$13</c:f>
              <c:strCache>
                <c:ptCount val="4"/>
                <c:pt idx="0">
                  <c:v>Less than 6 tons</c:v>
                </c:pt>
                <c:pt idx="1">
                  <c:v>Between 6 and 8 tons</c:v>
                </c:pt>
                <c:pt idx="2">
                  <c:v>Between 8 and 10 tons</c:v>
                </c:pt>
                <c:pt idx="3">
                  <c:v>Between 10 and 11.5 tons</c:v>
                </c:pt>
              </c:strCache>
            </c:strRef>
          </c:cat>
          <c:val>
            <c:numRef>
              <c:f>Sheet2!$D$10:$D$13</c:f>
              <c:numCache>
                <c:formatCode>General</c:formatCode>
                <c:ptCount val="4"/>
                <c:pt idx="0">
                  <c:v>1358</c:v>
                </c:pt>
                <c:pt idx="1">
                  <c:v>3893</c:v>
                </c:pt>
                <c:pt idx="2">
                  <c:v>8164</c:v>
                </c:pt>
                <c:pt idx="3">
                  <c:v>1330</c:v>
                </c:pt>
              </c:numCache>
            </c:numRef>
          </c:val>
        </c:ser>
        <c:ser>
          <c:idx val="1"/>
          <c:order val="1"/>
          <c:tx>
            <c:strRef>
              <c:f>Sheet2!$E$9</c:f>
              <c:strCache>
                <c:ptCount val="1"/>
                <c:pt idx="0">
                  <c:v>Local Roads</c:v>
                </c:pt>
              </c:strCache>
            </c:strRef>
          </c:tx>
          <c:dLbls>
            <c:numFmt formatCode="#,##0" sourceLinked="0"/>
            <c:txPr>
              <a:bodyPr/>
              <a:lstStyle/>
              <a:p>
                <a:pPr>
                  <a:defRPr sz="700"/>
                </a:pPr>
                <a:endParaRPr lang="en-US"/>
              </a:p>
            </c:txPr>
            <c:showVal val="1"/>
          </c:dLbls>
          <c:cat>
            <c:strRef>
              <c:f>Sheet2!$C$10:$C$13</c:f>
              <c:strCache>
                <c:ptCount val="4"/>
                <c:pt idx="0">
                  <c:v>Less than 6 tons</c:v>
                </c:pt>
                <c:pt idx="1">
                  <c:v>Between 6 and 8 tons</c:v>
                </c:pt>
                <c:pt idx="2">
                  <c:v>Between 8 and 10 tons</c:v>
                </c:pt>
                <c:pt idx="3">
                  <c:v>Between 10 and 11.5 tons</c:v>
                </c:pt>
              </c:strCache>
            </c:strRef>
          </c:cat>
          <c:val>
            <c:numRef>
              <c:f>Sheet2!$E$10:$E$13</c:f>
              <c:numCache>
                <c:formatCode>General</c:formatCode>
                <c:ptCount val="4"/>
                <c:pt idx="0">
                  <c:v>46252</c:v>
                </c:pt>
                <c:pt idx="1">
                  <c:v>8772</c:v>
                </c:pt>
                <c:pt idx="2">
                  <c:v>2337</c:v>
                </c:pt>
                <c:pt idx="3">
                  <c:v>0</c:v>
                </c:pt>
              </c:numCache>
            </c:numRef>
          </c:val>
        </c:ser>
        <c:dLbls>
          <c:showVal val="1"/>
        </c:dLbls>
        <c:axId val="196536960"/>
        <c:axId val="193405312"/>
      </c:barChart>
      <c:catAx>
        <c:axId val="196536960"/>
        <c:scaling>
          <c:orientation val="minMax"/>
        </c:scaling>
        <c:axPos val="b"/>
        <c:tickLblPos val="nextTo"/>
        <c:txPr>
          <a:bodyPr/>
          <a:lstStyle/>
          <a:p>
            <a:pPr>
              <a:defRPr sz="800"/>
            </a:pPr>
            <a:endParaRPr lang="en-US"/>
          </a:p>
        </c:txPr>
        <c:crossAx val="193405312"/>
        <c:crosses val="autoZero"/>
        <c:auto val="1"/>
        <c:lblAlgn val="ctr"/>
        <c:lblOffset val="100"/>
      </c:catAx>
      <c:valAx>
        <c:axId val="193405312"/>
        <c:scaling>
          <c:orientation val="minMax"/>
        </c:scaling>
        <c:axPos val="l"/>
        <c:numFmt formatCode="#,##0" sourceLinked="0"/>
        <c:tickLblPos val="nextTo"/>
        <c:txPr>
          <a:bodyPr/>
          <a:lstStyle/>
          <a:p>
            <a:pPr>
              <a:defRPr sz="700"/>
            </a:pPr>
            <a:endParaRPr lang="en-US"/>
          </a:p>
        </c:txPr>
        <c:crossAx val="196536960"/>
        <c:crosses val="autoZero"/>
        <c:crossBetween val="between"/>
      </c:valAx>
    </c:plotArea>
    <c:legend>
      <c:legendPos val="b"/>
      <c:layout>
        <c:manualLayout>
          <c:xMode val="edge"/>
          <c:yMode val="edge"/>
          <c:x val="0.13482004284555568"/>
          <c:y val="0.85983883332299371"/>
          <c:w val="0.73905639117437705"/>
          <c:h val="7.6611216416103078E-2"/>
        </c:manualLayout>
      </c:layout>
      <c:txPr>
        <a:bodyPr/>
        <a:lstStyle/>
        <a:p>
          <a:pPr>
            <a:defRPr sz="800"/>
          </a:pPr>
          <a:endParaRPr lang="en-US"/>
        </a:p>
      </c:txPr>
    </c:legend>
    <c:plotVisOnly val="1"/>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5119785922525156"/>
          <c:y val="0.13316582914572864"/>
          <c:w val="0.84880214077474847"/>
          <c:h val="0.61294497479851995"/>
        </c:manualLayout>
      </c:layout>
      <c:barChart>
        <c:barDir val="col"/>
        <c:grouping val="stacked"/>
        <c:ser>
          <c:idx val="0"/>
          <c:order val="0"/>
          <c:tx>
            <c:strRef>
              <c:f>'[2]Figure 23'!$A$2</c:f>
              <c:strCache>
                <c:ptCount val="1"/>
                <c:pt idx="0">
                  <c:v>EURO 5</c:v>
                </c:pt>
              </c:strCache>
            </c:strRef>
          </c:tx>
          <c:dLbls>
            <c:dLbl>
              <c:idx val="0"/>
              <c:delete val="1"/>
            </c:dLbl>
            <c:dLbl>
              <c:idx val="1"/>
              <c:delete val="1"/>
            </c:dLbl>
            <c:showVal val="1"/>
          </c:dLbls>
          <c:cat>
            <c:numRef>
              <c:f>'[2]Figure 23'!$B$1:$E$1</c:f>
              <c:numCache>
                <c:formatCode>General</c:formatCode>
                <c:ptCount val="4"/>
                <c:pt idx="0">
                  <c:v>2006</c:v>
                </c:pt>
                <c:pt idx="1">
                  <c:v>2007</c:v>
                </c:pt>
                <c:pt idx="2">
                  <c:v>2008</c:v>
                </c:pt>
                <c:pt idx="3">
                  <c:v>2009</c:v>
                </c:pt>
              </c:numCache>
            </c:numRef>
          </c:cat>
          <c:val>
            <c:numRef>
              <c:f>'[2]Figure 23'!$B$2:$E$2</c:f>
              <c:numCache>
                <c:formatCode>General</c:formatCode>
                <c:ptCount val="4"/>
                <c:pt idx="0">
                  <c:v>0</c:v>
                </c:pt>
                <c:pt idx="1">
                  <c:v>0</c:v>
                </c:pt>
                <c:pt idx="2">
                  <c:v>757</c:v>
                </c:pt>
                <c:pt idx="3">
                  <c:v>1120</c:v>
                </c:pt>
              </c:numCache>
            </c:numRef>
          </c:val>
        </c:ser>
        <c:ser>
          <c:idx val="1"/>
          <c:order val="1"/>
          <c:tx>
            <c:strRef>
              <c:f>'[2]Figure 23'!$A$3</c:f>
              <c:strCache>
                <c:ptCount val="1"/>
                <c:pt idx="0">
                  <c:v>EURO 4</c:v>
                </c:pt>
              </c:strCache>
            </c:strRef>
          </c:tx>
          <c:dLbls>
            <c:dLbl>
              <c:idx val="0"/>
              <c:delete val="1"/>
            </c:dLbl>
            <c:dLbl>
              <c:idx val="1"/>
              <c:delete val="1"/>
            </c:dLbl>
            <c:showVal val="1"/>
          </c:dLbls>
          <c:cat>
            <c:numRef>
              <c:f>'[2]Figure 23'!$B$1:$E$1</c:f>
              <c:numCache>
                <c:formatCode>General</c:formatCode>
                <c:ptCount val="4"/>
                <c:pt idx="0">
                  <c:v>2006</c:v>
                </c:pt>
                <c:pt idx="1">
                  <c:v>2007</c:v>
                </c:pt>
                <c:pt idx="2">
                  <c:v>2008</c:v>
                </c:pt>
                <c:pt idx="3">
                  <c:v>2009</c:v>
                </c:pt>
              </c:numCache>
            </c:numRef>
          </c:cat>
          <c:val>
            <c:numRef>
              <c:f>'[2]Figure 23'!$B$3:$E$3</c:f>
              <c:numCache>
                <c:formatCode>General</c:formatCode>
                <c:ptCount val="4"/>
                <c:pt idx="0">
                  <c:v>0</c:v>
                </c:pt>
                <c:pt idx="1">
                  <c:v>0</c:v>
                </c:pt>
                <c:pt idx="2">
                  <c:v>666</c:v>
                </c:pt>
                <c:pt idx="3">
                  <c:v>536</c:v>
                </c:pt>
              </c:numCache>
            </c:numRef>
          </c:val>
        </c:ser>
        <c:ser>
          <c:idx val="2"/>
          <c:order val="2"/>
          <c:tx>
            <c:strRef>
              <c:f>'[2]Figure 23'!$A$4</c:f>
              <c:strCache>
                <c:ptCount val="1"/>
                <c:pt idx="0">
                  <c:v>EURO 3</c:v>
                </c:pt>
              </c:strCache>
            </c:strRef>
          </c:tx>
          <c:dLbls>
            <c:txPr>
              <a:bodyPr/>
              <a:lstStyle/>
              <a:p>
                <a:pPr>
                  <a:defRPr sz="700"/>
                </a:pPr>
                <a:endParaRPr lang="en-US"/>
              </a:p>
            </c:txPr>
            <c:showVal val="1"/>
          </c:dLbls>
          <c:cat>
            <c:numRef>
              <c:f>'[2]Figure 23'!$B$1:$E$1</c:f>
              <c:numCache>
                <c:formatCode>General</c:formatCode>
                <c:ptCount val="4"/>
                <c:pt idx="0">
                  <c:v>2006</c:v>
                </c:pt>
                <c:pt idx="1">
                  <c:v>2007</c:v>
                </c:pt>
                <c:pt idx="2">
                  <c:v>2008</c:v>
                </c:pt>
                <c:pt idx="3">
                  <c:v>2009</c:v>
                </c:pt>
              </c:numCache>
            </c:numRef>
          </c:cat>
          <c:val>
            <c:numRef>
              <c:f>'[2]Figure 23'!$B$4:$E$4</c:f>
              <c:numCache>
                <c:formatCode>General</c:formatCode>
                <c:ptCount val="4"/>
                <c:pt idx="0">
                  <c:v>1049</c:v>
                </c:pt>
                <c:pt idx="1">
                  <c:v>1966</c:v>
                </c:pt>
                <c:pt idx="2">
                  <c:v>3003</c:v>
                </c:pt>
                <c:pt idx="3">
                  <c:v>2884</c:v>
                </c:pt>
              </c:numCache>
            </c:numRef>
          </c:val>
        </c:ser>
        <c:ser>
          <c:idx val="3"/>
          <c:order val="3"/>
          <c:tx>
            <c:strRef>
              <c:f>'[2]Figure 23'!$A$5</c:f>
              <c:strCache>
                <c:ptCount val="1"/>
                <c:pt idx="0">
                  <c:v>EURO 2</c:v>
                </c:pt>
              </c:strCache>
            </c:strRef>
          </c:tx>
          <c:dLbls>
            <c:txPr>
              <a:bodyPr/>
              <a:lstStyle/>
              <a:p>
                <a:pPr>
                  <a:defRPr sz="700"/>
                </a:pPr>
                <a:endParaRPr lang="en-US"/>
              </a:p>
            </c:txPr>
            <c:showVal val="1"/>
          </c:dLbls>
          <c:cat>
            <c:numRef>
              <c:f>'[2]Figure 23'!$B$1:$E$1</c:f>
              <c:numCache>
                <c:formatCode>General</c:formatCode>
                <c:ptCount val="4"/>
                <c:pt idx="0">
                  <c:v>2006</c:v>
                </c:pt>
                <c:pt idx="1">
                  <c:v>2007</c:v>
                </c:pt>
                <c:pt idx="2">
                  <c:v>2008</c:v>
                </c:pt>
                <c:pt idx="3">
                  <c:v>2009</c:v>
                </c:pt>
              </c:numCache>
            </c:numRef>
          </c:cat>
          <c:val>
            <c:numRef>
              <c:f>'[2]Figure 23'!$B$5:$E$5</c:f>
              <c:numCache>
                <c:formatCode>General</c:formatCode>
                <c:ptCount val="4"/>
                <c:pt idx="0">
                  <c:v>1621</c:v>
                </c:pt>
                <c:pt idx="1">
                  <c:v>1593</c:v>
                </c:pt>
                <c:pt idx="2">
                  <c:v>1125</c:v>
                </c:pt>
                <c:pt idx="3">
                  <c:v>950</c:v>
                </c:pt>
              </c:numCache>
            </c:numRef>
          </c:val>
        </c:ser>
        <c:ser>
          <c:idx val="4"/>
          <c:order val="4"/>
          <c:tx>
            <c:strRef>
              <c:f>'[2]Figure 23'!$A$6</c:f>
              <c:strCache>
                <c:ptCount val="1"/>
                <c:pt idx="0">
                  <c:v>EURO 0 / unspecified</c:v>
                </c:pt>
              </c:strCache>
            </c:strRef>
          </c:tx>
          <c:dLbls>
            <c:txPr>
              <a:bodyPr/>
              <a:lstStyle/>
              <a:p>
                <a:pPr>
                  <a:defRPr sz="700"/>
                </a:pPr>
                <a:endParaRPr lang="en-US"/>
              </a:p>
            </c:txPr>
            <c:showVal val="1"/>
          </c:dLbls>
          <c:cat>
            <c:numRef>
              <c:f>'[2]Figure 23'!$B$1:$E$1</c:f>
              <c:numCache>
                <c:formatCode>General</c:formatCode>
                <c:ptCount val="4"/>
                <c:pt idx="0">
                  <c:v>2006</c:v>
                </c:pt>
                <c:pt idx="1">
                  <c:v>2007</c:v>
                </c:pt>
                <c:pt idx="2">
                  <c:v>2008</c:v>
                </c:pt>
                <c:pt idx="3">
                  <c:v>2009</c:v>
                </c:pt>
              </c:numCache>
            </c:numRef>
          </c:cat>
          <c:val>
            <c:numRef>
              <c:f>'[2]Figure 23'!$B$6:$E$6</c:f>
              <c:numCache>
                <c:formatCode>General</c:formatCode>
                <c:ptCount val="4"/>
                <c:pt idx="0">
                  <c:v>5795</c:v>
                </c:pt>
                <c:pt idx="1">
                  <c:v>4614</c:v>
                </c:pt>
                <c:pt idx="2">
                  <c:v>3719</c:v>
                </c:pt>
                <c:pt idx="3">
                  <c:v>3389</c:v>
                </c:pt>
              </c:numCache>
            </c:numRef>
          </c:val>
        </c:ser>
        <c:dLbls>
          <c:showVal val="1"/>
        </c:dLbls>
        <c:overlap val="100"/>
        <c:serLines/>
        <c:axId val="193459328"/>
        <c:axId val="193460864"/>
      </c:barChart>
      <c:catAx>
        <c:axId val="193459328"/>
        <c:scaling>
          <c:orientation val="minMax"/>
        </c:scaling>
        <c:axPos val="b"/>
        <c:numFmt formatCode="General" sourceLinked="1"/>
        <c:tickLblPos val="nextTo"/>
        <c:txPr>
          <a:bodyPr rot="0" vert="horz"/>
          <a:lstStyle/>
          <a:p>
            <a:pPr>
              <a:defRPr sz="700"/>
            </a:pPr>
            <a:endParaRPr lang="en-US"/>
          </a:p>
        </c:txPr>
        <c:crossAx val="193460864"/>
        <c:crosses val="autoZero"/>
        <c:auto val="1"/>
        <c:lblAlgn val="ctr"/>
        <c:lblOffset val="100"/>
        <c:tickLblSkip val="1"/>
        <c:tickMarkSkip val="1"/>
      </c:catAx>
      <c:valAx>
        <c:axId val="193460864"/>
        <c:scaling>
          <c:orientation val="minMax"/>
        </c:scaling>
        <c:axPos val="l"/>
        <c:majorGridlines/>
        <c:numFmt formatCode="General" sourceLinked="1"/>
        <c:tickLblPos val="nextTo"/>
        <c:txPr>
          <a:bodyPr rot="0" vert="horz"/>
          <a:lstStyle/>
          <a:p>
            <a:pPr>
              <a:defRPr sz="700"/>
            </a:pPr>
            <a:endParaRPr lang="en-US"/>
          </a:p>
        </c:txPr>
        <c:crossAx val="193459328"/>
        <c:crosses val="autoZero"/>
        <c:crossBetween val="between"/>
      </c:valAx>
    </c:plotArea>
    <c:legend>
      <c:legendPos val="t"/>
      <c:layout>
        <c:manualLayout>
          <c:xMode val="edge"/>
          <c:yMode val="edge"/>
          <c:x val="0"/>
          <c:y val="0.86037839020122486"/>
          <c:w val="0.99733942052031754"/>
          <c:h val="0.11406610372798619"/>
        </c:manualLayout>
      </c:layout>
      <c:txPr>
        <a:bodyPr/>
        <a:lstStyle/>
        <a:p>
          <a:pPr>
            <a:defRPr sz="700"/>
          </a:pPr>
          <a:endParaRPr lang="en-US"/>
        </a:p>
      </c:txPr>
    </c:legend>
    <c:plotVisOnly val="1"/>
    <c:dispBlanksAs val="gap"/>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n-US"/>
  <c:style val="9"/>
  <c:chart>
    <c:autoTitleDeleted val="1"/>
    <c:plotArea>
      <c:layout>
        <c:manualLayout>
          <c:layoutTarget val="inner"/>
          <c:xMode val="edge"/>
          <c:yMode val="edge"/>
          <c:x val="0.16652317613640141"/>
          <c:y val="6.1191135830243534E-2"/>
          <c:w val="0.70095339415934743"/>
          <c:h val="0.61284266550014665"/>
        </c:manualLayout>
      </c:layout>
      <c:barChart>
        <c:barDir val="col"/>
        <c:grouping val="clustered"/>
        <c:ser>
          <c:idx val="0"/>
          <c:order val="0"/>
          <c:tx>
            <c:strRef>
              <c:f>'Planned vs. actual MF'!$A$20</c:f>
              <c:strCache>
                <c:ptCount val="1"/>
                <c:pt idx="0">
                  <c:v>Planned road expenditures (total)</c:v>
                </c:pt>
              </c:strCache>
            </c:strRef>
          </c:tx>
          <c:spPr>
            <a:solidFill>
              <a:schemeClr val="tx2"/>
            </a:solidFill>
          </c:spPr>
          <c:dLbls>
            <c:dLbl>
              <c:idx val="0"/>
              <c:layout>
                <c:manualLayout>
                  <c:x val="-8.3333333333333367E-3"/>
                  <c:y val="0"/>
                </c:manualLayout>
              </c:layout>
              <c:showVal val="1"/>
            </c:dLbl>
            <c:dLbl>
              <c:idx val="1"/>
              <c:layout>
                <c:manualLayout>
                  <c:x val="8.3333333333333367E-3"/>
                  <c:y val="0"/>
                </c:manualLayout>
              </c:layout>
              <c:showVal val="1"/>
            </c:dLbl>
            <c:txPr>
              <a:bodyPr/>
              <a:lstStyle/>
              <a:p>
                <a:pPr>
                  <a:defRPr sz="700"/>
                </a:pPr>
                <a:endParaRPr lang="en-US"/>
              </a:p>
            </c:txPr>
            <c:showVal val="1"/>
          </c:dLbls>
          <c:cat>
            <c:strRef>
              <c:f>'Planned vs. actual MF'!$B$17:$F$17</c:f>
              <c:strCache>
                <c:ptCount val="5"/>
                <c:pt idx="0">
                  <c:v>2006</c:v>
                </c:pt>
                <c:pt idx="1">
                  <c:v>2007</c:v>
                </c:pt>
                <c:pt idx="2">
                  <c:v>2008</c:v>
                </c:pt>
                <c:pt idx="3">
                  <c:v>2009</c:v>
                </c:pt>
                <c:pt idx="4">
                  <c:v>2010 (plan)</c:v>
                </c:pt>
              </c:strCache>
            </c:strRef>
          </c:cat>
          <c:val>
            <c:numRef>
              <c:f>'Planned vs. actual MF'!$B$20:$F$20</c:f>
              <c:numCache>
                <c:formatCode>_(* #,##0_);_(* \(#,##0\);_(* "-"??_);_(@_)</c:formatCode>
                <c:ptCount val="5"/>
                <c:pt idx="0">
                  <c:v>1517700</c:v>
                </c:pt>
                <c:pt idx="1">
                  <c:v>1945100.0000000002</c:v>
                </c:pt>
                <c:pt idx="2">
                  <c:v>2083800</c:v>
                </c:pt>
                <c:pt idx="3">
                  <c:v>2258700</c:v>
                </c:pt>
                <c:pt idx="4">
                  <c:v>2298200</c:v>
                </c:pt>
              </c:numCache>
            </c:numRef>
          </c:val>
        </c:ser>
        <c:ser>
          <c:idx val="1"/>
          <c:order val="1"/>
          <c:tx>
            <c:strRef>
              <c:f>'Planned vs. actual MF'!$A$19</c:f>
              <c:strCache>
                <c:ptCount val="1"/>
                <c:pt idx="0">
                  <c:v>Budget roads expenditures (total)</c:v>
                </c:pt>
              </c:strCache>
            </c:strRef>
          </c:tx>
          <c:spPr>
            <a:solidFill>
              <a:schemeClr val="accent2"/>
            </a:solidFill>
          </c:spPr>
          <c:dLbls>
            <c:dLbl>
              <c:idx val="0"/>
              <c:layout>
                <c:manualLayout>
                  <c:x val="1.6666666666666701E-2"/>
                  <c:y val="0"/>
                </c:manualLayout>
              </c:layout>
              <c:showVal val="1"/>
            </c:dLbl>
            <c:dLbl>
              <c:idx val="1"/>
              <c:layout>
                <c:manualLayout>
                  <c:x val="2.777777777777937E-3"/>
                  <c:y val="-2.3148148148148147E-2"/>
                </c:manualLayout>
              </c:layout>
              <c:showVal val="1"/>
            </c:dLbl>
            <c:txPr>
              <a:bodyPr/>
              <a:lstStyle/>
              <a:p>
                <a:pPr>
                  <a:defRPr sz="700"/>
                </a:pPr>
                <a:endParaRPr lang="en-US"/>
              </a:p>
            </c:txPr>
            <c:showVal val="1"/>
          </c:dLbls>
          <c:cat>
            <c:strRef>
              <c:f>'Planned vs. actual MF'!$B$17:$F$17</c:f>
              <c:strCache>
                <c:ptCount val="5"/>
                <c:pt idx="0">
                  <c:v>2006</c:v>
                </c:pt>
                <c:pt idx="1">
                  <c:v>2007</c:v>
                </c:pt>
                <c:pt idx="2">
                  <c:v>2008</c:v>
                </c:pt>
                <c:pt idx="3">
                  <c:v>2009</c:v>
                </c:pt>
                <c:pt idx="4">
                  <c:v>2010 (plan)</c:v>
                </c:pt>
              </c:strCache>
            </c:strRef>
          </c:cat>
          <c:val>
            <c:numRef>
              <c:f>'Planned vs. actual MF'!$B$19:$F$19</c:f>
              <c:numCache>
                <c:formatCode>_(* #,##0_);_(* \(#,##0\);_(* "-"??_);_(@_)</c:formatCode>
                <c:ptCount val="5"/>
                <c:pt idx="0">
                  <c:v>1408703.4467</c:v>
                </c:pt>
                <c:pt idx="1">
                  <c:v>1413177.3406</c:v>
                </c:pt>
                <c:pt idx="2">
                  <c:v>1504330.3378000001</c:v>
                </c:pt>
                <c:pt idx="3">
                  <c:v>1602543.6265000051</c:v>
                </c:pt>
                <c:pt idx="4">
                  <c:v>1597394.6955000001</c:v>
                </c:pt>
              </c:numCache>
            </c:numRef>
          </c:val>
        </c:ser>
        <c:ser>
          <c:idx val="3"/>
          <c:order val="3"/>
          <c:tx>
            <c:strRef>
              <c:f>'Planned vs. actual MF'!$A$18</c:f>
              <c:strCache>
                <c:ptCount val="1"/>
                <c:pt idx="0">
                  <c:v>Loans</c:v>
                </c:pt>
              </c:strCache>
            </c:strRef>
          </c:tx>
          <c:spPr>
            <a:solidFill>
              <a:schemeClr val="accent3"/>
            </a:solidFill>
          </c:spPr>
          <c:dLbls>
            <c:txPr>
              <a:bodyPr/>
              <a:lstStyle/>
              <a:p>
                <a:pPr>
                  <a:defRPr sz="700"/>
                </a:pPr>
                <a:endParaRPr lang="en-US"/>
              </a:p>
            </c:txPr>
            <c:showVal val="1"/>
          </c:dLbls>
          <c:val>
            <c:numRef>
              <c:f>'Planned vs. actual MF'!$B$18:$F$18</c:f>
              <c:numCache>
                <c:formatCode>#,##0</c:formatCode>
                <c:ptCount val="5"/>
                <c:pt idx="1">
                  <c:v>118531</c:v>
                </c:pt>
                <c:pt idx="2">
                  <c:v>695515</c:v>
                </c:pt>
              </c:numCache>
            </c:numRef>
          </c:val>
        </c:ser>
        <c:axId val="222539136"/>
        <c:axId val="222553216"/>
      </c:barChart>
      <c:lineChart>
        <c:grouping val="standard"/>
        <c:ser>
          <c:idx val="2"/>
          <c:order val="2"/>
          <c:tx>
            <c:strRef>
              <c:f>'Planned vs. actual MF'!$A$21</c:f>
              <c:strCache>
                <c:ptCount val="1"/>
                <c:pt idx="0">
                  <c:v>Budget/Planned</c:v>
                </c:pt>
              </c:strCache>
            </c:strRef>
          </c:tx>
          <c:marker>
            <c:symbol val="none"/>
          </c:marker>
          <c:dLbls>
            <c:dLbl>
              <c:idx val="1"/>
              <c:layout>
                <c:manualLayout>
                  <c:x val="0"/>
                  <c:y val="-4.1666666666666692E-2"/>
                </c:manualLayout>
              </c:layout>
              <c:showVal val="1"/>
            </c:dLbl>
            <c:dLbl>
              <c:idx val="2"/>
              <c:layout>
                <c:manualLayout>
                  <c:x val="0"/>
                  <c:y val="-4.1666666666666692E-2"/>
                </c:manualLayout>
              </c:layout>
              <c:showVal val="1"/>
            </c:dLbl>
            <c:dLbl>
              <c:idx val="3"/>
              <c:layout>
                <c:manualLayout>
                  <c:x val="2.7777777777778598E-3"/>
                  <c:y val="-4.1666666666666664E-2"/>
                </c:manualLayout>
              </c:layout>
              <c:showVal val="1"/>
            </c:dLbl>
            <c:dLbl>
              <c:idx val="4"/>
              <c:layout>
                <c:manualLayout>
                  <c:x val="-2.7777777777778598E-3"/>
                  <c:y val="-5.5555555555555455E-2"/>
                </c:manualLayout>
              </c:layout>
              <c:showVal val="1"/>
            </c:dLbl>
            <c:txPr>
              <a:bodyPr/>
              <a:lstStyle/>
              <a:p>
                <a:pPr>
                  <a:defRPr sz="700"/>
                </a:pPr>
                <a:endParaRPr lang="en-US"/>
              </a:p>
            </c:txPr>
            <c:showVal val="1"/>
          </c:dLbls>
          <c:cat>
            <c:strRef>
              <c:f>'Planned vs. actual MF'!$B$17:$F$17</c:f>
              <c:strCache>
                <c:ptCount val="5"/>
                <c:pt idx="0">
                  <c:v>2006</c:v>
                </c:pt>
                <c:pt idx="1">
                  <c:v>2007</c:v>
                </c:pt>
                <c:pt idx="2">
                  <c:v>2008</c:v>
                </c:pt>
                <c:pt idx="3">
                  <c:v>2009</c:v>
                </c:pt>
                <c:pt idx="4">
                  <c:v>2010 (plan)</c:v>
                </c:pt>
              </c:strCache>
            </c:strRef>
          </c:cat>
          <c:val>
            <c:numRef>
              <c:f>'Planned vs. actual MF'!$B$21:$F$21</c:f>
              <c:numCache>
                <c:formatCode>0%</c:formatCode>
                <c:ptCount val="5"/>
                <c:pt idx="0">
                  <c:v>0.92818307089675156</c:v>
                </c:pt>
                <c:pt idx="1">
                  <c:v>0.72653197295768845</c:v>
                </c:pt>
                <c:pt idx="2">
                  <c:v>0.72191685276898065</c:v>
                </c:pt>
                <c:pt idx="3">
                  <c:v>0.70949821866561225</c:v>
                </c:pt>
                <c:pt idx="4">
                  <c:v>0.69506339548342178</c:v>
                </c:pt>
              </c:numCache>
            </c:numRef>
          </c:val>
        </c:ser>
        <c:dLbls>
          <c:showVal val="1"/>
        </c:dLbls>
        <c:marker val="1"/>
        <c:axId val="189543168"/>
        <c:axId val="222555136"/>
      </c:lineChart>
      <c:catAx>
        <c:axId val="222539136"/>
        <c:scaling>
          <c:orientation val="minMax"/>
        </c:scaling>
        <c:axPos val="b"/>
        <c:majorTickMark val="none"/>
        <c:tickLblPos val="nextTo"/>
        <c:txPr>
          <a:bodyPr/>
          <a:lstStyle/>
          <a:p>
            <a:pPr>
              <a:defRPr sz="700"/>
            </a:pPr>
            <a:endParaRPr lang="en-US"/>
          </a:p>
        </c:txPr>
        <c:crossAx val="222553216"/>
        <c:crosses val="autoZero"/>
        <c:auto val="1"/>
        <c:lblAlgn val="ctr"/>
        <c:lblOffset val="100"/>
      </c:catAx>
      <c:valAx>
        <c:axId val="222553216"/>
        <c:scaling>
          <c:orientation val="minMax"/>
        </c:scaling>
        <c:axPos val="l"/>
        <c:numFmt formatCode="_(* #,##0_);_(* \(#,##0\);_(* &quot;-&quot;??_);_(@_)" sourceLinked="1"/>
        <c:majorTickMark val="none"/>
        <c:tickLblPos val="nextTo"/>
        <c:txPr>
          <a:bodyPr/>
          <a:lstStyle/>
          <a:p>
            <a:pPr>
              <a:defRPr sz="700"/>
            </a:pPr>
            <a:endParaRPr lang="en-US"/>
          </a:p>
        </c:txPr>
        <c:crossAx val="222539136"/>
        <c:crosses val="autoZero"/>
        <c:crossBetween val="between"/>
        <c:dispUnits>
          <c:builtInUnit val="thousands"/>
          <c:dispUnitsLbl>
            <c:layout>
              <c:manualLayout>
                <c:xMode val="edge"/>
                <c:yMode val="edge"/>
                <c:x val="3.9414782167404416E-3"/>
                <c:y val="0.21718552542043359"/>
              </c:manualLayout>
            </c:layout>
            <c:tx>
              <c:rich>
                <a:bodyPr/>
                <a:lstStyle/>
                <a:p>
                  <a:pPr>
                    <a:defRPr sz="700" b="0"/>
                  </a:pPr>
                  <a:r>
                    <a:rPr lang="en-US" sz="700" b="0"/>
                    <a:t>BYR (Billions)</a:t>
                  </a:r>
                </a:p>
              </c:rich>
            </c:tx>
          </c:dispUnitsLbl>
        </c:dispUnits>
      </c:valAx>
      <c:valAx>
        <c:axId val="222555136"/>
        <c:scaling>
          <c:orientation val="minMax"/>
        </c:scaling>
        <c:axPos val="r"/>
        <c:numFmt formatCode="0%" sourceLinked="1"/>
        <c:tickLblPos val="nextTo"/>
        <c:txPr>
          <a:bodyPr/>
          <a:lstStyle/>
          <a:p>
            <a:pPr>
              <a:defRPr sz="700"/>
            </a:pPr>
            <a:endParaRPr lang="en-US"/>
          </a:p>
        </c:txPr>
        <c:crossAx val="189543168"/>
        <c:crosses val="max"/>
        <c:crossBetween val="between"/>
      </c:valAx>
      <c:catAx>
        <c:axId val="189543168"/>
        <c:scaling>
          <c:orientation val="minMax"/>
        </c:scaling>
        <c:delete val="1"/>
        <c:axPos val="b"/>
        <c:tickLblPos val="none"/>
        <c:crossAx val="222555136"/>
        <c:crosses val="autoZero"/>
        <c:auto val="1"/>
        <c:lblAlgn val="ctr"/>
        <c:lblOffset val="100"/>
      </c:catAx>
    </c:plotArea>
    <c:legend>
      <c:legendPos val="b"/>
      <c:layout>
        <c:manualLayout>
          <c:xMode val="edge"/>
          <c:yMode val="edge"/>
          <c:x val="0"/>
          <c:y val="0.78319116360455165"/>
          <c:w val="0.95786547561960211"/>
          <c:h val="0.18374005332666954"/>
        </c:manualLayout>
      </c:layout>
      <c:txPr>
        <a:bodyPr/>
        <a:lstStyle/>
        <a:p>
          <a:pPr>
            <a:defRPr sz="700"/>
          </a:pPr>
          <a:endParaRPr lang="en-US"/>
        </a:p>
      </c:txPr>
    </c:legend>
    <c:plotVisOnly val="1"/>
    <c:dispBlanksAs val="gap"/>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en-US"/>
  <c:style val="1"/>
  <c:chart>
    <c:view3D>
      <c:rAngAx val="1"/>
    </c:view3D>
    <c:plotArea>
      <c:layout>
        <c:manualLayout>
          <c:layoutTarget val="inner"/>
          <c:xMode val="edge"/>
          <c:yMode val="edge"/>
          <c:x val="0.26373441339001952"/>
          <c:y val="5.8536585365853662E-2"/>
          <c:w val="0.65920018783594547"/>
          <c:h val="0.6823953722202637"/>
        </c:manualLayout>
      </c:layout>
      <c:bar3DChart>
        <c:barDir val="bar"/>
        <c:grouping val="stacked"/>
        <c:ser>
          <c:idx val="0"/>
          <c:order val="0"/>
          <c:tx>
            <c:strRef>
              <c:f>'[3]Age of Infrastructure'!$C$2</c:f>
              <c:strCache>
                <c:ptCount val="1"/>
                <c:pt idx="0">
                  <c:v>&lt;10 years</c:v>
                </c:pt>
              </c:strCache>
            </c:strRef>
          </c:tx>
          <c:spPr>
            <a:solidFill>
              <a:schemeClr val="tx2"/>
            </a:solidFill>
          </c:spPr>
          <c:cat>
            <c:strRef>
              <c:f>'[3]Age of Infrastructure'!$A$4:$B$7</c:f>
              <c:strCache>
                <c:ptCount val="4"/>
                <c:pt idx="0">
                  <c:v>Signaling system</c:v>
                </c:pt>
                <c:pt idx="1">
                  <c:v>Relay / Electronic Interlocking Systems</c:v>
                </c:pt>
                <c:pt idx="2">
                  <c:v>Power Supply</c:v>
                </c:pt>
                <c:pt idx="3">
                  <c:v>Catenary System</c:v>
                </c:pt>
              </c:strCache>
            </c:strRef>
          </c:cat>
          <c:val>
            <c:numRef>
              <c:f>'[3]Age of Infrastructure'!$C$4:$C$7</c:f>
              <c:numCache>
                <c:formatCode>0.0%</c:formatCode>
                <c:ptCount val="4"/>
                <c:pt idx="0">
                  <c:v>0</c:v>
                </c:pt>
                <c:pt idx="1">
                  <c:v>0</c:v>
                </c:pt>
                <c:pt idx="2">
                  <c:v>3.0000000000000002E-2</c:v>
                </c:pt>
                <c:pt idx="3">
                  <c:v>2.0000000000000011E-2</c:v>
                </c:pt>
              </c:numCache>
            </c:numRef>
          </c:val>
        </c:ser>
        <c:ser>
          <c:idx val="1"/>
          <c:order val="1"/>
          <c:tx>
            <c:strRef>
              <c:f>'[3]Age of Infrastructure'!$D$2</c:f>
              <c:strCache>
                <c:ptCount val="1"/>
                <c:pt idx="0">
                  <c:v>&gt;10 years</c:v>
                </c:pt>
              </c:strCache>
            </c:strRef>
          </c:tx>
          <c:spPr>
            <a:solidFill>
              <a:schemeClr val="bg2">
                <a:lumMod val="50000"/>
              </a:schemeClr>
            </a:solidFill>
          </c:spPr>
          <c:cat>
            <c:strRef>
              <c:f>'[3]Age of Infrastructure'!$A$4:$B$7</c:f>
              <c:strCache>
                <c:ptCount val="4"/>
                <c:pt idx="0">
                  <c:v>Signaling system</c:v>
                </c:pt>
                <c:pt idx="1">
                  <c:v>Relay / Electronic Interlocking Systems</c:v>
                </c:pt>
                <c:pt idx="2">
                  <c:v>Power Supply</c:v>
                </c:pt>
                <c:pt idx="3">
                  <c:v>Catenary System</c:v>
                </c:pt>
              </c:strCache>
            </c:strRef>
          </c:cat>
          <c:val>
            <c:numRef>
              <c:f>'[3]Age of Infrastructure'!$D$4:$D$7</c:f>
              <c:numCache>
                <c:formatCode>0.0%</c:formatCode>
                <c:ptCount val="4"/>
                <c:pt idx="0">
                  <c:v>9.8000000000000226E-2</c:v>
                </c:pt>
                <c:pt idx="1">
                  <c:v>0.114</c:v>
                </c:pt>
                <c:pt idx="2">
                  <c:v>0</c:v>
                </c:pt>
                <c:pt idx="3">
                  <c:v>0</c:v>
                </c:pt>
              </c:numCache>
            </c:numRef>
          </c:val>
        </c:ser>
        <c:ser>
          <c:idx val="2"/>
          <c:order val="2"/>
          <c:tx>
            <c:strRef>
              <c:f>'[3]Age of Infrastructure'!$E$2</c:f>
              <c:strCache>
                <c:ptCount val="1"/>
                <c:pt idx="0">
                  <c:v>11-20 years</c:v>
                </c:pt>
              </c:strCache>
            </c:strRef>
          </c:tx>
          <c:spPr>
            <a:solidFill>
              <a:srgbClr val="FFC000"/>
            </a:solidFill>
          </c:spPr>
          <c:cat>
            <c:strRef>
              <c:f>'[3]Age of Infrastructure'!$A$4:$B$7</c:f>
              <c:strCache>
                <c:ptCount val="4"/>
                <c:pt idx="0">
                  <c:v>Signaling system</c:v>
                </c:pt>
                <c:pt idx="1">
                  <c:v>Relay / Electronic Interlocking Systems</c:v>
                </c:pt>
                <c:pt idx="2">
                  <c:v>Power Supply</c:v>
                </c:pt>
                <c:pt idx="3">
                  <c:v>Catenary System</c:v>
                </c:pt>
              </c:strCache>
            </c:strRef>
          </c:cat>
          <c:val>
            <c:numRef>
              <c:f>'[3]Age of Infrastructure'!$E$4:$E$7</c:f>
              <c:numCache>
                <c:formatCode>0.0%</c:formatCode>
                <c:ptCount val="4"/>
                <c:pt idx="0">
                  <c:v>0.11</c:v>
                </c:pt>
                <c:pt idx="1">
                  <c:v>0.113</c:v>
                </c:pt>
                <c:pt idx="2">
                  <c:v>0.35000000000000031</c:v>
                </c:pt>
                <c:pt idx="3">
                  <c:v>0</c:v>
                </c:pt>
              </c:numCache>
            </c:numRef>
          </c:val>
        </c:ser>
        <c:ser>
          <c:idx val="3"/>
          <c:order val="3"/>
          <c:tx>
            <c:strRef>
              <c:f>'[3]Age of Infrastructure'!$F$2</c:f>
              <c:strCache>
                <c:ptCount val="1"/>
                <c:pt idx="0">
                  <c:v>21-30 years</c:v>
                </c:pt>
              </c:strCache>
            </c:strRef>
          </c:tx>
          <c:spPr>
            <a:solidFill>
              <a:schemeClr val="accent2"/>
            </a:solidFill>
          </c:spPr>
          <c:cat>
            <c:strRef>
              <c:f>'[3]Age of Infrastructure'!$A$4:$B$7</c:f>
              <c:strCache>
                <c:ptCount val="4"/>
                <c:pt idx="0">
                  <c:v>Signaling system</c:v>
                </c:pt>
                <c:pt idx="1">
                  <c:v>Relay / Electronic Interlocking Systems</c:v>
                </c:pt>
                <c:pt idx="2">
                  <c:v>Power Supply</c:v>
                </c:pt>
                <c:pt idx="3">
                  <c:v>Catenary System</c:v>
                </c:pt>
              </c:strCache>
            </c:strRef>
          </c:cat>
          <c:val>
            <c:numRef>
              <c:f>'[3]Age of Infrastructure'!$F$4:$F$7</c:f>
              <c:numCache>
                <c:formatCode>0.0%</c:formatCode>
                <c:ptCount val="4"/>
                <c:pt idx="0">
                  <c:v>0.37400000000000388</c:v>
                </c:pt>
                <c:pt idx="1">
                  <c:v>0.47400000000000031</c:v>
                </c:pt>
                <c:pt idx="2">
                  <c:v>0.47000000000000008</c:v>
                </c:pt>
                <c:pt idx="3">
                  <c:v>0.52</c:v>
                </c:pt>
              </c:numCache>
            </c:numRef>
          </c:val>
        </c:ser>
        <c:ser>
          <c:idx val="4"/>
          <c:order val="4"/>
          <c:tx>
            <c:strRef>
              <c:f>'[3]Age of Infrastructure'!$G$2</c:f>
              <c:strCache>
                <c:ptCount val="1"/>
                <c:pt idx="0">
                  <c:v>31-40 years</c:v>
                </c:pt>
              </c:strCache>
            </c:strRef>
          </c:tx>
          <c:spPr>
            <a:solidFill>
              <a:schemeClr val="accent3"/>
            </a:solidFill>
          </c:spPr>
          <c:cat>
            <c:strRef>
              <c:f>'[3]Age of Infrastructure'!$A$4:$B$7</c:f>
              <c:strCache>
                <c:ptCount val="4"/>
                <c:pt idx="0">
                  <c:v>Signaling system</c:v>
                </c:pt>
                <c:pt idx="1">
                  <c:v>Relay / Electronic Interlocking Systems</c:v>
                </c:pt>
                <c:pt idx="2">
                  <c:v>Power Supply</c:v>
                </c:pt>
                <c:pt idx="3">
                  <c:v>Catenary System</c:v>
                </c:pt>
              </c:strCache>
            </c:strRef>
          </c:cat>
          <c:val>
            <c:numRef>
              <c:f>'[3]Age of Infrastructure'!$G$4:$G$7</c:f>
              <c:numCache>
                <c:formatCode>0.0%</c:formatCode>
                <c:ptCount val="4"/>
                <c:pt idx="0">
                  <c:v>0.40800000000000008</c:v>
                </c:pt>
                <c:pt idx="1">
                  <c:v>0.29000000000000031</c:v>
                </c:pt>
                <c:pt idx="2">
                  <c:v>0.15000000000000024</c:v>
                </c:pt>
                <c:pt idx="3">
                  <c:v>0.37000000000000038</c:v>
                </c:pt>
              </c:numCache>
            </c:numRef>
          </c:val>
        </c:ser>
        <c:ser>
          <c:idx val="5"/>
          <c:order val="5"/>
          <c:tx>
            <c:strRef>
              <c:f>'[3]Age of Infrastructure'!$H$2</c:f>
              <c:strCache>
                <c:ptCount val="1"/>
                <c:pt idx="0">
                  <c:v>&gt;40 years</c:v>
                </c:pt>
              </c:strCache>
            </c:strRef>
          </c:tx>
          <c:spPr>
            <a:solidFill>
              <a:schemeClr val="tx1"/>
            </a:solidFill>
          </c:spPr>
          <c:cat>
            <c:strRef>
              <c:f>'[3]Age of Infrastructure'!$A$4:$B$7</c:f>
              <c:strCache>
                <c:ptCount val="4"/>
                <c:pt idx="0">
                  <c:v>Signaling system</c:v>
                </c:pt>
                <c:pt idx="1">
                  <c:v>Relay / Electronic Interlocking Systems</c:v>
                </c:pt>
                <c:pt idx="2">
                  <c:v>Power Supply</c:v>
                </c:pt>
                <c:pt idx="3">
                  <c:v>Catenary System</c:v>
                </c:pt>
              </c:strCache>
            </c:strRef>
          </c:cat>
          <c:val>
            <c:numRef>
              <c:f>'[3]Age of Infrastructure'!$H$4:$H$7</c:f>
              <c:numCache>
                <c:formatCode>0.0%</c:formatCode>
                <c:ptCount val="4"/>
                <c:pt idx="0">
                  <c:v>1.0000000000000005E-2</c:v>
                </c:pt>
                <c:pt idx="1">
                  <c:v>9.0000000000000028E-3</c:v>
                </c:pt>
                <c:pt idx="2">
                  <c:v>0</c:v>
                </c:pt>
                <c:pt idx="3">
                  <c:v>8.0000000000000043E-2</c:v>
                </c:pt>
              </c:numCache>
            </c:numRef>
          </c:val>
        </c:ser>
        <c:shape val="box"/>
        <c:axId val="222642560"/>
        <c:axId val="222644096"/>
        <c:axId val="0"/>
      </c:bar3DChart>
      <c:catAx>
        <c:axId val="222642560"/>
        <c:scaling>
          <c:orientation val="minMax"/>
        </c:scaling>
        <c:axPos val="l"/>
        <c:tickLblPos val="nextTo"/>
        <c:txPr>
          <a:bodyPr/>
          <a:lstStyle/>
          <a:p>
            <a:pPr>
              <a:defRPr sz="600"/>
            </a:pPr>
            <a:endParaRPr lang="en-US"/>
          </a:p>
        </c:txPr>
        <c:crossAx val="222644096"/>
        <c:crosses val="autoZero"/>
        <c:auto val="1"/>
        <c:lblAlgn val="ctr"/>
        <c:lblOffset val="100"/>
      </c:catAx>
      <c:valAx>
        <c:axId val="222644096"/>
        <c:scaling>
          <c:orientation val="minMax"/>
        </c:scaling>
        <c:axPos val="b"/>
        <c:majorGridlines/>
        <c:numFmt formatCode="0%" sourceLinked="0"/>
        <c:tickLblPos val="nextTo"/>
        <c:txPr>
          <a:bodyPr/>
          <a:lstStyle/>
          <a:p>
            <a:pPr>
              <a:defRPr sz="600"/>
            </a:pPr>
            <a:endParaRPr lang="en-US"/>
          </a:p>
        </c:txPr>
        <c:crossAx val="222642560"/>
        <c:crosses val="autoZero"/>
        <c:crossBetween val="between"/>
      </c:valAx>
    </c:plotArea>
    <c:legend>
      <c:legendPos val="b"/>
      <c:legendEntry>
        <c:idx val="4"/>
        <c:txPr>
          <a:bodyPr/>
          <a:lstStyle/>
          <a:p>
            <a:pPr>
              <a:defRPr sz="600"/>
            </a:pPr>
            <a:endParaRPr lang="en-US"/>
          </a:p>
        </c:txPr>
      </c:legendEntry>
      <c:layout>
        <c:manualLayout>
          <c:xMode val="edge"/>
          <c:yMode val="edge"/>
          <c:x val="2.6120600739604035E-2"/>
          <c:y val="0.8951805902310993"/>
          <c:w val="0.92612145895556164"/>
          <c:h val="0.10279568387285161"/>
        </c:manualLayout>
      </c:layout>
      <c:txPr>
        <a:bodyPr/>
        <a:lstStyle/>
        <a:p>
          <a:pPr>
            <a:defRPr sz="700"/>
          </a:pPr>
          <a:endParaRPr lang="en-US"/>
        </a:p>
      </c:txPr>
    </c:legend>
    <c:plotVisOnly val="1"/>
  </c:chart>
  <c:spPr>
    <a:ln>
      <a:noFill/>
    </a:ln>
  </c:sp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en-US"/>
  <c:style val="1"/>
  <c:chart>
    <c:plotArea>
      <c:layout>
        <c:manualLayout>
          <c:layoutTarget val="inner"/>
          <c:xMode val="edge"/>
          <c:yMode val="edge"/>
          <c:x val="0.21454222131028441"/>
          <c:y val="3.3500837520938034E-2"/>
          <c:w val="0.66314498961245483"/>
          <c:h val="0.80288450124638933"/>
        </c:manualLayout>
      </c:layout>
      <c:barChart>
        <c:barDir val="bar"/>
        <c:grouping val="clustered"/>
        <c:ser>
          <c:idx val="0"/>
          <c:order val="0"/>
          <c:spPr>
            <a:solidFill>
              <a:schemeClr val="tx2"/>
            </a:solidFill>
          </c:spPr>
          <c:dPt>
            <c:idx val="0"/>
            <c:spPr>
              <a:solidFill>
                <a:schemeClr val="tx1"/>
              </a:solidFill>
            </c:spPr>
          </c:dPt>
          <c:dLbls>
            <c:txPr>
              <a:bodyPr/>
              <a:lstStyle/>
              <a:p>
                <a:pPr>
                  <a:defRPr sz="800"/>
                </a:pPr>
                <a:endParaRPr lang="en-US"/>
              </a:p>
            </c:txPr>
            <c:dLblPos val="outEnd"/>
            <c:showVal val="1"/>
          </c:dLbls>
          <c:cat>
            <c:strRef>
              <c:f>'[3]Comparison with other rail'!$A$77:$A$80</c:f>
              <c:strCache>
                <c:ptCount val="4"/>
                <c:pt idx="0">
                  <c:v>Belarus</c:v>
                </c:pt>
                <c:pt idx="1">
                  <c:v>Germany</c:v>
                </c:pt>
                <c:pt idx="2">
                  <c:v>Poland</c:v>
                </c:pt>
                <c:pt idx="3">
                  <c:v>EU-27</c:v>
                </c:pt>
              </c:strCache>
            </c:strRef>
          </c:cat>
          <c:val>
            <c:numRef>
              <c:f>'[3]Comparison with other rail'!$B$77:$B$80</c:f>
              <c:numCache>
                <c:formatCode>#,##0</c:formatCode>
                <c:ptCount val="4"/>
                <c:pt idx="0">
                  <c:v>719887.63180173945</c:v>
                </c:pt>
                <c:pt idx="1">
                  <c:v>700707.47641745268</c:v>
                </c:pt>
                <c:pt idx="2">
                  <c:v>469805.93935707828</c:v>
                </c:pt>
                <c:pt idx="3">
                  <c:v>650713.84122518415</c:v>
                </c:pt>
              </c:numCache>
            </c:numRef>
          </c:val>
        </c:ser>
        <c:dLbls>
          <c:showVal val="1"/>
        </c:dLbls>
        <c:axId val="222656768"/>
        <c:axId val="222662656"/>
      </c:barChart>
      <c:catAx>
        <c:axId val="222656768"/>
        <c:scaling>
          <c:orientation val="minMax"/>
        </c:scaling>
        <c:axPos val="l"/>
        <c:tickLblPos val="nextTo"/>
        <c:txPr>
          <a:bodyPr/>
          <a:lstStyle/>
          <a:p>
            <a:pPr>
              <a:defRPr sz="800"/>
            </a:pPr>
            <a:endParaRPr lang="en-US"/>
          </a:p>
        </c:txPr>
        <c:crossAx val="222662656"/>
        <c:crosses val="autoZero"/>
        <c:auto val="1"/>
        <c:lblAlgn val="ctr"/>
        <c:lblOffset val="100"/>
      </c:catAx>
      <c:valAx>
        <c:axId val="222662656"/>
        <c:scaling>
          <c:orientation val="minMax"/>
        </c:scaling>
        <c:axPos val="b"/>
        <c:numFmt formatCode="#,##0" sourceLinked="1"/>
        <c:tickLblPos val="nextTo"/>
        <c:txPr>
          <a:bodyPr/>
          <a:lstStyle/>
          <a:p>
            <a:pPr>
              <a:defRPr sz="800"/>
            </a:pPr>
            <a:endParaRPr lang="en-US"/>
          </a:p>
        </c:txPr>
        <c:crossAx val="222656768"/>
        <c:crosses val="autoZero"/>
        <c:crossBetween val="between"/>
        <c:majorUnit val="200000"/>
      </c:valAx>
    </c:plotArea>
    <c:plotVisOnly val="1"/>
  </c:chart>
  <c:spPr>
    <a:ln>
      <a:noFill/>
    </a:ln>
  </c:sp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en-US"/>
  <c:style val="1"/>
  <c:chart>
    <c:autoTitleDeleted val="1"/>
    <c:plotArea>
      <c:layout>
        <c:manualLayout>
          <c:layoutTarget val="inner"/>
          <c:xMode val="edge"/>
          <c:yMode val="edge"/>
          <c:x val="0.25425624122566082"/>
          <c:y val="2.9895366218236206E-2"/>
          <c:w val="0.62949782439986812"/>
          <c:h val="0.82479290985487863"/>
        </c:manualLayout>
      </c:layout>
      <c:barChart>
        <c:barDir val="bar"/>
        <c:grouping val="clustered"/>
        <c:ser>
          <c:idx val="0"/>
          <c:order val="0"/>
          <c:tx>
            <c:strRef>
              <c:f>'[3]Comparison with other rail'!$D$91</c:f>
              <c:strCache>
                <c:ptCount val="1"/>
                <c:pt idx="0">
                  <c:v>Loc Prod</c:v>
                </c:pt>
              </c:strCache>
            </c:strRef>
          </c:tx>
          <c:spPr>
            <a:solidFill>
              <a:schemeClr val="tx2"/>
            </a:solidFill>
          </c:spPr>
          <c:dPt>
            <c:idx val="0"/>
            <c:spPr>
              <a:solidFill>
                <a:schemeClr val="tx1"/>
              </a:solidFill>
            </c:spPr>
          </c:dPt>
          <c:cat>
            <c:strRef>
              <c:f>'[3]Comparison with other rail'!$A$92:$B$95</c:f>
              <c:strCache>
                <c:ptCount val="4"/>
                <c:pt idx="0">
                  <c:v>Belarus-2008</c:v>
                </c:pt>
                <c:pt idx="1">
                  <c:v>Germany</c:v>
                </c:pt>
                <c:pt idx="2">
                  <c:v>Poland</c:v>
                </c:pt>
                <c:pt idx="3">
                  <c:v>EU-27</c:v>
                </c:pt>
              </c:strCache>
            </c:strRef>
          </c:cat>
          <c:val>
            <c:numRef>
              <c:f>'[3]Comparison with other rail'!$D$92:$D$95</c:f>
              <c:numCache>
                <c:formatCode>#,##0</c:formatCode>
                <c:ptCount val="4"/>
                <c:pt idx="0">
                  <c:v>89650159.74440895</c:v>
                </c:pt>
                <c:pt idx="1">
                  <c:v>32712585.10017506</c:v>
                </c:pt>
                <c:pt idx="2">
                  <c:v>16055617.977528077</c:v>
                </c:pt>
                <c:pt idx="3">
                  <c:v>27723772.551015746</c:v>
                </c:pt>
              </c:numCache>
            </c:numRef>
          </c:val>
        </c:ser>
        <c:dLbls>
          <c:showVal val="1"/>
        </c:dLbls>
        <c:axId val="222678400"/>
        <c:axId val="222688384"/>
      </c:barChart>
      <c:catAx>
        <c:axId val="222678400"/>
        <c:scaling>
          <c:orientation val="minMax"/>
        </c:scaling>
        <c:axPos val="l"/>
        <c:tickLblPos val="nextTo"/>
        <c:crossAx val="222688384"/>
        <c:crosses val="autoZero"/>
        <c:auto val="1"/>
        <c:lblAlgn val="ctr"/>
        <c:lblOffset val="100"/>
      </c:catAx>
      <c:valAx>
        <c:axId val="222688384"/>
        <c:scaling>
          <c:orientation val="minMax"/>
        </c:scaling>
        <c:axPos val="b"/>
        <c:numFmt formatCode="#,##0" sourceLinked="1"/>
        <c:tickLblPos val="nextTo"/>
        <c:crossAx val="222678400"/>
        <c:crosses val="autoZero"/>
        <c:crossBetween val="between"/>
        <c:majorUnit val="40000000"/>
      </c:valAx>
    </c:plotArea>
    <c:plotVisOnly val="1"/>
  </c:chart>
  <c:spPr>
    <a:ln>
      <a:noFill/>
    </a:ln>
  </c:spPr>
  <c:txPr>
    <a:bodyPr/>
    <a:lstStyle/>
    <a:p>
      <a:pPr>
        <a:defRPr sz="800"/>
      </a:pPr>
      <a:endParaRPr lang="en-US"/>
    </a:p>
  </c:tx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en-US"/>
  <c:style val="1"/>
  <c:chart>
    <c:autoTitleDeleted val="1"/>
    <c:plotArea>
      <c:layout/>
      <c:barChart>
        <c:barDir val="bar"/>
        <c:grouping val="clustered"/>
        <c:ser>
          <c:idx val="0"/>
          <c:order val="0"/>
          <c:tx>
            <c:strRef>
              <c:f>'[3]Comparison with other rail'!$F$91</c:f>
              <c:strCache>
                <c:ptCount val="1"/>
                <c:pt idx="0">
                  <c:v>Coach Prod</c:v>
                </c:pt>
              </c:strCache>
            </c:strRef>
          </c:tx>
          <c:spPr>
            <a:solidFill>
              <a:schemeClr val="tx2"/>
            </a:solidFill>
          </c:spPr>
          <c:dPt>
            <c:idx val="0"/>
            <c:spPr>
              <a:solidFill>
                <a:schemeClr val="tx1"/>
              </a:solidFill>
            </c:spPr>
          </c:dPt>
          <c:cat>
            <c:strRef>
              <c:f>'[3]Comparison with other rail'!$A$92:$B$95</c:f>
              <c:strCache>
                <c:ptCount val="4"/>
                <c:pt idx="0">
                  <c:v>Belarus-2008</c:v>
                </c:pt>
                <c:pt idx="1">
                  <c:v>Germany</c:v>
                </c:pt>
                <c:pt idx="2">
                  <c:v>Poland</c:v>
                </c:pt>
                <c:pt idx="3">
                  <c:v>EU-27</c:v>
                </c:pt>
              </c:strCache>
            </c:strRef>
          </c:cat>
          <c:val>
            <c:numRef>
              <c:f>'[3]Comparison with other rail'!$F$92:$F$95</c:f>
              <c:numCache>
                <c:formatCode>#,##0</c:formatCode>
                <c:ptCount val="4"/>
                <c:pt idx="0">
                  <c:v>2823448.2758620693</c:v>
                </c:pt>
                <c:pt idx="1">
                  <c:v>2779775.4431567877</c:v>
                </c:pt>
                <c:pt idx="2">
                  <c:v>2168578.6740731797</c:v>
                </c:pt>
                <c:pt idx="3">
                  <c:v>2960559.392901571</c:v>
                </c:pt>
              </c:numCache>
            </c:numRef>
          </c:val>
        </c:ser>
        <c:dLbls>
          <c:showVal val="1"/>
        </c:dLbls>
        <c:axId val="222786304"/>
        <c:axId val="222787840"/>
      </c:barChart>
      <c:catAx>
        <c:axId val="222786304"/>
        <c:scaling>
          <c:orientation val="minMax"/>
        </c:scaling>
        <c:axPos val="l"/>
        <c:tickLblPos val="nextTo"/>
        <c:crossAx val="222787840"/>
        <c:crosses val="autoZero"/>
        <c:auto val="1"/>
        <c:lblAlgn val="ctr"/>
        <c:lblOffset val="100"/>
      </c:catAx>
      <c:valAx>
        <c:axId val="222787840"/>
        <c:scaling>
          <c:orientation val="minMax"/>
        </c:scaling>
        <c:axPos val="b"/>
        <c:numFmt formatCode="#,##0" sourceLinked="1"/>
        <c:tickLblPos val="nextTo"/>
        <c:txPr>
          <a:bodyPr/>
          <a:lstStyle/>
          <a:p>
            <a:pPr>
              <a:defRPr sz="700"/>
            </a:pPr>
            <a:endParaRPr lang="en-US"/>
          </a:p>
        </c:txPr>
        <c:crossAx val="222786304"/>
        <c:crosses val="autoZero"/>
        <c:crossBetween val="between"/>
        <c:majorUnit val="1000000"/>
      </c:valAx>
    </c:plotArea>
    <c:plotVisOnly val="1"/>
  </c:chart>
  <c:spPr>
    <a:ln>
      <a:noFill/>
    </a:ln>
  </c:spPr>
  <c:txPr>
    <a:bodyPr/>
    <a:lstStyle/>
    <a:p>
      <a:pPr>
        <a:defRPr sz="800"/>
      </a:pPr>
      <a:endParaRPr lang="en-US"/>
    </a:p>
  </c:tx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en-US"/>
  <c:style val="1"/>
  <c:chart>
    <c:autoTitleDeleted val="1"/>
    <c:plotArea>
      <c:layout/>
      <c:barChart>
        <c:barDir val="bar"/>
        <c:grouping val="clustered"/>
        <c:ser>
          <c:idx val="0"/>
          <c:order val="0"/>
          <c:tx>
            <c:strRef>
              <c:f>'[3]Comparison with other rail'!$E$91</c:f>
              <c:strCache>
                <c:ptCount val="1"/>
                <c:pt idx="0">
                  <c:v>Wagon Prod</c:v>
                </c:pt>
              </c:strCache>
            </c:strRef>
          </c:tx>
          <c:spPr>
            <a:solidFill>
              <a:schemeClr val="tx2"/>
            </a:solidFill>
          </c:spPr>
          <c:dPt>
            <c:idx val="0"/>
            <c:spPr>
              <a:solidFill>
                <a:schemeClr val="tx1"/>
              </a:solidFill>
            </c:spPr>
          </c:dPt>
          <c:dLbls>
            <c:dLblPos val="outEnd"/>
            <c:showVal val="1"/>
          </c:dLbls>
          <c:cat>
            <c:strRef>
              <c:f>'[3]Comparison with other rail'!$A$92:$B$95</c:f>
              <c:strCache>
                <c:ptCount val="4"/>
                <c:pt idx="0">
                  <c:v>Belarus-2008</c:v>
                </c:pt>
                <c:pt idx="1">
                  <c:v>Germany</c:v>
                </c:pt>
                <c:pt idx="2">
                  <c:v>Poland</c:v>
                </c:pt>
                <c:pt idx="3">
                  <c:v>EU-27</c:v>
                </c:pt>
              </c:strCache>
            </c:strRef>
          </c:cat>
          <c:val>
            <c:numRef>
              <c:f>'[3]Comparison with other rail'!$E$92:$E$95</c:f>
              <c:numCache>
                <c:formatCode>#,##0</c:formatCode>
                <c:ptCount val="4"/>
                <c:pt idx="0">
                  <c:v>1771163.5812733246</c:v>
                </c:pt>
                <c:pt idx="1">
                  <c:v>844776.34065893444</c:v>
                </c:pt>
                <c:pt idx="2">
                  <c:v>526825.07257284166</c:v>
                </c:pt>
                <c:pt idx="3">
                  <c:v>756099.6303120479</c:v>
                </c:pt>
              </c:numCache>
            </c:numRef>
          </c:val>
        </c:ser>
        <c:axId val="222795648"/>
        <c:axId val="222797184"/>
      </c:barChart>
      <c:catAx>
        <c:axId val="222795648"/>
        <c:scaling>
          <c:orientation val="minMax"/>
        </c:scaling>
        <c:axPos val="l"/>
        <c:tickLblPos val="nextTo"/>
        <c:crossAx val="222797184"/>
        <c:crosses val="autoZero"/>
        <c:auto val="1"/>
        <c:lblAlgn val="ctr"/>
        <c:lblOffset val="100"/>
      </c:catAx>
      <c:valAx>
        <c:axId val="222797184"/>
        <c:scaling>
          <c:orientation val="minMax"/>
        </c:scaling>
        <c:axPos val="b"/>
        <c:numFmt formatCode="#,##0" sourceLinked="1"/>
        <c:tickLblPos val="nextTo"/>
        <c:txPr>
          <a:bodyPr/>
          <a:lstStyle/>
          <a:p>
            <a:pPr>
              <a:defRPr sz="700"/>
            </a:pPr>
            <a:endParaRPr lang="en-US"/>
          </a:p>
        </c:txPr>
        <c:crossAx val="222795648"/>
        <c:crosses val="autoZero"/>
        <c:crossBetween val="between"/>
      </c:valAx>
    </c:plotArea>
    <c:plotVisOnly val="1"/>
  </c:chart>
  <c:spPr>
    <a:ln>
      <a:noFill/>
    </a:ln>
  </c:spPr>
  <c:txPr>
    <a:bodyPr/>
    <a:lstStyle/>
    <a:p>
      <a:pPr>
        <a:defRPr sz="800"/>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1265507436570428"/>
          <c:y val="5.1400554097404488E-2"/>
          <c:w val="0.87605314960629921"/>
          <c:h val="0.79822506561679785"/>
        </c:manualLayout>
      </c:layout>
      <c:lineChart>
        <c:grouping val="standard"/>
        <c:ser>
          <c:idx val="0"/>
          <c:order val="0"/>
          <c:tx>
            <c:strRef>
              <c:f>[3]Sheet3!$A$59</c:f>
              <c:strCache>
                <c:ptCount val="1"/>
                <c:pt idx="0">
                  <c:v>Air </c:v>
                </c:pt>
              </c:strCache>
            </c:strRef>
          </c:tx>
          <c:marker>
            <c:symbol val="none"/>
          </c:marker>
          <c:cat>
            <c:numRef>
              <c:f>[3]Sheet3!$B$58:$G$58</c:f>
              <c:numCache>
                <c:formatCode>General</c:formatCode>
                <c:ptCount val="6"/>
                <c:pt idx="0">
                  <c:v>2003</c:v>
                </c:pt>
                <c:pt idx="1">
                  <c:v>2004</c:v>
                </c:pt>
                <c:pt idx="2">
                  <c:v>2005</c:v>
                </c:pt>
                <c:pt idx="3">
                  <c:v>2006</c:v>
                </c:pt>
                <c:pt idx="4">
                  <c:v>2007</c:v>
                </c:pt>
                <c:pt idx="5">
                  <c:v>2008</c:v>
                </c:pt>
              </c:numCache>
            </c:numRef>
          </c:cat>
          <c:val>
            <c:numRef>
              <c:f>[3]Sheet3!$B$59:$G$59</c:f>
              <c:numCache>
                <c:formatCode>General</c:formatCode>
                <c:ptCount val="6"/>
                <c:pt idx="0">
                  <c:v>30.1</c:v>
                </c:pt>
                <c:pt idx="1">
                  <c:v>27</c:v>
                </c:pt>
                <c:pt idx="2">
                  <c:v>32.4</c:v>
                </c:pt>
                <c:pt idx="3">
                  <c:v>15.2</c:v>
                </c:pt>
                <c:pt idx="4">
                  <c:v>53.7</c:v>
                </c:pt>
                <c:pt idx="5">
                  <c:v>70.7</c:v>
                </c:pt>
              </c:numCache>
            </c:numRef>
          </c:val>
        </c:ser>
        <c:ser>
          <c:idx val="1"/>
          <c:order val="1"/>
          <c:tx>
            <c:strRef>
              <c:f>[3]Sheet3!$A$60</c:f>
              <c:strCache>
                <c:ptCount val="1"/>
                <c:pt idx="0">
                  <c:v>Rail </c:v>
                </c:pt>
              </c:strCache>
            </c:strRef>
          </c:tx>
          <c:marker>
            <c:symbol val="none"/>
          </c:marker>
          <c:cat>
            <c:numRef>
              <c:f>[3]Sheet3!$B$58:$G$58</c:f>
              <c:numCache>
                <c:formatCode>General</c:formatCode>
                <c:ptCount val="6"/>
                <c:pt idx="0">
                  <c:v>2003</c:v>
                </c:pt>
                <c:pt idx="1">
                  <c:v>2004</c:v>
                </c:pt>
                <c:pt idx="2">
                  <c:v>2005</c:v>
                </c:pt>
                <c:pt idx="3">
                  <c:v>2006</c:v>
                </c:pt>
                <c:pt idx="4">
                  <c:v>2007</c:v>
                </c:pt>
                <c:pt idx="5">
                  <c:v>2008</c:v>
                </c:pt>
              </c:numCache>
            </c:numRef>
          </c:cat>
          <c:val>
            <c:numRef>
              <c:f>[3]Sheet3!$B$60:$G$60</c:f>
              <c:numCache>
                <c:formatCode>General</c:formatCode>
                <c:ptCount val="6"/>
                <c:pt idx="0">
                  <c:v>99.5</c:v>
                </c:pt>
                <c:pt idx="1">
                  <c:v>119.7</c:v>
                </c:pt>
                <c:pt idx="2">
                  <c:v>166.2</c:v>
                </c:pt>
                <c:pt idx="3">
                  <c:v>178.8</c:v>
                </c:pt>
                <c:pt idx="4">
                  <c:v>309.10000000000002</c:v>
                </c:pt>
                <c:pt idx="5">
                  <c:v>373.5</c:v>
                </c:pt>
              </c:numCache>
            </c:numRef>
          </c:val>
        </c:ser>
        <c:ser>
          <c:idx val="2"/>
          <c:order val="2"/>
          <c:tx>
            <c:strRef>
              <c:f>[3]Sheet3!$A$61</c:f>
              <c:strCache>
                <c:ptCount val="1"/>
                <c:pt idx="0">
                  <c:v>Road </c:v>
                </c:pt>
              </c:strCache>
            </c:strRef>
          </c:tx>
          <c:marker>
            <c:symbol val="none"/>
          </c:marker>
          <c:cat>
            <c:numRef>
              <c:f>[3]Sheet3!$B$58:$G$58</c:f>
              <c:numCache>
                <c:formatCode>General</c:formatCode>
                <c:ptCount val="6"/>
                <c:pt idx="0">
                  <c:v>2003</c:v>
                </c:pt>
                <c:pt idx="1">
                  <c:v>2004</c:v>
                </c:pt>
                <c:pt idx="2">
                  <c:v>2005</c:v>
                </c:pt>
                <c:pt idx="3">
                  <c:v>2006</c:v>
                </c:pt>
                <c:pt idx="4">
                  <c:v>2007</c:v>
                </c:pt>
                <c:pt idx="5">
                  <c:v>2008</c:v>
                </c:pt>
              </c:numCache>
            </c:numRef>
          </c:cat>
          <c:val>
            <c:numRef>
              <c:f>[3]Sheet3!$B$61:$G$61</c:f>
              <c:numCache>
                <c:formatCode>General</c:formatCode>
                <c:ptCount val="6"/>
                <c:pt idx="0">
                  <c:v>22.9</c:v>
                </c:pt>
                <c:pt idx="1">
                  <c:v>31.7</c:v>
                </c:pt>
                <c:pt idx="2">
                  <c:v>37.9</c:v>
                </c:pt>
                <c:pt idx="3">
                  <c:v>56</c:v>
                </c:pt>
                <c:pt idx="4">
                  <c:v>121.3</c:v>
                </c:pt>
                <c:pt idx="5">
                  <c:v>209.7</c:v>
                </c:pt>
              </c:numCache>
            </c:numRef>
          </c:val>
        </c:ser>
        <c:ser>
          <c:idx val="3"/>
          <c:order val="3"/>
          <c:tx>
            <c:strRef>
              <c:f>[3]Sheet3!$A$62</c:f>
              <c:strCache>
                <c:ptCount val="1"/>
                <c:pt idx="0">
                  <c:v>Pipelines</c:v>
                </c:pt>
              </c:strCache>
            </c:strRef>
          </c:tx>
          <c:marker>
            <c:symbol val="none"/>
          </c:marker>
          <c:cat>
            <c:numRef>
              <c:f>[3]Sheet3!$B$58:$G$58</c:f>
              <c:numCache>
                <c:formatCode>General</c:formatCode>
                <c:ptCount val="6"/>
                <c:pt idx="0">
                  <c:v>2003</c:v>
                </c:pt>
                <c:pt idx="1">
                  <c:v>2004</c:v>
                </c:pt>
                <c:pt idx="2">
                  <c:v>2005</c:v>
                </c:pt>
                <c:pt idx="3">
                  <c:v>2006</c:v>
                </c:pt>
                <c:pt idx="4">
                  <c:v>2007</c:v>
                </c:pt>
                <c:pt idx="5">
                  <c:v>2008</c:v>
                </c:pt>
              </c:numCache>
            </c:numRef>
          </c:cat>
          <c:val>
            <c:numRef>
              <c:f>[3]Sheet3!$B$62:$G$62</c:f>
              <c:numCache>
                <c:formatCode>General</c:formatCode>
                <c:ptCount val="6"/>
                <c:pt idx="0">
                  <c:v>0</c:v>
                </c:pt>
                <c:pt idx="1">
                  <c:v>7.4</c:v>
                </c:pt>
                <c:pt idx="2">
                  <c:v>54.6</c:v>
                </c:pt>
                <c:pt idx="3">
                  <c:v>138.19999999999999</c:v>
                </c:pt>
                <c:pt idx="4">
                  <c:v>304.2</c:v>
                </c:pt>
                <c:pt idx="5">
                  <c:v>472.3</c:v>
                </c:pt>
              </c:numCache>
            </c:numRef>
          </c:val>
        </c:ser>
        <c:ser>
          <c:idx val="4"/>
          <c:order val="4"/>
          <c:tx>
            <c:strRef>
              <c:f>[3]Sheet3!$A$63</c:f>
              <c:strCache>
                <c:ptCount val="1"/>
                <c:pt idx="0">
                  <c:v>Other transportation</c:v>
                </c:pt>
              </c:strCache>
            </c:strRef>
          </c:tx>
          <c:marker>
            <c:symbol val="none"/>
          </c:marker>
          <c:cat>
            <c:numRef>
              <c:f>[3]Sheet3!$B$58:$G$58</c:f>
              <c:numCache>
                <c:formatCode>General</c:formatCode>
                <c:ptCount val="6"/>
                <c:pt idx="0">
                  <c:v>2003</c:v>
                </c:pt>
                <c:pt idx="1">
                  <c:v>2004</c:v>
                </c:pt>
                <c:pt idx="2">
                  <c:v>2005</c:v>
                </c:pt>
                <c:pt idx="3">
                  <c:v>2006</c:v>
                </c:pt>
                <c:pt idx="4">
                  <c:v>2007</c:v>
                </c:pt>
                <c:pt idx="5">
                  <c:v>2008</c:v>
                </c:pt>
              </c:numCache>
            </c:numRef>
          </c:cat>
          <c:val>
            <c:numRef>
              <c:f>[3]Sheet3!$B$63:$G$63</c:f>
              <c:numCache>
                <c:formatCode>General</c:formatCode>
                <c:ptCount val="6"/>
                <c:pt idx="0">
                  <c:v>38.5</c:v>
                </c:pt>
                <c:pt idx="1">
                  <c:v>62.8</c:v>
                </c:pt>
                <c:pt idx="2">
                  <c:v>55.5</c:v>
                </c:pt>
                <c:pt idx="3">
                  <c:v>95.9</c:v>
                </c:pt>
                <c:pt idx="4">
                  <c:v>115.9</c:v>
                </c:pt>
                <c:pt idx="5">
                  <c:v>165.5</c:v>
                </c:pt>
              </c:numCache>
            </c:numRef>
          </c:val>
        </c:ser>
        <c:marker val="1"/>
        <c:axId val="180156672"/>
        <c:axId val="189014016"/>
      </c:lineChart>
      <c:catAx>
        <c:axId val="180156672"/>
        <c:scaling>
          <c:orientation val="minMax"/>
        </c:scaling>
        <c:axPos val="b"/>
        <c:numFmt formatCode="General" sourceLinked="1"/>
        <c:tickLblPos val="nextTo"/>
        <c:crossAx val="189014016"/>
        <c:crosses val="autoZero"/>
        <c:auto val="1"/>
        <c:lblAlgn val="ctr"/>
        <c:lblOffset val="100"/>
      </c:catAx>
      <c:valAx>
        <c:axId val="189014016"/>
        <c:scaling>
          <c:orientation val="minMax"/>
          <c:max val="1400"/>
        </c:scaling>
        <c:axPos val="l"/>
        <c:majorGridlines/>
        <c:numFmt formatCode="General" sourceLinked="1"/>
        <c:tickLblPos val="nextTo"/>
        <c:crossAx val="180156672"/>
        <c:crosses val="autoZero"/>
        <c:crossBetween val="between"/>
        <c:majorUnit val="200"/>
      </c:valAx>
    </c:plotArea>
    <c:legend>
      <c:legendPos val="r"/>
      <c:layout>
        <c:manualLayout>
          <c:xMode val="edge"/>
          <c:yMode val="edge"/>
          <c:x val="0.14426381153575321"/>
          <c:y val="6.3061492313460824E-2"/>
          <c:w val="0.54882657960437875"/>
          <c:h val="0.41839332583427785"/>
        </c:manualLayout>
      </c:layout>
    </c:legend>
    <c:plotVisOnly val="1"/>
  </c:chart>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en-US"/>
  <c:style val="1"/>
  <c:chart>
    <c:view3D>
      <c:rAngAx val="1"/>
    </c:view3D>
    <c:plotArea>
      <c:layout>
        <c:manualLayout>
          <c:layoutTarget val="inner"/>
          <c:xMode val="edge"/>
          <c:yMode val="edge"/>
          <c:x val="0.20709951881014874"/>
          <c:y val="4.1698846769687832E-2"/>
          <c:w val="0.69886570428696349"/>
          <c:h val="0.79854422503805977"/>
        </c:manualLayout>
      </c:layout>
      <c:bar3DChart>
        <c:barDir val="bar"/>
        <c:grouping val="clustered"/>
        <c:ser>
          <c:idx val="0"/>
          <c:order val="0"/>
          <c:spPr>
            <a:solidFill>
              <a:schemeClr val="tx2"/>
            </a:solidFill>
            <a:scene3d>
              <a:camera prst="orthographicFront"/>
              <a:lightRig rig="threePt" dir="t"/>
            </a:scene3d>
            <a:sp3d/>
          </c:spPr>
          <c:dPt>
            <c:idx val="0"/>
            <c:spPr>
              <a:solidFill>
                <a:schemeClr val="tx1"/>
              </a:solidFill>
              <a:scene3d>
                <a:camera prst="orthographicFront"/>
                <a:lightRig rig="threePt" dir="t"/>
              </a:scene3d>
              <a:sp3d/>
            </c:spPr>
          </c:dPt>
          <c:dLbls>
            <c:dLbl>
              <c:idx val="3"/>
              <c:layout>
                <c:manualLayout>
                  <c:x val="0"/>
                  <c:y val="6.7243733745620413E-2"/>
                </c:manualLayout>
              </c:layout>
              <c:showVal val="1"/>
            </c:dLbl>
            <c:txPr>
              <a:bodyPr/>
              <a:lstStyle/>
              <a:p>
                <a:pPr>
                  <a:defRPr sz="700"/>
                </a:pPr>
                <a:endParaRPr lang="en-US"/>
              </a:p>
            </c:txPr>
            <c:showVal val="1"/>
          </c:dLbls>
          <c:cat>
            <c:strRef>
              <c:f>('Comparison with other rail'!$A$36,'Comparison with other rail'!$A$41:$A$42,'Comparison with other rail'!$A$46:$A$47)</c:f>
              <c:strCache>
                <c:ptCount val="5"/>
                <c:pt idx="0">
                  <c:v>Belarus-2008</c:v>
                </c:pt>
                <c:pt idx="1">
                  <c:v>Germany</c:v>
                </c:pt>
                <c:pt idx="2">
                  <c:v>Poland</c:v>
                </c:pt>
                <c:pt idx="3">
                  <c:v>USA</c:v>
                </c:pt>
                <c:pt idx="4">
                  <c:v>EU-27</c:v>
                </c:pt>
              </c:strCache>
            </c:strRef>
          </c:cat>
          <c:val>
            <c:numRef>
              <c:f>('Comparison with other rail'!$G$36,'Comparison with other rail'!$G$41:$G$42,'Comparison with other rail'!$G$46:$G$47)</c:f>
              <c:numCache>
                <c:formatCode>#,##0</c:formatCode>
                <c:ptCount val="5"/>
                <c:pt idx="0">
                  <c:v>10220542.706246477</c:v>
                </c:pt>
                <c:pt idx="1">
                  <c:v>4966493.4144468727</c:v>
                </c:pt>
                <c:pt idx="2">
                  <c:v>2912212.768125541</c:v>
                </c:pt>
                <c:pt idx="3">
                  <c:v>14512734.029762184</c:v>
                </c:pt>
                <c:pt idx="4">
                  <c:v>3560325.4609038257</c:v>
                </c:pt>
              </c:numCache>
            </c:numRef>
          </c:val>
        </c:ser>
        <c:dLbls>
          <c:showVal val="1"/>
        </c:dLbls>
        <c:shape val="box"/>
        <c:axId val="222842880"/>
        <c:axId val="222844416"/>
        <c:axId val="0"/>
      </c:bar3DChart>
      <c:catAx>
        <c:axId val="222842880"/>
        <c:scaling>
          <c:orientation val="minMax"/>
        </c:scaling>
        <c:axPos val="l"/>
        <c:tickLblPos val="nextTo"/>
        <c:txPr>
          <a:bodyPr/>
          <a:lstStyle/>
          <a:p>
            <a:pPr>
              <a:defRPr sz="700"/>
            </a:pPr>
            <a:endParaRPr lang="en-US"/>
          </a:p>
        </c:txPr>
        <c:crossAx val="222844416"/>
        <c:crosses val="autoZero"/>
        <c:auto val="1"/>
        <c:lblAlgn val="ctr"/>
        <c:lblOffset val="100"/>
      </c:catAx>
      <c:valAx>
        <c:axId val="222844416"/>
        <c:scaling>
          <c:orientation val="minMax"/>
        </c:scaling>
        <c:axPos val="b"/>
        <c:numFmt formatCode="#,##0" sourceLinked="1"/>
        <c:tickLblPos val="nextTo"/>
        <c:txPr>
          <a:bodyPr/>
          <a:lstStyle/>
          <a:p>
            <a:pPr>
              <a:defRPr sz="700"/>
            </a:pPr>
            <a:endParaRPr lang="en-US"/>
          </a:p>
        </c:txPr>
        <c:crossAx val="222842880"/>
        <c:crosses val="autoZero"/>
        <c:crossBetween val="between"/>
      </c:valAx>
    </c:plotArea>
    <c:plotVisOnly val="1"/>
  </c:chart>
  <c:spPr>
    <a:ln>
      <a:noFill/>
    </a:ln>
  </c:sp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en-US"/>
  <c:style val="1"/>
  <c:chart>
    <c:autoTitleDeleted val="1"/>
    <c:plotArea>
      <c:layout/>
      <c:barChart>
        <c:barDir val="col"/>
        <c:grouping val="clustered"/>
        <c:ser>
          <c:idx val="0"/>
          <c:order val="0"/>
          <c:spPr>
            <a:solidFill>
              <a:schemeClr val="tx2"/>
            </a:solidFill>
          </c:spPr>
          <c:dLbls>
            <c:txPr>
              <a:bodyPr/>
              <a:lstStyle/>
              <a:p>
                <a:pPr>
                  <a:defRPr sz="700"/>
                </a:pPr>
                <a:endParaRPr lang="en-US"/>
              </a:p>
            </c:txPr>
            <c:showVal val="1"/>
          </c:dLbls>
          <c:cat>
            <c:strRef>
              <c:f>'Staff per km'!$A$3:$A$12</c:f>
              <c:strCache>
                <c:ptCount val="10"/>
                <c:pt idx="0">
                  <c:v>Poland-PLK</c:v>
                </c:pt>
                <c:pt idx="1">
                  <c:v>Bulgaria-NRIC</c:v>
                </c:pt>
                <c:pt idx="2">
                  <c:v>Denmark-DBK</c:v>
                </c:pt>
                <c:pt idx="3">
                  <c:v>Netherlands-ProRail</c:v>
                </c:pt>
                <c:pt idx="4">
                  <c:v>Portugal-REFER</c:v>
                </c:pt>
                <c:pt idx="5">
                  <c:v>Romania-CFR</c:v>
                </c:pt>
                <c:pt idx="6">
                  <c:v>Spain-ADIF</c:v>
                </c:pt>
                <c:pt idx="7">
                  <c:v>Slovakia-ZSR</c:v>
                </c:pt>
                <c:pt idx="8">
                  <c:v>Sweden-BV</c:v>
                </c:pt>
                <c:pt idx="9">
                  <c:v>UK-Network Rail</c:v>
                </c:pt>
              </c:strCache>
            </c:strRef>
          </c:cat>
          <c:val>
            <c:numRef>
              <c:f>'Staff per km'!$D$3:$D$12</c:f>
              <c:numCache>
                <c:formatCode>#,##0.00</c:formatCode>
                <c:ptCount val="10"/>
                <c:pt idx="0">
                  <c:v>2.2236613489180912</c:v>
                </c:pt>
                <c:pt idx="1">
                  <c:v>4.2309606769537087</c:v>
                </c:pt>
                <c:pt idx="2">
                  <c:v>0.93764650726676069</c:v>
                </c:pt>
                <c:pt idx="3">
                  <c:v>1.0806916426512958</c:v>
                </c:pt>
                <c:pt idx="4">
                  <c:v>1.4094432699083859</c:v>
                </c:pt>
                <c:pt idx="5">
                  <c:v>2.6318262994642327</c:v>
                </c:pt>
                <c:pt idx="6">
                  <c:v>1.0472770795930681</c:v>
                </c:pt>
                <c:pt idx="7">
                  <c:v>4.9600440892807915</c:v>
                </c:pt>
                <c:pt idx="8">
                  <c:v>0.71275837491090521</c:v>
                </c:pt>
                <c:pt idx="9">
                  <c:v>2.150537634408602</c:v>
                </c:pt>
              </c:numCache>
            </c:numRef>
          </c:val>
        </c:ser>
        <c:dLbls>
          <c:showVal val="1"/>
        </c:dLbls>
        <c:gapWidth val="75"/>
        <c:axId val="222872320"/>
        <c:axId val="222873856"/>
      </c:barChart>
      <c:catAx>
        <c:axId val="222872320"/>
        <c:scaling>
          <c:orientation val="minMax"/>
        </c:scaling>
        <c:axPos val="b"/>
        <c:numFmt formatCode="General" sourceLinked="1"/>
        <c:majorTickMark val="none"/>
        <c:tickLblPos val="nextTo"/>
        <c:txPr>
          <a:bodyPr rot="-2700000" vert="horz"/>
          <a:lstStyle/>
          <a:p>
            <a:pPr>
              <a:defRPr sz="700"/>
            </a:pPr>
            <a:endParaRPr lang="en-US"/>
          </a:p>
        </c:txPr>
        <c:crossAx val="222873856"/>
        <c:crosses val="autoZero"/>
        <c:auto val="1"/>
        <c:lblAlgn val="ctr"/>
        <c:lblOffset val="100"/>
        <c:tickLblSkip val="1"/>
        <c:tickMarkSkip val="1"/>
      </c:catAx>
      <c:valAx>
        <c:axId val="222873856"/>
        <c:scaling>
          <c:orientation val="minMax"/>
        </c:scaling>
        <c:axPos val="l"/>
        <c:numFmt formatCode="#,##0.00" sourceLinked="1"/>
        <c:majorTickMark val="none"/>
        <c:tickLblPos val="nextTo"/>
        <c:txPr>
          <a:bodyPr rot="0" vert="horz"/>
          <a:lstStyle/>
          <a:p>
            <a:pPr>
              <a:defRPr sz="700"/>
            </a:pPr>
            <a:endParaRPr lang="en-US"/>
          </a:p>
        </c:txPr>
        <c:crossAx val="222872320"/>
        <c:crosses val="autoZero"/>
        <c:crossBetween val="between"/>
      </c:valAx>
    </c:plotArea>
    <c:plotVisOnly val="1"/>
    <c:dispBlanksAs val="gap"/>
  </c:chart>
  <c:spPr>
    <a:ln>
      <a:noFill/>
    </a:ln>
  </c:spPr>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en-US"/>
  <c:style val="1"/>
  <c:chart>
    <c:autoTitleDeleted val="1"/>
    <c:plotArea>
      <c:layout/>
      <c:barChart>
        <c:barDir val="bar"/>
        <c:grouping val="clustered"/>
        <c:ser>
          <c:idx val="0"/>
          <c:order val="0"/>
          <c:spPr>
            <a:solidFill>
              <a:schemeClr val="tx2"/>
            </a:solidFill>
          </c:spPr>
          <c:dLbls>
            <c:txPr>
              <a:bodyPr/>
              <a:lstStyle/>
              <a:p>
                <a:pPr>
                  <a:defRPr sz="700"/>
                </a:pPr>
                <a:endParaRPr lang="en-US"/>
              </a:p>
            </c:txPr>
            <c:dLblPos val="outEnd"/>
            <c:showVal val="1"/>
          </c:dLbls>
          <c:cat>
            <c:strRef>
              <c:f>'Belarus Railway'!$C$52:$C$55</c:f>
              <c:strCache>
                <c:ptCount val="4"/>
                <c:pt idx="0">
                  <c:v>Pass train-km</c:v>
                </c:pt>
                <c:pt idx="1">
                  <c:v>Freight Train-km</c:v>
                </c:pt>
                <c:pt idx="2">
                  <c:v>Pass revenue</c:v>
                </c:pt>
                <c:pt idx="3">
                  <c:v>Freight revenue</c:v>
                </c:pt>
              </c:strCache>
            </c:strRef>
          </c:cat>
          <c:val>
            <c:numRef>
              <c:f>'Belarus Railway'!$D$52:$D$55</c:f>
              <c:numCache>
                <c:formatCode>0.00%</c:formatCode>
                <c:ptCount val="4"/>
                <c:pt idx="0">
                  <c:v>0.56851311953352768</c:v>
                </c:pt>
                <c:pt idx="1">
                  <c:v>0.43148688046648115</c:v>
                </c:pt>
                <c:pt idx="2">
                  <c:v>0.17924687616423149</c:v>
                </c:pt>
                <c:pt idx="3">
                  <c:v>0.8207531238357727</c:v>
                </c:pt>
              </c:numCache>
            </c:numRef>
          </c:val>
        </c:ser>
        <c:dLbls>
          <c:showVal val="1"/>
        </c:dLbls>
        <c:axId val="222893952"/>
        <c:axId val="222895488"/>
      </c:barChart>
      <c:catAx>
        <c:axId val="222893952"/>
        <c:scaling>
          <c:orientation val="minMax"/>
        </c:scaling>
        <c:axPos val="l"/>
        <c:tickLblPos val="nextTo"/>
        <c:txPr>
          <a:bodyPr/>
          <a:lstStyle/>
          <a:p>
            <a:pPr>
              <a:defRPr sz="700"/>
            </a:pPr>
            <a:endParaRPr lang="en-US"/>
          </a:p>
        </c:txPr>
        <c:crossAx val="222895488"/>
        <c:crosses val="autoZero"/>
        <c:auto val="1"/>
        <c:lblAlgn val="ctr"/>
        <c:lblOffset val="100"/>
      </c:catAx>
      <c:valAx>
        <c:axId val="222895488"/>
        <c:scaling>
          <c:orientation val="minMax"/>
        </c:scaling>
        <c:axPos val="b"/>
        <c:numFmt formatCode="0.00%" sourceLinked="1"/>
        <c:tickLblPos val="none"/>
        <c:crossAx val="222893952"/>
        <c:crosses val="autoZero"/>
        <c:crossBetween val="between"/>
      </c:valAx>
    </c:plotArea>
    <c:plotVisOnly val="1"/>
  </c:chart>
  <c:spPr>
    <a:ln>
      <a:noFill/>
    </a:ln>
  </c:sp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en-US"/>
  <c:style val="1"/>
  <c:chart>
    <c:autoTitleDeleted val="1"/>
    <c:plotArea>
      <c:layout>
        <c:manualLayout>
          <c:layoutTarget val="inner"/>
          <c:xMode val="edge"/>
          <c:yMode val="edge"/>
          <c:x val="4.7774158523344185E-2"/>
          <c:y val="6.1884669479606191E-2"/>
          <c:w val="0.90445168295331169"/>
          <c:h val="0.72564448431289619"/>
        </c:manualLayout>
      </c:layout>
      <c:barChart>
        <c:barDir val="col"/>
        <c:grouping val="clustered"/>
        <c:ser>
          <c:idx val="0"/>
          <c:order val="0"/>
          <c:tx>
            <c:strRef>
              <c:f>'[Statistics Belarus Railway.xlsx]Belarus Railway'!$B$96</c:f>
              <c:strCache>
                <c:ptCount val="1"/>
                <c:pt idx="0">
                  <c:v>Profit</c:v>
                </c:pt>
              </c:strCache>
            </c:strRef>
          </c:tx>
          <c:spPr>
            <a:solidFill>
              <a:schemeClr val="tx2"/>
            </a:solidFill>
          </c:spPr>
          <c:dLbls>
            <c:txPr>
              <a:bodyPr/>
              <a:lstStyle/>
              <a:p>
                <a:pPr>
                  <a:defRPr sz="700"/>
                </a:pPr>
                <a:endParaRPr lang="en-US"/>
              </a:p>
            </c:txPr>
            <c:dLblPos val="outEnd"/>
            <c:showVal val="1"/>
          </c:dLbls>
          <c:cat>
            <c:numRef>
              <c:f>'[Statistics Belarus Railway.xlsx]Belarus Railway'!$C$93:$F$93</c:f>
              <c:numCache>
                <c:formatCode>General</c:formatCode>
                <c:ptCount val="4"/>
                <c:pt idx="0">
                  <c:v>2005</c:v>
                </c:pt>
                <c:pt idx="1">
                  <c:v>2006</c:v>
                </c:pt>
                <c:pt idx="2">
                  <c:v>2007</c:v>
                </c:pt>
                <c:pt idx="3">
                  <c:v>2008</c:v>
                </c:pt>
              </c:numCache>
            </c:numRef>
          </c:cat>
          <c:val>
            <c:numRef>
              <c:f>'[Statistics Belarus Railway.xlsx]Belarus Railway'!$C$96:$F$96</c:f>
              <c:numCache>
                <c:formatCode>#,##0</c:formatCode>
                <c:ptCount val="4"/>
                <c:pt idx="0">
                  <c:v>492780</c:v>
                </c:pt>
                <c:pt idx="1">
                  <c:v>534569</c:v>
                </c:pt>
                <c:pt idx="2">
                  <c:v>717766</c:v>
                </c:pt>
                <c:pt idx="3">
                  <c:v>895747</c:v>
                </c:pt>
              </c:numCache>
            </c:numRef>
          </c:val>
        </c:ser>
        <c:dLbls>
          <c:showVal val="1"/>
        </c:dLbls>
        <c:axId val="222911104"/>
        <c:axId val="222945664"/>
      </c:barChart>
      <c:catAx>
        <c:axId val="222911104"/>
        <c:scaling>
          <c:orientation val="minMax"/>
        </c:scaling>
        <c:axPos val="b"/>
        <c:numFmt formatCode="General" sourceLinked="1"/>
        <c:tickLblPos val="nextTo"/>
        <c:txPr>
          <a:bodyPr/>
          <a:lstStyle/>
          <a:p>
            <a:pPr>
              <a:defRPr sz="700"/>
            </a:pPr>
            <a:endParaRPr lang="en-US"/>
          </a:p>
        </c:txPr>
        <c:crossAx val="222945664"/>
        <c:crosses val="autoZero"/>
        <c:auto val="1"/>
        <c:lblAlgn val="ctr"/>
        <c:lblOffset val="100"/>
      </c:catAx>
      <c:valAx>
        <c:axId val="222945664"/>
        <c:scaling>
          <c:orientation val="minMax"/>
        </c:scaling>
        <c:delete val="1"/>
        <c:axPos val="l"/>
        <c:numFmt formatCode="#,##0" sourceLinked="1"/>
        <c:tickLblPos val="none"/>
        <c:crossAx val="222911104"/>
        <c:crosses val="autoZero"/>
        <c:crossBetween val="between"/>
        <c:majorUnit val="200000"/>
      </c:valAx>
    </c:plotArea>
    <c:plotVisOnly val="1"/>
  </c:chart>
  <c:spPr>
    <a:ln>
      <a:noFill/>
    </a:ln>
  </c:sp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en-US"/>
  <c:style val="1"/>
  <c:chart>
    <c:autoTitleDeleted val="1"/>
    <c:plotArea>
      <c:layout/>
      <c:barChart>
        <c:barDir val="col"/>
        <c:grouping val="clustered"/>
        <c:ser>
          <c:idx val="0"/>
          <c:order val="0"/>
          <c:tx>
            <c:strRef>
              <c:f>'[4]Belarus Railway'!$H$26</c:f>
              <c:strCache>
                <c:ptCount val="1"/>
                <c:pt idx="0">
                  <c:v>Working ratio</c:v>
                </c:pt>
              </c:strCache>
            </c:strRef>
          </c:tx>
          <c:spPr>
            <a:solidFill>
              <a:schemeClr val="tx2">
                <a:lumMod val="40000"/>
                <a:lumOff val="60000"/>
              </a:schemeClr>
            </a:solidFill>
          </c:spPr>
          <c:cat>
            <c:numRef>
              <c:f>'[4]Belarus Railway'!$I$24:$L$24</c:f>
              <c:numCache>
                <c:formatCode>General</c:formatCode>
                <c:ptCount val="4"/>
                <c:pt idx="0">
                  <c:v>2005</c:v>
                </c:pt>
                <c:pt idx="1">
                  <c:v>2006</c:v>
                </c:pt>
                <c:pt idx="2">
                  <c:v>2007</c:v>
                </c:pt>
                <c:pt idx="3">
                  <c:v>2008</c:v>
                </c:pt>
              </c:numCache>
            </c:numRef>
          </c:cat>
          <c:val>
            <c:numRef>
              <c:f>'[4]Belarus Railway'!$I$26:$L$26</c:f>
              <c:numCache>
                <c:formatCode>0.00%</c:formatCode>
                <c:ptCount val="4"/>
                <c:pt idx="0">
                  <c:v>0.6712777916835112</c:v>
                </c:pt>
                <c:pt idx="1">
                  <c:v>0.70347427127729523</c:v>
                </c:pt>
                <c:pt idx="2">
                  <c:v>0.67361301089016579</c:v>
                </c:pt>
                <c:pt idx="3">
                  <c:v>0.6727836654295638</c:v>
                </c:pt>
              </c:numCache>
            </c:numRef>
          </c:val>
        </c:ser>
        <c:ser>
          <c:idx val="1"/>
          <c:order val="1"/>
          <c:tx>
            <c:strRef>
              <c:f>'[4]Belarus Railway'!$H$27</c:f>
              <c:strCache>
                <c:ptCount val="1"/>
                <c:pt idx="0">
                  <c:v>Operating ratio</c:v>
                </c:pt>
              </c:strCache>
            </c:strRef>
          </c:tx>
          <c:spPr>
            <a:solidFill>
              <a:schemeClr val="tx2">
                <a:lumMod val="75000"/>
              </a:schemeClr>
            </a:solidFill>
          </c:spPr>
          <c:cat>
            <c:numRef>
              <c:f>'[4]Belarus Railway'!$I$24:$L$24</c:f>
              <c:numCache>
                <c:formatCode>General</c:formatCode>
                <c:ptCount val="4"/>
                <c:pt idx="0">
                  <c:v>2005</c:v>
                </c:pt>
                <c:pt idx="1">
                  <c:v>2006</c:v>
                </c:pt>
                <c:pt idx="2">
                  <c:v>2007</c:v>
                </c:pt>
                <c:pt idx="3">
                  <c:v>2008</c:v>
                </c:pt>
              </c:numCache>
            </c:numRef>
          </c:cat>
          <c:val>
            <c:numRef>
              <c:f>'[4]Belarus Railway'!$I$27:$L$27</c:f>
              <c:numCache>
                <c:formatCode>0.00%</c:formatCode>
                <c:ptCount val="4"/>
                <c:pt idx="0">
                  <c:v>0.78511456806187951</c:v>
                </c:pt>
                <c:pt idx="1">
                  <c:v>0.80196857467266058</c:v>
                </c:pt>
                <c:pt idx="2">
                  <c:v>0.77404149610631934</c:v>
                </c:pt>
                <c:pt idx="3">
                  <c:v>0.76905671955025534</c:v>
                </c:pt>
              </c:numCache>
            </c:numRef>
          </c:val>
        </c:ser>
        <c:dLbls>
          <c:showVal val="1"/>
        </c:dLbls>
        <c:axId val="223040256"/>
        <c:axId val="223041792"/>
      </c:barChart>
      <c:catAx>
        <c:axId val="223040256"/>
        <c:scaling>
          <c:orientation val="minMax"/>
        </c:scaling>
        <c:axPos val="b"/>
        <c:numFmt formatCode="General" sourceLinked="1"/>
        <c:tickLblPos val="nextTo"/>
        <c:crossAx val="223041792"/>
        <c:crosses val="autoZero"/>
        <c:auto val="1"/>
        <c:lblAlgn val="ctr"/>
        <c:lblOffset val="100"/>
      </c:catAx>
      <c:valAx>
        <c:axId val="223041792"/>
        <c:scaling>
          <c:orientation val="minMax"/>
        </c:scaling>
        <c:delete val="1"/>
        <c:axPos val="l"/>
        <c:numFmt formatCode="0.00%" sourceLinked="1"/>
        <c:tickLblPos val="none"/>
        <c:crossAx val="223040256"/>
        <c:crosses val="autoZero"/>
        <c:crossBetween val="between"/>
      </c:valAx>
    </c:plotArea>
    <c:legend>
      <c:legendPos val="b"/>
    </c:legend>
    <c:plotVisOnly val="1"/>
  </c:chart>
  <c:spPr>
    <a:ln>
      <a:noFill/>
    </a:ln>
  </c:spPr>
  <c:txPr>
    <a:bodyPr/>
    <a:lstStyle/>
    <a:p>
      <a:pPr>
        <a:defRPr sz="700"/>
      </a:pPr>
      <a:endParaRPr lang="en-US"/>
    </a:p>
  </c:txPr>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en-US"/>
  <c:style val="1"/>
  <c:chart>
    <c:autoTitleDeleted val="1"/>
    <c:plotArea>
      <c:layout>
        <c:manualLayout>
          <c:layoutTarget val="inner"/>
          <c:xMode val="edge"/>
          <c:yMode val="edge"/>
          <c:x val="0.12889638795150621"/>
          <c:y val="5.9863945578231534E-2"/>
          <c:w val="0.80316710411198156"/>
          <c:h val="0.69944956880389964"/>
        </c:manualLayout>
      </c:layout>
      <c:barChart>
        <c:barDir val="bar"/>
        <c:grouping val="clustered"/>
        <c:ser>
          <c:idx val="0"/>
          <c:order val="0"/>
          <c:tx>
            <c:strRef>
              <c:f>'[Statistics Belarus Railway.xlsx]Belarus Railway'!$B$86:$C$86</c:f>
              <c:strCache>
                <c:ptCount val="1"/>
                <c:pt idx="0">
                  <c:v>National</c:v>
                </c:pt>
              </c:strCache>
            </c:strRef>
          </c:tx>
          <c:spPr>
            <a:solidFill>
              <a:schemeClr val="accent2"/>
            </a:solidFill>
          </c:spPr>
          <c:cat>
            <c:numRef>
              <c:f>'[Statistics Belarus Railway.xlsx]Belarus Railway'!$D$85:$G$85</c:f>
              <c:numCache>
                <c:formatCode>General</c:formatCode>
                <c:ptCount val="4"/>
                <c:pt idx="0">
                  <c:v>2005</c:v>
                </c:pt>
                <c:pt idx="1">
                  <c:v>2006</c:v>
                </c:pt>
                <c:pt idx="2">
                  <c:v>2007</c:v>
                </c:pt>
                <c:pt idx="3">
                  <c:v>2008</c:v>
                </c:pt>
              </c:numCache>
            </c:numRef>
          </c:cat>
          <c:val>
            <c:numRef>
              <c:f>'[Statistics Belarus Railway.xlsx]Belarus Railway'!$D$86:$G$86</c:f>
              <c:numCache>
                <c:formatCode>#,##0.000</c:formatCode>
                <c:ptCount val="4"/>
                <c:pt idx="0">
                  <c:v>1.0318044517202939E-2</c:v>
                </c:pt>
                <c:pt idx="1">
                  <c:v>1.1205385407583784E-2</c:v>
                </c:pt>
                <c:pt idx="2">
                  <c:v>1.1169623205702783E-2</c:v>
                </c:pt>
                <c:pt idx="3">
                  <c:v>1.1184242043047445E-2</c:v>
                </c:pt>
              </c:numCache>
            </c:numRef>
          </c:val>
        </c:ser>
        <c:ser>
          <c:idx val="1"/>
          <c:order val="1"/>
          <c:tx>
            <c:strRef>
              <c:f>'[Statistics Belarus Railway.xlsx]Belarus Railway'!$B$90:$C$90</c:f>
              <c:strCache>
                <c:ptCount val="1"/>
                <c:pt idx="0">
                  <c:v>International</c:v>
                </c:pt>
              </c:strCache>
            </c:strRef>
          </c:tx>
          <c:spPr>
            <a:solidFill>
              <a:schemeClr val="accent3"/>
            </a:solidFill>
          </c:spPr>
          <c:cat>
            <c:numRef>
              <c:f>'[Statistics Belarus Railway.xlsx]Belarus Railway'!$D$85:$G$85</c:f>
              <c:numCache>
                <c:formatCode>General</c:formatCode>
                <c:ptCount val="4"/>
                <c:pt idx="0">
                  <c:v>2005</c:v>
                </c:pt>
                <c:pt idx="1">
                  <c:v>2006</c:v>
                </c:pt>
                <c:pt idx="2">
                  <c:v>2007</c:v>
                </c:pt>
                <c:pt idx="3">
                  <c:v>2008</c:v>
                </c:pt>
              </c:numCache>
            </c:numRef>
          </c:cat>
          <c:val>
            <c:numRef>
              <c:f>'[Statistics Belarus Railway.xlsx]Belarus Railway'!$D$90:$G$90</c:f>
              <c:numCache>
                <c:formatCode>#,##0.000</c:formatCode>
                <c:ptCount val="4"/>
                <c:pt idx="0">
                  <c:v>1.7813717525667624E-2</c:v>
                </c:pt>
                <c:pt idx="1">
                  <c:v>2.0342716682343612E-2</c:v>
                </c:pt>
                <c:pt idx="2">
                  <c:v>2.0984091677286043E-2</c:v>
                </c:pt>
                <c:pt idx="3">
                  <c:v>2.452224809844963E-2</c:v>
                </c:pt>
              </c:numCache>
            </c:numRef>
          </c:val>
        </c:ser>
        <c:dLbls>
          <c:showVal val="1"/>
        </c:dLbls>
        <c:axId val="223071232"/>
        <c:axId val="222954240"/>
      </c:barChart>
      <c:catAx>
        <c:axId val="223071232"/>
        <c:scaling>
          <c:orientation val="minMax"/>
        </c:scaling>
        <c:axPos val="l"/>
        <c:numFmt formatCode="General" sourceLinked="1"/>
        <c:tickLblPos val="nextTo"/>
        <c:crossAx val="222954240"/>
        <c:crosses val="autoZero"/>
        <c:auto val="1"/>
        <c:lblAlgn val="ctr"/>
        <c:lblOffset val="100"/>
      </c:catAx>
      <c:valAx>
        <c:axId val="222954240"/>
        <c:scaling>
          <c:orientation val="minMax"/>
        </c:scaling>
        <c:axPos val="b"/>
        <c:numFmt formatCode="#,##0.000" sourceLinked="1"/>
        <c:tickLblPos val="nextTo"/>
        <c:crossAx val="223071232"/>
        <c:crosses val="autoZero"/>
        <c:crossBetween val="between"/>
      </c:valAx>
    </c:plotArea>
    <c:legend>
      <c:legendPos val="b"/>
      <c:layout>
        <c:manualLayout>
          <c:xMode val="edge"/>
          <c:yMode val="edge"/>
          <c:x val="0.24630564036638294"/>
          <c:y val="0.88865606084953652"/>
          <c:w val="0.46203688824611211"/>
          <c:h val="7.8690877925973582E-2"/>
        </c:manualLayout>
      </c:layout>
    </c:legend>
    <c:plotVisOnly val="1"/>
  </c:chart>
  <c:spPr>
    <a:ln>
      <a:noFill/>
    </a:ln>
  </c:spPr>
  <c:txPr>
    <a:bodyPr/>
    <a:lstStyle/>
    <a:p>
      <a:pPr>
        <a:defRPr sz="700"/>
      </a:pPr>
      <a:endParaRPr lang="en-US"/>
    </a:p>
  </c:txPr>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en-US"/>
  <c:style val="26"/>
  <c:chart>
    <c:plotArea>
      <c:layout/>
      <c:barChart>
        <c:barDir val="col"/>
        <c:grouping val="clustered"/>
        <c:ser>
          <c:idx val="0"/>
          <c:order val="0"/>
          <c:spPr>
            <a:solidFill>
              <a:schemeClr val="accent2"/>
            </a:solidFill>
            <a:scene3d>
              <a:camera prst="orthographicFront"/>
              <a:lightRig rig="threePt" dir="t">
                <a:rot lat="0" lon="0" rev="1200000"/>
              </a:lightRig>
            </a:scene3d>
            <a:sp3d/>
          </c:spPr>
          <c:dPt>
            <c:idx val="2"/>
            <c:spPr>
              <a:solidFill>
                <a:schemeClr val="tx2"/>
              </a:solidFill>
              <a:scene3d>
                <a:camera prst="orthographicFront"/>
                <a:lightRig rig="threePt" dir="t">
                  <a:rot lat="0" lon="0" rev="1200000"/>
                </a:lightRig>
              </a:scene3d>
              <a:sp3d/>
            </c:spPr>
          </c:dPt>
          <c:dPt>
            <c:idx val="3"/>
            <c:spPr>
              <a:solidFill>
                <a:schemeClr val="tx2"/>
              </a:solidFill>
              <a:scene3d>
                <a:camera prst="orthographicFront"/>
                <a:lightRig rig="threePt" dir="t">
                  <a:rot lat="0" lon="0" rev="1200000"/>
                </a:lightRig>
              </a:scene3d>
              <a:sp3d/>
            </c:spPr>
          </c:dPt>
          <c:dLbls>
            <c:txPr>
              <a:bodyPr/>
              <a:lstStyle/>
              <a:p>
                <a:pPr>
                  <a:defRPr sz="700"/>
                </a:pPr>
                <a:endParaRPr lang="en-US"/>
              </a:p>
            </c:txPr>
            <c:showVal val="1"/>
          </c:dLbls>
          <c:cat>
            <c:strRef>
              <c:f>'Belarus Railway'!$C$52:$C$55</c:f>
              <c:strCache>
                <c:ptCount val="4"/>
                <c:pt idx="0">
                  <c:v>Passenger Train-Km</c:v>
                </c:pt>
                <c:pt idx="1">
                  <c:v>Passenger Revenue</c:v>
                </c:pt>
                <c:pt idx="2">
                  <c:v>Freight Train-km</c:v>
                </c:pt>
                <c:pt idx="3">
                  <c:v>Freight Revenue</c:v>
                </c:pt>
              </c:strCache>
            </c:strRef>
          </c:cat>
          <c:val>
            <c:numRef>
              <c:f>'Belarus Railway'!$D$52:$D$55</c:f>
              <c:numCache>
                <c:formatCode>0.00%</c:formatCode>
                <c:ptCount val="4"/>
                <c:pt idx="0">
                  <c:v>0.56851311953352768</c:v>
                </c:pt>
                <c:pt idx="1">
                  <c:v>0.17924687616423007</c:v>
                </c:pt>
                <c:pt idx="2">
                  <c:v>0.43148688046647804</c:v>
                </c:pt>
                <c:pt idx="3">
                  <c:v>0.8207531238357727</c:v>
                </c:pt>
              </c:numCache>
            </c:numRef>
          </c:val>
        </c:ser>
        <c:dLbls>
          <c:showVal val="1"/>
        </c:dLbls>
        <c:axId val="222979200"/>
        <c:axId val="222980736"/>
      </c:barChart>
      <c:catAx>
        <c:axId val="222979200"/>
        <c:scaling>
          <c:orientation val="minMax"/>
        </c:scaling>
        <c:axPos val="b"/>
        <c:tickLblPos val="nextTo"/>
        <c:txPr>
          <a:bodyPr/>
          <a:lstStyle/>
          <a:p>
            <a:pPr>
              <a:defRPr sz="700"/>
            </a:pPr>
            <a:endParaRPr lang="en-US"/>
          </a:p>
        </c:txPr>
        <c:crossAx val="222980736"/>
        <c:crosses val="autoZero"/>
        <c:auto val="1"/>
        <c:lblAlgn val="ctr"/>
        <c:lblOffset val="100"/>
      </c:catAx>
      <c:valAx>
        <c:axId val="222980736"/>
        <c:scaling>
          <c:orientation val="minMax"/>
        </c:scaling>
        <c:axPos val="l"/>
        <c:numFmt formatCode="0.00%" sourceLinked="1"/>
        <c:tickLblPos val="nextTo"/>
        <c:txPr>
          <a:bodyPr/>
          <a:lstStyle/>
          <a:p>
            <a:pPr>
              <a:defRPr sz="700"/>
            </a:pPr>
            <a:endParaRPr lang="en-US"/>
          </a:p>
        </c:txPr>
        <c:crossAx val="222979200"/>
        <c:crosses val="autoZero"/>
        <c:crossBetween val="between"/>
      </c:valAx>
    </c:plotArea>
    <c:plotVisOnly val="1"/>
  </c:chart>
  <c:spPr>
    <a:ln>
      <a:noFill/>
    </a:ln>
  </c:spPr>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en-US"/>
  <c:style val="1"/>
  <c:chart>
    <c:autoTitleDeleted val="1"/>
    <c:plotArea>
      <c:layout/>
      <c:barChart>
        <c:barDir val="bar"/>
        <c:grouping val="clustered"/>
        <c:ser>
          <c:idx val="0"/>
          <c:order val="0"/>
          <c:tx>
            <c:strRef>
              <c:f>[4]Passengers!$B$73</c:f>
              <c:strCache>
                <c:ptCount val="1"/>
                <c:pt idx="0">
                  <c:v>Unit revenue [EUR]</c:v>
                </c:pt>
              </c:strCache>
            </c:strRef>
          </c:tx>
          <c:spPr>
            <a:solidFill>
              <a:schemeClr val="accent6"/>
            </a:solidFill>
          </c:spPr>
          <c:cat>
            <c:numRef>
              <c:f>[4]Passengers!$C$67:$F$67</c:f>
              <c:numCache>
                <c:formatCode>General</c:formatCode>
                <c:ptCount val="4"/>
                <c:pt idx="0">
                  <c:v>2005</c:v>
                </c:pt>
                <c:pt idx="1">
                  <c:v>2006</c:v>
                </c:pt>
                <c:pt idx="2">
                  <c:v>2007</c:v>
                </c:pt>
                <c:pt idx="3">
                  <c:v>2008</c:v>
                </c:pt>
              </c:numCache>
            </c:numRef>
          </c:cat>
          <c:val>
            <c:numRef>
              <c:f>[4]Passengers!$C$73:$F$73</c:f>
              <c:numCache>
                <c:formatCode>#,##0.000</c:formatCode>
                <c:ptCount val="4"/>
                <c:pt idx="0">
                  <c:v>1.5061656308394024E-2</c:v>
                </c:pt>
                <c:pt idx="1">
                  <c:v>1.7977916213485802E-2</c:v>
                </c:pt>
                <c:pt idx="2">
                  <c:v>2.1066342349118382E-2</c:v>
                </c:pt>
                <c:pt idx="3">
                  <c:v>2.7084950339430817E-2</c:v>
                </c:pt>
              </c:numCache>
            </c:numRef>
          </c:val>
        </c:ser>
        <c:ser>
          <c:idx val="1"/>
          <c:order val="1"/>
          <c:tx>
            <c:strRef>
              <c:f>[4]Passengers!$B$74</c:f>
              <c:strCache>
                <c:ptCount val="1"/>
                <c:pt idx="0">
                  <c:v>Unit cost [EUR]</c:v>
                </c:pt>
              </c:strCache>
            </c:strRef>
          </c:tx>
          <c:spPr>
            <a:solidFill>
              <a:schemeClr val="tx2"/>
            </a:solidFill>
          </c:spPr>
          <c:cat>
            <c:numRef>
              <c:f>[4]Passengers!$C$67:$F$67</c:f>
              <c:numCache>
                <c:formatCode>General</c:formatCode>
                <c:ptCount val="4"/>
                <c:pt idx="0">
                  <c:v>2005</c:v>
                </c:pt>
                <c:pt idx="1">
                  <c:v>2006</c:v>
                </c:pt>
                <c:pt idx="2">
                  <c:v>2007</c:v>
                </c:pt>
                <c:pt idx="3">
                  <c:v>2008</c:v>
                </c:pt>
              </c:numCache>
            </c:numRef>
          </c:cat>
          <c:val>
            <c:numRef>
              <c:f>[4]Passengers!$C$74:$F$74</c:f>
              <c:numCache>
                <c:formatCode>#,##0.000</c:formatCode>
                <c:ptCount val="4"/>
                <c:pt idx="0">
                  <c:v>2.2122061018277701E-2</c:v>
                </c:pt>
                <c:pt idx="1">
                  <c:v>2.7652100466904361E-2</c:v>
                </c:pt>
                <c:pt idx="2">
                  <c:v>3.0224349256766002E-2</c:v>
                </c:pt>
                <c:pt idx="3">
                  <c:v>3.7689195274657854E-2</c:v>
                </c:pt>
              </c:numCache>
            </c:numRef>
          </c:val>
        </c:ser>
        <c:dLbls>
          <c:showVal val="1"/>
        </c:dLbls>
        <c:axId val="223013504"/>
        <c:axId val="223158656"/>
      </c:barChart>
      <c:catAx>
        <c:axId val="223013504"/>
        <c:scaling>
          <c:orientation val="minMax"/>
        </c:scaling>
        <c:axPos val="l"/>
        <c:numFmt formatCode="General" sourceLinked="1"/>
        <c:tickLblPos val="nextTo"/>
        <c:crossAx val="223158656"/>
        <c:crosses val="autoZero"/>
        <c:auto val="1"/>
        <c:lblAlgn val="ctr"/>
        <c:lblOffset val="100"/>
      </c:catAx>
      <c:valAx>
        <c:axId val="223158656"/>
        <c:scaling>
          <c:orientation val="minMax"/>
        </c:scaling>
        <c:axPos val="b"/>
        <c:numFmt formatCode="#,##0.000" sourceLinked="1"/>
        <c:tickLblPos val="nextTo"/>
        <c:crossAx val="223013504"/>
        <c:crosses val="autoZero"/>
        <c:crossBetween val="between"/>
      </c:valAx>
    </c:plotArea>
    <c:legend>
      <c:legendPos val="b"/>
      <c:layout>
        <c:manualLayout>
          <c:xMode val="edge"/>
          <c:yMode val="edge"/>
          <c:x val="0.19795344660864761"/>
          <c:y val="0.87359457974729859"/>
          <c:w val="0.59532117695814335"/>
          <c:h val="7.4725833689393492E-2"/>
        </c:manualLayout>
      </c:layout>
    </c:legend>
    <c:plotVisOnly val="1"/>
  </c:chart>
  <c:spPr>
    <a:ln>
      <a:noFill/>
    </a:ln>
  </c:spPr>
  <c:txPr>
    <a:bodyPr/>
    <a:lstStyle/>
    <a:p>
      <a:pPr>
        <a:defRPr sz="700"/>
      </a:pPr>
      <a:endParaRPr lang="en-US"/>
    </a:p>
  </c:txPr>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en-US"/>
  <c:style val="1"/>
  <c:chart>
    <c:autoTitleDeleted val="1"/>
    <c:plotArea>
      <c:layout/>
      <c:barChart>
        <c:barDir val="col"/>
        <c:grouping val="clustered"/>
        <c:ser>
          <c:idx val="0"/>
          <c:order val="0"/>
          <c:tx>
            <c:strRef>
              <c:f>'Average Investment'!$B$3</c:f>
              <c:strCache>
                <c:ptCount val="1"/>
                <c:pt idx="0">
                  <c:v>Million Euro / km</c:v>
                </c:pt>
              </c:strCache>
            </c:strRef>
          </c:tx>
          <c:spPr>
            <a:solidFill>
              <a:schemeClr val="tx2"/>
            </a:solidFill>
          </c:spPr>
          <c:dLbls>
            <c:txPr>
              <a:bodyPr/>
              <a:lstStyle/>
              <a:p>
                <a:pPr>
                  <a:defRPr sz="700"/>
                </a:pPr>
                <a:endParaRPr lang="en-US"/>
              </a:p>
            </c:txPr>
            <c:dLblPos val="outEnd"/>
            <c:showVal val="1"/>
          </c:dLbls>
          <c:cat>
            <c:strRef>
              <c:f>'Average Investment'!$A$4:$A$12</c:f>
              <c:strCache>
                <c:ptCount val="9"/>
                <c:pt idx="0">
                  <c:v>Austria</c:v>
                </c:pt>
                <c:pt idx="1">
                  <c:v>Denmark</c:v>
                </c:pt>
                <c:pt idx="2">
                  <c:v>France</c:v>
                </c:pt>
                <c:pt idx="3">
                  <c:v>Germany</c:v>
                </c:pt>
                <c:pt idx="4">
                  <c:v>Italy</c:v>
                </c:pt>
                <c:pt idx="5">
                  <c:v>Spain</c:v>
                </c:pt>
                <c:pt idx="6">
                  <c:v>Czech</c:v>
                </c:pt>
                <c:pt idx="7">
                  <c:v>Hungary</c:v>
                </c:pt>
                <c:pt idx="8">
                  <c:v>Poland</c:v>
                </c:pt>
              </c:strCache>
            </c:strRef>
          </c:cat>
          <c:val>
            <c:numRef>
              <c:f>'Average Investment'!$B$4:$B$12</c:f>
              <c:numCache>
                <c:formatCode>#,##0.00</c:formatCode>
                <c:ptCount val="9"/>
                <c:pt idx="0">
                  <c:v>2.8795509775441377</c:v>
                </c:pt>
                <c:pt idx="1">
                  <c:v>4.3186131385272244</c:v>
                </c:pt>
                <c:pt idx="2">
                  <c:v>1.7679907893462408</c:v>
                </c:pt>
                <c:pt idx="3">
                  <c:v>2.6035378890792042</c:v>
                </c:pt>
                <c:pt idx="4">
                  <c:v>2.5955173661819519</c:v>
                </c:pt>
                <c:pt idx="5">
                  <c:v>1.4907302285635844</c:v>
                </c:pt>
                <c:pt idx="6">
                  <c:v>0.51875240910287934</c:v>
                </c:pt>
                <c:pt idx="7">
                  <c:v>0.32905960778365129</c:v>
                </c:pt>
                <c:pt idx="8">
                  <c:v>0.19721122689515991</c:v>
                </c:pt>
              </c:numCache>
            </c:numRef>
          </c:val>
        </c:ser>
        <c:dLbls>
          <c:showVal val="1"/>
        </c:dLbls>
        <c:axId val="223165824"/>
        <c:axId val="223192192"/>
      </c:barChart>
      <c:catAx>
        <c:axId val="223165824"/>
        <c:scaling>
          <c:orientation val="minMax"/>
        </c:scaling>
        <c:axPos val="b"/>
        <c:tickLblPos val="nextTo"/>
        <c:txPr>
          <a:bodyPr/>
          <a:lstStyle/>
          <a:p>
            <a:pPr>
              <a:defRPr sz="700"/>
            </a:pPr>
            <a:endParaRPr lang="en-US"/>
          </a:p>
        </c:txPr>
        <c:crossAx val="223192192"/>
        <c:crosses val="autoZero"/>
        <c:auto val="1"/>
        <c:lblAlgn val="ctr"/>
        <c:lblOffset val="100"/>
      </c:catAx>
      <c:valAx>
        <c:axId val="223192192"/>
        <c:scaling>
          <c:orientation val="minMax"/>
        </c:scaling>
        <c:axPos val="l"/>
        <c:title>
          <c:tx>
            <c:rich>
              <a:bodyPr rot="-5400000" vert="horz"/>
              <a:lstStyle/>
              <a:p>
                <a:pPr>
                  <a:defRPr sz="700"/>
                </a:pPr>
                <a:r>
                  <a:rPr lang="en-US" sz="700"/>
                  <a:t>Million € / km</a:t>
                </a:r>
              </a:p>
            </c:rich>
          </c:tx>
        </c:title>
        <c:numFmt formatCode="#,##0.00" sourceLinked="1"/>
        <c:tickLblPos val="nextTo"/>
        <c:txPr>
          <a:bodyPr/>
          <a:lstStyle/>
          <a:p>
            <a:pPr>
              <a:defRPr sz="700"/>
            </a:pPr>
            <a:endParaRPr lang="en-US"/>
          </a:p>
        </c:txPr>
        <c:crossAx val="223165824"/>
        <c:crosses val="autoZero"/>
        <c:crossBetween val="between"/>
      </c:valAx>
    </c:plotArea>
    <c:plotVisOnly val="1"/>
  </c:chart>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en-US"/>
  <c:style val="1"/>
  <c:chart>
    <c:autoTitleDeleted val="1"/>
    <c:plotArea>
      <c:layout>
        <c:manualLayout>
          <c:layoutTarget val="inner"/>
          <c:xMode val="edge"/>
          <c:yMode val="edge"/>
          <c:x val="0.36436435609484003"/>
          <c:y val="5.2606408417025421E-2"/>
          <c:w val="0.52447691579534628"/>
          <c:h val="0.80725305678253634"/>
        </c:manualLayout>
      </c:layout>
      <c:barChart>
        <c:barDir val="bar"/>
        <c:grouping val="clustered"/>
        <c:ser>
          <c:idx val="0"/>
          <c:order val="0"/>
          <c:tx>
            <c:strRef>
              <c:f>'[4]Comparison with other rail'!$A$110</c:f>
              <c:strCache>
                <c:ptCount val="1"/>
                <c:pt idx="0">
                  <c:v>Belarus 2008</c:v>
                </c:pt>
              </c:strCache>
            </c:strRef>
          </c:tx>
          <c:spPr>
            <a:solidFill>
              <a:schemeClr val="tx2"/>
            </a:solidFill>
          </c:spPr>
          <c:dLbls>
            <c:delete val="1"/>
          </c:dLbls>
          <c:cat>
            <c:strRef>
              <c:f>'[4]Comparison with other rail'!$B$108:$G$108</c:f>
              <c:strCache>
                <c:ptCount val="6"/>
                <c:pt idx="0">
                  <c:v>Belarus 2004</c:v>
                </c:pt>
                <c:pt idx="1">
                  <c:v>Staff Prod 2008</c:v>
                </c:pt>
                <c:pt idx="2">
                  <c:v>Loc Prod 2008</c:v>
                </c:pt>
                <c:pt idx="3">
                  <c:v>Wagon Prod 2008</c:v>
                </c:pt>
                <c:pt idx="4">
                  <c:v>Coach Prod 2008</c:v>
                </c:pt>
                <c:pt idx="5">
                  <c:v>Traffic Intensity 2008</c:v>
                </c:pt>
              </c:strCache>
            </c:strRef>
          </c:cat>
          <c:val>
            <c:numRef>
              <c:f>'[4]Comparison with other rail'!$B$110:$G$110</c:f>
              <c:numCache>
                <c:formatCode>0.00%</c:formatCode>
                <c:ptCount val="6"/>
                <c:pt idx="0" formatCode="0%">
                  <c:v>1</c:v>
                </c:pt>
                <c:pt idx="1">
                  <c:v>1.0325682437852626</c:v>
                </c:pt>
                <c:pt idx="2">
                  <c:v>0.9787712925769233</c:v>
                </c:pt>
                <c:pt idx="3">
                  <c:v>0.9649593952869695</c:v>
                </c:pt>
                <c:pt idx="4">
                  <c:v>0.67776578132873733</c:v>
                </c:pt>
                <c:pt idx="5">
                  <c:v>1.0363039207536326</c:v>
                </c:pt>
              </c:numCache>
            </c:numRef>
          </c:val>
        </c:ser>
        <c:dLbls>
          <c:showVal val="1"/>
        </c:dLbls>
        <c:axId val="180195712"/>
        <c:axId val="180197248"/>
      </c:barChart>
      <c:catAx>
        <c:axId val="180195712"/>
        <c:scaling>
          <c:orientation val="minMax"/>
        </c:scaling>
        <c:axPos val="l"/>
        <c:tickLblPos val="nextTo"/>
        <c:crossAx val="180197248"/>
        <c:crosses val="autoZero"/>
        <c:auto val="1"/>
        <c:lblAlgn val="ctr"/>
        <c:lblOffset val="100"/>
      </c:catAx>
      <c:valAx>
        <c:axId val="180197248"/>
        <c:scaling>
          <c:orientation val="minMax"/>
        </c:scaling>
        <c:axPos val="b"/>
        <c:numFmt formatCode="0%" sourceLinked="1"/>
        <c:tickLblPos val="nextTo"/>
        <c:crossAx val="180195712"/>
        <c:crosses val="autoZero"/>
        <c:crossBetween val="between"/>
      </c:valAx>
    </c:plotArea>
    <c:plotVisOnly val="1"/>
  </c:chart>
  <c:spPr>
    <a:ln>
      <a:noFill/>
    </a:ln>
  </c:spPr>
  <c:txPr>
    <a:bodyPr/>
    <a:lstStyle/>
    <a:p>
      <a:pPr>
        <a:defRPr sz="800"/>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1354122097355879"/>
          <c:y val="3.3052164026055444E-2"/>
          <c:w val="0.88199186110910865"/>
          <c:h val="0.84906186726660005"/>
        </c:manualLayout>
      </c:layout>
      <c:lineChart>
        <c:grouping val="standard"/>
        <c:ser>
          <c:idx val="0"/>
          <c:order val="0"/>
          <c:tx>
            <c:strRef>
              <c:f>[3]Sheet3!$I$10</c:f>
              <c:strCache>
                <c:ptCount val="1"/>
                <c:pt idx="0">
                  <c:v>Pipelines</c:v>
                </c:pt>
              </c:strCache>
            </c:strRef>
          </c:tx>
          <c:marker>
            <c:symbol val="none"/>
          </c:marker>
          <c:cat>
            <c:numRef>
              <c:f>[3]Sheet3!$J$9:$L$9</c:f>
              <c:numCache>
                <c:formatCode>General</c:formatCode>
                <c:ptCount val="3"/>
                <c:pt idx="0">
                  <c:v>2006</c:v>
                </c:pt>
                <c:pt idx="1">
                  <c:v>2007</c:v>
                </c:pt>
                <c:pt idx="2">
                  <c:v>2008</c:v>
                </c:pt>
              </c:numCache>
            </c:numRef>
          </c:cat>
          <c:val>
            <c:numRef>
              <c:f>[3]Sheet3!$J$10:$L$10</c:f>
              <c:numCache>
                <c:formatCode>General</c:formatCode>
                <c:ptCount val="3"/>
                <c:pt idx="0">
                  <c:v>339.2</c:v>
                </c:pt>
                <c:pt idx="1">
                  <c:v>688.09999999999991</c:v>
                </c:pt>
                <c:pt idx="2">
                  <c:v>746.3</c:v>
                </c:pt>
              </c:numCache>
            </c:numRef>
          </c:val>
        </c:ser>
        <c:ser>
          <c:idx val="1"/>
          <c:order val="1"/>
          <c:tx>
            <c:strRef>
              <c:f>[3]Sheet3!$I$11</c:f>
              <c:strCache>
                <c:ptCount val="1"/>
                <c:pt idx="0">
                  <c:v>Road Freight</c:v>
                </c:pt>
              </c:strCache>
            </c:strRef>
          </c:tx>
          <c:marker>
            <c:symbol val="none"/>
          </c:marker>
          <c:cat>
            <c:numRef>
              <c:f>[3]Sheet3!$J$9:$L$9</c:f>
              <c:numCache>
                <c:formatCode>General</c:formatCode>
                <c:ptCount val="3"/>
                <c:pt idx="0">
                  <c:v>2006</c:v>
                </c:pt>
                <c:pt idx="1">
                  <c:v>2007</c:v>
                </c:pt>
                <c:pt idx="2">
                  <c:v>2008</c:v>
                </c:pt>
              </c:numCache>
            </c:numRef>
          </c:cat>
          <c:val>
            <c:numRef>
              <c:f>[3]Sheet3!$J$11:$L$11</c:f>
              <c:numCache>
                <c:formatCode>General</c:formatCode>
                <c:ptCount val="3"/>
                <c:pt idx="0">
                  <c:v>282</c:v>
                </c:pt>
                <c:pt idx="1">
                  <c:v>325.59999999999923</c:v>
                </c:pt>
                <c:pt idx="2">
                  <c:v>413.3</c:v>
                </c:pt>
              </c:numCache>
            </c:numRef>
          </c:val>
        </c:ser>
        <c:ser>
          <c:idx val="2"/>
          <c:order val="2"/>
          <c:tx>
            <c:strRef>
              <c:f>[3]Sheet3!$I$12</c:f>
              <c:strCache>
                <c:ptCount val="1"/>
                <c:pt idx="0">
                  <c:v>Rail Freight</c:v>
                </c:pt>
              </c:strCache>
            </c:strRef>
          </c:tx>
          <c:marker>
            <c:symbol val="none"/>
          </c:marker>
          <c:cat>
            <c:numRef>
              <c:f>[3]Sheet3!$J$9:$L$9</c:f>
              <c:numCache>
                <c:formatCode>General</c:formatCode>
                <c:ptCount val="3"/>
                <c:pt idx="0">
                  <c:v>2006</c:v>
                </c:pt>
                <c:pt idx="1">
                  <c:v>2007</c:v>
                </c:pt>
                <c:pt idx="2">
                  <c:v>2008</c:v>
                </c:pt>
              </c:numCache>
            </c:numRef>
          </c:cat>
          <c:val>
            <c:numRef>
              <c:f>[3]Sheet3!$J$12:$L$12</c:f>
              <c:numCache>
                <c:formatCode>General</c:formatCode>
                <c:ptCount val="3"/>
                <c:pt idx="0">
                  <c:v>327.8</c:v>
                </c:pt>
                <c:pt idx="1">
                  <c:v>321.40000000000003</c:v>
                </c:pt>
                <c:pt idx="2">
                  <c:v>391.4</c:v>
                </c:pt>
              </c:numCache>
            </c:numRef>
          </c:val>
        </c:ser>
        <c:ser>
          <c:idx val="3"/>
          <c:order val="3"/>
          <c:tx>
            <c:strRef>
              <c:f>[3]Sheet3!$I$13</c:f>
              <c:strCache>
                <c:ptCount val="1"/>
                <c:pt idx="0">
                  <c:v>All Other Freight</c:v>
                </c:pt>
              </c:strCache>
            </c:strRef>
          </c:tx>
          <c:marker>
            <c:symbol val="none"/>
          </c:marker>
          <c:cat>
            <c:numRef>
              <c:f>[3]Sheet3!$J$9:$L$9</c:f>
              <c:numCache>
                <c:formatCode>General</c:formatCode>
                <c:ptCount val="3"/>
                <c:pt idx="0">
                  <c:v>2006</c:v>
                </c:pt>
                <c:pt idx="1">
                  <c:v>2007</c:v>
                </c:pt>
                <c:pt idx="2">
                  <c:v>2008</c:v>
                </c:pt>
              </c:numCache>
            </c:numRef>
          </c:cat>
          <c:val>
            <c:numRef>
              <c:f>[3]Sheet3!$J$13:$L$13</c:f>
              <c:numCache>
                <c:formatCode>General</c:formatCode>
                <c:ptCount val="3"/>
                <c:pt idx="0">
                  <c:v>157.24999999999972</c:v>
                </c:pt>
                <c:pt idx="1">
                  <c:v>188.69</c:v>
                </c:pt>
                <c:pt idx="2">
                  <c:v>225.36</c:v>
                </c:pt>
              </c:numCache>
            </c:numRef>
          </c:val>
        </c:ser>
        <c:ser>
          <c:idx val="4"/>
          <c:order val="4"/>
          <c:tx>
            <c:strRef>
              <c:f>[3]Sheet3!$I$14</c:f>
              <c:strCache>
                <c:ptCount val="1"/>
                <c:pt idx="0">
                  <c:v>All Other Passenger</c:v>
                </c:pt>
              </c:strCache>
            </c:strRef>
          </c:tx>
          <c:marker>
            <c:symbol val="none"/>
          </c:marker>
          <c:cat>
            <c:numRef>
              <c:f>[3]Sheet3!$J$9:$L$9</c:f>
              <c:numCache>
                <c:formatCode>General</c:formatCode>
                <c:ptCount val="3"/>
                <c:pt idx="0">
                  <c:v>2006</c:v>
                </c:pt>
                <c:pt idx="1">
                  <c:v>2007</c:v>
                </c:pt>
                <c:pt idx="2">
                  <c:v>2008</c:v>
                </c:pt>
              </c:numCache>
            </c:numRef>
          </c:cat>
          <c:val>
            <c:numRef>
              <c:f>[3]Sheet3!$J$14:$L$14</c:f>
              <c:numCache>
                <c:formatCode>General</c:formatCode>
                <c:ptCount val="3"/>
                <c:pt idx="0">
                  <c:v>101.4</c:v>
                </c:pt>
                <c:pt idx="1">
                  <c:v>66.400000000000006</c:v>
                </c:pt>
                <c:pt idx="2">
                  <c:v>121.89999999999999</c:v>
                </c:pt>
              </c:numCache>
            </c:numRef>
          </c:val>
        </c:ser>
        <c:marker val="1"/>
        <c:axId val="189040896"/>
        <c:axId val="189067264"/>
      </c:lineChart>
      <c:catAx>
        <c:axId val="189040896"/>
        <c:scaling>
          <c:orientation val="minMax"/>
        </c:scaling>
        <c:axPos val="b"/>
        <c:numFmt formatCode="General" sourceLinked="1"/>
        <c:tickLblPos val="nextTo"/>
        <c:crossAx val="189067264"/>
        <c:crosses val="autoZero"/>
        <c:auto val="1"/>
        <c:lblAlgn val="ctr"/>
        <c:lblOffset val="100"/>
      </c:catAx>
      <c:valAx>
        <c:axId val="189067264"/>
        <c:scaling>
          <c:orientation val="minMax"/>
        </c:scaling>
        <c:axPos val="l"/>
        <c:majorGridlines/>
        <c:numFmt formatCode="General" sourceLinked="1"/>
        <c:tickLblPos val="nextTo"/>
        <c:crossAx val="189040896"/>
        <c:crosses val="autoZero"/>
        <c:crossBetween val="between"/>
      </c:valAx>
    </c:plotArea>
    <c:legend>
      <c:legendPos val="r"/>
      <c:layout>
        <c:manualLayout>
          <c:xMode val="edge"/>
          <c:yMode val="edge"/>
          <c:x val="0.12768648984666667"/>
          <c:y val="2.2302087757702486E-2"/>
          <c:w val="0.45851414406532515"/>
          <c:h val="0.39542537182853127"/>
        </c:manualLayout>
      </c:layout>
    </c:legend>
    <c:plotVisOnly val="1"/>
  </c:chart>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9.4555873925503825E-2"/>
          <c:y val="8.1967213114754051E-2"/>
          <c:w val="0.88538681948424058"/>
          <c:h val="0.78360655737704921"/>
        </c:manualLayout>
      </c:layout>
      <c:lineChart>
        <c:grouping val="standard"/>
        <c:ser>
          <c:idx val="0"/>
          <c:order val="0"/>
          <c:tx>
            <c:strRef>
              <c:f>'ROAD (070410)'!$B$35</c:f>
              <c:strCache>
                <c:ptCount val="1"/>
                <c:pt idx="0">
                  <c:v>Import</c:v>
                </c:pt>
              </c:strCache>
            </c:strRef>
          </c:tx>
          <c:spPr>
            <a:ln w="25400">
              <a:solidFill>
                <a:srgbClr val="000000"/>
              </a:solidFill>
              <a:prstDash val="solid"/>
            </a:ln>
          </c:spPr>
          <c:marker>
            <c:symbol val="diamond"/>
            <c:size val="5"/>
            <c:spPr>
              <a:solidFill>
                <a:srgbClr val="000000"/>
              </a:solidFill>
              <a:ln>
                <a:solidFill>
                  <a:srgbClr val="000000"/>
                </a:solidFill>
                <a:prstDash val="solid"/>
              </a:ln>
            </c:spPr>
          </c:marker>
          <c:dLbls>
            <c:spPr>
              <a:noFill/>
              <a:ln w="25400">
                <a:noFill/>
              </a:ln>
            </c:spPr>
            <c:txPr>
              <a:bodyPr/>
              <a:lstStyle/>
              <a:p>
                <a:pPr>
                  <a:defRPr sz="800" b="0" i="0" u="none" strike="noStrike" baseline="0">
                    <a:solidFill>
                      <a:srgbClr val="000000"/>
                    </a:solidFill>
                    <a:latin typeface="Arial"/>
                    <a:ea typeface="Arial"/>
                    <a:cs typeface="Arial"/>
                  </a:defRPr>
                </a:pPr>
                <a:endParaRPr lang="en-US"/>
              </a:p>
            </c:txPr>
            <c:dLblPos val="t"/>
            <c:showVal val="1"/>
          </c:dLbls>
          <c:cat>
            <c:strRef>
              <c:f>'ROAD (070410)'!$A$36:$A$51</c:f>
              <c:strCache>
                <c:ptCount val="16"/>
                <c:pt idx="0">
                  <c:v>2005</c:v>
                </c:pt>
                <c:pt idx="1">
                  <c:v>2006</c:v>
                </c:pt>
                <c:pt idx="2">
                  <c:v>2007</c:v>
                </c:pt>
                <c:pt idx="3">
                  <c:v>2008</c:v>
                </c:pt>
                <c:pt idx="4">
                  <c:v>2009</c:v>
                </c:pt>
                <c:pt idx="5">
                  <c:v>2010F</c:v>
                </c:pt>
                <c:pt idx="6">
                  <c:v>2011F</c:v>
                </c:pt>
                <c:pt idx="7">
                  <c:v>2012F</c:v>
                </c:pt>
                <c:pt idx="8">
                  <c:v>2013F</c:v>
                </c:pt>
                <c:pt idx="9">
                  <c:v>2014F</c:v>
                </c:pt>
                <c:pt idx="10">
                  <c:v>2015F</c:v>
                </c:pt>
                <c:pt idx="11">
                  <c:v>2016F</c:v>
                </c:pt>
                <c:pt idx="12">
                  <c:v>2017F</c:v>
                </c:pt>
                <c:pt idx="13">
                  <c:v>2018F</c:v>
                </c:pt>
                <c:pt idx="14">
                  <c:v>2019F</c:v>
                </c:pt>
                <c:pt idx="15">
                  <c:v>2020F</c:v>
                </c:pt>
              </c:strCache>
            </c:strRef>
          </c:cat>
          <c:val>
            <c:numRef>
              <c:f>'ROAD (070410)'!$B$36:$B$51</c:f>
              <c:numCache>
                <c:formatCode>0</c:formatCode>
                <c:ptCount val="16"/>
                <c:pt idx="0">
                  <c:v>100</c:v>
                </c:pt>
                <c:pt idx="1">
                  <c:v>122.18387197991841</c:v>
                </c:pt>
                <c:pt idx="2">
                  <c:v>130.10354565421972</c:v>
                </c:pt>
                <c:pt idx="3">
                  <c:v>161.91402572952376</c:v>
                </c:pt>
                <c:pt idx="4">
                  <c:v>147.53686852839658</c:v>
                </c:pt>
                <c:pt idx="5" formatCode="General">
                  <c:v>150</c:v>
                </c:pt>
                <c:pt idx="6" formatCode="General">
                  <c:v>155</c:v>
                </c:pt>
                <c:pt idx="7">
                  <c:v>162.75</c:v>
                </c:pt>
                <c:pt idx="8">
                  <c:v>170.88750000000007</c:v>
                </c:pt>
                <c:pt idx="9">
                  <c:v>179.43187500000002</c:v>
                </c:pt>
                <c:pt idx="10">
                  <c:v>188.40346875000003</c:v>
                </c:pt>
                <c:pt idx="11">
                  <c:v>207.24381562499627</c:v>
                </c:pt>
                <c:pt idx="12">
                  <c:v>227.96819718750217</c:v>
                </c:pt>
                <c:pt idx="13">
                  <c:v>250.76501690625008</c:v>
                </c:pt>
                <c:pt idx="14">
                  <c:v>275.84151859687393</c:v>
                </c:pt>
                <c:pt idx="15">
                  <c:v>303.42567045656199</c:v>
                </c:pt>
              </c:numCache>
            </c:numRef>
          </c:val>
        </c:ser>
        <c:ser>
          <c:idx val="1"/>
          <c:order val="1"/>
          <c:tx>
            <c:strRef>
              <c:f>'ROAD (070410)'!$C$35</c:f>
              <c:strCache>
                <c:ptCount val="1"/>
                <c:pt idx="0">
                  <c:v>Export</c:v>
                </c:pt>
              </c:strCache>
            </c:strRef>
          </c:tx>
          <c:spPr>
            <a:ln w="25400">
              <a:solidFill>
                <a:srgbClr val="808080"/>
              </a:solidFill>
              <a:prstDash val="solid"/>
            </a:ln>
          </c:spPr>
          <c:marker>
            <c:symbol val="square"/>
            <c:size val="5"/>
            <c:spPr>
              <a:solidFill>
                <a:srgbClr val="808080"/>
              </a:solidFill>
              <a:ln>
                <a:solidFill>
                  <a:srgbClr val="808080"/>
                </a:solidFill>
                <a:prstDash val="solid"/>
              </a:ln>
            </c:spPr>
          </c:marker>
          <c:dLbls>
            <c:spPr>
              <a:noFill/>
              <a:ln w="25400">
                <a:noFill/>
              </a:ln>
            </c:spPr>
            <c:txPr>
              <a:bodyPr/>
              <a:lstStyle/>
              <a:p>
                <a:pPr>
                  <a:defRPr sz="800" b="0" i="0" u="none" strike="noStrike" baseline="0">
                    <a:solidFill>
                      <a:srgbClr val="000000"/>
                    </a:solidFill>
                    <a:latin typeface="Arial"/>
                    <a:ea typeface="Arial"/>
                    <a:cs typeface="Arial"/>
                  </a:defRPr>
                </a:pPr>
                <a:endParaRPr lang="en-US"/>
              </a:p>
            </c:txPr>
            <c:dLblPos val="b"/>
            <c:showVal val="1"/>
          </c:dLbls>
          <c:cat>
            <c:strRef>
              <c:f>'ROAD (070410)'!$A$36:$A$51</c:f>
              <c:strCache>
                <c:ptCount val="16"/>
                <c:pt idx="0">
                  <c:v>2005</c:v>
                </c:pt>
                <c:pt idx="1">
                  <c:v>2006</c:v>
                </c:pt>
                <c:pt idx="2">
                  <c:v>2007</c:v>
                </c:pt>
                <c:pt idx="3">
                  <c:v>2008</c:v>
                </c:pt>
                <c:pt idx="4">
                  <c:v>2009</c:v>
                </c:pt>
                <c:pt idx="5">
                  <c:v>2010F</c:v>
                </c:pt>
                <c:pt idx="6">
                  <c:v>2011F</c:v>
                </c:pt>
                <c:pt idx="7">
                  <c:v>2012F</c:v>
                </c:pt>
                <c:pt idx="8">
                  <c:v>2013F</c:v>
                </c:pt>
                <c:pt idx="9">
                  <c:v>2014F</c:v>
                </c:pt>
                <c:pt idx="10">
                  <c:v>2015F</c:v>
                </c:pt>
                <c:pt idx="11">
                  <c:v>2016F</c:v>
                </c:pt>
                <c:pt idx="12">
                  <c:v>2017F</c:v>
                </c:pt>
                <c:pt idx="13">
                  <c:v>2018F</c:v>
                </c:pt>
                <c:pt idx="14">
                  <c:v>2019F</c:v>
                </c:pt>
                <c:pt idx="15">
                  <c:v>2020F</c:v>
                </c:pt>
              </c:strCache>
            </c:strRef>
          </c:cat>
          <c:val>
            <c:numRef>
              <c:f>'ROAD (070410)'!$C$36:$C$51</c:f>
              <c:numCache>
                <c:formatCode>0</c:formatCode>
                <c:ptCount val="16"/>
                <c:pt idx="0" formatCode="General">
                  <c:v>100</c:v>
                </c:pt>
                <c:pt idx="1">
                  <c:v>94.608523290386529</c:v>
                </c:pt>
                <c:pt idx="2">
                  <c:v>90.956392467789158</c:v>
                </c:pt>
                <c:pt idx="3">
                  <c:v>84.003964321110999</c:v>
                </c:pt>
                <c:pt idx="4">
                  <c:v>82.765113974231923</c:v>
                </c:pt>
                <c:pt idx="5" formatCode="General">
                  <c:v>88</c:v>
                </c:pt>
                <c:pt idx="6" formatCode="General">
                  <c:v>90</c:v>
                </c:pt>
                <c:pt idx="7">
                  <c:v>92.7</c:v>
                </c:pt>
                <c:pt idx="8">
                  <c:v>95.481000000000023</c:v>
                </c:pt>
                <c:pt idx="9">
                  <c:v>98.345429999999993</c:v>
                </c:pt>
                <c:pt idx="10">
                  <c:v>101.29579290000001</c:v>
                </c:pt>
                <c:pt idx="11">
                  <c:v>105.34762461600096</c:v>
                </c:pt>
                <c:pt idx="12">
                  <c:v>109.56152960064158</c:v>
                </c:pt>
                <c:pt idx="13">
                  <c:v>113.94399078466647</c:v>
                </c:pt>
                <c:pt idx="14">
                  <c:v>118.50175041605225</c:v>
                </c:pt>
                <c:pt idx="15">
                  <c:v>123.24182043269435</c:v>
                </c:pt>
              </c:numCache>
            </c:numRef>
          </c:val>
        </c:ser>
        <c:marker val="1"/>
        <c:axId val="222705920"/>
        <c:axId val="222715904"/>
      </c:lineChart>
      <c:catAx>
        <c:axId val="222705920"/>
        <c:scaling>
          <c:orientation val="minMax"/>
        </c:scaling>
        <c:axPos val="b"/>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222715904"/>
        <c:crosses val="autoZero"/>
        <c:auto val="1"/>
        <c:lblAlgn val="ctr"/>
        <c:lblOffset val="100"/>
        <c:tickLblSkip val="1"/>
        <c:tickMarkSkip val="1"/>
      </c:catAx>
      <c:valAx>
        <c:axId val="222715904"/>
        <c:scaling>
          <c:orientation val="minMax"/>
        </c:scaling>
        <c:axPos val="l"/>
        <c:majorGridlines>
          <c:spPr>
            <a:ln w="3175">
              <a:solidFill>
                <a:srgbClr val="808080"/>
              </a:solidFill>
              <a:prstDash val="sysDash"/>
            </a:ln>
          </c:spPr>
        </c:majorGridlines>
        <c:title>
          <c:tx>
            <c:rich>
              <a:bodyPr/>
              <a:lstStyle/>
              <a:p>
                <a:pPr>
                  <a:defRPr sz="1000" b="1" i="0" u="none" strike="noStrike" baseline="0">
                    <a:solidFill>
                      <a:srgbClr val="000000"/>
                    </a:solidFill>
                    <a:latin typeface="Arial"/>
                    <a:ea typeface="Arial"/>
                    <a:cs typeface="Arial"/>
                  </a:defRPr>
                </a:pPr>
                <a:r>
                  <a:rPr lang="en-US"/>
                  <a:t>Index (2005=100)</a:t>
                </a:r>
              </a:p>
            </c:rich>
          </c:tx>
          <c:layout>
            <c:manualLayout>
              <c:xMode val="edge"/>
              <c:yMode val="edge"/>
              <c:x val="2.1489971346705012E-2"/>
              <c:y val="0.29508196721311941"/>
            </c:manualLayout>
          </c:layout>
          <c:spPr>
            <a:noFill/>
            <a:ln w="25400">
              <a:noFill/>
            </a:ln>
          </c:spPr>
        </c:title>
        <c:numFmt formatCode="0"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22705920"/>
        <c:crosses val="autoZero"/>
        <c:crossBetween val="between"/>
      </c:valAx>
      <c:spPr>
        <a:solidFill>
          <a:srgbClr val="FFFFFF"/>
        </a:solidFill>
        <a:ln w="12700">
          <a:solidFill>
            <a:srgbClr val="808080"/>
          </a:solidFill>
          <a:prstDash val="solid"/>
        </a:ln>
      </c:spPr>
    </c:plotArea>
    <c:legend>
      <c:legendPos val="r"/>
      <c:layout>
        <c:manualLayout>
          <c:xMode val="edge"/>
          <c:yMode val="edge"/>
          <c:x val="0.32091690544413226"/>
          <c:y val="0.25573770491802894"/>
          <c:w val="0.11031518624641842"/>
          <c:h val="0.14098360655737979"/>
        </c:manualLayout>
      </c:layout>
      <c:spPr>
        <a:solidFill>
          <a:srgbClr val="FFFFFF"/>
        </a:solidFill>
        <a:ln w="3175">
          <a:solidFill>
            <a:srgbClr val="000000"/>
          </a:solidFill>
          <a:prstDash val="solid"/>
        </a:ln>
      </c:spPr>
      <c:txPr>
        <a:bodyPr/>
        <a:lstStyle/>
        <a:p>
          <a:pPr>
            <a:defRPr sz="870"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9525">
      <a:noFill/>
    </a:ln>
  </c:spPr>
  <c:txPr>
    <a:bodyPr/>
    <a:lstStyle/>
    <a:p>
      <a:pPr>
        <a:defRPr sz="950" b="0" i="0" u="none" strike="noStrike" baseline="0">
          <a:solidFill>
            <a:srgbClr val="000000"/>
          </a:solidFill>
          <a:latin typeface="Arial"/>
          <a:ea typeface="Arial"/>
          <a:cs typeface="Arial"/>
        </a:defRPr>
      </a:pPr>
      <a:endParaRPr lang="en-US"/>
    </a:p>
  </c:txPr>
  <c:externalData r:id="rId1"/>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001432014250303"/>
          <c:y val="5.3304959547574159E-2"/>
          <c:w val="0.87553770388739449"/>
          <c:h val="0.85927594790689565"/>
        </c:manualLayout>
      </c:layout>
      <c:lineChart>
        <c:grouping val="standard"/>
        <c:ser>
          <c:idx val="0"/>
          <c:order val="0"/>
          <c:tx>
            <c:strRef>
              <c:f>'ROAD (070410)'!$D$56</c:f>
              <c:strCache>
                <c:ptCount val="1"/>
                <c:pt idx="0">
                  <c:v>Road transit baseline</c:v>
                </c:pt>
              </c:strCache>
            </c:strRef>
          </c:tx>
          <c:spPr>
            <a:ln w="38100">
              <a:solidFill>
                <a:srgbClr val="000000"/>
              </a:solidFill>
              <a:prstDash val="solid"/>
            </a:ln>
          </c:spPr>
          <c:marker>
            <c:symbol val="diamond"/>
            <c:size val="7"/>
            <c:spPr>
              <a:solidFill>
                <a:srgbClr val="000000"/>
              </a:solidFill>
              <a:ln>
                <a:solidFill>
                  <a:srgbClr val="000000"/>
                </a:solidFill>
                <a:prstDash val="solid"/>
              </a:ln>
            </c:spPr>
          </c:marker>
          <c:dLbls>
            <c:numFmt formatCode="0" sourceLinked="0"/>
            <c:spPr>
              <a:noFill/>
              <a:ln w="25400">
                <a:noFill/>
              </a:ln>
            </c:spPr>
            <c:txPr>
              <a:bodyPr/>
              <a:lstStyle/>
              <a:p>
                <a:pPr>
                  <a:defRPr sz="800" b="0" i="0" u="none" strike="noStrike" baseline="0">
                    <a:solidFill>
                      <a:srgbClr val="000000"/>
                    </a:solidFill>
                    <a:latin typeface="Arial"/>
                    <a:ea typeface="Arial"/>
                    <a:cs typeface="Arial"/>
                  </a:defRPr>
                </a:pPr>
                <a:endParaRPr lang="en-US"/>
              </a:p>
            </c:txPr>
            <c:dLblPos val="b"/>
            <c:showVal val="1"/>
          </c:dLbls>
          <c:cat>
            <c:strRef>
              <c:f>'ROAD (070410)'!$A$57:$A$72</c:f>
              <c:strCache>
                <c:ptCount val="16"/>
                <c:pt idx="0">
                  <c:v>2005</c:v>
                </c:pt>
                <c:pt idx="1">
                  <c:v>2006</c:v>
                </c:pt>
                <c:pt idx="2">
                  <c:v>2007</c:v>
                </c:pt>
                <c:pt idx="3">
                  <c:v>2008</c:v>
                </c:pt>
                <c:pt idx="4">
                  <c:v>2009</c:v>
                </c:pt>
                <c:pt idx="5">
                  <c:v>2010F</c:v>
                </c:pt>
                <c:pt idx="6">
                  <c:v>2011F</c:v>
                </c:pt>
                <c:pt idx="7">
                  <c:v>2012F</c:v>
                </c:pt>
                <c:pt idx="8">
                  <c:v>2013F</c:v>
                </c:pt>
                <c:pt idx="9">
                  <c:v>2014F</c:v>
                </c:pt>
                <c:pt idx="10">
                  <c:v>2015F</c:v>
                </c:pt>
                <c:pt idx="11">
                  <c:v>2016F</c:v>
                </c:pt>
                <c:pt idx="12">
                  <c:v>2017F</c:v>
                </c:pt>
                <c:pt idx="13">
                  <c:v>2018F</c:v>
                </c:pt>
                <c:pt idx="14">
                  <c:v>2019F</c:v>
                </c:pt>
                <c:pt idx="15">
                  <c:v>2020F</c:v>
                </c:pt>
              </c:strCache>
            </c:strRef>
          </c:cat>
          <c:val>
            <c:numRef>
              <c:f>'ROAD (070410)'!$E$57:$E$72</c:f>
              <c:numCache>
                <c:formatCode>0</c:formatCode>
                <c:ptCount val="16"/>
                <c:pt idx="0" formatCode="General">
                  <c:v>100</c:v>
                </c:pt>
                <c:pt idx="1">
                  <c:v>110.7449856733533</c:v>
                </c:pt>
                <c:pt idx="2">
                  <c:v>138.3954154727812</c:v>
                </c:pt>
                <c:pt idx="3">
                  <c:v>163.03724928366807</c:v>
                </c:pt>
                <c:pt idx="4">
                  <c:v>145.70200573065702</c:v>
                </c:pt>
                <c:pt idx="5">
                  <c:v>147.15902578796559</c:v>
                </c:pt>
                <c:pt idx="6">
                  <c:v>153.04538681948617</c:v>
                </c:pt>
                <c:pt idx="7">
                  <c:v>159.1672022922636</c:v>
                </c:pt>
                <c:pt idx="8">
                  <c:v>165.53389038395414</c:v>
                </c:pt>
                <c:pt idx="9">
                  <c:v>172.15524599931192</c:v>
                </c:pt>
                <c:pt idx="10">
                  <c:v>179.04145583928482</c:v>
                </c:pt>
                <c:pt idx="11">
                  <c:v>189.78394318964192</c:v>
                </c:pt>
                <c:pt idx="12">
                  <c:v>201.17097978102038</c:v>
                </c:pt>
                <c:pt idx="13">
                  <c:v>213.24123856788168</c:v>
                </c:pt>
                <c:pt idx="14">
                  <c:v>226.03571288195462</c:v>
                </c:pt>
                <c:pt idx="15">
                  <c:v>239.59785565486965</c:v>
                </c:pt>
              </c:numCache>
            </c:numRef>
          </c:val>
        </c:ser>
        <c:ser>
          <c:idx val="1"/>
          <c:order val="1"/>
          <c:tx>
            <c:strRef>
              <c:f>'ROAD (070410)'!$F$56</c:f>
              <c:strCache>
                <c:ptCount val="1"/>
                <c:pt idx="0">
                  <c:v>Lower bound</c:v>
                </c:pt>
              </c:strCache>
            </c:strRef>
          </c:tx>
          <c:spPr>
            <a:ln w="12700">
              <a:solidFill>
                <a:srgbClr val="808080"/>
              </a:solidFill>
              <a:prstDash val="solid"/>
            </a:ln>
          </c:spPr>
          <c:marker>
            <c:symbol val="square"/>
            <c:size val="5"/>
            <c:spPr>
              <a:solidFill>
                <a:srgbClr val="808080"/>
              </a:solidFill>
              <a:ln>
                <a:solidFill>
                  <a:srgbClr val="808080"/>
                </a:solidFill>
                <a:prstDash val="solid"/>
              </a:ln>
            </c:spPr>
          </c:marker>
          <c:dLbls>
            <c:numFmt formatCode="0" sourceLinked="0"/>
            <c:spPr>
              <a:noFill/>
              <a:ln w="25400">
                <a:noFill/>
              </a:ln>
            </c:spPr>
            <c:txPr>
              <a:bodyPr/>
              <a:lstStyle/>
              <a:p>
                <a:pPr>
                  <a:defRPr sz="800" b="0" i="0" u="none" strike="noStrike" baseline="0">
                    <a:solidFill>
                      <a:srgbClr val="000000"/>
                    </a:solidFill>
                    <a:latin typeface="Arial"/>
                    <a:ea typeface="Arial"/>
                    <a:cs typeface="Arial"/>
                  </a:defRPr>
                </a:pPr>
                <a:endParaRPr lang="en-US"/>
              </a:p>
            </c:txPr>
            <c:dLblPos val="b"/>
            <c:showVal val="1"/>
          </c:dLbls>
          <c:cat>
            <c:strRef>
              <c:f>'ROAD (070410)'!$A$57:$A$72</c:f>
              <c:strCache>
                <c:ptCount val="16"/>
                <c:pt idx="0">
                  <c:v>2005</c:v>
                </c:pt>
                <c:pt idx="1">
                  <c:v>2006</c:v>
                </c:pt>
                <c:pt idx="2">
                  <c:v>2007</c:v>
                </c:pt>
                <c:pt idx="3">
                  <c:v>2008</c:v>
                </c:pt>
                <c:pt idx="4">
                  <c:v>2009</c:v>
                </c:pt>
                <c:pt idx="5">
                  <c:v>2010F</c:v>
                </c:pt>
                <c:pt idx="6">
                  <c:v>2011F</c:v>
                </c:pt>
                <c:pt idx="7">
                  <c:v>2012F</c:v>
                </c:pt>
                <c:pt idx="8">
                  <c:v>2013F</c:v>
                </c:pt>
                <c:pt idx="9">
                  <c:v>2014F</c:v>
                </c:pt>
                <c:pt idx="10">
                  <c:v>2015F</c:v>
                </c:pt>
                <c:pt idx="11">
                  <c:v>2016F</c:v>
                </c:pt>
                <c:pt idx="12">
                  <c:v>2017F</c:v>
                </c:pt>
                <c:pt idx="13">
                  <c:v>2018F</c:v>
                </c:pt>
                <c:pt idx="14">
                  <c:v>2019F</c:v>
                </c:pt>
                <c:pt idx="15">
                  <c:v>2020F</c:v>
                </c:pt>
              </c:strCache>
            </c:strRef>
          </c:cat>
          <c:val>
            <c:numRef>
              <c:f>'ROAD (070410)'!$G$57:$G$72</c:f>
              <c:numCache>
                <c:formatCode>General</c:formatCode>
                <c:ptCount val="16"/>
                <c:pt idx="5" formatCode="0">
                  <c:v>131.13180515759367</c:v>
                </c:pt>
                <c:pt idx="6" formatCode="0">
                  <c:v>117.72722063037403</c:v>
                </c:pt>
                <c:pt idx="7" formatCode="0">
                  <c:v>119.37540171919673</c:v>
                </c:pt>
                <c:pt idx="8" formatCode="0">
                  <c:v>131.31294189111748</c:v>
                </c:pt>
                <c:pt idx="9" formatCode="0">
                  <c:v>137.87858898567583</c:v>
                </c:pt>
                <c:pt idx="10" formatCode="0">
                  <c:v>144.77251843495534</c:v>
                </c:pt>
                <c:pt idx="11" formatCode="0">
                  <c:v>152.01114435670507</c:v>
                </c:pt>
                <c:pt idx="12" formatCode="0">
                  <c:v>162.65192446167421</c:v>
                </c:pt>
                <c:pt idx="13" formatCode="0">
                  <c:v>174.03755917399138</c:v>
                </c:pt>
                <c:pt idx="14" formatCode="0">
                  <c:v>186.22018831617083</c:v>
                </c:pt>
                <c:pt idx="15" formatCode="0">
                  <c:v>199.25560149830073</c:v>
                </c:pt>
              </c:numCache>
            </c:numRef>
          </c:val>
        </c:ser>
        <c:ser>
          <c:idx val="2"/>
          <c:order val="2"/>
          <c:tx>
            <c:strRef>
              <c:f>'ROAD (070410)'!$H$56</c:f>
              <c:strCache>
                <c:ptCount val="1"/>
                <c:pt idx="0">
                  <c:v>Upper bound</c:v>
                </c:pt>
              </c:strCache>
            </c:strRef>
          </c:tx>
          <c:spPr>
            <a:ln w="12700">
              <a:solidFill>
                <a:srgbClr val="808080"/>
              </a:solidFill>
              <a:prstDash val="solid"/>
            </a:ln>
          </c:spPr>
          <c:marker>
            <c:symbol val="triangle"/>
            <c:size val="5"/>
            <c:spPr>
              <a:solidFill>
                <a:srgbClr val="808080"/>
              </a:solidFill>
              <a:ln>
                <a:solidFill>
                  <a:srgbClr val="808080"/>
                </a:solidFill>
                <a:prstDash val="solid"/>
              </a:ln>
            </c:spPr>
          </c:marker>
          <c:dLbls>
            <c:numFmt formatCode="0" sourceLinked="0"/>
            <c:spPr>
              <a:noFill/>
              <a:ln w="25400">
                <a:noFill/>
              </a:ln>
            </c:spPr>
            <c:txPr>
              <a:bodyPr/>
              <a:lstStyle/>
              <a:p>
                <a:pPr>
                  <a:defRPr sz="800" b="0" i="0" u="none" strike="noStrike" baseline="0">
                    <a:solidFill>
                      <a:srgbClr val="000000"/>
                    </a:solidFill>
                    <a:latin typeface="Arial"/>
                    <a:ea typeface="Arial"/>
                    <a:cs typeface="Arial"/>
                  </a:defRPr>
                </a:pPr>
                <a:endParaRPr lang="en-US"/>
              </a:p>
            </c:txPr>
            <c:dLblPos val="t"/>
            <c:showVal val="1"/>
          </c:dLbls>
          <c:cat>
            <c:strRef>
              <c:f>'ROAD (070410)'!$A$57:$A$72</c:f>
              <c:strCache>
                <c:ptCount val="16"/>
                <c:pt idx="0">
                  <c:v>2005</c:v>
                </c:pt>
                <c:pt idx="1">
                  <c:v>2006</c:v>
                </c:pt>
                <c:pt idx="2">
                  <c:v>2007</c:v>
                </c:pt>
                <c:pt idx="3">
                  <c:v>2008</c:v>
                </c:pt>
                <c:pt idx="4">
                  <c:v>2009</c:v>
                </c:pt>
                <c:pt idx="5">
                  <c:v>2010F</c:v>
                </c:pt>
                <c:pt idx="6">
                  <c:v>2011F</c:v>
                </c:pt>
                <c:pt idx="7">
                  <c:v>2012F</c:v>
                </c:pt>
                <c:pt idx="8">
                  <c:v>2013F</c:v>
                </c:pt>
                <c:pt idx="9">
                  <c:v>2014F</c:v>
                </c:pt>
                <c:pt idx="10">
                  <c:v>2015F</c:v>
                </c:pt>
                <c:pt idx="11">
                  <c:v>2016F</c:v>
                </c:pt>
                <c:pt idx="12">
                  <c:v>2017F</c:v>
                </c:pt>
                <c:pt idx="13">
                  <c:v>2018F</c:v>
                </c:pt>
                <c:pt idx="14">
                  <c:v>2019F</c:v>
                </c:pt>
                <c:pt idx="15">
                  <c:v>2020F</c:v>
                </c:pt>
              </c:strCache>
            </c:strRef>
          </c:cat>
          <c:val>
            <c:numRef>
              <c:f>'ROAD (070410)'!$I$57:$I$72</c:f>
              <c:numCache>
                <c:formatCode>General</c:formatCode>
                <c:ptCount val="16"/>
                <c:pt idx="5" formatCode="0">
                  <c:v>157.4601575931232</c:v>
                </c:pt>
                <c:pt idx="6" formatCode="0">
                  <c:v>163.75856389684489</c:v>
                </c:pt>
                <c:pt idx="7" formatCode="0">
                  <c:v>170.30890645272606</c:v>
                </c:pt>
                <c:pt idx="8" formatCode="0">
                  <c:v>180.43194051851179</c:v>
                </c:pt>
                <c:pt idx="9" formatCode="0">
                  <c:v>192.81387551922978</c:v>
                </c:pt>
                <c:pt idx="10" formatCode="0">
                  <c:v>204.10725965678469</c:v>
                </c:pt>
                <c:pt idx="11" formatCode="0">
                  <c:v>214.45585580429534</c:v>
                </c:pt>
                <c:pt idx="12" formatCode="0">
                  <c:v>231.34662674817349</c:v>
                </c:pt>
                <c:pt idx="13" formatCode="0">
                  <c:v>245.22742435306603</c:v>
                </c:pt>
                <c:pt idx="14" formatCode="0">
                  <c:v>259.94106981424773</c:v>
                </c:pt>
                <c:pt idx="15" formatCode="0">
                  <c:v>275.53753400310194</c:v>
                </c:pt>
              </c:numCache>
            </c:numRef>
          </c:val>
        </c:ser>
        <c:dLbls>
          <c:showVal val="1"/>
        </c:dLbls>
        <c:marker val="1"/>
        <c:axId val="192747776"/>
        <c:axId val="192770048"/>
      </c:lineChart>
      <c:catAx>
        <c:axId val="192747776"/>
        <c:scaling>
          <c:orientation val="minMax"/>
        </c:scaling>
        <c:axPos val="b"/>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192770048"/>
        <c:crosses val="autoZero"/>
        <c:auto val="1"/>
        <c:lblAlgn val="ctr"/>
        <c:lblOffset val="100"/>
        <c:tickLblSkip val="1"/>
        <c:tickMarkSkip val="1"/>
      </c:catAx>
      <c:valAx>
        <c:axId val="192770048"/>
        <c:scaling>
          <c:orientation val="minMax"/>
          <c:max val="300"/>
          <c:min val="50"/>
        </c:scaling>
        <c:axPos val="l"/>
        <c:majorGridlines>
          <c:spPr>
            <a:ln w="3175">
              <a:solidFill>
                <a:srgbClr val="808080"/>
              </a:solidFill>
              <a:prstDash val="sysDash"/>
            </a:ln>
          </c:spPr>
        </c:majorGridlines>
        <c:title>
          <c:tx>
            <c:rich>
              <a:bodyPr/>
              <a:lstStyle/>
              <a:p>
                <a:pPr>
                  <a:defRPr sz="800" b="1" i="0" u="none" strike="noStrike" baseline="0">
                    <a:solidFill>
                      <a:srgbClr val="000000"/>
                    </a:solidFill>
                    <a:latin typeface="Arial"/>
                    <a:ea typeface="Arial"/>
                    <a:cs typeface="Arial"/>
                  </a:defRPr>
                </a:pPr>
                <a:r>
                  <a:rPr lang="en-US"/>
                  <a:t>Index (2005=100)</a:t>
                </a:r>
              </a:p>
            </c:rich>
          </c:tx>
          <c:layout>
            <c:manualLayout>
              <c:xMode val="edge"/>
              <c:yMode val="edge"/>
              <c:x val="3.0042960427509133E-2"/>
              <c:y val="0.38379570874253394"/>
            </c:manualLayout>
          </c:layout>
          <c:spPr>
            <a:noFill/>
            <a:ln w="25400">
              <a:noFill/>
            </a:ln>
          </c:spPr>
        </c:title>
        <c:numFmt formatCode="0" sourceLinked="0"/>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92747776"/>
        <c:crosses val="autoZero"/>
        <c:crossBetween val="between"/>
      </c:valAx>
      <c:spPr>
        <a:solidFill>
          <a:srgbClr val="FFFFFF"/>
        </a:solidFill>
        <a:ln w="12700">
          <a:solidFill>
            <a:srgbClr val="808080"/>
          </a:solidFill>
          <a:prstDash val="solid"/>
        </a:ln>
      </c:spPr>
    </c:plotArea>
    <c:legend>
      <c:legendPos val="r"/>
      <c:layout>
        <c:manualLayout>
          <c:xMode val="edge"/>
          <c:yMode val="edge"/>
          <c:x val="0.25894170654186022"/>
          <c:y val="0.19189785437126741"/>
          <c:w val="0.23175998044078144"/>
          <c:h val="0.1364606964417899"/>
        </c:manualLayout>
      </c:layout>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3888254593175837"/>
          <c:y val="9.0925984251968517E-2"/>
          <c:w val="0.46666666666667322"/>
          <c:h val="0.7466666666666667"/>
        </c:manualLayout>
      </c:layout>
      <c:pieChart>
        <c:varyColors val="1"/>
        <c:ser>
          <c:idx val="0"/>
          <c:order val="0"/>
          <c:dLbls>
            <c:dLbl>
              <c:idx val="0"/>
              <c:layout>
                <c:manualLayout>
                  <c:x val="2.7662073490814419E-2"/>
                  <c:y val="1.0000000000000005E-2"/>
                </c:manualLayout>
              </c:layout>
              <c:showVal val="1"/>
              <c:showCatName val="1"/>
            </c:dLbl>
            <c:dLbl>
              <c:idx val="1"/>
              <c:layout>
                <c:manualLayout>
                  <c:x val="3.3854330708661416E-2"/>
                  <c:y val="8.2552580927384073E-2"/>
                </c:manualLayout>
              </c:layout>
              <c:showVal val="1"/>
              <c:showCatName val="1"/>
            </c:dLbl>
            <c:dLbl>
              <c:idx val="3"/>
              <c:layout>
                <c:manualLayout>
                  <c:x val="4.5531474689442332E-2"/>
                  <c:y val="-5.9985683607732723E-4"/>
                </c:manualLayout>
              </c:layout>
              <c:showVal val="1"/>
              <c:showCatName val="1"/>
            </c:dLbl>
            <c:dLbl>
              <c:idx val="4"/>
              <c:layout>
                <c:manualLayout>
                  <c:x val="-1.206501361242888E-2"/>
                  <c:y val="9.0662467191604257E-2"/>
                </c:manualLayout>
              </c:layout>
              <c:tx>
                <c:rich>
                  <a:bodyPr/>
                  <a:lstStyle/>
                  <a:p>
                    <a:r>
                      <a:rPr lang="en-US" sz="800"/>
                      <a:t>loggig and wood-working, pulp and paper, 4.4</a:t>
                    </a:r>
                  </a:p>
                </c:rich>
              </c:tx>
              <c:showVal val="1"/>
              <c:showCatName val="1"/>
            </c:dLbl>
            <c:dLbl>
              <c:idx val="5"/>
              <c:layout>
                <c:manualLayout>
                  <c:x val="-5.7048629790841514E-2"/>
                  <c:y val="-4.3762729658794134E-3"/>
                </c:manualLayout>
              </c:layout>
              <c:showVal val="1"/>
              <c:showCatName val="1"/>
            </c:dLbl>
            <c:dLbl>
              <c:idx val="7"/>
              <c:layout>
                <c:manualLayout>
                  <c:x val="2.7639545056868789E-2"/>
                  <c:y val="-3.7709536307961505E-2"/>
                </c:manualLayout>
              </c:layout>
              <c:showVal val="1"/>
              <c:showCatName val="1"/>
            </c:dLbl>
            <c:dLbl>
              <c:idx val="8"/>
              <c:layout>
                <c:manualLayout>
                  <c:x val="1.5204286964129479E-2"/>
                  <c:y val="1.2051443569553798E-2"/>
                </c:manualLayout>
              </c:layout>
              <c:showVal val="1"/>
              <c:showCatName val="1"/>
            </c:dLbl>
            <c:txPr>
              <a:bodyPr/>
              <a:lstStyle/>
              <a:p>
                <a:pPr>
                  <a:defRPr sz="800"/>
                </a:pPr>
                <a:endParaRPr lang="en-US"/>
              </a:p>
            </c:txPr>
            <c:showVal val="1"/>
            <c:showCatName val="1"/>
          </c:dLbls>
          <c:cat>
            <c:strRef>
              <c:f>Sheet1!$B$74:$B$82</c:f>
              <c:strCache>
                <c:ptCount val="9"/>
                <c:pt idx="0">
                  <c:v>electric power</c:v>
                </c:pt>
                <c:pt idx="1">
                  <c:v>fuel</c:v>
                </c:pt>
                <c:pt idx="2">
                  <c:v>chemical and petrochemical </c:v>
                </c:pt>
                <c:pt idx="3">
                  <c:v>machinery and metalworking</c:v>
                </c:pt>
                <c:pt idx="4">
                  <c:v>loggig and wood-working, pulp and paper</c:v>
                </c:pt>
                <c:pt idx="5">
                  <c:v>building materials</c:v>
                </c:pt>
                <c:pt idx="6">
                  <c:v>light products </c:v>
                </c:pt>
                <c:pt idx="7">
                  <c:v>food</c:v>
                </c:pt>
                <c:pt idx="8">
                  <c:v>other</c:v>
                </c:pt>
              </c:strCache>
            </c:strRef>
          </c:cat>
          <c:val>
            <c:numRef>
              <c:f>Sheet1!$C$74:$C$82</c:f>
              <c:numCache>
                <c:formatCode>General</c:formatCode>
                <c:ptCount val="9"/>
                <c:pt idx="0">
                  <c:v>5.5</c:v>
                </c:pt>
                <c:pt idx="1">
                  <c:v>21.3</c:v>
                </c:pt>
                <c:pt idx="2">
                  <c:v>13.4</c:v>
                </c:pt>
                <c:pt idx="3">
                  <c:v>23.2</c:v>
                </c:pt>
                <c:pt idx="4">
                  <c:v>4.4000000000000004</c:v>
                </c:pt>
                <c:pt idx="5">
                  <c:v>5.0999999999999996</c:v>
                </c:pt>
                <c:pt idx="6">
                  <c:v>3.6</c:v>
                </c:pt>
                <c:pt idx="7">
                  <c:v>14.6</c:v>
                </c:pt>
                <c:pt idx="8">
                  <c:v>8.9</c:v>
                </c:pt>
              </c:numCache>
            </c:numRef>
          </c:val>
        </c:ser>
        <c:firstSliceAng val="0"/>
      </c:pieChart>
    </c:plotArea>
    <c:plotVisOnly val="1"/>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4239504701887234"/>
          <c:y val="6.2814070351758913E-2"/>
          <c:w val="0.83495277570156956"/>
          <c:h val="0.76381909547739968"/>
        </c:manualLayout>
      </c:layout>
      <c:barChart>
        <c:barDir val="col"/>
        <c:grouping val="percentStacked"/>
        <c:ser>
          <c:idx val="0"/>
          <c:order val="0"/>
          <c:tx>
            <c:strRef>
              <c:f>'[2]Figure 25'!$A$2</c:f>
              <c:strCache>
                <c:ptCount val="1"/>
                <c:pt idx="0">
                  <c:v>state</c:v>
                </c:pt>
              </c:strCache>
            </c:strRef>
          </c:tx>
          <c:spPr>
            <a:solidFill>
              <a:schemeClr val="tx2"/>
            </a:solidFill>
          </c:spPr>
          <c:dLbls>
            <c:txPr>
              <a:bodyPr rot="-5400000" vert="horz"/>
              <a:lstStyle/>
              <a:p>
                <a:pPr>
                  <a:defRPr/>
                </a:pPr>
                <a:endParaRPr lang="en-US"/>
              </a:p>
            </c:txPr>
            <c:dLblPos val="ctr"/>
            <c:showVal val="1"/>
          </c:dLbls>
          <c:cat>
            <c:numRef>
              <c:f>'[2]Figure 25'!$B$1:$K$1</c:f>
              <c:numCache>
                <c:formatCode>General</c:formatCode>
                <c:ptCount val="10"/>
                <c:pt idx="0">
                  <c:v>1995</c:v>
                </c:pt>
                <c:pt idx="1">
                  <c:v>2000</c:v>
                </c:pt>
                <c:pt idx="2">
                  <c:v>2001</c:v>
                </c:pt>
                <c:pt idx="3">
                  <c:v>2002</c:v>
                </c:pt>
                <c:pt idx="4">
                  <c:v>2003</c:v>
                </c:pt>
                <c:pt idx="5">
                  <c:v>2004</c:v>
                </c:pt>
                <c:pt idx="6">
                  <c:v>2005</c:v>
                </c:pt>
                <c:pt idx="7">
                  <c:v>2006</c:v>
                </c:pt>
                <c:pt idx="8">
                  <c:v>2007</c:v>
                </c:pt>
                <c:pt idx="9">
                  <c:v>2008</c:v>
                </c:pt>
              </c:numCache>
            </c:numRef>
          </c:cat>
          <c:val>
            <c:numRef>
              <c:f>'[2]Figure 25'!$B$2:$K$2</c:f>
              <c:numCache>
                <c:formatCode>General</c:formatCode>
                <c:ptCount val="10"/>
                <c:pt idx="0">
                  <c:v>37.6</c:v>
                </c:pt>
                <c:pt idx="1">
                  <c:v>24.9</c:v>
                </c:pt>
                <c:pt idx="2">
                  <c:v>21.2</c:v>
                </c:pt>
                <c:pt idx="3">
                  <c:v>20.399999999999999</c:v>
                </c:pt>
                <c:pt idx="4">
                  <c:v>18.399999999999999</c:v>
                </c:pt>
                <c:pt idx="5">
                  <c:v>16.899999999999999</c:v>
                </c:pt>
                <c:pt idx="6">
                  <c:v>15.8</c:v>
                </c:pt>
                <c:pt idx="7">
                  <c:v>15.4</c:v>
                </c:pt>
                <c:pt idx="8">
                  <c:v>15</c:v>
                </c:pt>
                <c:pt idx="9">
                  <c:v>14.7</c:v>
                </c:pt>
              </c:numCache>
            </c:numRef>
          </c:val>
        </c:ser>
        <c:ser>
          <c:idx val="1"/>
          <c:order val="1"/>
          <c:tx>
            <c:strRef>
              <c:f>'[2]Figure 25'!$A$3</c:f>
              <c:strCache>
                <c:ptCount val="1"/>
                <c:pt idx="0">
                  <c:v>private</c:v>
                </c:pt>
              </c:strCache>
            </c:strRef>
          </c:tx>
          <c:spPr>
            <a:solidFill>
              <a:schemeClr val="accent6"/>
            </a:solidFill>
          </c:spPr>
          <c:dLbls>
            <c:txPr>
              <a:bodyPr rot="-5400000" vert="horz"/>
              <a:lstStyle/>
              <a:p>
                <a:pPr>
                  <a:defRPr/>
                </a:pPr>
                <a:endParaRPr lang="en-US"/>
              </a:p>
            </c:txPr>
            <c:dLblPos val="ctr"/>
            <c:showVal val="1"/>
          </c:dLbls>
          <c:cat>
            <c:numRef>
              <c:f>'[2]Figure 25'!$B$1:$K$1</c:f>
              <c:numCache>
                <c:formatCode>General</c:formatCode>
                <c:ptCount val="10"/>
                <c:pt idx="0">
                  <c:v>1995</c:v>
                </c:pt>
                <c:pt idx="1">
                  <c:v>2000</c:v>
                </c:pt>
                <c:pt idx="2">
                  <c:v>2001</c:v>
                </c:pt>
                <c:pt idx="3">
                  <c:v>2002</c:v>
                </c:pt>
                <c:pt idx="4">
                  <c:v>2003</c:v>
                </c:pt>
                <c:pt idx="5">
                  <c:v>2004</c:v>
                </c:pt>
                <c:pt idx="6">
                  <c:v>2005</c:v>
                </c:pt>
                <c:pt idx="7">
                  <c:v>2006</c:v>
                </c:pt>
                <c:pt idx="8">
                  <c:v>2007</c:v>
                </c:pt>
                <c:pt idx="9">
                  <c:v>2008</c:v>
                </c:pt>
              </c:numCache>
            </c:numRef>
          </c:cat>
          <c:val>
            <c:numRef>
              <c:f>'[2]Figure 25'!$B$3:$K$3</c:f>
              <c:numCache>
                <c:formatCode>General</c:formatCode>
                <c:ptCount val="10"/>
                <c:pt idx="0">
                  <c:v>62.1</c:v>
                </c:pt>
                <c:pt idx="1">
                  <c:v>74.3</c:v>
                </c:pt>
                <c:pt idx="2">
                  <c:v>77.400000000000006</c:v>
                </c:pt>
                <c:pt idx="3">
                  <c:v>78</c:v>
                </c:pt>
                <c:pt idx="4">
                  <c:v>79.8</c:v>
                </c:pt>
                <c:pt idx="5">
                  <c:v>81.2</c:v>
                </c:pt>
                <c:pt idx="6">
                  <c:v>81.900000000000006</c:v>
                </c:pt>
                <c:pt idx="7">
                  <c:v>81.5</c:v>
                </c:pt>
                <c:pt idx="8">
                  <c:v>81.900000000000006</c:v>
                </c:pt>
                <c:pt idx="9">
                  <c:v>81.900000000000006</c:v>
                </c:pt>
              </c:numCache>
            </c:numRef>
          </c:val>
        </c:ser>
        <c:ser>
          <c:idx val="2"/>
          <c:order val="2"/>
          <c:tx>
            <c:strRef>
              <c:f>'[2]Figure 25'!$A$4</c:f>
              <c:strCache>
                <c:ptCount val="1"/>
                <c:pt idx="0">
                  <c:v>foreign</c:v>
                </c:pt>
              </c:strCache>
            </c:strRef>
          </c:tx>
          <c:spPr>
            <a:solidFill>
              <a:prstClr val="black"/>
            </a:solidFill>
            <a:ln>
              <a:noFill/>
            </a:ln>
          </c:spPr>
          <c:dLbls>
            <c:dLbl>
              <c:idx val="0"/>
              <c:layout>
                <c:manualLayout>
                  <c:x val="-4.3203373348251438E-3"/>
                  <c:y val="3.5077223387278374E-2"/>
                </c:manualLayout>
              </c:layout>
              <c:dLblPos val="ctr"/>
              <c:showVal val="1"/>
            </c:dLbl>
            <c:dLbl>
              <c:idx val="1"/>
              <c:layout>
                <c:manualLayout>
                  <c:x val="-2.0548296477086352E-3"/>
                  <c:y val="2.814255002044343E-2"/>
                </c:manualLayout>
              </c:layout>
              <c:dLblPos val="ctr"/>
              <c:showVal val="1"/>
            </c:dLbl>
            <c:dLbl>
              <c:idx val="2"/>
              <c:layout>
                <c:manualLayout>
                  <c:x val="-4.6438684451857023E-3"/>
                  <c:y val="3.5901291233068219E-2"/>
                </c:manualLayout>
              </c:layout>
              <c:dLblPos val="ctr"/>
              <c:showVal val="1"/>
            </c:dLbl>
            <c:dLbl>
              <c:idx val="3"/>
              <c:layout>
                <c:manualLayout>
                  <c:x val="-3.9966561740519407E-3"/>
                  <c:y val="3.7649929437212452E-2"/>
                </c:manualLayout>
              </c:layout>
              <c:dLblPos val="ctr"/>
              <c:showVal val="1"/>
            </c:dLbl>
            <c:dLbl>
              <c:idx val="4"/>
              <c:layout>
                <c:manualLayout>
                  <c:x val="-4.9675694372235124E-3"/>
                  <c:y val="3.9398831427478596E-2"/>
                </c:manualLayout>
              </c:layout>
              <c:dLblPos val="ctr"/>
              <c:showVal val="1"/>
            </c:dLbl>
            <c:dLbl>
              <c:idx val="5"/>
              <c:layout>
                <c:manualLayout>
                  <c:x val="-4.3203571660897855E-3"/>
                  <c:y val="4.4041994750656184E-2"/>
                </c:manualLayout>
              </c:layout>
              <c:dLblPos val="ctr"/>
              <c:showVal val="1"/>
            </c:dLbl>
            <c:dLbl>
              <c:idx val="6"/>
              <c:layout>
                <c:manualLayout>
                  <c:x val="-5.2911005475840579E-3"/>
                  <c:y val="4.0001846502855265E-2"/>
                </c:manualLayout>
              </c:layout>
              <c:dLblPos val="ctr"/>
              <c:showVal val="1"/>
            </c:dLbl>
            <c:dLbl>
              <c:idx val="7"/>
              <c:layout>
                <c:manualLayout>
                  <c:x val="-6.2620138107556313E-3"/>
                  <c:y val="3.9458974663342951E-2"/>
                </c:manualLayout>
              </c:layout>
              <c:dLblPos val="ctr"/>
              <c:showVal val="1"/>
            </c:dLbl>
            <c:dLbl>
              <c:idx val="8"/>
              <c:layout>
                <c:manualLayout>
                  <c:x val="-3.9966760053166146E-3"/>
                  <c:y val="3.9458974663342951E-2"/>
                </c:manualLayout>
              </c:layout>
              <c:dLblPos val="ctr"/>
              <c:showVal val="1"/>
            </c:dLbl>
            <c:dLbl>
              <c:idx val="9"/>
              <c:layout>
                <c:manualLayout>
                  <c:x val="-4.9675892684881776E-3"/>
                  <c:y val="4.3338477162716924E-2"/>
                </c:manualLayout>
              </c:layout>
              <c:dLblPos val="ctr"/>
              <c:showVal val="1"/>
            </c:dLbl>
            <c:txPr>
              <a:bodyPr rot="-5400000" vert="horz"/>
              <a:lstStyle/>
              <a:p>
                <a:pPr>
                  <a:defRPr/>
                </a:pPr>
                <a:endParaRPr lang="en-US"/>
              </a:p>
            </c:txPr>
            <c:dLblPos val="ctr"/>
            <c:showVal val="1"/>
          </c:dLbls>
          <c:cat>
            <c:numRef>
              <c:f>'[2]Figure 25'!$B$1:$K$1</c:f>
              <c:numCache>
                <c:formatCode>General</c:formatCode>
                <c:ptCount val="10"/>
                <c:pt idx="0">
                  <c:v>1995</c:v>
                </c:pt>
                <c:pt idx="1">
                  <c:v>2000</c:v>
                </c:pt>
                <c:pt idx="2">
                  <c:v>2001</c:v>
                </c:pt>
                <c:pt idx="3">
                  <c:v>2002</c:v>
                </c:pt>
                <c:pt idx="4">
                  <c:v>2003</c:v>
                </c:pt>
                <c:pt idx="5">
                  <c:v>2004</c:v>
                </c:pt>
                <c:pt idx="6">
                  <c:v>2005</c:v>
                </c:pt>
                <c:pt idx="7">
                  <c:v>2006</c:v>
                </c:pt>
                <c:pt idx="8">
                  <c:v>2007</c:v>
                </c:pt>
                <c:pt idx="9">
                  <c:v>2008</c:v>
                </c:pt>
              </c:numCache>
            </c:numRef>
          </c:cat>
          <c:val>
            <c:numRef>
              <c:f>'[2]Figure 25'!$B$4:$K$4</c:f>
              <c:numCache>
                <c:formatCode>General</c:formatCode>
                <c:ptCount val="10"/>
                <c:pt idx="0">
                  <c:v>0.30000000000000032</c:v>
                </c:pt>
                <c:pt idx="1">
                  <c:v>0.8</c:v>
                </c:pt>
                <c:pt idx="2">
                  <c:v>1.4</c:v>
                </c:pt>
                <c:pt idx="3">
                  <c:v>1.6</c:v>
                </c:pt>
                <c:pt idx="4">
                  <c:v>1.8</c:v>
                </c:pt>
                <c:pt idx="5">
                  <c:v>1.9000000000000001</c:v>
                </c:pt>
                <c:pt idx="6">
                  <c:v>2.2999999999999998</c:v>
                </c:pt>
                <c:pt idx="7">
                  <c:v>3.1</c:v>
                </c:pt>
                <c:pt idx="8">
                  <c:v>3.1</c:v>
                </c:pt>
                <c:pt idx="9">
                  <c:v>3.4</c:v>
                </c:pt>
              </c:numCache>
            </c:numRef>
          </c:val>
        </c:ser>
        <c:dLbls>
          <c:showVal val="1"/>
        </c:dLbls>
        <c:overlap val="100"/>
        <c:axId val="189363328"/>
        <c:axId val="189364864"/>
      </c:barChart>
      <c:catAx>
        <c:axId val="189363328"/>
        <c:scaling>
          <c:orientation val="minMax"/>
        </c:scaling>
        <c:axPos val="b"/>
        <c:numFmt formatCode="General" sourceLinked="1"/>
        <c:tickLblPos val="nextTo"/>
        <c:txPr>
          <a:bodyPr rot="0" vert="horz"/>
          <a:lstStyle/>
          <a:p>
            <a:pPr>
              <a:defRPr sz="600"/>
            </a:pPr>
            <a:endParaRPr lang="en-US"/>
          </a:p>
        </c:txPr>
        <c:crossAx val="189364864"/>
        <c:crosses val="autoZero"/>
        <c:auto val="1"/>
        <c:lblAlgn val="ctr"/>
        <c:lblOffset val="100"/>
        <c:tickLblSkip val="1"/>
        <c:tickMarkSkip val="1"/>
      </c:catAx>
      <c:valAx>
        <c:axId val="189364864"/>
        <c:scaling>
          <c:orientation val="minMax"/>
        </c:scaling>
        <c:axPos val="l"/>
        <c:majorGridlines/>
        <c:title>
          <c:tx>
            <c:rich>
              <a:bodyPr/>
              <a:lstStyle/>
              <a:p>
                <a:pPr>
                  <a:defRPr/>
                </a:pPr>
                <a:r>
                  <a:rPr lang="fi-FI"/>
                  <a:t>share of retail turnover</a:t>
                </a:r>
              </a:p>
            </c:rich>
          </c:tx>
          <c:layout>
            <c:manualLayout>
              <c:xMode val="edge"/>
              <c:yMode val="edge"/>
              <c:x val="1.7207063618558589E-3"/>
              <c:y val="0.23078276980083373"/>
            </c:manualLayout>
          </c:layout>
        </c:title>
        <c:numFmt formatCode="0%" sourceLinked="1"/>
        <c:tickLblPos val="nextTo"/>
        <c:txPr>
          <a:bodyPr rot="0" vert="horz"/>
          <a:lstStyle/>
          <a:p>
            <a:pPr>
              <a:defRPr sz="600"/>
            </a:pPr>
            <a:endParaRPr lang="en-US"/>
          </a:p>
        </c:txPr>
        <c:crossAx val="189363328"/>
        <c:crosses val="autoZero"/>
        <c:crossBetween val="between"/>
      </c:valAx>
    </c:plotArea>
    <c:legend>
      <c:legendPos val="b"/>
      <c:layout>
        <c:manualLayout>
          <c:xMode val="edge"/>
          <c:yMode val="edge"/>
          <c:x val="0.20484240074220841"/>
          <c:y val="0.92211055276381915"/>
          <c:w val="0.56907137363118299"/>
          <c:h val="6.0301507537688523E-2"/>
        </c:manualLayout>
      </c:layout>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4184913529644852"/>
          <c:y val="9.0136396884815728E-2"/>
          <c:w val="0.84374429223745806"/>
          <c:h val="0.79385267415343563"/>
        </c:manualLayout>
      </c:layout>
      <c:barChart>
        <c:barDir val="col"/>
        <c:grouping val="clustered"/>
        <c:ser>
          <c:idx val="0"/>
          <c:order val="0"/>
          <c:dPt>
            <c:idx val="8"/>
            <c:spPr>
              <a:solidFill>
                <a:sysClr val="windowText" lastClr="000000"/>
              </a:solidFill>
            </c:spPr>
          </c:dPt>
          <c:cat>
            <c:strRef>
              <c:f>'[2]Figure 26'!$B$1:$J$1</c:f>
              <c:strCache>
                <c:ptCount val="9"/>
                <c:pt idx="0">
                  <c:v>Tallinn</c:v>
                </c:pt>
                <c:pt idx="1">
                  <c:v>Riga</c:v>
                </c:pt>
                <c:pt idx="2">
                  <c:v>Prague</c:v>
                </c:pt>
                <c:pt idx="3">
                  <c:v>Warsaw</c:v>
                </c:pt>
                <c:pt idx="4">
                  <c:v>Vilnius</c:v>
                </c:pt>
                <c:pt idx="5">
                  <c:v>Budapest</c:v>
                </c:pt>
                <c:pt idx="6">
                  <c:v>Moscow</c:v>
                </c:pt>
                <c:pt idx="7">
                  <c:v>Kiev</c:v>
                </c:pt>
                <c:pt idx="8">
                  <c:v>Minsk</c:v>
                </c:pt>
              </c:strCache>
            </c:strRef>
          </c:cat>
          <c:val>
            <c:numRef>
              <c:f>'[2]Figure 26'!$B$2:$J$2</c:f>
              <c:numCache>
                <c:formatCode>General</c:formatCode>
                <c:ptCount val="9"/>
                <c:pt idx="0">
                  <c:v>1375</c:v>
                </c:pt>
                <c:pt idx="1">
                  <c:v>859</c:v>
                </c:pt>
                <c:pt idx="2">
                  <c:v>855</c:v>
                </c:pt>
                <c:pt idx="3">
                  <c:v>700</c:v>
                </c:pt>
                <c:pt idx="4">
                  <c:v>620</c:v>
                </c:pt>
                <c:pt idx="5">
                  <c:v>442</c:v>
                </c:pt>
                <c:pt idx="6">
                  <c:v>399</c:v>
                </c:pt>
                <c:pt idx="7">
                  <c:v>225</c:v>
                </c:pt>
                <c:pt idx="8">
                  <c:v>130</c:v>
                </c:pt>
              </c:numCache>
            </c:numRef>
          </c:val>
        </c:ser>
        <c:dLbls>
          <c:showVal val="1"/>
        </c:dLbls>
        <c:axId val="189385728"/>
        <c:axId val="189137664"/>
      </c:barChart>
      <c:catAx>
        <c:axId val="189385728"/>
        <c:scaling>
          <c:orientation val="minMax"/>
        </c:scaling>
        <c:axPos val="b"/>
        <c:numFmt formatCode="General" sourceLinked="1"/>
        <c:tickLblPos val="nextTo"/>
        <c:txPr>
          <a:bodyPr rot="0" vert="horz"/>
          <a:lstStyle/>
          <a:p>
            <a:pPr>
              <a:defRPr sz="600"/>
            </a:pPr>
            <a:endParaRPr lang="en-US"/>
          </a:p>
        </c:txPr>
        <c:crossAx val="189137664"/>
        <c:crosses val="autoZero"/>
        <c:auto val="1"/>
        <c:lblAlgn val="ctr"/>
        <c:lblOffset val="100"/>
        <c:tickLblSkip val="1"/>
        <c:tickMarkSkip val="1"/>
      </c:catAx>
      <c:valAx>
        <c:axId val="189137664"/>
        <c:scaling>
          <c:orientation val="minMax"/>
        </c:scaling>
        <c:axPos val="l"/>
        <c:majorGridlines/>
        <c:title>
          <c:tx>
            <c:rich>
              <a:bodyPr/>
              <a:lstStyle/>
              <a:p>
                <a:pPr>
                  <a:defRPr/>
                </a:pPr>
                <a:r>
                  <a:rPr lang="fi-FI"/>
                  <a:t>sqm per 1000 people</a:t>
                </a:r>
              </a:p>
            </c:rich>
          </c:tx>
          <c:layout>
            <c:manualLayout>
              <c:xMode val="edge"/>
              <c:yMode val="edge"/>
              <c:x val="4.9938757655294103E-4"/>
              <c:y val="0.28214620713394961"/>
            </c:manualLayout>
          </c:layout>
        </c:title>
        <c:numFmt formatCode="General" sourceLinked="1"/>
        <c:tickLblPos val="nextTo"/>
        <c:txPr>
          <a:bodyPr rot="0" vert="horz"/>
          <a:lstStyle/>
          <a:p>
            <a:pPr>
              <a:defRPr sz="600"/>
            </a:pPr>
            <a:endParaRPr lang="en-US"/>
          </a:p>
        </c:txPr>
        <c:crossAx val="189385728"/>
        <c:crosses val="autoZero"/>
        <c:crossBetween val="between"/>
      </c:valAx>
    </c:plotArea>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6400163214892274"/>
          <c:y val="9.9886950991194545E-2"/>
          <c:w val="0.81894836674827465"/>
          <c:h val="0.54306880581906758"/>
        </c:manualLayout>
      </c:layout>
      <c:barChart>
        <c:barDir val="col"/>
        <c:grouping val="clustered"/>
        <c:ser>
          <c:idx val="0"/>
          <c:order val="0"/>
          <c:tx>
            <c:strRef>
              <c:f>'[2]Figure 7'!$A$2</c:f>
              <c:strCache>
                <c:ptCount val="1"/>
                <c:pt idx="0">
                  <c:v>Belarus</c:v>
                </c:pt>
              </c:strCache>
            </c:strRef>
          </c:tx>
          <c:spPr>
            <a:solidFill>
              <a:schemeClr val="tx2"/>
            </a:solidFill>
            <a:ln w="25400">
              <a:noFill/>
              <a:prstDash val="solid"/>
            </a:ln>
          </c:spPr>
          <c:dLbls>
            <c:spPr>
              <a:noFill/>
              <a:ln w="25400">
                <a:noFill/>
              </a:ln>
            </c:spPr>
            <c:txPr>
              <a:bodyPr rot="-5400000" vert="horz"/>
              <a:lstStyle/>
              <a:p>
                <a:pPr algn="ctr">
                  <a:defRPr/>
                </a:pPr>
                <a:endParaRPr lang="en-US"/>
              </a:p>
            </c:txPr>
            <c:dLblPos val="outEnd"/>
            <c:showVal val="1"/>
          </c:dLbls>
          <c:cat>
            <c:strRef>
              <c:f>'[2]Figure 7'!$B$1:$E$1</c:f>
              <c:strCache>
                <c:ptCount val="4"/>
                <c:pt idx="0">
                  <c:v>1990-2000 annual average</c:v>
                </c:pt>
                <c:pt idx="1">
                  <c:v>2006</c:v>
                </c:pt>
                <c:pt idx="2">
                  <c:v>2007</c:v>
                </c:pt>
                <c:pt idx="3">
                  <c:v>2008</c:v>
                </c:pt>
              </c:strCache>
            </c:strRef>
          </c:cat>
          <c:val>
            <c:numRef>
              <c:f>'[2]Figure 7'!$B$2:$E$2</c:f>
              <c:numCache>
                <c:formatCode>General</c:formatCode>
                <c:ptCount val="4"/>
                <c:pt idx="0">
                  <c:v>3.5</c:v>
                </c:pt>
                <c:pt idx="1">
                  <c:v>3.2</c:v>
                </c:pt>
                <c:pt idx="2">
                  <c:v>12.6</c:v>
                </c:pt>
                <c:pt idx="3">
                  <c:v>10.9</c:v>
                </c:pt>
              </c:numCache>
            </c:numRef>
          </c:val>
        </c:ser>
        <c:ser>
          <c:idx val="1"/>
          <c:order val="1"/>
          <c:tx>
            <c:strRef>
              <c:f>'[2]Figure 7'!$A$3</c:f>
              <c:strCache>
                <c:ptCount val="1"/>
                <c:pt idx="0">
                  <c:v>Lithuania</c:v>
                </c:pt>
              </c:strCache>
            </c:strRef>
          </c:tx>
          <c:spPr>
            <a:solidFill>
              <a:schemeClr val="accent2"/>
            </a:solidFill>
            <a:ln w="12700">
              <a:solidFill>
                <a:srgbClr val="000000"/>
              </a:solidFill>
              <a:prstDash val="solid"/>
            </a:ln>
          </c:spPr>
          <c:dLbls>
            <c:spPr>
              <a:noFill/>
              <a:ln w="25400">
                <a:noFill/>
              </a:ln>
            </c:spPr>
            <c:txPr>
              <a:bodyPr rot="-5400000" vert="horz"/>
              <a:lstStyle/>
              <a:p>
                <a:pPr algn="ctr">
                  <a:defRPr/>
                </a:pPr>
                <a:endParaRPr lang="en-US"/>
              </a:p>
            </c:txPr>
            <c:dLblPos val="outEnd"/>
            <c:showVal val="1"/>
          </c:dLbls>
          <c:cat>
            <c:strRef>
              <c:f>'[2]Figure 7'!$B$1:$E$1</c:f>
              <c:strCache>
                <c:ptCount val="4"/>
                <c:pt idx="0">
                  <c:v>1990-2000 annual average</c:v>
                </c:pt>
                <c:pt idx="1">
                  <c:v>2006</c:v>
                </c:pt>
                <c:pt idx="2">
                  <c:v>2007</c:v>
                </c:pt>
                <c:pt idx="3">
                  <c:v>2008</c:v>
                </c:pt>
              </c:strCache>
            </c:strRef>
          </c:cat>
          <c:val>
            <c:numRef>
              <c:f>'[2]Figure 7'!$B$3:$E$3</c:f>
              <c:numCache>
                <c:formatCode>General</c:formatCode>
                <c:ptCount val="4"/>
                <c:pt idx="0">
                  <c:v>14</c:v>
                </c:pt>
                <c:pt idx="1">
                  <c:v>24.2</c:v>
                </c:pt>
                <c:pt idx="2">
                  <c:v>18.399999999999999</c:v>
                </c:pt>
                <c:pt idx="3">
                  <c:v>15.4</c:v>
                </c:pt>
              </c:numCache>
            </c:numRef>
          </c:val>
        </c:ser>
        <c:ser>
          <c:idx val="2"/>
          <c:order val="2"/>
          <c:tx>
            <c:strRef>
              <c:f>'[2]Figure 7'!$A$4</c:f>
              <c:strCache>
                <c:ptCount val="1"/>
                <c:pt idx="0">
                  <c:v>Russia</c:v>
                </c:pt>
              </c:strCache>
            </c:strRef>
          </c:tx>
          <c:spPr>
            <a:solidFill>
              <a:schemeClr val="accent3"/>
            </a:solidFill>
            <a:ln w="12700">
              <a:solidFill>
                <a:srgbClr val="000000"/>
              </a:solidFill>
              <a:prstDash val="solid"/>
            </a:ln>
          </c:spPr>
          <c:dLbls>
            <c:spPr>
              <a:noFill/>
              <a:ln w="25400">
                <a:noFill/>
              </a:ln>
            </c:spPr>
            <c:txPr>
              <a:bodyPr rot="-5400000" vert="horz"/>
              <a:lstStyle/>
              <a:p>
                <a:pPr algn="ctr">
                  <a:defRPr/>
                </a:pPr>
                <a:endParaRPr lang="en-US"/>
              </a:p>
            </c:txPr>
            <c:dLblPos val="outEnd"/>
            <c:showVal val="1"/>
          </c:dLbls>
          <c:cat>
            <c:strRef>
              <c:f>'[2]Figure 7'!$B$1:$E$1</c:f>
              <c:strCache>
                <c:ptCount val="4"/>
                <c:pt idx="0">
                  <c:v>1990-2000 annual average</c:v>
                </c:pt>
                <c:pt idx="1">
                  <c:v>2006</c:v>
                </c:pt>
                <c:pt idx="2">
                  <c:v>2007</c:v>
                </c:pt>
                <c:pt idx="3">
                  <c:v>2008</c:v>
                </c:pt>
              </c:strCache>
            </c:strRef>
          </c:cat>
          <c:val>
            <c:numRef>
              <c:f>'[2]Figure 7'!$B$4:$E$4</c:f>
              <c:numCache>
                <c:formatCode>General</c:formatCode>
                <c:ptCount val="4"/>
                <c:pt idx="0">
                  <c:v>3.3</c:v>
                </c:pt>
                <c:pt idx="1">
                  <c:v>16.2</c:v>
                </c:pt>
                <c:pt idx="2">
                  <c:v>20.2</c:v>
                </c:pt>
                <c:pt idx="3">
                  <c:v>19.5</c:v>
                </c:pt>
              </c:numCache>
            </c:numRef>
          </c:val>
        </c:ser>
        <c:ser>
          <c:idx val="3"/>
          <c:order val="3"/>
          <c:tx>
            <c:strRef>
              <c:f>'[2]Figure 7'!$A$5</c:f>
              <c:strCache>
                <c:ptCount val="1"/>
                <c:pt idx="0">
                  <c:v>Ukraine</c:v>
                </c:pt>
              </c:strCache>
            </c:strRef>
          </c:tx>
          <c:spPr>
            <a:solidFill>
              <a:schemeClr val="accent4"/>
            </a:solidFill>
            <a:ln w="12700">
              <a:solidFill>
                <a:srgbClr val="000000"/>
              </a:solidFill>
              <a:prstDash val="solid"/>
            </a:ln>
          </c:spPr>
          <c:dLbls>
            <c:spPr>
              <a:noFill/>
              <a:ln w="25400">
                <a:noFill/>
              </a:ln>
            </c:spPr>
            <c:txPr>
              <a:bodyPr rot="-5400000" vert="horz"/>
              <a:lstStyle/>
              <a:p>
                <a:pPr algn="ctr">
                  <a:defRPr/>
                </a:pPr>
                <a:endParaRPr lang="en-US"/>
              </a:p>
            </c:txPr>
            <c:dLblPos val="outEnd"/>
            <c:showVal val="1"/>
          </c:dLbls>
          <c:cat>
            <c:strRef>
              <c:f>'[2]Figure 7'!$B$1:$E$1</c:f>
              <c:strCache>
                <c:ptCount val="4"/>
                <c:pt idx="0">
                  <c:v>1990-2000 annual average</c:v>
                </c:pt>
                <c:pt idx="1">
                  <c:v>2006</c:v>
                </c:pt>
                <c:pt idx="2">
                  <c:v>2007</c:v>
                </c:pt>
                <c:pt idx="3">
                  <c:v>2008</c:v>
                </c:pt>
              </c:strCache>
            </c:strRef>
          </c:cat>
          <c:val>
            <c:numRef>
              <c:f>'[2]Figure 7'!$B$5:$E$5</c:f>
              <c:numCache>
                <c:formatCode>General</c:formatCode>
                <c:ptCount val="4"/>
                <c:pt idx="0">
                  <c:v>3.7</c:v>
                </c:pt>
                <c:pt idx="1">
                  <c:v>21.1</c:v>
                </c:pt>
                <c:pt idx="2">
                  <c:v>25.2</c:v>
                </c:pt>
                <c:pt idx="3">
                  <c:v>21.8</c:v>
                </c:pt>
              </c:numCache>
            </c:numRef>
          </c:val>
        </c:ser>
        <c:ser>
          <c:idx val="4"/>
          <c:order val="4"/>
          <c:tx>
            <c:strRef>
              <c:f>'[2]Figure 7'!$A$6</c:f>
              <c:strCache>
                <c:ptCount val="1"/>
                <c:pt idx="0">
                  <c:v>CIS</c:v>
                </c:pt>
              </c:strCache>
            </c:strRef>
          </c:tx>
          <c:spPr>
            <a:solidFill>
              <a:schemeClr val="accent5"/>
            </a:solidFill>
            <a:ln w="12700">
              <a:solidFill>
                <a:srgbClr val="000000"/>
              </a:solidFill>
              <a:prstDash val="solid"/>
            </a:ln>
          </c:spPr>
          <c:dLbls>
            <c:spPr>
              <a:noFill/>
              <a:ln w="25400">
                <a:noFill/>
              </a:ln>
            </c:spPr>
            <c:txPr>
              <a:bodyPr rot="-5400000" vert="horz"/>
              <a:lstStyle/>
              <a:p>
                <a:pPr algn="ctr">
                  <a:defRPr/>
                </a:pPr>
                <a:endParaRPr lang="en-US"/>
              </a:p>
            </c:txPr>
            <c:dLblPos val="outEnd"/>
            <c:showVal val="1"/>
          </c:dLbls>
          <c:cat>
            <c:strRef>
              <c:f>'[2]Figure 7'!$B$1:$E$1</c:f>
              <c:strCache>
                <c:ptCount val="4"/>
                <c:pt idx="0">
                  <c:v>1990-2000 annual average</c:v>
                </c:pt>
                <c:pt idx="1">
                  <c:v>2006</c:v>
                </c:pt>
                <c:pt idx="2">
                  <c:v>2007</c:v>
                </c:pt>
                <c:pt idx="3">
                  <c:v>2008</c:v>
                </c:pt>
              </c:strCache>
            </c:strRef>
          </c:cat>
          <c:val>
            <c:numRef>
              <c:f>'[2]Figure 7'!$B$6:$E$6</c:f>
              <c:numCache>
                <c:formatCode>General</c:formatCode>
                <c:ptCount val="4"/>
                <c:pt idx="0">
                  <c:v>4.8</c:v>
                </c:pt>
                <c:pt idx="1">
                  <c:v>17</c:v>
                </c:pt>
                <c:pt idx="2">
                  <c:v>20.5</c:v>
                </c:pt>
                <c:pt idx="3">
                  <c:v>21</c:v>
                </c:pt>
              </c:numCache>
            </c:numRef>
          </c:val>
        </c:ser>
        <c:dLbls>
          <c:showVal val="1"/>
        </c:dLbls>
        <c:axId val="189478016"/>
        <c:axId val="189479552"/>
      </c:barChart>
      <c:catAx>
        <c:axId val="189478016"/>
        <c:scaling>
          <c:orientation val="minMax"/>
        </c:scaling>
        <c:axPos val="b"/>
        <c:numFmt formatCode="General" sourceLinked="1"/>
        <c:tickLblPos val="nextTo"/>
        <c:spPr>
          <a:ln w="3175">
            <a:solidFill>
              <a:srgbClr val="000000"/>
            </a:solidFill>
            <a:prstDash val="solid"/>
          </a:ln>
        </c:spPr>
        <c:txPr>
          <a:bodyPr rot="0" vert="horz"/>
          <a:lstStyle/>
          <a:p>
            <a:pPr>
              <a:defRPr/>
            </a:pPr>
            <a:endParaRPr lang="en-US"/>
          </a:p>
        </c:txPr>
        <c:crossAx val="189479552"/>
        <c:crosses val="autoZero"/>
        <c:auto val="1"/>
        <c:lblAlgn val="ctr"/>
        <c:lblOffset val="100"/>
        <c:tickLblSkip val="1"/>
        <c:tickMarkSkip val="1"/>
      </c:catAx>
      <c:valAx>
        <c:axId val="189479552"/>
        <c:scaling>
          <c:orientation val="minMax"/>
        </c:scaling>
        <c:axPos val="l"/>
        <c:majorGridlines>
          <c:spPr>
            <a:ln w="3175">
              <a:solidFill>
                <a:srgbClr val="808080"/>
              </a:solidFill>
              <a:prstDash val="sysDash"/>
            </a:ln>
          </c:spPr>
        </c:majorGridlines>
        <c:title>
          <c:tx>
            <c:rich>
              <a:bodyPr/>
              <a:lstStyle/>
              <a:p>
                <a:pPr>
                  <a:defRPr/>
                </a:pPr>
                <a:r>
                  <a:rPr lang="fi-FI"/>
                  <a:t>% of gross fixed capital formation</a:t>
                </a:r>
              </a:p>
            </c:rich>
          </c:tx>
          <c:layout>
            <c:manualLayout>
              <c:xMode val="edge"/>
              <c:yMode val="edge"/>
              <c:x val="2.589000854888588E-2"/>
              <c:y val="8.8889210392109341E-2"/>
            </c:manualLayout>
          </c:layout>
          <c:spPr>
            <a:noFill/>
            <a:ln w="25400">
              <a:noFill/>
            </a:ln>
          </c:spPr>
        </c:title>
        <c:numFmt formatCode="General" sourceLinked="1"/>
        <c:tickLblPos val="nextTo"/>
        <c:spPr>
          <a:ln w="3175">
            <a:solidFill>
              <a:srgbClr val="000000"/>
            </a:solidFill>
            <a:prstDash val="solid"/>
          </a:ln>
        </c:spPr>
        <c:txPr>
          <a:bodyPr rot="0" vert="horz"/>
          <a:lstStyle/>
          <a:p>
            <a:pPr>
              <a:defRPr/>
            </a:pPr>
            <a:endParaRPr lang="en-US"/>
          </a:p>
        </c:txPr>
        <c:crossAx val="189478016"/>
        <c:crosses val="autoZero"/>
        <c:crossBetween val="between"/>
      </c:valAx>
      <c:spPr>
        <a:solidFill>
          <a:srgbClr val="FFFFFF"/>
        </a:solidFill>
        <a:ln w="12700">
          <a:solidFill>
            <a:srgbClr val="808080"/>
          </a:solidFill>
          <a:prstDash val="solid"/>
        </a:ln>
      </c:spPr>
    </c:plotArea>
    <c:legend>
      <c:legendPos val="t"/>
      <c:layout>
        <c:manualLayout>
          <c:xMode val="edge"/>
          <c:yMode val="edge"/>
          <c:x val="5.9775328083989485E-2"/>
          <c:y val="0.86200067096876065"/>
          <c:w val="0.87658897637795252"/>
          <c:h val="8.8889210392109341E-2"/>
        </c:manualLayout>
      </c:layout>
      <c:spPr>
        <a:solidFill>
          <a:srgbClr val="FFFFFF"/>
        </a:solidFill>
        <a:ln w="3175">
          <a:solidFill>
            <a:srgbClr val="000000"/>
          </a:solidFill>
          <a:prstDash val="solid"/>
        </a:ln>
      </c:spPr>
    </c:legend>
    <c:plotVisOnly val="1"/>
    <c:dispBlanksAs val="gap"/>
  </c:chart>
  <c:spPr>
    <a:solidFill>
      <a:srgbClr val="FFFFFF"/>
    </a:solid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5.4987212276214836E-2"/>
          <c:y val="0.13802118433935634"/>
          <c:w val="0.92710997442456444"/>
          <c:h val="0.7161476545910137"/>
        </c:manualLayout>
      </c:layout>
      <c:barChart>
        <c:barDir val="col"/>
        <c:grouping val="clustered"/>
        <c:ser>
          <c:idx val="0"/>
          <c:order val="0"/>
          <c:tx>
            <c:strRef>
              <c:f>'[2]Figures 4 &amp; 5 (rank)'!$A$2</c:f>
              <c:strCache>
                <c:ptCount val="1"/>
                <c:pt idx="0">
                  <c:v>Belarus</c:v>
                </c:pt>
              </c:strCache>
            </c:strRef>
          </c:tx>
          <c:spPr>
            <a:solidFill>
              <a:schemeClr val="tx2"/>
            </a:solidFill>
            <a:ln w="12700">
              <a:solidFill>
                <a:srgbClr val="000000"/>
              </a:solidFill>
              <a:prstDash val="solid"/>
            </a:ln>
          </c:spPr>
          <c:dLbls>
            <c:spPr>
              <a:noFill/>
              <a:ln w="25400">
                <a:noFill/>
              </a:ln>
            </c:spPr>
            <c:txPr>
              <a:bodyPr rot="-5400000" vert="horz"/>
              <a:lstStyle/>
              <a:p>
                <a:pPr algn="ctr">
                  <a:defRPr/>
                </a:pPr>
                <a:endParaRPr lang="en-US"/>
              </a:p>
            </c:txPr>
            <c:dLblPos val="outEnd"/>
            <c:showVal val="1"/>
          </c:dLbls>
          <c:cat>
            <c:strRef>
              <c:f>'[2]Figures 4 &amp; 5 (rank)'!$B$1:$I$1</c:f>
              <c:strCache>
                <c:ptCount val="8"/>
                <c:pt idx="0">
                  <c:v>Overall rank</c:v>
                </c:pt>
                <c:pt idx="1">
                  <c:v>Customs</c:v>
                </c:pt>
                <c:pt idx="2">
                  <c:v>Infrastructure</c:v>
                </c:pt>
                <c:pt idx="3">
                  <c:v>International shipments</c:v>
                </c:pt>
                <c:pt idx="4">
                  <c:v>Logistics competence </c:v>
                </c:pt>
                <c:pt idx="5">
                  <c:v>Tracking &amp; tracing</c:v>
                </c:pt>
                <c:pt idx="6">
                  <c:v>Domestic logistics costs </c:v>
                </c:pt>
                <c:pt idx="7">
                  <c:v>Timeliness</c:v>
                </c:pt>
              </c:strCache>
            </c:strRef>
          </c:cat>
          <c:val>
            <c:numRef>
              <c:f>'[2]Figures 4 &amp; 5 (rank)'!$B$2:$I$2</c:f>
              <c:numCache>
                <c:formatCode>0</c:formatCode>
                <c:ptCount val="8"/>
                <c:pt idx="0">
                  <c:v>74</c:v>
                </c:pt>
                <c:pt idx="1">
                  <c:v>50</c:v>
                </c:pt>
                <c:pt idx="2">
                  <c:v>54</c:v>
                </c:pt>
                <c:pt idx="3">
                  <c:v>126</c:v>
                </c:pt>
                <c:pt idx="4">
                  <c:v>120</c:v>
                </c:pt>
                <c:pt idx="5">
                  <c:v>66</c:v>
                </c:pt>
                <c:pt idx="6">
                  <c:v>37</c:v>
                </c:pt>
                <c:pt idx="7">
                  <c:v>78</c:v>
                </c:pt>
              </c:numCache>
            </c:numRef>
          </c:val>
        </c:ser>
        <c:ser>
          <c:idx val="1"/>
          <c:order val="1"/>
          <c:tx>
            <c:strRef>
              <c:f>'[2]Figures 4 &amp; 5 (rank)'!$A$3</c:f>
              <c:strCache>
                <c:ptCount val="1"/>
                <c:pt idx="0">
                  <c:v>Russia</c:v>
                </c:pt>
              </c:strCache>
            </c:strRef>
          </c:tx>
          <c:spPr>
            <a:solidFill>
              <a:schemeClr val="accent2"/>
            </a:solidFill>
            <a:ln w="12700">
              <a:solidFill>
                <a:srgbClr val="000000"/>
              </a:solidFill>
              <a:prstDash val="solid"/>
            </a:ln>
          </c:spPr>
          <c:dLbls>
            <c:spPr>
              <a:noFill/>
              <a:ln w="25400">
                <a:noFill/>
              </a:ln>
            </c:spPr>
            <c:txPr>
              <a:bodyPr rot="-5400000" vert="horz"/>
              <a:lstStyle/>
              <a:p>
                <a:pPr algn="ctr">
                  <a:defRPr/>
                </a:pPr>
                <a:endParaRPr lang="en-US"/>
              </a:p>
            </c:txPr>
            <c:dLblPos val="outEnd"/>
            <c:showVal val="1"/>
          </c:dLbls>
          <c:cat>
            <c:strRef>
              <c:f>'[2]Figures 4 &amp; 5 (rank)'!$B$1:$I$1</c:f>
              <c:strCache>
                <c:ptCount val="8"/>
                <c:pt idx="0">
                  <c:v>Overall rank</c:v>
                </c:pt>
                <c:pt idx="1">
                  <c:v>Customs</c:v>
                </c:pt>
                <c:pt idx="2">
                  <c:v>Infrastructure</c:v>
                </c:pt>
                <c:pt idx="3">
                  <c:v>International shipments</c:v>
                </c:pt>
                <c:pt idx="4">
                  <c:v>Logistics competence </c:v>
                </c:pt>
                <c:pt idx="5">
                  <c:v>Tracking &amp; tracing</c:v>
                </c:pt>
                <c:pt idx="6">
                  <c:v>Domestic logistics costs </c:v>
                </c:pt>
                <c:pt idx="7">
                  <c:v>Timeliness</c:v>
                </c:pt>
              </c:strCache>
            </c:strRef>
          </c:cat>
          <c:val>
            <c:numRef>
              <c:f>'[2]Figures 4 &amp; 5 (rank)'!$B$3:$I$3</c:f>
              <c:numCache>
                <c:formatCode>0</c:formatCode>
                <c:ptCount val="8"/>
                <c:pt idx="0">
                  <c:v>99</c:v>
                </c:pt>
                <c:pt idx="1">
                  <c:v>136</c:v>
                </c:pt>
                <c:pt idx="2">
                  <c:v>93</c:v>
                </c:pt>
                <c:pt idx="3">
                  <c:v>94</c:v>
                </c:pt>
                <c:pt idx="4">
                  <c:v>83</c:v>
                </c:pt>
                <c:pt idx="5">
                  <c:v>119</c:v>
                </c:pt>
                <c:pt idx="6">
                  <c:v>131</c:v>
                </c:pt>
                <c:pt idx="7">
                  <c:v>87</c:v>
                </c:pt>
              </c:numCache>
            </c:numRef>
          </c:val>
        </c:ser>
        <c:ser>
          <c:idx val="2"/>
          <c:order val="2"/>
          <c:tx>
            <c:strRef>
              <c:f>'[2]Figures 4 &amp; 5 (rank)'!$A$4</c:f>
              <c:strCache>
                <c:ptCount val="1"/>
                <c:pt idx="0">
                  <c:v>Ukraine</c:v>
                </c:pt>
              </c:strCache>
            </c:strRef>
          </c:tx>
          <c:spPr>
            <a:solidFill>
              <a:schemeClr val="accent3"/>
            </a:solidFill>
            <a:ln w="12700">
              <a:solidFill>
                <a:srgbClr val="000000"/>
              </a:solidFill>
              <a:prstDash val="solid"/>
            </a:ln>
          </c:spPr>
          <c:dLbls>
            <c:spPr>
              <a:noFill/>
              <a:ln w="25400">
                <a:noFill/>
              </a:ln>
            </c:spPr>
            <c:txPr>
              <a:bodyPr rot="-5400000" vert="horz"/>
              <a:lstStyle/>
              <a:p>
                <a:pPr algn="ctr">
                  <a:defRPr/>
                </a:pPr>
                <a:endParaRPr lang="en-US"/>
              </a:p>
            </c:txPr>
            <c:dLblPos val="outEnd"/>
            <c:showVal val="1"/>
          </c:dLbls>
          <c:cat>
            <c:strRef>
              <c:f>'[2]Figures 4 &amp; 5 (rank)'!$B$1:$I$1</c:f>
              <c:strCache>
                <c:ptCount val="8"/>
                <c:pt idx="0">
                  <c:v>Overall rank</c:v>
                </c:pt>
                <c:pt idx="1">
                  <c:v>Customs</c:v>
                </c:pt>
                <c:pt idx="2">
                  <c:v>Infrastructure</c:v>
                </c:pt>
                <c:pt idx="3">
                  <c:v>International shipments</c:v>
                </c:pt>
                <c:pt idx="4">
                  <c:v>Logistics competence </c:v>
                </c:pt>
                <c:pt idx="5">
                  <c:v>Tracking &amp; tracing</c:v>
                </c:pt>
                <c:pt idx="6">
                  <c:v>Domestic logistics costs </c:v>
                </c:pt>
                <c:pt idx="7">
                  <c:v>Timeliness</c:v>
                </c:pt>
              </c:strCache>
            </c:strRef>
          </c:cat>
          <c:val>
            <c:numRef>
              <c:f>'[2]Figures 4 &amp; 5 (rank)'!$B$4:$I$4</c:f>
              <c:numCache>
                <c:formatCode>0</c:formatCode>
                <c:ptCount val="8"/>
                <c:pt idx="0">
                  <c:v>73</c:v>
                </c:pt>
                <c:pt idx="1">
                  <c:v>97</c:v>
                </c:pt>
                <c:pt idx="2">
                  <c:v>74</c:v>
                </c:pt>
                <c:pt idx="3">
                  <c:v>83</c:v>
                </c:pt>
                <c:pt idx="4">
                  <c:v>90</c:v>
                </c:pt>
                <c:pt idx="5">
                  <c:v>81</c:v>
                </c:pt>
                <c:pt idx="6">
                  <c:v>21</c:v>
                </c:pt>
                <c:pt idx="7">
                  <c:v>55</c:v>
                </c:pt>
              </c:numCache>
            </c:numRef>
          </c:val>
        </c:ser>
        <c:ser>
          <c:idx val="3"/>
          <c:order val="3"/>
          <c:tx>
            <c:strRef>
              <c:f>'[2]Figures 4 &amp; 5 (rank)'!$A$5</c:f>
              <c:strCache>
                <c:ptCount val="1"/>
                <c:pt idx="0">
                  <c:v>Kazakhstan</c:v>
                </c:pt>
              </c:strCache>
            </c:strRef>
          </c:tx>
          <c:spPr>
            <a:solidFill>
              <a:schemeClr val="accent4"/>
            </a:solidFill>
            <a:ln w="12700">
              <a:solidFill>
                <a:srgbClr val="000000"/>
              </a:solidFill>
              <a:prstDash val="solid"/>
            </a:ln>
          </c:spPr>
          <c:dLbls>
            <c:spPr>
              <a:noFill/>
              <a:ln w="25400">
                <a:noFill/>
              </a:ln>
            </c:spPr>
            <c:txPr>
              <a:bodyPr rot="-5400000" vert="horz"/>
              <a:lstStyle/>
              <a:p>
                <a:pPr algn="ctr">
                  <a:defRPr/>
                </a:pPr>
                <a:endParaRPr lang="en-US"/>
              </a:p>
            </c:txPr>
            <c:dLblPos val="outEnd"/>
            <c:showVal val="1"/>
          </c:dLbls>
          <c:cat>
            <c:strRef>
              <c:f>'[2]Figures 4 &amp; 5 (rank)'!$B$1:$I$1</c:f>
              <c:strCache>
                <c:ptCount val="8"/>
                <c:pt idx="0">
                  <c:v>Overall rank</c:v>
                </c:pt>
                <c:pt idx="1">
                  <c:v>Customs</c:v>
                </c:pt>
                <c:pt idx="2">
                  <c:v>Infrastructure</c:v>
                </c:pt>
                <c:pt idx="3">
                  <c:v>International shipments</c:v>
                </c:pt>
                <c:pt idx="4">
                  <c:v>Logistics competence </c:v>
                </c:pt>
                <c:pt idx="5">
                  <c:v>Tracking &amp; tracing</c:v>
                </c:pt>
                <c:pt idx="6">
                  <c:v>Domestic logistics costs </c:v>
                </c:pt>
                <c:pt idx="7">
                  <c:v>Timeliness</c:v>
                </c:pt>
              </c:strCache>
            </c:strRef>
          </c:cat>
          <c:val>
            <c:numRef>
              <c:f>'[2]Figures 4 &amp; 5 (rank)'!$B$5:$I$5</c:f>
              <c:numCache>
                <c:formatCode>0</c:formatCode>
                <c:ptCount val="8"/>
                <c:pt idx="0">
                  <c:v>133</c:v>
                </c:pt>
                <c:pt idx="1">
                  <c:v>139</c:v>
                </c:pt>
                <c:pt idx="2">
                  <c:v>138</c:v>
                </c:pt>
                <c:pt idx="3">
                  <c:v>129</c:v>
                </c:pt>
                <c:pt idx="4">
                  <c:v>126</c:v>
                </c:pt>
                <c:pt idx="5">
                  <c:v>117</c:v>
                </c:pt>
                <c:pt idx="6">
                  <c:v>96</c:v>
                </c:pt>
                <c:pt idx="7">
                  <c:v>120</c:v>
                </c:pt>
              </c:numCache>
            </c:numRef>
          </c:val>
        </c:ser>
        <c:ser>
          <c:idx val="4"/>
          <c:order val="4"/>
          <c:tx>
            <c:strRef>
              <c:f>'[2]Figures 4 &amp; 5 (rank)'!$A$6</c:f>
              <c:strCache>
                <c:ptCount val="1"/>
                <c:pt idx="0">
                  <c:v>Moldova</c:v>
                </c:pt>
              </c:strCache>
            </c:strRef>
          </c:tx>
          <c:spPr>
            <a:solidFill>
              <a:schemeClr val="accent5"/>
            </a:solidFill>
            <a:ln w="12700">
              <a:solidFill>
                <a:srgbClr val="000000"/>
              </a:solidFill>
              <a:prstDash val="solid"/>
            </a:ln>
          </c:spPr>
          <c:dLbls>
            <c:spPr>
              <a:noFill/>
              <a:ln w="25400">
                <a:noFill/>
              </a:ln>
            </c:spPr>
            <c:txPr>
              <a:bodyPr rot="-5400000" vert="horz"/>
              <a:lstStyle/>
              <a:p>
                <a:pPr algn="ctr">
                  <a:defRPr/>
                </a:pPr>
                <a:endParaRPr lang="en-US"/>
              </a:p>
            </c:txPr>
            <c:dLblPos val="outEnd"/>
            <c:showVal val="1"/>
          </c:dLbls>
          <c:cat>
            <c:strRef>
              <c:f>'[2]Figures 4 &amp; 5 (rank)'!$B$1:$I$1</c:f>
              <c:strCache>
                <c:ptCount val="8"/>
                <c:pt idx="0">
                  <c:v>Overall rank</c:v>
                </c:pt>
                <c:pt idx="1">
                  <c:v>Customs</c:v>
                </c:pt>
                <c:pt idx="2">
                  <c:v>Infrastructure</c:v>
                </c:pt>
                <c:pt idx="3">
                  <c:v>International shipments</c:v>
                </c:pt>
                <c:pt idx="4">
                  <c:v>Logistics competence </c:v>
                </c:pt>
                <c:pt idx="5">
                  <c:v>Tracking &amp; tracing</c:v>
                </c:pt>
                <c:pt idx="6">
                  <c:v>Domestic logistics costs </c:v>
                </c:pt>
                <c:pt idx="7">
                  <c:v>Timeliness</c:v>
                </c:pt>
              </c:strCache>
            </c:strRef>
          </c:cat>
          <c:val>
            <c:numRef>
              <c:f>'[2]Figures 4 &amp; 5 (rank)'!$B$6:$I$6</c:f>
              <c:numCache>
                <c:formatCode>0</c:formatCode>
                <c:ptCount val="8"/>
                <c:pt idx="0">
                  <c:v>106</c:v>
                </c:pt>
                <c:pt idx="1">
                  <c:v>110</c:v>
                </c:pt>
                <c:pt idx="2">
                  <c:v>128</c:v>
                </c:pt>
                <c:pt idx="3">
                  <c:v>105</c:v>
                </c:pt>
                <c:pt idx="4">
                  <c:v>112</c:v>
                </c:pt>
                <c:pt idx="5">
                  <c:v>86</c:v>
                </c:pt>
                <c:pt idx="6">
                  <c:v>78</c:v>
                </c:pt>
                <c:pt idx="7">
                  <c:v>111</c:v>
                </c:pt>
              </c:numCache>
            </c:numRef>
          </c:val>
        </c:ser>
        <c:dLbls>
          <c:showVal val="1"/>
        </c:dLbls>
        <c:axId val="189525376"/>
        <c:axId val="189609088"/>
      </c:barChart>
      <c:catAx>
        <c:axId val="189525376"/>
        <c:scaling>
          <c:orientation val="minMax"/>
        </c:scaling>
        <c:axPos val="b"/>
        <c:numFmt formatCode="General" sourceLinked="1"/>
        <c:tickLblPos val="nextTo"/>
        <c:spPr>
          <a:ln w="3175">
            <a:solidFill>
              <a:srgbClr val="000000"/>
            </a:solidFill>
            <a:prstDash val="solid"/>
          </a:ln>
        </c:spPr>
        <c:txPr>
          <a:bodyPr rot="0" vert="horz"/>
          <a:lstStyle/>
          <a:p>
            <a:pPr>
              <a:defRPr/>
            </a:pPr>
            <a:endParaRPr lang="en-US"/>
          </a:p>
        </c:txPr>
        <c:crossAx val="189609088"/>
        <c:crosses val="autoZero"/>
        <c:auto val="1"/>
        <c:lblAlgn val="ctr"/>
        <c:lblOffset val="100"/>
        <c:tickLblSkip val="1"/>
        <c:tickMarkSkip val="1"/>
      </c:catAx>
      <c:valAx>
        <c:axId val="189609088"/>
        <c:scaling>
          <c:orientation val="minMax"/>
          <c:min val="1"/>
        </c:scaling>
        <c:axPos val="l"/>
        <c:majorGridlines>
          <c:spPr>
            <a:ln w="3175">
              <a:solidFill>
                <a:srgbClr val="808080"/>
              </a:solidFill>
              <a:prstDash val="sysDash"/>
            </a:ln>
          </c:spPr>
        </c:majorGridlines>
        <c:numFmt formatCode="0" sourceLinked="1"/>
        <c:tickLblPos val="nextTo"/>
        <c:spPr>
          <a:ln w="3175">
            <a:solidFill>
              <a:srgbClr val="000000"/>
            </a:solidFill>
            <a:prstDash val="solid"/>
          </a:ln>
        </c:spPr>
        <c:txPr>
          <a:bodyPr rot="0" vert="horz"/>
          <a:lstStyle/>
          <a:p>
            <a:pPr>
              <a:defRPr/>
            </a:pPr>
            <a:endParaRPr lang="en-US"/>
          </a:p>
        </c:txPr>
        <c:crossAx val="189525376"/>
        <c:crosses val="autoZero"/>
        <c:crossBetween val="between"/>
      </c:valAx>
      <c:spPr>
        <a:solidFill>
          <a:srgbClr val="FFFFFF"/>
        </a:solidFill>
        <a:ln w="12700">
          <a:solidFill>
            <a:srgbClr val="808080"/>
          </a:solidFill>
          <a:prstDash val="solid"/>
        </a:ln>
      </c:spPr>
    </c:plotArea>
    <c:legend>
      <c:legendPos val="t"/>
      <c:layout>
        <c:manualLayout>
          <c:xMode val="edge"/>
          <c:yMode val="edge"/>
          <c:x val="0.30434782608695682"/>
          <c:y val="2.0833386315375308E-2"/>
          <c:w val="0.4271099744245585"/>
          <c:h val="6.2500158946123624E-2"/>
        </c:manualLayout>
      </c:layout>
      <c:spPr>
        <a:solidFill>
          <a:srgbClr val="FFFFFF"/>
        </a:solidFill>
        <a:ln w="3175">
          <a:solidFill>
            <a:srgbClr val="000000"/>
          </a:solidFill>
          <a:prstDash val="solid"/>
        </a:ln>
      </c:spPr>
    </c:legend>
    <c:plotVisOnly val="1"/>
    <c:dispBlanksAs val="gap"/>
  </c:chart>
  <c:spPr>
    <a:solidFill>
      <a:srgbClr val="FFFFFF"/>
    </a:solidFill>
    <a:ln w="9525">
      <a:noFill/>
    </a:ln>
  </c:spPr>
  <c:txPr>
    <a:bodyPr/>
    <a:lstStyle/>
    <a:p>
      <a:pPr>
        <a:defRPr sz="800" b="0" i="0" u="none" strike="noStrike" baseline="0">
          <a:solidFill>
            <a:srgbClr val="000000"/>
          </a:solidFill>
          <a:latin typeface="+mn-lt"/>
          <a:ea typeface="Arial"/>
          <a:cs typeface="Arial"/>
        </a:defRPr>
      </a:pPr>
      <a:endParaRPr lang="en-US"/>
    </a:p>
  </c:txPr>
  <c:externalData r:id="rId1"/>
</c:chartSpace>
</file>

<file path=word/drawings/drawing1.xml><?xml version="1.0" encoding="utf-8"?>
<c:userShapes xmlns:c="http://schemas.openxmlformats.org/drawingml/2006/chart">
  <cdr:relSizeAnchor xmlns:cdr="http://schemas.openxmlformats.org/drawingml/2006/chartDrawing">
    <cdr:from>
      <cdr:x>0.04775</cdr:x>
      <cdr:y>0.50575</cdr:y>
    </cdr:from>
    <cdr:to>
      <cdr:x>0.99025</cdr:x>
      <cdr:y>0.50575</cdr:y>
    </cdr:to>
    <cdr:sp macro="" textlink="">
      <cdr:nvSpPr>
        <cdr:cNvPr id="3073" name="Line 1"/>
        <cdr:cNvSpPr>
          <a:spLocks xmlns:a="http://schemas.openxmlformats.org/drawingml/2006/main" noChangeShapeType="1"/>
        </cdr:cNvSpPr>
      </cdr:nvSpPr>
      <cdr:spPr bwMode="auto">
        <a:xfrm xmlns:a="http://schemas.openxmlformats.org/drawingml/2006/main">
          <a:off x="409792" y="2952986"/>
          <a:ext cx="8088558" cy="0"/>
        </a:xfrm>
        <a:prstGeom xmlns:a="http://schemas.openxmlformats.org/drawingml/2006/main" prst="line">
          <a:avLst/>
        </a:prstGeom>
        <a:noFill xmlns:a="http://schemas.openxmlformats.org/drawingml/2006/main"/>
        <a:ln xmlns:a="http://schemas.openxmlformats.org/drawingml/2006/main" w="9525">
          <a:solidFill>
            <a:srgbClr val="000000"/>
          </a:solidFill>
          <a:prstDash val="dash"/>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0.32417</cdr:x>
      <cdr:y>0</cdr:y>
    </cdr:from>
    <cdr:to>
      <cdr:x>0.55728</cdr:x>
      <cdr:y>0.06698</cdr:y>
    </cdr:to>
    <cdr:sp macro="" textlink="">
      <cdr:nvSpPr>
        <cdr:cNvPr id="3074" name="Text Box 2"/>
        <cdr:cNvSpPr txBox="1">
          <a:spLocks xmlns:a="http://schemas.openxmlformats.org/drawingml/2006/main" noChangeArrowheads="1"/>
        </cdr:cNvSpPr>
      </cdr:nvSpPr>
      <cdr:spPr bwMode="auto">
        <a:xfrm xmlns:a="http://schemas.openxmlformats.org/drawingml/2006/main">
          <a:off x="910888" y="0"/>
          <a:ext cx="654988" cy="126317"/>
        </a:xfrm>
        <a:prstGeom xmlns:a="http://schemas.openxmlformats.org/drawingml/2006/main" prst="rect">
          <a:avLst/>
        </a:prstGeom>
        <a:noFill xmlns:a="http://schemas.openxmlformats.org/drawingml/2006/main"/>
        <a:ln xmlns:a="http://schemas.openxmlformats.org/drawingml/2006/main" w="9525">
          <a:solidFill>
            <a:srgbClr val="000000"/>
          </a:solidFill>
          <a:miter lim="800000"/>
          <a:headEnd/>
          <a:tailEnd/>
        </a:ln>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0">
            <a:defRPr sz="1000"/>
          </a:pPr>
          <a:r>
            <a:rPr lang="en-US" sz="700" b="0" i="0" u="none" strike="noStrike" baseline="0">
              <a:solidFill>
                <a:srgbClr val="000000"/>
              </a:solidFill>
              <a:latin typeface="Arial"/>
              <a:cs typeface="Arial"/>
            </a:rPr>
            <a:t> Average = 138 </a:t>
          </a:r>
        </a:p>
      </cdr:txBody>
    </cdr:sp>
  </cdr:relSizeAnchor>
  <cdr:relSizeAnchor xmlns:cdr="http://schemas.openxmlformats.org/drawingml/2006/chartDrawing">
    <cdr:from>
      <cdr:x>0.45603</cdr:x>
      <cdr:y>0.09091</cdr:y>
    </cdr:from>
    <cdr:to>
      <cdr:x>0.4723</cdr:x>
      <cdr:y>0.4798</cdr:y>
    </cdr:to>
    <cdr:sp macro="" textlink="">
      <cdr:nvSpPr>
        <cdr:cNvPr id="3075" name="Line 3"/>
        <cdr:cNvSpPr>
          <a:spLocks xmlns:a="http://schemas.openxmlformats.org/drawingml/2006/main" noChangeShapeType="1"/>
        </cdr:cNvSpPr>
      </cdr:nvSpPr>
      <cdr:spPr bwMode="auto">
        <a:xfrm xmlns:a="http://schemas.openxmlformats.org/drawingml/2006/main">
          <a:off x="1281386" y="171450"/>
          <a:ext cx="45719" cy="733425"/>
        </a:xfrm>
        <a:prstGeom xmlns:a="http://schemas.openxmlformats.org/drawingml/2006/main" prst="line">
          <a:avLst/>
        </a:prstGeom>
        <a:noFill xmlns:a="http://schemas.openxmlformats.org/drawingml/2006/main"/>
        <a:ln xmlns:a="http://schemas.openxmlformats.org/drawingml/2006/main" w="9525">
          <a:solidFill>
            <a:srgbClr val="000000"/>
          </a:solidFill>
          <a:round/>
          <a:headEnd/>
          <a:tailEnd type="triangle" w="med" len="med"/>
        </a:ln>
      </cdr:spPr>
      <cdr:txBody>
        <a:bodyPr xmlns:a="http://schemas.openxmlformats.org/drawingml/2006/main"/>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3DA01E-A4B7-430A-8F54-BFCDE0BD2F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91</Pages>
  <Words>28860</Words>
  <Characters>164507</Characters>
  <Application>Microsoft Office Word</Application>
  <DocSecurity>0</DocSecurity>
  <Lines>1370</Lines>
  <Paragraphs>385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192982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2011-02-02T15:02:00Z</dcterms:created>
  <dcterms:modified xsi:type="dcterms:W3CDTF">2011-02-02T15:02:00Z</dcterms:modified>
</cp:coreProperties>
</file>