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theme/themeOverride10.xml" ContentType="application/vnd.openxmlformats-officedocument.themeOverrid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6.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17.xml" ContentType="application/vnd.openxmlformats-officedocument.themeOverride+xml"/>
  <Override PartName="/word/charts/chart3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5.xml" ContentType="application/vnd.openxmlformats-officedocument.drawingml.chart+xml"/>
  <Override PartName="/word/theme/themeOverride18.xml" ContentType="application/vnd.openxmlformats-officedocument.themeOverride+xml"/>
  <Override PartName="/word/charts/chart36.xml" ContentType="application/vnd.openxmlformats-officedocument.drawingml.chart+xml"/>
  <Override PartName="/word/theme/themeOverride1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1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9479"/>
        <w:gridCol w:w="110"/>
        <w:gridCol w:w="221"/>
      </w:tblGrid>
      <w:tr w:rsidR="00903384" w:rsidRPr="004B2A73" w14:paraId="73BA5501" w14:textId="77777777" w:rsidTr="002A331D">
        <w:trPr>
          <w:gridAfter w:val="1"/>
          <w:wAfter w:w="221" w:type="dxa"/>
        </w:trPr>
        <w:tc>
          <w:tcPr>
            <w:tcW w:w="9589" w:type="dxa"/>
            <w:gridSpan w:val="2"/>
            <w:tcBorders>
              <w:top w:val="nil"/>
              <w:left w:val="nil"/>
              <w:bottom w:val="nil"/>
              <w:right w:val="nil"/>
            </w:tcBorders>
            <w:shd w:val="clear" w:color="auto" w:fill="FFFFFF"/>
            <w:tcMar>
              <w:top w:w="50" w:type="dxa"/>
              <w:left w:w="50" w:type="dxa"/>
              <w:bottom w:w="50" w:type="dxa"/>
              <w:right w:w="50" w:type="dxa"/>
            </w:tcMar>
            <w:vAlign w:val="center"/>
          </w:tcPr>
          <w:p w14:paraId="05C50E18" w14:textId="71806D69" w:rsidR="00903384" w:rsidRPr="004B2A73" w:rsidRDefault="00903384" w:rsidP="002A331D">
            <w:pPr>
              <w:rPr>
                <w:rFonts w:ascii="Calibri" w:hAnsi="Calibri"/>
                <w:b/>
                <w:sz w:val="20"/>
                <w:szCs w:val="20"/>
              </w:rPr>
            </w:pPr>
            <w:r w:rsidRPr="0018123A">
              <w:rPr>
                <w:rFonts w:ascii="Calibri" w:hAnsi="Calibri"/>
                <w:b/>
                <w:sz w:val="20"/>
                <w:szCs w:val="20"/>
              </w:rPr>
              <w:t xml:space="preserve">Report No: </w:t>
            </w:r>
            <w:bookmarkStart w:id="0" w:name="_GoBack"/>
            <w:r w:rsidRPr="0018123A">
              <w:rPr>
                <w:rFonts w:ascii="Calibri" w:hAnsi="Calibri"/>
                <w:b/>
                <w:sz w:val="20"/>
                <w:szCs w:val="20"/>
              </w:rPr>
              <w:t>ACS17308</w:t>
            </w:r>
            <w:bookmarkEnd w:id="0"/>
          </w:p>
        </w:tc>
      </w:tr>
      <w:tr w:rsidR="00903384" w:rsidRPr="004B2A73" w14:paraId="3A8FC387" w14:textId="77777777" w:rsidTr="002A331D">
        <w:tc>
          <w:tcPr>
            <w:tcW w:w="9810" w:type="dxa"/>
            <w:gridSpan w:val="3"/>
            <w:tcBorders>
              <w:top w:val="nil"/>
              <w:left w:val="nil"/>
              <w:bottom w:val="nil"/>
              <w:right w:val="nil"/>
            </w:tcBorders>
            <w:shd w:val="clear" w:color="auto" w:fill="FFFFFF"/>
            <w:tcMar>
              <w:top w:w="50" w:type="dxa"/>
              <w:left w:w="50" w:type="dxa"/>
              <w:bottom w:w="50" w:type="dxa"/>
              <w:right w:w="50" w:type="dxa"/>
            </w:tcMar>
            <w:vAlign w:val="center"/>
          </w:tcPr>
          <w:p w14:paraId="4E5C0099" w14:textId="77777777" w:rsidR="00903384" w:rsidRPr="004B2A73" w:rsidRDefault="00903384" w:rsidP="002A331D">
            <w:pPr>
              <w:rPr>
                <w:rFonts w:ascii="Calibri" w:hAnsi="Calibri" w:cs="Times"/>
                <w:color w:val="FFFFFF"/>
                <w:sz w:val="10"/>
                <w:szCs w:val="10"/>
              </w:rPr>
            </w:pPr>
            <w:r w:rsidRPr="004B2A73">
              <w:rPr>
                <w:rFonts w:ascii="Calibri" w:hAnsi="Calibri" w:cs="Times"/>
                <w:color w:val="FFFFFF"/>
                <w:sz w:val="10"/>
                <w:szCs w:val="10"/>
              </w:rPr>
              <w:t>.</w:t>
            </w:r>
          </w:p>
        </w:tc>
      </w:tr>
      <w:tr w:rsidR="00903384" w:rsidRPr="004B2A73" w14:paraId="76395A5A" w14:textId="77777777" w:rsidTr="002A331D">
        <w:trPr>
          <w:gridAfter w:val="1"/>
          <w:wAfter w:w="221" w:type="dxa"/>
        </w:trPr>
        <w:tc>
          <w:tcPr>
            <w:tcW w:w="9589" w:type="dxa"/>
            <w:gridSpan w:val="2"/>
            <w:tcBorders>
              <w:top w:val="nil"/>
              <w:left w:val="nil"/>
              <w:bottom w:val="nil"/>
              <w:right w:val="nil"/>
            </w:tcBorders>
            <w:shd w:val="clear" w:color="auto" w:fill="FFFFFF"/>
            <w:tcMar>
              <w:top w:w="50" w:type="dxa"/>
              <w:left w:w="50" w:type="dxa"/>
              <w:bottom w:w="50" w:type="dxa"/>
              <w:right w:w="50" w:type="dxa"/>
            </w:tcMar>
            <w:vAlign w:val="center"/>
          </w:tcPr>
          <w:p w14:paraId="384CD2A2" w14:textId="77777777" w:rsidR="00903384" w:rsidRPr="004B2A73" w:rsidRDefault="00903384" w:rsidP="002A331D">
            <w:pPr>
              <w:rPr>
                <w:rFonts w:ascii="Calibri" w:hAnsi="Calibri"/>
                <w:sz w:val="48"/>
                <w:szCs w:val="48"/>
              </w:rPr>
            </w:pPr>
            <w:r w:rsidRPr="004B2A73">
              <w:rPr>
                <w:rFonts w:ascii="Calibri" w:hAnsi="Calibri"/>
                <w:sz w:val="48"/>
                <w:szCs w:val="48"/>
              </w:rPr>
              <w:t>Western Africa</w:t>
            </w:r>
          </w:p>
        </w:tc>
      </w:tr>
      <w:tr w:rsidR="00903384" w:rsidRPr="004B2A73" w14:paraId="33C6D2AF" w14:textId="77777777" w:rsidTr="002A331D">
        <w:trPr>
          <w:gridAfter w:val="1"/>
          <w:wAfter w:w="221" w:type="dxa"/>
        </w:trPr>
        <w:tc>
          <w:tcPr>
            <w:tcW w:w="9589" w:type="dxa"/>
            <w:gridSpan w:val="2"/>
            <w:tcBorders>
              <w:top w:val="nil"/>
              <w:left w:val="nil"/>
              <w:bottom w:val="nil"/>
              <w:right w:val="nil"/>
            </w:tcBorders>
            <w:shd w:val="clear" w:color="auto" w:fill="FFFFFF"/>
            <w:tcMar>
              <w:top w:w="50" w:type="dxa"/>
              <w:left w:w="50" w:type="dxa"/>
              <w:bottom w:w="50" w:type="dxa"/>
              <w:right w:w="50" w:type="dxa"/>
            </w:tcMar>
            <w:vAlign w:val="center"/>
          </w:tcPr>
          <w:p w14:paraId="114C362B" w14:textId="4935CBA3" w:rsidR="00903384" w:rsidRPr="004B2A73" w:rsidRDefault="00900688" w:rsidP="002A331D">
            <w:pPr>
              <w:rPr>
                <w:rFonts w:ascii="Calibri" w:hAnsi="Calibri"/>
                <w:sz w:val="48"/>
                <w:szCs w:val="48"/>
              </w:rPr>
            </w:pPr>
            <w:r>
              <w:rPr>
                <w:rFonts w:ascii="Calibri" w:hAnsi="Calibri"/>
                <w:sz w:val="48"/>
                <w:szCs w:val="48"/>
              </w:rPr>
              <w:t xml:space="preserve">Container Terminals Concessions - </w:t>
            </w:r>
            <w:r w:rsidR="00903384" w:rsidRPr="004B2A73">
              <w:rPr>
                <w:rFonts w:ascii="Calibri" w:hAnsi="Calibri"/>
                <w:sz w:val="48"/>
                <w:szCs w:val="48"/>
              </w:rPr>
              <w:t>Making the Most of Ports in West Africa</w:t>
            </w:r>
          </w:p>
        </w:tc>
      </w:tr>
      <w:tr w:rsidR="00903384" w:rsidRPr="004B2A73" w14:paraId="60CA39C2" w14:textId="77777777" w:rsidTr="002A331D">
        <w:trPr>
          <w:gridAfter w:val="1"/>
          <w:wAfter w:w="221" w:type="dxa"/>
        </w:trPr>
        <w:tc>
          <w:tcPr>
            <w:tcW w:w="9589" w:type="dxa"/>
            <w:gridSpan w:val="2"/>
            <w:tcBorders>
              <w:top w:val="nil"/>
              <w:left w:val="nil"/>
              <w:bottom w:val="nil"/>
              <w:right w:val="nil"/>
            </w:tcBorders>
            <w:shd w:val="clear" w:color="auto" w:fill="FFFFFF"/>
            <w:tcMar>
              <w:top w:w="50" w:type="dxa"/>
              <w:left w:w="50" w:type="dxa"/>
              <w:bottom w:w="50" w:type="dxa"/>
              <w:right w:w="50" w:type="dxa"/>
            </w:tcMar>
            <w:vAlign w:val="center"/>
          </w:tcPr>
          <w:p w14:paraId="6D8D4CDA" w14:textId="77777777" w:rsidR="00903384" w:rsidRPr="004B2A73" w:rsidRDefault="00903384" w:rsidP="002A331D">
            <w:pPr>
              <w:rPr>
                <w:rFonts w:ascii="Calibri" w:hAnsi="Calibri"/>
                <w:sz w:val="34"/>
                <w:szCs w:val="34"/>
              </w:rPr>
            </w:pPr>
          </w:p>
        </w:tc>
      </w:tr>
      <w:tr w:rsidR="00903384" w:rsidRPr="004B2A73" w14:paraId="086A81BC" w14:textId="77777777" w:rsidTr="002A331D">
        <w:tc>
          <w:tcPr>
            <w:tcW w:w="9810" w:type="dxa"/>
            <w:gridSpan w:val="3"/>
            <w:tcBorders>
              <w:top w:val="nil"/>
              <w:left w:val="nil"/>
              <w:bottom w:val="nil"/>
              <w:right w:val="nil"/>
            </w:tcBorders>
            <w:shd w:val="clear" w:color="auto" w:fill="FFFFFF"/>
            <w:tcMar>
              <w:top w:w="50" w:type="dxa"/>
              <w:left w:w="50" w:type="dxa"/>
              <w:bottom w:w="50" w:type="dxa"/>
              <w:right w:w="50" w:type="dxa"/>
            </w:tcMar>
            <w:vAlign w:val="center"/>
          </w:tcPr>
          <w:p w14:paraId="4916BD57" w14:textId="77777777" w:rsidR="00903384" w:rsidRPr="004B2A73" w:rsidRDefault="00903384" w:rsidP="002A331D">
            <w:pPr>
              <w:rPr>
                <w:rFonts w:ascii="Calibri" w:hAnsi="Calibri" w:cs="Times"/>
                <w:color w:val="FFFFFF"/>
                <w:sz w:val="60"/>
                <w:szCs w:val="60"/>
              </w:rPr>
            </w:pPr>
            <w:r w:rsidRPr="004B2A73">
              <w:rPr>
                <w:rFonts w:ascii="Calibri" w:hAnsi="Calibri" w:cs="Times"/>
                <w:color w:val="FFFFFF"/>
                <w:sz w:val="60"/>
                <w:szCs w:val="60"/>
              </w:rPr>
              <w:t>.</w:t>
            </w:r>
          </w:p>
        </w:tc>
      </w:tr>
      <w:tr w:rsidR="00903384" w:rsidRPr="004B2A73" w14:paraId="04E5D605" w14:textId="77777777" w:rsidTr="002A331D">
        <w:trPr>
          <w:gridAfter w:val="1"/>
          <w:wAfter w:w="221" w:type="dxa"/>
        </w:trPr>
        <w:tc>
          <w:tcPr>
            <w:tcW w:w="9589" w:type="dxa"/>
            <w:gridSpan w:val="2"/>
            <w:tcBorders>
              <w:top w:val="nil"/>
              <w:left w:val="nil"/>
              <w:bottom w:val="nil"/>
              <w:right w:val="nil"/>
            </w:tcBorders>
            <w:shd w:val="clear" w:color="auto" w:fill="FFFFFF"/>
            <w:tcMar>
              <w:top w:w="50" w:type="dxa"/>
              <w:left w:w="50" w:type="dxa"/>
              <w:bottom w:w="50" w:type="dxa"/>
              <w:right w:w="50" w:type="dxa"/>
            </w:tcMar>
            <w:vAlign w:val="center"/>
          </w:tcPr>
          <w:p w14:paraId="78FFB594" w14:textId="74F29AAD" w:rsidR="00903384" w:rsidRPr="004B2A73" w:rsidRDefault="001E2CC6" w:rsidP="00E86286">
            <w:pPr>
              <w:rPr>
                <w:rFonts w:ascii="Calibri" w:hAnsi="Calibri"/>
                <w:sz w:val="20"/>
                <w:szCs w:val="20"/>
              </w:rPr>
            </w:pPr>
            <w:r>
              <w:rPr>
                <w:rFonts w:ascii="Calibri" w:hAnsi="Calibri"/>
                <w:sz w:val="20"/>
                <w:szCs w:val="20"/>
              </w:rPr>
              <w:t>June 16</w:t>
            </w:r>
            <w:r w:rsidR="00E86286" w:rsidRPr="00E86286">
              <w:rPr>
                <w:rFonts w:ascii="Calibri" w:hAnsi="Calibri"/>
                <w:sz w:val="20"/>
                <w:szCs w:val="20"/>
                <w:vertAlign w:val="superscript"/>
              </w:rPr>
              <w:t>th</w:t>
            </w:r>
            <w:r w:rsidR="007B5B4D">
              <w:rPr>
                <w:rFonts w:ascii="Calibri" w:hAnsi="Calibri"/>
                <w:sz w:val="20"/>
                <w:szCs w:val="20"/>
              </w:rPr>
              <w:t>, 2017</w:t>
            </w:r>
          </w:p>
        </w:tc>
      </w:tr>
      <w:tr w:rsidR="00903384" w:rsidRPr="004B2A73" w14:paraId="214047BF" w14:textId="77777777" w:rsidTr="002A331D">
        <w:tc>
          <w:tcPr>
            <w:tcW w:w="9810" w:type="dxa"/>
            <w:gridSpan w:val="3"/>
            <w:tcBorders>
              <w:top w:val="nil"/>
              <w:left w:val="nil"/>
              <w:bottom w:val="nil"/>
              <w:right w:val="nil"/>
            </w:tcBorders>
            <w:shd w:val="clear" w:color="auto" w:fill="FFFFFF"/>
            <w:tcMar>
              <w:top w:w="50" w:type="dxa"/>
              <w:left w:w="50" w:type="dxa"/>
              <w:bottom w:w="50" w:type="dxa"/>
              <w:right w:w="50" w:type="dxa"/>
            </w:tcMar>
            <w:vAlign w:val="center"/>
          </w:tcPr>
          <w:p w14:paraId="00503CFC" w14:textId="77777777" w:rsidR="00903384" w:rsidRPr="004B2A73" w:rsidRDefault="00903384" w:rsidP="002A331D">
            <w:pPr>
              <w:rPr>
                <w:rFonts w:ascii="Calibri" w:hAnsi="Calibri" w:cs="Times"/>
                <w:color w:val="FFFFFF"/>
                <w:sz w:val="60"/>
                <w:szCs w:val="60"/>
              </w:rPr>
            </w:pPr>
            <w:r w:rsidRPr="004B2A73">
              <w:rPr>
                <w:rFonts w:ascii="Calibri" w:hAnsi="Calibri" w:cs="Times"/>
                <w:color w:val="FFFFFF"/>
                <w:sz w:val="60"/>
                <w:szCs w:val="60"/>
              </w:rPr>
              <w:t>.</w:t>
            </w:r>
          </w:p>
        </w:tc>
      </w:tr>
      <w:tr w:rsidR="00903384" w:rsidRPr="004B2A73" w14:paraId="2592B816" w14:textId="77777777" w:rsidTr="002A331D">
        <w:trPr>
          <w:gridAfter w:val="1"/>
          <w:wAfter w:w="221" w:type="dxa"/>
        </w:trPr>
        <w:tc>
          <w:tcPr>
            <w:tcW w:w="9589" w:type="dxa"/>
            <w:gridSpan w:val="2"/>
            <w:tcBorders>
              <w:top w:val="nil"/>
              <w:left w:val="nil"/>
              <w:bottom w:val="nil"/>
              <w:right w:val="nil"/>
            </w:tcBorders>
            <w:shd w:val="clear" w:color="auto" w:fill="FFFFFF"/>
            <w:tcMar>
              <w:top w:w="50" w:type="dxa"/>
              <w:left w:w="50" w:type="dxa"/>
              <w:bottom w:w="50" w:type="dxa"/>
              <w:right w:w="50" w:type="dxa"/>
            </w:tcMar>
            <w:vAlign w:val="center"/>
          </w:tcPr>
          <w:p w14:paraId="3A0D26B5" w14:textId="14DB77D6" w:rsidR="00903384" w:rsidRPr="004B2A73" w:rsidRDefault="00903384" w:rsidP="00E86286">
            <w:pPr>
              <w:rPr>
                <w:rFonts w:ascii="Calibri" w:hAnsi="Calibri"/>
                <w:sz w:val="20"/>
                <w:szCs w:val="20"/>
              </w:rPr>
            </w:pPr>
            <w:r w:rsidRPr="004B2A73">
              <w:rPr>
                <w:rFonts w:ascii="Calibri" w:hAnsi="Calibri"/>
                <w:sz w:val="20"/>
                <w:szCs w:val="20"/>
              </w:rPr>
              <w:t>GTI0</w:t>
            </w:r>
            <w:r w:rsidR="00E86286">
              <w:rPr>
                <w:rFonts w:ascii="Calibri" w:hAnsi="Calibri"/>
                <w:sz w:val="20"/>
                <w:szCs w:val="20"/>
              </w:rPr>
              <w:t>8</w:t>
            </w:r>
          </w:p>
        </w:tc>
      </w:tr>
      <w:tr w:rsidR="00903384" w:rsidRPr="004B2A73" w14:paraId="6AE6DBD9" w14:textId="77777777" w:rsidTr="002A331D">
        <w:trPr>
          <w:gridAfter w:val="1"/>
          <w:wAfter w:w="221" w:type="dxa"/>
        </w:trPr>
        <w:tc>
          <w:tcPr>
            <w:tcW w:w="9589" w:type="dxa"/>
            <w:gridSpan w:val="2"/>
            <w:tcBorders>
              <w:top w:val="nil"/>
              <w:left w:val="nil"/>
              <w:bottom w:val="nil"/>
              <w:right w:val="nil"/>
            </w:tcBorders>
            <w:shd w:val="clear" w:color="auto" w:fill="FFFFFF"/>
            <w:tcMar>
              <w:top w:w="50" w:type="dxa"/>
              <w:left w:w="50" w:type="dxa"/>
              <w:bottom w:w="50" w:type="dxa"/>
              <w:right w:w="50" w:type="dxa"/>
            </w:tcMar>
            <w:vAlign w:val="center"/>
          </w:tcPr>
          <w:p w14:paraId="08ACDEAA" w14:textId="77777777" w:rsidR="00903384" w:rsidRPr="004B2A73" w:rsidRDefault="00903384" w:rsidP="002A331D">
            <w:pPr>
              <w:rPr>
                <w:rFonts w:ascii="Calibri" w:hAnsi="Calibri"/>
                <w:sz w:val="20"/>
                <w:szCs w:val="20"/>
              </w:rPr>
            </w:pPr>
            <w:r w:rsidRPr="004B2A73">
              <w:rPr>
                <w:rFonts w:ascii="Calibri" w:hAnsi="Calibri"/>
                <w:sz w:val="20"/>
                <w:szCs w:val="20"/>
              </w:rPr>
              <w:t>AFRICA</w:t>
            </w:r>
          </w:p>
        </w:tc>
      </w:tr>
      <w:tr w:rsidR="00903384" w:rsidRPr="004B2A73" w14:paraId="7E69447B" w14:textId="77777777" w:rsidTr="002A331D">
        <w:tc>
          <w:tcPr>
            <w:tcW w:w="9810" w:type="dxa"/>
            <w:gridSpan w:val="3"/>
            <w:tcBorders>
              <w:top w:val="nil"/>
              <w:left w:val="nil"/>
              <w:bottom w:val="nil"/>
              <w:right w:val="nil"/>
            </w:tcBorders>
            <w:shd w:val="clear" w:color="auto" w:fill="FFFFFF"/>
            <w:tcMar>
              <w:top w:w="50" w:type="dxa"/>
              <w:left w:w="50" w:type="dxa"/>
              <w:bottom w:w="50" w:type="dxa"/>
              <w:right w:w="50" w:type="dxa"/>
            </w:tcMar>
            <w:vAlign w:val="center"/>
          </w:tcPr>
          <w:p w14:paraId="358D0799" w14:textId="77777777" w:rsidR="00903384" w:rsidRPr="004B2A73" w:rsidRDefault="00903384" w:rsidP="00903384">
            <w:pPr>
              <w:rPr>
                <w:rFonts w:ascii="Calibri" w:hAnsi="Calibri" w:cs="Times"/>
                <w:color w:val="FFFFFF"/>
                <w:sz w:val="20"/>
                <w:szCs w:val="20"/>
              </w:rPr>
            </w:pPr>
            <w:r w:rsidRPr="004B2A73">
              <w:rPr>
                <w:rFonts w:ascii="Calibri" w:hAnsi="Calibri"/>
                <w:noProof/>
              </w:rPr>
              <w:drawing>
                <wp:inline distT="0" distB="0" distL="0" distR="0" wp14:anchorId="01B60D4F" wp14:editId="402938D6">
                  <wp:extent cx="638175" cy="628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rsidRPr="004B2A73">
              <w:rPr>
                <w:rFonts w:ascii="Calibri" w:hAnsi="Calibri" w:cs="Times"/>
                <w:color w:val="FFFFFF"/>
                <w:sz w:val="20"/>
                <w:szCs w:val="20"/>
              </w:rPr>
              <w:t>.</w:t>
            </w:r>
            <w:r w:rsidRPr="004B2A73">
              <w:rPr>
                <w:rFonts w:ascii="Calibri" w:hAnsi="Calibri"/>
                <w:noProof/>
              </w:rPr>
              <w:t xml:space="preserve"> </w:t>
            </w:r>
          </w:p>
        </w:tc>
      </w:tr>
      <w:tr w:rsidR="00903384" w:rsidRPr="004B2A73" w14:paraId="53CB1002" w14:textId="77777777" w:rsidTr="002A331D">
        <w:trPr>
          <w:gridAfter w:val="2"/>
          <w:wAfter w:w="331" w:type="dxa"/>
        </w:trPr>
        <w:tc>
          <w:tcPr>
            <w:tcW w:w="9479" w:type="dxa"/>
            <w:tcBorders>
              <w:top w:val="nil"/>
              <w:left w:val="nil"/>
              <w:bottom w:val="nil"/>
              <w:right w:val="nil"/>
            </w:tcBorders>
            <w:shd w:val="clear" w:color="auto" w:fill="FFFFFF"/>
            <w:tcMar>
              <w:top w:w="50" w:type="dxa"/>
              <w:left w:w="50" w:type="dxa"/>
              <w:bottom w:w="50" w:type="dxa"/>
              <w:right w:w="50" w:type="dxa"/>
            </w:tcMar>
            <w:vAlign w:val="center"/>
          </w:tcPr>
          <w:p w14:paraId="277522F6" w14:textId="77777777" w:rsidR="00903384" w:rsidRPr="004B2A73" w:rsidRDefault="00903384" w:rsidP="002A331D">
            <w:pPr>
              <w:rPr>
                <w:rFonts w:ascii="Calibri" w:hAnsi="Calibri"/>
                <w:color w:val="245086"/>
                <w:sz w:val="18"/>
                <w:szCs w:val="18"/>
              </w:rPr>
            </w:pPr>
            <w:r w:rsidRPr="004B2A73">
              <w:rPr>
                <w:rFonts w:ascii="Calibri" w:hAnsi="Calibri"/>
                <w:b/>
                <w:bCs/>
                <w:color w:val="245086"/>
                <w:sz w:val="18"/>
                <w:szCs w:val="18"/>
              </w:rPr>
              <w:t>Standard Disclaimer:</w:t>
            </w:r>
          </w:p>
        </w:tc>
      </w:tr>
      <w:tr w:rsidR="00903384" w:rsidRPr="004B2A73" w14:paraId="071D923E" w14:textId="77777777" w:rsidTr="002A331D">
        <w:tc>
          <w:tcPr>
            <w:tcW w:w="9810" w:type="dxa"/>
            <w:gridSpan w:val="3"/>
            <w:tcBorders>
              <w:top w:val="nil"/>
              <w:left w:val="nil"/>
              <w:bottom w:val="nil"/>
              <w:right w:val="nil"/>
            </w:tcBorders>
            <w:shd w:val="clear" w:color="auto" w:fill="FFFFFF"/>
            <w:tcMar>
              <w:top w:w="50" w:type="dxa"/>
              <w:left w:w="50" w:type="dxa"/>
              <w:bottom w:w="50" w:type="dxa"/>
              <w:right w:w="50" w:type="dxa"/>
            </w:tcMar>
            <w:vAlign w:val="center"/>
          </w:tcPr>
          <w:p w14:paraId="3031F1FF" w14:textId="77777777" w:rsidR="00903384" w:rsidRPr="004B2A73" w:rsidRDefault="00903384" w:rsidP="002A331D">
            <w:pPr>
              <w:rPr>
                <w:rFonts w:ascii="Calibri" w:hAnsi="Calibri" w:cs="Times"/>
                <w:color w:val="FFFFFF"/>
                <w:sz w:val="20"/>
                <w:szCs w:val="20"/>
              </w:rPr>
            </w:pPr>
            <w:r w:rsidRPr="004B2A73">
              <w:rPr>
                <w:rFonts w:ascii="Calibri" w:hAnsi="Calibri" w:cs="Times"/>
                <w:color w:val="FFFFFF"/>
                <w:sz w:val="20"/>
                <w:szCs w:val="20"/>
              </w:rPr>
              <w:t>.</w:t>
            </w:r>
          </w:p>
        </w:tc>
      </w:tr>
      <w:tr w:rsidR="00903384" w:rsidRPr="004B2A73" w14:paraId="0C1C3811" w14:textId="77777777" w:rsidTr="002A331D">
        <w:trPr>
          <w:gridAfter w:val="2"/>
          <w:wAfter w:w="331" w:type="dxa"/>
        </w:trPr>
        <w:tc>
          <w:tcPr>
            <w:tcW w:w="9479" w:type="dxa"/>
            <w:tcBorders>
              <w:top w:val="nil"/>
              <w:left w:val="nil"/>
              <w:bottom w:val="nil"/>
              <w:right w:val="nil"/>
            </w:tcBorders>
            <w:shd w:val="clear" w:color="auto" w:fill="FFFFFF"/>
            <w:tcMar>
              <w:top w:w="50" w:type="dxa"/>
              <w:left w:w="50" w:type="dxa"/>
              <w:bottom w:w="50" w:type="dxa"/>
              <w:right w:w="50" w:type="dxa"/>
            </w:tcMar>
            <w:vAlign w:val="center"/>
          </w:tcPr>
          <w:p w14:paraId="147FF665" w14:textId="77777777" w:rsidR="00903384" w:rsidRPr="004B2A73" w:rsidRDefault="00903384" w:rsidP="002A331D">
            <w:pPr>
              <w:rPr>
                <w:rFonts w:ascii="Calibri" w:hAnsi="Calibri"/>
                <w:sz w:val="18"/>
                <w:szCs w:val="18"/>
              </w:rPr>
            </w:pPr>
            <w:r w:rsidRPr="004B2A73">
              <w:rPr>
                <w:rFonts w:ascii="Calibri" w:hAnsi="Calibri"/>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903384" w:rsidRPr="004B2A73" w14:paraId="53DFC3F3" w14:textId="77777777" w:rsidTr="002A331D">
        <w:tc>
          <w:tcPr>
            <w:tcW w:w="9810" w:type="dxa"/>
            <w:gridSpan w:val="3"/>
            <w:tcBorders>
              <w:top w:val="nil"/>
              <w:left w:val="nil"/>
              <w:bottom w:val="nil"/>
              <w:right w:val="nil"/>
            </w:tcBorders>
            <w:shd w:val="clear" w:color="auto" w:fill="FFFFFF"/>
            <w:tcMar>
              <w:top w:w="50" w:type="dxa"/>
              <w:left w:w="50" w:type="dxa"/>
              <w:bottom w:w="50" w:type="dxa"/>
              <w:right w:w="50" w:type="dxa"/>
            </w:tcMar>
            <w:vAlign w:val="center"/>
          </w:tcPr>
          <w:p w14:paraId="652BF0A9" w14:textId="77777777" w:rsidR="00903384" w:rsidRDefault="00903384" w:rsidP="002A331D">
            <w:pPr>
              <w:rPr>
                <w:rFonts w:ascii="Calibri" w:hAnsi="Calibri" w:cs="Times"/>
                <w:color w:val="FFFFFF"/>
                <w:sz w:val="20"/>
                <w:szCs w:val="20"/>
              </w:rPr>
            </w:pPr>
            <w:r w:rsidRPr="004B2A73">
              <w:rPr>
                <w:rFonts w:ascii="Calibri" w:hAnsi="Calibri" w:cs="Times"/>
                <w:color w:val="FFFFFF"/>
                <w:sz w:val="20"/>
                <w:szCs w:val="20"/>
              </w:rPr>
              <w:t>.</w:t>
            </w:r>
          </w:p>
          <w:p w14:paraId="524F615F" w14:textId="77777777" w:rsidR="00696DF1" w:rsidRDefault="00696DF1" w:rsidP="002A331D">
            <w:pPr>
              <w:rPr>
                <w:rFonts w:ascii="Calibri" w:hAnsi="Calibri" w:cs="Times"/>
                <w:color w:val="FFFFFF"/>
                <w:sz w:val="20"/>
                <w:szCs w:val="20"/>
              </w:rPr>
            </w:pPr>
          </w:p>
          <w:p w14:paraId="319FA092" w14:textId="77777777" w:rsidR="00696DF1" w:rsidRPr="004B2A73" w:rsidRDefault="00696DF1" w:rsidP="002A331D">
            <w:pPr>
              <w:rPr>
                <w:rFonts w:ascii="Calibri" w:hAnsi="Calibri" w:cs="Times"/>
                <w:color w:val="FFFFFF"/>
                <w:sz w:val="20"/>
                <w:szCs w:val="20"/>
              </w:rPr>
            </w:pPr>
          </w:p>
        </w:tc>
      </w:tr>
      <w:tr w:rsidR="00903384" w:rsidRPr="004B2A73" w14:paraId="57E3F1FD" w14:textId="77777777" w:rsidTr="002A331D">
        <w:trPr>
          <w:gridAfter w:val="2"/>
          <w:wAfter w:w="331" w:type="dxa"/>
        </w:trPr>
        <w:tc>
          <w:tcPr>
            <w:tcW w:w="9479" w:type="dxa"/>
            <w:tcBorders>
              <w:top w:val="nil"/>
              <w:left w:val="nil"/>
              <w:bottom w:val="nil"/>
              <w:right w:val="nil"/>
            </w:tcBorders>
            <w:shd w:val="clear" w:color="auto" w:fill="FFFFFF"/>
            <w:tcMar>
              <w:top w:w="50" w:type="dxa"/>
              <w:left w:w="50" w:type="dxa"/>
              <w:bottom w:w="50" w:type="dxa"/>
              <w:right w:w="50" w:type="dxa"/>
            </w:tcMar>
            <w:vAlign w:val="center"/>
          </w:tcPr>
          <w:p w14:paraId="4A6D22FC" w14:textId="77777777" w:rsidR="00903384" w:rsidRPr="004B2A73" w:rsidRDefault="00903384" w:rsidP="002A331D">
            <w:pPr>
              <w:rPr>
                <w:rFonts w:ascii="Calibri" w:hAnsi="Calibri"/>
                <w:color w:val="245086"/>
                <w:sz w:val="18"/>
                <w:szCs w:val="18"/>
              </w:rPr>
            </w:pPr>
            <w:r w:rsidRPr="004B2A73">
              <w:rPr>
                <w:rFonts w:ascii="Calibri" w:hAnsi="Calibri"/>
                <w:b/>
                <w:bCs/>
                <w:color w:val="245086"/>
                <w:sz w:val="18"/>
                <w:szCs w:val="18"/>
              </w:rPr>
              <w:lastRenderedPageBreak/>
              <w:t>Copyright Statement:</w:t>
            </w:r>
          </w:p>
        </w:tc>
      </w:tr>
      <w:tr w:rsidR="00903384" w:rsidRPr="004B2A73" w14:paraId="2385187B" w14:textId="77777777" w:rsidTr="002A331D">
        <w:tc>
          <w:tcPr>
            <w:tcW w:w="9810" w:type="dxa"/>
            <w:gridSpan w:val="3"/>
            <w:tcBorders>
              <w:top w:val="nil"/>
              <w:left w:val="nil"/>
              <w:bottom w:val="nil"/>
              <w:right w:val="nil"/>
            </w:tcBorders>
            <w:shd w:val="clear" w:color="auto" w:fill="FFFFFF"/>
            <w:tcMar>
              <w:top w:w="50" w:type="dxa"/>
              <w:left w:w="50" w:type="dxa"/>
              <w:bottom w:w="50" w:type="dxa"/>
              <w:right w:w="50" w:type="dxa"/>
            </w:tcMar>
            <w:vAlign w:val="center"/>
          </w:tcPr>
          <w:p w14:paraId="5EC76BF2" w14:textId="77777777" w:rsidR="00903384" w:rsidRPr="004B2A73" w:rsidRDefault="00903384" w:rsidP="002A331D">
            <w:pPr>
              <w:rPr>
                <w:rFonts w:ascii="Calibri" w:hAnsi="Calibri" w:cs="Times"/>
                <w:color w:val="FFFFFF"/>
                <w:sz w:val="20"/>
                <w:szCs w:val="20"/>
              </w:rPr>
            </w:pPr>
            <w:r w:rsidRPr="004B2A73">
              <w:rPr>
                <w:rFonts w:ascii="Calibri" w:hAnsi="Calibri" w:cs="Times"/>
                <w:color w:val="FFFFFF"/>
                <w:sz w:val="20"/>
                <w:szCs w:val="20"/>
              </w:rPr>
              <w:t>.</w:t>
            </w:r>
          </w:p>
        </w:tc>
      </w:tr>
      <w:tr w:rsidR="00903384" w:rsidRPr="004B2A73" w14:paraId="140065CA" w14:textId="77777777" w:rsidTr="002A331D">
        <w:trPr>
          <w:gridAfter w:val="2"/>
          <w:wAfter w:w="331" w:type="dxa"/>
        </w:trPr>
        <w:tc>
          <w:tcPr>
            <w:tcW w:w="9479" w:type="dxa"/>
            <w:tcBorders>
              <w:top w:val="nil"/>
              <w:left w:val="nil"/>
              <w:bottom w:val="nil"/>
              <w:right w:val="nil"/>
            </w:tcBorders>
            <w:shd w:val="clear" w:color="auto" w:fill="FFFFFF"/>
            <w:tcMar>
              <w:top w:w="50" w:type="dxa"/>
              <w:left w:w="50" w:type="dxa"/>
              <w:bottom w:w="50" w:type="dxa"/>
              <w:right w:w="50" w:type="dxa"/>
            </w:tcMar>
            <w:vAlign w:val="center"/>
          </w:tcPr>
          <w:p w14:paraId="4408D9EF" w14:textId="77777777" w:rsidR="00903384" w:rsidRPr="004B2A73" w:rsidRDefault="00903384" w:rsidP="002A331D">
            <w:pPr>
              <w:spacing w:line="240" w:lineRule="atLeast"/>
              <w:rPr>
                <w:rFonts w:ascii="Calibri" w:hAnsi="Calibri"/>
                <w:sz w:val="18"/>
                <w:szCs w:val="18"/>
              </w:rPr>
            </w:pPr>
            <w:r w:rsidRPr="004B2A73">
              <w:rPr>
                <w:rFonts w:ascii="Calibri" w:hAnsi="Calibri"/>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229D88F5" w14:textId="77777777" w:rsidR="00903384" w:rsidRPr="004B2A73" w:rsidRDefault="00903384" w:rsidP="002A331D">
            <w:pPr>
              <w:spacing w:line="240" w:lineRule="atLeast"/>
              <w:rPr>
                <w:rFonts w:ascii="Calibri" w:hAnsi="Calibri"/>
                <w:sz w:val="18"/>
                <w:szCs w:val="18"/>
              </w:rPr>
            </w:pPr>
          </w:p>
          <w:p w14:paraId="109BDE65" w14:textId="77777777" w:rsidR="00903384" w:rsidRPr="004B2A73" w:rsidRDefault="00903384" w:rsidP="002A331D">
            <w:pPr>
              <w:spacing w:line="240" w:lineRule="atLeast"/>
              <w:rPr>
                <w:rFonts w:ascii="Calibri" w:hAnsi="Calibri"/>
                <w:sz w:val="18"/>
                <w:szCs w:val="18"/>
              </w:rPr>
            </w:pPr>
            <w:r w:rsidRPr="004B2A73">
              <w:rPr>
                <w:rFonts w:ascii="Calibri" w:hAnsi="Calibri"/>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9" w:history="1">
              <w:r w:rsidRPr="004B2A73">
                <w:rPr>
                  <w:rFonts w:ascii="Calibri" w:hAnsi="Calibri"/>
                  <w:color w:val="000099"/>
                  <w:sz w:val="18"/>
                  <w:szCs w:val="18"/>
                  <w:u w:val="single"/>
                </w:rPr>
                <w:t>http://www.copyright.com/.</w:t>
              </w:r>
            </w:hyperlink>
          </w:p>
          <w:p w14:paraId="46AF95CB" w14:textId="77777777" w:rsidR="00903384" w:rsidRPr="004B2A73" w:rsidRDefault="00903384" w:rsidP="002A331D">
            <w:pPr>
              <w:spacing w:line="240" w:lineRule="atLeast"/>
              <w:rPr>
                <w:rFonts w:ascii="Calibri" w:hAnsi="Calibri"/>
                <w:sz w:val="18"/>
                <w:szCs w:val="18"/>
              </w:rPr>
            </w:pPr>
          </w:p>
          <w:p w14:paraId="59126310" w14:textId="77777777" w:rsidR="00903384" w:rsidRPr="004B2A73" w:rsidRDefault="00903384" w:rsidP="002A331D">
            <w:pPr>
              <w:spacing w:line="240" w:lineRule="atLeast"/>
              <w:rPr>
                <w:rFonts w:ascii="Calibri" w:hAnsi="Calibri"/>
                <w:sz w:val="18"/>
                <w:szCs w:val="18"/>
              </w:rPr>
            </w:pPr>
            <w:r w:rsidRPr="004B2A73">
              <w:rPr>
                <w:rFonts w:ascii="Calibri" w:hAnsi="Calibri"/>
                <w:sz w:val="18"/>
                <w:szCs w:val="18"/>
              </w:rPr>
              <w:t xml:space="preserve">All other queries on rights and licenses, including subsidiary rights, should be addressed to the Office of the Publisher, The World Bank, 1818 H Street NW, Washington, DC 20433, USA, fax 202-522-2422, e-mail </w:t>
            </w:r>
            <w:hyperlink r:id="rId10" w:history="1">
              <w:r w:rsidRPr="004B2A73">
                <w:rPr>
                  <w:rFonts w:ascii="Calibri" w:hAnsi="Calibri"/>
                  <w:color w:val="000099"/>
                  <w:sz w:val="18"/>
                  <w:szCs w:val="18"/>
                  <w:u w:val="single"/>
                </w:rPr>
                <w:t>pubrights@worldbank.org.</w:t>
              </w:r>
            </w:hyperlink>
          </w:p>
          <w:p w14:paraId="316F403E" w14:textId="77777777" w:rsidR="00903384" w:rsidRPr="004B2A73" w:rsidRDefault="00903384" w:rsidP="002A331D">
            <w:pPr>
              <w:spacing w:line="240" w:lineRule="atLeast"/>
              <w:rPr>
                <w:rFonts w:ascii="Calibri" w:hAnsi="Calibri"/>
                <w:sz w:val="18"/>
                <w:szCs w:val="18"/>
              </w:rPr>
            </w:pPr>
          </w:p>
        </w:tc>
      </w:tr>
    </w:tbl>
    <w:p w14:paraId="6E4DB2FF" w14:textId="77777777" w:rsidR="00903384" w:rsidRPr="004B2A73" w:rsidRDefault="00903384">
      <w:pPr>
        <w:pStyle w:val="NoSpacing"/>
        <w:spacing w:before="1540" w:after="240"/>
        <w:jc w:val="center"/>
        <w:rPr>
          <w:rFonts w:ascii="Calibri" w:eastAsiaTheme="minorHAnsi" w:hAnsi="Calibri" w:cs="Times New Roman"/>
          <w:color w:val="5B9BD5" w:themeColor="accent1"/>
          <w:sz w:val="24"/>
          <w:szCs w:val="24"/>
        </w:rPr>
        <w:sectPr w:rsidR="00903384" w:rsidRPr="004B2A73">
          <w:pgSz w:w="12240" w:h="15840"/>
          <w:pgMar w:top="1440" w:right="1440" w:bottom="1440" w:left="1440" w:header="720" w:footer="720" w:gutter="0"/>
          <w:pgNumType w:fmt="lowerRoman" w:start="1"/>
          <w:cols w:space="720"/>
        </w:sectPr>
      </w:pPr>
    </w:p>
    <w:p w14:paraId="35D8DED1" w14:textId="77777777" w:rsidR="00404DE8" w:rsidRPr="004B2A73" w:rsidRDefault="00404DE8" w:rsidP="006161AC">
      <w:pPr>
        <w:pStyle w:val="Heading1"/>
        <w:numPr>
          <w:ilvl w:val="0"/>
          <w:numId w:val="0"/>
        </w:numPr>
      </w:pPr>
      <w:bookmarkStart w:id="1" w:name="_Toc419548444"/>
      <w:bookmarkStart w:id="2" w:name="_Toc485381982"/>
      <w:r w:rsidRPr="004B2A73">
        <w:lastRenderedPageBreak/>
        <w:t>Acknowledgment</w:t>
      </w:r>
      <w:bookmarkEnd w:id="1"/>
      <w:r w:rsidR="003C325D" w:rsidRPr="004B2A73">
        <w:t>s</w:t>
      </w:r>
      <w:bookmarkEnd w:id="2"/>
    </w:p>
    <w:p w14:paraId="5BE8CD45" w14:textId="77777777" w:rsidR="00404DE8" w:rsidRPr="004B2A73" w:rsidRDefault="00404DE8" w:rsidP="00404DE8">
      <w:pPr>
        <w:rPr>
          <w:rFonts w:ascii="Calibri" w:hAnsi="Calibri"/>
        </w:rPr>
      </w:pPr>
    </w:p>
    <w:p w14:paraId="0D17A5A3" w14:textId="77777777" w:rsidR="00404DE8" w:rsidRPr="00395387" w:rsidRDefault="00404DE8" w:rsidP="008E4290">
      <w:pPr>
        <w:spacing w:before="120" w:line="240" w:lineRule="auto"/>
        <w:jc w:val="both"/>
        <w:rPr>
          <w:rFonts w:ascii="Calibri" w:hAnsi="Calibri"/>
          <w:sz w:val="24"/>
          <w:szCs w:val="24"/>
        </w:rPr>
      </w:pPr>
      <w:r w:rsidRPr="00395387">
        <w:rPr>
          <w:rFonts w:ascii="Calibri" w:hAnsi="Calibri"/>
          <w:sz w:val="24"/>
          <w:szCs w:val="24"/>
        </w:rPr>
        <w:t>This report is a collaborative effort of the Transport &amp; ICT and Trade &amp; Competitiveness Global Practices of the World Bank Group. Part of the work is based on a background report prepared by ECORYS (led by Marten van der Bossche, Khalid Bichou, Ibrahima Diong, Sophie Leeuwenburgh, Guillaume Remy, Wim De Rycke and Simme Veldman).</w:t>
      </w:r>
    </w:p>
    <w:p w14:paraId="5F3A2253" w14:textId="77777777" w:rsidR="00404DE8" w:rsidRPr="00395387" w:rsidRDefault="00404DE8" w:rsidP="008E4290">
      <w:pPr>
        <w:spacing w:before="120" w:line="240" w:lineRule="auto"/>
        <w:jc w:val="both"/>
        <w:rPr>
          <w:rFonts w:ascii="Calibri" w:hAnsi="Calibri"/>
          <w:sz w:val="24"/>
          <w:szCs w:val="24"/>
        </w:rPr>
      </w:pPr>
      <w:r w:rsidRPr="00395387">
        <w:rPr>
          <w:rFonts w:ascii="Calibri" w:hAnsi="Calibri"/>
          <w:sz w:val="24"/>
          <w:szCs w:val="24"/>
        </w:rPr>
        <w:t>The report benefited tremendously from comments and inputs by Yann Alix (Foundation SEFACIL), Rachid Benmessaoud (Country Director, AFCW2), Bruno Bonansea (Cartographer), Colin Bruce (Senior Adviser, EXC), Charles Kunaka (Senior Trade Specialist, GTCTC), Martin Humphreys (Lead Transport Specialist, GTI01), Henry Des Longchamps (Senior Railways Specialist, GTI01), Gylfi Palsson (Lead Transport Specialist, GTI04), Pierre Pozzo di Borgo (Chief Industry Specialist, IFC) and Christophe Ian Twinn (Manager, CNGTR). Excellent comments were also received from Georgiana Pop (Senior Economist, GTCTC) and Martha Martinez Licetti (Lead Specialist, GTCTC).</w:t>
      </w:r>
    </w:p>
    <w:p w14:paraId="5443A843" w14:textId="77777777" w:rsidR="00404DE8" w:rsidRPr="00395387" w:rsidRDefault="00404DE8" w:rsidP="008E4290">
      <w:pPr>
        <w:spacing w:before="120" w:line="240" w:lineRule="auto"/>
        <w:jc w:val="both"/>
        <w:rPr>
          <w:rFonts w:ascii="Calibri" w:hAnsi="Calibri"/>
          <w:sz w:val="24"/>
          <w:szCs w:val="24"/>
        </w:rPr>
      </w:pPr>
      <w:r w:rsidRPr="00395387">
        <w:rPr>
          <w:rFonts w:ascii="Calibri" w:hAnsi="Calibri"/>
          <w:sz w:val="24"/>
          <w:szCs w:val="24"/>
        </w:rPr>
        <w:t>Key findings of the report were disseminated at the 37</w:t>
      </w:r>
      <w:r w:rsidRPr="00395387">
        <w:rPr>
          <w:rFonts w:ascii="Calibri" w:hAnsi="Calibri"/>
          <w:sz w:val="24"/>
          <w:szCs w:val="24"/>
          <w:vertAlign w:val="superscript"/>
        </w:rPr>
        <w:t>th</w:t>
      </w:r>
      <w:r w:rsidRPr="00395387">
        <w:rPr>
          <w:rFonts w:ascii="Calibri" w:hAnsi="Calibri"/>
          <w:sz w:val="24"/>
          <w:szCs w:val="24"/>
        </w:rPr>
        <w:t xml:space="preserve"> Council Meeting organized by the Ports Management Association of West and Central Africa (PMAWCA) in Abidjan, in June 2015, as well as at a workshop jointly organized by the Africa Transport Policy Program (SSATP) and the Regional Economic Committees’ Transport Coordination Committee (TCC) in December 2015 in Nairobi. The preliminary results were also presented at a World Bank Transport Forum session on May 28, 2015. The authors thank the participants and organizers of these fora, and in particular, the PMAWCA Secretary General Michael Luguje for the opportunity to share the findings of the Report. </w:t>
      </w:r>
    </w:p>
    <w:p w14:paraId="429AF193" w14:textId="77777777" w:rsidR="00404DE8" w:rsidRPr="00395387" w:rsidRDefault="00404DE8" w:rsidP="008E4290">
      <w:pPr>
        <w:spacing w:before="120" w:line="240" w:lineRule="auto"/>
        <w:jc w:val="both"/>
        <w:rPr>
          <w:rFonts w:ascii="Calibri" w:hAnsi="Calibri"/>
          <w:sz w:val="24"/>
          <w:szCs w:val="24"/>
        </w:rPr>
      </w:pPr>
      <w:r w:rsidRPr="00395387">
        <w:rPr>
          <w:rFonts w:ascii="Calibri" w:hAnsi="Calibri" w:cs="Minion Pro"/>
          <w:color w:val="000000"/>
          <w:sz w:val="24"/>
          <w:szCs w:val="24"/>
        </w:rPr>
        <w:t>Funding from the United Kingdom’s Department for International Development un</w:t>
      </w:r>
      <w:r w:rsidRPr="00395387">
        <w:rPr>
          <w:rFonts w:ascii="Calibri" w:hAnsi="Calibri" w:cs="Minion Pro"/>
          <w:color w:val="000000"/>
          <w:sz w:val="24"/>
          <w:szCs w:val="24"/>
        </w:rPr>
        <w:softHyphen/>
        <w:t>der the Support to West Africa Regional Integration Program (</w:t>
      </w:r>
      <w:r w:rsidRPr="00395387">
        <w:rPr>
          <w:rFonts w:ascii="Calibri" w:hAnsi="Calibri"/>
          <w:sz w:val="24"/>
          <w:szCs w:val="24"/>
        </w:rPr>
        <w:t>SWARIP</w:t>
      </w:r>
      <w:r w:rsidRPr="00395387">
        <w:rPr>
          <w:rFonts w:ascii="Calibri" w:hAnsi="Calibri" w:cs="Minion Pro"/>
          <w:color w:val="000000"/>
          <w:sz w:val="24"/>
          <w:szCs w:val="24"/>
        </w:rPr>
        <w:t>) window of the Multi-Donor Trust Fund for Trade and Development 2 supported by the governments of the Netherlands, Norway, Sweden, Swit</w:t>
      </w:r>
      <w:r w:rsidRPr="00395387">
        <w:rPr>
          <w:rFonts w:ascii="Calibri" w:hAnsi="Calibri" w:cs="Minion Pro"/>
          <w:color w:val="000000"/>
          <w:sz w:val="24"/>
          <w:szCs w:val="24"/>
        </w:rPr>
        <w:softHyphen/>
        <w:t>zerland, and the United Kingdom is gratefully acknowledged.</w:t>
      </w:r>
    </w:p>
    <w:p w14:paraId="4D326912" w14:textId="76E17C2C" w:rsidR="00404DE8" w:rsidRPr="00017695" w:rsidRDefault="00017695" w:rsidP="00017695">
      <w:pPr>
        <w:jc w:val="both"/>
        <w:rPr>
          <w:i/>
          <w:iCs/>
        </w:rPr>
      </w:pPr>
      <w:r w:rsidRPr="00017695">
        <w:rPr>
          <w:iCs/>
          <w:sz w:val="24"/>
          <w:szCs w:val="24"/>
        </w:rPr>
        <w:t xml:space="preserve">The main authors of the final report are Kavita Sethi (Senior Transport Economist, GTI04) and Olivier Hartmann (Senior Trade Facilitation Specialist, GTCTC), with contributions from a World Bank team comprising Antoine Coste (Economist, GTC07), Gözde Isik (Trade Economist, GTC13), Anne-Cecile Souhaid </w:t>
      </w:r>
      <w:r>
        <w:rPr>
          <w:iCs/>
          <w:sz w:val="24"/>
          <w:szCs w:val="24"/>
        </w:rPr>
        <w:t xml:space="preserve">(Sr. Transport Specialist, GTI08) </w:t>
      </w:r>
      <w:r w:rsidRPr="00017695">
        <w:rPr>
          <w:iCs/>
          <w:sz w:val="24"/>
          <w:szCs w:val="24"/>
        </w:rPr>
        <w:t>and Michel Audige</w:t>
      </w:r>
      <w:r>
        <w:rPr>
          <w:iCs/>
          <w:sz w:val="24"/>
          <w:szCs w:val="24"/>
        </w:rPr>
        <w:t xml:space="preserve"> (Consultant, GTI08)</w:t>
      </w:r>
      <w:r w:rsidRPr="00017695">
        <w:rPr>
          <w:iCs/>
          <w:sz w:val="24"/>
          <w:szCs w:val="24"/>
        </w:rPr>
        <w:t>.</w:t>
      </w:r>
      <w:r>
        <w:rPr>
          <w:i/>
          <w:iCs/>
        </w:rPr>
        <w:t xml:space="preserve"> </w:t>
      </w:r>
      <w:r w:rsidR="00404DE8" w:rsidRPr="00395387">
        <w:rPr>
          <w:rFonts w:ascii="Calibri" w:hAnsi="Calibri"/>
          <w:sz w:val="24"/>
          <w:szCs w:val="24"/>
        </w:rPr>
        <w:t>Gael Raballand, Senior Public Sector Specialist, Marc Juhel, Ports Advisor, Consultant, and Jan Hoffman (UNCTAD) peer reviewed the report. The entire team would like to express its gratitude to the peer reviewers all of whom provided invaluable comments and guidance in-between meetings and through the process. The team benefited as well from the support and guidance of Jean-Christophe Maur (Senior Economist, GTC07), and Supee Teravaninthorn (Practice Manager, GTI01).  Desta Woldeargey (Program Assistant, GTI01) provided excellent team support throughout the preparation and finalization of the report and William Shaw, Consultant, provided invaluable support in editing the report</w:t>
      </w:r>
      <w:r w:rsidR="00404DE8" w:rsidRPr="004B2A73">
        <w:rPr>
          <w:rFonts w:ascii="Calibri" w:hAnsi="Calibri"/>
        </w:rPr>
        <w:t>.</w:t>
      </w:r>
    </w:p>
    <w:p w14:paraId="21F5BB1F" w14:textId="77777777" w:rsidR="003C325D" w:rsidRPr="004B2A73" w:rsidRDefault="003C325D" w:rsidP="006936A8">
      <w:pPr>
        <w:spacing w:before="120" w:line="240" w:lineRule="auto"/>
        <w:rPr>
          <w:rFonts w:ascii="Calibri" w:hAnsi="Calibri"/>
        </w:rPr>
        <w:sectPr w:rsidR="003C325D" w:rsidRPr="004B2A73">
          <w:pgSz w:w="12240" w:h="15840"/>
          <w:pgMar w:top="1440" w:right="1440" w:bottom="1440" w:left="1440" w:header="720" w:footer="720" w:gutter="0"/>
          <w:pgNumType w:fmt="lowerRoman" w:start="1"/>
          <w:cols w:space="720"/>
        </w:sectPr>
      </w:pPr>
    </w:p>
    <w:p w14:paraId="1FD234D3" w14:textId="024D715E" w:rsidR="00ED4B11" w:rsidRPr="00BA1B4D" w:rsidRDefault="00ED4B11" w:rsidP="00523674">
      <w:pPr>
        <w:pStyle w:val="Heading1"/>
        <w:numPr>
          <w:ilvl w:val="0"/>
          <w:numId w:val="0"/>
        </w:numPr>
      </w:pPr>
      <w:bookmarkStart w:id="3" w:name="_Toc485381983"/>
      <w:r w:rsidRPr="00BA1B4D">
        <w:lastRenderedPageBreak/>
        <w:t>A</w:t>
      </w:r>
      <w:r w:rsidR="00523674" w:rsidRPr="00BA1B4D">
        <w:t>bbreviations and acronyms</w:t>
      </w:r>
      <w:bookmarkEnd w:id="3"/>
    </w:p>
    <w:p w14:paraId="5B36DCB2" w14:textId="77777777" w:rsidR="00523674" w:rsidRPr="00BA1B4D" w:rsidRDefault="00523674" w:rsidP="00523674"/>
    <w:p w14:paraId="124C5B8F" w14:textId="0D384AFA" w:rsidR="006C1685" w:rsidRDefault="006C1685" w:rsidP="00231FD0">
      <w:pPr>
        <w:spacing w:before="120" w:line="240" w:lineRule="auto"/>
        <w:rPr>
          <w:rFonts w:ascii="Calibri" w:hAnsi="Calibri"/>
          <w:sz w:val="24"/>
          <w:szCs w:val="24"/>
        </w:rPr>
      </w:pPr>
      <w:r>
        <w:rPr>
          <w:rFonts w:ascii="Calibri" w:hAnsi="Calibri"/>
          <w:sz w:val="24"/>
          <w:szCs w:val="24"/>
        </w:rPr>
        <w:t>AfDB</w:t>
      </w:r>
      <w:r>
        <w:rPr>
          <w:rFonts w:ascii="Calibri" w:hAnsi="Calibri"/>
          <w:sz w:val="24"/>
          <w:szCs w:val="24"/>
        </w:rPr>
        <w:tab/>
      </w:r>
      <w:r>
        <w:rPr>
          <w:rFonts w:ascii="Calibri" w:hAnsi="Calibri"/>
          <w:sz w:val="24"/>
          <w:szCs w:val="24"/>
        </w:rPr>
        <w:tab/>
      </w:r>
      <w:r w:rsidRPr="006C1685">
        <w:rPr>
          <w:rFonts w:ascii="Calibri" w:hAnsi="Calibri"/>
          <w:sz w:val="24"/>
          <w:szCs w:val="24"/>
        </w:rPr>
        <w:t>African Development Bank</w:t>
      </w:r>
    </w:p>
    <w:p w14:paraId="702D6E5F" w14:textId="7F09C042" w:rsidR="003A2D8B" w:rsidRDefault="003A2D8B" w:rsidP="00231FD0">
      <w:pPr>
        <w:spacing w:before="120" w:line="240" w:lineRule="auto"/>
        <w:rPr>
          <w:rFonts w:ascii="Calibri" w:hAnsi="Calibri"/>
          <w:sz w:val="24"/>
          <w:szCs w:val="24"/>
        </w:rPr>
      </w:pPr>
      <w:r>
        <w:rPr>
          <w:rFonts w:ascii="Calibri" w:hAnsi="Calibri"/>
          <w:sz w:val="24"/>
          <w:szCs w:val="24"/>
        </w:rPr>
        <w:t>APMT</w:t>
      </w:r>
      <w:r>
        <w:rPr>
          <w:rFonts w:ascii="Calibri" w:hAnsi="Calibri"/>
          <w:sz w:val="24"/>
          <w:szCs w:val="24"/>
        </w:rPr>
        <w:tab/>
      </w:r>
      <w:r>
        <w:rPr>
          <w:rFonts w:ascii="Calibri" w:hAnsi="Calibri"/>
          <w:sz w:val="24"/>
          <w:szCs w:val="24"/>
        </w:rPr>
        <w:tab/>
        <w:t>A.P. Moller Terminals</w:t>
      </w:r>
    </w:p>
    <w:p w14:paraId="43A1130A" w14:textId="3FE931EF" w:rsidR="00824836" w:rsidRDefault="00824836" w:rsidP="00231FD0">
      <w:pPr>
        <w:spacing w:before="120" w:line="240" w:lineRule="auto"/>
        <w:rPr>
          <w:rFonts w:ascii="Calibri" w:hAnsi="Calibri"/>
          <w:sz w:val="24"/>
          <w:szCs w:val="24"/>
        </w:rPr>
      </w:pPr>
      <w:r>
        <w:rPr>
          <w:rFonts w:ascii="Calibri" w:hAnsi="Calibri"/>
          <w:sz w:val="24"/>
          <w:szCs w:val="24"/>
        </w:rPr>
        <w:t>BAL</w:t>
      </w:r>
      <w:r>
        <w:rPr>
          <w:rFonts w:ascii="Calibri" w:hAnsi="Calibri"/>
          <w:sz w:val="24"/>
          <w:szCs w:val="24"/>
        </w:rPr>
        <w:tab/>
      </w:r>
      <w:r>
        <w:rPr>
          <w:rFonts w:ascii="Calibri" w:hAnsi="Calibri"/>
          <w:sz w:val="24"/>
          <w:szCs w:val="24"/>
        </w:rPr>
        <w:tab/>
      </w:r>
      <w:r>
        <w:rPr>
          <w:sz w:val="24"/>
        </w:rPr>
        <w:t xml:space="preserve">Bolloré Logistics Limited </w:t>
      </w:r>
    </w:p>
    <w:p w14:paraId="069863BC" w14:textId="6711007B" w:rsidR="00ED4B11" w:rsidRPr="00BA1B4D" w:rsidRDefault="00ED4B11" w:rsidP="00231FD0">
      <w:pPr>
        <w:spacing w:before="120" w:line="240" w:lineRule="auto"/>
        <w:rPr>
          <w:rFonts w:ascii="Calibri" w:hAnsi="Calibri"/>
          <w:sz w:val="24"/>
          <w:szCs w:val="24"/>
        </w:rPr>
      </w:pPr>
      <w:r w:rsidRPr="00BA1B4D">
        <w:rPr>
          <w:rFonts w:ascii="Calibri" w:hAnsi="Calibri"/>
          <w:sz w:val="24"/>
          <w:szCs w:val="24"/>
        </w:rPr>
        <w:t xml:space="preserve">BOT </w:t>
      </w:r>
      <w:r w:rsidRPr="00BA1B4D">
        <w:rPr>
          <w:rFonts w:ascii="Calibri" w:hAnsi="Calibri"/>
          <w:sz w:val="24"/>
          <w:szCs w:val="24"/>
        </w:rPr>
        <w:tab/>
      </w:r>
      <w:r w:rsidRPr="00BA1B4D">
        <w:rPr>
          <w:rFonts w:ascii="Calibri" w:hAnsi="Calibri"/>
          <w:sz w:val="24"/>
          <w:szCs w:val="24"/>
        </w:rPr>
        <w:tab/>
        <w:t>Build-operate-transfer</w:t>
      </w:r>
    </w:p>
    <w:p w14:paraId="2429469C" w14:textId="66B92CC0" w:rsidR="001D7E70" w:rsidRPr="001D7E70" w:rsidRDefault="001D7E70" w:rsidP="001D7E70">
      <w:r>
        <w:rPr>
          <w:sz w:val="24"/>
          <w:szCs w:val="24"/>
        </w:rPr>
        <w:t>CMHI</w:t>
      </w:r>
      <w:r>
        <w:rPr>
          <w:sz w:val="24"/>
          <w:szCs w:val="24"/>
        </w:rPr>
        <w:tab/>
      </w:r>
      <w:r>
        <w:rPr>
          <w:sz w:val="24"/>
          <w:szCs w:val="24"/>
        </w:rPr>
        <w:tab/>
        <w:t xml:space="preserve">China Merchant Holding International </w:t>
      </w:r>
    </w:p>
    <w:p w14:paraId="1F36CB89" w14:textId="65D12946" w:rsidR="00ED4B11" w:rsidRPr="004B2A73" w:rsidRDefault="00ED4B11" w:rsidP="00231FD0">
      <w:pPr>
        <w:spacing w:before="120" w:line="240" w:lineRule="auto"/>
        <w:rPr>
          <w:rFonts w:ascii="Calibri" w:hAnsi="Calibri"/>
          <w:sz w:val="24"/>
          <w:szCs w:val="24"/>
          <w:lang w:val="fr-FR"/>
        </w:rPr>
      </w:pPr>
      <w:r w:rsidRPr="004B2A73">
        <w:rPr>
          <w:rFonts w:ascii="Calibri" w:hAnsi="Calibri"/>
          <w:sz w:val="24"/>
          <w:lang w:val="fr-FR"/>
        </w:rPr>
        <w:t>CMA</w:t>
      </w:r>
      <w:r w:rsidR="001619C8" w:rsidRPr="004B2A73">
        <w:rPr>
          <w:rFonts w:ascii="Calibri" w:hAnsi="Calibri"/>
          <w:sz w:val="24"/>
          <w:lang w:val="fr-FR"/>
        </w:rPr>
        <w:t>-CGM</w:t>
      </w:r>
      <w:r w:rsidRPr="004B2A73">
        <w:rPr>
          <w:rFonts w:ascii="Calibri" w:hAnsi="Calibri"/>
          <w:sz w:val="24"/>
          <w:lang w:val="fr-FR"/>
        </w:rPr>
        <w:t xml:space="preserve"> </w:t>
      </w:r>
      <w:r w:rsidR="001619C8" w:rsidRPr="004B2A73">
        <w:rPr>
          <w:rFonts w:ascii="Calibri" w:hAnsi="Calibri"/>
          <w:sz w:val="24"/>
          <w:lang w:val="fr-FR"/>
        </w:rPr>
        <w:tab/>
        <w:t>Compagnie Maritime d'</w:t>
      </w:r>
      <w:r w:rsidR="007B5B4D" w:rsidRPr="004B2A73">
        <w:rPr>
          <w:rFonts w:ascii="Calibri" w:hAnsi="Calibri"/>
          <w:sz w:val="24"/>
          <w:lang w:val="fr-FR"/>
        </w:rPr>
        <w:t>Affrètement</w:t>
      </w:r>
      <w:r w:rsidR="001619C8" w:rsidRPr="004B2A73">
        <w:rPr>
          <w:rFonts w:ascii="Calibri" w:hAnsi="Calibri"/>
          <w:sz w:val="24"/>
          <w:lang w:val="fr-FR"/>
        </w:rPr>
        <w:t xml:space="preserve"> - Compagnie </w:t>
      </w:r>
      <w:r w:rsidR="007B5B4D" w:rsidRPr="004B2A73">
        <w:rPr>
          <w:rFonts w:ascii="Calibri" w:hAnsi="Calibri"/>
          <w:sz w:val="24"/>
          <w:lang w:val="fr-FR"/>
        </w:rPr>
        <w:t>Générale</w:t>
      </w:r>
      <w:r w:rsidR="001619C8" w:rsidRPr="004B2A73">
        <w:rPr>
          <w:rFonts w:ascii="Calibri" w:hAnsi="Calibri"/>
          <w:sz w:val="24"/>
          <w:lang w:val="fr-FR"/>
        </w:rPr>
        <w:t xml:space="preserve"> Maritime</w:t>
      </w:r>
    </w:p>
    <w:p w14:paraId="142B0F01" w14:textId="77777777" w:rsidR="00ED4B11" w:rsidRPr="004B2A73" w:rsidRDefault="00ED4B11" w:rsidP="00231FD0">
      <w:pPr>
        <w:spacing w:before="120" w:line="240" w:lineRule="auto"/>
        <w:rPr>
          <w:rFonts w:ascii="Calibri" w:hAnsi="Calibri"/>
          <w:sz w:val="24"/>
          <w:szCs w:val="24"/>
          <w:lang w:val="en-GB"/>
        </w:rPr>
      </w:pPr>
      <w:r w:rsidRPr="004B2A73">
        <w:rPr>
          <w:rFonts w:ascii="Calibri" w:hAnsi="Calibri"/>
          <w:sz w:val="24"/>
          <w:szCs w:val="24"/>
          <w:lang w:val="en-GB"/>
        </w:rPr>
        <w:t xml:space="preserve">DEA </w:t>
      </w:r>
      <w:r w:rsidRPr="004B2A73">
        <w:rPr>
          <w:rFonts w:ascii="Calibri" w:hAnsi="Calibri"/>
          <w:sz w:val="24"/>
          <w:szCs w:val="24"/>
          <w:lang w:val="en-GB"/>
        </w:rPr>
        <w:tab/>
      </w:r>
      <w:r w:rsidRPr="004B2A73">
        <w:rPr>
          <w:rFonts w:ascii="Calibri" w:hAnsi="Calibri"/>
          <w:sz w:val="24"/>
          <w:szCs w:val="24"/>
          <w:lang w:val="en-GB"/>
        </w:rPr>
        <w:tab/>
        <w:t>Data Envelopment Analysis</w:t>
      </w:r>
    </w:p>
    <w:p w14:paraId="07A30DD1" w14:textId="70749C24" w:rsidR="00BC10CC" w:rsidRPr="00BC10CC" w:rsidRDefault="00BC10CC" w:rsidP="00BC10CC">
      <w:pPr>
        <w:rPr>
          <w:sz w:val="24"/>
          <w:szCs w:val="24"/>
        </w:rPr>
      </w:pPr>
      <w:r>
        <w:rPr>
          <w:sz w:val="24"/>
          <w:szCs w:val="24"/>
        </w:rPr>
        <w:t>EBITDA</w:t>
      </w:r>
      <w:r>
        <w:rPr>
          <w:sz w:val="24"/>
          <w:szCs w:val="24"/>
        </w:rPr>
        <w:tab/>
      </w:r>
      <w:r>
        <w:rPr>
          <w:sz w:val="24"/>
          <w:szCs w:val="24"/>
        </w:rPr>
        <w:tab/>
      </w:r>
      <w:r w:rsidRPr="00BC10CC">
        <w:rPr>
          <w:sz w:val="24"/>
          <w:szCs w:val="24"/>
        </w:rPr>
        <w:t>Earnings Before Interest, Tax, Depreciation and Authorization</w:t>
      </w:r>
    </w:p>
    <w:p w14:paraId="52EB50BC" w14:textId="42B728BF" w:rsidR="00ED4B11" w:rsidRPr="004B2A73" w:rsidRDefault="00ED4B11" w:rsidP="00231FD0">
      <w:pPr>
        <w:spacing w:before="120" w:line="240" w:lineRule="auto"/>
        <w:rPr>
          <w:rFonts w:ascii="Calibri" w:hAnsi="Calibri"/>
          <w:sz w:val="24"/>
          <w:szCs w:val="24"/>
        </w:rPr>
      </w:pPr>
      <w:r w:rsidRPr="004B2A73">
        <w:rPr>
          <w:rFonts w:ascii="Calibri" w:hAnsi="Calibri"/>
          <w:sz w:val="24"/>
          <w:szCs w:val="24"/>
        </w:rPr>
        <w:t>ECOWAS</w:t>
      </w:r>
      <w:r w:rsidRPr="004B2A73">
        <w:rPr>
          <w:rFonts w:ascii="Calibri" w:hAnsi="Calibri"/>
          <w:sz w:val="24"/>
          <w:szCs w:val="24"/>
        </w:rPr>
        <w:tab/>
        <w:t>Economic Community of West African States</w:t>
      </w:r>
    </w:p>
    <w:p w14:paraId="0BDC2D3F" w14:textId="761FA344" w:rsidR="00825E04" w:rsidRDefault="00825E04" w:rsidP="00231FD0">
      <w:pPr>
        <w:spacing w:before="120" w:line="240" w:lineRule="auto"/>
        <w:rPr>
          <w:rFonts w:ascii="Calibri" w:hAnsi="Calibri"/>
          <w:sz w:val="24"/>
          <w:szCs w:val="24"/>
        </w:rPr>
      </w:pPr>
      <w:r>
        <w:rPr>
          <w:rFonts w:ascii="Calibri" w:hAnsi="Calibri"/>
          <w:sz w:val="24"/>
          <w:szCs w:val="24"/>
        </w:rPr>
        <w:t>ETE</w:t>
      </w:r>
      <w:r>
        <w:rPr>
          <w:rFonts w:ascii="Calibri" w:hAnsi="Calibri"/>
          <w:sz w:val="24"/>
          <w:szCs w:val="24"/>
        </w:rPr>
        <w:tab/>
      </w:r>
      <w:r>
        <w:rPr>
          <w:rFonts w:ascii="Calibri" w:hAnsi="Calibri"/>
          <w:sz w:val="24"/>
          <w:szCs w:val="24"/>
        </w:rPr>
        <w:tab/>
        <w:t>End-to-End</w:t>
      </w:r>
    </w:p>
    <w:p w14:paraId="28851F0E" w14:textId="5BFCC9F2" w:rsidR="00ED4B11" w:rsidRPr="004B2A73" w:rsidRDefault="00ED4B11" w:rsidP="00231FD0">
      <w:pPr>
        <w:spacing w:before="120" w:line="240" w:lineRule="auto"/>
        <w:rPr>
          <w:rFonts w:ascii="Calibri" w:hAnsi="Calibri"/>
          <w:sz w:val="24"/>
          <w:szCs w:val="24"/>
        </w:rPr>
      </w:pPr>
      <w:r w:rsidRPr="004B2A73">
        <w:rPr>
          <w:rFonts w:ascii="Calibri" w:hAnsi="Calibri"/>
          <w:sz w:val="24"/>
          <w:szCs w:val="24"/>
        </w:rPr>
        <w:t>GDP</w:t>
      </w:r>
      <w:r w:rsidRPr="004B2A73">
        <w:rPr>
          <w:rFonts w:ascii="Calibri" w:hAnsi="Calibri"/>
          <w:sz w:val="24"/>
          <w:szCs w:val="24"/>
        </w:rPr>
        <w:tab/>
      </w:r>
      <w:r w:rsidRPr="004B2A73">
        <w:rPr>
          <w:rFonts w:ascii="Calibri" w:hAnsi="Calibri"/>
          <w:sz w:val="24"/>
          <w:szCs w:val="24"/>
        </w:rPr>
        <w:tab/>
        <w:t>Gross domestic product</w:t>
      </w:r>
    </w:p>
    <w:p w14:paraId="16051F00" w14:textId="6E5A79A5" w:rsidR="00ED4B11" w:rsidRDefault="00ED4B11" w:rsidP="00231FD0">
      <w:pPr>
        <w:spacing w:before="120" w:line="240" w:lineRule="auto"/>
        <w:rPr>
          <w:rFonts w:ascii="Calibri" w:hAnsi="Calibri"/>
          <w:sz w:val="24"/>
          <w:szCs w:val="24"/>
        </w:rPr>
      </w:pPr>
      <w:r w:rsidRPr="004B2A73">
        <w:rPr>
          <w:rFonts w:ascii="Calibri" w:hAnsi="Calibri"/>
          <w:sz w:val="24"/>
          <w:szCs w:val="24"/>
        </w:rPr>
        <w:t xml:space="preserve">GPHA </w:t>
      </w:r>
      <w:r w:rsidRPr="004B2A73">
        <w:rPr>
          <w:rFonts w:ascii="Calibri" w:hAnsi="Calibri"/>
          <w:sz w:val="24"/>
          <w:szCs w:val="24"/>
        </w:rPr>
        <w:tab/>
      </w:r>
      <w:r w:rsidRPr="004B2A73">
        <w:rPr>
          <w:rFonts w:ascii="Calibri" w:hAnsi="Calibri"/>
          <w:sz w:val="24"/>
          <w:szCs w:val="24"/>
        </w:rPr>
        <w:tab/>
        <w:t xml:space="preserve">Ghana Ports and </w:t>
      </w:r>
      <w:r w:rsidR="001B6CC1" w:rsidRPr="004B2A73">
        <w:rPr>
          <w:rFonts w:ascii="Calibri" w:hAnsi="Calibri"/>
          <w:sz w:val="24"/>
          <w:szCs w:val="24"/>
        </w:rPr>
        <w:t>Harbors</w:t>
      </w:r>
      <w:r w:rsidRPr="004B2A73">
        <w:rPr>
          <w:rFonts w:ascii="Calibri" w:hAnsi="Calibri"/>
          <w:sz w:val="24"/>
          <w:szCs w:val="24"/>
        </w:rPr>
        <w:t xml:space="preserve"> Authority</w:t>
      </w:r>
    </w:p>
    <w:p w14:paraId="1FF99A2B" w14:textId="42771CCA" w:rsidR="00B738E5" w:rsidRDefault="00B738E5" w:rsidP="00231FD0">
      <w:pPr>
        <w:spacing w:before="120" w:line="240" w:lineRule="auto"/>
        <w:rPr>
          <w:rFonts w:ascii="Calibri" w:hAnsi="Calibri"/>
          <w:sz w:val="24"/>
        </w:rPr>
      </w:pPr>
      <w:r>
        <w:rPr>
          <w:rFonts w:ascii="Calibri" w:hAnsi="Calibri"/>
          <w:sz w:val="24"/>
          <w:szCs w:val="24"/>
        </w:rPr>
        <w:t>IFC</w:t>
      </w:r>
      <w:r>
        <w:rPr>
          <w:rFonts w:ascii="Calibri" w:hAnsi="Calibri"/>
          <w:sz w:val="24"/>
          <w:szCs w:val="24"/>
        </w:rPr>
        <w:tab/>
      </w:r>
      <w:r>
        <w:rPr>
          <w:rFonts w:ascii="Calibri" w:hAnsi="Calibri"/>
          <w:sz w:val="24"/>
          <w:szCs w:val="24"/>
        </w:rPr>
        <w:tab/>
      </w:r>
      <w:r>
        <w:rPr>
          <w:rFonts w:ascii="Calibri" w:hAnsi="Calibri"/>
          <w:sz w:val="24"/>
        </w:rPr>
        <w:t>International Finance Cooperation</w:t>
      </w:r>
    </w:p>
    <w:p w14:paraId="6E9859FB" w14:textId="6A0D4D42" w:rsidR="00267B2B" w:rsidRDefault="00267B2B" w:rsidP="00231FD0">
      <w:pPr>
        <w:spacing w:before="120" w:line="240" w:lineRule="auto"/>
        <w:rPr>
          <w:rFonts w:ascii="Calibri" w:hAnsi="Calibri"/>
          <w:sz w:val="24"/>
          <w:szCs w:val="24"/>
        </w:rPr>
      </w:pPr>
      <w:r>
        <w:rPr>
          <w:rFonts w:ascii="Calibri" w:hAnsi="Calibri"/>
          <w:sz w:val="24"/>
        </w:rPr>
        <w:t>LCT</w:t>
      </w:r>
      <w:r>
        <w:rPr>
          <w:rFonts w:ascii="Calibri" w:hAnsi="Calibri"/>
          <w:sz w:val="24"/>
        </w:rPr>
        <w:tab/>
      </w:r>
      <w:r>
        <w:rPr>
          <w:rFonts w:ascii="Calibri" w:hAnsi="Calibri"/>
          <w:sz w:val="24"/>
        </w:rPr>
        <w:tab/>
      </w:r>
      <w:r w:rsidRPr="00267B2B">
        <w:rPr>
          <w:rFonts w:ascii="Calibri" w:hAnsi="Calibri"/>
          <w:sz w:val="24"/>
        </w:rPr>
        <w:t>Lome Container Terminal</w:t>
      </w:r>
    </w:p>
    <w:p w14:paraId="76E552D2" w14:textId="04A12047" w:rsidR="00040EDD" w:rsidRPr="00466914" w:rsidRDefault="003E02B3" w:rsidP="00040EDD">
      <w:pPr>
        <w:spacing w:before="120" w:line="240" w:lineRule="auto"/>
        <w:rPr>
          <w:rFonts w:ascii="Calibri" w:hAnsi="Calibri"/>
          <w:sz w:val="24"/>
          <w:szCs w:val="24"/>
          <w:lang w:val="fr-FR"/>
        </w:rPr>
      </w:pPr>
      <w:r w:rsidRPr="00466914">
        <w:rPr>
          <w:rFonts w:ascii="Calibri" w:hAnsi="Calibri"/>
          <w:sz w:val="24"/>
          <w:lang w:val="fr-FR"/>
        </w:rPr>
        <w:t>LPLE</w:t>
      </w:r>
      <w:r w:rsidRPr="00466914">
        <w:rPr>
          <w:rFonts w:ascii="Calibri" w:hAnsi="Calibri"/>
          <w:sz w:val="24"/>
          <w:lang w:val="fr-FR"/>
        </w:rPr>
        <w:tab/>
      </w:r>
      <w:r w:rsidRPr="00466914">
        <w:rPr>
          <w:rFonts w:ascii="Calibri" w:hAnsi="Calibri"/>
          <w:sz w:val="24"/>
          <w:lang w:val="fr-FR"/>
        </w:rPr>
        <w:tab/>
      </w:r>
      <w:r w:rsidR="00040EDD" w:rsidRPr="00466914">
        <w:rPr>
          <w:rFonts w:ascii="Calibri" w:hAnsi="Calibri"/>
          <w:sz w:val="24"/>
          <w:lang w:val="fr-FR"/>
        </w:rPr>
        <w:t xml:space="preserve">Lekki Port LFTZ Enterprise </w:t>
      </w:r>
    </w:p>
    <w:p w14:paraId="4A973301" w14:textId="4B14F9D4" w:rsidR="006C1685" w:rsidRDefault="006C1685" w:rsidP="00231FD0">
      <w:pPr>
        <w:spacing w:before="120" w:line="240" w:lineRule="auto"/>
        <w:rPr>
          <w:rFonts w:ascii="Calibri" w:hAnsi="Calibri"/>
          <w:sz w:val="24"/>
        </w:rPr>
      </w:pPr>
      <w:r w:rsidRPr="006C1685">
        <w:rPr>
          <w:rFonts w:ascii="Calibri" w:hAnsi="Calibri"/>
          <w:sz w:val="24"/>
          <w:szCs w:val="24"/>
        </w:rPr>
        <w:t>LSCI</w:t>
      </w:r>
      <w:r>
        <w:rPr>
          <w:rFonts w:ascii="Calibri" w:hAnsi="Calibri"/>
          <w:sz w:val="24"/>
          <w:szCs w:val="24"/>
        </w:rPr>
        <w:tab/>
      </w:r>
      <w:r>
        <w:rPr>
          <w:rFonts w:ascii="Calibri" w:hAnsi="Calibri"/>
          <w:sz w:val="24"/>
          <w:szCs w:val="24"/>
        </w:rPr>
        <w:tab/>
      </w:r>
      <w:r w:rsidRPr="004B2A73">
        <w:rPr>
          <w:rFonts w:ascii="Calibri" w:hAnsi="Calibri"/>
          <w:sz w:val="24"/>
        </w:rPr>
        <w:t>Liner Shipping Connectivity Index</w:t>
      </w:r>
    </w:p>
    <w:p w14:paraId="7EC105EA" w14:textId="744D171D" w:rsidR="003E02B3" w:rsidRPr="003E02B3" w:rsidRDefault="003E02B3" w:rsidP="00231FD0">
      <w:pPr>
        <w:spacing w:before="120" w:line="240" w:lineRule="auto"/>
        <w:rPr>
          <w:rFonts w:ascii="Calibri" w:hAnsi="Calibri"/>
          <w:sz w:val="24"/>
        </w:rPr>
      </w:pPr>
      <w:r w:rsidRPr="003E02B3">
        <w:rPr>
          <w:rFonts w:ascii="Calibri" w:hAnsi="Calibri"/>
          <w:sz w:val="24"/>
        </w:rPr>
        <w:t xml:space="preserve">ICTSI </w:t>
      </w:r>
      <w:r w:rsidRPr="003E02B3">
        <w:rPr>
          <w:rFonts w:ascii="Calibri" w:hAnsi="Calibri"/>
          <w:sz w:val="24"/>
        </w:rPr>
        <w:tab/>
      </w:r>
      <w:r w:rsidRPr="003E02B3">
        <w:rPr>
          <w:rFonts w:ascii="Calibri" w:hAnsi="Calibri"/>
          <w:sz w:val="24"/>
        </w:rPr>
        <w:tab/>
        <w:t>International Container Terminal Services</w:t>
      </w:r>
    </w:p>
    <w:p w14:paraId="3A5B7D41" w14:textId="37173736" w:rsidR="00231E32" w:rsidRDefault="00231E32" w:rsidP="00231FD0">
      <w:pPr>
        <w:spacing w:before="120" w:line="240" w:lineRule="auto"/>
        <w:rPr>
          <w:rFonts w:ascii="Calibri" w:hAnsi="Calibri"/>
          <w:sz w:val="24"/>
        </w:rPr>
      </w:pPr>
      <w:r>
        <w:rPr>
          <w:rFonts w:ascii="Calibri" w:hAnsi="Calibri"/>
          <w:sz w:val="24"/>
        </w:rPr>
        <w:t>IMF</w:t>
      </w:r>
      <w:r>
        <w:rPr>
          <w:rFonts w:ascii="Calibri" w:hAnsi="Calibri"/>
          <w:sz w:val="24"/>
        </w:rPr>
        <w:tab/>
      </w:r>
      <w:r>
        <w:rPr>
          <w:rFonts w:ascii="Calibri" w:hAnsi="Calibri"/>
          <w:sz w:val="24"/>
        </w:rPr>
        <w:tab/>
        <w:t>International Monetary Fund</w:t>
      </w:r>
    </w:p>
    <w:p w14:paraId="5D82FE57" w14:textId="5BA74052" w:rsidR="00ED4B11" w:rsidRPr="004B2A73" w:rsidRDefault="00ED4B11" w:rsidP="00231FD0">
      <w:pPr>
        <w:spacing w:before="120" w:line="240" w:lineRule="auto"/>
        <w:rPr>
          <w:rFonts w:ascii="Calibri" w:hAnsi="Calibri"/>
          <w:sz w:val="24"/>
          <w:szCs w:val="24"/>
        </w:rPr>
      </w:pPr>
      <w:r w:rsidRPr="004B2A73">
        <w:rPr>
          <w:rFonts w:ascii="Calibri" w:hAnsi="Calibri"/>
          <w:sz w:val="24"/>
        </w:rPr>
        <w:t>MHC</w:t>
      </w:r>
      <w:r w:rsidRPr="004B2A73">
        <w:rPr>
          <w:rFonts w:ascii="Calibri" w:hAnsi="Calibri"/>
          <w:sz w:val="24"/>
        </w:rPr>
        <w:tab/>
      </w:r>
      <w:r w:rsidRPr="004B2A73">
        <w:rPr>
          <w:rFonts w:ascii="Calibri" w:hAnsi="Calibri"/>
          <w:sz w:val="24"/>
        </w:rPr>
        <w:tab/>
        <w:t xml:space="preserve">Mobile Harbor Cranes </w:t>
      </w:r>
    </w:p>
    <w:p w14:paraId="05644A6B" w14:textId="77777777" w:rsidR="00ED4B11" w:rsidRPr="004B2A73" w:rsidRDefault="00ED4B11" w:rsidP="00231FD0">
      <w:pPr>
        <w:spacing w:before="120" w:line="240" w:lineRule="auto"/>
        <w:rPr>
          <w:rFonts w:ascii="Calibri" w:hAnsi="Calibri"/>
          <w:b/>
          <w:sz w:val="24"/>
          <w:szCs w:val="24"/>
        </w:rPr>
      </w:pPr>
      <w:r w:rsidRPr="004B2A73">
        <w:rPr>
          <w:rFonts w:ascii="Calibri" w:hAnsi="Calibri"/>
          <w:sz w:val="24"/>
          <w:szCs w:val="24"/>
        </w:rPr>
        <w:t xml:space="preserve">MPI </w:t>
      </w:r>
      <w:r w:rsidRPr="004B2A73">
        <w:rPr>
          <w:rFonts w:ascii="Calibri" w:hAnsi="Calibri"/>
          <w:sz w:val="24"/>
          <w:szCs w:val="24"/>
        </w:rPr>
        <w:tab/>
      </w:r>
      <w:r w:rsidRPr="004B2A73">
        <w:rPr>
          <w:rFonts w:ascii="Calibri" w:hAnsi="Calibri"/>
          <w:sz w:val="24"/>
          <w:szCs w:val="24"/>
        </w:rPr>
        <w:tab/>
        <w:t>Malmquist Productivity Index</w:t>
      </w:r>
      <w:r w:rsidRPr="004B2A73">
        <w:rPr>
          <w:rFonts w:ascii="Calibri" w:hAnsi="Calibri"/>
          <w:b/>
          <w:sz w:val="24"/>
          <w:szCs w:val="24"/>
        </w:rPr>
        <w:t xml:space="preserve"> </w:t>
      </w:r>
    </w:p>
    <w:p w14:paraId="7387932E" w14:textId="77777777" w:rsidR="00ED4B11" w:rsidRPr="004B2A73" w:rsidRDefault="00ED4B11" w:rsidP="00231FD0">
      <w:pPr>
        <w:spacing w:before="120" w:line="240" w:lineRule="auto"/>
        <w:rPr>
          <w:rFonts w:ascii="Calibri" w:hAnsi="Calibri"/>
          <w:sz w:val="24"/>
          <w:szCs w:val="24"/>
        </w:rPr>
      </w:pPr>
      <w:r w:rsidRPr="004B2A73">
        <w:rPr>
          <w:rFonts w:ascii="Calibri" w:hAnsi="Calibri"/>
          <w:sz w:val="24"/>
          <w:szCs w:val="24"/>
        </w:rPr>
        <w:t>MPS</w:t>
      </w:r>
      <w:r w:rsidRPr="004B2A73">
        <w:rPr>
          <w:rFonts w:ascii="Calibri" w:hAnsi="Calibri"/>
          <w:sz w:val="24"/>
          <w:szCs w:val="24"/>
        </w:rPr>
        <w:tab/>
      </w:r>
      <w:r w:rsidRPr="004B2A73">
        <w:rPr>
          <w:rFonts w:ascii="Calibri" w:hAnsi="Calibri"/>
          <w:sz w:val="24"/>
          <w:szCs w:val="24"/>
        </w:rPr>
        <w:tab/>
        <w:t>Meridian Port Services</w:t>
      </w:r>
    </w:p>
    <w:p w14:paraId="33264146" w14:textId="77777777" w:rsidR="00ED4B11" w:rsidRPr="004B2A73" w:rsidRDefault="00ED4B11" w:rsidP="00231FD0">
      <w:pPr>
        <w:spacing w:before="120" w:line="240" w:lineRule="auto"/>
        <w:rPr>
          <w:rFonts w:ascii="Calibri" w:hAnsi="Calibri"/>
          <w:sz w:val="24"/>
          <w:szCs w:val="24"/>
        </w:rPr>
      </w:pPr>
      <w:r w:rsidRPr="004B2A73">
        <w:rPr>
          <w:rFonts w:ascii="Calibri" w:hAnsi="Calibri"/>
          <w:sz w:val="24"/>
        </w:rPr>
        <w:t>MSC</w:t>
      </w:r>
      <w:r w:rsidR="001619C8" w:rsidRPr="004B2A73">
        <w:rPr>
          <w:rFonts w:ascii="Calibri" w:hAnsi="Calibri"/>
          <w:sz w:val="24"/>
        </w:rPr>
        <w:tab/>
      </w:r>
      <w:r w:rsidR="001619C8" w:rsidRPr="004B2A73">
        <w:rPr>
          <w:rFonts w:ascii="Calibri" w:hAnsi="Calibri"/>
          <w:sz w:val="24"/>
        </w:rPr>
        <w:tab/>
        <w:t>Mediterranean Shipping Company</w:t>
      </w:r>
    </w:p>
    <w:p w14:paraId="5DA2F41E" w14:textId="774E387D" w:rsidR="00ED4B11" w:rsidRDefault="00ED4B11" w:rsidP="00231FD0">
      <w:pPr>
        <w:spacing w:before="120" w:line="240" w:lineRule="auto"/>
        <w:rPr>
          <w:rFonts w:ascii="Calibri" w:hAnsi="Calibri"/>
          <w:sz w:val="24"/>
          <w:szCs w:val="24"/>
        </w:rPr>
      </w:pPr>
      <w:r w:rsidRPr="004B2A73">
        <w:rPr>
          <w:rFonts w:ascii="Calibri" w:hAnsi="Calibri"/>
          <w:sz w:val="24"/>
          <w:szCs w:val="24"/>
        </w:rPr>
        <w:t xml:space="preserve">NPA </w:t>
      </w:r>
      <w:r w:rsidRPr="004B2A73">
        <w:rPr>
          <w:rFonts w:ascii="Calibri" w:hAnsi="Calibri"/>
          <w:sz w:val="24"/>
          <w:szCs w:val="24"/>
        </w:rPr>
        <w:tab/>
      </w:r>
      <w:r w:rsidRPr="004B2A73">
        <w:rPr>
          <w:rFonts w:ascii="Calibri" w:hAnsi="Calibri"/>
          <w:sz w:val="24"/>
          <w:szCs w:val="24"/>
        </w:rPr>
        <w:tab/>
        <w:t>Nigeria Port Authority</w:t>
      </w:r>
    </w:p>
    <w:p w14:paraId="0ED9F8A4" w14:textId="2C5C0CEA" w:rsidR="00842254" w:rsidRDefault="00842254" w:rsidP="00231FD0">
      <w:pPr>
        <w:spacing w:before="120" w:line="240" w:lineRule="auto"/>
        <w:rPr>
          <w:rFonts w:ascii="Calibri" w:hAnsi="Calibri"/>
          <w:sz w:val="24"/>
        </w:rPr>
      </w:pPr>
      <w:r>
        <w:rPr>
          <w:rFonts w:ascii="Calibri" w:hAnsi="Calibri"/>
          <w:sz w:val="24"/>
        </w:rPr>
        <w:lastRenderedPageBreak/>
        <w:t>PCHS</w:t>
      </w:r>
      <w:r>
        <w:rPr>
          <w:rFonts w:ascii="Calibri" w:hAnsi="Calibri"/>
          <w:sz w:val="24"/>
        </w:rPr>
        <w:tab/>
      </w:r>
      <w:r>
        <w:rPr>
          <w:rFonts w:ascii="Calibri" w:hAnsi="Calibri"/>
          <w:sz w:val="24"/>
        </w:rPr>
        <w:tab/>
      </w:r>
      <w:r w:rsidRPr="004B2A73">
        <w:rPr>
          <w:rFonts w:ascii="Calibri" w:hAnsi="Calibri"/>
          <w:sz w:val="24"/>
        </w:rPr>
        <w:t xml:space="preserve">Ports and Cargo Handling Services </w:t>
      </w:r>
    </w:p>
    <w:p w14:paraId="626846C5" w14:textId="46556B9E" w:rsidR="00D76CCE" w:rsidRPr="004B2A73" w:rsidRDefault="00D76CCE" w:rsidP="00231FD0">
      <w:pPr>
        <w:spacing w:before="120" w:line="240" w:lineRule="auto"/>
        <w:rPr>
          <w:rFonts w:ascii="Calibri" w:hAnsi="Calibri"/>
          <w:sz w:val="24"/>
          <w:szCs w:val="24"/>
        </w:rPr>
      </w:pPr>
      <w:r>
        <w:rPr>
          <w:rFonts w:ascii="Calibri" w:hAnsi="Calibri"/>
          <w:sz w:val="24"/>
          <w:szCs w:val="24"/>
        </w:rPr>
        <w:t>PMAWCA</w:t>
      </w:r>
      <w:r>
        <w:rPr>
          <w:rFonts w:ascii="Calibri" w:hAnsi="Calibri"/>
          <w:sz w:val="24"/>
          <w:szCs w:val="24"/>
        </w:rPr>
        <w:tab/>
      </w:r>
      <w:r w:rsidRPr="00395387">
        <w:rPr>
          <w:rFonts w:ascii="Calibri" w:hAnsi="Calibri"/>
          <w:sz w:val="24"/>
          <w:szCs w:val="24"/>
        </w:rPr>
        <w:t>Ports Management Associat</w:t>
      </w:r>
      <w:r>
        <w:rPr>
          <w:rFonts w:ascii="Calibri" w:hAnsi="Calibri"/>
          <w:sz w:val="24"/>
          <w:szCs w:val="24"/>
        </w:rPr>
        <w:t xml:space="preserve">ion of West and Central Africa </w:t>
      </w:r>
    </w:p>
    <w:p w14:paraId="4F7C0CFF" w14:textId="6937EFAC" w:rsidR="00ED4B11" w:rsidRDefault="00ED4B11" w:rsidP="00231FD0">
      <w:pPr>
        <w:spacing w:before="120" w:line="240" w:lineRule="auto"/>
        <w:rPr>
          <w:rFonts w:ascii="Calibri" w:hAnsi="Calibri"/>
          <w:bCs/>
          <w:sz w:val="24"/>
          <w:szCs w:val="24"/>
        </w:rPr>
      </w:pPr>
      <w:r w:rsidRPr="004B2A73">
        <w:rPr>
          <w:rFonts w:ascii="Calibri" w:hAnsi="Calibri"/>
          <w:bCs/>
          <w:sz w:val="24"/>
          <w:szCs w:val="24"/>
        </w:rPr>
        <w:t xml:space="preserve">PPIAF </w:t>
      </w:r>
      <w:r w:rsidRPr="004B2A73">
        <w:rPr>
          <w:rFonts w:ascii="Calibri" w:hAnsi="Calibri"/>
          <w:bCs/>
          <w:sz w:val="24"/>
          <w:szCs w:val="24"/>
        </w:rPr>
        <w:tab/>
      </w:r>
      <w:r w:rsidRPr="004B2A73">
        <w:rPr>
          <w:rFonts w:ascii="Calibri" w:hAnsi="Calibri"/>
          <w:bCs/>
          <w:sz w:val="24"/>
          <w:szCs w:val="24"/>
        </w:rPr>
        <w:tab/>
        <w:t xml:space="preserve">Public-Private Infrastructure Advisory Facility </w:t>
      </w:r>
    </w:p>
    <w:p w14:paraId="21F28F6C" w14:textId="6AFDFA72" w:rsidR="00C42E28" w:rsidRPr="004B2A73" w:rsidRDefault="00C42E28" w:rsidP="00231FD0">
      <w:pPr>
        <w:spacing w:before="120" w:line="240" w:lineRule="auto"/>
        <w:rPr>
          <w:rFonts w:ascii="Calibri" w:hAnsi="Calibri"/>
          <w:bCs/>
          <w:sz w:val="24"/>
          <w:szCs w:val="24"/>
        </w:rPr>
      </w:pPr>
      <w:r>
        <w:rPr>
          <w:rFonts w:ascii="Calibri" w:hAnsi="Calibri"/>
          <w:sz w:val="24"/>
          <w:lang w:val="en-GB"/>
        </w:rPr>
        <w:t>PEC</w:t>
      </w:r>
      <w:r>
        <w:rPr>
          <w:rFonts w:ascii="Calibri" w:hAnsi="Calibri"/>
          <w:sz w:val="24"/>
          <w:lang w:val="en-GB"/>
        </w:rPr>
        <w:tab/>
      </w:r>
      <w:r>
        <w:rPr>
          <w:rFonts w:ascii="Calibri" w:hAnsi="Calibri"/>
          <w:sz w:val="24"/>
          <w:lang w:val="en-GB"/>
        </w:rPr>
        <w:tab/>
      </w:r>
      <w:r w:rsidRPr="004B2A73">
        <w:rPr>
          <w:rFonts w:ascii="Calibri" w:hAnsi="Calibri"/>
          <w:sz w:val="24"/>
          <w:lang w:val="en-GB"/>
        </w:rPr>
        <w:t xml:space="preserve">Pure efficiency change </w:t>
      </w:r>
    </w:p>
    <w:p w14:paraId="650B7444" w14:textId="50992A6E" w:rsidR="00ED4B11" w:rsidRDefault="00ED4B11" w:rsidP="00231FD0">
      <w:pPr>
        <w:spacing w:before="120" w:line="240" w:lineRule="auto"/>
        <w:rPr>
          <w:rFonts w:ascii="Calibri" w:hAnsi="Calibri"/>
          <w:sz w:val="24"/>
          <w:szCs w:val="24"/>
        </w:rPr>
      </w:pPr>
      <w:r w:rsidRPr="004B2A73">
        <w:rPr>
          <w:rFonts w:ascii="Calibri" w:hAnsi="Calibri"/>
          <w:sz w:val="24"/>
          <w:szCs w:val="24"/>
        </w:rPr>
        <w:t xml:space="preserve">PPP </w:t>
      </w:r>
      <w:r w:rsidRPr="004B2A73">
        <w:rPr>
          <w:rFonts w:ascii="Calibri" w:hAnsi="Calibri"/>
          <w:sz w:val="24"/>
          <w:szCs w:val="24"/>
        </w:rPr>
        <w:tab/>
      </w:r>
      <w:r w:rsidRPr="004B2A73">
        <w:rPr>
          <w:rFonts w:ascii="Calibri" w:hAnsi="Calibri"/>
          <w:sz w:val="24"/>
          <w:szCs w:val="24"/>
        </w:rPr>
        <w:tab/>
        <w:t xml:space="preserve">Public-Private Partnerships </w:t>
      </w:r>
    </w:p>
    <w:p w14:paraId="1EFDACC8" w14:textId="79878864" w:rsidR="00093700" w:rsidRPr="004B2A73" w:rsidRDefault="00D76CCE" w:rsidP="00231FD0">
      <w:pPr>
        <w:spacing w:before="120" w:line="240" w:lineRule="auto"/>
        <w:rPr>
          <w:rFonts w:ascii="Calibri" w:hAnsi="Calibri"/>
          <w:sz w:val="24"/>
          <w:szCs w:val="24"/>
        </w:rPr>
      </w:pPr>
      <w:r>
        <w:rPr>
          <w:rFonts w:ascii="Calibri" w:hAnsi="Calibri"/>
          <w:sz w:val="24"/>
          <w:lang w:val="en-GB"/>
        </w:rPr>
        <w:t>REC</w:t>
      </w:r>
      <w:r w:rsidR="00093700">
        <w:rPr>
          <w:rFonts w:ascii="Calibri" w:hAnsi="Calibri"/>
          <w:sz w:val="24"/>
          <w:lang w:val="en-GB"/>
        </w:rPr>
        <w:tab/>
      </w:r>
      <w:r w:rsidR="00093700">
        <w:rPr>
          <w:rFonts w:ascii="Calibri" w:hAnsi="Calibri"/>
          <w:sz w:val="24"/>
          <w:lang w:val="en-GB"/>
        </w:rPr>
        <w:tab/>
      </w:r>
      <w:r w:rsidR="00093700">
        <w:rPr>
          <w:rFonts w:ascii="Calibri" w:hAnsi="Calibri"/>
          <w:sz w:val="24"/>
          <w:szCs w:val="24"/>
          <w:lang w:val="en-GB"/>
        </w:rPr>
        <w:t>R</w:t>
      </w:r>
      <w:r w:rsidR="00093700">
        <w:rPr>
          <w:rFonts w:ascii="Calibri" w:hAnsi="Calibri"/>
          <w:sz w:val="24"/>
          <w:szCs w:val="24"/>
        </w:rPr>
        <w:t>regional Economic C</w:t>
      </w:r>
      <w:r w:rsidR="00093700" w:rsidRPr="00093700">
        <w:rPr>
          <w:rFonts w:ascii="Calibri" w:hAnsi="Calibri"/>
          <w:sz w:val="24"/>
          <w:szCs w:val="24"/>
        </w:rPr>
        <w:t>ommunities</w:t>
      </w:r>
      <w:r w:rsidR="00093700">
        <w:rPr>
          <w:rFonts w:ascii="Calibri" w:hAnsi="Calibri"/>
          <w:sz w:val="24"/>
          <w:szCs w:val="24"/>
        </w:rPr>
        <w:t xml:space="preserve"> </w:t>
      </w:r>
    </w:p>
    <w:p w14:paraId="0378488C" w14:textId="23C070D5" w:rsidR="00ED4B11" w:rsidRDefault="001B6CC1" w:rsidP="00231FD0">
      <w:pPr>
        <w:spacing w:before="120" w:line="240" w:lineRule="auto"/>
        <w:rPr>
          <w:rFonts w:ascii="Calibri" w:hAnsi="Calibri"/>
          <w:sz w:val="24"/>
          <w:szCs w:val="24"/>
        </w:rPr>
      </w:pPr>
      <w:r w:rsidRPr="004B2A73">
        <w:rPr>
          <w:rFonts w:ascii="Calibri" w:hAnsi="Calibri"/>
          <w:sz w:val="24"/>
          <w:szCs w:val="24"/>
        </w:rPr>
        <w:t xml:space="preserve">RTG </w:t>
      </w:r>
      <w:r w:rsidRPr="004B2A73">
        <w:rPr>
          <w:rFonts w:ascii="Calibri" w:hAnsi="Calibri"/>
          <w:sz w:val="24"/>
          <w:szCs w:val="24"/>
        </w:rPr>
        <w:tab/>
      </w:r>
      <w:r w:rsidRPr="004B2A73">
        <w:rPr>
          <w:rFonts w:ascii="Calibri" w:hAnsi="Calibri"/>
          <w:sz w:val="24"/>
          <w:szCs w:val="24"/>
        </w:rPr>
        <w:tab/>
        <w:t>Rubber-Tyred G</w:t>
      </w:r>
      <w:r w:rsidR="00ED4B11" w:rsidRPr="004B2A73">
        <w:rPr>
          <w:rFonts w:ascii="Calibri" w:hAnsi="Calibri"/>
          <w:sz w:val="24"/>
          <w:szCs w:val="24"/>
        </w:rPr>
        <w:t>antry</w:t>
      </w:r>
    </w:p>
    <w:p w14:paraId="28B56530" w14:textId="15B5F5A7" w:rsidR="00B870FE" w:rsidRDefault="00B870FE" w:rsidP="00231FD0">
      <w:pPr>
        <w:spacing w:before="120" w:line="240" w:lineRule="auto"/>
        <w:rPr>
          <w:rFonts w:ascii="Calibri" w:hAnsi="Calibri"/>
          <w:sz w:val="24"/>
          <w:szCs w:val="24"/>
        </w:rPr>
      </w:pPr>
      <w:r>
        <w:rPr>
          <w:rFonts w:ascii="Calibri" w:hAnsi="Calibri"/>
          <w:sz w:val="24"/>
          <w:lang w:val="en-GB"/>
        </w:rPr>
        <w:t>SEC</w:t>
      </w:r>
      <w:r>
        <w:rPr>
          <w:rFonts w:ascii="Calibri" w:hAnsi="Calibri"/>
          <w:sz w:val="24"/>
          <w:lang w:val="en-GB"/>
        </w:rPr>
        <w:tab/>
      </w:r>
      <w:r>
        <w:rPr>
          <w:rFonts w:ascii="Calibri" w:hAnsi="Calibri"/>
          <w:sz w:val="24"/>
          <w:lang w:val="en-GB"/>
        </w:rPr>
        <w:tab/>
        <w:t xml:space="preserve">Scale Efficiency Change </w:t>
      </w:r>
    </w:p>
    <w:p w14:paraId="45B5F91C" w14:textId="27715C27" w:rsidR="006C1685" w:rsidRPr="00093700" w:rsidRDefault="006C1685" w:rsidP="00231FD0">
      <w:pPr>
        <w:spacing w:before="120" w:line="240" w:lineRule="auto"/>
        <w:rPr>
          <w:rFonts w:ascii="Calibri" w:hAnsi="Calibri"/>
          <w:i/>
          <w:sz w:val="24"/>
          <w:szCs w:val="24"/>
        </w:rPr>
      </w:pPr>
      <w:r w:rsidRPr="00093700">
        <w:rPr>
          <w:rFonts w:ascii="Calibri" w:hAnsi="Calibri"/>
          <w:sz w:val="24"/>
          <w:szCs w:val="24"/>
        </w:rPr>
        <w:t xml:space="preserve">SETV </w:t>
      </w:r>
      <w:r w:rsidRPr="00093700">
        <w:rPr>
          <w:rFonts w:ascii="Calibri" w:hAnsi="Calibri"/>
          <w:sz w:val="24"/>
          <w:szCs w:val="24"/>
        </w:rPr>
        <w:tab/>
      </w:r>
      <w:r w:rsidRPr="00093700">
        <w:rPr>
          <w:rFonts w:ascii="Calibri" w:hAnsi="Calibri"/>
          <w:sz w:val="24"/>
          <w:szCs w:val="24"/>
        </w:rPr>
        <w:tab/>
      </w:r>
      <w:r w:rsidRPr="00093700">
        <w:rPr>
          <w:rFonts w:ascii="Calibri" w:hAnsi="Calibri"/>
          <w:i/>
          <w:sz w:val="24"/>
          <w:szCs w:val="24"/>
        </w:rPr>
        <w:t>(Société d’Exploitation du Terminal de Vridi)</w:t>
      </w:r>
    </w:p>
    <w:p w14:paraId="713437B3" w14:textId="04A18EF4" w:rsidR="00BC10CC" w:rsidRPr="00BC10CC" w:rsidRDefault="00BC10CC" w:rsidP="00BC10CC">
      <w:pPr>
        <w:rPr>
          <w:sz w:val="24"/>
          <w:szCs w:val="24"/>
        </w:rPr>
      </w:pPr>
      <w:r>
        <w:rPr>
          <w:sz w:val="24"/>
          <w:szCs w:val="24"/>
          <w:lang w:val="en-GB"/>
        </w:rPr>
        <w:t>SFA</w:t>
      </w:r>
      <w:r>
        <w:rPr>
          <w:sz w:val="24"/>
          <w:szCs w:val="24"/>
          <w:lang w:val="en-GB"/>
        </w:rPr>
        <w:tab/>
      </w:r>
      <w:r>
        <w:rPr>
          <w:sz w:val="24"/>
          <w:szCs w:val="24"/>
          <w:lang w:val="en-GB"/>
        </w:rPr>
        <w:tab/>
      </w:r>
      <w:r w:rsidRPr="00BC10CC">
        <w:rPr>
          <w:sz w:val="24"/>
          <w:szCs w:val="24"/>
          <w:lang w:val="en-GB"/>
        </w:rPr>
        <w:t>Stochastic Frontier Analysis  </w:t>
      </w:r>
    </w:p>
    <w:p w14:paraId="71F9D78A" w14:textId="1D38DD37" w:rsidR="004953D4" w:rsidRDefault="004953D4" w:rsidP="00231FD0">
      <w:pPr>
        <w:spacing w:before="120" w:line="240" w:lineRule="auto"/>
        <w:rPr>
          <w:rFonts w:ascii="Calibri" w:hAnsi="Calibri"/>
          <w:sz w:val="24"/>
          <w:szCs w:val="24"/>
        </w:rPr>
      </w:pPr>
      <w:r>
        <w:rPr>
          <w:rFonts w:ascii="Calibri" w:hAnsi="Calibri"/>
          <w:sz w:val="24"/>
          <w:szCs w:val="24"/>
        </w:rPr>
        <w:t xml:space="preserve">SSA </w:t>
      </w:r>
      <w:r>
        <w:rPr>
          <w:rFonts w:ascii="Calibri" w:hAnsi="Calibri"/>
          <w:sz w:val="24"/>
          <w:szCs w:val="24"/>
        </w:rPr>
        <w:tab/>
      </w:r>
      <w:r>
        <w:rPr>
          <w:rFonts w:ascii="Calibri" w:hAnsi="Calibri"/>
          <w:sz w:val="24"/>
          <w:szCs w:val="24"/>
        </w:rPr>
        <w:tab/>
        <w:t>Sub-Saharan Africa</w:t>
      </w:r>
    </w:p>
    <w:p w14:paraId="17FBF078" w14:textId="4422F770" w:rsidR="004953D4" w:rsidRDefault="00F0626C" w:rsidP="00231FD0">
      <w:pPr>
        <w:spacing w:before="120" w:line="240" w:lineRule="auto"/>
        <w:rPr>
          <w:rFonts w:ascii="Calibri" w:hAnsi="Calibri"/>
          <w:sz w:val="24"/>
          <w:szCs w:val="24"/>
        </w:rPr>
      </w:pPr>
      <w:r>
        <w:rPr>
          <w:rFonts w:ascii="Calibri" w:hAnsi="Calibri"/>
          <w:sz w:val="24"/>
          <w:szCs w:val="24"/>
        </w:rPr>
        <w:t>STS</w:t>
      </w:r>
      <w:r>
        <w:rPr>
          <w:rFonts w:ascii="Calibri" w:hAnsi="Calibri"/>
          <w:sz w:val="24"/>
          <w:szCs w:val="24"/>
        </w:rPr>
        <w:tab/>
      </w:r>
      <w:r>
        <w:rPr>
          <w:rFonts w:ascii="Calibri" w:hAnsi="Calibri"/>
          <w:sz w:val="24"/>
          <w:szCs w:val="24"/>
        </w:rPr>
        <w:tab/>
        <w:t>Ship to Shore C</w:t>
      </w:r>
      <w:r w:rsidR="004953D4">
        <w:rPr>
          <w:rFonts w:ascii="Calibri" w:hAnsi="Calibri"/>
          <w:sz w:val="24"/>
          <w:szCs w:val="24"/>
        </w:rPr>
        <w:t>rane</w:t>
      </w:r>
    </w:p>
    <w:p w14:paraId="71D52A91" w14:textId="2F207F6E" w:rsidR="007E01C5" w:rsidRDefault="00D76CCE" w:rsidP="005460E2">
      <w:pPr>
        <w:spacing w:before="120" w:line="240" w:lineRule="auto"/>
        <w:rPr>
          <w:rFonts w:ascii="Calibri" w:hAnsi="Calibri"/>
          <w:sz w:val="24"/>
        </w:rPr>
      </w:pPr>
      <w:r>
        <w:rPr>
          <w:rFonts w:ascii="Calibri" w:hAnsi="Calibri"/>
          <w:sz w:val="24"/>
          <w:szCs w:val="24"/>
        </w:rPr>
        <w:t>TEU</w:t>
      </w:r>
      <w:r w:rsidR="007E01C5">
        <w:rPr>
          <w:rFonts w:ascii="Calibri" w:hAnsi="Calibri"/>
          <w:sz w:val="24"/>
          <w:szCs w:val="24"/>
        </w:rPr>
        <w:tab/>
      </w:r>
      <w:r w:rsidR="007E01C5">
        <w:rPr>
          <w:rFonts w:ascii="Calibri" w:hAnsi="Calibri"/>
          <w:sz w:val="24"/>
          <w:szCs w:val="24"/>
        </w:rPr>
        <w:tab/>
        <w:t xml:space="preserve">Twenty-foot Equivalent Units </w:t>
      </w:r>
    </w:p>
    <w:p w14:paraId="6E8B544D" w14:textId="70B61A2C" w:rsidR="005460E2" w:rsidRDefault="005460E2" w:rsidP="005460E2">
      <w:pPr>
        <w:spacing w:before="120" w:line="240" w:lineRule="auto"/>
        <w:rPr>
          <w:rFonts w:ascii="Calibri" w:hAnsi="Calibri"/>
          <w:sz w:val="24"/>
        </w:rPr>
      </w:pPr>
      <w:r>
        <w:rPr>
          <w:rFonts w:ascii="Calibri" w:hAnsi="Calibri"/>
          <w:sz w:val="24"/>
        </w:rPr>
        <w:t xml:space="preserve">TICT </w:t>
      </w:r>
      <w:r w:rsidR="007E01C5">
        <w:rPr>
          <w:rFonts w:ascii="Calibri" w:hAnsi="Calibri"/>
          <w:sz w:val="24"/>
        </w:rPr>
        <w:tab/>
      </w:r>
      <w:r w:rsidR="007E01C5">
        <w:rPr>
          <w:rFonts w:ascii="Calibri" w:hAnsi="Calibri"/>
          <w:sz w:val="24"/>
        </w:rPr>
        <w:tab/>
      </w:r>
      <w:r w:rsidRPr="004B2A73">
        <w:rPr>
          <w:rFonts w:ascii="Calibri" w:hAnsi="Calibri"/>
          <w:sz w:val="24"/>
        </w:rPr>
        <w:t>Ti</w:t>
      </w:r>
      <w:r>
        <w:rPr>
          <w:rFonts w:ascii="Calibri" w:hAnsi="Calibri"/>
          <w:sz w:val="24"/>
        </w:rPr>
        <w:t xml:space="preserve">ncan Island Container Terminal </w:t>
      </w:r>
    </w:p>
    <w:p w14:paraId="1516EC4B" w14:textId="13278329" w:rsidR="00F0626C" w:rsidRPr="004B2A73" w:rsidRDefault="00F0626C" w:rsidP="005460E2">
      <w:pPr>
        <w:spacing w:before="120" w:line="240" w:lineRule="auto"/>
        <w:rPr>
          <w:rFonts w:ascii="Calibri" w:hAnsi="Calibri"/>
          <w:sz w:val="24"/>
          <w:szCs w:val="24"/>
        </w:rPr>
      </w:pPr>
      <w:r>
        <w:rPr>
          <w:rFonts w:ascii="Calibri" w:hAnsi="Calibri"/>
          <w:sz w:val="24"/>
          <w:szCs w:val="24"/>
        </w:rPr>
        <w:t>TIL</w:t>
      </w:r>
      <w:r>
        <w:rPr>
          <w:rFonts w:ascii="Calibri" w:hAnsi="Calibri"/>
          <w:sz w:val="24"/>
          <w:szCs w:val="24"/>
        </w:rPr>
        <w:tab/>
      </w:r>
      <w:r>
        <w:rPr>
          <w:rFonts w:ascii="Calibri" w:hAnsi="Calibri"/>
          <w:sz w:val="24"/>
          <w:szCs w:val="24"/>
        </w:rPr>
        <w:tab/>
        <w:t xml:space="preserve">Terminal Investment Limited </w:t>
      </w:r>
    </w:p>
    <w:p w14:paraId="33B43F12" w14:textId="77777777" w:rsidR="00ED4B11" w:rsidRPr="004B2A73" w:rsidRDefault="00ED4B11" w:rsidP="00231FD0">
      <w:pPr>
        <w:spacing w:before="120" w:line="240" w:lineRule="auto"/>
        <w:rPr>
          <w:rFonts w:ascii="Calibri" w:hAnsi="Calibri"/>
          <w:sz w:val="24"/>
          <w:szCs w:val="24"/>
        </w:rPr>
      </w:pPr>
      <w:r w:rsidRPr="004B2A73">
        <w:rPr>
          <w:rFonts w:ascii="Calibri" w:hAnsi="Calibri"/>
          <w:sz w:val="24"/>
          <w:szCs w:val="24"/>
        </w:rPr>
        <w:t xml:space="preserve">TOC </w:t>
      </w:r>
      <w:r w:rsidRPr="004B2A73">
        <w:rPr>
          <w:rFonts w:ascii="Calibri" w:hAnsi="Calibri"/>
          <w:sz w:val="24"/>
          <w:szCs w:val="24"/>
        </w:rPr>
        <w:tab/>
      </w:r>
      <w:r w:rsidRPr="004B2A73">
        <w:rPr>
          <w:rFonts w:ascii="Calibri" w:hAnsi="Calibri"/>
          <w:sz w:val="24"/>
          <w:szCs w:val="24"/>
        </w:rPr>
        <w:tab/>
        <w:t>Terminal Operating Companies</w:t>
      </w:r>
    </w:p>
    <w:p w14:paraId="32283DD4" w14:textId="1B5A26B0" w:rsidR="00231E32" w:rsidRPr="00231E32" w:rsidRDefault="00231E32" w:rsidP="00231E32">
      <w:pPr>
        <w:spacing w:before="120" w:line="240" w:lineRule="auto"/>
        <w:ind w:left="1440" w:hanging="1440"/>
        <w:rPr>
          <w:rFonts w:ascii="Calibri" w:hAnsi="Calibri"/>
          <w:sz w:val="24"/>
          <w:szCs w:val="24"/>
        </w:rPr>
      </w:pPr>
      <w:r>
        <w:rPr>
          <w:rFonts w:ascii="Calibri" w:hAnsi="Calibri"/>
          <w:sz w:val="24"/>
          <w:szCs w:val="24"/>
        </w:rPr>
        <w:t>UEMOA</w:t>
      </w:r>
      <w:r>
        <w:rPr>
          <w:rFonts w:ascii="Calibri" w:hAnsi="Calibri"/>
          <w:sz w:val="24"/>
          <w:szCs w:val="24"/>
        </w:rPr>
        <w:tab/>
        <w:t>West African Economic and Monetary Union (</w:t>
      </w:r>
      <w:r w:rsidRPr="00231E32">
        <w:rPr>
          <w:rFonts w:ascii="Calibri" w:hAnsi="Calibri"/>
          <w:i/>
          <w:sz w:val="24"/>
          <w:szCs w:val="24"/>
        </w:rPr>
        <w:t>Union Economique et Monétaire Ouest Africaine</w:t>
      </w:r>
      <w:r>
        <w:rPr>
          <w:rFonts w:ascii="Calibri" w:hAnsi="Calibri"/>
          <w:sz w:val="24"/>
          <w:szCs w:val="24"/>
        </w:rPr>
        <w:t>)</w:t>
      </w:r>
    </w:p>
    <w:p w14:paraId="24E472AD" w14:textId="25138C25" w:rsidR="00E62C66" w:rsidRDefault="00ED4B11" w:rsidP="00231FD0">
      <w:pPr>
        <w:spacing w:before="120" w:line="240" w:lineRule="auto"/>
        <w:rPr>
          <w:rFonts w:ascii="Calibri" w:hAnsi="Calibri"/>
          <w:sz w:val="24"/>
          <w:szCs w:val="24"/>
        </w:rPr>
      </w:pPr>
      <w:r w:rsidRPr="004B2A73">
        <w:rPr>
          <w:rFonts w:ascii="Calibri" w:hAnsi="Calibri"/>
          <w:sz w:val="24"/>
          <w:szCs w:val="24"/>
        </w:rPr>
        <w:t>UNCTAD</w:t>
      </w:r>
      <w:r w:rsidRPr="004B2A73">
        <w:rPr>
          <w:rFonts w:ascii="Calibri" w:hAnsi="Calibri"/>
          <w:sz w:val="24"/>
          <w:szCs w:val="24"/>
        </w:rPr>
        <w:tab/>
        <w:t>United Nations on Trade and Development</w:t>
      </w:r>
    </w:p>
    <w:p w14:paraId="79F423AE" w14:textId="2B23347B" w:rsidR="00825E04" w:rsidRDefault="00825E04" w:rsidP="00231FD0">
      <w:pPr>
        <w:spacing w:before="120" w:line="240" w:lineRule="auto"/>
        <w:rPr>
          <w:rFonts w:ascii="Calibri" w:hAnsi="Calibri"/>
          <w:sz w:val="24"/>
          <w:szCs w:val="24"/>
        </w:rPr>
      </w:pPr>
      <w:r>
        <w:rPr>
          <w:rFonts w:ascii="Calibri" w:hAnsi="Calibri"/>
          <w:sz w:val="24"/>
          <w:szCs w:val="24"/>
        </w:rPr>
        <w:t>USAID</w:t>
      </w:r>
      <w:r>
        <w:rPr>
          <w:rFonts w:ascii="Calibri" w:hAnsi="Calibri"/>
          <w:sz w:val="24"/>
          <w:szCs w:val="24"/>
        </w:rPr>
        <w:tab/>
      </w:r>
      <w:r>
        <w:rPr>
          <w:rFonts w:ascii="Calibri" w:hAnsi="Calibri"/>
          <w:sz w:val="24"/>
          <w:szCs w:val="24"/>
        </w:rPr>
        <w:tab/>
        <w:t>United States Agency for International Development</w:t>
      </w:r>
    </w:p>
    <w:p w14:paraId="00A10A36" w14:textId="3F4089AF" w:rsidR="00825E04" w:rsidRDefault="00825E04" w:rsidP="00231FD0">
      <w:pPr>
        <w:spacing w:before="120" w:line="240" w:lineRule="auto"/>
        <w:rPr>
          <w:rFonts w:ascii="Calibri" w:hAnsi="Calibri"/>
          <w:sz w:val="24"/>
          <w:szCs w:val="24"/>
        </w:rPr>
      </w:pPr>
      <w:r>
        <w:rPr>
          <w:rFonts w:ascii="Calibri" w:hAnsi="Calibri"/>
          <w:sz w:val="24"/>
          <w:szCs w:val="24"/>
        </w:rPr>
        <w:t>WBG</w:t>
      </w:r>
      <w:r>
        <w:rPr>
          <w:rFonts w:ascii="Calibri" w:hAnsi="Calibri"/>
          <w:sz w:val="24"/>
          <w:szCs w:val="24"/>
        </w:rPr>
        <w:tab/>
      </w:r>
      <w:r>
        <w:rPr>
          <w:rFonts w:ascii="Calibri" w:hAnsi="Calibri"/>
          <w:sz w:val="24"/>
          <w:szCs w:val="24"/>
        </w:rPr>
        <w:tab/>
        <w:t>World Bank Group</w:t>
      </w:r>
    </w:p>
    <w:p w14:paraId="29EEE753" w14:textId="77777777" w:rsidR="001D7E70" w:rsidRPr="004B2A73" w:rsidRDefault="001D7E70" w:rsidP="00231FD0">
      <w:pPr>
        <w:spacing w:before="120" w:line="240" w:lineRule="auto"/>
        <w:rPr>
          <w:rFonts w:ascii="Calibri" w:hAnsi="Calibri"/>
          <w:sz w:val="24"/>
          <w:szCs w:val="24"/>
        </w:rPr>
      </w:pPr>
    </w:p>
    <w:p w14:paraId="6B102838" w14:textId="77777777" w:rsidR="00E62C66" w:rsidRPr="004B2A73" w:rsidRDefault="00E62C66">
      <w:pPr>
        <w:rPr>
          <w:rFonts w:ascii="Calibri" w:hAnsi="Calibri"/>
          <w:sz w:val="24"/>
          <w:szCs w:val="24"/>
        </w:rPr>
      </w:pPr>
      <w:r w:rsidRPr="004B2A73">
        <w:rPr>
          <w:rFonts w:ascii="Calibri" w:hAnsi="Calibri"/>
          <w:sz w:val="24"/>
          <w:szCs w:val="24"/>
        </w:rPr>
        <w:br w:type="page"/>
      </w:r>
    </w:p>
    <w:p w14:paraId="7B81364F" w14:textId="039745AD" w:rsidR="000B217C" w:rsidRPr="000B217C" w:rsidRDefault="000B217C" w:rsidP="005939A2">
      <w:pPr>
        <w:pStyle w:val="Heading1"/>
        <w:numPr>
          <w:ilvl w:val="0"/>
          <w:numId w:val="0"/>
        </w:numPr>
        <w:jc w:val="center"/>
      </w:pPr>
      <w:bookmarkStart w:id="4" w:name="_Toc485381984"/>
      <w:r w:rsidRPr="000B217C">
        <w:lastRenderedPageBreak/>
        <w:t>Table of Contents</w:t>
      </w:r>
      <w:bookmarkEnd w:id="4"/>
    </w:p>
    <w:p w14:paraId="65E3D039" w14:textId="6190224A" w:rsidR="00ED4B11" w:rsidRPr="004B2A73" w:rsidRDefault="00ED4B11" w:rsidP="00231FD0">
      <w:pPr>
        <w:spacing w:before="120" w:line="240" w:lineRule="auto"/>
        <w:rPr>
          <w:rFonts w:ascii="Calibri" w:hAnsi="Calibri"/>
        </w:rPr>
      </w:pPr>
    </w:p>
    <w:sdt>
      <w:sdtPr>
        <w:rPr>
          <w:rFonts w:ascii="Calibri" w:eastAsiaTheme="minorHAnsi" w:hAnsi="Calibri" w:cstheme="minorBidi"/>
          <w:b/>
          <w:sz w:val="22"/>
        </w:rPr>
        <w:id w:val="-467589433"/>
        <w:docPartObj>
          <w:docPartGallery w:val="Table of Contents"/>
          <w:docPartUnique/>
        </w:docPartObj>
      </w:sdtPr>
      <w:sdtEndPr>
        <w:rPr>
          <w:rFonts w:eastAsiaTheme="minorEastAsia"/>
          <w:b w:val="0"/>
          <w:bCs/>
          <w:noProof/>
        </w:rPr>
      </w:sdtEndPr>
      <w:sdtContent>
        <w:p w14:paraId="49689F31" w14:textId="567F2604" w:rsidR="00674176" w:rsidRDefault="00520B46">
          <w:pPr>
            <w:pStyle w:val="TOC1"/>
            <w:rPr>
              <w:rFonts w:asciiTheme="minorHAnsi" w:hAnsiTheme="minorHAnsi" w:cstheme="minorBidi"/>
              <w:noProof/>
              <w:sz w:val="22"/>
            </w:rPr>
          </w:pPr>
          <w:r w:rsidRPr="00A31EDE">
            <w:rPr>
              <w:rFonts w:asciiTheme="minorHAnsi" w:hAnsiTheme="minorHAnsi" w:cs="Times New Roman"/>
              <w:sz w:val="22"/>
            </w:rPr>
            <w:fldChar w:fldCharType="begin"/>
          </w:r>
          <w:r w:rsidR="00F41A0A" w:rsidRPr="00A31EDE">
            <w:rPr>
              <w:rFonts w:asciiTheme="minorHAnsi" w:hAnsiTheme="minorHAnsi" w:cs="Times New Roman"/>
              <w:sz w:val="22"/>
            </w:rPr>
            <w:instrText xml:space="preserve"> TOC \o "1-2" \h \z \u </w:instrText>
          </w:r>
          <w:r w:rsidRPr="00A31EDE">
            <w:rPr>
              <w:rFonts w:asciiTheme="minorHAnsi" w:hAnsiTheme="minorHAnsi" w:cs="Times New Roman"/>
              <w:sz w:val="22"/>
            </w:rPr>
            <w:fldChar w:fldCharType="separate"/>
          </w:r>
          <w:hyperlink w:anchor="_Toc485381982" w:history="1">
            <w:r w:rsidR="00674176" w:rsidRPr="00FF6306">
              <w:rPr>
                <w:rStyle w:val="Hyperlink"/>
                <w:noProof/>
              </w:rPr>
              <w:t>Acknowledgments</w:t>
            </w:r>
            <w:r w:rsidR="00674176">
              <w:rPr>
                <w:noProof/>
                <w:webHidden/>
              </w:rPr>
              <w:tab/>
            </w:r>
            <w:r w:rsidR="00674176">
              <w:rPr>
                <w:noProof/>
                <w:webHidden/>
              </w:rPr>
              <w:fldChar w:fldCharType="begin"/>
            </w:r>
            <w:r w:rsidR="00674176">
              <w:rPr>
                <w:noProof/>
                <w:webHidden/>
              </w:rPr>
              <w:instrText xml:space="preserve"> PAGEREF _Toc485381982 \h </w:instrText>
            </w:r>
            <w:r w:rsidR="00674176">
              <w:rPr>
                <w:noProof/>
                <w:webHidden/>
              </w:rPr>
            </w:r>
            <w:r w:rsidR="00674176">
              <w:rPr>
                <w:noProof/>
                <w:webHidden/>
              </w:rPr>
              <w:fldChar w:fldCharType="separate"/>
            </w:r>
            <w:r w:rsidR="00212D01">
              <w:rPr>
                <w:noProof/>
                <w:webHidden/>
              </w:rPr>
              <w:t>i</w:t>
            </w:r>
            <w:r w:rsidR="00674176">
              <w:rPr>
                <w:noProof/>
                <w:webHidden/>
              </w:rPr>
              <w:fldChar w:fldCharType="end"/>
            </w:r>
          </w:hyperlink>
        </w:p>
        <w:p w14:paraId="4DB00858" w14:textId="46734C5D" w:rsidR="00674176" w:rsidRDefault="00A15383">
          <w:pPr>
            <w:pStyle w:val="TOC1"/>
            <w:rPr>
              <w:rFonts w:asciiTheme="minorHAnsi" w:hAnsiTheme="minorHAnsi" w:cstheme="minorBidi"/>
              <w:noProof/>
              <w:sz w:val="22"/>
            </w:rPr>
          </w:pPr>
          <w:hyperlink w:anchor="_Toc485381983" w:history="1">
            <w:r w:rsidR="00674176" w:rsidRPr="00FF6306">
              <w:rPr>
                <w:rStyle w:val="Hyperlink"/>
                <w:noProof/>
              </w:rPr>
              <w:t>Abbreviations and acronyms</w:t>
            </w:r>
            <w:r w:rsidR="00674176">
              <w:rPr>
                <w:noProof/>
                <w:webHidden/>
              </w:rPr>
              <w:tab/>
            </w:r>
            <w:r w:rsidR="00674176">
              <w:rPr>
                <w:noProof/>
                <w:webHidden/>
              </w:rPr>
              <w:fldChar w:fldCharType="begin"/>
            </w:r>
            <w:r w:rsidR="00674176">
              <w:rPr>
                <w:noProof/>
                <w:webHidden/>
              </w:rPr>
              <w:instrText xml:space="preserve"> PAGEREF _Toc485381983 \h </w:instrText>
            </w:r>
            <w:r w:rsidR="00674176">
              <w:rPr>
                <w:noProof/>
                <w:webHidden/>
              </w:rPr>
            </w:r>
            <w:r w:rsidR="00674176">
              <w:rPr>
                <w:noProof/>
                <w:webHidden/>
              </w:rPr>
              <w:fldChar w:fldCharType="separate"/>
            </w:r>
            <w:r w:rsidR="00212D01">
              <w:rPr>
                <w:noProof/>
                <w:webHidden/>
              </w:rPr>
              <w:t>2</w:t>
            </w:r>
            <w:r w:rsidR="00674176">
              <w:rPr>
                <w:noProof/>
                <w:webHidden/>
              </w:rPr>
              <w:fldChar w:fldCharType="end"/>
            </w:r>
          </w:hyperlink>
        </w:p>
        <w:p w14:paraId="753D073C" w14:textId="1105208D" w:rsidR="00674176" w:rsidRDefault="00A15383">
          <w:pPr>
            <w:pStyle w:val="TOC1"/>
            <w:rPr>
              <w:rFonts w:asciiTheme="minorHAnsi" w:hAnsiTheme="minorHAnsi" w:cstheme="minorBidi"/>
              <w:noProof/>
              <w:sz w:val="22"/>
            </w:rPr>
          </w:pPr>
          <w:hyperlink w:anchor="_Toc485381984" w:history="1">
            <w:r w:rsidR="00674176" w:rsidRPr="00FF6306">
              <w:rPr>
                <w:rStyle w:val="Hyperlink"/>
                <w:noProof/>
              </w:rPr>
              <w:t>Table of Contents</w:t>
            </w:r>
            <w:r w:rsidR="00674176">
              <w:rPr>
                <w:noProof/>
                <w:webHidden/>
              </w:rPr>
              <w:tab/>
            </w:r>
            <w:r w:rsidR="00674176">
              <w:rPr>
                <w:noProof/>
                <w:webHidden/>
              </w:rPr>
              <w:fldChar w:fldCharType="begin"/>
            </w:r>
            <w:r w:rsidR="00674176">
              <w:rPr>
                <w:noProof/>
                <w:webHidden/>
              </w:rPr>
              <w:instrText xml:space="preserve"> PAGEREF _Toc485381984 \h </w:instrText>
            </w:r>
            <w:r w:rsidR="00674176">
              <w:rPr>
                <w:noProof/>
                <w:webHidden/>
              </w:rPr>
            </w:r>
            <w:r w:rsidR="00674176">
              <w:rPr>
                <w:noProof/>
                <w:webHidden/>
              </w:rPr>
              <w:fldChar w:fldCharType="separate"/>
            </w:r>
            <w:r w:rsidR="00212D01">
              <w:rPr>
                <w:noProof/>
                <w:webHidden/>
              </w:rPr>
              <w:t>4</w:t>
            </w:r>
            <w:r w:rsidR="00674176">
              <w:rPr>
                <w:noProof/>
                <w:webHidden/>
              </w:rPr>
              <w:fldChar w:fldCharType="end"/>
            </w:r>
          </w:hyperlink>
        </w:p>
        <w:p w14:paraId="414B7EE2" w14:textId="022821D9" w:rsidR="00674176" w:rsidRDefault="00A15383">
          <w:pPr>
            <w:pStyle w:val="TOC1"/>
            <w:rPr>
              <w:rFonts w:asciiTheme="minorHAnsi" w:hAnsiTheme="minorHAnsi" w:cstheme="minorBidi"/>
              <w:noProof/>
              <w:sz w:val="22"/>
            </w:rPr>
          </w:pPr>
          <w:hyperlink w:anchor="_Toc485381985" w:history="1">
            <w:r w:rsidR="00674176" w:rsidRPr="00FF6306">
              <w:rPr>
                <w:rStyle w:val="Hyperlink"/>
                <w:noProof/>
              </w:rPr>
              <w:t>Executive Summary</w:t>
            </w:r>
            <w:r w:rsidR="00674176">
              <w:rPr>
                <w:noProof/>
                <w:webHidden/>
              </w:rPr>
              <w:tab/>
            </w:r>
            <w:r w:rsidR="00674176">
              <w:rPr>
                <w:noProof/>
                <w:webHidden/>
              </w:rPr>
              <w:fldChar w:fldCharType="begin"/>
            </w:r>
            <w:r w:rsidR="00674176">
              <w:rPr>
                <w:noProof/>
                <w:webHidden/>
              </w:rPr>
              <w:instrText xml:space="preserve"> PAGEREF _Toc485381985 \h </w:instrText>
            </w:r>
            <w:r w:rsidR="00674176">
              <w:rPr>
                <w:noProof/>
                <w:webHidden/>
              </w:rPr>
            </w:r>
            <w:r w:rsidR="00674176">
              <w:rPr>
                <w:noProof/>
                <w:webHidden/>
              </w:rPr>
              <w:fldChar w:fldCharType="separate"/>
            </w:r>
            <w:r w:rsidR="00212D01">
              <w:rPr>
                <w:noProof/>
                <w:webHidden/>
              </w:rPr>
              <w:t>7</w:t>
            </w:r>
            <w:r w:rsidR="00674176">
              <w:rPr>
                <w:noProof/>
                <w:webHidden/>
              </w:rPr>
              <w:fldChar w:fldCharType="end"/>
            </w:r>
          </w:hyperlink>
        </w:p>
        <w:p w14:paraId="084F8822" w14:textId="2366F5D9" w:rsidR="00674176" w:rsidRDefault="00A15383">
          <w:pPr>
            <w:pStyle w:val="TOC1"/>
            <w:rPr>
              <w:rFonts w:asciiTheme="minorHAnsi" w:hAnsiTheme="minorHAnsi" w:cstheme="minorBidi"/>
              <w:noProof/>
              <w:sz w:val="22"/>
            </w:rPr>
          </w:pPr>
          <w:hyperlink w:anchor="_Toc485381986" w:history="1">
            <w:r w:rsidR="00674176" w:rsidRPr="00FF6306">
              <w:rPr>
                <w:rStyle w:val="Hyperlink"/>
                <w:noProof/>
              </w:rPr>
              <w:t>1.</w:t>
            </w:r>
            <w:r w:rsidR="00674176">
              <w:rPr>
                <w:rFonts w:asciiTheme="minorHAnsi" w:hAnsiTheme="minorHAnsi" w:cstheme="minorBidi"/>
                <w:noProof/>
                <w:sz w:val="22"/>
              </w:rPr>
              <w:tab/>
            </w:r>
            <w:r w:rsidR="00674176" w:rsidRPr="00FF6306">
              <w:rPr>
                <w:rStyle w:val="Hyperlink"/>
                <w:noProof/>
              </w:rPr>
              <w:t>The West African Ports Landscape and Containerized Trade</w:t>
            </w:r>
            <w:r w:rsidR="00674176">
              <w:rPr>
                <w:noProof/>
                <w:webHidden/>
              </w:rPr>
              <w:tab/>
            </w:r>
            <w:r w:rsidR="00674176">
              <w:rPr>
                <w:noProof/>
                <w:webHidden/>
              </w:rPr>
              <w:fldChar w:fldCharType="begin"/>
            </w:r>
            <w:r w:rsidR="00674176">
              <w:rPr>
                <w:noProof/>
                <w:webHidden/>
              </w:rPr>
              <w:instrText xml:space="preserve"> PAGEREF _Toc485381986 \h </w:instrText>
            </w:r>
            <w:r w:rsidR="00674176">
              <w:rPr>
                <w:noProof/>
                <w:webHidden/>
              </w:rPr>
            </w:r>
            <w:r w:rsidR="00674176">
              <w:rPr>
                <w:noProof/>
                <w:webHidden/>
              </w:rPr>
              <w:fldChar w:fldCharType="separate"/>
            </w:r>
            <w:r w:rsidR="00212D01">
              <w:rPr>
                <w:noProof/>
                <w:webHidden/>
              </w:rPr>
              <w:t>15</w:t>
            </w:r>
            <w:r w:rsidR="00674176">
              <w:rPr>
                <w:noProof/>
                <w:webHidden/>
              </w:rPr>
              <w:fldChar w:fldCharType="end"/>
            </w:r>
          </w:hyperlink>
        </w:p>
        <w:p w14:paraId="6E2646A2" w14:textId="4CA9C50F" w:rsidR="00674176" w:rsidRDefault="00A15383">
          <w:pPr>
            <w:pStyle w:val="TOC2"/>
            <w:rPr>
              <w:rFonts w:asciiTheme="minorHAnsi" w:hAnsiTheme="minorHAnsi" w:cstheme="minorBidi"/>
              <w:i w:val="0"/>
              <w:sz w:val="22"/>
            </w:rPr>
          </w:pPr>
          <w:hyperlink w:anchor="_Toc485381987" w:history="1">
            <w:r w:rsidR="00674176" w:rsidRPr="00FF6306">
              <w:rPr>
                <w:rStyle w:val="Hyperlink"/>
                <w:rFonts w:cstheme="minorHAnsi"/>
              </w:rPr>
              <w:t>A.</w:t>
            </w:r>
            <w:r w:rsidR="00674176">
              <w:rPr>
                <w:rFonts w:asciiTheme="minorHAnsi" w:hAnsiTheme="minorHAnsi" w:cstheme="minorBidi"/>
                <w:i w:val="0"/>
                <w:sz w:val="22"/>
              </w:rPr>
              <w:tab/>
            </w:r>
            <w:r w:rsidR="00674176" w:rsidRPr="00FF6306">
              <w:rPr>
                <w:rStyle w:val="Hyperlink"/>
                <w:rFonts w:cstheme="minorHAnsi"/>
              </w:rPr>
              <w:t>Geographic, demographic and economic overview</w:t>
            </w:r>
            <w:r w:rsidR="00674176">
              <w:rPr>
                <w:webHidden/>
              </w:rPr>
              <w:tab/>
            </w:r>
            <w:r w:rsidR="00674176">
              <w:rPr>
                <w:webHidden/>
              </w:rPr>
              <w:fldChar w:fldCharType="begin"/>
            </w:r>
            <w:r w:rsidR="00674176">
              <w:rPr>
                <w:webHidden/>
              </w:rPr>
              <w:instrText xml:space="preserve"> PAGEREF _Toc485381987 \h </w:instrText>
            </w:r>
            <w:r w:rsidR="00674176">
              <w:rPr>
                <w:webHidden/>
              </w:rPr>
            </w:r>
            <w:r w:rsidR="00674176">
              <w:rPr>
                <w:webHidden/>
              </w:rPr>
              <w:fldChar w:fldCharType="separate"/>
            </w:r>
            <w:r w:rsidR="00212D01">
              <w:rPr>
                <w:webHidden/>
              </w:rPr>
              <w:t>15</w:t>
            </w:r>
            <w:r w:rsidR="00674176">
              <w:rPr>
                <w:webHidden/>
              </w:rPr>
              <w:fldChar w:fldCharType="end"/>
            </w:r>
          </w:hyperlink>
        </w:p>
        <w:p w14:paraId="4D709D3A" w14:textId="2ED5F844" w:rsidR="00674176" w:rsidRDefault="00A15383">
          <w:pPr>
            <w:pStyle w:val="TOC2"/>
            <w:rPr>
              <w:rFonts w:asciiTheme="minorHAnsi" w:hAnsiTheme="minorHAnsi" w:cstheme="minorBidi"/>
              <w:i w:val="0"/>
              <w:sz w:val="22"/>
            </w:rPr>
          </w:pPr>
          <w:hyperlink w:anchor="_Toc485381988" w:history="1">
            <w:r w:rsidR="00674176" w:rsidRPr="00FF6306">
              <w:rPr>
                <w:rStyle w:val="Hyperlink"/>
                <w:rFonts w:cstheme="minorHAnsi"/>
              </w:rPr>
              <w:t>B.</w:t>
            </w:r>
            <w:r w:rsidR="00674176">
              <w:rPr>
                <w:rFonts w:asciiTheme="minorHAnsi" w:hAnsiTheme="minorHAnsi" w:cstheme="minorBidi"/>
                <w:i w:val="0"/>
                <w:sz w:val="22"/>
              </w:rPr>
              <w:tab/>
            </w:r>
            <w:r w:rsidR="00674176" w:rsidRPr="00FF6306">
              <w:rPr>
                <w:rStyle w:val="Hyperlink"/>
                <w:rFonts w:cstheme="minorHAnsi"/>
              </w:rPr>
              <w:t>The development of the West African port sector</w:t>
            </w:r>
            <w:r w:rsidR="00674176">
              <w:rPr>
                <w:webHidden/>
              </w:rPr>
              <w:tab/>
            </w:r>
            <w:r w:rsidR="00674176">
              <w:rPr>
                <w:webHidden/>
              </w:rPr>
              <w:fldChar w:fldCharType="begin"/>
            </w:r>
            <w:r w:rsidR="00674176">
              <w:rPr>
                <w:webHidden/>
              </w:rPr>
              <w:instrText xml:space="preserve"> PAGEREF _Toc485381988 \h </w:instrText>
            </w:r>
            <w:r w:rsidR="00674176">
              <w:rPr>
                <w:webHidden/>
              </w:rPr>
            </w:r>
            <w:r w:rsidR="00674176">
              <w:rPr>
                <w:webHidden/>
              </w:rPr>
              <w:fldChar w:fldCharType="separate"/>
            </w:r>
            <w:r w:rsidR="00212D01">
              <w:rPr>
                <w:webHidden/>
              </w:rPr>
              <w:t>16</w:t>
            </w:r>
            <w:r w:rsidR="00674176">
              <w:rPr>
                <w:webHidden/>
              </w:rPr>
              <w:fldChar w:fldCharType="end"/>
            </w:r>
          </w:hyperlink>
        </w:p>
        <w:p w14:paraId="744C94F5" w14:textId="207C298E" w:rsidR="00674176" w:rsidRDefault="00A15383">
          <w:pPr>
            <w:pStyle w:val="TOC2"/>
            <w:rPr>
              <w:rFonts w:asciiTheme="minorHAnsi" w:hAnsiTheme="minorHAnsi" w:cstheme="minorBidi"/>
              <w:i w:val="0"/>
              <w:sz w:val="22"/>
            </w:rPr>
          </w:pPr>
          <w:hyperlink w:anchor="_Toc485381989" w:history="1">
            <w:r w:rsidR="00674176" w:rsidRPr="00FF6306">
              <w:rPr>
                <w:rStyle w:val="Hyperlink"/>
                <w:rFonts w:cstheme="minorHAnsi"/>
              </w:rPr>
              <w:t>C.</w:t>
            </w:r>
            <w:r w:rsidR="00674176">
              <w:rPr>
                <w:rFonts w:asciiTheme="minorHAnsi" w:hAnsiTheme="minorHAnsi" w:cstheme="minorBidi"/>
                <w:i w:val="0"/>
                <w:sz w:val="22"/>
              </w:rPr>
              <w:tab/>
            </w:r>
            <w:r w:rsidR="00674176" w:rsidRPr="00FF6306">
              <w:rPr>
                <w:rStyle w:val="Hyperlink"/>
                <w:rFonts w:cstheme="minorHAnsi"/>
              </w:rPr>
              <w:t>West African Integration with global shipping</w:t>
            </w:r>
            <w:r w:rsidR="00674176">
              <w:rPr>
                <w:webHidden/>
              </w:rPr>
              <w:tab/>
            </w:r>
            <w:r w:rsidR="00674176">
              <w:rPr>
                <w:webHidden/>
              </w:rPr>
              <w:fldChar w:fldCharType="begin"/>
            </w:r>
            <w:r w:rsidR="00674176">
              <w:rPr>
                <w:webHidden/>
              </w:rPr>
              <w:instrText xml:space="preserve"> PAGEREF _Toc485381989 \h </w:instrText>
            </w:r>
            <w:r w:rsidR="00674176">
              <w:rPr>
                <w:webHidden/>
              </w:rPr>
            </w:r>
            <w:r w:rsidR="00674176">
              <w:rPr>
                <w:webHidden/>
              </w:rPr>
              <w:fldChar w:fldCharType="separate"/>
            </w:r>
            <w:r w:rsidR="00212D01">
              <w:rPr>
                <w:webHidden/>
              </w:rPr>
              <w:t>21</w:t>
            </w:r>
            <w:r w:rsidR="00674176">
              <w:rPr>
                <w:webHidden/>
              </w:rPr>
              <w:fldChar w:fldCharType="end"/>
            </w:r>
          </w:hyperlink>
        </w:p>
        <w:p w14:paraId="38FB6182" w14:textId="46813F6E" w:rsidR="00674176" w:rsidRDefault="00A15383">
          <w:pPr>
            <w:pStyle w:val="TOC1"/>
            <w:rPr>
              <w:rFonts w:asciiTheme="minorHAnsi" w:hAnsiTheme="minorHAnsi" w:cstheme="minorBidi"/>
              <w:noProof/>
              <w:sz w:val="22"/>
            </w:rPr>
          </w:pPr>
          <w:hyperlink w:anchor="_Toc485381990" w:history="1">
            <w:r w:rsidR="00674176" w:rsidRPr="00FF6306">
              <w:rPr>
                <w:rStyle w:val="Hyperlink"/>
                <w:rFonts w:cstheme="minorHAnsi"/>
                <w:noProof/>
              </w:rPr>
              <w:t>2.</w:t>
            </w:r>
            <w:r w:rsidR="00674176">
              <w:rPr>
                <w:rFonts w:asciiTheme="minorHAnsi" w:hAnsiTheme="minorHAnsi" w:cstheme="minorBidi"/>
                <w:noProof/>
                <w:sz w:val="22"/>
              </w:rPr>
              <w:tab/>
            </w:r>
            <w:r w:rsidR="00674176" w:rsidRPr="00FF6306">
              <w:rPr>
                <w:rStyle w:val="Hyperlink"/>
                <w:rFonts w:cstheme="minorHAnsi"/>
                <w:noProof/>
              </w:rPr>
              <w:t>The Economics of the Port Sector and Implications for West Africa</w:t>
            </w:r>
            <w:r w:rsidR="00674176">
              <w:rPr>
                <w:noProof/>
                <w:webHidden/>
              </w:rPr>
              <w:tab/>
            </w:r>
            <w:r w:rsidR="00674176">
              <w:rPr>
                <w:noProof/>
                <w:webHidden/>
              </w:rPr>
              <w:fldChar w:fldCharType="begin"/>
            </w:r>
            <w:r w:rsidR="00674176">
              <w:rPr>
                <w:noProof/>
                <w:webHidden/>
              </w:rPr>
              <w:instrText xml:space="preserve"> PAGEREF _Toc485381990 \h </w:instrText>
            </w:r>
            <w:r w:rsidR="00674176">
              <w:rPr>
                <w:noProof/>
                <w:webHidden/>
              </w:rPr>
            </w:r>
            <w:r w:rsidR="00674176">
              <w:rPr>
                <w:noProof/>
                <w:webHidden/>
              </w:rPr>
              <w:fldChar w:fldCharType="separate"/>
            </w:r>
            <w:r w:rsidR="00212D01">
              <w:rPr>
                <w:noProof/>
                <w:webHidden/>
              </w:rPr>
              <w:t>25</w:t>
            </w:r>
            <w:r w:rsidR="00674176">
              <w:rPr>
                <w:noProof/>
                <w:webHidden/>
              </w:rPr>
              <w:fldChar w:fldCharType="end"/>
            </w:r>
          </w:hyperlink>
        </w:p>
        <w:p w14:paraId="1ED87E49" w14:textId="177A61A1" w:rsidR="00674176" w:rsidRDefault="00A15383">
          <w:pPr>
            <w:pStyle w:val="TOC2"/>
            <w:rPr>
              <w:rFonts w:asciiTheme="minorHAnsi" w:hAnsiTheme="minorHAnsi" w:cstheme="minorBidi"/>
              <w:i w:val="0"/>
              <w:sz w:val="22"/>
            </w:rPr>
          </w:pPr>
          <w:hyperlink w:anchor="_Toc485381991" w:history="1">
            <w:r w:rsidR="00674176" w:rsidRPr="00FF6306">
              <w:rPr>
                <w:rStyle w:val="Hyperlink"/>
                <w:rFonts w:cstheme="minorHAnsi"/>
              </w:rPr>
              <w:t>A.</w:t>
            </w:r>
            <w:r w:rsidR="00674176">
              <w:rPr>
                <w:rFonts w:asciiTheme="minorHAnsi" w:hAnsiTheme="minorHAnsi" w:cstheme="minorBidi"/>
                <w:i w:val="0"/>
                <w:sz w:val="22"/>
              </w:rPr>
              <w:tab/>
            </w:r>
            <w:r w:rsidR="00674176" w:rsidRPr="00FF6306">
              <w:rPr>
                <w:rStyle w:val="Hyperlink"/>
                <w:rFonts w:cstheme="minorHAnsi"/>
              </w:rPr>
              <w:t>Features and Economics of Natural Monopolies</w:t>
            </w:r>
            <w:r w:rsidR="00674176">
              <w:rPr>
                <w:webHidden/>
              </w:rPr>
              <w:tab/>
            </w:r>
            <w:r w:rsidR="00674176">
              <w:rPr>
                <w:webHidden/>
              </w:rPr>
              <w:fldChar w:fldCharType="begin"/>
            </w:r>
            <w:r w:rsidR="00674176">
              <w:rPr>
                <w:webHidden/>
              </w:rPr>
              <w:instrText xml:space="preserve"> PAGEREF _Toc485381991 \h </w:instrText>
            </w:r>
            <w:r w:rsidR="00674176">
              <w:rPr>
                <w:webHidden/>
              </w:rPr>
            </w:r>
            <w:r w:rsidR="00674176">
              <w:rPr>
                <w:webHidden/>
              </w:rPr>
              <w:fldChar w:fldCharType="separate"/>
            </w:r>
            <w:r w:rsidR="00212D01">
              <w:rPr>
                <w:webHidden/>
              </w:rPr>
              <w:t>25</w:t>
            </w:r>
            <w:r w:rsidR="00674176">
              <w:rPr>
                <w:webHidden/>
              </w:rPr>
              <w:fldChar w:fldCharType="end"/>
            </w:r>
          </w:hyperlink>
        </w:p>
        <w:p w14:paraId="727189FD" w14:textId="19CDC06B" w:rsidR="00674176" w:rsidRDefault="00A15383">
          <w:pPr>
            <w:pStyle w:val="TOC2"/>
            <w:rPr>
              <w:rFonts w:asciiTheme="minorHAnsi" w:hAnsiTheme="minorHAnsi" w:cstheme="minorBidi"/>
              <w:i w:val="0"/>
              <w:sz w:val="22"/>
            </w:rPr>
          </w:pPr>
          <w:hyperlink w:anchor="_Toc485381992" w:history="1">
            <w:r w:rsidR="00674176" w:rsidRPr="00FF6306">
              <w:rPr>
                <w:rStyle w:val="Hyperlink"/>
                <w:rFonts w:cstheme="minorHAnsi"/>
              </w:rPr>
              <w:t>B.</w:t>
            </w:r>
            <w:r w:rsidR="00674176">
              <w:rPr>
                <w:rFonts w:asciiTheme="minorHAnsi" w:hAnsiTheme="minorHAnsi" w:cstheme="minorBidi"/>
                <w:i w:val="0"/>
                <w:sz w:val="22"/>
              </w:rPr>
              <w:tab/>
            </w:r>
            <w:r w:rsidR="00674176" w:rsidRPr="00FF6306">
              <w:rPr>
                <w:rStyle w:val="Hyperlink"/>
                <w:rFonts w:cstheme="minorHAnsi"/>
              </w:rPr>
              <w:t>Organization of the Port and Shipping Industry: Globally and in West Africa</w:t>
            </w:r>
            <w:r w:rsidR="00674176">
              <w:rPr>
                <w:webHidden/>
              </w:rPr>
              <w:tab/>
            </w:r>
            <w:r w:rsidR="00674176">
              <w:rPr>
                <w:webHidden/>
              </w:rPr>
              <w:fldChar w:fldCharType="begin"/>
            </w:r>
            <w:r w:rsidR="00674176">
              <w:rPr>
                <w:webHidden/>
              </w:rPr>
              <w:instrText xml:space="preserve"> PAGEREF _Toc485381992 \h </w:instrText>
            </w:r>
            <w:r w:rsidR="00674176">
              <w:rPr>
                <w:webHidden/>
              </w:rPr>
            </w:r>
            <w:r w:rsidR="00674176">
              <w:rPr>
                <w:webHidden/>
              </w:rPr>
              <w:fldChar w:fldCharType="separate"/>
            </w:r>
            <w:r w:rsidR="00212D01">
              <w:rPr>
                <w:webHidden/>
              </w:rPr>
              <w:t>26</w:t>
            </w:r>
            <w:r w:rsidR="00674176">
              <w:rPr>
                <w:webHidden/>
              </w:rPr>
              <w:fldChar w:fldCharType="end"/>
            </w:r>
          </w:hyperlink>
        </w:p>
        <w:p w14:paraId="08C79617" w14:textId="2345226B" w:rsidR="00674176" w:rsidRDefault="00A15383">
          <w:pPr>
            <w:pStyle w:val="TOC2"/>
            <w:rPr>
              <w:rFonts w:asciiTheme="minorHAnsi" w:hAnsiTheme="minorHAnsi" w:cstheme="minorBidi"/>
              <w:i w:val="0"/>
              <w:sz w:val="22"/>
            </w:rPr>
          </w:pPr>
          <w:hyperlink w:anchor="_Toc485381993" w:history="1">
            <w:r w:rsidR="00674176" w:rsidRPr="00FF6306">
              <w:rPr>
                <w:rStyle w:val="Hyperlink"/>
                <w:rFonts w:cstheme="minorHAnsi"/>
              </w:rPr>
              <w:t>C.</w:t>
            </w:r>
            <w:r w:rsidR="00674176">
              <w:rPr>
                <w:rFonts w:asciiTheme="minorHAnsi" w:hAnsiTheme="minorHAnsi" w:cstheme="minorBidi"/>
                <w:i w:val="0"/>
                <w:sz w:val="22"/>
              </w:rPr>
              <w:tab/>
            </w:r>
            <w:r w:rsidR="00674176" w:rsidRPr="00FF6306">
              <w:rPr>
                <w:rStyle w:val="Hyperlink"/>
                <w:rFonts w:cstheme="minorHAnsi"/>
              </w:rPr>
              <w:t>The “Naturally Monopolistic” Container Terminal Market of West Africa and competition for the market</w:t>
            </w:r>
            <w:r w:rsidR="00674176">
              <w:rPr>
                <w:webHidden/>
              </w:rPr>
              <w:tab/>
            </w:r>
            <w:r w:rsidR="00674176">
              <w:rPr>
                <w:webHidden/>
              </w:rPr>
              <w:fldChar w:fldCharType="begin"/>
            </w:r>
            <w:r w:rsidR="00674176">
              <w:rPr>
                <w:webHidden/>
              </w:rPr>
              <w:instrText xml:space="preserve"> PAGEREF _Toc485381993 \h </w:instrText>
            </w:r>
            <w:r w:rsidR="00674176">
              <w:rPr>
                <w:webHidden/>
              </w:rPr>
            </w:r>
            <w:r w:rsidR="00674176">
              <w:rPr>
                <w:webHidden/>
              </w:rPr>
              <w:fldChar w:fldCharType="separate"/>
            </w:r>
            <w:r w:rsidR="00212D01">
              <w:rPr>
                <w:webHidden/>
              </w:rPr>
              <w:t>36</w:t>
            </w:r>
            <w:r w:rsidR="00674176">
              <w:rPr>
                <w:webHidden/>
              </w:rPr>
              <w:fldChar w:fldCharType="end"/>
            </w:r>
          </w:hyperlink>
        </w:p>
        <w:p w14:paraId="6BD5A879" w14:textId="5401CCEA" w:rsidR="00674176" w:rsidRDefault="00A15383">
          <w:pPr>
            <w:pStyle w:val="TOC1"/>
            <w:rPr>
              <w:rFonts w:asciiTheme="minorHAnsi" w:hAnsiTheme="minorHAnsi" w:cstheme="minorBidi"/>
              <w:noProof/>
              <w:sz w:val="22"/>
            </w:rPr>
          </w:pPr>
          <w:hyperlink w:anchor="_Toc485381994" w:history="1">
            <w:r w:rsidR="00674176" w:rsidRPr="00FF6306">
              <w:rPr>
                <w:rStyle w:val="Hyperlink"/>
                <w:rFonts w:cstheme="minorHAnsi"/>
                <w:noProof/>
              </w:rPr>
              <w:t>3.</w:t>
            </w:r>
            <w:r w:rsidR="00674176">
              <w:rPr>
                <w:rFonts w:asciiTheme="minorHAnsi" w:hAnsiTheme="minorHAnsi" w:cstheme="minorBidi"/>
                <w:noProof/>
                <w:sz w:val="22"/>
              </w:rPr>
              <w:tab/>
            </w:r>
            <w:r w:rsidR="00674176" w:rsidRPr="00FF6306">
              <w:rPr>
                <w:rStyle w:val="Hyperlink"/>
                <w:rFonts w:cstheme="minorHAnsi"/>
                <w:noProof/>
              </w:rPr>
              <w:t>Institutional Reforms and the Governance of Container Terminal Concessions</w:t>
            </w:r>
            <w:r w:rsidR="00674176">
              <w:rPr>
                <w:noProof/>
                <w:webHidden/>
              </w:rPr>
              <w:tab/>
            </w:r>
            <w:r w:rsidR="00674176">
              <w:rPr>
                <w:noProof/>
                <w:webHidden/>
              </w:rPr>
              <w:fldChar w:fldCharType="begin"/>
            </w:r>
            <w:r w:rsidR="00674176">
              <w:rPr>
                <w:noProof/>
                <w:webHidden/>
              </w:rPr>
              <w:instrText xml:space="preserve"> PAGEREF _Toc485381994 \h </w:instrText>
            </w:r>
            <w:r w:rsidR="00674176">
              <w:rPr>
                <w:noProof/>
                <w:webHidden/>
              </w:rPr>
            </w:r>
            <w:r w:rsidR="00674176">
              <w:rPr>
                <w:noProof/>
                <w:webHidden/>
              </w:rPr>
              <w:fldChar w:fldCharType="separate"/>
            </w:r>
            <w:r w:rsidR="00212D01">
              <w:rPr>
                <w:noProof/>
                <w:webHidden/>
              </w:rPr>
              <w:t>40</w:t>
            </w:r>
            <w:r w:rsidR="00674176">
              <w:rPr>
                <w:noProof/>
                <w:webHidden/>
              </w:rPr>
              <w:fldChar w:fldCharType="end"/>
            </w:r>
          </w:hyperlink>
        </w:p>
        <w:p w14:paraId="7EAD2C07" w14:textId="1630FAAE" w:rsidR="00674176" w:rsidRDefault="00A15383">
          <w:pPr>
            <w:pStyle w:val="TOC1"/>
            <w:rPr>
              <w:rFonts w:asciiTheme="minorHAnsi" w:hAnsiTheme="minorHAnsi" w:cstheme="minorBidi"/>
              <w:noProof/>
              <w:sz w:val="22"/>
            </w:rPr>
          </w:pPr>
          <w:hyperlink w:anchor="_Toc485381995" w:history="1">
            <w:r w:rsidR="00674176" w:rsidRPr="00FF6306">
              <w:rPr>
                <w:rStyle w:val="Hyperlink"/>
                <w:rFonts w:cstheme="minorHAnsi"/>
                <w:noProof/>
              </w:rPr>
              <w:t>4.</w:t>
            </w:r>
            <w:r w:rsidR="00674176">
              <w:rPr>
                <w:rFonts w:asciiTheme="minorHAnsi" w:hAnsiTheme="minorHAnsi" w:cstheme="minorBidi"/>
                <w:noProof/>
                <w:sz w:val="22"/>
              </w:rPr>
              <w:tab/>
            </w:r>
            <w:r w:rsidR="00674176" w:rsidRPr="00FF6306">
              <w:rPr>
                <w:rStyle w:val="Hyperlink"/>
                <w:rFonts w:cstheme="minorHAnsi"/>
                <w:noProof/>
              </w:rPr>
              <w:t>Have the Container Terminal Concessions in West Africa Delivered?</w:t>
            </w:r>
            <w:r w:rsidR="00674176">
              <w:rPr>
                <w:noProof/>
                <w:webHidden/>
              </w:rPr>
              <w:tab/>
            </w:r>
            <w:r w:rsidR="00674176">
              <w:rPr>
                <w:noProof/>
                <w:webHidden/>
              </w:rPr>
              <w:fldChar w:fldCharType="begin"/>
            </w:r>
            <w:r w:rsidR="00674176">
              <w:rPr>
                <w:noProof/>
                <w:webHidden/>
              </w:rPr>
              <w:instrText xml:space="preserve"> PAGEREF _Toc485381995 \h </w:instrText>
            </w:r>
            <w:r w:rsidR="00674176">
              <w:rPr>
                <w:noProof/>
                <w:webHidden/>
              </w:rPr>
            </w:r>
            <w:r w:rsidR="00674176">
              <w:rPr>
                <w:noProof/>
                <w:webHidden/>
              </w:rPr>
              <w:fldChar w:fldCharType="separate"/>
            </w:r>
            <w:r w:rsidR="00212D01">
              <w:rPr>
                <w:noProof/>
                <w:webHidden/>
              </w:rPr>
              <w:t>62</w:t>
            </w:r>
            <w:r w:rsidR="00674176">
              <w:rPr>
                <w:noProof/>
                <w:webHidden/>
              </w:rPr>
              <w:fldChar w:fldCharType="end"/>
            </w:r>
          </w:hyperlink>
        </w:p>
        <w:p w14:paraId="547F1555" w14:textId="53A4B53F" w:rsidR="00674176" w:rsidRPr="00674176" w:rsidRDefault="00A15383">
          <w:pPr>
            <w:pStyle w:val="TOC2"/>
            <w:rPr>
              <w:rStyle w:val="Hyperlink"/>
              <w:rFonts w:cstheme="minorHAnsi"/>
            </w:rPr>
          </w:pPr>
          <w:hyperlink w:anchor="_Toc485381996" w:history="1">
            <w:r w:rsidR="00674176" w:rsidRPr="00674176">
              <w:rPr>
                <w:rStyle w:val="Hyperlink"/>
                <w:rFonts w:cstheme="minorHAnsi"/>
              </w:rPr>
              <w:t>A.</w:t>
            </w:r>
            <w:r w:rsidR="00674176" w:rsidRPr="00674176">
              <w:rPr>
                <w:rStyle w:val="Hyperlink"/>
                <w:rFonts w:cstheme="minorHAnsi"/>
              </w:rPr>
              <w:tab/>
              <w:t>Impact of container terminal concessions on capacity</w:t>
            </w:r>
            <w:r w:rsidR="00674176" w:rsidRPr="00674176">
              <w:rPr>
                <w:rStyle w:val="Hyperlink"/>
                <w:rFonts w:cstheme="minorHAnsi"/>
                <w:webHidden/>
              </w:rPr>
              <w:tab/>
            </w:r>
            <w:r w:rsidR="00674176" w:rsidRPr="00674176">
              <w:rPr>
                <w:rStyle w:val="Hyperlink"/>
                <w:rFonts w:cstheme="minorHAnsi"/>
                <w:webHidden/>
              </w:rPr>
              <w:fldChar w:fldCharType="begin"/>
            </w:r>
            <w:r w:rsidR="00674176" w:rsidRPr="00674176">
              <w:rPr>
                <w:rStyle w:val="Hyperlink"/>
                <w:rFonts w:cstheme="minorHAnsi"/>
                <w:webHidden/>
              </w:rPr>
              <w:instrText xml:space="preserve"> PAGEREF _Toc485381996 \h </w:instrText>
            </w:r>
            <w:r w:rsidR="00674176" w:rsidRPr="00674176">
              <w:rPr>
                <w:rStyle w:val="Hyperlink"/>
                <w:rFonts w:cstheme="minorHAnsi"/>
                <w:webHidden/>
              </w:rPr>
            </w:r>
            <w:r w:rsidR="00674176" w:rsidRPr="00674176">
              <w:rPr>
                <w:rStyle w:val="Hyperlink"/>
                <w:rFonts w:cstheme="minorHAnsi"/>
                <w:webHidden/>
              </w:rPr>
              <w:fldChar w:fldCharType="separate"/>
            </w:r>
            <w:r w:rsidR="00212D01">
              <w:rPr>
                <w:rStyle w:val="Hyperlink"/>
                <w:rFonts w:cstheme="minorHAnsi"/>
                <w:webHidden/>
              </w:rPr>
              <w:t>62</w:t>
            </w:r>
            <w:r w:rsidR="00674176" w:rsidRPr="00674176">
              <w:rPr>
                <w:rStyle w:val="Hyperlink"/>
                <w:rFonts w:cstheme="minorHAnsi"/>
                <w:webHidden/>
              </w:rPr>
              <w:fldChar w:fldCharType="end"/>
            </w:r>
          </w:hyperlink>
        </w:p>
        <w:p w14:paraId="2A624369" w14:textId="15F684CB" w:rsidR="00674176" w:rsidRPr="00674176" w:rsidRDefault="00A15383">
          <w:pPr>
            <w:pStyle w:val="TOC2"/>
            <w:rPr>
              <w:rStyle w:val="Hyperlink"/>
              <w:rFonts w:cstheme="minorHAnsi"/>
            </w:rPr>
          </w:pPr>
          <w:hyperlink w:anchor="_Toc485381997" w:history="1">
            <w:r w:rsidR="00674176" w:rsidRPr="00674176">
              <w:rPr>
                <w:rStyle w:val="Hyperlink"/>
                <w:rFonts w:cstheme="minorHAnsi"/>
              </w:rPr>
              <w:t>B.</w:t>
            </w:r>
            <w:r w:rsidR="00674176" w:rsidRPr="00674176">
              <w:rPr>
                <w:rStyle w:val="Hyperlink"/>
                <w:rFonts w:cstheme="minorHAnsi"/>
              </w:rPr>
              <w:tab/>
              <w:t>The transformation of the container terminals in West Africa</w:t>
            </w:r>
            <w:r w:rsidR="00674176" w:rsidRPr="00674176">
              <w:rPr>
                <w:rStyle w:val="Hyperlink"/>
                <w:rFonts w:cstheme="minorHAnsi"/>
                <w:webHidden/>
              </w:rPr>
              <w:tab/>
            </w:r>
            <w:r w:rsidR="00674176" w:rsidRPr="00674176">
              <w:rPr>
                <w:rStyle w:val="Hyperlink"/>
                <w:rFonts w:cstheme="minorHAnsi"/>
                <w:webHidden/>
              </w:rPr>
              <w:fldChar w:fldCharType="begin"/>
            </w:r>
            <w:r w:rsidR="00674176" w:rsidRPr="00674176">
              <w:rPr>
                <w:rStyle w:val="Hyperlink"/>
                <w:rFonts w:cstheme="minorHAnsi"/>
                <w:webHidden/>
              </w:rPr>
              <w:instrText xml:space="preserve"> PAGEREF _Toc485381997 \h </w:instrText>
            </w:r>
            <w:r w:rsidR="00674176" w:rsidRPr="00674176">
              <w:rPr>
                <w:rStyle w:val="Hyperlink"/>
                <w:rFonts w:cstheme="minorHAnsi"/>
                <w:webHidden/>
              </w:rPr>
            </w:r>
            <w:r w:rsidR="00674176" w:rsidRPr="00674176">
              <w:rPr>
                <w:rStyle w:val="Hyperlink"/>
                <w:rFonts w:cstheme="minorHAnsi"/>
                <w:webHidden/>
              </w:rPr>
              <w:fldChar w:fldCharType="separate"/>
            </w:r>
            <w:r w:rsidR="00212D01">
              <w:rPr>
                <w:rStyle w:val="Hyperlink"/>
                <w:rFonts w:cstheme="minorHAnsi"/>
                <w:webHidden/>
              </w:rPr>
              <w:t>63</w:t>
            </w:r>
            <w:r w:rsidR="00674176" w:rsidRPr="00674176">
              <w:rPr>
                <w:rStyle w:val="Hyperlink"/>
                <w:rFonts w:cstheme="minorHAnsi"/>
                <w:webHidden/>
              </w:rPr>
              <w:fldChar w:fldCharType="end"/>
            </w:r>
          </w:hyperlink>
        </w:p>
        <w:p w14:paraId="16C0CB58" w14:textId="19C5CA1B" w:rsidR="00674176" w:rsidRPr="00674176" w:rsidRDefault="00A15383">
          <w:pPr>
            <w:pStyle w:val="TOC2"/>
            <w:rPr>
              <w:rStyle w:val="Hyperlink"/>
              <w:rFonts w:cstheme="minorHAnsi"/>
            </w:rPr>
          </w:pPr>
          <w:hyperlink w:anchor="_Toc485381998" w:history="1">
            <w:r w:rsidR="00674176" w:rsidRPr="00674176">
              <w:rPr>
                <w:rStyle w:val="Hyperlink"/>
                <w:rFonts w:cstheme="minorHAnsi"/>
              </w:rPr>
              <w:t>C.</w:t>
            </w:r>
            <w:r w:rsidR="00674176" w:rsidRPr="00674176">
              <w:rPr>
                <w:rStyle w:val="Hyperlink"/>
                <w:rFonts w:cstheme="minorHAnsi"/>
              </w:rPr>
              <w:tab/>
              <w:t>Efficiency gains from terminal concessions</w:t>
            </w:r>
            <w:r w:rsidR="00674176" w:rsidRPr="00674176">
              <w:rPr>
                <w:rStyle w:val="Hyperlink"/>
                <w:rFonts w:cstheme="minorHAnsi"/>
                <w:webHidden/>
              </w:rPr>
              <w:tab/>
            </w:r>
            <w:r w:rsidR="00674176" w:rsidRPr="00674176">
              <w:rPr>
                <w:rStyle w:val="Hyperlink"/>
                <w:rFonts w:cstheme="minorHAnsi"/>
                <w:webHidden/>
              </w:rPr>
              <w:fldChar w:fldCharType="begin"/>
            </w:r>
            <w:r w:rsidR="00674176" w:rsidRPr="00674176">
              <w:rPr>
                <w:rStyle w:val="Hyperlink"/>
                <w:rFonts w:cstheme="minorHAnsi"/>
                <w:webHidden/>
              </w:rPr>
              <w:instrText xml:space="preserve"> PAGEREF _Toc485381998 \h </w:instrText>
            </w:r>
            <w:r w:rsidR="00674176" w:rsidRPr="00674176">
              <w:rPr>
                <w:rStyle w:val="Hyperlink"/>
                <w:rFonts w:cstheme="minorHAnsi"/>
                <w:webHidden/>
              </w:rPr>
            </w:r>
            <w:r w:rsidR="00674176" w:rsidRPr="00674176">
              <w:rPr>
                <w:rStyle w:val="Hyperlink"/>
                <w:rFonts w:cstheme="minorHAnsi"/>
                <w:webHidden/>
              </w:rPr>
              <w:fldChar w:fldCharType="separate"/>
            </w:r>
            <w:r w:rsidR="00212D01">
              <w:rPr>
                <w:rStyle w:val="Hyperlink"/>
                <w:rFonts w:cstheme="minorHAnsi"/>
                <w:webHidden/>
              </w:rPr>
              <w:t>68</w:t>
            </w:r>
            <w:r w:rsidR="00674176" w:rsidRPr="00674176">
              <w:rPr>
                <w:rStyle w:val="Hyperlink"/>
                <w:rFonts w:cstheme="minorHAnsi"/>
                <w:webHidden/>
              </w:rPr>
              <w:fldChar w:fldCharType="end"/>
            </w:r>
          </w:hyperlink>
        </w:p>
        <w:p w14:paraId="7D45AB48" w14:textId="6841D92B" w:rsidR="00674176" w:rsidRPr="00674176" w:rsidRDefault="00A15383">
          <w:pPr>
            <w:pStyle w:val="TOC2"/>
            <w:rPr>
              <w:rStyle w:val="Hyperlink"/>
              <w:rFonts w:cstheme="minorHAnsi"/>
            </w:rPr>
          </w:pPr>
          <w:hyperlink w:anchor="_Toc485381999" w:history="1">
            <w:r w:rsidR="00674176" w:rsidRPr="00674176">
              <w:rPr>
                <w:rStyle w:val="Hyperlink"/>
                <w:rFonts w:cstheme="minorHAnsi"/>
              </w:rPr>
              <w:t>D.</w:t>
            </w:r>
            <w:r w:rsidR="00674176" w:rsidRPr="00674176">
              <w:rPr>
                <w:rStyle w:val="Hyperlink"/>
                <w:rFonts w:cstheme="minorHAnsi"/>
              </w:rPr>
              <w:tab/>
              <w:t>Impact of Concessions on container terminal prices and costs</w:t>
            </w:r>
            <w:r w:rsidR="00674176" w:rsidRPr="00674176">
              <w:rPr>
                <w:rStyle w:val="Hyperlink"/>
                <w:rFonts w:cstheme="minorHAnsi"/>
                <w:webHidden/>
              </w:rPr>
              <w:tab/>
            </w:r>
            <w:r w:rsidR="00674176" w:rsidRPr="00674176">
              <w:rPr>
                <w:rStyle w:val="Hyperlink"/>
                <w:rFonts w:cstheme="minorHAnsi"/>
                <w:webHidden/>
              </w:rPr>
              <w:fldChar w:fldCharType="begin"/>
            </w:r>
            <w:r w:rsidR="00674176" w:rsidRPr="00674176">
              <w:rPr>
                <w:rStyle w:val="Hyperlink"/>
                <w:rFonts w:cstheme="minorHAnsi"/>
                <w:webHidden/>
              </w:rPr>
              <w:instrText xml:space="preserve"> PAGEREF _Toc485381999 \h </w:instrText>
            </w:r>
            <w:r w:rsidR="00674176" w:rsidRPr="00674176">
              <w:rPr>
                <w:rStyle w:val="Hyperlink"/>
                <w:rFonts w:cstheme="minorHAnsi"/>
                <w:webHidden/>
              </w:rPr>
            </w:r>
            <w:r w:rsidR="00674176" w:rsidRPr="00674176">
              <w:rPr>
                <w:rStyle w:val="Hyperlink"/>
                <w:rFonts w:cstheme="minorHAnsi"/>
                <w:webHidden/>
              </w:rPr>
              <w:fldChar w:fldCharType="separate"/>
            </w:r>
            <w:r w:rsidR="00212D01">
              <w:rPr>
                <w:rStyle w:val="Hyperlink"/>
                <w:rFonts w:cstheme="minorHAnsi"/>
                <w:webHidden/>
              </w:rPr>
              <w:t>70</w:t>
            </w:r>
            <w:r w:rsidR="00674176" w:rsidRPr="00674176">
              <w:rPr>
                <w:rStyle w:val="Hyperlink"/>
                <w:rFonts w:cstheme="minorHAnsi"/>
                <w:webHidden/>
              </w:rPr>
              <w:fldChar w:fldCharType="end"/>
            </w:r>
          </w:hyperlink>
        </w:p>
        <w:p w14:paraId="74C8F1D3" w14:textId="308105A4" w:rsidR="00674176" w:rsidRDefault="00A15383">
          <w:pPr>
            <w:pStyle w:val="TOC1"/>
            <w:rPr>
              <w:rFonts w:asciiTheme="minorHAnsi" w:hAnsiTheme="minorHAnsi" w:cstheme="minorBidi"/>
              <w:noProof/>
              <w:sz w:val="22"/>
            </w:rPr>
          </w:pPr>
          <w:hyperlink w:anchor="_Toc485382000" w:history="1">
            <w:r w:rsidR="00674176" w:rsidRPr="00FF6306">
              <w:rPr>
                <w:rStyle w:val="Hyperlink"/>
                <w:rFonts w:cstheme="minorHAnsi"/>
                <w:noProof/>
              </w:rPr>
              <w:t>5.</w:t>
            </w:r>
            <w:r w:rsidR="00674176">
              <w:rPr>
                <w:rFonts w:asciiTheme="minorHAnsi" w:hAnsiTheme="minorHAnsi" w:cstheme="minorBidi"/>
                <w:noProof/>
                <w:sz w:val="22"/>
              </w:rPr>
              <w:tab/>
            </w:r>
            <w:r w:rsidR="00674176" w:rsidRPr="00FF6306">
              <w:rPr>
                <w:rStyle w:val="Hyperlink"/>
                <w:rFonts w:cstheme="minorHAnsi"/>
                <w:noProof/>
              </w:rPr>
              <w:t>How to keep up with container traffic growth?</w:t>
            </w:r>
            <w:r w:rsidR="00674176">
              <w:rPr>
                <w:noProof/>
                <w:webHidden/>
              </w:rPr>
              <w:tab/>
            </w:r>
            <w:r w:rsidR="00674176">
              <w:rPr>
                <w:noProof/>
                <w:webHidden/>
              </w:rPr>
              <w:fldChar w:fldCharType="begin"/>
            </w:r>
            <w:r w:rsidR="00674176">
              <w:rPr>
                <w:noProof/>
                <w:webHidden/>
              </w:rPr>
              <w:instrText xml:space="preserve"> PAGEREF _Toc485382000 \h </w:instrText>
            </w:r>
            <w:r w:rsidR="00674176">
              <w:rPr>
                <w:noProof/>
                <w:webHidden/>
              </w:rPr>
            </w:r>
            <w:r w:rsidR="00674176">
              <w:rPr>
                <w:noProof/>
                <w:webHidden/>
              </w:rPr>
              <w:fldChar w:fldCharType="separate"/>
            </w:r>
            <w:r w:rsidR="00212D01">
              <w:rPr>
                <w:noProof/>
                <w:webHidden/>
              </w:rPr>
              <w:t>76</w:t>
            </w:r>
            <w:r w:rsidR="00674176">
              <w:rPr>
                <w:noProof/>
                <w:webHidden/>
              </w:rPr>
              <w:fldChar w:fldCharType="end"/>
            </w:r>
          </w:hyperlink>
        </w:p>
        <w:p w14:paraId="5BF2117B" w14:textId="14D63815" w:rsidR="00674176" w:rsidRDefault="00A15383">
          <w:pPr>
            <w:pStyle w:val="TOC2"/>
            <w:rPr>
              <w:rFonts w:asciiTheme="minorHAnsi" w:hAnsiTheme="minorHAnsi" w:cstheme="minorBidi"/>
              <w:i w:val="0"/>
              <w:sz w:val="22"/>
            </w:rPr>
          </w:pPr>
          <w:hyperlink w:anchor="_Toc485382001" w:history="1">
            <w:r w:rsidR="00674176" w:rsidRPr="00FF6306">
              <w:rPr>
                <w:rStyle w:val="Hyperlink"/>
                <w:rFonts w:cstheme="minorHAnsi"/>
              </w:rPr>
              <w:t>A.</w:t>
            </w:r>
            <w:r w:rsidR="00674176">
              <w:rPr>
                <w:rFonts w:asciiTheme="minorHAnsi" w:hAnsiTheme="minorHAnsi" w:cstheme="minorBidi"/>
                <w:i w:val="0"/>
                <w:sz w:val="22"/>
              </w:rPr>
              <w:tab/>
            </w:r>
            <w:r w:rsidR="00674176" w:rsidRPr="00FF6306">
              <w:rPr>
                <w:rStyle w:val="Hyperlink"/>
                <w:rFonts w:cstheme="minorHAnsi"/>
              </w:rPr>
              <w:t>Future demand for container trade</w:t>
            </w:r>
            <w:r w:rsidR="00674176">
              <w:rPr>
                <w:webHidden/>
              </w:rPr>
              <w:tab/>
            </w:r>
            <w:r w:rsidR="00674176">
              <w:rPr>
                <w:webHidden/>
              </w:rPr>
              <w:fldChar w:fldCharType="begin"/>
            </w:r>
            <w:r w:rsidR="00674176">
              <w:rPr>
                <w:webHidden/>
              </w:rPr>
              <w:instrText xml:space="preserve"> PAGEREF _Toc485382001 \h </w:instrText>
            </w:r>
            <w:r w:rsidR="00674176">
              <w:rPr>
                <w:webHidden/>
              </w:rPr>
            </w:r>
            <w:r w:rsidR="00674176">
              <w:rPr>
                <w:webHidden/>
              </w:rPr>
              <w:fldChar w:fldCharType="separate"/>
            </w:r>
            <w:r w:rsidR="00212D01">
              <w:rPr>
                <w:webHidden/>
              </w:rPr>
              <w:t>76</w:t>
            </w:r>
            <w:r w:rsidR="00674176">
              <w:rPr>
                <w:webHidden/>
              </w:rPr>
              <w:fldChar w:fldCharType="end"/>
            </w:r>
          </w:hyperlink>
        </w:p>
        <w:p w14:paraId="70956FD3" w14:textId="18AC06CA" w:rsidR="00674176" w:rsidRDefault="00A15383">
          <w:pPr>
            <w:pStyle w:val="TOC2"/>
            <w:rPr>
              <w:rFonts w:asciiTheme="minorHAnsi" w:hAnsiTheme="minorHAnsi" w:cstheme="minorBidi"/>
              <w:i w:val="0"/>
              <w:sz w:val="22"/>
            </w:rPr>
          </w:pPr>
          <w:hyperlink w:anchor="_Toc485382002" w:history="1">
            <w:r w:rsidR="00674176" w:rsidRPr="00FF6306">
              <w:rPr>
                <w:rStyle w:val="Hyperlink"/>
                <w:rFonts w:cstheme="minorHAnsi"/>
              </w:rPr>
              <w:t>B.</w:t>
            </w:r>
            <w:r w:rsidR="00674176">
              <w:rPr>
                <w:rFonts w:asciiTheme="minorHAnsi" w:hAnsiTheme="minorHAnsi" w:cstheme="minorBidi"/>
                <w:i w:val="0"/>
                <w:sz w:val="22"/>
              </w:rPr>
              <w:tab/>
            </w:r>
            <w:r w:rsidR="00674176" w:rsidRPr="00FF6306">
              <w:rPr>
                <w:rStyle w:val="Hyperlink"/>
                <w:rFonts w:cstheme="minorHAnsi"/>
              </w:rPr>
              <w:t>Capacity development plans by TOCs</w:t>
            </w:r>
            <w:r w:rsidR="00674176">
              <w:rPr>
                <w:webHidden/>
              </w:rPr>
              <w:tab/>
            </w:r>
            <w:r w:rsidR="00674176">
              <w:rPr>
                <w:webHidden/>
              </w:rPr>
              <w:fldChar w:fldCharType="begin"/>
            </w:r>
            <w:r w:rsidR="00674176">
              <w:rPr>
                <w:webHidden/>
              </w:rPr>
              <w:instrText xml:space="preserve"> PAGEREF _Toc485382002 \h </w:instrText>
            </w:r>
            <w:r w:rsidR="00674176">
              <w:rPr>
                <w:webHidden/>
              </w:rPr>
            </w:r>
            <w:r w:rsidR="00674176">
              <w:rPr>
                <w:webHidden/>
              </w:rPr>
              <w:fldChar w:fldCharType="separate"/>
            </w:r>
            <w:r w:rsidR="00212D01">
              <w:rPr>
                <w:webHidden/>
              </w:rPr>
              <w:t>83</w:t>
            </w:r>
            <w:r w:rsidR="00674176">
              <w:rPr>
                <w:webHidden/>
              </w:rPr>
              <w:fldChar w:fldCharType="end"/>
            </w:r>
          </w:hyperlink>
        </w:p>
        <w:p w14:paraId="2FEFF12E" w14:textId="361280D5" w:rsidR="00674176" w:rsidRDefault="00A15383">
          <w:pPr>
            <w:pStyle w:val="TOC2"/>
            <w:rPr>
              <w:rFonts w:asciiTheme="minorHAnsi" w:hAnsiTheme="minorHAnsi" w:cstheme="minorBidi"/>
              <w:i w:val="0"/>
              <w:sz w:val="22"/>
            </w:rPr>
          </w:pPr>
          <w:hyperlink w:anchor="_Toc485382003" w:history="1">
            <w:r w:rsidR="00674176" w:rsidRPr="00FF6306">
              <w:rPr>
                <w:rStyle w:val="Hyperlink"/>
                <w:rFonts w:cstheme="minorHAnsi"/>
              </w:rPr>
              <w:t>C.</w:t>
            </w:r>
            <w:r w:rsidR="00674176">
              <w:rPr>
                <w:rFonts w:asciiTheme="minorHAnsi" w:hAnsiTheme="minorHAnsi" w:cstheme="minorBidi"/>
                <w:i w:val="0"/>
                <w:sz w:val="22"/>
              </w:rPr>
              <w:tab/>
            </w:r>
            <w:r w:rsidR="00674176" w:rsidRPr="00FF6306">
              <w:rPr>
                <w:rStyle w:val="Hyperlink"/>
                <w:rFonts w:cstheme="minorHAnsi"/>
              </w:rPr>
              <w:t>Long term adequacy between planned capacity and forecast demand</w:t>
            </w:r>
            <w:r w:rsidR="00674176">
              <w:rPr>
                <w:webHidden/>
              </w:rPr>
              <w:tab/>
            </w:r>
            <w:r w:rsidR="00674176">
              <w:rPr>
                <w:webHidden/>
              </w:rPr>
              <w:fldChar w:fldCharType="begin"/>
            </w:r>
            <w:r w:rsidR="00674176">
              <w:rPr>
                <w:webHidden/>
              </w:rPr>
              <w:instrText xml:space="preserve"> PAGEREF _Toc485382003 \h </w:instrText>
            </w:r>
            <w:r w:rsidR="00674176">
              <w:rPr>
                <w:webHidden/>
              </w:rPr>
            </w:r>
            <w:r w:rsidR="00674176">
              <w:rPr>
                <w:webHidden/>
              </w:rPr>
              <w:fldChar w:fldCharType="separate"/>
            </w:r>
            <w:r w:rsidR="00212D01">
              <w:rPr>
                <w:webHidden/>
              </w:rPr>
              <w:t>86</w:t>
            </w:r>
            <w:r w:rsidR="00674176">
              <w:rPr>
                <w:webHidden/>
              </w:rPr>
              <w:fldChar w:fldCharType="end"/>
            </w:r>
          </w:hyperlink>
        </w:p>
        <w:p w14:paraId="2304518C" w14:textId="3D160196" w:rsidR="00674176" w:rsidRDefault="00A15383">
          <w:pPr>
            <w:pStyle w:val="TOC1"/>
            <w:rPr>
              <w:rFonts w:asciiTheme="minorHAnsi" w:hAnsiTheme="minorHAnsi" w:cstheme="minorBidi"/>
              <w:noProof/>
              <w:sz w:val="22"/>
            </w:rPr>
          </w:pPr>
          <w:hyperlink w:anchor="_Toc485382004" w:history="1">
            <w:r w:rsidR="00674176" w:rsidRPr="00FF6306">
              <w:rPr>
                <w:rStyle w:val="Hyperlink"/>
                <w:rFonts w:cstheme="minorHAnsi"/>
                <w:noProof/>
              </w:rPr>
              <w:t>6.</w:t>
            </w:r>
            <w:r w:rsidR="00674176">
              <w:rPr>
                <w:rFonts w:asciiTheme="minorHAnsi" w:hAnsiTheme="minorHAnsi" w:cstheme="minorBidi"/>
                <w:noProof/>
                <w:sz w:val="22"/>
              </w:rPr>
              <w:tab/>
            </w:r>
            <w:r w:rsidR="00674176" w:rsidRPr="00FF6306">
              <w:rPr>
                <w:rStyle w:val="Hyperlink"/>
                <w:rFonts w:cstheme="minorHAnsi"/>
                <w:noProof/>
              </w:rPr>
              <w:t>Conclusions and Recommendations</w:t>
            </w:r>
            <w:r w:rsidR="00674176">
              <w:rPr>
                <w:noProof/>
                <w:webHidden/>
              </w:rPr>
              <w:tab/>
            </w:r>
            <w:r w:rsidR="00674176">
              <w:rPr>
                <w:noProof/>
                <w:webHidden/>
              </w:rPr>
              <w:fldChar w:fldCharType="begin"/>
            </w:r>
            <w:r w:rsidR="00674176">
              <w:rPr>
                <w:noProof/>
                <w:webHidden/>
              </w:rPr>
              <w:instrText xml:space="preserve"> PAGEREF _Toc485382004 \h </w:instrText>
            </w:r>
            <w:r w:rsidR="00674176">
              <w:rPr>
                <w:noProof/>
                <w:webHidden/>
              </w:rPr>
            </w:r>
            <w:r w:rsidR="00674176">
              <w:rPr>
                <w:noProof/>
                <w:webHidden/>
              </w:rPr>
              <w:fldChar w:fldCharType="separate"/>
            </w:r>
            <w:r w:rsidR="00212D01">
              <w:rPr>
                <w:noProof/>
                <w:webHidden/>
              </w:rPr>
              <w:t>90</w:t>
            </w:r>
            <w:r w:rsidR="00674176">
              <w:rPr>
                <w:noProof/>
                <w:webHidden/>
              </w:rPr>
              <w:fldChar w:fldCharType="end"/>
            </w:r>
          </w:hyperlink>
        </w:p>
        <w:p w14:paraId="77B9278C" w14:textId="26687E36" w:rsidR="00674176" w:rsidRDefault="00A15383">
          <w:pPr>
            <w:pStyle w:val="TOC1"/>
            <w:rPr>
              <w:rFonts w:asciiTheme="minorHAnsi" w:hAnsiTheme="minorHAnsi" w:cstheme="minorBidi"/>
              <w:noProof/>
              <w:sz w:val="22"/>
            </w:rPr>
          </w:pPr>
          <w:hyperlink w:anchor="_Toc485382005" w:history="1">
            <w:r w:rsidR="00674176" w:rsidRPr="00FF6306">
              <w:rPr>
                <w:rStyle w:val="Hyperlink"/>
                <w:noProof/>
              </w:rPr>
              <w:t>References</w:t>
            </w:r>
            <w:r w:rsidR="00674176">
              <w:rPr>
                <w:noProof/>
                <w:webHidden/>
              </w:rPr>
              <w:tab/>
            </w:r>
            <w:r w:rsidR="00674176">
              <w:rPr>
                <w:noProof/>
                <w:webHidden/>
              </w:rPr>
              <w:fldChar w:fldCharType="begin"/>
            </w:r>
            <w:r w:rsidR="00674176">
              <w:rPr>
                <w:noProof/>
                <w:webHidden/>
              </w:rPr>
              <w:instrText xml:space="preserve"> PAGEREF _Toc485382005 \h </w:instrText>
            </w:r>
            <w:r w:rsidR="00674176">
              <w:rPr>
                <w:noProof/>
                <w:webHidden/>
              </w:rPr>
            </w:r>
            <w:r w:rsidR="00674176">
              <w:rPr>
                <w:noProof/>
                <w:webHidden/>
              </w:rPr>
              <w:fldChar w:fldCharType="separate"/>
            </w:r>
            <w:r w:rsidR="00212D01">
              <w:rPr>
                <w:noProof/>
                <w:webHidden/>
              </w:rPr>
              <w:t>93</w:t>
            </w:r>
            <w:r w:rsidR="00674176">
              <w:rPr>
                <w:noProof/>
                <w:webHidden/>
              </w:rPr>
              <w:fldChar w:fldCharType="end"/>
            </w:r>
          </w:hyperlink>
        </w:p>
        <w:p w14:paraId="152F0ED6" w14:textId="5B4923EB" w:rsidR="00674176" w:rsidRDefault="00A15383">
          <w:pPr>
            <w:pStyle w:val="TOC1"/>
            <w:rPr>
              <w:rFonts w:asciiTheme="minorHAnsi" w:hAnsiTheme="minorHAnsi" w:cstheme="minorBidi"/>
              <w:noProof/>
              <w:sz w:val="22"/>
            </w:rPr>
          </w:pPr>
          <w:hyperlink w:anchor="_Toc485382006" w:history="1">
            <w:r w:rsidR="00674176" w:rsidRPr="00FF6306">
              <w:rPr>
                <w:rStyle w:val="Hyperlink"/>
                <w:noProof/>
              </w:rPr>
              <w:t>Annexes</w:t>
            </w:r>
            <w:r w:rsidR="00674176">
              <w:rPr>
                <w:noProof/>
                <w:webHidden/>
              </w:rPr>
              <w:tab/>
            </w:r>
            <w:r w:rsidR="00674176">
              <w:rPr>
                <w:noProof/>
                <w:webHidden/>
              </w:rPr>
              <w:fldChar w:fldCharType="begin"/>
            </w:r>
            <w:r w:rsidR="00674176">
              <w:rPr>
                <w:noProof/>
                <w:webHidden/>
              </w:rPr>
              <w:instrText xml:space="preserve"> PAGEREF _Toc485382006 \h </w:instrText>
            </w:r>
            <w:r w:rsidR="00674176">
              <w:rPr>
                <w:noProof/>
                <w:webHidden/>
              </w:rPr>
            </w:r>
            <w:r w:rsidR="00674176">
              <w:rPr>
                <w:noProof/>
                <w:webHidden/>
              </w:rPr>
              <w:fldChar w:fldCharType="separate"/>
            </w:r>
            <w:r w:rsidR="00212D01">
              <w:rPr>
                <w:noProof/>
                <w:webHidden/>
              </w:rPr>
              <w:t>96</w:t>
            </w:r>
            <w:r w:rsidR="00674176">
              <w:rPr>
                <w:noProof/>
                <w:webHidden/>
              </w:rPr>
              <w:fldChar w:fldCharType="end"/>
            </w:r>
          </w:hyperlink>
        </w:p>
        <w:p w14:paraId="4958EDA6" w14:textId="67AD81C5" w:rsidR="00674176" w:rsidRDefault="00A15383">
          <w:pPr>
            <w:pStyle w:val="TOC2"/>
            <w:rPr>
              <w:rFonts w:asciiTheme="minorHAnsi" w:hAnsiTheme="minorHAnsi" w:cstheme="minorBidi"/>
              <w:i w:val="0"/>
              <w:sz w:val="22"/>
            </w:rPr>
          </w:pPr>
          <w:hyperlink w:anchor="_Toc485382007" w:history="1">
            <w:r w:rsidR="00674176" w:rsidRPr="00FF6306">
              <w:rPr>
                <w:rStyle w:val="Hyperlink"/>
                <w:rFonts w:cstheme="minorHAnsi"/>
              </w:rPr>
              <w:t>Annex 1: Main ports and container terminals in West Africa</w:t>
            </w:r>
            <w:r w:rsidR="00674176">
              <w:rPr>
                <w:webHidden/>
              </w:rPr>
              <w:tab/>
            </w:r>
            <w:r w:rsidR="00674176">
              <w:rPr>
                <w:webHidden/>
              </w:rPr>
              <w:fldChar w:fldCharType="begin"/>
            </w:r>
            <w:r w:rsidR="00674176">
              <w:rPr>
                <w:webHidden/>
              </w:rPr>
              <w:instrText xml:space="preserve"> PAGEREF _Toc485382007 \h </w:instrText>
            </w:r>
            <w:r w:rsidR="00674176">
              <w:rPr>
                <w:webHidden/>
              </w:rPr>
            </w:r>
            <w:r w:rsidR="00674176">
              <w:rPr>
                <w:webHidden/>
              </w:rPr>
              <w:fldChar w:fldCharType="separate"/>
            </w:r>
            <w:r w:rsidR="00212D01">
              <w:rPr>
                <w:webHidden/>
              </w:rPr>
              <w:t>96</w:t>
            </w:r>
            <w:r w:rsidR="00674176">
              <w:rPr>
                <w:webHidden/>
              </w:rPr>
              <w:fldChar w:fldCharType="end"/>
            </w:r>
          </w:hyperlink>
        </w:p>
        <w:p w14:paraId="73A1E533" w14:textId="02A1ECFE" w:rsidR="00674176" w:rsidRDefault="00A15383">
          <w:pPr>
            <w:pStyle w:val="TOC2"/>
            <w:rPr>
              <w:rFonts w:asciiTheme="minorHAnsi" w:hAnsiTheme="minorHAnsi" w:cstheme="minorBidi"/>
              <w:i w:val="0"/>
              <w:sz w:val="22"/>
            </w:rPr>
          </w:pPr>
          <w:hyperlink w:anchor="_Toc485382008" w:history="1">
            <w:r w:rsidR="00674176" w:rsidRPr="00FF6306">
              <w:rPr>
                <w:rStyle w:val="Hyperlink"/>
                <w:rFonts w:cstheme="minorHAnsi"/>
              </w:rPr>
              <w:t>Annex 2: How to measure efficiency gains from terminal concessions?</w:t>
            </w:r>
            <w:r w:rsidR="00674176">
              <w:rPr>
                <w:webHidden/>
              </w:rPr>
              <w:tab/>
            </w:r>
            <w:r w:rsidR="00674176">
              <w:rPr>
                <w:webHidden/>
              </w:rPr>
              <w:fldChar w:fldCharType="begin"/>
            </w:r>
            <w:r w:rsidR="00674176">
              <w:rPr>
                <w:webHidden/>
              </w:rPr>
              <w:instrText xml:space="preserve"> PAGEREF _Toc485382008 \h </w:instrText>
            </w:r>
            <w:r w:rsidR="00674176">
              <w:rPr>
                <w:webHidden/>
              </w:rPr>
            </w:r>
            <w:r w:rsidR="00674176">
              <w:rPr>
                <w:webHidden/>
              </w:rPr>
              <w:fldChar w:fldCharType="separate"/>
            </w:r>
            <w:r w:rsidR="00212D01">
              <w:rPr>
                <w:webHidden/>
              </w:rPr>
              <w:t>102</w:t>
            </w:r>
            <w:r w:rsidR="00674176">
              <w:rPr>
                <w:webHidden/>
              </w:rPr>
              <w:fldChar w:fldCharType="end"/>
            </w:r>
          </w:hyperlink>
        </w:p>
        <w:p w14:paraId="24E2C4F3" w14:textId="33B753C6" w:rsidR="00674176" w:rsidRDefault="00A15383">
          <w:pPr>
            <w:pStyle w:val="TOC2"/>
            <w:rPr>
              <w:rFonts w:asciiTheme="minorHAnsi" w:hAnsiTheme="minorHAnsi" w:cstheme="minorBidi"/>
              <w:i w:val="0"/>
              <w:sz w:val="22"/>
            </w:rPr>
          </w:pPr>
          <w:hyperlink w:anchor="_Toc485382009" w:history="1">
            <w:r w:rsidR="00674176" w:rsidRPr="00FF6306">
              <w:rPr>
                <w:rStyle w:val="Hyperlink"/>
                <w:rFonts w:cstheme="minorHAnsi"/>
              </w:rPr>
              <w:t>Annex 3: The growing role of Asia in West African maritime trade</w:t>
            </w:r>
            <w:r w:rsidR="00674176">
              <w:rPr>
                <w:webHidden/>
              </w:rPr>
              <w:tab/>
            </w:r>
            <w:r w:rsidR="00674176">
              <w:rPr>
                <w:webHidden/>
              </w:rPr>
              <w:fldChar w:fldCharType="begin"/>
            </w:r>
            <w:r w:rsidR="00674176">
              <w:rPr>
                <w:webHidden/>
              </w:rPr>
              <w:instrText xml:space="preserve"> PAGEREF _Toc485382009 \h </w:instrText>
            </w:r>
            <w:r w:rsidR="00674176">
              <w:rPr>
                <w:webHidden/>
              </w:rPr>
            </w:r>
            <w:r w:rsidR="00674176">
              <w:rPr>
                <w:webHidden/>
              </w:rPr>
              <w:fldChar w:fldCharType="separate"/>
            </w:r>
            <w:r w:rsidR="00212D01">
              <w:rPr>
                <w:webHidden/>
              </w:rPr>
              <w:t>108</w:t>
            </w:r>
            <w:r w:rsidR="00674176">
              <w:rPr>
                <w:webHidden/>
              </w:rPr>
              <w:fldChar w:fldCharType="end"/>
            </w:r>
          </w:hyperlink>
        </w:p>
        <w:p w14:paraId="2AAA55A7" w14:textId="2783CAE8" w:rsidR="00674176" w:rsidRDefault="00A15383">
          <w:pPr>
            <w:pStyle w:val="TOC2"/>
            <w:rPr>
              <w:rFonts w:asciiTheme="minorHAnsi" w:hAnsiTheme="minorHAnsi" w:cstheme="minorBidi"/>
              <w:i w:val="0"/>
              <w:sz w:val="22"/>
            </w:rPr>
          </w:pPr>
          <w:hyperlink w:anchor="_Toc485382010" w:history="1">
            <w:r w:rsidR="00674176" w:rsidRPr="00FF6306">
              <w:rPr>
                <w:rStyle w:val="Hyperlink"/>
                <w:rFonts w:cstheme="minorHAnsi"/>
              </w:rPr>
              <w:t>Annex 4: Nigeria Terminal Concessions</w:t>
            </w:r>
            <w:r w:rsidR="00674176">
              <w:rPr>
                <w:webHidden/>
              </w:rPr>
              <w:tab/>
            </w:r>
            <w:r w:rsidR="00674176">
              <w:rPr>
                <w:webHidden/>
              </w:rPr>
              <w:fldChar w:fldCharType="begin"/>
            </w:r>
            <w:r w:rsidR="00674176">
              <w:rPr>
                <w:webHidden/>
              </w:rPr>
              <w:instrText xml:space="preserve"> PAGEREF _Toc485382010 \h </w:instrText>
            </w:r>
            <w:r w:rsidR="00674176">
              <w:rPr>
                <w:webHidden/>
              </w:rPr>
            </w:r>
            <w:r w:rsidR="00674176">
              <w:rPr>
                <w:webHidden/>
              </w:rPr>
              <w:fldChar w:fldCharType="separate"/>
            </w:r>
            <w:r w:rsidR="00212D01">
              <w:rPr>
                <w:webHidden/>
              </w:rPr>
              <w:t>111</w:t>
            </w:r>
            <w:r w:rsidR="00674176">
              <w:rPr>
                <w:webHidden/>
              </w:rPr>
              <w:fldChar w:fldCharType="end"/>
            </w:r>
          </w:hyperlink>
        </w:p>
        <w:p w14:paraId="63A4A40F" w14:textId="13652E58" w:rsidR="00674176" w:rsidRDefault="00A15383">
          <w:pPr>
            <w:pStyle w:val="TOC2"/>
            <w:rPr>
              <w:rFonts w:asciiTheme="minorHAnsi" w:hAnsiTheme="minorHAnsi" w:cstheme="minorBidi"/>
              <w:i w:val="0"/>
              <w:sz w:val="22"/>
            </w:rPr>
          </w:pPr>
          <w:hyperlink w:anchor="_Toc485382011" w:history="1">
            <w:r w:rsidR="00674176" w:rsidRPr="00FF6306">
              <w:rPr>
                <w:rStyle w:val="Hyperlink"/>
                <w:rFonts w:cstheme="minorHAnsi"/>
              </w:rPr>
              <w:t>Annex 5: Characteristics of the main West African container terminals</w:t>
            </w:r>
            <w:r w:rsidR="00674176">
              <w:rPr>
                <w:webHidden/>
              </w:rPr>
              <w:tab/>
            </w:r>
            <w:r w:rsidR="00674176">
              <w:rPr>
                <w:webHidden/>
              </w:rPr>
              <w:fldChar w:fldCharType="begin"/>
            </w:r>
            <w:r w:rsidR="00674176">
              <w:rPr>
                <w:webHidden/>
              </w:rPr>
              <w:instrText xml:space="preserve"> PAGEREF _Toc485382011 \h </w:instrText>
            </w:r>
            <w:r w:rsidR="00674176">
              <w:rPr>
                <w:webHidden/>
              </w:rPr>
            </w:r>
            <w:r w:rsidR="00674176">
              <w:rPr>
                <w:webHidden/>
              </w:rPr>
              <w:fldChar w:fldCharType="separate"/>
            </w:r>
            <w:r w:rsidR="00212D01">
              <w:rPr>
                <w:webHidden/>
              </w:rPr>
              <w:t>113</w:t>
            </w:r>
            <w:r w:rsidR="00674176">
              <w:rPr>
                <w:webHidden/>
              </w:rPr>
              <w:fldChar w:fldCharType="end"/>
            </w:r>
          </w:hyperlink>
        </w:p>
        <w:p w14:paraId="3E36BCB9" w14:textId="0D19BF82" w:rsidR="00674176" w:rsidRDefault="00A15383">
          <w:pPr>
            <w:pStyle w:val="TOC2"/>
            <w:rPr>
              <w:rFonts w:asciiTheme="minorHAnsi" w:hAnsiTheme="minorHAnsi" w:cstheme="minorBidi"/>
              <w:i w:val="0"/>
              <w:sz w:val="22"/>
            </w:rPr>
          </w:pPr>
          <w:hyperlink w:anchor="_Toc485382012" w:history="1">
            <w:r w:rsidR="00674176" w:rsidRPr="00FF6306">
              <w:rPr>
                <w:rStyle w:val="Hyperlink"/>
                <w:rFonts w:cstheme="minorHAnsi"/>
              </w:rPr>
              <w:t>Annex 6: Tables for container traffic forecast</w:t>
            </w:r>
            <w:r w:rsidR="00674176">
              <w:rPr>
                <w:webHidden/>
              </w:rPr>
              <w:tab/>
            </w:r>
            <w:r w:rsidR="00674176">
              <w:rPr>
                <w:webHidden/>
              </w:rPr>
              <w:fldChar w:fldCharType="begin"/>
            </w:r>
            <w:r w:rsidR="00674176">
              <w:rPr>
                <w:webHidden/>
              </w:rPr>
              <w:instrText xml:space="preserve"> PAGEREF _Toc485382012 \h </w:instrText>
            </w:r>
            <w:r w:rsidR="00674176">
              <w:rPr>
                <w:webHidden/>
              </w:rPr>
            </w:r>
            <w:r w:rsidR="00674176">
              <w:rPr>
                <w:webHidden/>
              </w:rPr>
              <w:fldChar w:fldCharType="separate"/>
            </w:r>
            <w:r w:rsidR="00212D01">
              <w:rPr>
                <w:webHidden/>
              </w:rPr>
              <w:t>115</w:t>
            </w:r>
            <w:r w:rsidR="00674176">
              <w:rPr>
                <w:webHidden/>
              </w:rPr>
              <w:fldChar w:fldCharType="end"/>
            </w:r>
          </w:hyperlink>
        </w:p>
        <w:p w14:paraId="6BA2122F" w14:textId="523EAC66" w:rsidR="00C662B7" w:rsidRPr="000B217C" w:rsidRDefault="00520B46" w:rsidP="00442CB4">
          <w:pPr>
            <w:rPr>
              <w:rFonts w:cs="Times New Roman"/>
              <w:b/>
            </w:rPr>
          </w:pPr>
          <w:r w:rsidRPr="00A31EDE">
            <w:fldChar w:fldCharType="end"/>
          </w:r>
        </w:p>
      </w:sdtContent>
    </w:sdt>
    <w:p w14:paraId="43A08491" w14:textId="77777777" w:rsidR="00C662B7" w:rsidRPr="000B217C" w:rsidRDefault="001C4F48" w:rsidP="00C662B7">
      <w:pPr>
        <w:pStyle w:val="TableofFigures"/>
        <w:tabs>
          <w:tab w:val="right" w:leader="dot" w:pos="9350"/>
        </w:tabs>
        <w:rPr>
          <w:rFonts w:asciiTheme="minorHAnsi" w:hAnsiTheme="minorHAnsi" w:cs="Times New Roman"/>
          <w:b/>
          <w:sz w:val="22"/>
        </w:rPr>
      </w:pPr>
      <w:r w:rsidRPr="000B217C">
        <w:rPr>
          <w:rFonts w:asciiTheme="minorHAnsi" w:hAnsiTheme="minorHAnsi" w:cs="Times New Roman"/>
          <w:b/>
          <w:sz w:val="22"/>
        </w:rPr>
        <w:t>Tables:</w:t>
      </w:r>
    </w:p>
    <w:p w14:paraId="11390B25" w14:textId="4BDB025C" w:rsidR="006B66CB" w:rsidRPr="006B66CB" w:rsidRDefault="00C662B7">
      <w:pPr>
        <w:pStyle w:val="TableofFigures"/>
        <w:tabs>
          <w:tab w:val="right" w:leader="dot" w:pos="9350"/>
        </w:tabs>
        <w:rPr>
          <w:rStyle w:val="Hyperlink"/>
          <w:rFonts w:ascii="Calibri" w:hAnsi="Calibri"/>
          <w:bCs/>
          <w:smallCaps/>
        </w:rPr>
      </w:pPr>
      <w:r w:rsidRPr="00E12F57">
        <w:rPr>
          <w:rStyle w:val="Hyperlink"/>
          <w:rFonts w:ascii="Calibri" w:hAnsi="Calibri"/>
          <w:bCs/>
          <w:smallCaps/>
          <w:noProof/>
        </w:rPr>
        <w:fldChar w:fldCharType="begin"/>
      </w:r>
      <w:r w:rsidRPr="00E12F57">
        <w:rPr>
          <w:rStyle w:val="Hyperlink"/>
          <w:rFonts w:ascii="Calibri" w:hAnsi="Calibri"/>
          <w:bCs/>
          <w:smallCaps/>
          <w:noProof/>
        </w:rPr>
        <w:instrText xml:space="preserve"> TOC \h \z \c "Table" </w:instrText>
      </w:r>
      <w:r w:rsidRPr="00E12F57">
        <w:rPr>
          <w:rStyle w:val="Hyperlink"/>
          <w:rFonts w:ascii="Calibri" w:hAnsi="Calibri"/>
          <w:bCs/>
          <w:smallCaps/>
          <w:noProof/>
        </w:rPr>
        <w:fldChar w:fldCharType="separate"/>
      </w:r>
      <w:hyperlink w:anchor="_Toc485381912" w:history="1">
        <w:r w:rsidR="006B66CB" w:rsidRPr="006B66CB">
          <w:rPr>
            <w:rStyle w:val="Hyperlink"/>
            <w:rFonts w:ascii="Calibri" w:hAnsi="Calibri"/>
            <w:bCs/>
            <w:smallCaps/>
            <w:noProof/>
          </w:rPr>
          <w:t>Table 1: Key Market Conditions impacting competition in the ports sector</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_Toc485381912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27</w:t>
        </w:r>
        <w:r w:rsidR="006B66CB" w:rsidRPr="006B66CB">
          <w:rPr>
            <w:rStyle w:val="Hyperlink"/>
            <w:rFonts w:ascii="Calibri" w:hAnsi="Calibri"/>
            <w:bCs/>
            <w:smallCaps/>
            <w:webHidden/>
          </w:rPr>
          <w:fldChar w:fldCharType="end"/>
        </w:r>
      </w:hyperlink>
    </w:p>
    <w:p w14:paraId="546D46E8" w14:textId="26675960" w:rsidR="006B66CB" w:rsidRPr="006B66CB" w:rsidRDefault="00A15383">
      <w:pPr>
        <w:pStyle w:val="TableofFigures"/>
        <w:tabs>
          <w:tab w:val="right" w:leader="dot" w:pos="9350"/>
        </w:tabs>
        <w:rPr>
          <w:rStyle w:val="Hyperlink"/>
          <w:rFonts w:ascii="Calibri" w:hAnsi="Calibri"/>
          <w:bCs/>
          <w:smallCaps/>
        </w:rPr>
      </w:pPr>
      <w:hyperlink w:anchor="_Toc485381913" w:history="1">
        <w:r w:rsidR="006B66CB" w:rsidRPr="006B66CB">
          <w:rPr>
            <w:rStyle w:val="Hyperlink"/>
            <w:rFonts w:ascii="Calibri" w:hAnsi="Calibri"/>
            <w:bCs/>
            <w:smallCaps/>
            <w:noProof/>
          </w:rPr>
          <w:t>Table 2: Differential Risks to CT Customers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_Toc485381913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32</w:t>
        </w:r>
        <w:r w:rsidR="006B66CB" w:rsidRPr="006B66CB">
          <w:rPr>
            <w:rStyle w:val="Hyperlink"/>
            <w:rFonts w:ascii="Calibri" w:hAnsi="Calibri"/>
            <w:bCs/>
            <w:smallCaps/>
            <w:webHidden/>
          </w:rPr>
          <w:fldChar w:fldCharType="end"/>
        </w:r>
      </w:hyperlink>
    </w:p>
    <w:p w14:paraId="7F462285" w14:textId="55E69828" w:rsidR="006B66CB" w:rsidRPr="006B66CB" w:rsidRDefault="00A15383">
      <w:pPr>
        <w:pStyle w:val="TableofFigures"/>
        <w:tabs>
          <w:tab w:val="right" w:leader="dot" w:pos="9350"/>
        </w:tabs>
        <w:rPr>
          <w:rStyle w:val="Hyperlink"/>
          <w:rFonts w:ascii="Calibri" w:hAnsi="Calibri"/>
          <w:bCs/>
          <w:smallCaps/>
        </w:rPr>
      </w:pPr>
      <w:hyperlink w:anchor="_Toc485381914" w:history="1">
        <w:r w:rsidR="006B66CB" w:rsidRPr="006B66CB">
          <w:rPr>
            <w:rStyle w:val="Hyperlink"/>
            <w:rFonts w:ascii="Calibri" w:hAnsi="Calibri"/>
            <w:bCs/>
            <w:smallCaps/>
            <w:noProof/>
          </w:rPr>
          <w:t>Table 3: Private Sector Participation in the Port Sector</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_Toc485381914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42</w:t>
        </w:r>
        <w:r w:rsidR="006B66CB" w:rsidRPr="006B66CB">
          <w:rPr>
            <w:rStyle w:val="Hyperlink"/>
            <w:rFonts w:ascii="Calibri" w:hAnsi="Calibri"/>
            <w:bCs/>
            <w:smallCaps/>
            <w:webHidden/>
          </w:rPr>
          <w:fldChar w:fldCharType="end"/>
        </w:r>
      </w:hyperlink>
    </w:p>
    <w:p w14:paraId="40A74C44" w14:textId="576B059C" w:rsidR="006B66CB" w:rsidRPr="006B66CB" w:rsidRDefault="00A15383">
      <w:pPr>
        <w:pStyle w:val="TableofFigures"/>
        <w:tabs>
          <w:tab w:val="right" w:leader="dot" w:pos="9350"/>
        </w:tabs>
        <w:rPr>
          <w:rStyle w:val="Hyperlink"/>
          <w:rFonts w:ascii="Calibri" w:hAnsi="Calibri"/>
          <w:bCs/>
          <w:smallCaps/>
        </w:rPr>
      </w:pPr>
      <w:hyperlink w:anchor="_Toc485381915" w:history="1">
        <w:r w:rsidR="006B66CB" w:rsidRPr="006B66CB">
          <w:rPr>
            <w:rStyle w:val="Hyperlink"/>
            <w:rFonts w:ascii="Calibri" w:hAnsi="Calibri"/>
            <w:bCs/>
            <w:smallCaps/>
            <w:noProof/>
          </w:rPr>
          <w:t>Table 4: Container Terminal Concessions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_Toc485381915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44</w:t>
        </w:r>
        <w:r w:rsidR="006B66CB" w:rsidRPr="006B66CB">
          <w:rPr>
            <w:rStyle w:val="Hyperlink"/>
            <w:rFonts w:ascii="Calibri" w:hAnsi="Calibri"/>
            <w:bCs/>
            <w:smallCaps/>
            <w:webHidden/>
          </w:rPr>
          <w:fldChar w:fldCharType="end"/>
        </w:r>
      </w:hyperlink>
    </w:p>
    <w:p w14:paraId="6D25A198" w14:textId="3BF04BFB" w:rsidR="006B66CB" w:rsidRPr="006B66CB" w:rsidRDefault="00A15383">
      <w:pPr>
        <w:pStyle w:val="TableofFigures"/>
        <w:tabs>
          <w:tab w:val="right" w:leader="dot" w:pos="9350"/>
        </w:tabs>
        <w:rPr>
          <w:rStyle w:val="Hyperlink"/>
          <w:rFonts w:ascii="Calibri" w:hAnsi="Calibri"/>
          <w:bCs/>
          <w:smallCaps/>
        </w:rPr>
      </w:pPr>
      <w:hyperlink w:anchor="_Toc485381916" w:history="1">
        <w:r w:rsidR="006B66CB" w:rsidRPr="006B66CB">
          <w:rPr>
            <w:rStyle w:val="Hyperlink"/>
            <w:rFonts w:ascii="Calibri" w:hAnsi="Calibri"/>
            <w:bCs/>
            <w:smallCaps/>
            <w:noProof/>
          </w:rPr>
          <w:t>Table 5: Africa footprint of the West Africa container terminal operators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_Toc485381916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46</w:t>
        </w:r>
        <w:r w:rsidR="006B66CB" w:rsidRPr="006B66CB">
          <w:rPr>
            <w:rStyle w:val="Hyperlink"/>
            <w:rFonts w:ascii="Calibri" w:hAnsi="Calibri"/>
            <w:bCs/>
            <w:smallCaps/>
            <w:webHidden/>
          </w:rPr>
          <w:fldChar w:fldCharType="end"/>
        </w:r>
      </w:hyperlink>
    </w:p>
    <w:p w14:paraId="57B53CB4" w14:textId="6730892D" w:rsidR="006B66CB" w:rsidRPr="006B66CB" w:rsidRDefault="00A15383">
      <w:pPr>
        <w:pStyle w:val="TableofFigures"/>
        <w:tabs>
          <w:tab w:val="right" w:leader="dot" w:pos="9350"/>
        </w:tabs>
        <w:rPr>
          <w:rStyle w:val="Hyperlink"/>
          <w:rFonts w:ascii="Calibri" w:hAnsi="Calibri"/>
          <w:bCs/>
          <w:smallCaps/>
        </w:rPr>
      </w:pPr>
      <w:hyperlink w:anchor="_Toc485381917" w:history="1">
        <w:r w:rsidR="006B66CB" w:rsidRPr="006B66CB">
          <w:rPr>
            <w:rStyle w:val="Hyperlink"/>
            <w:rFonts w:ascii="Calibri" w:hAnsi="Calibri"/>
            <w:bCs/>
            <w:smallCaps/>
            <w:noProof/>
          </w:rPr>
          <w:t>Table 6: Variations of port PPP legislations in West Africa</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_Toc485381917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48</w:t>
        </w:r>
        <w:r w:rsidR="006B66CB" w:rsidRPr="006B66CB">
          <w:rPr>
            <w:rStyle w:val="Hyperlink"/>
            <w:rFonts w:ascii="Calibri" w:hAnsi="Calibri"/>
            <w:bCs/>
            <w:smallCaps/>
            <w:webHidden/>
          </w:rPr>
          <w:fldChar w:fldCharType="end"/>
        </w:r>
      </w:hyperlink>
    </w:p>
    <w:p w14:paraId="5EE6A23A" w14:textId="6DA92D96" w:rsidR="006B66CB" w:rsidRPr="006B66CB" w:rsidRDefault="00A15383">
      <w:pPr>
        <w:pStyle w:val="TableofFigures"/>
        <w:tabs>
          <w:tab w:val="right" w:leader="dot" w:pos="9350"/>
        </w:tabs>
        <w:rPr>
          <w:rStyle w:val="Hyperlink"/>
          <w:rFonts w:ascii="Calibri" w:hAnsi="Calibri"/>
          <w:bCs/>
          <w:smallCaps/>
        </w:rPr>
      </w:pPr>
      <w:hyperlink w:anchor="_Toc485381918" w:history="1">
        <w:r w:rsidR="006B66CB" w:rsidRPr="006B66CB">
          <w:rPr>
            <w:rStyle w:val="Hyperlink"/>
            <w:rFonts w:ascii="Calibri" w:hAnsi="Calibri"/>
            <w:bCs/>
            <w:smallCaps/>
            <w:noProof/>
          </w:rPr>
          <w:t>Table 7: National ministries and agencies in charge of port regulation in West Africa</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_Toc485381918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49</w:t>
        </w:r>
        <w:r w:rsidR="006B66CB" w:rsidRPr="006B66CB">
          <w:rPr>
            <w:rStyle w:val="Hyperlink"/>
            <w:rFonts w:ascii="Calibri" w:hAnsi="Calibri"/>
            <w:bCs/>
            <w:smallCaps/>
            <w:webHidden/>
          </w:rPr>
          <w:fldChar w:fldCharType="end"/>
        </w:r>
      </w:hyperlink>
    </w:p>
    <w:p w14:paraId="50EA66EF" w14:textId="4C1D7D77" w:rsidR="006B66CB" w:rsidRPr="006B66CB" w:rsidRDefault="00A15383">
      <w:pPr>
        <w:pStyle w:val="TableofFigures"/>
        <w:tabs>
          <w:tab w:val="right" w:leader="dot" w:pos="9350"/>
        </w:tabs>
        <w:rPr>
          <w:rStyle w:val="Hyperlink"/>
          <w:rFonts w:ascii="Calibri" w:hAnsi="Calibri"/>
          <w:bCs/>
          <w:smallCaps/>
        </w:rPr>
      </w:pPr>
      <w:hyperlink w:anchor="_Toc485381919" w:history="1">
        <w:r w:rsidR="006B66CB" w:rsidRPr="006B66CB">
          <w:rPr>
            <w:rStyle w:val="Hyperlink"/>
            <w:rFonts w:ascii="Calibri" w:hAnsi="Calibri"/>
            <w:bCs/>
            <w:smallCaps/>
            <w:noProof/>
          </w:rPr>
          <w:t>Table 8: Investment in selected terminal concessions in West Africa ports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_Toc485381919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65</w:t>
        </w:r>
        <w:r w:rsidR="006B66CB" w:rsidRPr="006B66CB">
          <w:rPr>
            <w:rStyle w:val="Hyperlink"/>
            <w:rFonts w:ascii="Calibri" w:hAnsi="Calibri"/>
            <w:bCs/>
            <w:smallCaps/>
            <w:webHidden/>
          </w:rPr>
          <w:fldChar w:fldCharType="end"/>
        </w:r>
      </w:hyperlink>
    </w:p>
    <w:p w14:paraId="4B7BACD3" w14:textId="4F7C9241" w:rsidR="006B66CB" w:rsidRPr="006B66CB" w:rsidRDefault="00A15383">
      <w:pPr>
        <w:pStyle w:val="TableofFigures"/>
        <w:tabs>
          <w:tab w:val="right" w:leader="dot" w:pos="9350"/>
        </w:tabs>
        <w:rPr>
          <w:rStyle w:val="Hyperlink"/>
          <w:rFonts w:ascii="Calibri" w:hAnsi="Calibri"/>
          <w:bCs/>
          <w:smallCaps/>
        </w:rPr>
      </w:pPr>
      <w:hyperlink w:anchor="_Toc485381920" w:history="1">
        <w:r w:rsidR="006B66CB" w:rsidRPr="006B66CB">
          <w:rPr>
            <w:rStyle w:val="Hyperlink"/>
            <w:rFonts w:ascii="Calibri" w:hAnsi="Calibri"/>
            <w:bCs/>
            <w:smallCaps/>
            <w:noProof/>
          </w:rPr>
          <w:t>Table 9: Regional average for ship productivity according to vessel size</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_Toc485381920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66</w:t>
        </w:r>
        <w:r w:rsidR="006B66CB" w:rsidRPr="006B66CB">
          <w:rPr>
            <w:rStyle w:val="Hyperlink"/>
            <w:rFonts w:ascii="Calibri" w:hAnsi="Calibri"/>
            <w:bCs/>
            <w:smallCaps/>
            <w:webHidden/>
          </w:rPr>
          <w:fldChar w:fldCharType="end"/>
        </w:r>
      </w:hyperlink>
    </w:p>
    <w:p w14:paraId="62A1F7DD" w14:textId="19B4E391" w:rsidR="006B66CB" w:rsidRPr="006B66CB" w:rsidRDefault="00A15383">
      <w:pPr>
        <w:pStyle w:val="TableofFigures"/>
        <w:tabs>
          <w:tab w:val="right" w:leader="dot" w:pos="9350"/>
        </w:tabs>
        <w:rPr>
          <w:rStyle w:val="Hyperlink"/>
          <w:rFonts w:ascii="Calibri" w:hAnsi="Calibri"/>
          <w:bCs/>
          <w:smallCaps/>
        </w:rPr>
      </w:pPr>
      <w:hyperlink w:anchor="_Toc485381921" w:history="1">
        <w:r w:rsidR="006B66CB" w:rsidRPr="006B66CB">
          <w:rPr>
            <w:rStyle w:val="Hyperlink"/>
            <w:rFonts w:ascii="Calibri" w:hAnsi="Calibri"/>
            <w:bCs/>
            <w:smallCaps/>
            <w:noProof/>
          </w:rPr>
          <w:t>Table 10: Comparison 2010 - 2015 of the container handling tariffs in Cotonou</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_Toc485381921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71</w:t>
        </w:r>
        <w:r w:rsidR="006B66CB" w:rsidRPr="006B66CB">
          <w:rPr>
            <w:rStyle w:val="Hyperlink"/>
            <w:rFonts w:ascii="Calibri" w:hAnsi="Calibri"/>
            <w:bCs/>
            <w:smallCaps/>
            <w:webHidden/>
          </w:rPr>
          <w:fldChar w:fldCharType="end"/>
        </w:r>
      </w:hyperlink>
    </w:p>
    <w:p w14:paraId="7AAEB19F" w14:textId="2DC77556" w:rsidR="006B66CB" w:rsidRPr="006B66CB" w:rsidRDefault="00A15383">
      <w:pPr>
        <w:pStyle w:val="TableofFigures"/>
        <w:tabs>
          <w:tab w:val="right" w:leader="dot" w:pos="9350"/>
        </w:tabs>
        <w:rPr>
          <w:rStyle w:val="Hyperlink"/>
          <w:rFonts w:ascii="Calibri" w:hAnsi="Calibri"/>
          <w:bCs/>
          <w:smallCaps/>
        </w:rPr>
      </w:pPr>
      <w:hyperlink w:anchor="_Toc485381922" w:history="1">
        <w:r w:rsidR="006B66CB" w:rsidRPr="006B66CB">
          <w:rPr>
            <w:rStyle w:val="Hyperlink"/>
            <w:rFonts w:ascii="Calibri" w:hAnsi="Calibri"/>
            <w:bCs/>
            <w:smallCaps/>
            <w:noProof/>
          </w:rPr>
          <w:t>Table 11: Expenditure and Revenue items for TOCs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_Toc485381922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73</w:t>
        </w:r>
        <w:r w:rsidR="006B66CB" w:rsidRPr="006B66CB">
          <w:rPr>
            <w:rStyle w:val="Hyperlink"/>
            <w:rFonts w:ascii="Calibri" w:hAnsi="Calibri"/>
            <w:bCs/>
            <w:smallCaps/>
            <w:webHidden/>
          </w:rPr>
          <w:fldChar w:fldCharType="end"/>
        </w:r>
      </w:hyperlink>
    </w:p>
    <w:p w14:paraId="1AE126E3" w14:textId="4282082A" w:rsidR="006B66CB" w:rsidRPr="006B66CB" w:rsidRDefault="00A15383">
      <w:pPr>
        <w:pStyle w:val="TableofFigures"/>
        <w:tabs>
          <w:tab w:val="right" w:leader="dot" w:pos="9350"/>
        </w:tabs>
        <w:rPr>
          <w:rStyle w:val="Hyperlink"/>
          <w:rFonts w:ascii="Calibri" w:hAnsi="Calibri"/>
          <w:bCs/>
          <w:smallCaps/>
        </w:rPr>
      </w:pPr>
      <w:hyperlink w:anchor="_Toc485381923" w:history="1">
        <w:r w:rsidR="006B66CB" w:rsidRPr="006B66CB">
          <w:rPr>
            <w:rStyle w:val="Hyperlink"/>
            <w:rFonts w:ascii="Calibri" w:hAnsi="Calibri"/>
            <w:bCs/>
            <w:smallCaps/>
            <w:noProof/>
          </w:rPr>
          <w:t>Table 12: Tentative estimate of the revenue for Abidjan Terminal for the year 2013 (USD)</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_Toc485381923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74</w:t>
        </w:r>
        <w:r w:rsidR="006B66CB" w:rsidRPr="006B66CB">
          <w:rPr>
            <w:rStyle w:val="Hyperlink"/>
            <w:rFonts w:ascii="Calibri" w:hAnsi="Calibri"/>
            <w:bCs/>
            <w:smallCaps/>
            <w:webHidden/>
          </w:rPr>
          <w:fldChar w:fldCharType="end"/>
        </w:r>
      </w:hyperlink>
    </w:p>
    <w:p w14:paraId="4A9D8B56" w14:textId="789488FA" w:rsidR="006B66CB" w:rsidRPr="006B66CB" w:rsidRDefault="00A15383">
      <w:pPr>
        <w:pStyle w:val="TableofFigures"/>
        <w:tabs>
          <w:tab w:val="right" w:leader="dot" w:pos="9350"/>
        </w:tabs>
        <w:rPr>
          <w:rStyle w:val="Hyperlink"/>
          <w:rFonts w:ascii="Calibri" w:hAnsi="Calibri"/>
          <w:bCs/>
          <w:smallCaps/>
        </w:rPr>
      </w:pPr>
      <w:hyperlink w:anchor="_Toc485381924" w:history="1">
        <w:r w:rsidR="006B66CB" w:rsidRPr="006B66CB">
          <w:rPr>
            <w:rStyle w:val="Hyperlink"/>
            <w:rFonts w:ascii="Calibri" w:hAnsi="Calibri"/>
            <w:bCs/>
            <w:smallCaps/>
            <w:noProof/>
          </w:rPr>
          <w:t>Table 13: Estimated concession fee (variable) for Abidjan Terminal</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_Toc485381924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74</w:t>
        </w:r>
        <w:r w:rsidR="006B66CB" w:rsidRPr="006B66CB">
          <w:rPr>
            <w:rStyle w:val="Hyperlink"/>
            <w:rFonts w:ascii="Calibri" w:hAnsi="Calibri"/>
            <w:bCs/>
            <w:smallCaps/>
            <w:webHidden/>
          </w:rPr>
          <w:fldChar w:fldCharType="end"/>
        </w:r>
      </w:hyperlink>
    </w:p>
    <w:p w14:paraId="18F736EA" w14:textId="434DE661" w:rsidR="006B66CB" w:rsidRPr="006B66CB" w:rsidRDefault="00A15383">
      <w:pPr>
        <w:pStyle w:val="TableofFigures"/>
        <w:tabs>
          <w:tab w:val="right" w:leader="dot" w:pos="9350"/>
        </w:tabs>
        <w:rPr>
          <w:rStyle w:val="Hyperlink"/>
          <w:rFonts w:ascii="Calibri" w:hAnsi="Calibri"/>
          <w:bCs/>
          <w:smallCaps/>
        </w:rPr>
      </w:pPr>
      <w:hyperlink w:anchor="_Toc485381925" w:history="1">
        <w:r w:rsidR="006B66CB" w:rsidRPr="006B66CB">
          <w:rPr>
            <w:rStyle w:val="Hyperlink"/>
            <w:rFonts w:ascii="Calibri" w:hAnsi="Calibri"/>
            <w:bCs/>
            <w:smallCaps/>
            <w:noProof/>
          </w:rPr>
          <w:t>Table 14: Selected examples of large capacity development projects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_Toc485381925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83</w:t>
        </w:r>
        <w:r w:rsidR="006B66CB" w:rsidRPr="006B66CB">
          <w:rPr>
            <w:rStyle w:val="Hyperlink"/>
            <w:rFonts w:ascii="Calibri" w:hAnsi="Calibri"/>
            <w:bCs/>
            <w:smallCaps/>
            <w:webHidden/>
          </w:rPr>
          <w:fldChar w:fldCharType="end"/>
        </w:r>
      </w:hyperlink>
    </w:p>
    <w:p w14:paraId="5F026C39" w14:textId="7B334C59" w:rsidR="006B66CB" w:rsidRPr="006B66CB" w:rsidRDefault="00A15383">
      <w:pPr>
        <w:pStyle w:val="TableofFigures"/>
        <w:tabs>
          <w:tab w:val="right" w:leader="dot" w:pos="9350"/>
        </w:tabs>
        <w:rPr>
          <w:rStyle w:val="Hyperlink"/>
          <w:rFonts w:ascii="Calibri" w:hAnsi="Calibri"/>
          <w:bCs/>
          <w:smallCaps/>
        </w:rPr>
      </w:pPr>
      <w:hyperlink w:anchor="_Toc485381926" w:history="1">
        <w:r w:rsidR="006B66CB" w:rsidRPr="006B66CB">
          <w:rPr>
            <w:rStyle w:val="Hyperlink"/>
            <w:rFonts w:ascii="Calibri" w:hAnsi="Calibri"/>
            <w:bCs/>
            <w:smallCaps/>
            <w:noProof/>
          </w:rPr>
          <w:t>Table 15: Port capacity in West African ports based on announced development plans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_Toc485381926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87</w:t>
        </w:r>
        <w:r w:rsidR="006B66CB" w:rsidRPr="006B66CB">
          <w:rPr>
            <w:rStyle w:val="Hyperlink"/>
            <w:rFonts w:ascii="Calibri" w:hAnsi="Calibri"/>
            <w:bCs/>
            <w:smallCaps/>
            <w:webHidden/>
          </w:rPr>
          <w:fldChar w:fldCharType="end"/>
        </w:r>
      </w:hyperlink>
    </w:p>
    <w:p w14:paraId="7AFEAFE7" w14:textId="27472CA5" w:rsidR="006B66CB" w:rsidRPr="006B66CB" w:rsidRDefault="00A15383">
      <w:pPr>
        <w:pStyle w:val="TableofFigures"/>
        <w:tabs>
          <w:tab w:val="right" w:leader="dot" w:pos="9350"/>
        </w:tabs>
        <w:rPr>
          <w:rStyle w:val="Hyperlink"/>
          <w:rFonts w:ascii="Calibri" w:hAnsi="Calibri"/>
          <w:bCs/>
          <w:smallCaps/>
        </w:rPr>
      </w:pPr>
      <w:hyperlink w:anchor="_Toc485381927" w:history="1">
        <w:r w:rsidR="006B66CB" w:rsidRPr="006B66CB">
          <w:rPr>
            <w:rStyle w:val="Hyperlink"/>
            <w:rFonts w:ascii="Calibri" w:hAnsi="Calibri"/>
            <w:bCs/>
            <w:smallCaps/>
            <w:noProof/>
          </w:rPr>
          <w:t>Table 16: Concession signature and takeover of operations for container terminals in West Africa</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_Toc485381927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104</w:t>
        </w:r>
        <w:r w:rsidR="006B66CB" w:rsidRPr="006B66CB">
          <w:rPr>
            <w:rStyle w:val="Hyperlink"/>
            <w:rFonts w:ascii="Calibri" w:hAnsi="Calibri"/>
            <w:bCs/>
            <w:smallCaps/>
            <w:webHidden/>
          </w:rPr>
          <w:fldChar w:fldCharType="end"/>
        </w:r>
      </w:hyperlink>
    </w:p>
    <w:p w14:paraId="17AF3206" w14:textId="3E29A98F" w:rsidR="006B66CB" w:rsidRPr="006B66CB" w:rsidRDefault="00A15383">
      <w:pPr>
        <w:pStyle w:val="TableofFigures"/>
        <w:tabs>
          <w:tab w:val="right" w:leader="dot" w:pos="9350"/>
        </w:tabs>
        <w:rPr>
          <w:rStyle w:val="Hyperlink"/>
          <w:rFonts w:ascii="Calibri" w:hAnsi="Calibri"/>
          <w:bCs/>
          <w:smallCaps/>
        </w:rPr>
      </w:pPr>
      <w:hyperlink w:anchor="_Toc485381928" w:history="1">
        <w:r w:rsidR="006B66CB" w:rsidRPr="006B66CB">
          <w:rPr>
            <w:rStyle w:val="Hyperlink"/>
            <w:rFonts w:ascii="Calibri" w:hAnsi="Calibri"/>
            <w:bCs/>
            <w:smallCaps/>
            <w:noProof/>
          </w:rPr>
          <w:t>Table 17: Nigeria Terminal Concessions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_Toc485381928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111</w:t>
        </w:r>
        <w:r w:rsidR="006B66CB" w:rsidRPr="006B66CB">
          <w:rPr>
            <w:rStyle w:val="Hyperlink"/>
            <w:rFonts w:ascii="Calibri" w:hAnsi="Calibri"/>
            <w:bCs/>
            <w:smallCaps/>
            <w:webHidden/>
          </w:rPr>
          <w:fldChar w:fldCharType="end"/>
        </w:r>
      </w:hyperlink>
    </w:p>
    <w:p w14:paraId="371EC275" w14:textId="33112529" w:rsidR="006B66CB" w:rsidRPr="006B66CB" w:rsidRDefault="00A15383">
      <w:pPr>
        <w:pStyle w:val="TableofFigures"/>
        <w:tabs>
          <w:tab w:val="right" w:leader="dot" w:pos="9350"/>
        </w:tabs>
        <w:rPr>
          <w:rStyle w:val="Hyperlink"/>
          <w:rFonts w:ascii="Calibri" w:hAnsi="Calibri"/>
          <w:bCs/>
          <w:smallCaps/>
        </w:rPr>
      </w:pPr>
      <w:hyperlink w:anchor="_Toc485381929" w:history="1">
        <w:r w:rsidR="006B66CB" w:rsidRPr="006B66CB">
          <w:rPr>
            <w:rStyle w:val="Hyperlink"/>
            <w:rFonts w:ascii="Calibri" w:hAnsi="Calibri"/>
            <w:bCs/>
            <w:smallCaps/>
            <w:noProof/>
          </w:rPr>
          <w:t>Table 18: Characteristics of the main West African container terminals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_Toc485381929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113</w:t>
        </w:r>
        <w:r w:rsidR="006B66CB" w:rsidRPr="006B66CB">
          <w:rPr>
            <w:rStyle w:val="Hyperlink"/>
            <w:rFonts w:ascii="Calibri" w:hAnsi="Calibri"/>
            <w:bCs/>
            <w:smallCaps/>
            <w:webHidden/>
          </w:rPr>
          <w:fldChar w:fldCharType="end"/>
        </w:r>
      </w:hyperlink>
    </w:p>
    <w:p w14:paraId="3216D7C6" w14:textId="1EB28F29" w:rsidR="006B66CB" w:rsidRPr="006B66CB" w:rsidRDefault="00A15383">
      <w:pPr>
        <w:pStyle w:val="TableofFigures"/>
        <w:tabs>
          <w:tab w:val="right" w:leader="dot" w:pos="9350"/>
        </w:tabs>
        <w:rPr>
          <w:rStyle w:val="Hyperlink"/>
          <w:rFonts w:ascii="Calibri" w:hAnsi="Calibri"/>
          <w:bCs/>
          <w:smallCaps/>
        </w:rPr>
      </w:pPr>
      <w:hyperlink w:anchor="_Toc485381930" w:history="1">
        <w:r w:rsidR="006B66CB" w:rsidRPr="006B66CB">
          <w:rPr>
            <w:rStyle w:val="Hyperlink"/>
            <w:rFonts w:ascii="Calibri" w:hAnsi="Calibri"/>
            <w:bCs/>
            <w:smallCaps/>
            <w:noProof/>
          </w:rPr>
          <w:t>Table 19: Evolution of traffic at the main West African ports (1996 – 2006 – 2011) in 000s TEUs</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_Toc485381930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115</w:t>
        </w:r>
        <w:r w:rsidR="006B66CB" w:rsidRPr="006B66CB">
          <w:rPr>
            <w:rStyle w:val="Hyperlink"/>
            <w:rFonts w:ascii="Calibri" w:hAnsi="Calibri"/>
            <w:bCs/>
            <w:smallCaps/>
            <w:webHidden/>
          </w:rPr>
          <w:fldChar w:fldCharType="end"/>
        </w:r>
      </w:hyperlink>
    </w:p>
    <w:p w14:paraId="31609588" w14:textId="5E91AD1C" w:rsidR="006B66CB" w:rsidRPr="006B66CB" w:rsidRDefault="00A15383">
      <w:pPr>
        <w:pStyle w:val="TableofFigures"/>
        <w:tabs>
          <w:tab w:val="right" w:leader="dot" w:pos="9350"/>
        </w:tabs>
        <w:rPr>
          <w:rStyle w:val="Hyperlink"/>
          <w:rFonts w:ascii="Calibri" w:hAnsi="Calibri"/>
          <w:bCs/>
          <w:smallCaps/>
        </w:rPr>
      </w:pPr>
      <w:hyperlink w:anchor="_Toc485381931" w:history="1">
        <w:r w:rsidR="006B66CB" w:rsidRPr="00DB74AA">
          <w:rPr>
            <w:rStyle w:val="Hyperlink"/>
            <w:rFonts w:ascii="Calibri" w:hAnsi="Calibri"/>
            <w:bCs/>
            <w:smallCaps/>
            <w:noProof/>
          </w:rPr>
          <w:t>Table 20: GDP and GDP Growth</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_Toc485381931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115</w:t>
        </w:r>
        <w:r w:rsidR="006B66CB" w:rsidRPr="006B66CB">
          <w:rPr>
            <w:rStyle w:val="Hyperlink"/>
            <w:rFonts w:ascii="Calibri" w:hAnsi="Calibri"/>
            <w:bCs/>
            <w:smallCaps/>
            <w:webHidden/>
          </w:rPr>
          <w:fldChar w:fldCharType="end"/>
        </w:r>
      </w:hyperlink>
    </w:p>
    <w:p w14:paraId="61554AA3" w14:textId="5A201EBE" w:rsidR="006B66CB" w:rsidRPr="006B66CB" w:rsidRDefault="00A15383">
      <w:pPr>
        <w:pStyle w:val="TableofFigures"/>
        <w:tabs>
          <w:tab w:val="right" w:leader="dot" w:pos="9350"/>
        </w:tabs>
        <w:rPr>
          <w:rStyle w:val="Hyperlink"/>
          <w:rFonts w:ascii="Calibri" w:hAnsi="Calibri"/>
          <w:bCs/>
          <w:smallCaps/>
        </w:rPr>
      </w:pPr>
      <w:hyperlink w:anchor="_Toc485381932" w:history="1">
        <w:r w:rsidR="006B66CB" w:rsidRPr="006B66CB">
          <w:rPr>
            <w:rStyle w:val="Hyperlink"/>
            <w:rFonts w:ascii="Calibri" w:hAnsi="Calibri"/>
            <w:bCs/>
            <w:smallCaps/>
            <w:noProof/>
          </w:rPr>
          <w:t>Table 21: Container growth to GDP growth elasticity</w:t>
        </w:r>
        <w:r w:rsidR="006B66CB" w:rsidRPr="006B66CB">
          <w:rPr>
            <w:rStyle w:val="Hyperlink"/>
            <w:rFonts w:ascii="Calibri" w:hAnsi="Calibri"/>
            <w:bCs/>
            <w:smallCaps/>
            <w:webHidden/>
          </w:rPr>
          <w:tab/>
        </w:r>
        <w:r w:rsidR="006B66CB" w:rsidRPr="006B66CB">
          <w:rPr>
            <w:rStyle w:val="Hyperlink"/>
            <w:rFonts w:ascii="Calibri" w:hAnsi="Calibri"/>
            <w:bCs/>
            <w:smallCaps/>
            <w:webHidden/>
          </w:rPr>
          <w:fldChar w:fldCharType="begin"/>
        </w:r>
        <w:r w:rsidR="006B66CB" w:rsidRPr="006B66CB">
          <w:rPr>
            <w:rStyle w:val="Hyperlink"/>
            <w:rFonts w:ascii="Calibri" w:hAnsi="Calibri"/>
            <w:bCs/>
            <w:smallCaps/>
            <w:webHidden/>
          </w:rPr>
          <w:instrText xml:space="preserve"> PAGEREF _Toc485381932 \h </w:instrText>
        </w:r>
        <w:r w:rsidR="006B66CB" w:rsidRPr="006B66CB">
          <w:rPr>
            <w:rStyle w:val="Hyperlink"/>
            <w:rFonts w:ascii="Calibri" w:hAnsi="Calibri"/>
            <w:bCs/>
            <w:smallCaps/>
            <w:webHidden/>
          </w:rPr>
        </w:r>
        <w:r w:rsidR="006B66CB" w:rsidRPr="006B66CB">
          <w:rPr>
            <w:rStyle w:val="Hyperlink"/>
            <w:rFonts w:ascii="Calibri" w:hAnsi="Calibri"/>
            <w:bCs/>
            <w:smallCaps/>
            <w:webHidden/>
          </w:rPr>
          <w:fldChar w:fldCharType="separate"/>
        </w:r>
        <w:r w:rsidR="00212D01">
          <w:rPr>
            <w:rStyle w:val="Hyperlink"/>
            <w:rFonts w:ascii="Calibri" w:hAnsi="Calibri"/>
            <w:bCs/>
            <w:smallCaps/>
            <w:noProof/>
            <w:webHidden/>
          </w:rPr>
          <w:t>116</w:t>
        </w:r>
        <w:r w:rsidR="006B66CB" w:rsidRPr="006B66CB">
          <w:rPr>
            <w:rStyle w:val="Hyperlink"/>
            <w:rFonts w:ascii="Calibri" w:hAnsi="Calibri"/>
            <w:bCs/>
            <w:smallCaps/>
            <w:webHidden/>
          </w:rPr>
          <w:fldChar w:fldCharType="end"/>
        </w:r>
      </w:hyperlink>
    </w:p>
    <w:p w14:paraId="2057EE9E" w14:textId="7F0C2D76" w:rsidR="001C4F48" w:rsidRPr="000B217C" w:rsidRDefault="00C662B7" w:rsidP="0099660B">
      <w:pPr>
        <w:pStyle w:val="TableofFigures"/>
        <w:tabs>
          <w:tab w:val="right" w:leader="dot" w:pos="9350"/>
        </w:tabs>
        <w:rPr>
          <w:rStyle w:val="Hyperlink"/>
          <w:rFonts w:asciiTheme="minorHAnsi" w:hAnsiTheme="minorHAnsi" w:cs="Times New Roman"/>
          <w:noProof/>
          <w:color w:val="auto"/>
          <w:sz w:val="22"/>
        </w:rPr>
      </w:pPr>
      <w:r w:rsidRPr="00E12F57">
        <w:rPr>
          <w:rStyle w:val="Hyperlink"/>
          <w:rFonts w:ascii="Calibri" w:hAnsi="Calibri"/>
          <w:bCs/>
          <w:smallCaps/>
          <w:noProof/>
        </w:rPr>
        <w:fldChar w:fldCharType="end"/>
      </w:r>
    </w:p>
    <w:p w14:paraId="40C99103" w14:textId="77777777" w:rsidR="003C2021" w:rsidRPr="000B217C" w:rsidRDefault="001C4F48" w:rsidP="003C2021">
      <w:pPr>
        <w:pStyle w:val="TableofFigures"/>
        <w:tabs>
          <w:tab w:val="right" w:leader="dot" w:pos="9350"/>
        </w:tabs>
        <w:rPr>
          <w:rFonts w:asciiTheme="minorHAnsi" w:hAnsiTheme="minorHAnsi" w:cs="Times New Roman"/>
          <w:b/>
          <w:sz w:val="22"/>
        </w:rPr>
      </w:pPr>
      <w:r w:rsidRPr="000B217C">
        <w:rPr>
          <w:rFonts w:asciiTheme="minorHAnsi" w:hAnsiTheme="minorHAnsi" w:cs="Times New Roman"/>
          <w:b/>
          <w:sz w:val="22"/>
        </w:rPr>
        <w:t>Figures:</w:t>
      </w:r>
    </w:p>
    <w:p w14:paraId="1390FEF0" w14:textId="75F6D0C0" w:rsidR="007A730A" w:rsidRPr="00E12F57" w:rsidRDefault="00520B46">
      <w:pPr>
        <w:pStyle w:val="TableofFigures"/>
        <w:tabs>
          <w:tab w:val="right" w:leader="dot" w:pos="9350"/>
        </w:tabs>
        <w:rPr>
          <w:rStyle w:val="Hyperlink"/>
          <w:rFonts w:ascii="Calibri" w:hAnsi="Calibri"/>
          <w:bCs/>
          <w:smallCaps/>
          <w:noProof/>
        </w:rPr>
      </w:pPr>
      <w:r w:rsidRPr="000B217C">
        <w:rPr>
          <w:rStyle w:val="Hyperlink"/>
          <w:rFonts w:asciiTheme="minorHAnsi" w:hAnsiTheme="minorHAnsi" w:cs="Times New Roman"/>
          <w:noProof/>
          <w:color w:val="auto"/>
          <w:sz w:val="22"/>
        </w:rPr>
        <w:fldChar w:fldCharType="begin"/>
      </w:r>
      <w:r w:rsidR="001C4F48" w:rsidRPr="000B217C">
        <w:rPr>
          <w:rStyle w:val="Hyperlink"/>
          <w:rFonts w:asciiTheme="minorHAnsi" w:hAnsiTheme="minorHAnsi" w:cs="Times New Roman"/>
          <w:noProof/>
          <w:color w:val="auto"/>
          <w:sz w:val="22"/>
        </w:rPr>
        <w:instrText xml:space="preserve"> TOC \h \z \c "Figure" </w:instrText>
      </w:r>
      <w:r w:rsidRPr="000B217C">
        <w:rPr>
          <w:rStyle w:val="Hyperlink"/>
          <w:rFonts w:asciiTheme="minorHAnsi" w:hAnsiTheme="minorHAnsi" w:cs="Times New Roman"/>
          <w:noProof/>
          <w:color w:val="auto"/>
          <w:sz w:val="22"/>
        </w:rPr>
        <w:fldChar w:fldCharType="separate"/>
      </w:r>
      <w:hyperlink w:anchor="_Toc485377036" w:history="1">
        <w:r w:rsidR="007A730A" w:rsidRPr="00E12F57">
          <w:rPr>
            <w:rStyle w:val="Hyperlink"/>
            <w:rFonts w:ascii="Calibri" w:hAnsi="Calibri"/>
            <w:bCs/>
            <w:smallCaps/>
            <w:noProof/>
          </w:rPr>
          <w:t>Figure 1: Total and containerized traffic at West African ports (2012)</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_Toc485377036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20</w:t>
        </w:r>
        <w:r w:rsidR="007A730A" w:rsidRPr="00E12F57">
          <w:rPr>
            <w:rStyle w:val="Hyperlink"/>
            <w:rFonts w:ascii="Calibri" w:hAnsi="Calibri"/>
            <w:bCs/>
            <w:smallCaps/>
            <w:noProof/>
            <w:webHidden/>
          </w:rPr>
          <w:fldChar w:fldCharType="end"/>
        </w:r>
      </w:hyperlink>
    </w:p>
    <w:p w14:paraId="3C9109FD" w14:textId="2EE4B234" w:rsidR="007A730A" w:rsidRPr="00E12F57" w:rsidRDefault="00A15383">
      <w:pPr>
        <w:pStyle w:val="TableofFigures"/>
        <w:tabs>
          <w:tab w:val="right" w:leader="dot" w:pos="9350"/>
        </w:tabs>
        <w:rPr>
          <w:rStyle w:val="Hyperlink"/>
          <w:rFonts w:ascii="Calibri" w:hAnsi="Calibri"/>
          <w:bCs/>
          <w:smallCaps/>
          <w:noProof/>
        </w:rPr>
      </w:pPr>
      <w:hyperlink w:anchor="_Toc485377037" w:history="1">
        <w:r w:rsidR="007A730A" w:rsidRPr="00E12F57">
          <w:rPr>
            <w:rStyle w:val="Hyperlink"/>
            <w:rFonts w:ascii="Calibri" w:hAnsi="Calibri"/>
            <w:bCs/>
            <w:smallCaps/>
            <w:noProof/>
          </w:rPr>
          <w:t>Figure 2: Growth of containerized traffic in West Africa and other regions (2009 = 100)</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_Toc485377037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21</w:t>
        </w:r>
        <w:r w:rsidR="007A730A" w:rsidRPr="00E12F57">
          <w:rPr>
            <w:rStyle w:val="Hyperlink"/>
            <w:rFonts w:ascii="Calibri" w:hAnsi="Calibri"/>
            <w:bCs/>
            <w:smallCaps/>
            <w:noProof/>
            <w:webHidden/>
          </w:rPr>
          <w:fldChar w:fldCharType="end"/>
        </w:r>
      </w:hyperlink>
    </w:p>
    <w:p w14:paraId="23390FB8" w14:textId="794D89DA" w:rsidR="007A730A" w:rsidRPr="00E12F57" w:rsidRDefault="00A15383">
      <w:pPr>
        <w:pStyle w:val="TableofFigures"/>
        <w:tabs>
          <w:tab w:val="right" w:leader="dot" w:pos="9350"/>
        </w:tabs>
        <w:rPr>
          <w:rStyle w:val="Hyperlink"/>
          <w:rFonts w:ascii="Calibri" w:hAnsi="Calibri"/>
          <w:bCs/>
          <w:smallCaps/>
          <w:noProof/>
        </w:rPr>
      </w:pPr>
      <w:hyperlink w:anchor="_Toc485377038" w:history="1">
        <w:r w:rsidR="007A730A" w:rsidRPr="00E12F57">
          <w:rPr>
            <w:rStyle w:val="Hyperlink"/>
            <w:rFonts w:ascii="Calibri" w:hAnsi="Calibri"/>
            <w:bCs/>
            <w:smallCaps/>
            <w:noProof/>
          </w:rPr>
          <w:t>Figure 3: Evolution of the maritime connectivity of West African ports</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_Toc485377038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22</w:t>
        </w:r>
        <w:r w:rsidR="007A730A" w:rsidRPr="00E12F57">
          <w:rPr>
            <w:rStyle w:val="Hyperlink"/>
            <w:rFonts w:ascii="Calibri" w:hAnsi="Calibri"/>
            <w:bCs/>
            <w:smallCaps/>
            <w:noProof/>
            <w:webHidden/>
          </w:rPr>
          <w:fldChar w:fldCharType="end"/>
        </w:r>
      </w:hyperlink>
    </w:p>
    <w:p w14:paraId="5F1CD365" w14:textId="745FF348" w:rsidR="007A730A" w:rsidRPr="00E12F57" w:rsidRDefault="00A15383">
      <w:pPr>
        <w:pStyle w:val="TableofFigures"/>
        <w:tabs>
          <w:tab w:val="right" w:leader="dot" w:pos="9350"/>
        </w:tabs>
        <w:rPr>
          <w:rStyle w:val="Hyperlink"/>
          <w:rFonts w:ascii="Calibri" w:hAnsi="Calibri"/>
          <w:bCs/>
          <w:smallCaps/>
          <w:noProof/>
        </w:rPr>
      </w:pPr>
      <w:hyperlink w:anchor="_Toc485377039" w:history="1">
        <w:r w:rsidR="007A730A" w:rsidRPr="00E12F57">
          <w:rPr>
            <w:rStyle w:val="Hyperlink"/>
            <w:rFonts w:ascii="Calibri" w:hAnsi="Calibri"/>
            <w:bCs/>
            <w:smallCaps/>
            <w:noProof/>
          </w:rPr>
          <w:t>Figure 4: Top shipping lines and global terminal operators</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_Toc485377039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26</w:t>
        </w:r>
        <w:r w:rsidR="007A730A" w:rsidRPr="00E12F57">
          <w:rPr>
            <w:rStyle w:val="Hyperlink"/>
            <w:rFonts w:ascii="Calibri" w:hAnsi="Calibri"/>
            <w:bCs/>
            <w:smallCaps/>
            <w:noProof/>
            <w:webHidden/>
          </w:rPr>
          <w:fldChar w:fldCharType="end"/>
        </w:r>
      </w:hyperlink>
    </w:p>
    <w:p w14:paraId="6FE6A374" w14:textId="79A39457" w:rsidR="007A730A" w:rsidRPr="00E12F57" w:rsidRDefault="00A15383">
      <w:pPr>
        <w:pStyle w:val="TableofFigures"/>
        <w:tabs>
          <w:tab w:val="right" w:leader="dot" w:pos="9350"/>
        </w:tabs>
        <w:rPr>
          <w:rStyle w:val="Hyperlink"/>
          <w:rFonts w:ascii="Calibri" w:hAnsi="Calibri"/>
          <w:bCs/>
          <w:smallCaps/>
          <w:noProof/>
        </w:rPr>
      </w:pPr>
      <w:hyperlink w:anchor="_Toc485377040" w:history="1">
        <w:r w:rsidR="007A730A" w:rsidRPr="00E12F57">
          <w:rPr>
            <w:rStyle w:val="Hyperlink"/>
            <w:rFonts w:ascii="Calibri" w:hAnsi="Calibri"/>
            <w:bCs/>
            <w:smallCaps/>
            <w:noProof/>
          </w:rPr>
          <w:t>Figure 5: Share of Main Shipping Lines and Terminal Operators in West Africa</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_Toc485377040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27</w:t>
        </w:r>
        <w:r w:rsidR="007A730A" w:rsidRPr="00E12F57">
          <w:rPr>
            <w:rStyle w:val="Hyperlink"/>
            <w:rFonts w:ascii="Calibri" w:hAnsi="Calibri"/>
            <w:bCs/>
            <w:smallCaps/>
            <w:noProof/>
            <w:webHidden/>
          </w:rPr>
          <w:fldChar w:fldCharType="end"/>
        </w:r>
      </w:hyperlink>
    </w:p>
    <w:p w14:paraId="7E198A34" w14:textId="02907130" w:rsidR="007A730A" w:rsidRPr="00E12F57" w:rsidRDefault="00A15383">
      <w:pPr>
        <w:pStyle w:val="TableofFigures"/>
        <w:tabs>
          <w:tab w:val="right" w:leader="dot" w:pos="9350"/>
        </w:tabs>
        <w:rPr>
          <w:rStyle w:val="Hyperlink"/>
          <w:rFonts w:ascii="Calibri" w:hAnsi="Calibri"/>
          <w:bCs/>
          <w:smallCaps/>
          <w:noProof/>
        </w:rPr>
      </w:pPr>
      <w:hyperlink w:anchor="_Toc485377041" w:history="1">
        <w:r w:rsidR="007A730A" w:rsidRPr="00E12F57">
          <w:rPr>
            <w:rStyle w:val="Hyperlink"/>
            <w:rFonts w:ascii="Calibri" w:hAnsi="Calibri"/>
            <w:bCs/>
            <w:smallCaps/>
            <w:noProof/>
          </w:rPr>
          <w:t>Figure 6: Cost of border compliance, Doing Business 2016 indicators, World Bank</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_Toc485377041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30</w:t>
        </w:r>
        <w:r w:rsidR="007A730A" w:rsidRPr="00E12F57">
          <w:rPr>
            <w:rStyle w:val="Hyperlink"/>
            <w:rFonts w:ascii="Calibri" w:hAnsi="Calibri"/>
            <w:bCs/>
            <w:smallCaps/>
            <w:noProof/>
            <w:webHidden/>
          </w:rPr>
          <w:fldChar w:fldCharType="end"/>
        </w:r>
      </w:hyperlink>
    </w:p>
    <w:p w14:paraId="34D7F0D7" w14:textId="5CEBFA9A" w:rsidR="007A730A" w:rsidRPr="00E12F57" w:rsidRDefault="00A15383">
      <w:pPr>
        <w:pStyle w:val="TableofFigures"/>
        <w:tabs>
          <w:tab w:val="right" w:leader="dot" w:pos="9350"/>
        </w:tabs>
        <w:rPr>
          <w:rStyle w:val="Hyperlink"/>
          <w:rFonts w:ascii="Calibri" w:hAnsi="Calibri"/>
          <w:bCs/>
          <w:smallCaps/>
          <w:noProof/>
        </w:rPr>
      </w:pPr>
      <w:hyperlink w:anchor="_Toc485377042" w:history="1">
        <w:r w:rsidR="007A730A" w:rsidRPr="00E12F57">
          <w:rPr>
            <w:rStyle w:val="Hyperlink"/>
            <w:rFonts w:ascii="Calibri" w:hAnsi="Calibri"/>
            <w:bCs/>
            <w:smallCaps/>
            <w:noProof/>
          </w:rPr>
          <w:t>Figure 7: Cost of border compliance for Coastal West Africa, Doing Business indicators 2016, World Bank</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_Toc485377042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31</w:t>
        </w:r>
        <w:r w:rsidR="007A730A" w:rsidRPr="00E12F57">
          <w:rPr>
            <w:rStyle w:val="Hyperlink"/>
            <w:rFonts w:ascii="Calibri" w:hAnsi="Calibri"/>
            <w:bCs/>
            <w:smallCaps/>
            <w:noProof/>
            <w:webHidden/>
          </w:rPr>
          <w:fldChar w:fldCharType="end"/>
        </w:r>
      </w:hyperlink>
    </w:p>
    <w:p w14:paraId="5B3F3CFF" w14:textId="7FB24E84" w:rsidR="007A730A" w:rsidRPr="00E12F57" w:rsidRDefault="00A15383">
      <w:pPr>
        <w:pStyle w:val="TableofFigures"/>
        <w:tabs>
          <w:tab w:val="right" w:leader="dot" w:pos="9350"/>
        </w:tabs>
        <w:rPr>
          <w:rStyle w:val="Hyperlink"/>
          <w:rFonts w:ascii="Calibri" w:hAnsi="Calibri"/>
          <w:bCs/>
          <w:smallCaps/>
          <w:noProof/>
        </w:rPr>
      </w:pPr>
      <w:hyperlink w:anchor="_Toc485377043" w:history="1">
        <w:r w:rsidR="007A730A" w:rsidRPr="00E12F57">
          <w:rPr>
            <w:rStyle w:val="Hyperlink"/>
            <w:rFonts w:ascii="Calibri" w:hAnsi="Calibri"/>
            <w:bCs/>
            <w:smallCaps/>
            <w:noProof/>
          </w:rPr>
          <w:t>Figure 8 : Port of San Pedro, growth of container traffic</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_Toc485377043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34</w:t>
        </w:r>
        <w:r w:rsidR="007A730A" w:rsidRPr="00E12F57">
          <w:rPr>
            <w:rStyle w:val="Hyperlink"/>
            <w:rFonts w:ascii="Calibri" w:hAnsi="Calibri"/>
            <w:bCs/>
            <w:smallCaps/>
            <w:noProof/>
            <w:webHidden/>
          </w:rPr>
          <w:fldChar w:fldCharType="end"/>
        </w:r>
      </w:hyperlink>
    </w:p>
    <w:p w14:paraId="2413FB20" w14:textId="6A7A8AB6" w:rsidR="007A730A" w:rsidRPr="00E12F57" w:rsidRDefault="00A15383">
      <w:pPr>
        <w:pStyle w:val="TableofFigures"/>
        <w:tabs>
          <w:tab w:val="right" w:leader="dot" w:pos="9350"/>
        </w:tabs>
        <w:rPr>
          <w:rStyle w:val="Hyperlink"/>
          <w:rFonts w:ascii="Calibri" w:hAnsi="Calibri"/>
          <w:bCs/>
          <w:smallCaps/>
          <w:noProof/>
        </w:rPr>
      </w:pPr>
      <w:hyperlink w:anchor="_Toc485377044" w:history="1">
        <w:r w:rsidR="007A730A" w:rsidRPr="00E12F57">
          <w:rPr>
            <w:rStyle w:val="Hyperlink"/>
            <w:rFonts w:ascii="Calibri" w:hAnsi="Calibri"/>
            <w:bCs/>
            <w:smallCaps/>
            <w:noProof/>
          </w:rPr>
          <w:t>Figure 9: Evolution of the market share of TOCs in West Africa (2004-2013)</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_Toc485377044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45</w:t>
        </w:r>
        <w:r w:rsidR="007A730A" w:rsidRPr="00E12F57">
          <w:rPr>
            <w:rStyle w:val="Hyperlink"/>
            <w:rFonts w:ascii="Calibri" w:hAnsi="Calibri"/>
            <w:bCs/>
            <w:smallCaps/>
            <w:noProof/>
            <w:webHidden/>
          </w:rPr>
          <w:fldChar w:fldCharType="end"/>
        </w:r>
      </w:hyperlink>
    </w:p>
    <w:p w14:paraId="2D95B119" w14:textId="764BDC1A" w:rsidR="007A730A" w:rsidRPr="00E12F57" w:rsidRDefault="00A15383">
      <w:pPr>
        <w:pStyle w:val="TableofFigures"/>
        <w:tabs>
          <w:tab w:val="right" w:leader="dot" w:pos="9350"/>
        </w:tabs>
        <w:rPr>
          <w:rStyle w:val="Hyperlink"/>
          <w:rFonts w:ascii="Calibri" w:hAnsi="Calibri"/>
          <w:bCs/>
          <w:smallCaps/>
          <w:noProof/>
        </w:rPr>
      </w:pPr>
      <w:hyperlink w:anchor="_Toc485377045" w:history="1">
        <w:r w:rsidR="007A730A" w:rsidRPr="00E12F57">
          <w:rPr>
            <w:rStyle w:val="Hyperlink"/>
            <w:rFonts w:ascii="Calibri" w:hAnsi="Calibri"/>
            <w:bCs/>
            <w:smallCaps/>
            <w:noProof/>
          </w:rPr>
          <w:t>Figure 10: Factors in the calculation of the container terminal capacity</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_Toc485377045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63</w:t>
        </w:r>
        <w:r w:rsidR="007A730A" w:rsidRPr="00E12F57">
          <w:rPr>
            <w:rStyle w:val="Hyperlink"/>
            <w:rFonts w:ascii="Calibri" w:hAnsi="Calibri"/>
            <w:bCs/>
            <w:smallCaps/>
            <w:noProof/>
            <w:webHidden/>
          </w:rPr>
          <w:fldChar w:fldCharType="end"/>
        </w:r>
      </w:hyperlink>
    </w:p>
    <w:p w14:paraId="62B7E7F1" w14:textId="797C1C76" w:rsidR="007A730A" w:rsidRPr="00E12F57" w:rsidRDefault="00A15383">
      <w:pPr>
        <w:pStyle w:val="TableofFigures"/>
        <w:tabs>
          <w:tab w:val="right" w:leader="dot" w:pos="9350"/>
        </w:tabs>
        <w:rPr>
          <w:rStyle w:val="Hyperlink"/>
          <w:rFonts w:ascii="Calibri" w:hAnsi="Calibri"/>
          <w:bCs/>
          <w:smallCaps/>
          <w:noProof/>
        </w:rPr>
      </w:pPr>
      <w:hyperlink w:anchor="_Toc485377046" w:history="1">
        <w:r w:rsidR="007A730A" w:rsidRPr="00E12F57">
          <w:rPr>
            <w:rStyle w:val="Hyperlink"/>
            <w:rFonts w:ascii="Calibri" w:hAnsi="Calibri"/>
            <w:bCs/>
            <w:smallCaps/>
            <w:noProof/>
          </w:rPr>
          <w:t>Figure 11: Ship productivity in Abidjan and Tema (source: BAL)</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_Toc485377046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64</w:t>
        </w:r>
        <w:r w:rsidR="007A730A" w:rsidRPr="00E12F57">
          <w:rPr>
            <w:rStyle w:val="Hyperlink"/>
            <w:rFonts w:ascii="Calibri" w:hAnsi="Calibri"/>
            <w:bCs/>
            <w:smallCaps/>
            <w:noProof/>
            <w:webHidden/>
          </w:rPr>
          <w:fldChar w:fldCharType="end"/>
        </w:r>
      </w:hyperlink>
    </w:p>
    <w:p w14:paraId="4449FCEA" w14:textId="6A6CB1F0" w:rsidR="007A730A" w:rsidRPr="00E12F57" w:rsidRDefault="00A15383">
      <w:pPr>
        <w:pStyle w:val="TableofFigures"/>
        <w:tabs>
          <w:tab w:val="right" w:leader="dot" w:pos="9350"/>
        </w:tabs>
        <w:rPr>
          <w:rStyle w:val="Hyperlink"/>
          <w:rFonts w:ascii="Calibri" w:hAnsi="Calibri"/>
          <w:bCs/>
          <w:smallCaps/>
          <w:noProof/>
        </w:rPr>
      </w:pPr>
      <w:hyperlink w:anchor="_Toc485377047" w:history="1">
        <w:r w:rsidR="007A730A" w:rsidRPr="00E12F57">
          <w:rPr>
            <w:rStyle w:val="Hyperlink"/>
            <w:rFonts w:ascii="Calibri" w:hAnsi="Calibri"/>
            <w:bCs/>
            <w:smallCaps/>
            <w:noProof/>
          </w:rPr>
          <w:t>Figure 12: Benchmarking Africa ports 2014 performances</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_Toc485377047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67</w:t>
        </w:r>
        <w:r w:rsidR="007A730A" w:rsidRPr="00E12F57">
          <w:rPr>
            <w:rStyle w:val="Hyperlink"/>
            <w:rFonts w:ascii="Calibri" w:hAnsi="Calibri"/>
            <w:bCs/>
            <w:smallCaps/>
            <w:noProof/>
            <w:webHidden/>
          </w:rPr>
          <w:fldChar w:fldCharType="end"/>
        </w:r>
      </w:hyperlink>
    </w:p>
    <w:p w14:paraId="65787A37" w14:textId="18CDD8F7" w:rsidR="007A730A" w:rsidRPr="00E12F57" w:rsidRDefault="00A15383">
      <w:pPr>
        <w:pStyle w:val="TableofFigures"/>
        <w:tabs>
          <w:tab w:val="right" w:leader="dot" w:pos="9350"/>
        </w:tabs>
        <w:rPr>
          <w:rStyle w:val="Hyperlink"/>
          <w:rFonts w:ascii="Calibri" w:hAnsi="Calibri"/>
          <w:bCs/>
          <w:smallCaps/>
          <w:noProof/>
        </w:rPr>
      </w:pPr>
      <w:hyperlink w:anchor="_Toc485377048" w:history="1">
        <w:r w:rsidR="007A730A" w:rsidRPr="00E12F57">
          <w:rPr>
            <w:rStyle w:val="Hyperlink"/>
            <w:rFonts w:ascii="Calibri" w:hAnsi="Calibri"/>
            <w:bCs/>
            <w:smallCaps/>
            <w:noProof/>
          </w:rPr>
          <w:t>Figure 13: MPI analysis of terminal efficiency</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_Toc485377048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70</w:t>
        </w:r>
        <w:r w:rsidR="007A730A" w:rsidRPr="00E12F57">
          <w:rPr>
            <w:rStyle w:val="Hyperlink"/>
            <w:rFonts w:ascii="Calibri" w:hAnsi="Calibri"/>
            <w:bCs/>
            <w:smallCaps/>
            <w:noProof/>
            <w:webHidden/>
          </w:rPr>
          <w:fldChar w:fldCharType="end"/>
        </w:r>
      </w:hyperlink>
    </w:p>
    <w:p w14:paraId="59F58EAF" w14:textId="7B168B60" w:rsidR="007A730A" w:rsidRPr="00E12F57" w:rsidRDefault="00A15383">
      <w:pPr>
        <w:pStyle w:val="TableofFigures"/>
        <w:tabs>
          <w:tab w:val="right" w:leader="dot" w:pos="9350"/>
        </w:tabs>
        <w:rPr>
          <w:rStyle w:val="Hyperlink"/>
          <w:rFonts w:ascii="Calibri" w:hAnsi="Calibri"/>
          <w:bCs/>
          <w:smallCaps/>
          <w:noProof/>
        </w:rPr>
      </w:pPr>
      <w:hyperlink w:anchor="_Toc485377049" w:history="1">
        <w:r w:rsidR="007A730A" w:rsidRPr="00E12F57">
          <w:rPr>
            <w:rStyle w:val="Hyperlink"/>
            <w:rFonts w:ascii="Calibri" w:hAnsi="Calibri"/>
            <w:bCs/>
            <w:smallCaps/>
            <w:noProof/>
          </w:rPr>
          <w:t>Figure 14: Evolution of stevedoring (ship handling only) rates in Tema</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_Toc485377049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71</w:t>
        </w:r>
        <w:r w:rsidR="007A730A" w:rsidRPr="00E12F57">
          <w:rPr>
            <w:rStyle w:val="Hyperlink"/>
            <w:rFonts w:ascii="Calibri" w:hAnsi="Calibri"/>
            <w:bCs/>
            <w:smallCaps/>
            <w:noProof/>
            <w:webHidden/>
          </w:rPr>
          <w:fldChar w:fldCharType="end"/>
        </w:r>
      </w:hyperlink>
    </w:p>
    <w:p w14:paraId="3C6FAF55" w14:textId="00FEA280" w:rsidR="007A730A" w:rsidRPr="00E12F57" w:rsidRDefault="00A15383">
      <w:pPr>
        <w:pStyle w:val="TableofFigures"/>
        <w:tabs>
          <w:tab w:val="right" w:leader="dot" w:pos="9350"/>
        </w:tabs>
        <w:rPr>
          <w:rStyle w:val="Hyperlink"/>
          <w:rFonts w:ascii="Calibri" w:hAnsi="Calibri"/>
          <w:bCs/>
          <w:smallCaps/>
          <w:noProof/>
        </w:rPr>
      </w:pPr>
      <w:hyperlink w:anchor="_Toc485377050" w:history="1">
        <w:r w:rsidR="007A730A" w:rsidRPr="00E12F57">
          <w:rPr>
            <w:rStyle w:val="Hyperlink"/>
            <w:rFonts w:ascii="Calibri" w:hAnsi="Calibri"/>
            <w:bCs/>
            <w:smallCaps/>
            <w:noProof/>
          </w:rPr>
          <w:t>Figure 15: Container handling in selected West Africa ports, in US$</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_Toc485377050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72</w:t>
        </w:r>
        <w:r w:rsidR="007A730A" w:rsidRPr="00E12F57">
          <w:rPr>
            <w:rStyle w:val="Hyperlink"/>
            <w:rFonts w:ascii="Calibri" w:hAnsi="Calibri"/>
            <w:bCs/>
            <w:smallCaps/>
            <w:noProof/>
            <w:webHidden/>
          </w:rPr>
          <w:fldChar w:fldCharType="end"/>
        </w:r>
      </w:hyperlink>
    </w:p>
    <w:p w14:paraId="23A62EF7" w14:textId="53866512" w:rsidR="007A730A" w:rsidRPr="00E12F57" w:rsidRDefault="00A15383">
      <w:pPr>
        <w:pStyle w:val="TableofFigures"/>
        <w:tabs>
          <w:tab w:val="right" w:leader="dot" w:pos="9350"/>
        </w:tabs>
        <w:rPr>
          <w:rStyle w:val="Hyperlink"/>
          <w:rFonts w:ascii="Calibri" w:hAnsi="Calibri"/>
          <w:bCs/>
          <w:smallCaps/>
          <w:noProof/>
        </w:rPr>
      </w:pPr>
      <w:hyperlink w:anchor="_Toc485377051" w:history="1">
        <w:r w:rsidR="007A730A" w:rsidRPr="00E12F57">
          <w:rPr>
            <w:rStyle w:val="Hyperlink"/>
            <w:rFonts w:ascii="Calibri" w:hAnsi="Calibri"/>
            <w:bCs/>
            <w:smallCaps/>
            <w:noProof/>
          </w:rPr>
          <w:t>Figure 16: Ratio for container handling concessional rates in selected West Africa ports</w:t>
        </w:r>
        <w:r w:rsidR="007A730A" w:rsidRPr="00E12F57">
          <w:rPr>
            <w:rStyle w:val="Hyperlink"/>
            <w:rFonts w:ascii="Calibri" w:hAnsi="Calibri"/>
            <w:bCs/>
            <w:smallCaps/>
            <w:noProof/>
            <w:webHidden/>
          </w:rPr>
          <w:tab/>
        </w:r>
        <w:r w:rsidR="007A730A" w:rsidRPr="00E12F57">
          <w:rPr>
            <w:rStyle w:val="Hyperlink"/>
            <w:rFonts w:ascii="Calibri" w:hAnsi="Calibri"/>
            <w:bCs/>
            <w:smallCaps/>
            <w:noProof/>
            <w:webHidden/>
          </w:rPr>
          <w:fldChar w:fldCharType="begin"/>
        </w:r>
        <w:r w:rsidR="007A730A" w:rsidRPr="00E12F57">
          <w:rPr>
            <w:rStyle w:val="Hyperlink"/>
            <w:rFonts w:ascii="Calibri" w:hAnsi="Calibri"/>
            <w:bCs/>
            <w:smallCaps/>
            <w:noProof/>
            <w:webHidden/>
          </w:rPr>
          <w:instrText xml:space="preserve"> PAGEREF _Toc485377051 \h </w:instrText>
        </w:r>
        <w:r w:rsidR="007A730A" w:rsidRPr="00E12F57">
          <w:rPr>
            <w:rStyle w:val="Hyperlink"/>
            <w:rFonts w:ascii="Calibri" w:hAnsi="Calibri"/>
            <w:bCs/>
            <w:smallCaps/>
            <w:noProof/>
            <w:webHidden/>
          </w:rPr>
        </w:r>
        <w:r w:rsidR="007A730A" w:rsidRPr="00E12F57">
          <w:rPr>
            <w:rStyle w:val="Hyperlink"/>
            <w:rFonts w:ascii="Calibri" w:hAnsi="Calibri"/>
            <w:bCs/>
            <w:smallCaps/>
            <w:noProof/>
            <w:webHidden/>
          </w:rPr>
          <w:fldChar w:fldCharType="separate"/>
        </w:r>
        <w:r w:rsidR="00212D01">
          <w:rPr>
            <w:rStyle w:val="Hyperlink"/>
            <w:rFonts w:ascii="Calibri" w:hAnsi="Calibri"/>
            <w:bCs/>
            <w:smallCaps/>
            <w:noProof/>
            <w:webHidden/>
          </w:rPr>
          <w:t>73</w:t>
        </w:r>
        <w:r w:rsidR="007A730A" w:rsidRPr="00E12F57">
          <w:rPr>
            <w:rStyle w:val="Hyperlink"/>
            <w:rFonts w:ascii="Calibri" w:hAnsi="Calibri"/>
            <w:bCs/>
            <w:smallCaps/>
            <w:noProof/>
            <w:webHidden/>
          </w:rPr>
          <w:fldChar w:fldCharType="end"/>
        </w:r>
      </w:hyperlink>
    </w:p>
    <w:p w14:paraId="39648077" w14:textId="69E11E67" w:rsidR="007A730A" w:rsidRPr="00E12F57" w:rsidRDefault="00A15383">
      <w:pPr>
        <w:pStyle w:val="TableofFigures"/>
        <w:tabs>
          <w:tab w:val="right" w:leader="dot" w:pos="9350"/>
        </w:tabs>
        <w:rPr>
          <w:rStyle w:val="Hyperlink"/>
          <w:rFonts w:ascii="Calibri" w:hAnsi="Calibri"/>
          <w:bCs/>
          <w:smallCaps/>
        </w:rPr>
      </w:pPr>
      <w:hyperlink w:anchor="_Toc485377052" w:history="1">
        <w:r w:rsidR="007A730A" w:rsidRPr="00EE6909">
          <w:rPr>
            <w:rStyle w:val="Hyperlink"/>
            <w:rFonts w:ascii="Calibri" w:hAnsi="Calibri"/>
            <w:bCs/>
            <w:smallCaps/>
            <w:noProof/>
          </w:rPr>
          <w:t>Figure 17: Future container demand forecasting methodology</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_Toc485377052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76</w:t>
        </w:r>
        <w:r w:rsidR="007A730A" w:rsidRPr="00E12F57">
          <w:rPr>
            <w:rStyle w:val="Hyperlink"/>
            <w:rFonts w:ascii="Calibri" w:hAnsi="Calibri"/>
            <w:bCs/>
            <w:smallCaps/>
            <w:webHidden/>
          </w:rPr>
          <w:fldChar w:fldCharType="end"/>
        </w:r>
      </w:hyperlink>
    </w:p>
    <w:p w14:paraId="5FA11AB0" w14:textId="62E8114C" w:rsidR="007A730A" w:rsidRPr="00E12F57" w:rsidRDefault="00A15383">
      <w:pPr>
        <w:pStyle w:val="TableofFigures"/>
        <w:tabs>
          <w:tab w:val="right" w:leader="dot" w:pos="9350"/>
        </w:tabs>
        <w:rPr>
          <w:rStyle w:val="Hyperlink"/>
          <w:rFonts w:ascii="Calibri" w:hAnsi="Calibri"/>
          <w:bCs/>
          <w:smallCaps/>
        </w:rPr>
      </w:pPr>
      <w:hyperlink w:anchor="_Toc485377053" w:history="1">
        <w:r w:rsidR="007A730A" w:rsidRPr="00EE6909">
          <w:rPr>
            <w:rStyle w:val="Hyperlink"/>
            <w:rFonts w:ascii="Calibri" w:hAnsi="Calibri"/>
            <w:bCs/>
            <w:smallCaps/>
            <w:noProof/>
          </w:rPr>
          <w:t>Figure 18: Evolution of GDP and container traffic in West Africa</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_Toc485377053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77</w:t>
        </w:r>
        <w:r w:rsidR="007A730A" w:rsidRPr="00E12F57">
          <w:rPr>
            <w:rStyle w:val="Hyperlink"/>
            <w:rFonts w:ascii="Calibri" w:hAnsi="Calibri"/>
            <w:bCs/>
            <w:smallCaps/>
            <w:webHidden/>
          </w:rPr>
          <w:fldChar w:fldCharType="end"/>
        </w:r>
      </w:hyperlink>
    </w:p>
    <w:p w14:paraId="4289BA63" w14:textId="37D38E6A" w:rsidR="007A730A" w:rsidRPr="00E12F57" w:rsidRDefault="00A15383">
      <w:pPr>
        <w:pStyle w:val="TableofFigures"/>
        <w:tabs>
          <w:tab w:val="right" w:leader="dot" w:pos="9350"/>
        </w:tabs>
        <w:rPr>
          <w:rStyle w:val="Hyperlink"/>
          <w:rFonts w:ascii="Calibri" w:hAnsi="Calibri"/>
          <w:bCs/>
          <w:smallCaps/>
        </w:rPr>
      </w:pPr>
      <w:hyperlink w:anchor="_Toc485377054" w:history="1">
        <w:r w:rsidR="007A730A" w:rsidRPr="00EE6909">
          <w:rPr>
            <w:rStyle w:val="Hyperlink"/>
            <w:rFonts w:ascii="Calibri" w:hAnsi="Calibri"/>
            <w:bCs/>
            <w:smallCaps/>
            <w:noProof/>
          </w:rPr>
          <w:t>Figure 19: Evolution of the IMF WEO forecast for Nigeria GDP</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_Toc485377054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77</w:t>
        </w:r>
        <w:r w:rsidR="007A730A" w:rsidRPr="00E12F57">
          <w:rPr>
            <w:rStyle w:val="Hyperlink"/>
            <w:rFonts w:ascii="Calibri" w:hAnsi="Calibri"/>
            <w:bCs/>
            <w:smallCaps/>
            <w:webHidden/>
          </w:rPr>
          <w:fldChar w:fldCharType="end"/>
        </w:r>
      </w:hyperlink>
    </w:p>
    <w:p w14:paraId="38C049BF" w14:textId="30266936" w:rsidR="007A730A" w:rsidRPr="00E12F57" w:rsidRDefault="00A15383">
      <w:pPr>
        <w:pStyle w:val="TableofFigures"/>
        <w:tabs>
          <w:tab w:val="right" w:leader="dot" w:pos="9350"/>
        </w:tabs>
        <w:rPr>
          <w:rStyle w:val="Hyperlink"/>
          <w:rFonts w:ascii="Calibri" w:hAnsi="Calibri"/>
          <w:bCs/>
          <w:smallCaps/>
        </w:rPr>
      </w:pPr>
      <w:hyperlink w:anchor="_Toc485377055" w:history="1">
        <w:r w:rsidR="007A730A" w:rsidRPr="00E12F57">
          <w:rPr>
            <w:rStyle w:val="Hyperlink"/>
            <w:rFonts w:ascii="Calibri" w:hAnsi="Calibri"/>
            <w:bCs/>
            <w:smallCaps/>
            <w:noProof/>
          </w:rPr>
          <w:t>Figure 20: TEU growth versus GDP growth for 2004 - 2014</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_Toc485377055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78</w:t>
        </w:r>
        <w:r w:rsidR="007A730A" w:rsidRPr="00E12F57">
          <w:rPr>
            <w:rStyle w:val="Hyperlink"/>
            <w:rFonts w:ascii="Calibri" w:hAnsi="Calibri"/>
            <w:bCs/>
            <w:smallCaps/>
            <w:webHidden/>
          </w:rPr>
          <w:fldChar w:fldCharType="end"/>
        </w:r>
      </w:hyperlink>
    </w:p>
    <w:p w14:paraId="43D9FFCD" w14:textId="0C5BAD21" w:rsidR="007A730A" w:rsidRPr="00E12F57" w:rsidRDefault="00A15383">
      <w:pPr>
        <w:pStyle w:val="TableofFigures"/>
        <w:tabs>
          <w:tab w:val="right" w:leader="dot" w:pos="9350"/>
        </w:tabs>
        <w:rPr>
          <w:rStyle w:val="Hyperlink"/>
          <w:rFonts w:ascii="Calibri" w:hAnsi="Calibri"/>
          <w:bCs/>
          <w:smallCaps/>
        </w:rPr>
      </w:pPr>
      <w:hyperlink w:anchor="_Toc485377056" w:history="1">
        <w:r w:rsidR="007A730A" w:rsidRPr="00E12F57">
          <w:rPr>
            <w:rStyle w:val="Hyperlink"/>
            <w:rFonts w:ascii="Calibri" w:hAnsi="Calibri"/>
            <w:bCs/>
            <w:smallCaps/>
            <w:noProof/>
          </w:rPr>
          <w:t>Figure 21: Relation between GDP and container traffic in West Africa</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_Toc485377056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79</w:t>
        </w:r>
        <w:r w:rsidR="007A730A" w:rsidRPr="00E12F57">
          <w:rPr>
            <w:rStyle w:val="Hyperlink"/>
            <w:rFonts w:ascii="Calibri" w:hAnsi="Calibri"/>
            <w:bCs/>
            <w:smallCaps/>
            <w:webHidden/>
          </w:rPr>
          <w:fldChar w:fldCharType="end"/>
        </w:r>
      </w:hyperlink>
    </w:p>
    <w:p w14:paraId="1D372607" w14:textId="06F8530A" w:rsidR="007A730A" w:rsidRPr="00E12F57" w:rsidRDefault="00A15383">
      <w:pPr>
        <w:pStyle w:val="TableofFigures"/>
        <w:tabs>
          <w:tab w:val="right" w:leader="dot" w:pos="9350"/>
        </w:tabs>
        <w:rPr>
          <w:rStyle w:val="Hyperlink"/>
          <w:rFonts w:ascii="Calibri" w:hAnsi="Calibri"/>
          <w:bCs/>
          <w:smallCaps/>
        </w:rPr>
      </w:pPr>
      <w:hyperlink w:anchor="_Toc485377057" w:history="1">
        <w:r w:rsidR="007A730A" w:rsidRPr="00E12F57">
          <w:rPr>
            <w:rStyle w:val="Hyperlink"/>
            <w:rFonts w:ascii="Calibri" w:hAnsi="Calibri"/>
            <w:bCs/>
            <w:smallCaps/>
            <w:noProof/>
          </w:rPr>
          <w:t>Figure 22: Actual and forecast trade related container traffic for coastal countries (excluding transit) (Million TEUs), according to elasticity selected</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_Toc485377057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79</w:t>
        </w:r>
        <w:r w:rsidR="007A730A" w:rsidRPr="00E12F57">
          <w:rPr>
            <w:rStyle w:val="Hyperlink"/>
            <w:rFonts w:ascii="Calibri" w:hAnsi="Calibri"/>
            <w:bCs/>
            <w:smallCaps/>
            <w:webHidden/>
          </w:rPr>
          <w:fldChar w:fldCharType="end"/>
        </w:r>
      </w:hyperlink>
    </w:p>
    <w:p w14:paraId="67BAAA1D" w14:textId="48F1547A" w:rsidR="007A730A" w:rsidRPr="00E12F57" w:rsidRDefault="00A15383">
      <w:pPr>
        <w:pStyle w:val="TableofFigures"/>
        <w:tabs>
          <w:tab w:val="right" w:leader="dot" w:pos="9350"/>
        </w:tabs>
        <w:rPr>
          <w:rStyle w:val="Hyperlink"/>
          <w:rFonts w:ascii="Calibri" w:hAnsi="Calibri"/>
          <w:bCs/>
          <w:smallCaps/>
        </w:rPr>
      </w:pPr>
      <w:hyperlink w:anchor="_Toc485377058" w:history="1">
        <w:r w:rsidR="007A730A" w:rsidRPr="00E12F57">
          <w:rPr>
            <w:rStyle w:val="Hyperlink"/>
            <w:rFonts w:ascii="Calibri" w:hAnsi="Calibri"/>
            <w:bCs/>
            <w:smallCaps/>
            <w:noProof/>
          </w:rPr>
          <w:t>Figure 23: Evolution of the routing of the Burkina Faso maritime transit trade</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_Toc485377058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80</w:t>
        </w:r>
        <w:r w:rsidR="007A730A" w:rsidRPr="00E12F57">
          <w:rPr>
            <w:rStyle w:val="Hyperlink"/>
            <w:rFonts w:ascii="Calibri" w:hAnsi="Calibri"/>
            <w:bCs/>
            <w:smallCaps/>
            <w:webHidden/>
          </w:rPr>
          <w:fldChar w:fldCharType="end"/>
        </w:r>
      </w:hyperlink>
    </w:p>
    <w:p w14:paraId="7F1D16FD" w14:textId="327FB276" w:rsidR="007A730A" w:rsidRPr="00E12F57" w:rsidRDefault="00A15383">
      <w:pPr>
        <w:pStyle w:val="TableofFigures"/>
        <w:tabs>
          <w:tab w:val="right" w:leader="dot" w:pos="9350"/>
        </w:tabs>
        <w:rPr>
          <w:rStyle w:val="Hyperlink"/>
          <w:rFonts w:ascii="Calibri" w:hAnsi="Calibri"/>
          <w:bCs/>
          <w:smallCaps/>
        </w:rPr>
      </w:pPr>
      <w:hyperlink w:anchor="_Toc485377059" w:history="1">
        <w:r w:rsidR="007A730A" w:rsidRPr="00E12F57">
          <w:rPr>
            <w:rStyle w:val="Hyperlink"/>
            <w:rFonts w:ascii="Calibri" w:hAnsi="Calibri"/>
            <w:bCs/>
            <w:smallCaps/>
            <w:noProof/>
          </w:rPr>
          <w:t>Figure 24: Traffic forecast for landlocked countries</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_Toc485377059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81</w:t>
        </w:r>
        <w:r w:rsidR="007A730A" w:rsidRPr="00E12F57">
          <w:rPr>
            <w:rStyle w:val="Hyperlink"/>
            <w:rFonts w:ascii="Calibri" w:hAnsi="Calibri"/>
            <w:bCs/>
            <w:smallCaps/>
            <w:webHidden/>
          </w:rPr>
          <w:fldChar w:fldCharType="end"/>
        </w:r>
      </w:hyperlink>
    </w:p>
    <w:p w14:paraId="1A07DCCD" w14:textId="37D71E88" w:rsidR="007A730A" w:rsidRPr="00E12F57" w:rsidRDefault="00A15383">
      <w:pPr>
        <w:pStyle w:val="TableofFigures"/>
        <w:tabs>
          <w:tab w:val="right" w:leader="dot" w:pos="9350"/>
        </w:tabs>
        <w:rPr>
          <w:rStyle w:val="Hyperlink"/>
          <w:rFonts w:ascii="Calibri" w:hAnsi="Calibri"/>
          <w:bCs/>
          <w:smallCaps/>
        </w:rPr>
      </w:pPr>
      <w:hyperlink w:anchor="_Toc485377060" w:history="1">
        <w:r w:rsidR="007A730A" w:rsidRPr="00E12F57">
          <w:rPr>
            <w:rStyle w:val="Hyperlink"/>
            <w:rFonts w:ascii="Calibri" w:hAnsi="Calibri"/>
            <w:bCs/>
            <w:smallCaps/>
            <w:noProof/>
          </w:rPr>
          <w:t>Figure 25: Projected Coastal and Landlocked container traffic</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_Toc485377060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81</w:t>
        </w:r>
        <w:r w:rsidR="007A730A" w:rsidRPr="00E12F57">
          <w:rPr>
            <w:rStyle w:val="Hyperlink"/>
            <w:rFonts w:ascii="Calibri" w:hAnsi="Calibri"/>
            <w:bCs/>
            <w:smallCaps/>
            <w:webHidden/>
          </w:rPr>
          <w:fldChar w:fldCharType="end"/>
        </w:r>
      </w:hyperlink>
    </w:p>
    <w:p w14:paraId="3AAE65BC" w14:textId="6D791C44" w:rsidR="007A730A" w:rsidRPr="00E12F57" w:rsidRDefault="00A15383">
      <w:pPr>
        <w:pStyle w:val="TableofFigures"/>
        <w:tabs>
          <w:tab w:val="right" w:leader="dot" w:pos="9350"/>
        </w:tabs>
        <w:rPr>
          <w:rStyle w:val="Hyperlink"/>
          <w:rFonts w:ascii="Calibri" w:hAnsi="Calibri"/>
          <w:bCs/>
          <w:smallCaps/>
        </w:rPr>
      </w:pPr>
      <w:hyperlink w:anchor="_Toc485377061" w:history="1">
        <w:r w:rsidR="007A730A" w:rsidRPr="00E12F57">
          <w:rPr>
            <w:rStyle w:val="Hyperlink"/>
            <w:rFonts w:ascii="Calibri" w:hAnsi="Calibri"/>
            <w:bCs/>
            <w:smallCaps/>
            <w:noProof/>
          </w:rPr>
          <w:t>Figure 26: Container traffic forecasts (coastal, landlocked, and transshipment)</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_Toc485377061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83</w:t>
        </w:r>
        <w:r w:rsidR="007A730A" w:rsidRPr="00E12F57">
          <w:rPr>
            <w:rStyle w:val="Hyperlink"/>
            <w:rFonts w:ascii="Calibri" w:hAnsi="Calibri"/>
            <w:bCs/>
            <w:smallCaps/>
            <w:webHidden/>
          </w:rPr>
          <w:fldChar w:fldCharType="end"/>
        </w:r>
      </w:hyperlink>
    </w:p>
    <w:p w14:paraId="4F81BF27" w14:textId="248D8CE5" w:rsidR="007A730A" w:rsidRPr="00E12F57" w:rsidRDefault="00A15383">
      <w:pPr>
        <w:pStyle w:val="TableofFigures"/>
        <w:tabs>
          <w:tab w:val="right" w:leader="dot" w:pos="9350"/>
        </w:tabs>
        <w:rPr>
          <w:rStyle w:val="Hyperlink"/>
          <w:rFonts w:ascii="Calibri" w:hAnsi="Calibri"/>
          <w:bCs/>
          <w:smallCaps/>
        </w:rPr>
      </w:pPr>
      <w:hyperlink w:anchor="_Toc485377062" w:history="1">
        <w:r w:rsidR="007A730A" w:rsidRPr="00E12F57">
          <w:rPr>
            <w:rStyle w:val="Hyperlink"/>
            <w:rFonts w:ascii="Calibri" w:hAnsi="Calibri"/>
            <w:bCs/>
            <w:smallCaps/>
            <w:noProof/>
          </w:rPr>
          <w:t>Figure 27: Capacity increase by West Africa sub-areas in million TEUs</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_Toc485377062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88</w:t>
        </w:r>
        <w:r w:rsidR="007A730A" w:rsidRPr="00E12F57">
          <w:rPr>
            <w:rStyle w:val="Hyperlink"/>
            <w:rFonts w:ascii="Calibri" w:hAnsi="Calibri"/>
            <w:bCs/>
            <w:smallCaps/>
            <w:webHidden/>
          </w:rPr>
          <w:fldChar w:fldCharType="end"/>
        </w:r>
      </w:hyperlink>
    </w:p>
    <w:p w14:paraId="3F8F1D8D" w14:textId="1E6E64FE" w:rsidR="007A730A" w:rsidRPr="00E12F57" w:rsidRDefault="00A15383">
      <w:pPr>
        <w:pStyle w:val="TableofFigures"/>
        <w:tabs>
          <w:tab w:val="right" w:leader="dot" w:pos="9350"/>
        </w:tabs>
        <w:rPr>
          <w:rStyle w:val="Hyperlink"/>
          <w:rFonts w:ascii="Calibri" w:hAnsi="Calibri"/>
          <w:bCs/>
          <w:smallCaps/>
        </w:rPr>
      </w:pPr>
      <w:hyperlink w:anchor="_Toc485377063" w:history="1">
        <w:r w:rsidR="007A730A" w:rsidRPr="00E12F57">
          <w:rPr>
            <w:rStyle w:val="Hyperlink"/>
            <w:rFonts w:ascii="Calibri" w:hAnsi="Calibri"/>
            <w:bCs/>
            <w:smallCaps/>
            <w:noProof/>
          </w:rPr>
          <w:t>Figure 28: Efficiency for ports in the range Dakar - Abidjan</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_Toc485377063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105</w:t>
        </w:r>
        <w:r w:rsidR="007A730A" w:rsidRPr="00E12F57">
          <w:rPr>
            <w:rStyle w:val="Hyperlink"/>
            <w:rFonts w:ascii="Calibri" w:hAnsi="Calibri"/>
            <w:bCs/>
            <w:smallCaps/>
            <w:webHidden/>
          </w:rPr>
          <w:fldChar w:fldCharType="end"/>
        </w:r>
      </w:hyperlink>
    </w:p>
    <w:p w14:paraId="706D70A7" w14:textId="08153B05" w:rsidR="007A730A" w:rsidRPr="00E12F57" w:rsidRDefault="00A15383">
      <w:pPr>
        <w:pStyle w:val="TableofFigures"/>
        <w:tabs>
          <w:tab w:val="right" w:leader="dot" w:pos="9350"/>
        </w:tabs>
        <w:rPr>
          <w:rStyle w:val="Hyperlink"/>
          <w:rFonts w:ascii="Calibri" w:hAnsi="Calibri"/>
          <w:bCs/>
          <w:smallCaps/>
        </w:rPr>
      </w:pPr>
      <w:hyperlink w:anchor="_Toc485377064" w:history="1">
        <w:r w:rsidR="007A730A" w:rsidRPr="00E12F57">
          <w:rPr>
            <w:rStyle w:val="Hyperlink"/>
            <w:rFonts w:ascii="Calibri" w:hAnsi="Calibri"/>
            <w:bCs/>
            <w:smallCaps/>
            <w:noProof/>
          </w:rPr>
          <w:t>Figure 29: Efficiency for ports in the range Tema - Lagos</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_Toc485377064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105</w:t>
        </w:r>
        <w:r w:rsidR="007A730A" w:rsidRPr="00E12F57">
          <w:rPr>
            <w:rStyle w:val="Hyperlink"/>
            <w:rFonts w:ascii="Calibri" w:hAnsi="Calibri"/>
            <w:bCs/>
            <w:smallCaps/>
            <w:webHidden/>
          </w:rPr>
          <w:fldChar w:fldCharType="end"/>
        </w:r>
      </w:hyperlink>
    </w:p>
    <w:p w14:paraId="3187ACFB" w14:textId="75A9670C" w:rsidR="007A730A" w:rsidRPr="00E12F57" w:rsidRDefault="00A15383">
      <w:pPr>
        <w:pStyle w:val="TableofFigures"/>
        <w:tabs>
          <w:tab w:val="right" w:leader="dot" w:pos="9350"/>
        </w:tabs>
        <w:rPr>
          <w:rStyle w:val="Hyperlink"/>
          <w:rFonts w:ascii="Calibri" w:hAnsi="Calibri"/>
          <w:bCs/>
          <w:smallCaps/>
        </w:rPr>
      </w:pPr>
      <w:hyperlink w:anchor="_Toc485377065" w:history="1">
        <w:r w:rsidR="007A730A" w:rsidRPr="00E12F57">
          <w:rPr>
            <w:rStyle w:val="Hyperlink"/>
            <w:rFonts w:ascii="Calibri" w:hAnsi="Calibri"/>
            <w:bCs/>
            <w:smallCaps/>
            <w:noProof/>
          </w:rPr>
          <w:t>Figure 30: Relationship between throughput and terminal efficiency</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_Toc485377065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106</w:t>
        </w:r>
        <w:r w:rsidR="007A730A" w:rsidRPr="00E12F57">
          <w:rPr>
            <w:rStyle w:val="Hyperlink"/>
            <w:rFonts w:ascii="Calibri" w:hAnsi="Calibri"/>
            <w:bCs/>
            <w:smallCaps/>
            <w:webHidden/>
          </w:rPr>
          <w:fldChar w:fldCharType="end"/>
        </w:r>
      </w:hyperlink>
    </w:p>
    <w:p w14:paraId="3D03EBD4" w14:textId="6DF13FD1" w:rsidR="007A730A" w:rsidRPr="00E12F57" w:rsidRDefault="00A15383">
      <w:pPr>
        <w:pStyle w:val="TableofFigures"/>
        <w:tabs>
          <w:tab w:val="right" w:leader="dot" w:pos="9350"/>
        </w:tabs>
        <w:rPr>
          <w:rStyle w:val="Hyperlink"/>
          <w:rFonts w:ascii="Calibri" w:hAnsi="Calibri"/>
          <w:bCs/>
          <w:smallCaps/>
        </w:rPr>
      </w:pPr>
      <w:hyperlink w:anchor="_Toc485377066" w:history="1">
        <w:r w:rsidR="007A730A" w:rsidRPr="00E12F57">
          <w:rPr>
            <w:rStyle w:val="Hyperlink"/>
            <w:rFonts w:ascii="Calibri" w:hAnsi="Calibri"/>
            <w:bCs/>
            <w:smallCaps/>
            <w:noProof/>
          </w:rPr>
          <w:t>Figure 31 : Abidjan and Dakar</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_Toc485377066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107</w:t>
        </w:r>
        <w:r w:rsidR="007A730A" w:rsidRPr="00E12F57">
          <w:rPr>
            <w:rStyle w:val="Hyperlink"/>
            <w:rFonts w:ascii="Calibri" w:hAnsi="Calibri"/>
            <w:bCs/>
            <w:smallCaps/>
            <w:webHidden/>
          </w:rPr>
          <w:fldChar w:fldCharType="end"/>
        </w:r>
      </w:hyperlink>
    </w:p>
    <w:p w14:paraId="5A7B0B44" w14:textId="7D67832E" w:rsidR="007A730A" w:rsidRPr="00E12F57" w:rsidRDefault="00A15383">
      <w:pPr>
        <w:pStyle w:val="TableofFigures"/>
        <w:tabs>
          <w:tab w:val="right" w:leader="dot" w:pos="9350"/>
        </w:tabs>
        <w:rPr>
          <w:rStyle w:val="Hyperlink"/>
          <w:rFonts w:ascii="Calibri" w:hAnsi="Calibri"/>
          <w:bCs/>
          <w:smallCaps/>
        </w:rPr>
      </w:pPr>
      <w:hyperlink w:anchor="_Toc485377067" w:history="1">
        <w:r w:rsidR="007A730A" w:rsidRPr="00E12F57">
          <w:rPr>
            <w:rStyle w:val="Hyperlink"/>
            <w:rFonts w:ascii="Calibri" w:hAnsi="Calibri"/>
            <w:bCs/>
            <w:smallCaps/>
            <w:noProof/>
          </w:rPr>
          <w:t>Figure 32: Tema, Lomé and Lagos Apapa</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_Toc485377067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107</w:t>
        </w:r>
        <w:r w:rsidR="007A730A" w:rsidRPr="00E12F57">
          <w:rPr>
            <w:rStyle w:val="Hyperlink"/>
            <w:rFonts w:ascii="Calibri" w:hAnsi="Calibri"/>
            <w:bCs/>
            <w:smallCaps/>
            <w:webHidden/>
          </w:rPr>
          <w:fldChar w:fldCharType="end"/>
        </w:r>
      </w:hyperlink>
    </w:p>
    <w:p w14:paraId="3D6C1515" w14:textId="038F39B9" w:rsidR="007A730A" w:rsidRPr="00E12F57" w:rsidRDefault="00A15383">
      <w:pPr>
        <w:pStyle w:val="TableofFigures"/>
        <w:tabs>
          <w:tab w:val="right" w:leader="dot" w:pos="9350"/>
        </w:tabs>
        <w:rPr>
          <w:rStyle w:val="Hyperlink"/>
          <w:rFonts w:ascii="Calibri" w:hAnsi="Calibri"/>
          <w:bCs/>
          <w:smallCaps/>
        </w:rPr>
      </w:pPr>
      <w:hyperlink w:anchor="_Toc485377068" w:history="1">
        <w:r w:rsidR="007A730A" w:rsidRPr="00E12F57">
          <w:rPr>
            <w:rStyle w:val="Hyperlink"/>
            <w:rFonts w:ascii="Calibri" w:hAnsi="Calibri"/>
            <w:bCs/>
            <w:smallCaps/>
            <w:noProof/>
          </w:rPr>
          <w:t>Figure 33: Conakry and Cotonou</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_Toc485377068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107</w:t>
        </w:r>
        <w:r w:rsidR="007A730A" w:rsidRPr="00E12F57">
          <w:rPr>
            <w:rStyle w:val="Hyperlink"/>
            <w:rFonts w:ascii="Calibri" w:hAnsi="Calibri"/>
            <w:bCs/>
            <w:smallCaps/>
            <w:webHidden/>
          </w:rPr>
          <w:fldChar w:fldCharType="end"/>
        </w:r>
      </w:hyperlink>
    </w:p>
    <w:p w14:paraId="76719740" w14:textId="07DA2E96" w:rsidR="007A730A" w:rsidRPr="00E12F57" w:rsidRDefault="00A15383">
      <w:pPr>
        <w:pStyle w:val="TableofFigures"/>
        <w:tabs>
          <w:tab w:val="right" w:leader="dot" w:pos="9350"/>
        </w:tabs>
        <w:rPr>
          <w:rStyle w:val="Hyperlink"/>
          <w:rFonts w:ascii="Calibri" w:hAnsi="Calibri"/>
          <w:bCs/>
          <w:smallCaps/>
        </w:rPr>
      </w:pPr>
      <w:hyperlink w:anchor="_Toc485377069" w:history="1">
        <w:r w:rsidR="007A730A" w:rsidRPr="00E12F57">
          <w:rPr>
            <w:rStyle w:val="Hyperlink"/>
            <w:rFonts w:ascii="Calibri" w:hAnsi="Calibri"/>
            <w:bCs/>
            <w:smallCaps/>
            <w:noProof/>
          </w:rPr>
          <w:t>Figure 34: Annual capacity on West Africa main shipping trade lanes</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_Toc485377069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109</w:t>
        </w:r>
        <w:r w:rsidR="007A730A" w:rsidRPr="00E12F57">
          <w:rPr>
            <w:rStyle w:val="Hyperlink"/>
            <w:rFonts w:ascii="Calibri" w:hAnsi="Calibri"/>
            <w:bCs/>
            <w:smallCaps/>
            <w:webHidden/>
          </w:rPr>
          <w:fldChar w:fldCharType="end"/>
        </w:r>
      </w:hyperlink>
    </w:p>
    <w:p w14:paraId="7EC45D2B" w14:textId="415E4215" w:rsidR="007A730A" w:rsidRPr="00E12F57" w:rsidRDefault="00A15383">
      <w:pPr>
        <w:pStyle w:val="TableofFigures"/>
        <w:tabs>
          <w:tab w:val="right" w:leader="dot" w:pos="9350"/>
        </w:tabs>
        <w:rPr>
          <w:rStyle w:val="Hyperlink"/>
          <w:rFonts w:ascii="Calibri" w:hAnsi="Calibri"/>
          <w:bCs/>
          <w:smallCaps/>
        </w:rPr>
      </w:pPr>
      <w:hyperlink w:anchor="_Toc485377070" w:history="1">
        <w:r w:rsidR="007A730A" w:rsidRPr="00E12F57">
          <w:rPr>
            <w:rStyle w:val="Hyperlink"/>
            <w:rFonts w:ascii="Calibri" w:hAnsi="Calibri"/>
            <w:bCs/>
            <w:smallCaps/>
            <w:noProof/>
          </w:rPr>
          <w:t>Figure 35: Evolution of shipping services on Asia - West Africa trade</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_Toc485377070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109</w:t>
        </w:r>
        <w:r w:rsidR="007A730A" w:rsidRPr="00E12F57">
          <w:rPr>
            <w:rStyle w:val="Hyperlink"/>
            <w:rFonts w:ascii="Calibri" w:hAnsi="Calibri"/>
            <w:bCs/>
            <w:smallCaps/>
            <w:webHidden/>
          </w:rPr>
          <w:fldChar w:fldCharType="end"/>
        </w:r>
      </w:hyperlink>
    </w:p>
    <w:p w14:paraId="4E37429E" w14:textId="7844D999" w:rsidR="007A730A" w:rsidRDefault="00A15383">
      <w:pPr>
        <w:pStyle w:val="TableofFigures"/>
        <w:tabs>
          <w:tab w:val="right" w:leader="dot" w:pos="9350"/>
        </w:tabs>
        <w:rPr>
          <w:rFonts w:asciiTheme="minorHAnsi" w:hAnsiTheme="minorHAnsi" w:cstheme="minorBidi"/>
          <w:noProof/>
          <w:sz w:val="22"/>
        </w:rPr>
      </w:pPr>
      <w:hyperlink w:anchor="_Toc485377071" w:history="1">
        <w:r w:rsidR="007A730A" w:rsidRPr="00E12F57">
          <w:rPr>
            <w:rStyle w:val="Hyperlink"/>
            <w:rFonts w:ascii="Calibri" w:hAnsi="Calibri"/>
            <w:bCs/>
            <w:smallCaps/>
            <w:noProof/>
          </w:rPr>
          <w:t>Figure 36: Evolution of Freight rates (Shanghai Container Freight Index)</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_Toc485377071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110</w:t>
        </w:r>
        <w:r w:rsidR="007A730A" w:rsidRPr="00E12F57">
          <w:rPr>
            <w:rStyle w:val="Hyperlink"/>
            <w:rFonts w:ascii="Calibri" w:hAnsi="Calibri"/>
            <w:bCs/>
            <w:smallCaps/>
            <w:webHidden/>
          </w:rPr>
          <w:fldChar w:fldCharType="end"/>
        </w:r>
      </w:hyperlink>
    </w:p>
    <w:p w14:paraId="7612069D" w14:textId="32D0E940" w:rsidR="001C4F48" w:rsidRPr="000B217C" w:rsidRDefault="00520B46" w:rsidP="0099660B">
      <w:pPr>
        <w:pStyle w:val="TableofFigures"/>
        <w:tabs>
          <w:tab w:val="right" w:leader="dot" w:pos="9350"/>
        </w:tabs>
        <w:rPr>
          <w:rStyle w:val="Hyperlink"/>
          <w:rFonts w:asciiTheme="minorHAnsi" w:hAnsiTheme="minorHAnsi" w:cs="Times New Roman"/>
          <w:noProof/>
          <w:color w:val="auto"/>
          <w:sz w:val="22"/>
        </w:rPr>
      </w:pPr>
      <w:r w:rsidRPr="000B217C">
        <w:rPr>
          <w:rStyle w:val="Hyperlink"/>
          <w:rFonts w:asciiTheme="minorHAnsi" w:hAnsiTheme="minorHAnsi" w:cs="Times New Roman"/>
          <w:noProof/>
          <w:color w:val="auto"/>
          <w:sz w:val="22"/>
        </w:rPr>
        <w:fldChar w:fldCharType="end"/>
      </w:r>
    </w:p>
    <w:p w14:paraId="19F8CF08" w14:textId="77777777" w:rsidR="0099660B" w:rsidRPr="000B217C" w:rsidRDefault="001C4F48" w:rsidP="00C25A46">
      <w:pPr>
        <w:pStyle w:val="TableofFigures"/>
        <w:tabs>
          <w:tab w:val="right" w:leader="dot" w:pos="9350"/>
        </w:tabs>
        <w:rPr>
          <w:rStyle w:val="Hyperlink"/>
          <w:rFonts w:asciiTheme="minorHAnsi" w:hAnsiTheme="minorHAnsi" w:cs="Times New Roman"/>
          <w:noProof/>
          <w:color w:val="auto"/>
          <w:sz w:val="22"/>
        </w:rPr>
      </w:pPr>
      <w:r w:rsidRPr="000B217C">
        <w:rPr>
          <w:rFonts w:asciiTheme="minorHAnsi" w:hAnsiTheme="minorHAnsi"/>
          <w:b/>
          <w:sz w:val="22"/>
        </w:rPr>
        <w:t>Boxes:</w:t>
      </w:r>
    </w:p>
    <w:p w14:paraId="448B71A1" w14:textId="7475D887" w:rsidR="007A730A" w:rsidRPr="00E12F57" w:rsidRDefault="00520B46">
      <w:pPr>
        <w:pStyle w:val="TableofFigures"/>
        <w:tabs>
          <w:tab w:val="right" w:leader="dot" w:pos="9350"/>
        </w:tabs>
        <w:rPr>
          <w:rStyle w:val="Hyperlink"/>
          <w:rFonts w:ascii="Calibri" w:hAnsi="Calibri"/>
          <w:bCs/>
          <w:smallCaps/>
        </w:rPr>
      </w:pPr>
      <w:r w:rsidRPr="00E12F57">
        <w:rPr>
          <w:rStyle w:val="Hyperlink"/>
          <w:rFonts w:ascii="Calibri" w:hAnsi="Calibri"/>
          <w:bCs/>
          <w:smallCaps/>
          <w:noProof/>
        </w:rPr>
        <w:fldChar w:fldCharType="begin"/>
      </w:r>
      <w:r w:rsidR="001C4F48" w:rsidRPr="00E12F57">
        <w:rPr>
          <w:rStyle w:val="Hyperlink"/>
          <w:rFonts w:ascii="Calibri" w:hAnsi="Calibri"/>
          <w:bCs/>
          <w:smallCaps/>
          <w:noProof/>
        </w:rPr>
        <w:instrText xml:space="preserve"> TOC \h \z \c "Box" </w:instrText>
      </w:r>
      <w:r w:rsidRPr="00E12F57">
        <w:rPr>
          <w:rStyle w:val="Hyperlink"/>
          <w:rFonts w:ascii="Calibri" w:hAnsi="Calibri"/>
          <w:bCs/>
          <w:smallCaps/>
          <w:noProof/>
        </w:rPr>
        <w:fldChar w:fldCharType="separate"/>
      </w:r>
      <w:hyperlink w:anchor="_Toc485377010" w:history="1">
        <w:r w:rsidR="007A730A" w:rsidRPr="00E12F57">
          <w:rPr>
            <w:rStyle w:val="Hyperlink"/>
            <w:rFonts w:ascii="Calibri" w:hAnsi="Calibri"/>
            <w:bCs/>
            <w:smallCaps/>
            <w:noProof/>
          </w:rPr>
          <w:t>Box 1: A question of vocabulary – Transshipment hubs, logistics hubs and maritime gateways</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_Toc485377010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23</w:t>
        </w:r>
        <w:r w:rsidR="007A730A" w:rsidRPr="00E12F57">
          <w:rPr>
            <w:rStyle w:val="Hyperlink"/>
            <w:rFonts w:ascii="Calibri" w:hAnsi="Calibri"/>
            <w:bCs/>
            <w:smallCaps/>
            <w:webHidden/>
          </w:rPr>
          <w:fldChar w:fldCharType="end"/>
        </w:r>
      </w:hyperlink>
    </w:p>
    <w:p w14:paraId="3492F918" w14:textId="7AEF8BFA" w:rsidR="007A730A" w:rsidRPr="00E12F57" w:rsidRDefault="00A15383">
      <w:pPr>
        <w:pStyle w:val="TableofFigures"/>
        <w:tabs>
          <w:tab w:val="right" w:leader="dot" w:pos="9350"/>
        </w:tabs>
        <w:rPr>
          <w:rStyle w:val="Hyperlink"/>
          <w:rFonts w:ascii="Calibri" w:hAnsi="Calibri"/>
          <w:bCs/>
          <w:smallCaps/>
        </w:rPr>
      </w:pPr>
      <w:hyperlink w:anchor="_Toc485377011" w:history="1">
        <w:r w:rsidR="007A730A" w:rsidRPr="00E12F57">
          <w:rPr>
            <w:rStyle w:val="Hyperlink"/>
            <w:rFonts w:ascii="Calibri" w:hAnsi="Calibri"/>
            <w:bCs/>
            <w:smallCaps/>
            <w:noProof/>
          </w:rPr>
          <w:t>Box 2: Port fees, prices and services</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_Toc485377011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35</w:t>
        </w:r>
        <w:r w:rsidR="007A730A" w:rsidRPr="00E12F57">
          <w:rPr>
            <w:rStyle w:val="Hyperlink"/>
            <w:rFonts w:ascii="Calibri" w:hAnsi="Calibri"/>
            <w:bCs/>
            <w:smallCaps/>
            <w:webHidden/>
          </w:rPr>
          <w:fldChar w:fldCharType="end"/>
        </w:r>
      </w:hyperlink>
    </w:p>
    <w:p w14:paraId="056ACBC3" w14:textId="0DB4C208" w:rsidR="007A730A" w:rsidRPr="00E12F57" w:rsidRDefault="00A15383">
      <w:pPr>
        <w:pStyle w:val="TableofFigures"/>
        <w:tabs>
          <w:tab w:val="right" w:leader="dot" w:pos="9350"/>
        </w:tabs>
        <w:rPr>
          <w:rStyle w:val="Hyperlink"/>
          <w:rFonts w:ascii="Calibri" w:hAnsi="Calibri"/>
          <w:bCs/>
          <w:smallCaps/>
        </w:rPr>
      </w:pPr>
      <w:hyperlink w:anchor="_Toc485377012" w:history="1">
        <w:r w:rsidR="007A730A" w:rsidRPr="009E382D">
          <w:rPr>
            <w:rStyle w:val="Hyperlink"/>
            <w:rFonts w:ascii="Calibri" w:hAnsi="Calibri"/>
            <w:bCs/>
            <w:smallCaps/>
            <w:noProof/>
          </w:rPr>
          <w:t>Box 3: The concession contract for the Abidjan second container terminal</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_Toc485377012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60</w:t>
        </w:r>
        <w:r w:rsidR="007A730A" w:rsidRPr="00E12F57">
          <w:rPr>
            <w:rStyle w:val="Hyperlink"/>
            <w:rFonts w:ascii="Calibri" w:hAnsi="Calibri"/>
            <w:bCs/>
            <w:smallCaps/>
            <w:webHidden/>
          </w:rPr>
          <w:fldChar w:fldCharType="end"/>
        </w:r>
      </w:hyperlink>
    </w:p>
    <w:p w14:paraId="6D17BA99" w14:textId="75696AA3" w:rsidR="007A730A" w:rsidRPr="00E12F57" w:rsidRDefault="00A15383">
      <w:pPr>
        <w:pStyle w:val="TableofFigures"/>
        <w:tabs>
          <w:tab w:val="right" w:leader="dot" w:pos="9350"/>
        </w:tabs>
        <w:rPr>
          <w:rStyle w:val="Hyperlink"/>
          <w:rFonts w:ascii="Calibri" w:hAnsi="Calibri"/>
          <w:bCs/>
          <w:smallCaps/>
        </w:rPr>
      </w:pPr>
      <w:hyperlink w:anchor="_Toc485377013" w:history="1">
        <w:r w:rsidR="007A730A" w:rsidRPr="00E12F57">
          <w:rPr>
            <w:rStyle w:val="Hyperlink"/>
            <w:rFonts w:ascii="Calibri" w:hAnsi="Calibri"/>
            <w:bCs/>
            <w:smallCaps/>
            <w:noProof/>
          </w:rPr>
          <w:t>Box 4: Benchmarking Container Terminal and Port Productivity</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_Toc485377013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66</w:t>
        </w:r>
        <w:r w:rsidR="007A730A" w:rsidRPr="00E12F57">
          <w:rPr>
            <w:rStyle w:val="Hyperlink"/>
            <w:rFonts w:ascii="Calibri" w:hAnsi="Calibri"/>
            <w:bCs/>
            <w:smallCaps/>
            <w:webHidden/>
          </w:rPr>
          <w:fldChar w:fldCharType="end"/>
        </w:r>
      </w:hyperlink>
    </w:p>
    <w:p w14:paraId="52571040" w14:textId="45756AB5" w:rsidR="001C4F48" w:rsidRPr="000B217C" w:rsidRDefault="00520B46" w:rsidP="00C25A46">
      <w:pPr>
        <w:pStyle w:val="TableofFigures"/>
        <w:tabs>
          <w:tab w:val="right" w:leader="dot" w:pos="9350"/>
        </w:tabs>
        <w:rPr>
          <w:rStyle w:val="Hyperlink"/>
          <w:rFonts w:asciiTheme="minorHAnsi" w:hAnsiTheme="minorHAnsi" w:cs="Times New Roman"/>
          <w:noProof/>
          <w:color w:val="auto"/>
          <w:sz w:val="22"/>
        </w:rPr>
      </w:pPr>
      <w:r w:rsidRPr="00E12F57">
        <w:rPr>
          <w:rStyle w:val="Hyperlink"/>
          <w:rFonts w:ascii="Calibri" w:hAnsi="Calibri"/>
          <w:bCs/>
          <w:smallCaps/>
          <w:noProof/>
        </w:rPr>
        <w:fldChar w:fldCharType="end"/>
      </w:r>
    </w:p>
    <w:p w14:paraId="56BD960E" w14:textId="77777777" w:rsidR="001675C6" w:rsidRDefault="001C4F48">
      <w:pPr>
        <w:pStyle w:val="TableofFigures"/>
        <w:tabs>
          <w:tab w:val="right" w:leader="dot" w:pos="9350"/>
        </w:tabs>
        <w:rPr>
          <w:b/>
        </w:rPr>
      </w:pPr>
      <w:r w:rsidRPr="000B217C">
        <w:rPr>
          <w:b/>
        </w:rPr>
        <w:t>Maps:</w:t>
      </w:r>
    </w:p>
    <w:p w14:paraId="43A39531" w14:textId="20008100" w:rsidR="007A730A" w:rsidRPr="00E12F57" w:rsidRDefault="00520B46">
      <w:pPr>
        <w:pStyle w:val="TableofFigures"/>
        <w:tabs>
          <w:tab w:val="right" w:leader="dot" w:pos="9350"/>
        </w:tabs>
        <w:rPr>
          <w:rStyle w:val="Hyperlink"/>
          <w:rFonts w:ascii="Calibri" w:hAnsi="Calibri"/>
          <w:bCs/>
          <w:smallCaps/>
        </w:rPr>
      </w:pPr>
      <w:r w:rsidRPr="00E12F57">
        <w:rPr>
          <w:rStyle w:val="Hyperlink"/>
          <w:rFonts w:ascii="Calibri" w:hAnsi="Calibri"/>
          <w:bCs/>
          <w:smallCaps/>
          <w:noProof/>
        </w:rPr>
        <w:fldChar w:fldCharType="begin"/>
      </w:r>
      <w:r w:rsidR="001C4F48" w:rsidRPr="00E12F57">
        <w:rPr>
          <w:rStyle w:val="Hyperlink"/>
          <w:rFonts w:ascii="Calibri" w:hAnsi="Calibri"/>
          <w:bCs/>
          <w:smallCaps/>
          <w:noProof/>
        </w:rPr>
        <w:instrText xml:space="preserve"> TOC \h \z \c "Map" </w:instrText>
      </w:r>
      <w:r w:rsidRPr="00E12F57">
        <w:rPr>
          <w:rStyle w:val="Hyperlink"/>
          <w:rFonts w:ascii="Calibri" w:hAnsi="Calibri"/>
          <w:bCs/>
          <w:smallCaps/>
          <w:noProof/>
        </w:rPr>
        <w:fldChar w:fldCharType="separate"/>
      </w:r>
      <w:hyperlink w:anchor="_Toc485377021" w:history="1">
        <w:r w:rsidR="007A730A" w:rsidRPr="00E12F57">
          <w:rPr>
            <w:rStyle w:val="Hyperlink"/>
            <w:rFonts w:ascii="Calibri" w:hAnsi="Calibri"/>
            <w:bCs/>
            <w:smallCaps/>
            <w:noProof/>
          </w:rPr>
          <w:t>Map 1: The West African transport network and future capacity</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_Toc485377021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18</w:t>
        </w:r>
        <w:r w:rsidR="007A730A" w:rsidRPr="00E12F57">
          <w:rPr>
            <w:rStyle w:val="Hyperlink"/>
            <w:rFonts w:ascii="Calibri" w:hAnsi="Calibri"/>
            <w:bCs/>
            <w:smallCaps/>
            <w:webHidden/>
          </w:rPr>
          <w:fldChar w:fldCharType="end"/>
        </w:r>
      </w:hyperlink>
    </w:p>
    <w:p w14:paraId="759F4959" w14:textId="1334E45D" w:rsidR="007A730A" w:rsidRPr="00E12F57" w:rsidRDefault="00A15383">
      <w:pPr>
        <w:pStyle w:val="TableofFigures"/>
        <w:tabs>
          <w:tab w:val="right" w:leader="dot" w:pos="9350"/>
        </w:tabs>
        <w:rPr>
          <w:rStyle w:val="Hyperlink"/>
          <w:rFonts w:ascii="Calibri" w:hAnsi="Calibri"/>
          <w:bCs/>
          <w:smallCaps/>
        </w:rPr>
      </w:pPr>
      <w:hyperlink w:anchor="_Toc485377022" w:history="1">
        <w:r w:rsidR="007A730A" w:rsidRPr="00E12F57">
          <w:rPr>
            <w:rStyle w:val="Hyperlink"/>
            <w:rFonts w:ascii="Calibri" w:hAnsi="Calibri"/>
            <w:bCs/>
            <w:smallCaps/>
            <w:noProof/>
          </w:rPr>
          <w:t>Map 2: West Africa Container Terminal Operators</w:t>
        </w:r>
        <w:r w:rsidR="007A730A" w:rsidRPr="00E12F57">
          <w:rPr>
            <w:rStyle w:val="Hyperlink"/>
            <w:rFonts w:ascii="Calibri" w:hAnsi="Calibri"/>
            <w:bCs/>
            <w:smallCaps/>
            <w:webHidden/>
          </w:rPr>
          <w:tab/>
        </w:r>
        <w:r w:rsidR="007A730A" w:rsidRPr="00E12F57">
          <w:rPr>
            <w:rStyle w:val="Hyperlink"/>
            <w:rFonts w:ascii="Calibri" w:hAnsi="Calibri"/>
            <w:bCs/>
            <w:smallCaps/>
            <w:webHidden/>
          </w:rPr>
          <w:fldChar w:fldCharType="begin"/>
        </w:r>
        <w:r w:rsidR="007A730A" w:rsidRPr="00E12F57">
          <w:rPr>
            <w:rStyle w:val="Hyperlink"/>
            <w:rFonts w:ascii="Calibri" w:hAnsi="Calibri"/>
            <w:bCs/>
            <w:smallCaps/>
            <w:webHidden/>
          </w:rPr>
          <w:instrText xml:space="preserve"> PAGEREF _Toc485377022 \h </w:instrText>
        </w:r>
        <w:r w:rsidR="007A730A" w:rsidRPr="00E12F57">
          <w:rPr>
            <w:rStyle w:val="Hyperlink"/>
            <w:rFonts w:ascii="Calibri" w:hAnsi="Calibri"/>
            <w:bCs/>
            <w:smallCaps/>
            <w:webHidden/>
          </w:rPr>
        </w:r>
        <w:r w:rsidR="007A730A" w:rsidRPr="00E12F57">
          <w:rPr>
            <w:rStyle w:val="Hyperlink"/>
            <w:rFonts w:ascii="Calibri" w:hAnsi="Calibri"/>
            <w:bCs/>
            <w:smallCaps/>
            <w:webHidden/>
          </w:rPr>
          <w:fldChar w:fldCharType="separate"/>
        </w:r>
        <w:r w:rsidR="00212D01">
          <w:rPr>
            <w:rStyle w:val="Hyperlink"/>
            <w:rFonts w:ascii="Calibri" w:hAnsi="Calibri"/>
            <w:bCs/>
            <w:smallCaps/>
            <w:noProof/>
            <w:webHidden/>
          </w:rPr>
          <w:t>47</w:t>
        </w:r>
        <w:r w:rsidR="007A730A" w:rsidRPr="00E12F57">
          <w:rPr>
            <w:rStyle w:val="Hyperlink"/>
            <w:rFonts w:ascii="Calibri" w:hAnsi="Calibri"/>
            <w:bCs/>
            <w:smallCaps/>
            <w:webHidden/>
          </w:rPr>
          <w:fldChar w:fldCharType="end"/>
        </w:r>
      </w:hyperlink>
    </w:p>
    <w:p w14:paraId="13697BBC" w14:textId="40A2E121" w:rsidR="00ED4B11" w:rsidRPr="00E12F57" w:rsidRDefault="00520B46" w:rsidP="00230B08">
      <w:pPr>
        <w:pStyle w:val="TableofFigures"/>
        <w:tabs>
          <w:tab w:val="right" w:leader="dot" w:pos="9350"/>
        </w:tabs>
        <w:rPr>
          <w:rStyle w:val="Hyperlink"/>
          <w:bCs/>
          <w:smallCaps/>
          <w:noProof/>
        </w:rPr>
      </w:pPr>
      <w:r w:rsidRPr="00E12F57">
        <w:rPr>
          <w:rStyle w:val="Hyperlink"/>
          <w:rFonts w:ascii="Calibri" w:hAnsi="Calibri"/>
          <w:bCs/>
          <w:smallCaps/>
          <w:noProof/>
        </w:rPr>
        <w:fldChar w:fldCharType="end"/>
      </w:r>
    </w:p>
    <w:p w14:paraId="50BC9C42" w14:textId="77777777" w:rsidR="00A00CF4" w:rsidRDefault="00A00CF4" w:rsidP="00ED4B11">
      <w:pPr>
        <w:rPr>
          <w:rFonts w:ascii="Calibri" w:hAnsi="Calibri"/>
          <w:sz w:val="20"/>
        </w:rPr>
      </w:pPr>
    </w:p>
    <w:p w14:paraId="641C2148" w14:textId="77777777" w:rsidR="000B217C" w:rsidRDefault="000B217C" w:rsidP="00ED4B11">
      <w:pPr>
        <w:rPr>
          <w:rFonts w:ascii="Calibri" w:hAnsi="Calibri"/>
          <w:sz w:val="20"/>
        </w:rPr>
      </w:pPr>
    </w:p>
    <w:p w14:paraId="2635AAF6" w14:textId="77777777" w:rsidR="000B217C" w:rsidRPr="004B2A73" w:rsidRDefault="000B217C" w:rsidP="00ED4B11">
      <w:pPr>
        <w:rPr>
          <w:rFonts w:ascii="Calibri" w:hAnsi="Calibri"/>
          <w:sz w:val="20"/>
        </w:rPr>
        <w:sectPr w:rsidR="000B217C" w:rsidRPr="004B2A73" w:rsidSect="00446589">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348F2C90" w14:textId="65338F21" w:rsidR="007A730A" w:rsidRDefault="00CA7E8A" w:rsidP="00385010">
      <w:pPr>
        <w:pStyle w:val="Heading1"/>
        <w:numPr>
          <w:ilvl w:val="0"/>
          <w:numId w:val="0"/>
        </w:numPr>
        <w:rPr>
          <w:sz w:val="32"/>
          <w:szCs w:val="32"/>
        </w:rPr>
      </w:pPr>
      <w:bookmarkStart w:id="5" w:name="_Toc485381985"/>
      <w:r w:rsidRPr="00B04B93">
        <w:rPr>
          <w:sz w:val="32"/>
          <w:szCs w:val="32"/>
        </w:rPr>
        <w:lastRenderedPageBreak/>
        <w:t xml:space="preserve">Executive </w:t>
      </w:r>
      <w:r w:rsidR="00470806" w:rsidRPr="00B04B93">
        <w:rPr>
          <w:sz w:val="32"/>
          <w:szCs w:val="32"/>
        </w:rPr>
        <w:t>S</w:t>
      </w:r>
      <w:r w:rsidRPr="00B04B93">
        <w:rPr>
          <w:sz w:val="32"/>
          <w:szCs w:val="32"/>
        </w:rPr>
        <w:t>ummary</w:t>
      </w:r>
      <w:bookmarkEnd w:id="5"/>
    </w:p>
    <w:p w14:paraId="0606CC78" w14:textId="77777777" w:rsidR="00385010" w:rsidRPr="00385010" w:rsidRDefault="00385010" w:rsidP="00385010">
      <w:pPr>
        <w:rPr>
          <w:sz w:val="2"/>
          <w:szCs w:val="2"/>
        </w:rPr>
      </w:pPr>
    </w:p>
    <w:p w14:paraId="6622C183" w14:textId="26FE71F6" w:rsidR="006A2194" w:rsidRPr="006A2194" w:rsidRDefault="006A2194" w:rsidP="006A2194">
      <w:pPr>
        <w:rPr>
          <w:rFonts w:ascii="Calibri" w:hAnsi="Calibri"/>
          <w:b/>
        </w:rPr>
      </w:pPr>
      <w:r w:rsidRPr="00E50053">
        <w:rPr>
          <w:rFonts w:ascii="Calibri" w:hAnsi="Calibri"/>
          <w:b/>
        </w:rPr>
        <w:t>A – Objective of the Study</w:t>
      </w:r>
    </w:p>
    <w:p w14:paraId="5E66B713" w14:textId="360D79BB" w:rsidR="006A2194" w:rsidRPr="00842A41" w:rsidRDefault="00385010" w:rsidP="00E826B9">
      <w:pPr>
        <w:pStyle w:val="ListParagraph"/>
        <w:numPr>
          <w:ilvl w:val="0"/>
          <w:numId w:val="8"/>
        </w:numPr>
        <w:ind w:left="0" w:firstLine="0"/>
        <w:jc w:val="both"/>
        <w:rPr>
          <w:rFonts w:ascii="Calibri" w:hAnsi="Calibri"/>
          <w:sz w:val="24"/>
          <w:szCs w:val="24"/>
        </w:rPr>
      </w:pPr>
      <w:r w:rsidRPr="00336500">
        <w:rPr>
          <w:rFonts w:ascii="Calibri" w:hAnsi="Calibri"/>
          <w:b/>
          <w:sz w:val="24"/>
          <w:szCs w:val="24"/>
        </w:rPr>
        <w:t xml:space="preserve">This report </w:t>
      </w:r>
      <w:r>
        <w:rPr>
          <w:rFonts w:ascii="Calibri" w:hAnsi="Calibri"/>
          <w:b/>
          <w:sz w:val="24"/>
          <w:szCs w:val="24"/>
        </w:rPr>
        <w:t xml:space="preserve">is </w:t>
      </w:r>
      <w:r w:rsidRPr="00336500">
        <w:rPr>
          <w:rFonts w:ascii="Calibri" w:hAnsi="Calibri"/>
          <w:b/>
          <w:sz w:val="24"/>
          <w:szCs w:val="24"/>
        </w:rPr>
        <w:t>an assessment of the current private sector engagement (concessions) in container terminals and West Africa ports market, followed by the key lessons learned from this experience and recommendations for the way forward</w:t>
      </w:r>
      <w:r w:rsidRPr="00084EFD">
        <w:rPr>
          <w:rFonts w:ascii="Calibri" w:hAnsi="Calibri"/>
          <w:sz w:val="24"/>
          <w:szCs w:val="24"/>
        </w:rPr>
        <w:t xml:space="preserve">. As is observed worldwide, ports constitute key </w:t>
      </w:r>
      <w:r>
        <w:rPr>
          <w:rFonts w:ascii="Calibri" w:hAnsi="Calibri"/>
          <w:sz w:val="24"/>
          <w:szCs w:val="24"/>
        </w:rPr>
        <w:t xml:space="preserve">critical </w:t>
      </w:r>
      <w:r w:rsidRPr="00084EFD">
        <w:rPr>
          <w:rFonts w:ascii="Calibri" w:hAnsi="Calibri"/>
          <w:sz w:val="24"/>
          <w:szCs w:val="24"/>
        </w:rPr>
        <w:t>nodes of logistic chains in West Africa where overall logistics cost are among the highest in the world</w:t>
      </w:r>
      <w:r>
        <w:rPr>
          <w:rFonts w:ascii="Calibri" w:hAnsi="Calibri"/>
          <w:sz w:val="24"/>
          <w:szCs w:val="24"/>
          <w:lang w:val="en-GB"/>
        </w:rPr>
        <w:t>;</w:t>
      </w:r>
      <w:r w:rsidRPr="00084EFD">
        <w:rPr>
          <w:rFonts w:ascii="Calibri" w:hAnsi="Calibri"/>
          <w:sz w:val="24"/>
          <w:szCs w:val="24"/>
          <w:lang w:val="en-GB"/>
        </w:rPr>
        <w:t xml:space="preserve"> ports</w:t>
      </w:r>
      <w:r>
        <w:rPr>
          <w:rFonts w:ascii="Calibri" w:hAnsi="Calibri"/>
          <w:sz w:val="24"/>
          <w:szCs w:val="24"/>
          <w:lang w:val="en-GB"/>
        </w:rPr>
        <w:t xml:space="preserve"> and road transport</w:t>
      </w:r>
      <w:r w:rsidRPr="00084EFD">
        <w:rPr>
          <w:rFonts w:ascii="Calibri" w:hAnsi="Calibri"/>
          <w:sz w:val="24"/>
          <w:szCs w:val="24"/>
          <w:lang w:val="en-GB"/>
        </w:rPr>
        <w:t xml:space="preserve"> </w:t>
      </w:r>
      <w:r>
        <w:rPr>
          <w:rFonts w:ascii="Calibri" w:hAnsi="Calibri"/>
          <w:sz w:val="24"/>
          <w:szCs w:val="24"/>
          <w:lang w:val="en-GB"/>
        </w:rPr>
        <w:t xml:space="preserve">services </w:t>
      </w:r>
      <w:r w:rsidRPr="00084EFD">
        <w:rPr>
          <w:rFonts w:ascii="Calibri" w:hAnsi="Calibri"/>
          <w:sz w:val="24"/>
          <w:szCs w:val="24"/>
          <w:lang w:val="en-GB"/>
        </w:rPr>
        <w:t xml:space="preserve">being the main contributors </w:t>
      </w:r>
      <w:r w:rsidRPr="002B0449">
        <w:rPr>
          <w:sz w:val="24"/>
          <w:szCs w:val="24"/>
          <w:lang w:val="en-GB"/>
        </w:rPr>
        <w:t xml:space="preserve">in terms of time and cost components. </w:t>
      </w:r>
      <w:r>
        <w:rPr>
          <w:sz w:val="24"/>
          <w:szCs w:val="24"/>
          <w:lang w:val="en-GB"/>
        </w:rPr>
        <w:t xml:space="preserve">While inland logistics is critical in the performance of the whole transportation chain, the present report focuses on the port side of the chain. </w:t>
      </w:r>
      <w:r w:rsidRPr="002B0449">
        <w:rPr>
          <w:rFonts w:eastAsia="Times New Roman" w:cs="Times New Roman"/>
          <w:sz w:val="24"/>
          <w:szCs w:val="24"/>
        </w:rPr>
        <w:t>Port</w:t>
      </w:r>
      <w:r>
        <w:rPr>
          <w:rFonts w:eastAsia="Times New Roman" w:cs="Times New Roman"/>
          <w:sz w:val="24"/>
          <w:szCs w:val="24"/>
        </w:rPr>
        <w:t xml:space="preserve">s’ positive impact on economic growth is generally significant and </w:t>
      </w:r>
      <w:r w:rsidRPr="002B0449">
        <w:rPr>
          <w:rFonts w:eastAsia="Times New Roman" w:cs="Times New Roman"/>
          <w:sz w:val="24"/>
          <w:szCs w:val="24"/>
        </w:rPr>
        <w:t>mostly relies on high value-added and employment level generated by the port</w:t>
      </w:r>
      <w:r>
        <w:rPr>
          <w:rFonts w:eastAsia="Times New Roman" w:cs="Times New Roman"/>
          <w:sz w:val="24"/>
          <w:szCs w:val="24"/>
        </w:rPr>
        <w:t>s activities</w:t>
      </w:r>
      <w:r w:rsidRPr="002B0449">
        <w:rPr>
          <w:rFonts w:eastAsia="Times New Roman" w:cs="Times New Roman"/>
          <w:sz w:val="24"/>
          <w:szCs w:val="24"/>
        </w:rPr>
        <w:t xml:space="preserve">. </w:t>
      </w:r>
      <w:r>
        <w:rPr>
          <w:rFonts w:eastAsia="Times New Roman" w:cs="Times New Roman"/>
          <w:sz w:val="24"/>
          <w:szCs w:val="24"/>
        </w:rPr>
        <w:t xml:space="preserve">While ports generally have a positive impact on economic growth, they also generate </w:t>
      </w:r>
      <w:r w:rsidRPr="002B0449">
        <w:rPr>
          <w:rFonts w:eastAsia="Times New Roman" w:cs="Times New Roman"/>
          <w:sz w:val="24"/>
          <w:szCs w:val="24"/>
        </w:rPr>
        <w:t xml:space="preserve">negative externalities </w:t>
      </w:r>
      <w:r>
        <w:rPr>
          <w:rFonts w:eastAsia="Times New Roman" w:cs="Times New Roman"/>
          <w:sz w:val="24"/>
          <w:szCs w:val="24"/>
        </w:rPr>
        <w:t>such as greenhouse gas emissions,</w:t>
      </w:r>
      <w:r w:rsidRPr="002B0449">
        <w:rPr>
          <w:rFonts w:eastAsia="Times New Roman" w:cs="Times New Roman"/>
          <w:sz w:val="24"/>
          <w:szCs w:val="24"/>
        </w:rPr>
        <w:t xml:space="preserve"> pollution</w:t>
      </w:r>
      <w:r>
        <w:rPr>
          <w:rFonts w:eastAsia="Times New Roman" w:cs="Times New Roman"/>
          <w:sz w:val="24"/>
          <w:szCs w:val="24"/>
        </w:rPr>
        <w:t xml:space="preserve"> and traffic congestion</w:t>
      </w:r>
      <w:r w:rsidRPr="002B0449">
        <w:rPr>
          <w:rFonts w:eastAsia="Times New Roman" w:cs="Times New Roman"/>
          <w:sz w:val="24"/>
          <w:szCs w:val="24"/>
        </w:rPr>
        <w:t>.</w:t>
      </w:r>
      <w:r>
        <w:rPr>
          <w:rFonts w:eastAsia="Times New Roman" w:cs="Times New Roman"/>
          <w:sz w:val="24"/>
          <w:szCs w:val="24"/>
        </w:rPr>
        <w:t xml:space="preserve"> </w:t>
      </w:r>
      <w:r w:rsidR="006A2194" w:rsidRPr="00842A41">
        <w:rPr>
          <w:rFonts w:ascii="Calibri" w:hAnsi="Calibri"/>
          <w:sz w:val="24"/>
          <w:szCs w:val="24"/>
        </w:rPr>
        <w:t xml:space="preserve">The </w:t>
      </w:r>
      <w:r w:rsidR="006A2194">
        <w:rPr>
          <w:rFonts w:ascii="Calibri" w:hAnsi="Calibri"/>
          <w:sz w:val="24"/>
          <w:szCs w:val="24"/>
        </w:rPr>
        <w:t xml:space="preserve">Report </w:t>
      </w:r>
      <w:r w:rsidR="006A2194" w:rsidRPr="00842A41">
        <w:rPr>
          <w:rFonts w:ascii="Calibri" w:hAnsi="Calibri"/>
          <w:sz w:val="24"/>
          <w:szCs w:val="24"/>
        </w:rPr>
        <w:t xml:space="preserve">offers recommendations on how to address identified weaknesses of ongoing </w:t>
      </w:r>
      <w:r w:rsidR="008749BD">
        <w:rPr>
          <w:rFonts w:ascii="Calibri" w:hAnsi="Calibri"/>
          <w:sz w:val="24"/>
          <w:szCs w:val="24"/>
        </w:rPr>
        <w:t xml:space="preserve">concession </w:t>
      </w:r>
      <w:r w:rsidR="006A2194" w:rsidRPr="00842A41">
        <w:rPr>
          <w:rFonts w:ascii="Calibri" w:hAnsi="Calibri"/>
          <w:sz w:val="24"/>
          <w:szCs w:val="24"/>
        </w:rPr>
        <w:t xml:space="preserve">contracts and improve the outcomes of the </w:t>
      </w:r>
      <w:r w:rsidR="006A2194">
        <w:rPr>
          <w:rFonts w:ascii="Calibri" w:hAnsi="Calibri"/>
          <w:sz w:val="24"/>
          <w:szCs w:val="24"/>
        </w:rPr>
        <w:t xml:space="preserve">next </w:t>
      </w:r>
      <w:r w:rsidR="006A2194" w:rsidRPr="00842A41">
        <w:rPr>
          <w:rFonts w:ascii="Calibri" w:hAnsi="Calibri"/>
          <w:sz w:val="24"/>
          <w:szCs w:val="24"/>
        </w:rPr>
        <w:t xml:space="preserve">“second generation” wave of container terminal concessions. </w:t>
      </w:r>
    </w:p>
    <w:p w14:paraId="4E6CBF93" w14:textId="54D5BD81" w:rsidR="006A2194" w:rsidRPr="006A2194" w:rsidRDefault="006A2194" w:rsidP="006A2194">
      <w:pPr>
        <w:rPr>
          <w:rFonts w:ascii="Calibri" w:hAnsi="Calibri"/>
          <w:b/>
        </w:rPr>
      </w:pPr>
      <w:r w:rsidRPr="00E50053">
        <w:rPr>
          <w:rFonts w:ascii="Calibri" w:hAnsi="Calibri"/>
          <w:b/>
        </w:rPr>
        <w:t>B – Key Findings</w:t>
      </w:r>
    </w:p>
    <w:p w14:paraId="3CFE4A29" w14:textId="3B3BDE00" w:rsidR="006A2194" w:rsidRDefault="006A2194" w:rsidP="00E826B9">
      <w:pPr>
        <w:pStyle w:val="ListParagraph"/>
        <w:numPr>
          <w:ilvl w:val="0"/>
          <w:numId w:val="8"/>
        </w:numPr>
        <w:spacing w:after="240" w:line="22" w:lineRule="atLeast"/>
        <w:ind w:left="0" w:firstLine="0"/>
        <w:jc w:val="both"/>
        <w:rPr>
          <w:rFonts w:ascii="Calibri" w:hAnsi="Calibri"/>
          <w:sz w:val="24"/>
          <w:szCs w:val="24"/>
        </w:rPr>
      </w:pPr>
      <w:r w:rsidRPr="008464B0">
        <w:rPr>
          <w:rFonts w:ascii="Calibri" w:hAnsi="Calibri"/>
          <w:b/>
          <w:sz w:val="24"/>
          <w:szCs w:val="24"/>
        </w:rPr>
        <w:t>The West African port landscape has evolved rapidly since the turn of the century despite a slow start in adjusting to the requirements of modern liner shipping and containerized trade.</w:t>
      </w:r>
      <w:r w:rsidRPr="008464B0">
        <w:rPr>
          <w:rFonts w:ascii="Calibri" w:hAnsi="Calibri"/>
          <w:sz w:val="24"/>
          <w:szCs w:val="24"/>
        </w:rPr>
        <w:t xml:space="preserve"> Ports have always played an essential role in this highly trade-dependent region and have long suffered </w:t>
      </w:r>
      <w:r w:rsidR="008749BD">
        <w:rPr>
          <w:rFonts w:ascii="Calibri" w:hAnsi="Calibri"/>
          <w:sz w:val="24"/>
          <w:szCs w:val="24"/>
        </w:rPr>
        <w:t xml:space="preserve">from </w:t>
      </w:r>
      <w:r w:rsidRPr="008464B0">
        <w:rPr>
          <w:rFonts w:ascii="Calibri" w:hAnsi="Calibri"/>
          <w:sz w:val="24"/>
          <w:szCs w:val="24"/>
        </w:rPr>
        <w:t>decrepit infrastructure and poor</w:t>
      </w:r>
      <w:r w:rsidR="008749BD">
        <w:rPr>
          <w:rFonts w:ascii="Calibri" w:hAnsi="Calibri"/>
          <w:sz w:val="24"/>
          <w:szCs w:val="24"/>
        </w:rPr>
        <w:t>ly</w:t>
      </w:r>
      <w:r w:rsidRPr="008464B0">
        <w:rPr>
          <w:rFonts w:ascii="Calibri" w:hAnsi="Calibri"/>
          <w:sz w:val="24"/>
          <w:szCs w:val="24"/>
        </w:rPr>
        <w:t xml:space="preserve"> </w:t>
      </w:r>
      <w:r w:rsidR="008749BD">
        <w:rPr>
          <w:rFonts w:ascii="Calibri" w:hAnsi="Calibri"/>
          <w:sz w:val="24"/>
          <w:szCs w:val="24"/>
        </w:rPr>
        <w:t xml:space="preserve">performing public </w:t>
      </w:r>
      <w:r w:rsidRPr="008464B0">
        <w:rPr>
          <w:rFonts w:ascii="Calibri" w:hAnsi="Calibri"/>
          <w:sz w:val="24"/>
          <w:szCs w:val="24"/>
        </w:rPr>
        <w:t xml:space="preserve">management. While there are still wide disparities in terms of throughput volumes and capacity, </w:t>
      </w:r>
      <w:r w:rsidR="008749BD">
        <w:rPr>
          <w:rFonts w:ascii="Calibri" w:hAnsi="Calibri"/>
          <w:sz w:val="24"/>
          <w:szCs w:val="24"/>
        </w:rPr>
        <w:t xml:space="preserve">port </w:t>
      </w:r>
      <w:r w:rsidRPr="008464B0">
        <w:rPr>
          <w:rFonts w:ascii="Calibri" w:hAnsi="Calibri"/>
          <w:sz w:val="24"/>
          <w:szCs w:val="24"/>
        </w:rPr>
        <w:t xml:space="preserve">traffic has been growing rapidly in most countries over the last decade. Overall, total throughput in West Africa has grown from around 105 million tons in 2006 to 165 million tons in 2012. Likewise, containerized traffic remains comparatively limited in West Africa but has grown faster than in any other region in the world over the last five years. The combined throughput of container terminals in the region reached almost 5 million twenty-foot equivalent units (TEUs) in 2013, twice as much as a decade </w:t>
      </w:r>
      <w:r w:rsidRPr="00BA5A8A">
        <w:rPr>
          <w:rFonts w:ascii="Calibri" w:hAnsi="Calibri"/>
          <w:sz w:val="24"/>
          <w:szCs w:val="24"/>
        </w:rPr>
        <w:t xml:space="preserve">ago. </w:t>
      </w:r>
      <w:r w:rsidR="00E27002">
        <w:rPr>
          <w:rFonts w:ascii="Calibri" w:hAnsi="Calibri"/>
          <w:sz w:val="24"/>
          <w:szCs w:val="24"/>
        </w:rPr>
        <w:t>The</w:t>
      </w:r>
      <w:r w:rsidRPr="00BA5A8A">
        <w:rPr>
          <w:rFonts w:ascii="Calibri" w:hAnsi="Calibri"/>
          <w:sz w:val="24"/>
          <w:szCs w:val="24"/>
        </w:rPr>
        <w:t xml:space="preserve"> latest macroeconomic forecast for the region from both the World Bank and the IMF (</w:t>
      </w:r>
      <w:r w:rsidR="00E27002">
        <w:rPr>
          <w:rFonts w:ascii="Calibri" w:hAnsi="Calibri"/>
          <w:sz w:val="24"/>
          <w:szCs w:val="24"/>
        </w:rPr>
        <w:t xml:space="preserve">World Economic Outlook dataset October </w:t>
      </w:r>
      <w:r w:rsidRPr="00BA5A8A">
        <w:rPr>
          <w:rFonts w:ascii="Calibri" w:hAnsi="Calibri"/>
          <w:sz w:val="24"/>
          <w:szCs w:val="24"/>
        </w:rPr>
        <w:t xml:space="preserve">2016), especially for Nigeria which is highly dependent of oil and gas international market prices, </w:t>
      </w:r>
      <w:r w:rsidR="00E27002">
        <w:rPr>
          <w:rFonts w:ascii="Calibri" w:hAnsi="Calibri"/>
          <w:sz w:val="24"/>
          <w:szCs w:val="24"/>
        </w:rPr>
        <w:t xml:space="preserve">shows a break in this growth path, </w:t>
      </w:r>
      <w:r w:rsidR="00A835B9">
        <w:rPr>
          <w:rFonts w:ascii="Calibri" w:hAnsi="Calibri"/>
          <w:sz w:val="24"/>
          <w:szCs w:val="24"/>
        </w:rPr>
        <w:t xml:space="preserve">with a contraction of </w:t>
      </w:r>
      <w:r w:rsidR="001E2CC6">
        <w:rPr>
          <w:rFonts w:ascii="Calibri" w:hAnsi="Calibri"/>
          <w:sz w:val="24"/>
          <w:szCs w:val="24"/>
        </w:rPr>
        <w:t>the ECOWAS countries GDP of 11.9</w:t>
      </w:r>
      <w:r w:rsidR="00A835B9">
        <w:rPr>
          <w:rFonts w:ascii="Calibri" w:hAnsi="Calibri"/>
          <w:sz w:val="24"/>
          <w:szCs w:val="24"/>
        </w:rPr>
        <w:t xml:space="preserve">% in 2015, and a return to growth for the period 2017-2020, but at a weaker rate of 6.3% (comparing to 13.2% for the period 2006-2011). Container traffic, which follows closely GDP growth, is therefore expected to </w:t>
      </w:r>
      <w:r w:rsidR="00F51FCE">
        <w:rPr>
          <w:rFonts w:ascii="Calibri" w:hAnsi="Calibri"/>
          <w:sz w:val="24"/>
          <w:szCs w:val="24"/>
        </w:rPr>
        <w:t>resume its growth after a small</w:t>
      </w:r>
      <w:r w:rsidR="00047D7C">
        <w:rPr>
          <w:rFonts w:ascii="Calibri" w:hAnsi="Calibri"/>
          <w:sz w:val="24"/>
          <w:szCs w:val="24"/>
        </w:rPr>
        <w:t xml:space="preserve"> contraction in 2015</w:t>
      </w:r>
      <w:r w:rsidR="00A835B9">
        <w:rPr>
          <w:rFonts w:ascii="Calibri" w:hAnsi="Calibri"/>
          <w:sz w:val="24"/>
          <w:szCs w:val="24"/>
        </w:rPr>
        <w:t xml:space="preserve">, but at an equally reduced rate. </w:t>
      </w:r>
    </w:p>
    <w:p w14:paraId="5AD44A9D" w14:textId="77777777" w:rsidR="006A2194" w:rsidRDefault="006A2194" w:rsidP="006A2194">
      <w:pPr>
        <w:pStyle w:val="ListParagraph"/>
        <w:spacing w:after="240" w:line="22" w:lineRule="atLeast"/>
        <w:ind w:left="0"/>
        <w:jc w:val="both"/>
        <w:rPr>
          <w:rFonts w:ascii="Calibri" w:hAnsi="Calibri"/>
          <w:sz w:val="24"/>
          <w:szCs w:val="24"/>
        </w:rPr>
      </w:pPr>
    </w:p>
    <w:p w14:paraId="026FE5FC" w14:textId="09737FBA" w:rsidR="006A2194" w:rsidRPr="008464B0" w:rsidRDefault="006A2194" w:rsidP="00E826B9">
      <w:pPr>
        <w:pStyle w:val="ListParagraph"/>
        <w:numPr>
          <w:ilvl w:val="0"/>
          <w:numId w:val="8"/>
        </w:numPr>
        <w:spacing w:after="240" w:line="22" w:lineRule="atLeast"/>
        <w:ind w:left="0" w:firstLine="0"/>
        <w:jc w:val="both"/>
        <w:rPr>
          <w:rFonts w:ascii="Calibri" w:hAnsi="Calibri"/>
          <w:sz w:val="24"/>
          <w:szCs w:val="24"/>
        </w:rPr>
      </w:pPr>
      <w:r w:rsidRPr="008464B0">
        <w:rPr>
          <w:rFonts w:ascii="Calibri" w:hAnsi="Calibri"/>
          <w:b/>
          <w:sz w:val="24"/>
        </w:rPr>
        <w:t>The spread of container terminal concessions over the last d</w:t>
      </w:r>
      <w:r w:rsidR="00385010">
        <w:rPr>
          <w:rFonts w:ascii="Calibri" w:hAnsi="Calibri"/>
          <w:b/>
          <w:sz w:val="24"/>
        </w:rPr>
        <w:t>ecade has arguably been a major</w:t>
      </w:r>
      <w:r w:rsidRPr="008464B0">
        <w:rPr>
          <w:rFonts w:ascii="Calibri" w:hAnsi="Calibri"/>
          <w:b/>
          <w:sz w:val="24"/>
        </w:rPr>
        <w:t xml:space="preserve"> transformative change for West African ports. </w:t>
      </w:r>
      <w:r w:rsidRPr="008464B0">
        <w:rPr>
          <w:rFonts w:ascii="Calibri" w:hAnsi="Calibri"/>
          <w:sz w:val="24"/>
        </w:rPr>
        <w:t>By the early 2000s,</w:t>
      </w:r>
      <w:r>
        <w:rPr>
          <w:rFonts w:ascii="Calibri" w:hAnsi="Calibri"/>
          <w:sz w:val="24"/>
        </w:rPr>
        <w:t xml:space="preserve"> containerization of the West Africa trade was well advanced on the shipping side but</w:t>
      </w:r>
      <w:r w:rsidR="001014A0">
        <w:rPr>
          <w:rFonts w:ascii="Calibri" w:hAnsi="Calibri"/>
          <w:sz w:val="24"/>
        </w:rPr>
        <w:t xml:space="preserve"> ports</w:t>
      </w:r>
      <w:r w:rsidR="009313CF">
        <w:rPr>
          <w:rFonts w:ascii="Calibri" w:hAnsi="Calibri"/>
          <w:sz w:val="24"/>
        </w:rPr>
        <w:t>, mostly public,</w:t>
      </w:r>
      <w:r>
        <w:rPr>
          <w:rFonts w:ascii="Calibri" w:hAnsi="Calibri"/>
          <w:sz w:val="24"/>
        </w:rPr>
        <w:t xml:space="preserve"> were unable to keep up with investments needed to accompany the advances in containerization. It reached a point where the discrepancy between ship and port operations became a binding constraint to </w:t>
      </w:r>
      <w:r>
        <w:rPr>
          <w:rFonts w:ascii="Calibri" w:hAnsi="Calibri"/>
          <w:sz w:val="24"/>
        </w:rPr>
        <w:lastRenderedPageBreak/>
        <w:t>trade competitiveness and growth.</w:t>
      </w:r>
      <w:r w:rsidRPr="008464B0">
        <w:rPr>
          <w:rFonts w:ascii="Calibri" w:hAnsi="Calibri"/>
          <w:sz w:val="24"/>
        </w:rPr>
        <w:t xml:space="preserve"> Despite comparatively low </w:t>
      </w:r>
      <w:r>
        <w:rPr>
          <w:rFonts w:ascii="Calibri" w:hAnsi="Calibri"/>
          <w:sz w:val="24"/>
        </w:rPr>
        <w:t xml:space="preserve">container </w:t>
      </w:r>
      <w:r w:rsidRPr="008464B0">
        <w:rPr>
          <w:rFonts w:ascii="Calibri" w:hAnsi="Calibri"/>
          <w:sz w:val="24"/>
        </w:rPr>
        <w:t xml:space="preserve">traffic, </w:t>
      </w:r>
      <w:r>
        <w:rPr>
          <w:rFonts w:ascii="Calibri" w:hAnsi="Calibri"/>
          <w:sz w:val="24"/>
        </w:rPr>
        <w:t xml:space="preserve">ports could not cope because of low handling productivity caused by inadequate facilities, and </w:t>
      </w:r>
      <w:r w:rsidRPr="008464B0">
        <w:rPr>
          <w:rFonts w:ascii="Calibri" w:hAnsi="Calibri"/>
          <w:sz w:val="24"/>
        </w:rPr>
        <w:t xml:space="preserve">most ports were </w:t>
      </w:r>
      <w:r>
        <w:rPr>
          <w:rFonts w:ascii="Calibri" w:hAnsi="Calibri"/>
          <w:sz w:val="24"/>
        </w:rPr>
        <w:t>heavily congested prompting</w:t>
      </w:r>
      <w:r w:rsidRPr="008464B0">
        <w:rPr>
          <w:rFonts w:ascii="Calibri" w:hAnsi="Calibri"/>
          <w:sz w:val="24"/>
        </w:rPr>
        <w:t xml:space="preserve"> shipping lines </w:t>
      </w:r>
      <w:r>
        <w:rPr>
          <w:rFonts w:ascii="Calibri" w:hAnsi="Calibri"/>
          <w:sz w:val="24"/>
        </w:rPr>
        <w:t>to</w:t>
      </w:r>
      <w:r w:rsidRPr="008464B0">
        <w:rPr>
          <w:rFonts w:ascii="Calibri" w:hAnsi="Calibri"/>
          <w:sz w:val="24"/>
        </w:rPr>
        <w:t xml:space="preserve"> levy </w:t>
      </w:r>
      <w:r>
        <w:rPr>
          <w:rFonts w:ascii="Calibri" w:hAnsi="Calibri"/>
          <w:sz w:val="24"/>
        </w:rPr>
        <w:t xml:space="preserve">penalties in the form of congestion </w:t>
      </w:r>
      <w:r w:rsidRPr="008464B0">
        <w:rPr>
          <w:rFonts w:ascii="Calibri" w:hAnsi="Calibri"/>
          <w:sz w:val="24"/>
        </w:rPr>
        <w:t xml:space="preserve">surcharges. </w:t>
      </w:r>
      <w:r>
        <w:rPr>
          <w:rFonts w:ascii="Calibri" w:hAnsi="Calibri"/>
          <w:sz w:val="24"/>
        </w:rPr>
        <w:t xml:space="preserve">In </w:t>
      </w:r>
      <w:r w:rsidRPr="008464B0">
        <w:rPr>
          <w:rFonts w:ascii="Calibri" w:hAnsi="Calibri"/>
          <w:sz w:val="24"/>
        </w:rPr>
        <w:t xml:space="preserve">the absence of sufficient public resources to invest in container terminal upgrades and improve productivity, concessions to specialized Terminal Operating Companies (TOCs) were seen as “silver bullets” to modernize West African ports, notably through better equipment and management. This followed a global trend started in the 1990s towards increased private sector participation in port operations and investment, and the transition from the public service port to a landlord port model. Between 2003 and 2010, concessions </w:t>
      </w:r>
      <w:r w:rsidR="005F4440">
        <w:rPr>
          <w:rFonts w:ascii="Calibri" w:hAnsi="Calibri"/>
          <w:sz w:val="24"/>
        </w:rPr>
        <w:t xml:space="preserve">transferring mostly </w:t>
      </w:r>
      <w:r w:rsidRPr="008464B0">
        <w:rPr>
          <w:rFonts w:ascii="Calibri" w:hAnsi="Calibri"/>
          <w:sz w:val="24"/>
        </w:rPr>
        <w:t>container terminals</w:t>
      </w:r>
      <w:r w:rsidR="005F4440">
        <w:rPr>
          <w:rFonts w:ascii="Calibri" w:hAnsi="Calibri"/>
          <w:sz w:val="24"/>
        </w:rPr>
        <w:t xml:space="preserve"> operations</w:t>
      </w:r>
      <w:r w:rsidRPr="008464B0">
        <w:rPr>
          <w:rFonts w:ascii="Calibri" w:hAnsi="Calibri"/>
          <w:sz w:val="24"/>
        </w:rPr>
        <w:t xml:space="preserve"> were signed for all major West African ports. This has been followed in recent years by a new wave of concessions for large green field </w:t>
      </w:r>
      <w:r w:rsidR="005F4440">
        <w:rPr>
          <w:rFonts w:ascii="Calibri" w:hAnsi="Calibri"/>
          <w:sz w:val="24"/>
        </w:rPr>
        <w:t xml:space="preserve">port </w:t>
      </w:r>
      <w:r w:rsidRPr="008464B0">
        <w:rPr>
          <w:rFonts w:ascii="Calibri" w:hAnsi="Calibri"/>
          <w:sz w:val="24"/>
        </w:rPr>
        <w:t>projects in several countries in the region.</w:t>
      </w:r>
    </w:p>
    <w:p w14:paraId="19D694EB" w14:textId="77777777" w:rsidR="006A2194" w:rsidRPr="008464B0" w:rsidRDefault="006A2194" w:rsidP="006A2194">
      <w:pPr>
        <w:pStyle w:val="ListParagraph"/>
        <w:spacing w:after="240" w:line="22" w:lineRule="atLeast"/>
        <w:ind w:left="0"/>
        <w:rPr>
          <w:rFonts w:ascii="Calibri" w:hAnsi="Calibri"/>
          <w:sz w:val="24"/>
          <w:szCs w:val="24"/>
        </w:rPr>
      </w:pPr>
    </w:p>
    <w:p w14:paraId="581BC0D5" w14:textId="558018A1" w:rsidR="006A2194" w:rsidRPr="00747FA8" w:rsidRDefault="006A2194" w:rsidP="00E826B9">
      <w:pPr>
        <w:pStyle w:val="ListParagraph"/>
        <w:numPr>
          <w:ilvl w:val="0"/>
          <w:numId w:val="8"/>
        </w:numPr>
        <w:spacing w:after="240" w:line="22" w:lineRule="atLeast"/>
        <w:ind w:left="0" w:firstLine="0"/>
        <w:jc w:val="both"/>
        <w:rPr>
          <w:rFonts w:ascii="Calibri" w:hAnsi="Calibri"/>
          <w:sz w:val="24"/>
          <w:szCs w:val="24"/>
        </w:rPr>
      </w:pPr>
      <w:r w:rsidRPr="008464B0">
        <w:rPr>
          <w:rFonts w:ascii="Calibri" w:hAnsi="Calibri"/>
          <w:b/>
          <w:sz w:val="24"/>
          <w:szCs w:val="24"/>
        </w:rPr>
        <w:t>Concessions have brought about major positive changes.</w:t>
      </w:r>
      <w:r w:rsidRPr="008464B0">
        <w:rPr>
          <w:rFonts w:ascii="Calibri" w:hAnsi="Calibri"/>
          <w:sz w:val="24"/>
          <w:szCs w:val="24"/>
        </w:rPr>
        <w:t xml:space="preserve"> The West African port landscape has changed substantially since the first concessions came into effect</w:t>
      </w:r>
      <w:r>
        <w:rPr>
          <w:rFonts w:ascii="Calibri" w:hAnsi="Calibri"/>
          <w:sz w:val="24"/>
          <w:szCs w:val="24"/>
        </w:rPr>
        <w:t xml:space="preserve"> in 2003</w:t>
      </w:r>
      <w:r w:rsidRPr="008464B0">
        <w:rPr>
          <w:rFonts w:ascii="Calibri" w:hAnsi="Calibri"/>
          <w:sz w:val="24"/>
          <w:szCs w:val="24"/>
        </w:rPr>
        <w:t xml:space="preserve">, and </w:t>
      </w:r>
      <w:r w:rsidR="00BD71DE">
        <w:rPr>
          <w:rFonts w:ascii="Calibri" w:hAnsi="Calibri"/>
          <w:sz w:val="24"/>
          <w:szCs w:val="24"/>
        </w:rPr>
        <w:t>modern</w:t>
      </w:r>
      <w:r w:rsidR="00BD71DE" w:rsidRPr="008464B0">
        <w:rPr>
          <w:rFonts w:ascii="Calibri" w:hAnsi="Calibri"/>
          <w:sz w:val="24"/>
          <w:szCs w:val="24"/>
        </w:rPr>
        <w:t xml:space="preserve"> </w:t>
      </w:r>
      <w:r w:rsidRPr="008464B0">
        <w:rPr>
          <w:rFonts w:ascii="Calibri" w:hAnsi="Calibri"/>
          <w:sz w:val="24"/>
          <w:szCs w:val="24"/>
        </w:rPr>
        <w:t>container terminals now exist in most West African ports.  TOCs have invested in modern handling eq</w:t>
      </w:r>
      <w:r w:rsidR="007C251C">
        <w:rPr>
          <w:rFonts w:ascii="Calibri" w:hAnsi="Calibri"/>
          <w:sz w:val="24"/>
          <w:szCs w:val="24"/>
        </w:rPr>
        <w:t>uipment and revamped facilities</w:t>
      </w:r>
      <w:r w:rsidRPr="008464B0">
        <w:rPr>
          <w:rFonts w:ascii="Calibri" w:hAnsi="Calibri"/>
          <w:sz w:val="24"/>
          <w:szCs w:val="24"/>
        </w:rPr>
        <w:t xml:space="preserve">. </w:t>
      </w:r>
      <w:r w:rsidR="007C251C">
        <w:rPr>
          <w:rFonts w:ascii="Calibri" w:hAnsi="Calibri"/>
          <w:sz w:val="24"/>
          <w:szCs w:val="24"/>
        </w:rPr>
        <w:t xml:space="preserve">As of 2015, </w:t>
      </w:r>
      <w:r w:rsidR="005E6138">
        <w:rPr>
          <w:rFonts w:ascii="Calibri" w:hAnsi="Calibri"/>
          <w:sz w:val="24"/>
          <w:szCs w:val="24"/>
        </w:rPr>
        <w:t xml:space="preserve">the concessions of the ports of Freetown, Monrovia, Cotonou, Lagos and Abidjan had resulted in respectively </w:t>
      </w:r>
      <w:r w:rsidR="007C251C">
        <w:rPr>
          <w:rFonts w:ascii="Calibri" w:hAnsi="Calibri"/>
          <w:sz w:val="24"/>
          <w:szCs w:val="24"/>
        </w:rPr>
        <w:t>$37 millio</w:t>
      </w:r>
      <w:r w:rsidR="005E6138">
        <w:rPr>
          <w:rFonts w:ascii="Calibri" w:hAnsi="Calibri"/>
          <w:sz w:val="24"/>
          <w:szCs w:val="24"/>
        </w:rPr>
        <w:t>n</w:t>
      </w:r>
      <w:r w:rsidR="007C251C">
        <w:rPr>
          <w:rFonts w:ascii="Calibri" w:hAnsi="Calibri"/>
          <w:sz w:val="24"/>
          <w:szCs w:val="24"/>
        </w:rPr>
        <w:t>, $85 million, $150 million</w:t>
      </w:r>
      <w:r w:rsidR="005E6138">
        <w:rPr>
          <w:rFonts w:ascii="Calibri" w:hAnsi="Calibri"/>
          <w:sz w:val="24"/>
          <w:szCs w:val="24"/>
        </w:rPr>
        <w:t xml:space="preserve">, $220 million, </w:t>
      </w:r>
      <w:r w:rsidR="007C251C">
        <w:rPr>
          <w:rFonts w:ascii="Calibri" w:hAnsi="Calibri"/>
          <w:sz w:val="24"/>
          <w:szCs w:val="24"/>
        </w:rPr>
        <w:t xml:space="preserve">and $176 million </w:t>
      </w:r>
      <w:r w:rsidR="005E6138">
        <w:rPr>
          <w:rFonts w:ascii="Calibri" w:hAnsi="Calibri"/>
          <w:sz w:val="24"/>
          <w:szCs w:val="24"/>
        </w:rPr>
        <w:t>of effective additional investments</w:t>
      </w:r>
      <w:r w:rsidR="007C251C">
        <w:rPr>
          <w:rFonts w:ascii="Calibri" w:hAnsi="Calibri"/>
          <w:sz w:val="24"/>
          <w:szCs w:val="24"/>
        </w:rPr>
        <w:t>. These investments resulted</w:t>
      </w:r>
      <w:r w:rsidR="007C251C" w:rsidRPr="008464B0">
        <w:rPr>
          <w:rFonts w:ascii="Calibri" w:hAnsi="Calibri"/>
          <w:sz w:val="24"/>
          <w:szCs w:val="24"/>
        </w:rPr>
        <w:t xml:space="preserve"> in productivity gains and reducing congestion</w:t>
      </w:r>
      <w:r w:rsidR="007C251C">
        <w:rPr>
          <w:rFonts w:ascii="Calibri" w:hAnsi="Calibri"/>
          <w:sz w:val="24"/>
          <w:szCs w:val="24"/>
        </w:rPr>
        <w:t xml:space="preserve">: In Lagos Apapa terminal, productivity has increased from 6 moves per hour prior to the concession to 24 moves per hours at the end of 2012, reducing congestion and pre-berthing delays. In Conakry, productivity increased from 19 container movements per hour in 2011 to 35 in 2014. </w:t>
      </w:r>
      <w:r w:rsidRPr="008464B0">
        <w:rPr>
          <w:rFonts w:ascii="Calibri" w:hAnsi="Calibri"/>
          <w:sz w:val="24"/>
          <w:szCs w:val="24"/>
        </w:rPr>
        <w:t>Concessions have also provided</w:t>
      </w:r>
      <w:r w:rsidRPr="00E23C91">
        <w:rPr>
          <w:rFonts w:ascii="Calibri" w:hAnsi="Calibri"/>
          <w:sz w:val="24"/>
          <w:szCs w:val="24"/>
        </w:rPr>
        <w:t xml:space="preserve"> Governments</w:t>
      </w:r>
      <w:r w:rsidRPr="008464B0">
        <w:rPr>
          <w:rFonts w:ascii="Calibri" w:hAnsi="Calibri"/>
          <w:sz w:val="24"/>
          <w:szCs w:val="24"/>
        </w:rPr>
        <w:t xml:space="preserve"> with millions of dollars in revenue through entry tickets, annual fees and royalty payments on traffic handled by concessionaires. Greenfield projects, which are now being contracted, are expected to further increase capacity at the regional level to meet future demand</w:t>
      </w:r>
      <w:r w:rsidR="00BD71DE">
        <w:rPr>
          <w:rFonts w:ascii="Calibri" w:hAnsi="Calibri"/>
          <w:sz w:val="24"/>
          <w:szCs w:val="24"/>
        </w:rPr>
        <w:t>, albeit the recent slowdown in container traffic growth has led to some of these projects to be put on hold and/or facing headwinds in raising private financing, e.g., Lekki port in Nigeria</w:t>
      </w:r>
      <w:r w:rsidRPr="008464B0">
        <w:rPr>
          <w:rFonts w:ascii="Calibri" w:hAnsi="Calibri"/>
          <w:sz w:val="24"/>
          <w:szCs w:val="24"/>
        </w:rPr>
        <w:t xml:space="preserve">. </w:t>
      </w:r>
    </w:p>
    <w:p w14:paraId="3BC18478" w14:textId="77777777" w:rsidR="006A2194" w:rsidRPr="0031699B" w:rsidRDefault="006A2194" w:rsidP="006A2194">
      <w:pPr>
        <w:pStyle w:val="ListParagraph"/>
        <w:spacing w:after="240" w:line="22" w:lineRule="atLeast"/>
        <w:ind w:left="0"/>
        <w:jc w:val="both"/>
        <w:rPr>
          <w:rFonts w:ascii="Calibri" w:hAnsi="Calibri"/>
          <w:sz w:val="24"/>
          <w:szCs w:val="24"/>
        </w:rPr>
      </w:pPr>
    </w:p>
    <w:p w14:paraId="0A03C850" w14:textId="77777777" w:rsidR="006A2194" w:rsidRPr="00453200" w:rsidRDefault="006A2194" w:rsidP="00E826B9">
      <w:pPr>
        <w:pStyle w:val="ListParagraph"/>
        <w:numPr>
          <w:ilvl w:val="0"/>
          <w:numId w:val="8"/>
        </w:numPr>
        <w:spacing w:after="240" w:line="22" w:lineRule="atLeast"/>
        <w:ind w:left="0" w:firstLine="0"/>
        <w:jc w:val="both"/>
        <w:rPr>
          <w:rFonts w:ascii="Calibri" w:hAnsi="Calibri"/>
          <w:sz w:val="24"/>
          <w:szCs w:val="24"/>
        </w:rPr>
      </w:pPr>
      <w:r w:rsidRPr="00D82362">
        <w:rPr>
          <w:rFonts w:ascii="Calibri" w:hAnsi="Calibri"/>
          <w:b/>
          <w:sz w:val="24"/>
        </w:rPr>
        <w:t>Concessions, similar to public ports in Kenya and South Africa, have also allowed for opening up and adjusting to the requirements of modern liner shipping and containerized trade</w:t>
      </w:r>
      <w:r w:rsidRPr="00D82362">
        <w:rPr>
          <w:rFonts w:ascii="Calibri" w:hAnsi="Calibri"/>
          <w:sz w:val="24"/>
        </w:rPr>
        <w:t xml:space="preserve">. With the use of increasingly larger vessels (from 1,500-3,000 TEUs in the early 2000’s to 4,000-5,000 TEUs container vessels today), West Africa liner trades are less a niche market than they used to be, with </w:t>
      </w:r>
      <w:r>
        <w:rPr>
          <w:rFonts w:ascii="Calibri" w:hAnsi="Calibri"/>
          <w:sz w:val="24"/>
        </w:rPr>
        <w:t xml:space="preserve">new services from </w:t>
      </w:r>
      <w:r w:rsidRPr="00D82362">
        <w:rPr>
          <w:rFonts w:ascii="Calibri" w:hAnsi="Calibri"/>
          <w:sz w:val="24"/>
        </w:rPr>
        <w:t xml:space="preserve">major shipping lines on the Asia - West Africa trade route.  </w:t>
      </w:r>
    </w:p>
    <w:p w14:paraId="4E285AEF" w14:textId="77777777" w:rsidR="006A2194" w:rsidRPr="004936F9" w:rsidRDefault="006A2194" w:rsidP="006A2194">
      <w:pPr>
        <w:pStyle w:val="ListParagraph"/>
        <w:spacing w:after="240" w:line="22" w:lineRule="atLeast"/>
        <w:ind w:left="0"/>
        <w:jc w:val="both"/>
        <w:rPr>
          <w:rFonts w:ascii="Calibri" w:hAnsi="Calibri"/>
          <w:sz w:val="24"/>
          <w:szCs w:val="24"/>
        </w:rPr>
      </w:pPr>
    </w:p>
    <w:p w14:paraId="30589101" w14:textId="06A891AF" w:rsidR="00A549C0" w:rsidRPr="00453200" w:rsidRDefault="00A549C0" w:rsidP="00E826B9">
      <w:pPr>
        <w:pStyle w:val="ListParagraph"/>
        <w:numPr>
          <w:ilvl w:val="0"/>
          <w:numId w:val="8"/>
        </w:numPr>
        <w:spacing w:after="240" w:line="22" w:lineRule="atLeast"/>
        <w:ind w:left="0" w:firstLine="0"/>
        <w:jc w:val="both"/>
        <w:rPr>
          <w:rFonts w:ascii="Calibri" w:hAnsi="Calibri"/>
          <w:sz w:val="24"/>
          <w:szCs w:val="24"/>
        </w:rPr>
      </w:pPr>
      <w:r w:rsidRPr="00453200">
        <w:rPr>
          <w:rFonts w:ascii="Calibri" w:hAnsi="Calibri"/>
          <w:b/>
          <w:sz w:val="24"/>
          <w:szCs w:val="24"/>
        </w:rPr>
        <w:t xml:space="preserve">At the same time, </w:t>
      </w:r>
      <w:r>
        <w:rPr>
          <w:rFonts w:ascii="Calibri" w:hAnsi="Calibri"/>
          <w:b/>
          <w:sz w:val="24"/>
          <w:szCs w:val="24"/>
        </w:rPr>
        <w:t>positive impact</w:t>
      </w:r>
      <w:r w:rsidRPr="00453200">
        <w:rPr>
          <w:rFonts w:ascii="Calibri" w:hAnsi="Calibri"/>
          <w:b/>
          <w:sz w:val="24"/>
          <w:szCs w:val="24"/>
        </w:rPr>
        <w:t xml:space="preserve">s of port concessions are diluted by a combination of factors.  </w:t>
      </w:r>
      <w:r w:rsidRPr="00453200">
        <w:rPr>
          <w:rFonts w:ascii="Calibri" w:hAnsi="Calibri"/>
          <w:sz w:val="24"/>
          <w:szCs w:val="24"/>
        </w:rPr>
        <w:t>Former public monopolies at the national level have to a large extent been replaced by a region-wide, dominant position of two TOCs, which compete or cooperate in different ports and together control around 80 percent of West African container throughput. While new international TOCs are starting to enter the West African Coast market, e.g., Dubai Port World in Dakar (2007) and Terminal Investment Limited (the TIL Group) in Lomé (2011), th</w:t>
      </w:r>
      <w:r w:rsidR="009313CF">
        <w:rPr>
          <w:rFonts w:ascii="Calibri" w:hAnsi="Calibri"/>
          <w:sz w:val="24"/>
          <w:szCs w:val="24"/>
        </w:rPr>
        <w:t>e current market structure raises</w:t>
      </w:r>
      <w:r w:rsidRPr="00453200">
        <w:rPr>
          <w:rFonts w:ascii="Calibri" w:hAnsi="Calibri"/>
          <w:sz w:val="24"/>
          <w:szCs w:val="24"/>
        </w:rPr>
        <w:t xml:space="preserve"> fundamental questions in terms of intra- and inter-port competition and market power, especially given the weak governance framework and regulatory capacity </w:t>
      </w:r>
      <w:r>
        <w:rPr>
          <w:rFonts w:ascii="Calibri" w:hAnsi="Calibri"/>
          <w:sz w:val="24"/>
          <w:szCs w:val="24"/>
        </w:rPr>
        <w:t xml:space="preserve">observed </w:t>
      </w:r>
      <w:r w:rsidRPr="00453200">
        <w:rPr>
          <w:rFonts w:ascii="Calibri" w:hAnsi="Calibri"/>
          <w:sz w:val="24"/>
          <w:szCs w:val="24"/>
        </w:rPr>
        <w:t xml:space="preserve">across the region. </w:t>
      </w:r>
      <w:r w:rsidR="006A1F49">
        <w:rPr>
          <w:rFonts w:ascii="Calibri" w:hAnsi="Calibri"/>
          <w:sz w:val="24"/>
          <w:szCs w:val="24"/>
        </w:rPr>
        <w:t>P</w:t>
      </w:r>
      <w:r w:rsidRPr="00453200">
        <w:rPr>
          <w:rFonts w:ascii="Calibri" w:hAnsi="Calibri"/>
          <w:sz w:val="24"/>
          <w:szCs w:val="24"/>
        </w:rPr>
        <w:t xml:space="preserve">roductivity gains realized by the TOCs </w:t>
      </w:r>
      <w:r>
        <w:rPr>
          <w:rFonts w:ascii="Calibri" w:hAnsi="Calibri"/>
          <w:sz w:val="24"/>
          <w:szCs w:val="24"/>
        </w:rPr>
        <w:t xml:space="preserve">could </w:t>
      </w:r>
      <w:r w:rsidR="006A1F49">
        <w:rPr>
          <w:rFonts w:ascii="Calibri" w:hAnsi="Calibri"/>
          <w:sz w:val="24"/>
          <w:szCs w:val="24"/>
        </w:rPr>
        <w:t xml:space="preserve">likely </w:t>
      </w:r>
      <w:r>
        <w:rPr>
          <w:rFonts w:ascii="Calibri" w:hAnsi="Calibri"/>
          <w:sz w:val="24"/>
          <w:szCs w:val="24"/>
        </w:rPr>
        <w:t xml:space="preserve">be </w:t>
      </w:r>
      <w:r w:rsidR="006A1F49">
        <w:rPr>
          <w:rFonts w:ascii="Calibri" w:hAnsi="Calibri"/>
          <w:sz w:val="24"/>
          <w:szCs w:val="24"/>
        </w:rPr>
        <w:t xml:space="preserve">further </w:t>
      </w:r>
      <w:r>
        <w:rPr>
          <w:rFonts w:ascii="Calibri" w:hAnsi="Calibri"/>
          <w:sz w:val="24"/>
          <w:szCs w:val="24"/>
        </w:rPr>
        <w:t xml:space="preserve">improved when </w:t>
      </w:r>
      <w:r>
        <w:rPr>
          <w:rFonts w:ascii="Calibri" w:hAnsi="Calibri"/>
          <w:sz w:val="24"/>
          <w:szCs w:val="24"/>
        </w:rPr>
        <w:lastRenderedPageBreak/>
        <w:t xml:space="preserve">compared with </w:t>
      </w:r>
      <w:r w:rsidRPr="00453200">
        <w:rPr>
          <w:rFonts w:ascii="Calibri" w:hAnsi="Calibri"/>
          <w:sz w:val="24"/>
          <w:szCs w:val="24"/>
        </w:rPr>
        <w:t xml:space="preserve">the results achieved by concessionaires in, for example, Latin American countries. The latter concessions have also been accompanied by contractually agreed tariff reductions, which ensure that benefits from private participation are shared with end users of port services. Unfortunately, no such benefit sharing </w:t>
      </w:r>
      <w:r w:rsidR="009313CF">
        <w:rPr>
          <w:rFonts w:ascii="Calibri" w:hAnsi="Calibri"/>
          <w:sz w:val="24"/>
          <w:szCs w:val="24"/>
        </w:rPr>
        <w:t xml:space="preserve">regime </w:t>
      </w:r>
      <w:r w:rsidRPr="00453200">
        <w:rPr>
          <w:rFonts w:ascii="Calibri" w:hAnsi="Calibri"/>
          <w:sz w:val="24"/>
          <w:szCs w:val="24"/>
        </w:rPr>
        <w:t xml:space="preserve">is currently </w:t>
      </w:r>
      <w:r w:rsidR="009313CF">
        <w:rPr>
          <w:rFonts w:ascii="Calibri" w:hAnsi="Calibri"/>
          <w:sz w:val="24"/>
          <w:szCs w:val="24"/>
        </w:rPr>
        <w:t xml:space="preserve">implemented </w:t>
      </w:r>
      <w:r w:rsidRPr="00453200">
        <w:rPr>
          <w:rFonts w:ascii="Calibri" w:hAnsi="Calibri"/>
          <w:sz w:val="24"/>
          <w:szCs w:val="24"/>
        </w:rPr>
        <w:t>in West Africa</w:t>
      </w:r>
      <w:r w:rsidR="009313CF">
        <w:rPr>
          <w:rFonts w:ascii="Calibri" w:hAnsi="Calibri"/>
          <w:sz w:val="24"/>
          <w:szCs w:val="24"/>
        </w:rPr>
        <w:t>’s concessions</w:t>
      </w:r>
      <w:r>
        <w:rPr>
          <w:rFonts w:ascii="Calibri" w:hAnsi="Calibri"/>
          <w:sz w:val="24"/>
          <w:szCs w:val="24"/>
        </w:rPr>
        <w:t xml:space="preserve">. </w:t>
      </w:r>
    </w:p>
    <w:p w14:paraId="68306E29" w14:textId="77777777" w:rsidR="00594FE0" w:rsidRPr="00940F85" w:rsidRDefault="00594FE0" w:rsidP="00E826B9">
      <w:pPr>
        <w:pStyle w:val="ListParagraph"/>
        <w:numPr>
          <w:ilvl w:val="0"/>
          <w:numId w:val="8"/>
        </w:numPr>
        <w:spacing w:after="240" w:line="22" w:lineRule="atLeast"/>
        <w:ind w:left="0" w:firstLine="0"/>
        <w:jc w:val="both"/>
        <w:rPr>
          <w:rFonts w:ascii="Calibri" w:hAnsi="Calibri"/>
          <w:sz w:val="24"/>
          <w:szCs w:val="24"/>
        </w:rPr>
      </w:pPr>
      <w:r w:rsidRPr="008464B0">
        <w:rPr>
          <w:rFonts w:ascii="Calibri" w:hAnsi="Calibri"/>
          <w:b/>
          <w:sz w:val="24"/>
          <w:szCs w:val="24"/>
        </w:rPr>
        <w:t xml:space="preserve">The natural monopoly features of the port industry are exacerbated by the market conditions prevailing in West Africa. </w:t>
      </w:r>
      <w:r w:rsidRPr="008464B0">
        <w:rPr>
          <w:rFonts w:ascii="Calibri" w:hAnsi="Calibri"/>
          <w:sz w:val="24"/>
          <w:szCs w:val="24"/>
        </w:rPr>
        <w:t>Ports are</w:t>
      </w:r>
      <w:r w:rsidRPr="008464B0">
        <w:rPr>
          <w:rFonts w:ascii="Calibri" w:hAnsi="Calibri"/>
          <w:b/>
          <w:sz w:val="24"/>
          <w:szCs w:val="24"/>
        </w:rPr>
        <w:t xml:space="preserve"> </w:t>
      </w:r>
      <w:r w:rsidRPr="008464B0">
        <w:rPr>
          <w:rFonts w:ascii="Calibri" w:hAnsi="Calibri"/>
          <w:sz w:val="24"/>
          <w:szCs w:val="24"/>
        </w:rPr>
        <w:t>“naturally” monopolistic industries where large sunk investments in infrastructure facilities or unique locational advantages constitute a barrier to the entry of competitors. The thin</w:t>
      </w:r>
      <w:r w:rsidRPr="00E23C91">
        <w:rPr>
          <w:rFonts w:ascii="Calibri" w:hAnsi="Calibri"/>
          <w:sz w:val="24"/>
          <w:szCs w:val="24"/>
        </w:rPr>
        <w:t xml:space="preserve"> markets of</w:t>
      </w:r>
      <w:r w:rsidRPr="008464B0">
        <w:rPr>
          <w:rFonts w:ascii="Calibri" w:hAnsi="Calibri"/>
          <w:sz w:val="24"/>
          <w:szCs w:val="24"/>
        </w:rPr>
        <w:t xml:space="preserve"> the individual countries in this region further challenge profitable operation by more than one firm in the provision of container terminal services. </w:t>
      </w:r>
      <w:r>
        <w:rPr>
          <w:rFonts w:ascii="Calibri" w:hAnsi="Calibri"/>
          <w:sz w:val="24"/>
          <w:szCs w:val="24"/>
        </w:rPr>
        <w:t xml:space="preserve">The monopoly position of service providers, whether public or private, can lead to a variety of economic performance issues such as excessive prices, production inefficiencies, and poor service quality. </w:t>
      </w:r>
      <w:r w:rsidRPr="008464B0">
        <w:rPr>
          <w:rFonts w:ascii="Calibri" w:hAnsi="Calibri"/>
          <w:sz w:val="24"/>
          <w:szCs w:val="24"/>
        </w:rPr>
        <w:t xml:space="preserve">Creating competition for the market (of container terminals), via </w:t>
      </w:r>
      <w:r>
        <w:rPr>
          <w:rFonts w:ascii="Calibri" w:hAnsi="Calibri"/>
          <w:sz w:val="24"/>
          <w:szCs w:val="24"/>
        </w:rPr>
        <w:t xml:space="preserve">a fair and open </w:t>
      </w:r>
      <w:r w:rsidRPr="008464B0">
        <w:rPr>
          <w:rFonts w:ascii="Calibri" w:hAnsi="Calibri"/>
          <w:sz w:val="24"/>
          <w:szCs w:val="24"/>
        </w:rPr>
        <w:t xml:space="preserve">competitive process, could address the need for regulation and government </w:t>
      </w:r>
      <w:r w:rsidRPr="000A097B">
        <w:rPr>
          <w:rFonts w:ascii="Calibri" w:hAnsi="Calibri"/>
          <w:sz w:val="24"/>
          <w:szCs w:val="24"/>
        </w:rPr>
        <w:t>intervention</w:t>
      </w:r>
      <w:r>
        <w:rPr>
          <w:rFonts w:ascii="Calibri" w:hAnsi="Calibri"/>
          <w:sz w:val="24"/>
          <w:szCs w:val="24"/>
        </w:rPr>
        <w:t>.</w:t>
      </w:r>
      <w:r w:rsidRPr="008464B0">
        <w:rPr>
          <w:rFonts w:ascii="Calibri" w:hAnsi="Calibri"/>
          <w:sz w:val="24"/>
          <w:szCs w:val="24"/>
        </w:rPr>
        <w:t xml:space="preserve"> While </w:t>
      </w:r>
      <w:r>
        <w:rPr>
          <w:rFonts w:ascii="Calibri" w:hAnsi="Calibri"/>
          <w:sz w:val="24"/>
          <w:szCs w:val="24"/>
        </w:rPr>
        <w:t>a significant number of</w:t>
      </w:r>
      <w:r w:rsidRPr="008464B0">
        <w:rPr>
          <w:rFonts w:ascii="Calibri" w:hAnsi="Calibri"/>
          <w:sz w:val="24"/>
          <w:szCs w:val="24"/>
        </w:rPr>
        <w:t xml:space="preserve"> governments have award</w:t>
      </w:r>
      <w:r>
        <w:rPr>
          <w:rFonts w:ascii="Calibri" w:hAnsi="Calibri"/>
          <w:sz w:val="24"/>
          <w:szCs w:val="24"/>
        </w:rPr>
        <w:t>ed</w:t>
      </w:r>
      <w:r w:rsidRPr="008464B0">
        <w:rPr>
          <w:rFonts w:ascii="Calibri" w:hAnsi="Calibri"/>
          <w:sz w:val="24"/>
          <w:szCs w:val="24"/>
        </w:rPr>
        <w:t xml:space="preserve"> concessions on a competitive basis, the </w:t>
      </w:r>
      <w:r>
        <w:rPr>
          <w:rFonts w:ascii="Calibri" w:hAnsi="Calibri"/>
          <w:sz w:val="24"/>
          <w:szCs w:val="24"/>
        </w:rPr>
        <w:t xml:space="preserve">selection criteria retained to select TOC, i.e., maximization of entry and concession fees, has considerably weakened </w:t>
      </w:r>
      <w:r w:rsidRPr="008464B0">
        <w:rPr>
          <w:rFonts w:ascii="Calibri" w:hAnsi="Calibri"/>
          <w:sz w:val="24"/>
          <w:szCs w:val="24"/>
        </w:rPr>
        <w:t xml:space="preserve">the </w:t>
      </w:r>
      <w:r>
        <w:rPr>
          <w:rFonts w:ascii="Calibri" w:hAnsi="Calibri"/>
          <w:sz w:val="24"/>
          <w:szCs w:val="24"/>
        </w:rPr>
        <w:t xml:space="preserve">outcome on port </w:t>
      </w:r>
      <w:r w:rsidRPr="008464B0">
        <w:rPr>
          <w:rFonts w:ascii="Calibri" w:hAnsi="Calibri"/>
          <w:sz w:val="24"/>
          <w:szCs w:val="24"/>
        </w:rPr>
        <w:t xml:space="preserve">competitiveness. </w:t>
      </w:r>
      <w:r w:rsidRPr="00940F85">
        <w:rPr>
          <w:rFonts w:ascii="Calibri" w:hAnsi="Calibri"/>
          <w:sz w:val="24"/>
          <w:szCs w:val="24"/>
        </w:rPr>
        <w:t xml:space="preserve">The continuance of the </w:t>
      </w:r>
      <w:r>
        <w:rPr>
          <w:rFonts w:ascii="Calibri" w:hAnsi="Calibri"/>
          <w:sz w:val="24"/>
          <w:szCs w:val="24"/>
        </w:rPr>
        <w:t xml:space="preserve">pre-existing cargo handling </w:t>
      </w:r>
      <w:r w:rsidRPr="00940F85">
        <w:rPr>
          <w:rFonts w:ascii="Calibri" w:hAnsi="Calibri"/>
          <w:sz w:val="24"/>
          <w:szCs w:val="24"/>
        </w:rPr>
        <w:t xml:space="preserve">high tariffs </w:t>
      </w:r>
      <w:r>
        <w:rPr>
          <w:rFonts w:ascii="Calibri" w:hAnsi="Calibri"/>
          <w:sz w:val="24"/>
          <w:szCs w:val="24"/>
        </w:rPr>
        <w:t>practice observed</w:t>
      </w:r>
      <w:r w:rsidRPr="00940F85">
        <w:rPr>
          <w:rFonts w:ascii="Calibri" w:hAnsi="Calibri"/>
          <w:sz w:val="24"/>
          <w:szCs w:val="24"/>
        </w:rPr>
        <w:t xml:space="preserve"> </w:t>
      </w:r>
      <w:r>
        <w:rPr>
          <w:rFonts w:ascii="Calibri" w:hAnsi="Calibri"/>
          <w:sz w:val="24"/>
          <w:szCs w:val="24"/>
        </w:rPr>
        <w:t xml:space="preserve">in several ports -- </w:t>
      </w:r>
      <w:r w:rsidRPr="00940F85">
        <w:rPr>
          <w:rFonts w:ascii="Calibri" w:hAnsi="Calibri"/>
          <w:sz w:val="24"/>
          <w:szCs w:val="24"/>
        </w:rPr>
        <w:t xml:space="preserve">prior </w:t>
      </w:r>
      <w:r>
        <w:rPr>
          <w:rFonts w:ascii="Calibri" w:hAnsi="Calibri"/>
          <w:sz w:val="24"/>
          <w:szCs w:val="24"/>
        </w:rPr>
        <w:t>to the advent of the concession</w:t>
      </w:r>
      <w:r w:rsidRPr="00940F85">
        <w:rPr>
          <w:rFonts w:ascii="Calibri" w:hAnsi="Calibri"/>
          <w:sz w:val="24"/>
          <w:szCs w:val="24"/>
        </w:rPr>
        <w:t xml:space="preserve"> </w:t>
      </w:r>
      <w:r>
        <w:rPr>
          <w:rFonts w:ascii="Calibri" w:hAnsi="Calibri"/>
          <w:sz w:val="24"/>
          <w:szCs w:val="24"/>
        </w:rPr>
        <w:t xml:space="preserve">processes -- </w:t>
      </w:r>
      <w:r w:rsidRPr="00940F85">
        <w:rPr>
          <w:rFonts w:ascii="Calibri" w:hAnsi="Calibri"/>
          <w:sz w:val="24"/>
          <w:szCs w:val="24"/>
        </w:rPr>
        <w:t xml:space="preserve">cause further doubts on the </w:t>
      </w:r>
      <w:r>
        <w:rPr>
          <w:rFonts w:ascii="Calibri" w:hAnsi="Calibri"/>
          <w:sz w:val="24"/>
          <w:szCs w:val="24"/>
        </w:rPr>
        <w:t>capacity</w:t>
      </w:r>
      <w:r w:rsidRPr="00940F85">
        <w:rPr>
          <w:rFonts w:ascii="Calibri" w:hAnsi="Calibri"/>
          <w:sz w:val="24"/>
          <w:szCs w:val="24"/>
        </w:rPr>
        <w:t xml:space="preserve"> of </w:t>
      </w:r>
      <w:r>
        <w:rPr>
          <w:rFonts w:ascii="Calibri" w:hAnsi="Calibri"/>
          <w:sz w:val="24"/>
          <w:szCs w:val="24"/>
        </w:rPr>
        <w:t>competitive tendering</w:t>
      </w:r>
      <w:r w:rsidRPr="00940F85">
        <w:rPr>
          <w:rFonts w:ascii="Calibri" w:hAnsi="Calibri"/>
          <w:sz w:val="24"/>
          <w:szCs w:val="24"/>
        </w:rPr>
        <w:t xml:space="preserve"> process to </w:t>
      </w:r>
      <w:r>
        <w:rPr>
          <w:rFonts w:ascii="Calibri" w:hAnsi="Calibri"/>
          <w:sz w:val="24"/>
          <w:szCs w:val="24"/>
        </w:rPr>
        <w:t>secure</w:t>
      </w:r>
      <w:r w:rsidRPr="00940F85">
        <w:rPr>
          <w:rFonts w:ascii="Calibri" w:hAnsi="Calibri"/>
          <w:sz w:val="24"/>
          <w:szCs w:val="24"/>
        </w:rPr>
        <w:t xml:space="preserve"> </w:t>
      </w:r>
      <w:r>
        <w:rPr>
          <w:rFonts w:ascii="Calibri" w:hAnsi="Calibri"/>
          <w:sz w:val="24"/>
          <w:szCs w:val="24"/>
        </w:rPr>
        <w:t>positive</w:t>
      </w:r>
      <w:r w:rsidRPr="00940F85">
        <w:rPr>
          <w:rFonts w:ascii="Calibri" w:hAnsi="Calibri"/>
          <w:sz w:val="24"/>
          <w:szCs w:val="24"/>
        </w:rPr>
        <w:t xml:space="preserve"> outcomes </w:t>
      </w:r>
      <w:r>
        <w:rPr>
          <w:rFonts w:ascii="Calibri" w:hAnsi="Calibri"/>
          <w:sz w:val="24"/>
          <w:szCs w:val="24"/>
        </w:rPr>
        <w:t>which can</w:t>
      </w:r>
      <w:r w:rsidRPr="00940F85">
        <w:rPr>
          <w:rFonts w:ascii="Calibri" w:hAnsi="Calibri"/>
          <w:sz w:val="24"/>
          <w:szCs w:val="24"/>
        </w:rPr>
        <w:t xml:space="preserve"> benefit </w:t>
      </w:r>
      <w:r>
        <w:rPr>
          <w:rFonts w:ascii="Calibri" w:hAnsi="Calibri"/>
          <w:sz w:val="24"/>
          <w:szCs w:val="24"/>
        </w:rPr>
        <w:t xml:space="preserve">even more </w:t>
      </w:r>
      <w:r w:rsidRPr="00940F85">
        <w:rPr>
          <w:rFonts w:ascii="Calibri" w:hAnsi="Calibri"/>
          <w:sz w:val="24"/>
          <w:szCs w:val="24"/>
        </w:rPr>
        <w:t xml:space="preserve">the end-users of the ports. </w:t>
      </w:r>
    </w:p>
    <w:p w14:paraId="4541E90A" w14:textId="77777777" w:rsidR="006A2194" w:rsidRPr="008464B0" w:rsidRDefault="006A2194" w:rsidP="006A2194">
      <w:pPr>
        <w:pStyle w:val="ListParagraph"/>
        <w:spacing w:after="240" w:line="22" w:lineRule="atLeast"/>
        <w:ind w:left="0"/>
        <w:rPr>
          <w:rFonts w:ascii="Calibri" w:hAnsi="Calibri"/>
          <w:sz w:val="24"/>
          <w:szCs w:val="24"/>
        </w:rPr>
      </w:pPr>
    </w:p>
    <w:p w14:paraId="0C960BAA" w14:textId="0115DBCD" w:rsidR="006A2194" w:rsidRDefault="006A2194" w:rsidP="00E826B9">
      <w:pPr>
        <w:pStyle w:val="ListParagraph"/>
        <w:numPr>
          <w:ilvl w:val="0"/>
          <w:numId w:val="8"/>
        </w:numPr>
        <w:spacing w:after="240" w:line="22" w:lineRule="atLeast"/>
        <w:ind w:left="0" w:firstLine="0"/>
        <w:jc w:val="both"/>
        <w:rPr>
          <w:rFonts w:ascii="Calibri" w:hAnsi="Calibri"/>
          <w:sz w:val="24"/>
          <w:szCs w:val="24"/>
        </w:rPr>
      </w:pPr>
      <w:r w:rsidRPr="008464B0">
        <w:rPr>
          <w:rFonts w:ascii="Calibri" w:hAnsi="Calibri"/>
          <w:b/>
          <w:sz w:val="24"/>
          <w:szCs w:val="24"/>
        </w:rPr>
        <w:t>Competition alone cannot be relied on for effective regulation of container terminal services, although the two types of port users – shipping lines and shippers – are not exposed to risks to the same degree.</w:t>
      </w:r>
      <w:r w:rsidRPr="008464B0">
        <w:rPr>
          <w:rFonts w:ascii="Calibri" w:hAnsi="Calibri"/>
          <w:sz w:val="24"/>
          <w:szCs w:val="24"/>
        </w:rPr>
        <w:t xml:space="preserve">  Without </w:t>
      </w:r>
      <w:r w:rsidRPr="00E23C91">
        <w:rPr>
          <w:rFonts w:ascii="Calibri" w:hAnsi="Calibri"/>
          <w:sz w:val="24"/>
          <w:szCs w:val="24"/>
        </w:rPr>
        <w:t>effective public</w:t>
      </w:r>
      <w:r w:rsidRPr="008464B0">
        <w:rPr>
          <w:rFonts w:ascii="Calibri" w:hAnsi="Calibri"/>
          <w:sz w:val="24"/>
          <w:szCs w:val="24"/>
        </w:rPr>
        <w:t xml:space="preserve"> policies and regulation, port authorities and terminal operating companies (TOCs) may not have adequate incentives to provide high </w:t>
      </w:r>
      <w:r>
        <w:rPr>
          <w:rFonts w:ascii="Calibri" w:hAnsi="Calibri"/>
          <w:sz w:val="24"/>
          <w:szCs w:val="24"/>
        </w:rPr>
        <w:t>quality</w:t>
      </w:r>
      <w:r w:rsidRPr="008464B0">
        <w:rPr>
          <w:rFonts w:ascii="Calibri" w:hAnsi="Calibri"/>
          <w:sz w:val="24"/>
          <w:szCs w:val="24"/>
        </w:rPr>
        <w:t xml:space="preserve"> of service, adequate facilities, or guarantee the lowest </w:t>
      </w:r>
      <w:r w:rsidR="000A6C81">
        <w:rPr>
          <w:rFonts w:ascii="Calibri" w:hAnsi="Calibri"/>
          <w:sz w:val="24"/>
          <w:szCs w:val="24"/>
        </w:rPr>
        <w:t xml:space="preserve">possible </w:t>
      </w:r>
      <w:r w:rsidRPr="008464B0">
        <w:rPr>
          <w:rFonts w:ascii="Calibri" w:hAnsi="Calibri"/>
          <w:sz w:val="24"/>
          <w:szCs w:val="24"/>
        </w:rPr>
        <w:t>price</w:t>
      </w:r>
      <w:r w:rsidR="000A6C81">
        <w:rPr>
          <w:rFonts w:ascii="Calibri" w:hAnsi="Calibri"/>
          <w:sz w:val="24"/>
          <w:szCs w:val="24"/>
        </w:rPr>
        <w:t xml:space="preserve"> that would still make private sector investment possible</w:t>
      </w:r>
      <w:r w:rsidRPr="008464B0">
        <w:rPr>
          <w:rFonts w:ascii="Calibri" w:hAnsi="Calibri"/>
          <w:sz w:val="24"/>
          <w:szCs w:val="24"/>
        </w:rPr>
        <w:t xml:space="preserve">. While global terminal operators and major shipping lines have more or less equal market power, leading to negotiated outcomes (when TOCs are not part of the same group as the shipping lines they serve), shippers have far less service options and far less bargaining power. </w:t>
      </w:r>
      <w:r>
        <w:rPr>
          <w:rFonts w:ascii="Calibri" w:hAnsi="Calibri"/>
          <w:sz w:val="24"/>
          <w:szCs w:val="24"/>
        </w:rPr>
        <w:t>It is therefore the role of</w:t>
      </w:r>
      <w:r w:rsidRPr="008464B0">
        <w:rPr>
          <w:rFonts w:ascii="Calibri" w:hAnsi="Calibri"/>
          <w:sz w:val="24"/>
          <w:szCs w:val="24"/>
        </w:rPr>
        <w:t xml:space="preserve"> governments to safeguard </w:t>
      </w:r>
      <w:r>
        <w:rPr>
          <w:rFonts w:ascii="Calibri" w:hAnsi="Calibri"/>
          <w:sz w:val="24"/>
          <w:szCs w:val="24"/>
        </w:rPr>
        <w:t>shippers</w:t>
      </w:r>
      <w:r w:rsidR="009F55F9">
        <w:rPr>
          <w:rFonts w:ascii="Calibri" w:hAnsi="Calibri"/>
          <w:sz w:val="24"/>
          <w:szCs w:val="24"/>
        </w:rPr>
        <w:t>’</w:t>
      </w:r>
      <w:r w:rsidRPr="008464B0">
        <w:rPr>
          <w:rFonts w:ascii="Calibri" w:hAnsi="Calibri"/>
          <w:sz w:val="24"/>
          <w:szCs w:val="24"/>
        </w:rPr>
        <w:t xml:space="preserve"> interests</w:t>
      </w:r>
      <w:r>
        <w:rPr>
          <w:rFonts w:ascii="Calibri" w:hAnsi="Calibri"/>
          <w:sz w:val="24"/>
          <w:szCs w:val="24"/>
        </w:rPr>
        <w:t xml:space="preserve"> (prevent monopoly rent extraction)</w:t>
      </w:r>
      <w:r w:rsidRPr="008464B0">
        <w:rPr>
          <w:rFonts w:ascii="Calibri" w:hAnsi="Calibri"/>
          <w:sz w:val="24"/>
          <w:szCs w:val="24"/>
        </w:rPr>
        <w:t xml:space="preserve">, </w:t>
      </w:r>
      <w:r w:rsidRPr="00F25F5B">
        <w:rPr>
          <w:rFonts w:ascii="Calibri" w:hAnsi="Calibri"/>
          <w:sz w:val="24"/>
          <w:szCs w:val="24"/>
        </w:rPr>
        <w:t>providing</w:t>
      </w:r>
      <w:r>
        <w:rPr>
          <w:rFonts w:ascii="Calibri" w:hAnsi="Calibri"/>
          <w:sz w:val="24"/>
          <w:szCs w:val="24"/>
        </w:rPr>
        <w:t xml:space="preserve"> them with competitive port services</w:t>
      </w:r>
      <w:r w:rsidRPr="008464B0">
        <w:rPr>
          <w:rFonts w:ascii="Calibri" w:hAnsi="Calibri"/>
          <w:sz w:val="24"/>
          <w:szCs w:val="24"/>
        </w:rPr>
        <w:t xml:space="preserve">. </w:t>
      </w:r>
    </w:p>
    <w:p w14:paraId="734A22DD" w14:textId="77777777" w:rsidR="006A2194" w:rsidRPr="008464B0" w:rsidRDefault="006A2194" w:rsidP="006A2194">
      <w:pPr>
        <w:pStyle w:val="ListParagraph"/>
        <w:spacing w:after="240" w:line="22" w:lineRule="atLeast"/>
        <w:ind w:left="0"/>
        <w:rPr>
          <w:rFonts w:ascii="Calibri" w:hAnsi="Calibri"/>
          <w:sz w:val="24"/>
          <w:szCs w:val="24"/>
        </w:rPr>
      </w:pPr>
    </w:p>
    <w:p w14:paraId="7E287BA2" w14:textId="23540B70" w:rsidR="006A2194" w:rsidRPr="00744D0E" w:rsidRDefault="006A2194" w:rsidP="00E826B9">
      <w:pPr>
        <w:pStyle w:val="ListParagraph"/>
        <w:numPr>
          <w:ilvl w:val="0"/>
          <w:numId w:val="8"/>
        </w:numPr>
        <w:spacing w:after="240" w:line="22" w:lineRule="atLeast"/>
        <w:ind w:left="0" w:firstLine="0"/>
        <w:jc w:val="both"/>
        <w:rPr>
          <w:rFonts w:ascii="Calibri" w:hAnsi="Calibri"/>
          <w:sz w:val="24"/>
          <w:szCs w:val="24"/>
        </w:rPr>
      </w:pPr>
      <w:r w:rsidRPr="00744D0E">
        <w:rPr>
          <w:rFonts w:ascii="Calibri" w:hAnsi="Calibri"/>
          <w:b/>
          <w:sz w:val="24"/>
          <w:szCs w:val="24"/>
        </w:rPr>
        <w:t xml:space="preserve">The experience to date suggests that West Africa countries </w:t>
      </w:r>
      <w:r w:rsidR="00DA5F01">
        <w:rPr>
          <w:rFonts w:ascii="Calibri" w:hAnsi="Calibri"/>
          <w:b/>
          <w:sz w:val="24"/>
          <w:szCs w:val="24"/>
        </w:rPr>
        <w:t>could</w:t>
      </w:r>
      <w:r w:rsidRPr="00744D0E">
        <w:rPr>
          <w:rFonts w:ascii="Calibri" w:hAnsi="Calibri"/>
          <w:b/>
          <w:sz w:val="24"/>
          <w:szCs w:val="24"/>
        </w:rPr>
        <w:t xml:space="preserve"> have </w:t>
      </w:r>
      <w:r w:rsidR="00DA5F01">
        <w:rPr>
          <w:rFonts w:ascii="Calibri" w:hAnsi="Calibri"/>
          <w:b/>
          <w:sz w:val="24"/>
          <w:szCs w:val="24"/>
        </w:rPr>
        <w:t xml:space="preserve">further </w:t>
      </w:r>
      <w:r w:rsidRPr="00744D0E">
        <w:rPr>
          <w:rFonts w:ascii="Calibri" w:hAnsi="Calibri"/>
          <w:b/>
          <w:sz w:val="24"/>
          <w:szCs w:val="24"/>
        </w:rPr>
        <w:t>optimized their port concessions deals.</w:t>
      </w:r>
      <w:r w:rsidRPr="00744D0E">
        <w:rPr>
          <w:rFonts w:ascii="Calibri" w:hAnsi="Calibri"/>
          <w:sz w:val="24"/>
          <w:szCs w:val="24"/>
        </w:rPr>
        <w:t xml:space="preserve"> For brownfield terminals, </w:t>
      </w:r>
      <w:r w:rsidR="006A1F49">
        <w:rPr>
          <w:rFonts w:ascii="Calibri" w:hAnsi="Calibri"/>
          <w:sz w:val="24"/>
          <w:szCs w:val="24"/>
        </w:rPr>
        <w:t xml:space="preserve">about two thirds of </w:t>
      </w:r>
      <w:r w:rsidRPr="00744D0E">
        <w:rPr>
          <w:rFonts w:ascii="Calibri" w:hAnsi="Calibri"/>
          <w:sz w:val="24"/>
          <w:szCs w:val="24"/>
        </w:rPr>
        <w:t xml:space="preserve">concessions have been attributed on a </w:t>
      </w:r>
      <w:r w:rsidR="00822973">
        <w:rPr>
          <w:rFonts w:ascii="Calibri" w:hAnsi="Calibri"/>
          <w:sz w:val="24"/>
          <w:szCs w:val="24"/>
        </w:rPr>
        <w:t>competitive</w:t>
      </w:r>
      <w:r w:rsidRPr="00744D0E">
        <w:rPr>
          <w:rFonts w:ascii="Calibri" w:hAnsi="Calibri"/>
          <w:sz w:val="24"/>
          <w:szCs w:val="24"/>
        </w:rPr>
        <w:t xml:space="preserve"> rather than </w:t>
      </w:r>
      <w:r w:rsidR="00822973">
        <w:rPr>
          <w:rFonts w:ascii="Calibri" w:hAnsi="Calibri"/>
          <w:sz w:val="24"/>
          <w:szCs w:val="24"/>
        </w:rPr>
        <w:t>negotiated</w:t>
      </w:r>
      <w:r w:rsidR="00822973" w:rsidRPr="00744D0E">
        <w:rPr>
          <w:rFonts w:ascii="Calibri" w:hAnsi="Calibri"/>
          <w:sz w:val="24"/>
          <w:szCs w:val="24"/>
        </w:rPr>
        <w:t xml:space="preserve"> </w:t>
      </w:r>
      <w:r w:rsidRPr="00744D0E">
        <w:rPr>
          <w:rFonts w:ascii="Calibri" w:hAnsi="Calibri"/>
          <w:sz w:val="24"/>
          <w:szCs w:val="24"/>
        </w:rPr>
        <w:t xml:space="preserve">basis, </w:t>
      </w:r>
      <w:r w:rsidR="00FE434B">
        <w:rPr>
          <w:rFonts w:ascii="Calibri" w:hAnsi="Calibri"/>
          <w:sz w:val="24"/>
          <w:szCs w:val="24"/>
        </w:rPr>
        <w:t xml:space="preserve">however </w:t>
      </w:r>
      <w:r w:rsidRPr="00744D0E">
        <w:rPr>
          <w:rFonts w:ascii="Calibri" w:hAnsi="Calibri"/>
          <w:sz w:val="24"/>
          <w:szCs w:val="24"/>
        </w:rPr>
        <w:t xml:space="preserve">often to the advantage of operators who were already present as licensed stevedores prior to the concessions. Likewise, recent </w:t>
      </w:r>
      <w:r w:rsidR="00B154CB">
        <w:rPr>
          <w:rFonts w:ascii="Calibri" w:hAnsi="Calibri"/>
          <w:sz w:val="24"/>
          <w:szCs w:val="24"/>
        </w:rPr>
        <w:t>g</w:t>
      </w:r>
      <w:r w:rsidRPr="00744D0E">
        <w:rPr>
          <w:rFonts w:ascii="Calibri" w:hAnsi="Calibri"/>
          <w:sz w:val="24"/>
          <w:szCs w:val="24"/>
        </w:rPr>
        <w:t xml:space="preserve">reenfield projects were for the most part negotiated directly with the TOCs that originated the projects, e.g., Badagry in Nigeria. Concerns about the transparency of the process and legitimacy of the outcome have been raised for a number of ports, sometimes in court. Bids have tended to be assessed, explicitly or implicitly, on the basis of their promise to maximize the direct financial benefits for Governments, rather than the economic benefits for the countries. </w:t>
      </w:r>
      <w:r w:rsidR="00FB7D11">
        <w:rPr>
          <w:rFonts w:ascii="Calibri" w:hAnsi="Calibri"/>
          <w:sz w:val="24"/>
          <w:szCs w:val="24"/>
        </w:rPr>
        <w:t xml:space="preserve">Nevertheless, it is worth reminding that at the time of the first wave of brownfield </w:t>
      </w:r>
      <w:r w:rsidR="007C18BE">
        <w:rPr>
          <w:rFonts w:ascii="Calibri" w:hAnsi="Calibri"/>
          <w:sz w:val="24"/>
          <w:szCs w:val="24"/>
        </w:rPr>
        <w:t>concessions</w:t>
      </w:r>
      <w:r w:rsidR="00FB7D11">
        <w:rPr>
          <w:rFonts w:ascii="Calibri" w:hAnsi="Calibri"/>
          <w:sz w:val="24"/>
          <w:szCs w:val="24"/>
        </w:rPr>
        <w:t xml:space="preserve">, West African countries </w:t>
      </w:r>
      <w:r w:rsidR="007C18BE">
        <w:rPr>
          <w:rFonts w:ascii="Calibri" w:hAnsi="Calibri"/>
          <w:sz w:val="24"/>
          <w:szCs w:val="24"/>
        </w:rPr>
        <w:t>were still</w:t>
      </w:r>
      <w:r w:rsidR="00FB7D11">
        <w:rPr>
          <w:rFonts w:ascii="Calibri" w:hAnsi="Calibri"/>
          <w:sz w:val="24"/>
          <w:szCs w:val="24"/>
        </w:rPr>
        <w:t xml:space="preserve"> categorized as </w:t>
      </w:r>
      <w:r w:rsidR="007C18BE">
        <w:rPr>
          <w:rFonts w:ascii="Calibri" w:hAnsi="Calibri"/>
          <w:sz w:val="24"/>
          <w:szCs w:val="24"/>
        </w:rPr>
        <w:t xml:space="preserve">niche </w:t>
      </w:r>
      <w:r w:rsidR="00FB7D11">
        <w:rPr>
          <w:rFonts w:ascii="Calibri" w:hAnsi="Calibri"/>
          <w:sz w:val="24"/>
          <w:szCs w:val="24"/>
        </w:rPr>
        <w:t>market, with the end result of limiting the number of interested private parties in the process</w:t>
      </w:r>
      <w:r w:rsidR="007C18BE">
        <w:rPr>
          <w:rFonts w:ascii="Calibri" w:hAnsi="Calibri"/>
          <w:sz w:val="24"/>
          <w:szCs w:val="24"/>
        </w:rPr>
        <w:t xml:space="preserve"> to the operators already </w:t>
      </w:r>
      <w:r w:rsidR="007C18BE">
        <w:rPr>
          <w:rFonts w:ascii="Calibri" w:hAnsi="Calibri"/>
          <w:sz w:val="24"/>
          <w:szCs w:val="24"/>
        </w:rPr>
        <w:lastRenderedPageBreak/>
        <w:t>familiar with the prevailing operating conditions</w:t>
      </w:r>
      <w:r w:rsidR="00FB7D11">
        <w:rPr>
          <w:rFonts w:ascii="Calibri" w:hAnsi="Calibri"/>
          <w:sz w:val="24"/>
          <w:szCs w:val="24"/>
        </w:rPr>
        <w:t>. This has somewhat changed nowadays where new private operators have shown interest in this market</w:t>
      </w:r>
      <w:r w:rsidR="00FB7D11" w:rsidRPr="0009530F">
        <w:rPr>
          <w:rFonts w:ascii="Calibri" w:hAnsi="Calibri"/>
          <w:sz w:val="24"/>
          <w:szCs w:val="24"/>
        </w:rPr>
        <w:t>.</w:t>
      </w:r>
    </w:p>
    <w:p w14:paraId="721BDFB9" w14:textId="77777777" w:rsidR="006A2194" w:rsidRPr="00744D0E" w:rsidRDefault="006A2194" w:rsidP="006A2194">
      <w:pPr>
        <w:pStyle w:val="ListParagraph"/>
        <w:spacing w:after="240" w:line="22" w:lineRule="atLeast"/>
        <w:ind w:left="0"/>
        <w:jc w:val="both"/>
        <w:rPr>
          <w:rFonts w:ascii="Calibri" w:hAnsi="Calibri"/>
          <w:sz w:val="24"/>
          <w:szCs w:val="24"/>
        </w:rPr>
      </w:pPr>
    </w:p>
    <w:p w14:paraId="3262AF5F" w14:textId="0897C2DD" w:rsidR="006A2194" w:rsidRPr="00AA7008" w:rsidRDefault="006A2194" w:rsidP="00E826B9">
      <w:pPr>
        <w:pStyle w:val="ListParagraph"/>
        <w:numPr>
          <w:ilvl w:val="0"/>
          <w:numId w:val="8"/>
        </w:numPr>
        <w:spacing w:after="240" w:line="22" w:lineRule="atLeast"/>
        <w:ind w:left="0" w:firstLine="0"/>
        <w:jc w:val="both"/>
        <w:rPr>
          <w:rFonts w:ascii="Calibri" w:hAnsi="Calibri"/>
          <w:sz w:val="24"/>
        </w:rPr>
      </w:pPr>
      <w:r w:rsidRPr="00087D55">
        <w:rPr>
          <w:rFonts w:ascii="Calibri" w:hAnsi="Calibri"/>
          <w:b/>
          <w:sz w:val="24"/>
          <w:lang w:val="en-GB"/>
        </w:rPr>
        <w:t xml:space="preserve">The </w:t>
      </w:r>
      <w:r w:rsidRPr="00081F6E">
        <w:rPr>
          <w:rFonts w:ascii="Calibri" w:hAnsi="Calibri"/>
          <w:b/>
          <w:sz w:val="24"/>
          <w:lang w:val="en-GB"/>
        </w:rPr>
        <w:t>unfinished transformation of the ports sector can be traced to the West African institutional and governance framewo</w:t>
      </w:r>
      <w:r w:rsidRPr="00C731F8">
        <w:rPr>
          <w:rFonts w:ascii="Calibri" w:hAnsi="Calibri"/>
          <w:b/>
          <w:sz w:val="24"/>
          <w:lang w:val="en-GB"/>
        </w:rPr>
        <w:t>rk as well as the economic characteristics of the CT industry</w:t>
      </w:r>
      <w:r w:rsidRPr="00896EBB">
        <w:rPr>
          <w:rFonts w:ascii="Calibri" w:hAnsi="Calibri"/>
          <w:sz w:val="24"/>
          <w:lang w:val="en-GB"/>
        </w:rPr>
        <w:t>. There is a double asymmetry between:</w:t>
      </w:r>
      <w:r w:rsidRPr="0065117B">
        <w:rPr>
          <w:rFonts w:ascii="Calibri" w:hAnsi="Calibri"/>
          <w:sz w:val="24"/>
          <w:lang w:val="en-GB"/>
        </w:rPr>
        <w:t xml:space="preserve"> (i) </w:t>
      </w:r>
      <w:r w:rsidRPr="0065117B">
        <w:rPr>
          <w:rFonts w:ascii="Calibri" w:hAnsi="Calibri"/>
          <w:sz w:val="24"/>
          <w:szCs w:val="24"/>
        </w:rPr>
        <w:t>the</w:t>
      </w:r>
      <w:r w:rsidRPr="0065117B">
        <w:rPr>
          <w:rFonts w:ascii="Calibri" w:hAnsi="Calibri"/>
          <w:sz w:val="24"/>
          <w:lang w:val="en-GB"/>
        </w:rPr>
        <w:t xml:space="preserve"> countries of West Africa which lack deep experience, tools and frameworks for managing and</w:t>
      </w:r>
      <w:r w:rsidRPr="004A399E">
        <w:rPr>
          <w:rFonts w:ascii="Calibri" w:hAnsi="Calibri"/>
          <w:sz w:val="24"/>
          <w:lang w:val="en-GB"/>
        </w:rPr>
        <w:t xml:space="preserve"> regulating private sector firms and international TOCs, and (ii) atomistic shippers and TOCs in an industry which </w:t>
      </w:r>
      <w:r w:rsidRPr="003C4059">
        <w:rPr>
          <w:rFonts w:ascii="Calibri" w:hAnsi="Calibri"/>
          <w:sz w:val="24"/>
          <w:lang w:val="en-GB"/>
        </w:rPr>
        <w:t>tends to be</w:t>
      </w:r>
      <w:r w:rsidRPr="00087D55">
        <w:rPr>
          <w:rFonts w:ascii="Calibri" w:hAnsi="Calibri"/>
          <w:sz w:val="24"/>
          <w:lang w:val="en-GB"/>
        </w:rPr>
        <w:t xml:space="preserve"> naturally monopolistic. The weak governance frameworks and inadequate regulation exacerbate the concentration of market power and help explain – </w:t>
      </w:r>
      <w:r w:rsidR="00382A8C">
        <w:rPr>
          <w:rFonts w:ascii="Calibri" w:hAnsi="Calibri"/>
          <w:sz w:val="24"/>
          <w:lang w:val="en-GB"/>
        </w:rPr>
        <w:t>to</w:t>
      </w:r>
      <w:r w:rsidRPr="00087D55">
        <w:rPr>
          <w:rFonts w:ascii="Calibri" w:hAnsi="Calibri"/>
          <w:sz w:val="24"/>
          <w:lang w:val="en-GB"/>
        </w:rPr>
        <w:t xml:space="preserve"> a certain extent -- the situation prevailing in West Africa. Notwithstanding the above, promising progress has been observed in the capacity of countries to get better deals from their port concession and on the transparency of the process. An interesting example is the evolution in the concessions for Abidjan TC1 and TC2, with the lat</w:t>
      </w:r>
      <w:r>
        <w:rPr>
          <w:rFonts w:ascii="Calibri" w:hAnsi="Calibri"/>
          <w:sz w:val="24"/>
          <w:lang w:val="en-GB"/>
        </w:rPr>
        <w:t>t</w:t>
      </w:r>
      <w:r w:rsidRPr="0065117B">
        <w:rPr>
          <w:rFonts w:ascii="Calibri" w:hAnsi="Calibri"/>
          <w:sz w:val="24"/>
          <w:lang w:val="en-GB"/>
        </w:rPr>
        <w:t>er</w:t>
      </w:r>
      <w:r w:rsidR="00382A8C">
        <w:rPr>
          <w:rFonts w:ascii="Calibri" w:hAnsi="Calibri"/>
          <w:sz w:val="24"/>
          <w:lang w:val="en-GB"/>
        </w:rPr>
        <w:t xml:space="preserve"> concession agreement </w:t>
      </w:r>
      <w:r w:rsidRPr="00087D55">
        <w:rPr>
          <w:rFonts w:ascii="Calibri" w:hAnsi="Calibri"/>
          <w:sz w:val="24"/>
          <w:lang w:val="en-GB"/>
        </w:rPr>
        <w:t>made</w:t>
      </w:r>
      <w:r w:rsidRPr="00081F6E">
        <w:rPr>
          <w:rFonts w:ascii="Calibri" w:hAnsi="Calibri"/>
          <w:sz w:val="24"/>
          <w:lang w:val="en-GB"/>
        </w:rPr>
        <w:t xml:space="preserve"> publicly available in the Cote d’Ivoire Official Gazette.  </w:t>
      </w:r>
    </w:p>
    <w:p w14:paraId="0EEEB066" w14:textId="77777777" w:rsidR="006A2194" w:rsidRPr="0009530F" w:rsidRDefault="006A2194" w:rsidP="006A2194">
      <w:pPr>
        <w:pStyle w:val="ListParagraph"/>
        <w:spacing w:after="240" w:line="22" w:lineRule="atLeast"/>
        <w:ind w:left="0"/>
        <w:jc w:val="both"/>
        <w:rPr>
          <w:rFonts w:ascii="Calibri" w:hAnsi="Calibri"/>
          <w:sz w:val="24"/>
        </w:rPr>
      </w:pPr>
    </w:p>
    <w:p w14:paraId="75F1E735" w14:textId="376777EF" w:rsidR="006A2194" w:rsidRPr="003A2E57" w:rsidRDefault="008A4EEE" w:rsidP="00E826B9">
      <w:pPr>
        <w:pStyle w:val="ListParagraph"/>
        <w:numPr>
          <w:ilvl w:val="0"/>
          <w:numId w:val="8"/>
        </w:numPr>
        <w:spacing w:after="240" w:line="22" w:lineRule="atLeast"/>
        <w:ind w:left="0" w:firstLine="0"/>
        <w:jc w:val="both"/>
        <w:rPr>
          <w:rFonts w:ascii="Calibri" w:hAnsi="Calibri"/>
          <w:sz w:val="24"/>
        </w:rPr>
      </w:pPr>
      <w:r w:rsidRPr="004D6610">
        <w:rPr>
          <w:rFonts w:ascii="Calibri" w:hAnsi="Calibri"/>
          <w:b/>
          <w:sz w:val="24"/>
        </w:rPr>
        <w:t xml:space="preserve">Despite clear benefits, the transformation of the West African ports has still </w:t>
      </w:r>
      <w:r>
        <w:rPr>
          <w:rFonts w:ascii="Calibri" w:hAnsi="Calibri"/>
          <w:b/>
          <w:sz w:val="24"/>
        </w:rPr>
        <w:t>some way to go</w:t>
      </w:r>
      <w:r w:rsidRPr="004D6610">
        <w:rPr>
          <w:rFonts w:ascii="Calibri" w:hAnsi="Calibri"/>
          <w:b/>
          <w:sz w:val="24"/>
        </w:rPr>
        <w:t>.</w:t>
      </w:r>
      <w:r w:rsidRPr="004D6610">
        <w:rPr>
          <w:rFonts w:ascii="Calibri" w:hAnsi="Calibri"/>
          <w:sz w:val="24"/>
        </w:rPr>
        <w:t xml:space="preserve"> Operators have realized the bulk of the benefits essentially through technical modifications while governments have skirted the structural reforms necessary for deeper and longer lasting change. </w:t>
      </w:r>
      <w:r>
        <w:rPr>
          <w:rFonts w:ascii="Calibri" w:hAnsi="Calibri"/>
          <w:sz w:val="24"/>
          <w:szCs w:val="24"/>
        </w:rPr>
        <w:t>As a result, t</w:t>
      </w:r>
      <w:r w:rsidR="006A2194" w:rsidRPr="008A4EEE">
        <w:rPr>
          <w:rFonts w:ascii="Calibri" w:hAnsi="Calibri"/>
          <w:sz w:val="24"/>
          <w:szCs w:val="24"/>
        </w:rPr>
        <w:t>he negotiated concessions have resulted in mixed outcomes in terms of prices and quality of services.</w:t>
      </w:r>
      <w:r w:rsidR="006A2194" w:rsidRPr="0009530F">
        <w:rPr>
          <w:rFonts w:ascii="Calibri" w:hAnsi="Calibri"/>
          <w:sz w:val="24"/>
          <w:szCs w:val="24"/>
        </w:rPr>
        <w:t xml:space="preserve"> Regarding productivity, the available data suggests that the undeniable gains realized under concessions were primarily linked to the investments in modern container handling equipment and to increasing returns to scale</w:t>
      </w:r>
      <w:r w:rsidR="006A2194">
        <w:rPr>
          <w:rFonts w:ascii="Calibri" w:hAnsi="Calibri"/>
          <w:sz w:val="24"/>
          <w:szCs w:val="24"/>
        </w:rPr>
        <w:t xml:space="preserve"> rather than improvements in operational efficiency</w:t>
      </w:r>
      <w:r w:rsidR="006A2194" w:rsidRPr="0009530F">
        <w:rPr>
          <w:rFonts w:ascii="Calibri" w:hAnsi="Calibri"/>
          <w:sz w:val="24"/>
          <w:szCs w:val="24"/>
        </w:rPr>
        <w:t xml:space="preserve">. </w:t>
      </w:r>
      <w:r w:rsidR="006A1F49">
        <w:rPr>
          <w:rFonts w:ascii="Calibri" w:hAnsi="Calibri"/>
          <w:sz w:val="24"/>
          <w:szCs w:val="24"/>
        </w:rPr>
        <w:t>In general</w:t>
      </w:r>
      <w:r w:rsidR="006A2194" w:rsidRPr="0009530F">
        <w:rPr>
          <w:rFonts w:ascii="Calibri" w:hAnsi="Calibri"/>
          <w:sz w:val="24"/>
          <w:szCs w:val="24"/>
        </w:rPr>
        <w:t>, productivity has not improved as much as could have been expected. Given the high capital intensity and level of fixed costs in the terminal operating business, efficiency gains and continuously growing traffic volumes would have been expected to create margins for tariff reductions. However, prices for end users have not gone down and have increased significantly in some cases, generating substantial profits for TOCs.  In the absence of strong competition in and for the market, regulatory and oversight mechanisms</w:t>
      </w:r>
      <w:r w:rsidR="00B42D0A">
        <w:rPr>
          <w:rFonts w:ascii="Calibri" w:hAnsi="Calibri"/>
          <w:sz w:val="24"/>
          <w:szCs w:val="24"/>
        </w:rPr>
        <w:t xml:space="preserve"> that could trigger a</w:t>
      </w:r>
      <w:r w:rsidR="001014A0">
        <w:rPr>
          <w:rFonts w:ascii="Calibri" w:hAnsi="Calibri"/>
          <w:sz w:val="24"/>
          <w:szCs w:val="24"/>
        </w:rPr>
        <w:t>n increased sharing</w:t>
      </w:r>
      <w:r w:rsidR="00B42D0A">
        <w:rPr>
          <w:rFonts w:ascii="Calibri" w:hAnsi="Calibri"/>
          <w:sz w:val="24"/>
          <w:szCs w:val="24"/>
        </w:rPr>
        <w:t xml:space="preserve"> of profits through automatic tariff adjustment triggers</w:t>
      </w:r>
      <w:r w:rsidR="006A2194" w:rsidRPr="0009530F">
        <w:rPr>
          <w:rFonts w:ascii="Calibri" w:hAnsi="Calibri"/>
          <w:sz w:val="24"/>
          <w:szCs w:val="24"/>
        </w:rPr>
        <w:t xml:space="preserve"> have been insufficiently </w:t>
      </w:r>
      <w:r w:rsidR="00B42D0A">
        <w:rPr>
          <w:rFonts w:ascii="Calibri" w:hAnsi="Calibri"/>
          <w:sz w:val="24"/>
          <w:szCs w:val="24"/>
        </w:rPr>
        <w:t xml:space="preserve">developed to </w:t>
      </w:r>
      <w:r w:rsidR="006A2194" w:rsidRPr="0009530F">
        <w:rPr>
          <w:rFonts w:ascii="Calibri" w:hAnsi="Calibri"/>
          <w:sz w:val="24"/>
          <w:szCs w:val="24"/>
        </w:rPr>
        <w:t>mitigate this risk to date</w:t>
      </w:r>
      <w:r w:rsidR="00EC4995">
        <w:rPr>
          <w:rFonts w:ascii="Calibri" w:hAnsi="Calibri"/>
          <w:sz w:val="24"/>
          <w:szCs w:val="24"/>
        </w:rPr>
        <w:t>.</w:t>
      </w:r>
    </w:p>
    <w:p w14:paraId="1EBBA2E7" w14:textId="77777777" w:rsidR="003A2E57" w:rsidRPr="00613433" w:rsidRDefault="003A2E57" w:rsidP="003A2E57">
      <w:pPr>
        <w:pStyle w:val="ListParagraph"/>
        <w:spacing w:after="240" w:line="22" w:lineRule="atLeast"/>
        <w:ind w:left="0"/>
        <w:jc w:val="both"/>
        <w:rPr>
          <w:rFonts w:ascii="Calibri" w:hAnsi="Calibri"/>
          <w:sz w:val="24"/>
        </w:rPr>
      </w:pPr>
    </w:p>
    <w:p w14:paraId="632BB495" w14:textId="0192D4A9" w:rsidR="003A2E57" w:rsidRDefault="008A4EEE" w:rsidP="00E826B9">
      <w:pPr>
        <w:pStyle w:val="ListParagraph"/>
        <w:numPr>
          <w:ilvl w:val="0"/>
          <w:numId w:val="8"/>
        </w:numPr>
        <w:spacing w:after="240" w:line="22" w:lineRule="atLeast"/>
        <w:ind w:left="0" w:firstLine="0"/>
        <w:jc w:val="both"/>
        <w:rPr>
          <w:rFonts w:ascii="Calibri" w:hAnsi="Calibri"/>
          <w:sz w:val="24"/>
          <w:szCs w:val="24"/>
        </w:rPr>
      </w:pPr>
      <w:r>
        <w:rPr>
          <w:rFonts w:ascii="Calibri" w:hAnsi="Calibri"/>
          <w:b/>
          <w:sz w:val="24"/>
          <w:szCs w:val="24"/>
        </w:rPr>
        <w:t>In spite of</w:t>
      </w:r>
      <w:r w:rsidR="003A2E57" w:rsidRPr="00395387">
        <w:rPr>
          <w:rFonts w:ascii="Calibri" w:hAnsi="Calibri"/>
          <w:b/>
          <w:sz w:val="24"/>
          <w:szCs w:val="24"/>
        </w:rPr>
        <w:t xml:space="preserve"> the recent dampening of economic growth in the region, projected growth of container throughput in West Africa indicates that activity at port terminals </w:t>
      </w:r>
      <w:r w:rsidR="00425BF5">
        <w:rPr>
          <w:rFonts w:ascii="Calibri" w:hAnsi="Calibri"/>
          <w:b/>
          <w:sz w:val="24"/>
          <w:szCs w:val="24"/>
        </w:rPr>
        <w:t>could</w:t>
      </w:r>
      <w:r w:rsidR="00425BF5" w:rsidRPr="00EA214B">
        <w:rPr>
          <w:rFonts w:ascii="Calibri" w:hAnsi="Calibri"/>
          <w:b/>
          <w:sz w:val="24"/>
        </w:rPr>
        <w:t xml:space="preserve"> reach almost </w:t>
      </w:r>
      <w:r w:rsidR="00425BF5">
        <w:rPr>
          <w:rFonts w:ascii="Calibri" w:hAnsi="Calibri"/>
          <w:b/>
          <w:sz w:val="24"/>
        </w:rPr>
        <w:t>6.2</w:t>
      </w:r>
      <w:r w:rsidR="00425BF5" w:rsidRPr="00EA214B">
        <w:rPr>
          <w:rFonts w:ascii="Calibri" w:hAnsi="Calibri"/>
          <w:b/>
          <w:sz w:val="24"/>
        </w:rPr>
        <w:t xml:space="preserve"> million TEUs in 2020</w:t>
      </w:r>
      <w:r w:rsidR="00425BF5" w:rsidRPr="004B2A73">
        <w:rPr>
          <w:rFonts w:ascii="Calibri" w:hAnsi="Calibri"/>
          <w:b/>
          <w:sz w:val="24"/>
        </w:rPr>
        <w:t xml:space="preserve"> and </w:t>
      </w:r>
      <w:r w:rsidR="00425BF5">
        <w:rPr>
          <w:rFonts w:ascii="Calibri" w:hAnsi="Calibri"/>
          <w:b/>
          <w:sz w:val="24"/>
        </w:rPr>
        <w:t>9.0</w:t>
      </w:r>
      <w:r w:rsidR="00425BF5" w:rsidRPr="004B2A73">
        <w:rPr>
          <w:rFonts w:ascii="Calibri" w:hAnsi="Calibri"/>
          <w:b/>
          <w:sz w:val="24"/>
        </w:rPr>
        <w:t xml:space="preserve"> million TEUs in 2025, or </w:t>
      </w:r>
      <w:r w:rsidR="00425BF5">
        <w:rPr>
          <w:rFonts w:ascii="Calibri" w:hAnsi="Calibri"/>
          <w:b/>
          <w:sz w:val="24"/>
        </w:rPr>
        <w:t>a little more than two</w:t>
      </w:r>
      <w:r w:rsidR="00425BF5" w:rsidRPr="004B2A73">
        <w:rPr>
          <w:rFonts w:ascii="Calibri" w:hAnsi="Calibri"/>
          <w:b/>
          <w:sz w:val="24"/>
        </w:rPr>
        <w:t xml:space="preserve"> times its </w:t>
      </w:r>
      <w:r w:rsidR="00425BF5">
        <w:rPr>
          <w:rFonts w:ascii="Calibri" w:hAnsi="Calibri"/>
          <w:b/>
          <w:sz w:val="24"/>
        </w:rPr>
        <w:t xml:space="preserve">2011 </w:t>
      </w:r>
      <w:r w:rsidR="00425BF5" w:rsidRPr="004B2A73">
        <w:rPr>
          <w:rFonts w:ascii="Calibri" w:hAnsi="Calibri"/>
          <w:b/>
          <w:sz w:val="24"/>
        </w:rPr>
        <w:t xml:space="preserve">level </w:t>
      </w:r>
      <w:r w:rsidR="003A2E57">
        <w:rPr>
          <w:rFonts w:ascii="Calibri" w:hAnsi="Calibri"/>
          <w:b/>
          <w:sz w:val="24"/>
          <w:szCs w:val="24"/>
        </w:rPr>
        <w:t>(in the worst case scenario)</w:t>
      </w:r>
      <w:r w:rsidR="003A2E57" w:rsidRPr="00395387">
        <w:rPr>
          <w:rFonts w:ascii="Calibri" w:hAnsi="Calibri"/>
          <w:sz w:val="24"/>
          <w:szCs w:val="24"/>
        </w:rPr>
        <w:t xml:space="preserve">. </w:t>
      </w:r>
      <w:r w:rsidR="00EC4995">
        <w:rPr>
          <w:rFonts w:ascii="Calibri" w:hAnsi="Calibri"/>
          <w:sz w:val="24"/>
          <w:szCs w:val="24"/>
        </w:rPr>
        <w:t xml:space="preserve">In the base scenario, West Africa container traffic could reach 7.5 million TEUs by 2020 and 11.2 million TEUs by 2025; in the optimistic scenario, the corresponding figures could reach 11.2 million TEUs in 2020 and 18.6 million TEUs in 2025. </w:t>
      </w:r>
      <w:r w:rsidR="003A2E57">
        <w:rPr>
          <w:rFonts w:ascii="Calibri" w:hAnsi="Calibri"/>
          <w:sz w:val="24"/>
          <w:szCs w:val="24"/>
        </w:rPr>
        <w:t>Even though lower than during the past decade, s</w:t>
      </w:r>
      <w:r w:rsidR="003A2E57" w:rsidRPr="00395387">
        <w:rPr>
          <w:rFonts w:ascii="Calibri" w:hAnsi="Calibri"/>
          <w:sz w:val="24"/>
          <w:szCs w:val="24"/>
        </w:rPr>
        <w:t xml:space="preserve">uch growth in container trade is expected to strain existing capacities and though productivity </w:t>
      </w:r>
      <w:r w:rsidR="003A2E57">
        <w:rPr>
          <w:rFonts w:ascii="Calibri" w:hAnsi="Calibri"/>
          <w:sz w:val="24"/>
          <w:szCs w:val="24"/>
        </w:rPr>
        <w:t xml:space="preserve">is low </w:t>
      </w:r>
      <w:r w:rsidR="003A2E57" w:rsidRPr="00395387">
        <w:rPr>
          <w:rFonts w:ascii="Calibri" w:hAnsi="Calibri"/>
          <w:sz w:val="24"/>
          <w:szCs w:val="24"/>
        </w:rPr>
        <w:t xml:space="preserve">by international standards, capacity reserves that could be unlocked by improved performances would be insufficient to accommodate growth of this magnitude. </w:t>
      </w:r>
      <w:r w:rsidR="001209A5">
        <w:rPr>
          <w:rFonts w:ascii="Calibri" w:hAnsi="Calibri"/>
          <w:sz w:val="24"/>
          <w:szCs w:val="24"/>
        </w:rPr>
        <w:t>Meeting the challenge of this</w:t>
      </w:r>
      <w:r w:rsidR="003A2E57" w:rsidRPr="00395387">
        <w:rPr>
          <w:rFonts w:ascii="Calibri" w:hAnsi="Calibri"/>
          <w:sz w:val="24"/>
          <w:szCs w:val="24"/>
        </w:rPr>
        <w:t xml:space="preserve"> future demand will not </w:t>
      </w:r>
      <w:r w:rsidR="003A2E57" w:rsidRPr="00E23C91">
        <w:rPr>
          <w:rFonts w:ascii="Calibri" w:hAnsi="Calibri"/>
          <w:sz w:val="24"/>
          <w:szCs w:val="24"/>
        </w:rPr>
        <w:t>only</w:t>
      </w:r>
      <w:r w:rsidR="003A2E57" w:rsidRPr="00395387">
        <w:rPr>
          <w:rFonts w:ascii="Calibri" w:hAnsi="Calibri"/>
          <w:sz w:val="24"/>
          <w:szCs w:val="24"/>
        </w:rPr>
        <w:t xml:space="preserve"> require expanding terminal capacity in existing ports but also</w:t>
      </w:r>
      <w:r w:rsidR="001209A5">
        <w:rPr>
          <w:rFonts w:ascii="Calibri" w:hAnsi="Calibri"/>
          <w:sz w:val="24"/>
          <w:szCs w:val="24"/>
        </w:rPr>
        <w:t xml:space="preserve"> building</w:t>
      </w:r>
      <w:r w:rsidR="003A2E57" w:rsidRPr="00395387">
        <w:rPr>
          <w:rFonts w:ascii="Calibri" w:hAnsi="Calibri"/>
          <w:sz w:val="24"/>
          <w:szCs w:val="24"/>
        </w:rPr>
        <w:t xml:space="preserve"> new ports, thus justifying the pipeline of port projects already announced by port authorities and terminal operating companies.</w:t>
      </w:r>
      <w:r w:rsidR="00F46AAC">
        <w:rPr>
          <w:rFonts w:ascii="Calibri" w:hAnsi="Calibri"/>
          <w:sz w:val="24"/>
          <w:szCs w:val="24"/>
        </w:rPr>
        <w:t xml:space="preserve"> </w:t>
      </w:r>
    </w:p>
    <w:p w14:paraId="78F4FD4E" w14:textId="77777777" w:rsidR="00F46AAC" w:rsidRPr="00212D01" w:rsidRDefault="00F46AAC" w:rsidP="00F46AAC">
      <w:pPr>
        <w:pStyle w:val="ListParagraph"/>
        <w:spacing w:after="240" w:line="22" w:lineRule="atLeast"/>
        <w:ind w:left="0"/>
        <w:jc w:val="both"/>
        <w:rPr>
          <w:rFonts w:ascii="Calibri" w:hAnsi="Calibri"/>
          <w:sz w:val="24"/>
          <w:szCs w:val="24"/>
        </w:rPr>
      </w:pPr>
    </w:p>
    <w:p w14:paraId="2B92C0EF" w14:textId="1FD2719A" w:rsidR="00F46AAC" w:rsidRPr="00212D01" w:rsidRDefault="00F46AAC" w:rsidP="00E826B9">
      <w:pPr>
        <w:pStyle w:val="ListParagraph"/>
        <w:numPr>
          <w:ilvl w:val="0"/>
          <w:numId w:val="8"/>
        </w:numPr>
        <w:spacing w:after="240" w:line="22" w:lineRule="atLeast"/>
        <w:ind w:left="0" w:firstLine="0"/>
        <w:jc w:val="both"/>
        <w:rPr>
          <w:rFonts w:ascii="Calibri" w:hAnsi="Calibri"/>
          <w:sz w:val="24"/>
          <w:szCs w:val="24"/>
        </w:rPr>
      </w:pPr>
      <w:r w:rsidRPr="00212D01">
        <w:rPr>
          <w:rFonts w:ascii="Calibri" w:hAnsi="Calibri"/>
          <w:b/>
          <w:sz w:val="24"/>
          <w:szCs w:val="24"/>
        </w:rPr>
        <w:lastRenderedPageBreak/>
        <w:t xml:space="preserve">The major capacity development projects will require complementary investment in the nautical infrastructure, which is traditionally the responsibility of the public sector. </w:t>
      </w:r>
      <w:r w:rsidRPr="00212D01">
        <w:rPr>
          <w:rFonts w:ascii="Calibri" w:hAnsi="Calibri"/>
          <w:sz w:val="24"/>
          <w:szCs w:val="24"/>
        </w:rPr>
        <w:t>Even for ports which have sufficient land and marine reserves to accommodate new terminals, such as Abidjan or Lomé, the development of new terminals will require extension of the protection infrastructure facing the sea, deepening of the access channel, and extension of the turning basin. For the ports developed in greenfield sites, such as Lekki and Badagry, a completely new nautical infrastructure needs to be created. Although West Africa, following the trend everywhere else in the world, has given TOCs a greater role in the management and financing of the container terminals, the provision of nautical infrastructure remains the responsibility of national or regional public entities. Consequently, in addition to terminal operator investments, a significant amount of public investment, either funded by the port authority or the national or local governments, will be required for the concomitant upgrade or creation of the nautical infrastructure</w:t>
      </w:r>
    </w:p>
    <w:p w14:paraId="2A15785A" w14:textId="6D35A3AE" w:rsidR="008A4EEE" w:rsidRPr="003A2E57" w:rsidRDefault="008A4EEE" w:rsidP="003A2E57">
      <w:pPr>
        <w:spacing w:after="0" w:line="22" w:lineRule="atLeast"/>
        <w:jc w:val="both"/>
        <w:rPr>
          <w:rFonts w:ascii="Calibri" w:hAnsi="Calibri"/>
          <w:sz w:val="24"/>
        </w:rPr>
      </w:pPr>
    </w:p>
    <w:p w14:paraId="67292DED" w14:textId="77777777" w:rsidR="006A2194" w:rsidRPr="004B2A73" w:rsidRDefault="006A2194" w:rsidP="006A2194">
      <w:pPr>
        <w:spacing w:after="240" w:line="22" w:lineRule="atLeast"/>
        <w:jc w:val="both"/>
      </w:pPr>
      <w:r w:rsidRPr="00E50053">
        <w:rPr>
          <w:rFonts w:ascii="Calibri" w:hAnsi="Calibri"/>
          <w:b/>
        </w:rPr>
        <w:t>C – Way Forward and Recommendations</w:t>
      </w:r>
    </w:p>
    <w:p w14:paraId="00E5B2BC" w14:textId="4AADE339" w:rsidR="007571A1" w:rsidRDefault="007571A1" w:rsidP="00E826B9">
      <w:pPr>
        <w:pStyle w:val="ListParagraph"/>
        <w:numPr>
          <w:ilvl w:val="0"/>
          <w:numId w:val="8"/>
        </w:numPr>
        <w:spacing w:after="240" w:line="22" w:lineRule="atLeast"/>
        <w:ind w:left="0" w:firstLine="0"/>
        <w:jc w:val="both"/>
        <w:rPr>
          <w:rFonts w:ascii="Calibri" w:hAnsi="Calibri"/>
          <w:sz w:val="24"/>
        </w:rPr>
      </w:pPr>
      <w:r>
        <w:rPr>
          <w:rFonts w:ascii="Calibri" w:hAnsi="Calibri"/>
          <w:sz w:val="24"/>
        </w:rPr>
        <w:t>Three categories of recommendations are proposed, with a particular focus on: (</w:t>
      </w:r>
      <w:r w:rsidR="001E1CAC">
        <w:rPr>
          <w:rFonts w:ascii="Calibri" w:hAnsi="Calibri"/>
          <w:sz w:val="24"/>
        </w:rPr>
        <w:t>a</w:t>
      </w:r>
      <w:r>
        <w:rPr>
          <w:rFonts w:ascii="Calibri" w:hAnsi="Calibri"/>
          <w:sz w:val="24"/>
        </w:rPr>
        <w:t>) increasing the efficiency of port operations; (</w:t>
      </w:r>
      <w:r w:rsidR="001E1CAC">
        <w:rPr>
          <w:rFonts w:ascii="Calibri" w:hAnsi="Calibri"/>
          <w:sz w:val="24"/>
        </w:rPr>
        <w:t>b</w:t>
      </w:r>
      <w:r>
        <w:rPr>
          <w:rFonts w:ascii="Calibri" w:hAnsi="Calibri"/>
          <w:sz w:val="24"/>
        </w:rPr>
        <w:t>) improving the regulatory environment; and (</w:t>
      </w:r>
      <w:r w:rsidR="001E1CAC">
        <w:rPr>
          <w:rFonts w:ascii="Calibri" w:hAnsi="Calibri"/>
          <w:sz w:val="24"/>
        </w:rPr>
        <w:t>c</w:t>
      </w:r>
      <w:r>
        <w:rPr>
          <w:rFonts w:ascii="Calibri" w:hAnsi="Calibri"/>
          <w:sz w:val="24"/>
        </w:rPr>
        <w:t>) optimizing port development with a regional perspective.</w:t>
      </w:r>
    </w:p>
    <w:p w14:paraId="1D350BC4" w14:textId="1E77D9FF" w:rsidR="007571A1" w:rsidRDefault="007571A1" w:rsidP="00D12966">
      <w:pPr>
        <w:pStyle w:val="ListParagraph"/>
        <w:spacing w:after="240" w:line="22" w:lineRule="atLeast"/>
        <w:ind w:left="0"/>
        <w:jc w:val="both"/>
        <w:rPr>
          <w:rFonts w:ascii="Calibri" w:hAnsi="Calibri"/>
          <w:sz w:val="24"/>
        </w:rPr>
      </w:pPr>
    </w:p>
    <w:p w14:paraId="76F2D6F0" w14:textId="27776D0F" w:rsidR="007571A1" w:rsidRPr="00D12966" w:rsidRDefault="00133278" w:rsidP="00877037">
      <w:pPr>
        <w:pStyle w:val="ListParagraph"/>
        <w:spacing w:after="240" w:line="22" w:lineRule="atLeast"/>
        <w:jc w:val="both"/>
        <w:rPr>
          <w:rFonts w:ascii="Calibri" w:hAnsi="Calibri"/>
          <w:b/>
          <w:i/>
          <w:sz w:val="24"/>
        </w:rPr>
      </w:pPr>
      <w:r>
        <w:rPr>
          <w:rFonts w:ascii="Calibri" w:hAnsi="Calibri"/>
          <w:b/>
          <w:i/>
          <w:sz w:val="24"/>
        </w:rPr>
        <w:t xml:space="preserve">A - </w:t>
      </w:r>
      <w:r w:rsidR="007571A1">
        <w:rPr>
          <w:rFonts w:ascii="Calibri" w:hAnsi="Calibri"/>
          <w:b/>
          <w:i/>
          <w:sz w:val="24"/>
        </w:rPr>
        <w:t>Increasing the efficiency of port operations</w:t>
      </w:r>
    </w:p>
    <w:p w14:paraId="779542DC" w14:textId="77777777" w:rsidR="007B47EC" w:rsidRPr="00C038A0" w:rsidRDefault="007B47EC">
      <w:pPr>
        <w:pStyle w:val="ListParagraph"/>
        <w:spacing w:after="240" w:line="22" w:lineRule="atLeast"/>
        <w:ind w:left="0"/>
        <w:jc w:val="both"/>
        <w:rPr>
          <w:rFonts w:ascii="Calibri" w:hAnsi="Calibri"/>
          <w:sz w:val="24"/>
        </w:rPr>
      </w:pPr>
    </w:p>
    <w:p w14:paraId="15FF903A" w14:textId="77777777" w:rsidR="00840C80" w:rsidRPr="00F87F90" w:rsidRDefault="00840C80" w:rsidP="00E826B9">
      <w:pPr>
        <w:pStyle w:val="ListParagraph"/>
        <w:numPr>
          <w:ilvl w:val="0"/>
          <w:numId w:val="8"/>
        </w:numPr>
        <w:spacing w:after="240" w:line="22" w:lineRule="atLeast"/>
        <w:ind w:left="0" w:firstLine="0"/>
        <w:jc w:val="both"/>
        <w:rPr>
          <w:rFonts w:ascii="Calibri" w:hAnsi="Calibri"/>
          <w:sz w:val="24"/>
        </w:rPr>
      </w:pPr>
      <w:r w:rsidRPr="00A61CFB">
        <w:rPr>
          <w:rFonts w:ascii="Calibri" w:hAnsi="Calibri"/>
          <w:b/>
          <w:sz w:val="24"/>
        </w:rPr>
        <w:t>Improved Concessions Performance Indicators Monitoring</w:t>
      </w:r>
      <w:r>
        <w:rPr>
          <w:rFonts w:ascii="Calibri" w:hAnsi="Calibri"/>
          <w:sz w:val="24"/>
        </w:rPr>
        <w:t xml:space="preserve">. </w:t>
      </w:r>
      <w:r w:rsidRPr="004B2A73">
        <w:rPr>
          <w:rFonts w:ascii="Calibri" w:hAnsi="Calibri"/>
          <w:sz w:val="24"/>
        </w:rPr>
        <w:t xml:space="preserve">Currently productivity measures included in contract documents are ad hoc and ill-defined and can often be misleading in their ranking of ports. Explicit and standardized measures of efficiency such as </w:t>
      </w:r>
      <w:r w:rsidRPr="00E23C91">
        <w:rPr>
          <w:rFonts w:ascii="Calibri" w:hAnsi="Calibri"/>
          <w:sz w:val="24"/>
          <w:szCs w:val="24"/>
        </w:rPr>
        <w:t>productivity</w:t>
      </w:r>
      <w:r w:rsidRPr="00E23C91">
        <w:rPr>
          <w:rFonts w:ascii="Calibri" w:hAnsi="Calibri"/>
          <w:sz w:val="24"/>
        </w:rPr>
        <w:t xml:space="preserve"> </w:t>
      </w:r>
      <w:r w:rsidRPr="00E86A33">
        <w:rPr>
          <w:rFonts w:ascii="Calibri" w:hAnsi="Calibri"/>
          <w:sz w:val="24"/>
        </w:rPr>
        <w:t>(output versus time) and cost effectiveness (output versus cost) are recommended. Collecting and publicizing data on these indicators over a period of time will permit benchmarking the relative and absolute performance of each concessionaire and further competition.</w:t>
      </w:r>
    </w:p>
    <w:p w14:paraId="084CC329" w14:textId="77777777" w:rsidR="00840C80" w:rsidRDefault="00840C80" w:rsidP="00840C80">
      <w:pPr>
        <w:pStyle w:val="ListParagraph"/>
        <w:spacing w:after="0" w:line="22" w:lineRule="atLeast"/>
        <w:ind w:left="0"/>
        <w:rPr>
          <w:rFonts w:ascii="Calibri" w:hAnsi="Calibri"/>
          <w:sz w:val="24"/>
        </w:rPr>
      </w:pPr>
    </w:p>
    <w:tbl>
      <w:tblPr>
        <w:tblStyle w:val="TableGrid"/>
        <w:tblW w:w="0" w:type="auto"/>
        <w:tblLook w:val="04A0" w:firstRow="1" w:lastRow="0" w:firstColumn="1" w:lastColumn="0" w:noHBand="0" w:noVBand="1"/>
      </w:tblPr>
      <w:tblGrid>
        <w:gridCol w:w="9350"/>
      </w:tblGrid>
      <w:tr w:rsidR="00840C80" w14:paraId="6B705379" w14:textId="77777777" w:rsidTr="00F71DDE">
        <w:tc>
          <w:tcPr>
            <w:tcW w:w="9350" w:type="dxa"/>
          </w:tcPr>
          <w:p w14:paraId="03E7B751" w14:textId="20CFBD74" w:rsidR="00840C80" w:rsidRPr="00F87F90" w:rsidRDefault="00840C80" w:rsidP="00F71DDE">
            <w:pPr>
              <w:pStyle w:val="ListParagraph"/>
              <w:spacing w:line="22" w:lineRule="atLeast"/>
              <w:ind w:left="0"/>
              <w:rPr>
                <w:rFonts w:ascii="Calibri" w:hAnsi="Calibri"/>
                <w:sz w:val="24"/>
              </w:rPr>
            </w:pPr>
            <w:r>
              <w:rPr>
                <w:rFonts w:ascii="Calibri" w:hAnsi="Calibri"/>
                <w:sz w:val="24"/>
                <w:u w:val="single"/>
              </w:rPr>
              <w:t xml:space="preserve">Recommendation </w:t>
            </w:r>
            <w:r w:rsidR="00133278">
              <w:rPr>
                <w:rFonts w:ascii="Calibri" w:hAnsi="Calibri"/>
                <w:sz w:val="24"/>
                <w:u w:val="single"/>
              </w:rPr>
              <w:t>01</w:t>
            </w:r>
            <w:r>
              <w:rPr>
                <w:rFonts w:ascii="Calibri" w:hAnsi="Calibri"/>
                <w:sz w:val="24"/>
                <w:u w:val="single"/>
              </w:rPr>
              <w:t>:</w:t>
            </w:r>
            <w:r>
              <w:rPr>
                <w:rFonts w:ascii="Calibri" w:hAnsi="Calibri"/>
                <w:sz w:val="24"/>
              </w:rPr>
              <w:t xml:space="preserve"> Include both productivity and cost-effectiveness performance indicators in concession agreements, together with adequate incentives, based on best practices in the industry.  </w:t>
            </w:r>
          </w:p>
        </w:tc>
      </w:tr>
    </w:tbl>
    <w:p w14:paraId="4F3F39E0" w14:textId="77777777" w:rsidR="00840C80" w:rsidRDefault="00840C80" w:rsidP="00840C80">
      <w:pPr>
        <w:pStyle w:val="ListParagraph"/>
        <w:spacing w:after="0" w:line="22" w:lineRule="atLeast"/>
        <w:ind w:left="0"/>
        <w:rPr>
          <w:rFonts w:ascii="Calibri" w:hAnsi="Calibri"/>
          <w:sz w:val="24"/>
        </w:rPr>
      </w:pPr>
    </w:p>
    <w:p w14:paraId="3432E04B" w14:textId="53F02A01" w:rsidR="007B47EC" w:rsidRPr="001264F6" w:rsidRDefault="007B47EC" w:rsidP="00E826B9">
      <w:pPr>
        <w:pStyle w:val="ListParagraph"/>
        <w:numPr>
          <w:ilvl w:val="0"/>
          <w:numId w:val="8"/>
        </w:numPr>
        <w:spacing w:after="240" w:line="22" w:lineRule="atLeast"/>
        <w:ind w:left="0" w:firstLine="0"/>
        <w:jc w:val="both"/>
        <w:rPr>
          <w:rFonts w:ascii="Calibri" w:hAnsi="Calibri"/>
          <w:sz w:val="24"/>
          <w:szCs w:val="24"/>
        </w:rPr>
      </w:pPr>
      <w:r w:rsidRPr="0085559F">
        <w:rPr>
          <w:rFonts w:ascii="Calibri" w:hAnsi="Calibri"/>
          <w:b/>
          <w:sz w:val="24"/>
        </w:rPr>
        <w:t>Transparency and Regional Comparisons</w:t>
      </w:r>
      <w:r>
        <w:rPr>
          <w:rFonts w:ascii="Calibri" w:hAnsi="Calibri"/>
          <w:sz w:val="24"/>
        </w:rPr>
        <w:t xml:space="preserve">. </w:t>
      </w:r>
      <w:r w:rsidRPr="0079778E">
        <w:rPr>
          <w:rFonts w:ascii="Calibri" w:hAnsi="Calibri"/>
          <w:sz w:val="24"/>
        </w:rPr>
        <w:t xml:space="preserve">Generalizing the publication of tariffs and key performance indicators is the first step to improve transparency and facilitate policymaking.  </w:t>
      </w:r>
      <w:r w:rsidR="00D63127">
        <w:rPr>
          <w:rFonts w:ascii="Calibri" w:hAnsi="Calibri"/>
          <w:sz w:val="24"/>
        </w:rPr>
        <w:t>It would then be possible</w:t>
      </w:r>
      <w:r w:rsidRPr="0079778E">
        <w:rPr>
          <w:rFonts w:ascii="Calibri" w:hAnsi="Calibri"/>
          <w:sz w:val="24"/>
        </w:rPr>
        <w:t xml:space="preserve"> to formalize customer feedback loops by including specific provisions to this effect in concession agreements, complemented by mandatory disclosure provisions.  The data collected through these systematic feedback processes at the local port level could then form the basis for a region-wide database that would allow meaningful comparisons between facilities and also hopefully nurture some emulation between them.</w:t>
      </w:r>
    </w:p>
    <w:p w14:paraId="1ED36627" w14:textId="5B2BCEC9" w:rsidR="007B47EC" w:rsidRDefault="007B47EC" w:rsidP="007B47EC">
      <w:pPr>
        <w:pStyle w:val="ListParagraph"/>
        <w:spacing w:after="240" w:line="22" w:lineRule="atLeast"/>
        <w:ind w:left="0"/>
        <w:rPr>
          <w:rFonts w:ascii="Calibri" w:hAnsi="Calibri"/>
          <w:sz w:val="24"/>
          <w:szCs w:val="24"/>
        </w:rPr>
      </w:pPr>
    </w:p>
    <w:tbl>
      <w:tblPr>
        <w:tblStyle w:val="TableGrid"/>
        <w:tblW w:w="0" w:type="auto"/>
        <w:tblLook w:val="04A0" w:firstRow="1" w:lastRow="0" w:firstColumn="1" w:lastColumn="0" w:noHBand="0" w:noVBand="1"/>
      </w:tblPr>
      <w:tblGrid>
        <w:gridCol w:w="9350"/>
      </w:tblGrid>
      <w:tr w:rsidR="007B47EC" w14:paraId="0534D508" w14:textId="77777777" w:rsidTr="007B47EC">
        <w:tc>
          <w:tcPr>
            <w:tcW w:w="9350" w:type="dxa"/>
          </w:tcPr>
          <w:p w14:paraId="06730288" w14:textId="5CA3CA4E" w:rsidR="007B47EC" w:rsidRDefault="00276B00" w:rsidP="00D12966">
            <w:pPr>
              <w:pStyle w:val="ListParagraph"/>
              <w:spacing w:line="22" w:lineRule="atLeast"/>
              <w:ind w:left="0"/>
              <w:rPr>
                <w:rFonts w:ascii="Calibri" w:hAnsi="Calibri"/>
                <w:sz w:val="24"/>
                <w:szCs w:val="24"/>
              </w:rPr>
            </w:pPr>
            <w:r w:rsidRPr="00D12966">
              <w:rPr>
                <w:rFonts w:ascii="Calibri" w:hAnsi="Calibri"/>
                <w:sz w:val="24"/>
                <w:szCs w:val="24"/>
                <w:u w:val="single"/>
              </w:rPr>
              <w:t xml:space="preserve">Recommendation </w:t>
            </w:r>
            <w:r w:rsidR="00133278">
              <w:rPr>
                <w:rFonts w:ascii="Calibri" w:hAnsi="Calibri"/>
                <w:sz w:val="24"/>
                <w:szCs w:val="24"/>
                <w:u w:val="single"/>
              </w:rPr>
              <w:t>02</w:t>
            </w:r>
            <w:r>
              <w:rPr>
                <w:rFonts w:ascii="Calibri" w:hAnsi="Calibri"/>
                <w:sz w:val="24"/>
                <w:szCs w:val="24"/>
              </w:rPr>
              <w:t xml:space="preserve">: Include a disclosure clause in the concession agreements so that tariffs and key performance indicators are periodically published. </w:t>
            </w:r>
          </w:p>
        </w:tc>
      </w:tr>
    </w:tbl>
    <w:p w14:paraId="74AF6E01" w14:textId="77777777" w:rsidR="007B47EC" w:rsidRPr="004B2A73" w:rsidRDefault="007B47EC" w:rsidP="007B47EC">
      <w:pPr>
        <w:pStyle w:val="ListParagraph"/>
        <w:spacing w:after="240" w:line="22" w:lineRule="atLeast"/>
        <w:ind w:left="0"/>
        <w:rPr>
          <w:rFonts w:ascii="Calibri" w:hAnsi="Calibri"/>
          <w:sz w:val="24"/>
          <w:szCs w:val="24"/>
        </w:rPr>
      </w:pPr>
    </w:p>
    <w:p w14:paraId="44F1C399" w14:textId="2B9F92BF" w:rsidR="007571A1" w:rsidRPr="00D12966" w:rsidRDefault="00133278" w:rsidP="00877037">
      <w:pPr>
        <w:pStyle w:val="ListParagraph"/>
        <w:spacing w:after="240" w:line="22" w:lineRule="atLeast"/>
        <w:jc w:val="both"/>
        <w:rPr>
          <w:rFonts w:ascii="Calibri" w:hAnsi="Calibri"/>
          <w:b/>
          <w:i/>
          <w:sz w:val="24"/>
        </w:rPr>
      </w:pPr>
      <w:r>
        <w:rPr>
          <w:rFonts w:ascii="Calibri" w:hAnsi="Calibri"/>
          <w:b/>
          <w:i/>
          <w:sz w:val="24"/>
        </w:rPr>
        <w:t xml:space="preserve">B - </w:t>
      </w:r>
      <w:r w:rsidR="007571A1">
        <w:rPr>
          <w:rFonts w:ascii="Calibri" w:hAnsi="Calibri"/>
          <w:b/>
          <w:i/>
          <w:sz w:val="24"/>
        </w:rPr>
        <w:t>Improving the regulatory environment</w:t>
      </w:r>
    </w:p>
    <w:p w14:paraId="11C180D2" w14:textId="77777777" w:rsidR="007571A1" w:rsidRPr="004B2A73" w:rsidRDefault="007571A1" w:rsidP="006A2194">
      <w:pPr>
        <w:pStyle w:val="ListParagraph"/>
        <w:spacing w:after="0" w:line="22" w:lineRule="atLeast"/>
        <w:ind w:left="0"/>
        <w:rPr>
          <w:rFonts w:ascii="Calibri" w:hAnsi="Calibri"/>
          <w:sz w:val="24"/>
        </w:rPr>
      </w:pPr>
    </w:p>
    <w:p w14:paraId="4EB43F41" w14:textId="29298265" w:rsidR="007571A1" w:rsidRDefault="007571A1" w:rsidP="00E826B9">
      <w:pPr>
        <w:pStyle w:val="ListParagraph"/>
        <w:numPr>
          <w:ilvl w:val="0"/>
          <w:numId w:val="8"/>
        </w:numPr>
        <w:spacing w:after="240" w:line="22" w:lineRule="atLeast"/>
        <w:ind w:left="0" w:firstLine="0"/>
        <w:jc w:val="both"/>
        <w:rPr>
          <w:rFonts w:ascii="Calibri" w:hAnsi="Calibri"/>
          <w:sz w:val="24"/>
        </w:rPr>
      </w:pPr>
      <w:r w:rsidRPr="004B2A73">
        <w:rPr>
          <w:rFonts w:ascii="Calibri" w:hAnsi="Calibri"/>
          <w:b/>
          <w:sz w:val="24"/>
        </w:rPr>
        <w:t>Policies, which harmonize regulatory oversight of monopolistic activities with fostering competition, will do much to improve the economic outcome of private sector involvement in the port sector.</w:t>
      </w:r>
      <w:r w:rsidRPr="004B2A73">
        <w:rPr>
          <w:rFonts w:ascii="Calibri" w:hAnsi="Calibri"/>
          <w:sz w:val="24"/>
        </w:rPr>
        <w:t xml:space="preserve">  In other parts of the world, the potential market power of TOCs is checked through a combination of inter and intra- port competition</w:t>
      </w:r>
      <w:r>
        <w:rPr>
          <w:rFonts w:ascii="Calibri" w:hAnsi="Calibri"/>
          <w:sz w:val="24"/>
        </w:rPr>
        <w:t xml:space="preserve"> as well as independent regulatory/oversight entities</w:t>
      </w:r>
      <w:r w:rsidRPr="004B2A73">
        <w:rPr>
          <w:rFonts w:ascii="Calibri" w:hAnsi="Calibri"/>
          <w:sz w:val="24"/>
        </w:rPr>
        <w:t xml:space="preserve">.  Ex-post, inter-port competition in West Africa is currently hindered by barriers to </w:t>
      </w:r>
      <w:r w:rsidRPr="00E23C91">
        <w:rPr>
          <w:rFonts w:ascii="Calibri" w:hAnsi="Calibri"/>
          <w:sz w:val="24"/>
        </w:rPr>
        <w:t xml:space="preserve">inland </w:t>
      </w:r>
      <w:r w:rsidRPr="00E23C91">
        <w:rPr>
          <w:rFonts w:ascii="Calibri" w:hAnsi="Calibri"/>
          <w:sz w:val="24"/>
          <w:szCs w:val="24"/>
        </w:rPr>
        <w:t>transport</w:t>
      </w:r>
      <w:r w:rsidRPr="00E23C91">
        <w:rPr>
          <w:rFonts w:ascii="Calibri" w:hAnsi="Calibri"/>
          <w:sz w:val="24"/>
        </w:rPr>
        <w:t xml:space="preserve"> a</w:t>
      </w:r>
      <w:r w:rsidRPr="004B2A73">
        <w:rPr>
          <w:rFonts w:ascii="Calibri" w:hAnsi="Calibri"/>
          <w:sz w:val="24"/>
        </w:rPr>
        <w:t>nd cross-country movement of traffic and goods which impact the availability of contestable hinterlands</w:t>
      </w:r>
      <w:r>
        <w:rPr>
          <w:rFonts w:ascii="Calibri" w:hAnsi="Calibri"/>
          <w:sz w:val="24"/>
        </w:rPr>
        <w:t xml:space="preserve">, </w:t>
      </w:r>
      <w:r w:rsidRPr="00E86A33">
        <w:rPr>
          <w:rFonts w:ascii="Calibri" w:hAnsi="Calibri"/>
          <w:sz w:val="24"/>
        </w:rPr>
        <w:t xml:space="preserve">while ex-ante, </w:t>
      </w:r>
      <w:r w:rsidRPr="004B2A73">
        <w:rPr>
          <w:rFonts w:ascii="Calibri" w:hAnsi="Calibri"/>
          <w:sz w:val="24"/>
        </w:rPr>
        <w:t xml:space="preserve">intra-port competition is possible only in a few ports where traffic is high enough to </w:t>
      </w:r>
      <w:r>
        <w:rPr>
          <w:rFonts w:ascii="Calibri" w:hAnsi="Calibri"/>
          <w:sz w:val="24"/>
        </w:rPr>
        <w:t>sustain</w:t>
      </w:r>
      <w:r w:rsidRPr="004B2A73">
        <w:rPr>
          <w:rFonts w:ascii="Calibri" w:hAnsi="Calibri"/>
          <w:sz w:val="24"/>
        </w:rPr>
        <w:t xml:space="preserve"> more than one </w:t>
      </w:r>
      <w:r>
        <w:rPr>
          <w:rFonts w:ascii="Calibri" w:hAnsi="Calibri"/>
          <w:sz w:val="24"/>
        </w:rPr>
        <w:t xml:space="preserve">terminal </w:t>
      </w:r>
      <w:r w:rsidRPr="004B2A73">
        <w:rPr>
          <w:rFonts w:ascii="Calibri" w:hAnsi="Calibri"/>
          <w:sz w:val="24"/>
        </w:rPr>
        <w:t>operator</w:t>
      </w:r>
      <w:r>
        <w:rPr>
          <w:rFonts w:ascii="Calibri" w:hAnsi="Calibri"/>
          <w:sz w:val="24"/>
        </w:rPr>
        <w:t>.</w:t>
      </w:r>
      <w:r w:rsidRPr="004B2A73">
        <w:rPr>
          <w:rFonts w:ascii="Calibri" w:hAnsi="Calibri"/>
          <w:sz w:val="24"/>
        </w:rPr>
        <w:t xml:space="preserve"> </w:t>
      </w:r>
    </w:p>
    <w:p w14:paraId="387C1CAF" w14:textId="77777777" w:rsidR="007571A1" w:rsidRDefault="007571A1" w:rsidP="00D12966">
      <w:pPr>
        <w:pStyle w:val="ListParagraph"/>
        <w:spacing w:after="240" w:line="22" w:lineRule="atLeast"/>
        <w:ind w:left="0"/>
        <w:jc w:val="both"/>
        <w:rPr>
          <w:rFonts w:ascii="Calibri" w:hAnsi="Calibri"/>
          <w:sz w:val="24"/>
        </w:rPr>
      </w:pPr>
    </w:p>
    <w:p w14:paraId="08E7F425" w14:textId="71529BE8" w:rsidR="006A2194" w:rsidRDefault="006A2194" w:rsidP="00E826B9">
      <w:pPr>
        <w:pStyle w:val="ListParagraph"/>
        <w:numPr>
          <w:ilvl w:val="0"/>
          <w:numId w:val="8"/>
        </w:numPr>
        <w:spacing w:after="240" w:line="22" w:lineRule="atLeast"/>
        <w:ind w:left="0" w:firstLine="0"/>
        <w:jc w:val="both"/>
        <w:rPr>
          <w:rFonts w:ascii="Calibri" w:hAnsi="Calibri"/>
          <w:sz w:val="24"/>
        </w:rPr>
      </w:pPr>
      <w:r w:rsidRPr="004B2A73">
        <w:rPr>
          <w:rFonts w:ascii="Calibri" w:hAnsi="Calibri"/>
          <w:b/>
          <w:sz w:val="24"/>
        </w:rPr>
        <w:t xml:space="preserve">These limitations may be overcome </w:t>
      </w:r>
      <w:r w:rsidRPr="004B2A73">
        <w:rPr>
          <w:rFonts w:ascii="Calibri" w:hAnsi="Calibri"/>
          <w:sz w:val="24"/>
        </w:rPr>
        <w:t>if there is, for example, sufficient competition for the market (by auctioning the right to operate a port or operate within a port) that allows</w:t>
      </w:r>
      <w:r>
        <w:rPr>
          <w:rFonts w:ascii="Calibri" w:hAnsi="Calibri"/>
          <w:sz w:val="24"/>
        </w:rPr>
        <w:t xml:space="preserve"> reduction or elimination of monopoly rents</w:t>
      </w:r>
      <w:r w:rsidRPr="004B2A73">
        <w:rPr>
          <w:rFonts w:ascii="Calibri" w:hAnsi="Calibri"/>
          <w:sz w:val="24"/>
        </w:rPr>
        <w:t xml:space="preserve"> through </w:t>
      </w:r>
      <w:r>
        <w:rPr>
          <w:rFonts w:ascii="Calibri" w:hAnsi="Calibri"/>
          <w:sz w:val="24"/>
        </w:rPr>
        <w:t>a fair, transparent</w:t>
      </w:r>
      <w:r w:rsidRPr="004B2A73">
        <w:rPr>
          <w:rFonts w:ascii="Calibri" w:hAnsi="Calibri"/>
          <w:sz w:val="24"/>
        </w:rPr>
        <w:t xml:space="preserve"> </w:t>
      </w:r>
      <w:r>
        <w:rPr>
          <w:rFonts w:ascii="Calibri" w:hAnsi="Calibri"/>
          <w:sz w:val="24"/>
        </w:rPr>
        <w:t xml:space="preserve">and public </w:t>
      </w:r>
      <w:r w:rsidRPr="004B2A73">
        <w:rPr>
          <w:rFonts w:ascii="Calibri" w:hAnsi="Calibri"/>
          <w:sz w:val="24"/>
        </w:rPr>
        <w:t>tendering process. Equally, depending on the criteria for the award of the concession,</w:t>
      </w:r>
      <w:r w:rsidRPr="00E23C91">
        <w:rPr>
          <w:rFonts w:ascii="Calibri" w:hAnsi="Calibri"/>
          <w:sz w:val="24"/>
        </w:rPr>
        <w:t xml:space="preserve"> </w:t>
      </w:r>
      <w:r w:rsidRPr="00E23C91">
        <w:rPr>
          <w:rFonts w:ascii="Calibri" w:hAnsi="Calibri"/>
          <w:sz w:val="24"/>
          <w:szCs w:val="24"/>
        </w:rPr>
        <w:t>the</w:t>
      </w:r>
      <w:r w:rsidRPr="004B2A73">
        <w:rPr>
          <w:rFonts w:ascii="Calibri" w:hAnsi="Calibri"/>
          <w:sz w:val="24"/>
        </w:rPr>
        <w:t xml:space="preserve"> conceding authority could </w:t>
      </w:r>
      <w:r>
        <w:rPr>
          <w:rFonts w:ascii="Calibri" w:hAnsi="Calibri"/>
          <w:sz w:val="24"/>
        </w:rPr>
        <w:t xml:space="preserve">attempt to seek a reduction in </w:t>
      </w:r>
      <w:r w:rsidRPr="004B2A73">
        <w:rPr>
          <w:rFonts w:ascii="Calibri" w:hAnsi="Calibri"/>
          <w:sz w:val="24"/>
        </w:rPr>
        <w:t>tariffs rather than maximiz</w:t>
      </w:r>
      <w:r>
        <w:rPr>
          <w:rFonts w:ascii="Calibri" w:hAnsi="Calibri"/>
          <w:sz w:val="24"/>
        </w:rPr>
        <w:t>ing</w:t>
      </w:r>
      <w:r w:rsidRPr="004B2A73">
        <w:rPr>
          <w:rFonts w:ascii="Calibri" w:hAnsi="Calibri"/>
          <w:sz w:val="24"/>
        </w:rPr>
        <w:t xml:space="preserve"> revenue</w:t>
      </w:r>
      <w:r>
        <w:rPr>
          <w:rFonts w:ascii="Calibri" w:hAnsi="Calibri"/>
          <w:sz w:val="24"/>
        </w:rPr>
        <w:t>s,</w:t>
      </w:r>
      <w:r w:rsidRPr="004B2A73">
        <w:rPr>
          <w:rFonts w:ascii="Calibri" w:hAnsi="Calibri"/>
          <w:sz w:val="24"/>
        </w:rPr>
        <w:t xml:space="preserve"> again improving the outcome.  Competition for the market occurs at discrete points in time while performance improvements can also be built into, and enforced via, contract documents and management through the </w:t>
      </w:r>
      <w:r w:rsidRPr="00451624">
        <w:rPr>
          <w:rFonts w:ascii="Calibri" w:hAnsi="Calibri"/>
          <w:sz w:val="24"/>
        </w:rPr>
        <w:t xml:space="preserve">life of the concession. To obtain these results, the focus has to be on: (i) improving the </w:t>
      </w:r>
      <w:r>
        <w:rPr>
          <w:rFonts w:ascii="Calibri" w:hAnsi="Calibri"/>
          <w:sz w:val="24"/>
        </w:rPr>
        <w:t>concession process;</w:t>
      </w:r>
      <w:r w:rsidRPr="00451624">
        <w:rPr>
          <w:rFonts w:ascii="Calibri" w:hAnsi="Calibri"/>
          <w:sz w:val="24"/>
        </w:rPr>
        <w:t xml:space="preserve"> (ii) getting the competition framework</w:t>
      </w:r>
      <w:r>
        <w:rPr>
          <w:rFonts w:ascii="Calibri" w:hAnsi="Calibri"/>
          <w:sz w:val="24"/>
        </w:rPr>
        <w:t xml:space="preserve"> right;</w:t>
      </w:r>
      <w:r w:rsidRPr="00451624">
        <w:rPr>
          <w:rFonts w:ascii="Calibri" w:hAnsi="Calibri"/>
          <w:sz w:val="24"/>
        </w:rPr>
        <w:t xml:space="preserve"> and (iii) strengthening the concession contract documents.  In addition, competitive outcomes can be achieved through an assessment of the relative and absolute </w:t>
      </w:r>
      <w:r w:rsidR="00E02139">
        <w:rPr>
          <w:rFonts w:ascii="Calibri" w:hAnsi="Calibri"/>
          <w:sz w:val="24"/>
        </w:rPr>
        <w:t xml:space="preserve">operational and financial </w:t>
      </w:r>
      <w:r w:rsidRPr="00451624">
        <w:rPr>
          <w:rFonts w:ascii="Calibri" w:hAnsi="Calibri"/>
          <w:sz w:val="24"/>
        </w:rPr>
        <w:t>performance of each port, that is, (iv) yardstick competition.</w:t>
      </w:r>
    </w:p>
    <w:p w14:paraId="4DA59594" w14:textId="77777777" w:rsidR="00840C80" w:rsidRPr="00D12966" w:rsidRDefault="00840C80" w:rsidP="00D12966">
      <w:pPr>
        <w:pStyle w:val="ListParagraph"/>
        <w:spacing w:after="0" w:line="240" w:lineRule="auto"/>
        <w:rPr>
          <w:rFonts w:ascii="Calibri" w:hAnsi="Calibri"/>
          <w:sz w:val="24"/>
        </w:rPr>
      </w:pPr>
    </w:p>
    <w:tbl>
      <w:tblPr>
        <w:tblStyle w:val="TableGrid"/>
        <w:tblW w:w="0" w:type="auto"/>
        <w:tblLook w:val="04A0" w:firstRow="1" w:lastRow="0" w:firstColumn="1" w:lastColumn="0" w:noHBand="0" w:noVBand="1"/>
      </w:tblPr>
      <w:tblGrid>
        <w:gridCol w:w="9350"/>
      </w:tblGrid>
      <w:tr w:rsidR="00840C80" w14:paraId="66A4963F" w14:textId="77777777" w:rsidTr="00840C80">
        <w:tc>
          <w:tcPr>
            <w:tcW w:w="9350" w:type="dxa"/>
          </w:tcPr>
          <w:p w14:paraId="499B51F9" w14:textId="3792F20A" w:rsidR="00840C80" w:rsidRPr="00840C80" w:rsidRDefault="00840C80" w:rsidP="00D12966">
            <w:pPr>
              <w:pStyle w:val="ListParagraph"/>
              <w:ind w:left="0"/>
              <w:jc w:val="both"/>
              <w:rPr>
                <w:rFonts w:ascii="Calibri" w:hAnsi="Calibri"/>
                <w:sz w:val="24"/>
              </w:rPr>
            </w:pPr>
            <w:r>
              <w:rPr>
                <w:rFonts w:ascii="Calibri" w:hAnsi="Calibri"/>
                <w:sz w:val="24"/>
                <w:u w:val="single"/>
              </w:rPr>
              <w:t xml:space="preserve">Recommendation </w:t>
            </w:r>
            <w:r w:rsidR="00133278">
              <w:rPr>
                <w:rFonts w:ascii="Calibri" w:hAnsi="Calibri"/>
                <w:sz w:val="24"/>
                <w:u w:val="single"/>
              </w:rPr>
              <w:t>03</w:t>
            </w:r>
            <w:r>
              <w:rPr>
                <w:rFonts w:ascii="Calibri" w:hAnsi="Calibri"/>
                <w:sz w:val="24"/>
                <w:u w:val="single"/>
              </w:rPr>
              <w:t>:</w:t>
            </w:r>
            <w:r>
              <w:rPr>
                <w:rFonts w:ascii="Calibri" w:hAnsi="Calibri"/>
                <w:sz w:val="24"/>
              </w:rPr>
              <w:t xml:space="preserve"> Award port concessions through a fair, transparent and public tendering process</w:t>
            </w:r>
            <w:r w:rsidR="00D63127">
              <w:rPr>
                <w:rFonts w:ascii="Calibri" w:hAnsi="Calibri"/>
                <w:sz w:val="24"/>
              </w:rPr>
              <w:t xml:space="preserve">, seeking a reduction in </w:t>
            </w:r>
            <w:r w:rsidR="00D63127" w:rsidRPr="004B2A73">
              <w:rPr>
                <w:rFonts w:ascii="Calibri" w:hAnsi="Calibri"/>
                <w:sz w:val="24"/>
              </w:rPr>
              <w:t>tariffs rather than maximiz</w:t>
            </w:r>
            <w:r w:rsidR="00D63127">
              <w:rPr>
                <w:rFonts w:ascii="Calibri" w:hAnsi="Calibri"/>
                <w:sz w:val="24"/>
              </w:rPr>
              <w:t>ing</w:t>
            </w:r>
            <w:r w:rsidR="00D63127" w:rsidRPr="004B2A73">
              <w:rPr>
                <w:rFonts w:ascii="Calibri" w:hAnsi="Calibri"/>
                <w:sz w:val="24"/>
              </w:rPr>
              <w:t xml:space="preserve"> </w:t>
            </w:r>
            <w:r w:rsidR="00D63127">
              <w:rPr>
                <w:rFonts w:ascii="Calibri" w:hAnsi="Calibri"/>
                <w:sz w:val="24"/>
              </w:rPr>
              <w:t xml:space="preserve">Government’s </w:t>
            </w:r>
            <w:r w:rsidR="00D63127" w:rsidRPr="004B2A73">
              <w:rPr>
                <w:rFonts w:ascii="Calibri" w:hAnsi="Calibri"/>
                <w:sz w:val="24"/>
              </w:rPr>
              <w:t>revenue</w:t>
            </w:r>
            <w:r w:rsidR="00D63127">
              <w:rPr>
                <w:rFonts w:ascii="Calibri" w:hAnsi="Calibri"/>
                <w:sz w:val="24"/>
              </w:rPr>
              <w:t>s.</w:t>
            </w:r>
          </w:p>
        </w:tc>
      </w:tr>
    </w:tbl>
    <w:p w14:paraId="3BBBC759" w14:textId="77777777" w:rsidR="007571A1" w:rsidRPr="00D12966" w:rsidRDefault="007571A1" w:rsidP="00D12966">
      <w:pPr>
        <w:pStyle w:val="ListParagraph"/>
        <w:rPr>
          <w:rFonts w:ascii="Calibri" w:hAnsi="Calibri"/>
          <w:sz w:val="24"/>
        </w:rPr>
      </w:pPr>
    </w:p>
    <w:p w14:paraId="56554D98" w14:textId="7E39C771" w:rsidR="007B47EC" w:rsidRPr="004B2A73" w:rsidRDefault="007571A1" w:rsidP="00E826B9">
      <w:pPr>
        <w:pStyle w:val="ListParagraph"/>
        <w:numPr>
          <w:ilvl w:val="0"/>
          <w:numId w:val="8"/>
        </w:numPr>
        <w:spacing w:after="240" w:line="22" w:lineRule="atLeast"/>
        <w:ind w:left="0" w:firstLine="0"/>
        <w:jc w:val="both"/>
        <w:rPr>
          <w:rFonts w:ascii="Calibri" w:hAnsi="Calibri"/>
          <w:sz w:val="24"/>
          <w:lang w:val="en-GB"/>
        </w:rPr>
      </w:pPr>
      <w:r w:rsidRPr="00D1653B">
        <w:rPr>
          <w:rFonts w:ascii="Calibri" w:hAnsi="Calibri"/>
          <w:b/>
          <w:sz w:val="24"/>
          <w:lang w:val="en-GB"/>
        </w:rPr>
        <w:t>Regulation/Oversight of concession agreements</w:t>
      </w:r>
      <w:r>
        <w:rPr>
          <w:rFonts w:ascii="Calibri" w:hAnsi="Calibri"/>
          <w:sz w:val="24"/>
          <w:lang w:val="en-GB"/>
        </w:rPr>
        <w:t xml:space="preserve">. It is important for countries to resolve </w:t>
      </w:r>
      <w:r w:rsidRPr="004B2A73">
        <w:rPr>
          <w:rFonts w:ascii="Calibri" w:hAnsi="Calibri"/>
          <w:sz w:val="24"/>
          <w:lang w:val="en-GB"/>
        </w:rPr>
        <w:t xml:space="preserve">who is responsible for regulating the concessions. There are alternative options to dedicated competition authorities: at regional and national level several existing institutions have some form of </w:t>
      </w:r>
      <w:r w:rsidRPr="00395387">
        <w:rPr>
          <w:rFonts w:ascii="Calibri" w:hAnsi="Calibri"/>
          <w:sz w:val="24"/>
          <w:szCs w:val="24"/>
        </w:rPr>
        <w:t>mandate</w:t>
      </w:r>
      <w:r w:rsidRPr="004B2A73">
        <w:rPr>
          <w:rFonts w:ascii="Calibri" w:hAnsi="Calibri"/>
          <w:sz w:val="24"/>
          <w:lang w:val="en-GB"/>
        </w:rPr>
        <w:t xml:space="preserve"> in transport and corridor performance (</w:t>
      </w:r>
      <w:r w:rsidR="00D76CCE">
        <w:rPr>
          <w:rFonts w:ascii="Calibri" w:hAnsi="Calibri"/>
          <w:sz w:val="24"/>
          <w:lang w:val="en-GB"/>
        </w:rPr>
        <w:t>PMAWCA</w:t>
      </w:r>
      <w:r w:rsidRPr="004B2A73">
        <w:rPr>
          <w:rFonts w:ascii="Calibri" w:hAnsi="Calibri"/>
          <w:sz w:val="24"/>
          <w:lang w:val="en-GB"/>
        </w:rPr>
        <w:t xml:space="preserve"> corridor institutions, industry associations, facilitation committees etc.).  Countries and RECs, which established them, </w:t>
      </w:r>
      <w:r>
        <w:rPr>
          <w:rFonts w:ascii="Calibri" w:hAnsi="Calibri"/>
          <w:sz w:val="24"/>
          <w:lang w:val="en-GB"/>
        </w:rPr>
        <w:t xml:space="preserve">could </w:t>
      </w:r>
      <w:r w:rsidRPr="004B2A73">
        <w:rPr>
          <w:rFonts w:ascii="Calibri" w:hAnsi="Calibri"/>
          <w:sz w:val="24"/>
          <w:lang w:val="en-GB"/>
        </w:rPr>
        <w:t xml:space="preserve">expand their mandate to include port terminal concession oversight and tariff regulation. </w:t>
      </w:r>
    </w:p>
    <w:p w14:paraId="53761EE1" w14:textId="4911B6C7" w:rsidR="007571A1" w:rsidRDefault="007571A1" w:rsidP="00D12966">
      <w:pPr>
        <w:pStyle w:val="ListParagraph"/>
        <w:spacing w:after="240" w:line="22" w:lineRule="atLeast"/>
        <w:ind w:left="0"/>
        <w:jc w:val="both"/>
        <w:rPr>
          <w:rFonts w:ascii="Calibri" w:hAnsi="Calibri"/>
          <w:sz w:val="24"/>
        </w:rPr>
      </w:pPr>
    </w:p>
    <w:tbl>
      <w:tblPr>
        <w:tblStyle w:val="TableGrid"/>
        <w:tblW w:w="0" w:type="auto"/>
        <w:tblLook w:val="04A0" w:firstRow="1" w:lastRow="0" w:firstColumn="1" w:lastColumn="0" w:noHBand="0" w:noVBand="1"/>
      </w:tblPr>
      <w:tblGrid>
        <w:gridCol w:w="9350"/>
      </w:tblGrid>
      <w:tr w:rsidR="007B47EC" w14:paraId="52F91365" w14:textId="77777777" w:rsidTr="007B47EC">
        <w:tc>
          <w:tcPr>
            <w:tcW w:w="9350" w:type="dxa"/>
          </w:tcPr>
          <w:p w14:paraId="42625F91" w14:textId="2D291998" w:rsidR="007B47EC" w:rsidRPr="007B47EC" w:rsidRDefault="007B47EC" w:rsidP="00D12966">
            <w:pPr>
              <w:pStyle w:val="ListParagraph"/>
              <w:spacing w:line="22" w:lineRule="atLeast"/>
              <w:ind w:left="0"/>
              <w:jc w:val="both"/>
              <w:rPr>
                <w:rFonts w:ascii="Calibri" w:hAnsi="Calibri"/>
                <w:sz w:val="24"/>
              </w:rPr>
            </w:pPr>
            <w:r>
              <w:rPr>
                <w:rFonts w:ascii="Calibri" w:hAnsi="Calibri"/>
                <w:sz w:val="24"/>
                <w:u w:val="single"/>
              </w:rPr>
              <w:t xml:space="preserve">Recommendation </w:t>
            </w:r>
            <w:r w:rsidR="00133278">
              <w:rPr>
                <w:rFonts w:ascii="Calibri" w:hAnsi="Calibri"/>
                <w:sz w:val="24"/>
                <w:u w:val="single"/>
              </w:rPr>
              <w:t>04</w:t>
            </w:r>
            <w:r>
              <w:rPr>
                <w:rFonts w:ascii="Calibri" w:hAnsi="Calibri"/>
                <w:sz w:val="24"/>
                <w:u w:val="single"/>
              </w:rPr>
              <w:t>:</w:t>
            </w:r>
            <w:r>
              <w:rPr>
                <w:rFonts w:ascii="Calibri" w:hAnsi="Calibri"/>
                <w:sz w:val="24"/>
              </w:rPr>
              <w:t xml:space="preserve"> Clarify the institutional framework for port concession regulation.</w:t>
            </w:r>
            <w:r w:rsidR="00F5193C">
              <w:rPr>
                <w:rFonts w:ascii="Calibri" w:hAnsi="Calibri"/>
                <w:sz w:val="24"/>
              </w:rPr>
              <w:t xml:space="preserve"> This could be done for example through a clearer definition of the responsibilities of the Ministry of Transport in its role of Technical Regulator and those of the Ministry of Economy/Trade in terms of Economic Regulator as currently done in Senegal.</w:t>
            </w:r>
          </w:p>
        </w:tc>
      </w:tr>
    </w:tbl>
    <w:p w14:paraId="479DCAF5" w14:textId="77777777" w:rsidR="007B47EC" w:rsidRPr="007571A1" w:rsidRDefault="007B47EC" w:rsidP="00D12966">
      <w:pPr>
        <w:pStyle w:val="ListParagraph"/>
        <w:spacing w:after="0" w:line="22" w:lineRule="atLeast"/>
        <w:ind w:left="0"/>
        <w:jc w:val="both"/>
        <w:rPr>
          <w:rFonts w:ascii="Calibri" w:hAnsi="Calibri"/>
          <w:sz w:val="24"/>
        </w:rPr>
      </w:pPr>
    </w:p>
    <w:p w14:paraId="12A13991" w14:textId="3CD99081" w:rsidR="00C038A0" w:rsidRPr="004D6610" w:rsidRDefault="00C038A0" w:rsidP="00E826B9">
      <w:pPr>
        <w:pStyle w:val="ListParagraph"/>
        <w:numPr>
          <w:ilvl w:val="0"/>
          <w:numId w:val="8"/>
        </w:numPr>
        <w:spacing w:after="240" w:line="22" w:lineRule="atLeast"/>
        <w:ind w:left="0" w:firstLine="0"/>
        <w:jc w:val="both"/>
        <w:rPr>
          <w:rFonts w:ascii="Calibri" w:hAnsi="Calibri"/>
          <w:sz w:val="24"/>
        </w:rPr>
      </w:pPr>
      <w:r>
        <w:rPr>
          <w:rFonts w:ascii="Calibri" w:hAnsi="Calibri"/>
          <w:b/>
          <w:sz w:val="24"/>
        </w:rPr>
        <w:t>S</w:t>
      </w:r>
      <w:r w:rsidRPr="00912073">
        <w:rPr>
          <w:rFonts w:ascii="Calibri" w:hAnsi="Calibri"/>
          <w:b/>
          <w:sz w:val="24"/>
        </w:rPr>
        <w:t>trengthening the concession contract documents</w:t>
      </w:r>
      <w:r>
        <w:rPr>
          <w:rFonts w:ascii="Calibri" w:hAnsi="Calibri"/>
          <w:b/>
          <w:sz w:val="24"/>
        </w:rPr>
        <w:t xml:space="preserve"> for future concession, while improving what can be improved in the current ones</w:t>
      </w:r>
      <w:r>
        <w:rPr>
          <w:rFonts w:ascii="Calibri" w:hAnsi="Calibri"/>
          <w:sz w:val="24"/>
        </w:rPr>
        <w:t xml:space="preserve">. When appropriate, either as </w:t>
      </w:r>
      <w:r w:rsidRPr="004D6610">
        <w:rPr>
          <w:rFonts w:ascii="Calibri" w:hAnsi="Calibri"/>
          <w:sz w:val="24"/>
        </w:rPr>
        <w:t>part of the</w:t>
      </w:r>
      <w:r>
        <w:rPr>
          <w:rFonts w:ascii="Calibri" w:hAnsi="Calibri"/>
          <w:sz w:val="24"/>
        </w:rPr>
        <w:t>ir</w:t>
      </w:r>
      <w:r w:rsidRPr="004D6610">
        <w:rPr>
          <w:rFonts w:ascii="Calibri" w:hAnsi="Calibri"/>
          <w:sz w:val="24"/>
        </w:rPr>
        <w:t xml:space="preserve"> renewal process, or resulting from a renegotiation clause (if and when it exists), </w:t>
      </w:r>
      <w:r>
        <w:rPr>
          <w:rFonts w:ascii="Calibri" w:hAnsi="Calibri"/>
          <w:sz w:val="24"/>
        </w:rPr>
        <w:t xml:space="preserve">the revision of concession agreements may be advisable </w:t>
      </w:r>
      <w:r w:rsidRPr="004D6610">
        <w:rPr>
          <w:rFonts w:ascii="Calibri" w:hAnsi="Calibri"/>
          <w:sz w:val="24"/>
        </w:rPr>
        <w:t xml:space="preserve">to reduce port tariffs, improve competitiveness, and </w:t>
      </w:r>
      <w:r w:rsidRPr="004D6610">
        <w:rPr>
          <w:rFonts w:ascii="Calibri" w:hAnsi="Calibri"/>
          <w:sz w:val="24"/>
        </w:rPr>
        <w:lastRenderedPageBreak/>
        <w:t xml:space="preserve">allow meaningful monitoring of performance. Such changes should </w:t>
      </w:r>
      <w:r>
        <w:rPr>
          <w:rFonts w:ascii="Calibri" w:hAnsi="Calibri"/>
          <w:sz w:val="24"/>
        </w:rPr>
        <w:t xml:space="preserve">aim at </w:t>
      </w:r>
      <w:r w:rsidRPr="004D6610">
        <w:rPr>
          <w:rFonts w:ascii="Calibri" w:hAnsi="Calibri"/>
          <w:sz w:val="24"/>
        </w:rPr>
        <w:t>improv</w:t>
      </w:r>
      <w:r>
        <w:rPr>
          <w:rFonts w:ascii="Calibri" w:hAnsi="Calibri"/>
          <w:sz w:val="24"/>
        </w:rPr>
        <w:t>ing</w:t>
      </w:r>
      <w:r w:rsidRPr="004D6610">
        <w:rPr>
          <w:rFonts w:ascii="Calibri" w:hAnsi="Calibri"/>
          <w:sz w:val="24"/>
        </w:rPr>
        <w:t xml:space="preserve"> the distribution of benefits amongst stakeholders: reduction in tariffs could reduce government revenues but would benefit shippers and generate positive spill –over effects into the local economy. Since there is an inherent asymmetry of power and negotiating capacity between the ultimate clients of the ports and the TOCs, systematically disclosing operational and cost information to the general public provides an opportunity to bring together the virtual constituency of regional port users. </w:t>
      </w:r>
      <w:r w:rsidR="00F5193C">
        <w:rPr>
          <w:rFonts w:ascii="Calibri" w:hAnsi="Calibri"/>
          <w:sz w:val="24"/>
        </w:rPr>
        <w:t xml:space="preserve">A good example is the publication of the concession agreement for the Abidjan TC2 by the Ivorian authorities. </w:t>
      </w:r>
      <w:r>
        <w:rPr>
          <w:rFonts w:ascii="Calibri" w:hAnsi="Calibri"/>
          <w:sz w:val="24"/>
        </w:rPr>
        <w:t>This should be done carefully, however, as badly renegotiated contracts might send negative signals in the market to future private investors sought after to develop competitive TOCs.</w:t>
      </w:r>
    </w:p>
    <w:p w14:paraId="458DED2F" w14:textId="042FE29B" w:rsidR="006A2194" w:rsidRDefault="006A2194" w:rsidP="006A2194">
      <w:pPr>
        <w:pStyle w:val="ListParagraph"/>
        <w:spacing w:after="0" w:line="22" w:lineRule="atLeast"/>
        <w:ind w:left="0"/>
        <w:rPr>
          <w:rFonts w:ascii="Calibri" w:hAnsi="Calibri"/>
          <w:sz w:val="24"/>
        </w:rPr>
      </w:pPr>
    </w:p>
    <w:tbl>
      <w:tblPr>
        <w:tblStyle w:val="TableGrid"/>
        <w:tblW w:w="0" w:type="auto"/>
        <w:tblLook w:val="04A0" w:firstRow="1" w:lastRow="0" w:firstColumn="1" w:lastColumn="0" w:noHBand="0" w:noVBand="1"/>
      </w:tblPr>
      <w:tblGrid>
        <w:gridCol w:w="9350"/>
      </w:tblGrid>
      <w:tr w:rsidR="00273AA3" w14:paraId="27ABECAE" w14:textId="77777777" w:rsidTr="00273AA3">
        <w:tc>
          <w:tcPr>
            <w:tcW w:w="9350" w:type="dxa"/>
          </w:tcPr>
          <w:p w14:paraId="69922BEC" w14:textId="19064452" w:rsidR="00273AA3" w:rsidRPr="00273AA3" w:rsidRDefault="00273AA3" w:rsidP="00D12966">
            <w:pPr>
              <w:pStyle w:val="ListParagraph"/>
              <w:spacing w:line="22" w:lineRule="atLeast"/>
              <w:ind w:left="0"/>
              <w:rPr>
                <w:rFonts w:ascii="Calibri" w:hAnsi="Calibri"/>
                <w:sz w:val="24"/>
              </w:rPr>
            </w:pPr>
            <w:r w:rsidRPr="00D12966">
              <w:rPr>
                <w:rFonts w:ascii="Calibri" w:hAnsi="Calibri"/>
                <w:sz w:val="24"/>
                <w:u w:val="single"/>
              </w:rPr>
              <w:t xml:space="preserve">Recommendation </w:t>
            </w:r>
            <w:r w:rsidR="00133278">
              <w:rPr>
                <w:rFonts w:ascii="Calibri" w:hAnsi="Calibri"/>
                <w:sz w:val="24"/>
                <w:u w:val="single"/>
              </w:rPr>
              <w:t>05</w:t>
            </w:r>
            <w:r w:rsidRPr="00D12966">
              <w:rPr>
                <w:rFonts w:ascii="Calibri" w:hAnsi="Calibri"/>
                <w:sz w:val="24"/>
                <w:u w:val="single"/>
              </w:rPr>
              <w:t>:</w:t>
            </w:r>
            <w:r>
              <w:rPr>
                <w:rFonts w:ascii="Calibri" w:hAnsi="Calibri"/>
                <w:sz w:val="24"/>
              </w:rPr>
              <w:t xml:space="preserve"> Whenever appropriate, revisit the distribution of benefits </w:t>
            </w:r>
            <w:r w:rsidR="00BB0F40">
              <w:rPr>
                <w:rFonts w:ascii="Calibri" w:hAnsi="Calibri"/>
                <w:sz w:val="24"/>
              </w:rPr>
              <w:t xml:space="preserve">from port activities </w:t>
            </w:r>
            <w:r>
              <w:rPr>
                <w:rFonts w:ascii="Calibri" w:hAnsi="Calibri"/>
                <w:sz w:val="24"/>
              </w:rPr>
              <w:t xml:space="preserve">amongst stakeholders </w:t>
            </w:r>
            <w:r w:rsidR="00133278">
              <w:rPr>
                <w:rFonts w:ascii="Calibri" w:hAnsi="Calibri"/>
                <w:sz w:val="24"/>
              </w:rPr>
              <w:t xml:space="preserve">through adjusted tariffs </w:t>
            </w:r>
            <w:r>
              <w:rPr>
                <w:rFonts w:ascii="Calibri" w:hAnsi="Calibri"/>
                <w:sz w:val="24"/>
              </w:rPr>
              <w:t xml:space="preserve">with a view to </w:t>
            </w:r>
            <w:r w:rsidR="00BB0F40">
              <w:rPr>
                <w:rFonts w:ascii="Calibri" w:hAnsi="Calibri"/>
                <w:sz w:val="24"/>
              </w:rPr>
              <w:t>increase</w:t>
            </w:r>
            <w:r>
              <w:rPr>
                <w:rFonts w:ascii="Calibri" w:hAnsi="Calibri"/>
                <w:sz w:val="24"/>
              </w:rPr>
              <w:t xml:space="preserve"> returns for end users and the general economy.</w:t>
            </w:r>
          </w:p>
        </w:tc>
      </w:tr>
    </w:tbl>
    <w:p w14:paraId="44605D59" w14:textId="1A8DA632" w:rsidR="00273AA3" w:rsidRDefault="00273AA3" w:rsidP="006A2194">
      <w:pPr>
        <w:pStyle w:val="ListParagraph"/>
        <w:spacing w:after="0" w:line="22" w:lineRule="atLeast"/>
        <w:ind w:left="0"/>
        <w:rPr>
          <w:rFonts w:ascii="Calibri" w:hAnsi="Calibri"/>
          <w:sz w:val="24"/>
        </w:rPr>
      </w:pPr>
    </w:p>
    <w:p w14:paraId="2456EE0F" w14:textId="5E9F5043" w:rsidR="007571A1" w:rsidRPr="00D12966" w:rsidRDefault="00133278" w:rsidP="00877037">
      <w:pPr>
        <w:pStyle w:val="ListParagraph"/>
        <w:spacing w:after="240" w:line="22" w:lineRule="atLeast"/>
        <w:jc w:val="both"/>
        <w:rPr>
          <w:rFonts w:ascii="Calibri" w:hAnsi="Calibri"/>
          <w:b/>
          <w:i/>
          <w:sz w:val="24"/>
        </w:rPr>
      </w:pPr>
      <w:r>
        <w:rPr>
          <w:rFonts w:ascii="Calibri" w:hAnsi="Calibri"/>
          <w:b/>
          <w:i/>
          <w:sz w:val="24"/>
        </w:rPr>
        <w:t xml:space="preserve">C - </w:t>
      </w:r>
      <w:r w:rsidR="007571A1">
        <w:rPr>
          <w:rFonts w:ascii="Calibri" w:hAnsi="Calibri"/>
          <w:b/>
          <w:i/>
          <w:sz w:val="24"/>
        </w:rPr>
        <w:t>Optimizing port development with a regional perspective</w:t>
      </w:r>
    </w:p>
    <w:p w14:paraId="7C369682" w14:textId="77777777" w:rsidR="007571A1" w:rsidRPr="004B2A73" w:rsidRDefault="007571A1" w:rsidP="006A2194">
      <w:pPr>
        <w:pStyle w:val="ListParagraph"/>
        <w:spacing w:after="0" w:line="22" w:lineRule="atLeast"/>
        <w:ind w:left="0"/>
        <w:rPr>
          <w:rFonts w:ascii="Calibri" w:hAnsi="Calibri"/>
          <w:sz w:val="24"/>
        </w:rPr>
      </w:pPr>
    </w:p>
    <w:p w14:paraId="70D0F153" w14:textId="77777777" w:rsidR="006A2194" w:rsidRPr="00FB3135" w:rsidRDefault="006A2194" w:rsidP="00E826B9">
      <w:pPr>
        <w:pStyle w:val="ListParagraph"/>
        <w:numPr>
          <w:ilvl w:val="0"/>
          <w:numId w:val="8"/>
        </w:numPr>
        <w:spacing w:after="240" w:line="22" w:lineRule="atLeast"/>
        <w:ind w:left="0" w:firstLine="0"/>
        <w:jc w:val="both"/>
        <w:rPr>
          <w:rFonts w:ascii="Calibri" w:hAnsi="Calibri"/>
          <w:sz w:val="24"/>
        </w:rPr>
      </w:pPr>
      <w:r w:rsidRPr="00D1653B">
        <w:rPr>
          <w:rFonts w:ascii="Calibri" w:hAnsi="Calibri"/>
          <w:b/>
          <w:sz w:val="24"/>
          <w:lang w:val="en-GB"/>
        </w:rPr>
        <w:t xml:space="preserve">Redesign of future concession </w:t>
      </w:r>
      <w:r>
        <w:rPr>
          <w:rFonts w:ascii="Calibri" w:hAnsi="Calibri"/>
          <w:b/>
          <w:sz w:val="24"/>
          <w:lang w:val="en-GB"/>
        </w:rPr>
        <w:t xml:space="preserve">award </w:t>
      </w:r>
      <w:r w:rsidRPr="00D1653B">
        <w:rPr>
          <w:rFonts w:ascii="Calibri" w:hAnsi="Calibri"/>
          <w:b/>
          <w:sz w:val="24"/>
          <w:lang w:val="en-GB"/>
        </w:rPr>
        <w:t>processes</w:t>
      </w:r>
      <w:r>
        <w:rPr>
          <w:rFonts w:ascii="Calibri" w:hAnsi="Calibri"/>
          <w:sz w:val="24"/>
          <w:lang w:val="en-GB"/>
        </w:rPr>
        <w:t xml:space="preserve">. </w:t>
      </w:r>
      <w:r w:rsidRPr="004B2A73">
        <w:rPr>
          <w:rFonts w:ascii="Calibri" w:hAnsi="Calibri"/>
          <w:sz w:val="24"/>
          <w:lang w:val="en-GB"/>
        </w:rPr>
        <w:t xml:space="preserve">With the </w:t>
      </w:r>
      <w:r>
        <w:rPr>
          <w:rFonts w:ascii="Calibri" w:hAnsi="Calibri"/>
          <w:sz w:val="24"/>
          <w:lang w:val="en-GB"/>
        </w:rPr>
        <w:t xml:space="preserve">expected continued </w:t>
      </w:r>
      <w:r w:rsidRPr="004B2A73">
        <w:rPr>
          <w:rFonts w:ascii="Calibri" w:hAnsi="Calibri"/>
          <w:sz w:val="24"/>
          <w:lang w:val="en-GB"/>
        </w:rPr>
        <w:t xml:space="preserve">growth of port traffic and the </w:t>
      </w:r>
      <w:r>
        <w:rPr>
          <w:rFonts w:ascii="Calibri" w:hAnsi="Calibri"/>
          <w:sz w:val="24"/>
          <w:lang w:val="en-GB"/>
        </w:rPr>
        <w:t>forthcoming</w:t>
      </w:r>
      <w:r w:rsidRPr="004B2A73">
        <w:rPr>
          <w:rFonts w:ascii="Calibri" w:hAnsi="Calibri"/>
          <w:sz w:val="24"/>
          <w:lang w:val="en-GB"/>
        </w:rPr>
        <w:t xml:space="preserve"> renewal of existing concessions, it is critical to revisit now the concession </w:t>
      </w:r>
      <w:r>
        <w:rPr>
          <w:rFonts w:ascii="Calibri" w:hAnsi="Calibri"/>
          <w:sz w:val="24"/>
          <w:lang w:val="en-GB"/>
        </w:rPr>
        <w:t xml:space="preserve">award </w:t>
      </w:r>
      <w:r w:rsidRPr="004B2A73">
        <w:rPr>
          <w:rFonts w:ascii="Calibri" w:hAnsi="Calibri"/>
          <w:sz w:val="24"/>
          <w:lang w:val="en-GB"/>
        </w:rPr>
        <w:t xml:space="preserve">process to better manage the next </w:t>
      </w:r>
      <w:r>
        <w:rPr>
          <w:rFonts w:ascii="Calibri" w:hAnsi="Calibri"/>
          <w:sz w:val="24"/>
          <w:lang w:val="en-GB"/>
        </w:rPr>
        <w:t xml:space="preserve">“second generation” </w:t>
      </w:r>
      <w:r w:rsidRPr="004B2A73">
        <w:rPr>
          <w:rFonts w:ascii="Calibri" w:hAnsi="Calibri"/>
          <w:sz w:val="24"/>
          <w:lang w:val="en-GB"/>
        </w:rPr>
        <w:t xml:space="preserve">wave of concessions.  Adequate resources need to be set aside </w:t>
      </w:r>
      <w:r>
        <w:rPr>
          <w:rFonts w:ascii="Calibri" w:hAnsi="Calibri"/>
          <w:sz w:val="24"/>
          <w:lang w:val="en-GB"/>
        </w:rPr>
        <w:t xml:space="preserve">for the public sector </w:t>
      </w:r>
      <w:r w:rsidRPr="004B2A73">
        <w:rPr>
          <w:rFonts w:ascii="Calibri" w:hAnsi="Calibri"/>
          <w:sz w:val="24"/>
          <w:lang w:val="en-GB"/>
        </w:rPr>
        <w:t xml:space="preserve">to access the necessary expertise to </w:t>
      </w:r>
      <w:r>
        <w:rPr>
          <w:rFonts w:ascii="Calibri" w:hAnsi="Calibri"/>
          <w:sz w:val="24"/>
          <w:lang w:val="en-GB"/>
        </w:rPr>
        <w:t>strengthen further</w:t>
      </w:r>
      <w:r w:rsidRPr="004B2A73">
        <w:rPr>
          <w:rFonts w:ascii="Calibri" w:hAnsi="Calibri"/>
          <w:sz w:val="24"/>
          <w:lang w:val="en-GB"/>
        </w:rPr>
        <w:t xml:space="preserve"> public capacity to </w:t>
      </w:r>
      <w:r>
        <w:rPr>
          <w:rFonts w:ascii="Calibri" w:hAnsi="Calibri"/>
          <w:sz w:val="24"/>
          <w:lang w:val="en-GB"/>
        </w:rPr>
        <w:t xml:space="preserve">design and to </w:t>
      </w:r>
      <w:r w:rsidRPr="004B2A73">
        <w:rPr>
          <w:rFonts w:ascii="Calibri" w:hAnsi="Calibri"/>
          <w:sz w:val="24"/>
          <w:lang w:val="en-GB"/>
        </w:rPr>
        <w:t xml:space="preserve">negotiate concession agreements, to conduct transparent bidding processes which allow fair competition for the market and offer equal opportunities to new entrants, and to recalibrate the criteria for contract award towards economic impact as opposed to financial returns.  In </w:t>
      </w:r>
      <w:r>
        <w:rPr>
          <w:rFonts w:ascii="Calibri" w:hAnsi="Calibri"/>
          <w:sz w:val="24"/>
          <w:lang w:val="en-GB"/>
        </w:rPr>
        <w:t>exceptional</w:t>
      </w:r>
      <w:r w:rsidRPr="004B2A73">
        <w:rPr>
          <w:rFonts w:ascii="Calibri" w:hAnsi="Calibri"/>
          <w:sz w:val="24"/>
          <w:lang w:val="en-GB"/>
        </w:rPr>
        <w:t xml:space="preserve"> circumstances a negotiated process could be warranted</w:t>
      </w:r>
      <w:r>
        <w:rPr>
          <w:rFonts w:ascii="Calibri" w:hAnsi="Calibri"/>
          <w:sz w:val="24"/>
          <w:lang w:val="en-GB"/>
        </w:rPr>
        <w:t>,</w:t>
      </w:r>
      <w:r w:rsidRPr="004B2A73">
        <w:rPr>
          <w:rFonts w:ascii="Calibri" w:hAnsi="Calibri"/>
          <w:sz w:val="24"/>
          <w:lang w:val="en-GB"/>
        </w:rPr>
        <w:t xml:space="preserve"> notably when TOCs and shipping lines join forces to promote a transhipment terminal. </w:t>
      </w:r>
    </w:p>
    <w:p w14:paraId="3EF1B692" w14:textId="77777777" w:rsidR="00FB3135" w:rsidRDefault="00FB3135" w:rsidP="00FB3135">
      <w:pPr>
        <w:pStyle w:val="ListParagraph"/>
        <w:spacing w:after="240" w:line="22" w:lineRule="atLeast"/>
        <w:ind w:left="0"/>
        <w:jc w:val="both"/>
        <w:rPr>
          <w:rFonts w:ascii="Calibri" w:hAnsi="Calibri"/>
          <w:sz w:val="24"/>
        </w:rPr>
      </w:pPr>
    </w:p>
    <w:tbl>
      <w:tblPr>
        <w:tblStyle w:val="TableGrid"/>
        <w:tblW w:w="0" w:type="auto"/>
        <w:tblLook w:val="04A0" w:firstRow="1" w:lastRow="0" w:firstColumn="1" w:lastColumn="0" w:noHBand="0" w:noVBand="1"/>
      </w:tblPr>
      <w:tblGrid>
        <w:gridCol w:w="9350"/>
      </w:tblGrid>
      <w:tr w:rsidR="00D671BD" w14:paraId="3E82DC17" w14:textId="77777777" w:rsidTr="00D671BD">
        <w:tc>
          <w:tcPr>
            <w:tcW w:w="9350" w:type="dxa"/>
          </w:tcPr>
          <w:p w14:paraId="710095E1" w14:textId="6D054422" w:rsidR="00D671BD" w:rsidRPr="00273AA3" w:rsidRDefault="00D671BD" w:rsidP="00D671BD">
            <w:pPr>
              <w:pStyle w:val="ListParagraph"/>
              <w:spacing w:line="22" w:lineRule="atLeast"/>
              <w:ind w:left="0"/>
              <w:rPr>
                <w:rFonts w:ascii="Calibri" w:hAnsi="Calibri"/>
                <w:sz w:val="24"/>
              </w:rPr>
            </w:pPr>
            <w:r w:rsidRPr="00D12966">
              <w:rPr>
                <w:rFonts w:ascii="Calibri" w:hAnsi="Calibri"/>
                <w:sz w:val="24"/>
                <w:u w:val="single"/>
              </w:rPr>
              <w:t xml:space="preserve">Recommendation </w:t>
            </w:r>
            <w:r>
              <w:rPr>
                <w:rFonts w:ascii="Calibri" w:hAnsi="Calibri"/>
                <w:sz w:val="24"/>
                <w:u w:val="single"/>
              </w:rPr>
              <w:t>06</w:t>
            </w:r>
            <w:r w:rsidRPr="00D12966">
              <w:rPr>
                <w:rFonts w:ascii="Calibri" w:hAnsi="Calibri"/>
                <w:sz w:val="24"/>
                <w:u w:val="single"/>
              </w:rPr>
              <w:t>:</w:t>
            </w:r>
            <w:r>
              <w:rPr>
                <w:rFonts w:ascii="Calibri" w:hAnsi="Calibri"/>
                <w:sz w:val="24"/>
              </w:rPr>
              <w:t xml:space="preserve"> PMAWCA to issue relevant recommendations for the redesign of future concession award processes, using the guidelines currently produced under the World Bank SSATP initiative.</w:t>
            </w:r>
          </w:p>
        </w:tc>
      </w:tr>
    </w:tbl>
    <w:p w14:paraId="4000927D" w14:textId="77777777" w:rsidR="00D671BD" w:rsidRPr="00FB3135" w:rsidRDefault="00D671BD" w:rsidP="00FB3135">
      <w:pPr>
        <w:pStyle w:val="ListParagraph"/>
        <w:spacing w:after="240" w:line="22" w:lineRule="atLeast"/>
        <w:ind w:left="0"/>
        <w:jc w:val="both"/>
        <w:rPr>
          <w:rFonts w:ascii="Calibri" w:hAnsi="Calibri"/>
          <w:sz w:val="24"/>
        </w:rPr>
      </w:pPr>
    </w:p>
    <w:p w14:paraId="7FB2C685" w14:textId="09B3AA71" w:rsidR="00FB3135" w:rsidRPr="004B2A73" w:rsidRDefault="00FB3135" w:rsidP="00E826B9">
      <w:pPr>
        <w:pStyle w:val="ListParagraph"/>
        <w:numPr>
          <w:ilvl w:val="0"/>
          <w:numId w:val="8"/>
        </w:numPr>
        <w:spacing w:after="240" w:line="22" w:lineRule="atLeast"/>
        <w:ind w:left="0" w:firstLine="0"/>
        <w:jc w:val="both"/>
        <w:rPr>
          <w:rFonts w:ascii="Calibri" w:hAnsi="Calibri"/>
          <w:sz w:val="24"/>
        </w:rPr>
      </w:pPr>
      <w:r>
        <w:rPr>
          <w:rFonts w:ascii="Calibri" w:hAnsi="Calibri"/>
          <w:b/>
          <w:sz w:val="24"/>
          <w:lang w:val="en-GB"/>
        </w:rPr>
        <w:t>Regional perspective</w:t>
      </w:r>
      <w:r w:rsidRPr="00FB3135">
        <w:rPr>
          <w:rFonts w:ascii="Calibri" w:hAnsi="Calibri"/>
          <w:sz w:val="24"/>
        </w:rPr>
        <w:t>.</w:t>
      </w:r>
      <w:r>
        <w:rPr>
          <w:rFonts w:ascii="Calibri" w:hAnsi="Calibri"/>
          <w:sz w:val="24"/>
        </w:rPr>
        <w:t xml:space="preserve"> In order to avoid costly port overcapacity, their future development should be </w:t>
      </w:r>
      <w:r w:rsidR="004C08C5">
        <w:rPr>
          <w:rFonts w:ascii="Calibri" w:hAnsi="Calibri"/>
          <w:sz w:val="24"/>
        </w:rPr>
        <w:t xml:space="preserve">essentially </w:t>
      </w:r>
      <w:r>
        <w:rPr>
          <w:rFonts w:ascii="Calibri" w:hAnsi="Calibri"/>
          <w:sz w:val="24"/>
        </w:rPr>
        <w:t xml:space="preserve">driven by the market, which </w:t>
      </w:r>
      <w:r w:rsidR="00755AE8">
        <w:rPr>
          <w:rFonts w:ascii="Calibri" w:hAnsi="Calibri"/>
          <w:sz w:val="24"/>
        </w:rPr>
        <w:t xml:space="preserve">– most likely -- </w:t>
      </w:r>
      <w:r>
        <w:rPr>
          <w:rFonts w:ascii="Calibri" w:hAnsi="Calibri"/>
          <w:sz w:val="24"/>
        </w:rPr>
        <w:t xml:space="preserve">implies a few regional port hubs servicing the other smaller ports through short sea shipping services. Both ECOWAS and PMAWCA are </w:t>
      </w:r>
      <w:r w:rsidR="00755AE8">
        <w:rPr>
          <w:rFonts w:ascii="Calibri" w:hAnsi="Calibri"/>
          <w:sz w:val="24"/>
        </w:rPr>
        <w:t>interested</w:t>
      </w:r>
      <w:r>
        <w:rPr>
          <w:rFonts w:ascii="Calibri" w:hAnsi="Calibri"/>
          <w:sz w:val="24"/>
        </w:rPr>
        <w:t xml:space="preserve"> to provide guidance to </w:t>
      </w:r>
      <w:r w:rsidR="00755AE8">
        <w:rPr>
          <w:rFonts w:ascii="Calibri" w:hAnsi="Calibri"/>
          <w:sz w:val="24"/>
        </w:rPr>
        <w:t xml:space="preserve">their </w:t>
      </w:r>
      <w:r>
        <w:rPr>
          <w:rFonts w:ascii="Calibri" w:hAnsi="Calibri"/>
          <w:sz w:val="24"/>
        </w:rPr>
        <w:t xml:space="preserve">country members with a view to optimize the </w:t>
      </w:r>
      <w:r w:rsidR="004C08C5">
        <w:rPr>
          <w:rFonts w:ascii="Calibri" w:hAnsi="Calibri"/>
          <w:sz w:val="24"/>
        </w:rPr>
        <w:t>port network along the West Africa Coast.</w:t>
      </w:r>
      <w:r w:rsidR="00AF50EB">
        <w:rPr>
          <w:rFonts w:ascii="Calibri" w:hAnsi="Calibri"/>
          <w:sz w:val="24"/>
        </w:rPr>
        <w:t xml:space="preserve"> Actually, t</w:t>
      </w:r>
      <w:r w:rsidR="004C08C5">
        <w:rPr>
          <w:rFonts w:ascii="Calibri" w:hAnsi="Calibri"/>
          <w:sz w:val="24"/>
        </w:rPr>
        <w:t xml:space="preserve">wo studies have </w:t>
      </w:r>
      <w:r w:rsidR="00AF50EB">
        <w:rPr>
          <w:rFonts w:ascii="Calibri" w:hAnsi="Calibri"/>
          <w:sz w:val="24"/>
        </w:rPr>
        <w:t xml:space="preserve">just </w:t>
      </w:r>
      <w:r w:rsidR="004C08C5">
        <w:rPr>
          <w:rFonts w:ascii="Calibri" w:hAnsi="Calibri"/>
          <w:sz w:val="24"/>
        </w:rPr>
        <w:t xml:space="preserve">been commissioned </w:t>
      </w:r>
      <w:r w:rsidR="00AF50EB">
        <w:rPr>
          <w:rFonts w:ascii="Calibri" w:hAnsi="Calibri"/>
          <w:sz w:val="24"/>
        </w:rPr>
        <w:t>by the ECOWAS for that</w:t>
      </w:r>
      <w:r w:rsidR="004C08C5">
        <w:rPr>
          <w:rFonts w:ascii="Calibri" w:hAnsi="Calibri"/>
          <w:sz w:val="24"/>
        </w:rPr>
        <w:t xml:space="preserve"> purpose: (i) The socioeconomic of port concessions study </w:t>
      </w:r>
      <w:r w:rsidR="00AF50EB">
        <w:rPr>
          <w:rFonts w:ascii="Calibri" w:hAnsi="Calibri"/>
          <w:sz w:val="24"/>
        </w:rPr>
        <w:t xml:space="preserve">(CPCS Consult of Canada </w:t>
      </w:r>
      <w:r w:rsidR="004C08C5">
        <w:rPr>
          <w:rFonts w:ascii="Calibri" w:hAnsi="Calibri"/>
          <w:sz w:val="24"/>
        </w:rPr>
        <w:t xml:space="preserve">to </w:t>
      </w:r>
      <w:r w:rsidR="00AF50EB">
        <w:rPr>
          <w:rFonts w:ascii="Calibri" w:hAnsi="Calibri"/>
          <w:sz w:val="24"/>
        </w:rPr>
        <w:t>start</w:t>
      </w:r>
      <w:r w:rsidR="004C08C5">
        <w:rPr>
          <w:rFonts w:ascii="Calibri" w:hAnsi="Calibri"/>
          <w:sz w:val="24"/>
        </w:rPr>
        <w:t xml:space="preserve"> in </w:t>
      </w:r>
      <w:r w:rsidR="00AF50EB">
        <w:rPr>
          <w:rFonts w:ascii="Calibri" w:hAnsi="Calibri"/>
          <w:sz w:val="24"/>
        </w:rPr>
        <w:t>July/</w:t>
      </w:r>
      <w:r w:rsidR="004C08C5">
        <w:rPr>
          <w:rFonts w:ascii="Calibri" w:hAnsi="Calibri"/>
          <w:sz w:val="24"/>
        </w:rPr>
        <w:t>August 2017</w:t>
      </w:r>
      <w:r w:rsidR="00AF50EB">
        <w:rPr>
          <w:rFonts w:ascii="Calibri" w:hAnsi="Calibri"/>
          <w:sz w:val="24"/>
        </w:rPr>
        <w:t>)</w:t>
      </w:r>
      <w:r w:rsidR="004C08C5">
        <w:rPr>
          <w:rFonts w:ascii="Calibri" w:hAnsi="Calibri"/>
          <w:sz w:val="24"/>
        </w:rPr>
        <w:t xml:space="preserve">; and (ii) the Development of a maritime and port infrastructure master plan for West Africa </w:t>
      </w:r>
      <w:r w:rsidR="00755AE8">
        <w:rPr>
          <w:rFonts w:ascii="Calibri" w:hAnsi="Calibri"/>
          <w:sz w:val="24"/>
        </w:rPr>
        <w:t xml:space="preserve">(MTBS Consultants, </w:t>
      </w:r>
      <w:r w:rsidR="00AF50EB">
        <w:rPr>
          <w:rFonts w:ascii="Calibri" w:hAnsi="Calibri"/>
          <w:sz w:val="24"/>
        </w:rPr>
        <w:t>start</w:t>
      </w:r>
      <w:r w:rsidR="00755AE8">
        <w:rPr>
          <w:rFonts w:ascii="Calibri" w:hAnsi="Calibri"/>
          <w:sz w:val="24"/>
        </w:rPr>
        <w:t>ed</w:t>
      </w:r>
      <w:r w:rsidR="00AF50EB">
        <w:rPr>
          <w:rFonts w:ascii="Calibri" w:hAnsi="Calibri"/>
          <w:sz w:val="24"/>
        </w:rPr>
        <w:t xml:space="preserve"> in May 2017).</w:t>
      </w:r>
    </w:p>
    <w:p w14:paraId="1AC6E169" w14:textId="77777777" w:rsidR="006A2194" w:rsidRDefault="006A2194" w:rsidP="006A2194">
      <w:pPr>
        <w:pStyle w:val="ListParagraph"/>
        <w:spacing w:after="0" w:line="22" w:lineRule="atLeast"/>
        <w:ind w:left="0"/>
        <w:rPr>
          <w:rFonts w:ascii="Calibri" w:hAnsi="Calibri"/>
          <w:sz w:val="24"/>
        </w:rPr>
      </w:pPr>
    </w:p>
    <w:tbl>
      <w:tblPr>
        <w:tblStyle w:val="TableGrid"/>
        <w:tblW w:w="0" w:type="auto"/>
        <w:tblLook w:val="04A0" w:firstRow="1" w:lastRow="0" w:firstColumn="1" w:lastColumn="0" w:noHBand="0" w:noVBand="1"/>
      </w:tblPr>
      <w:tblGrid>
        <w:gridCol w:w="9350"/>
      </w:tblGrid>
      <w:tr w:rsidR="00D671BD" w14:paraId="5BA652B6" w14:textId="77777777" w:rsidTr="00D671BD">
        <w:tc>
          <w:tcPr>
            <w:tcW w:w="9350" w:type="dxa"/>
          </w:tcPr>
          <w:p w14:paraId="2D1A0E60" w14:textId="1DB01FB9" w:rsidR="00D671BD" w:rsidRPr="00273AA3" w:rsidRDefault="00D671BD" w:rsidP="00D671BD">
            <w:pPr>
              <w:pStyle w:val="ListParagraph"/>
              <w:spacing w:line="22" w:lineRule="atLeast"/>
              <w:ind w:left="0"/>
              <w:rPr>
                <w:rFonts w:ascii="Calibri" w:hAnsi="Calibri"/>
                <w:sz w:val="24"/>
              </w:rPr>
            </w:pPr>
            <w:r w:rsidRPr="00D12966">
              <w:rPr>
                <w:rFonts w:ascii="Calibri" w:hAnsi="Calibri"/>
                <w:sz w:val="24"/>
                <w:u w:val="single"/>
              </w:rPr>
              <w:t xml:space="preserve">Recommendation </w:t>
            </w:r>
            <w:r>
              <w:rPr>
                <w:rFonts w:ascii="Calibri" w:hAnsi="Calibri"/>
                <w:sz w:val="24"/>
                <w:u w:val="single"/>
              </w:rPr>
              <w:t>07</w:t>
            </w:r>
            <w:r w:rsidRPr="00D12966">
              <w:rPr>
                <w:rFonts w:ascii="Calibri" w:hAnsi="Calibri"/>
                <w:sz w:val="24"/>
                <w:u w:val="single"/>
              </w:rPr>
              <w:t>:</w:t>
            </w:r>
            <w:r>
              <w:rPr>
                <w:rFonts w:ascii="Calibri" w:hAnsi="Calibri"/>
                <w:sz w:val="24"/>
              </w:rPr>
              <w:t xml:space="preserve"> Both </w:t>
            </w:r>
            <w:r w:rsidR="00041EF0">
              <w:rPr>
                <w:rFonts w:ascii="Calibri" w:hAnsi="Calibri"/>
                <w:sz w:val="24"/>
              </w:rPr>
              <w:t>ECOWAS and PMAWCA</w:t>
            </w:r>
            <w:r>
              <w:rPr>
                <w:rFonts w:ascii="Calibri" w:hAnsi="Calibri"/>
                <w:sz w:val="24"/>
              </w:rPr>
              <w:t xml:space="preserve"> to </w:t>
            </w:r>
            <w:r w:rsidR="00041EF0">
              <w:rPr>
                <w:rFonts w:ascii="Calibri" w:hAnsi="Calibri"/>
                <w:sz w:val="24"/>
              </w:rPr>
              <w:t xml:space="preserve">continue to </w:t>
            </w:r>
            <w:r>
              <w:rPr>
                <w:rFonts w:ascii="Calibri" w:hAnsi="Calibri"/>
                <w:sz w:val="24"/>
              </w:rPr>
              <w:t>provide guidance to their country members with a view to optimize the port network along the West Africa Coast.</w:t>
            </w:r>
          </w:p>
        </w:tc>
      </w:tr>
    </w:tbl>
    <w:p w14:paraId="3D4221DE" w14:textId="77777777" w:rsidR="00D671BD" w:rsidRDefault="00D671BD" w:rsidP="006A2194">
      <w:pPr>
        <w:pStyle w:val="ListParagraph"/>
        <w:spacing w:after="0" w:line="22" w:lineRule="atLeast"/>
        <w:ind w:left="0"/>
        <w:rPr>
          <w:rFonts w:ascii="Calibri" w:hAnsi="Calibri"/>
          <w:sz w:val="24"/>
        </w:rPr>
      </w:pPr>
    </w:p>
    <w:p w14:paraId="461DFF9A" w14:textId="2DE442C8" w:rsidR="001331D5" w:rsidRPr="001E1E76" w:rsidRDefault="001331D5" w:rsidP="00E826B9">
      <w:pPr>
        <w:pStyle w:val="ListParagraph"/>
        <w:numPr>
          <w:ilvl w:val="0"/>
          <w:numId w:val="8"/>
        </w:numPr>
        <w:spacing w:after="0" w:line="22" w:lineRule="atLeast"/>
        <w:ind w:left="0" w:firstLine="0"/>
        <w:jc w:val="both"/>
        <w:rPr>
          <w:rFonts w:ascii="Calibri" w:hAnsi="Calibri"/>
          <w:sz w:val="24"/>
        </w:rPr>
      </w:pPr>
      <w:r w:rsidRPr="001331D5">
        <w:rPr>
          <w:rFonts w:ascii="Calibri" w:hAnsi="Calibri"/>
          <w:b/>
          <w:sz w:val="24"/>
          <w:lang w:val="en-GB"/>
        </w:rPr>
        <w:lastRenderedPageBreak/>
        <w:t>Notional Timeframe</w:t>
      </w:r>
      <w:r w:rsidRPr="001331D5">
        <w:rPr>
          <w:rFonts w:ascii="Calibri" w:hAnsi="Calibri"/>
          <w:sz w:val="24"/>
        </w:rPr>
        <w:t xml:space="preserve">. Due to their very nature, these </w:t>
      </w:r>
      <w:r w:rsidR="001E1CAC">
        <w:rPr>
          <w:rFonts w:ascii="Calibri" w:hAnsi="Calibri"/>
          <w:sz w:val="24"/>
        </w:rPr>
        <w:t xml:space="preserve">seven </w:t>
      </w:r>
      <w:r w:rsidRPr="001331D5">
        <w:rPr>
          <w:rFonts w:ascii="Calibri" w:hAnsi="Calibri"/>
          <w:sz w:val="24"/>
        </w:rPr>
        <w:t>recommendations cannot be implemented within a single time frame. The table below proposes a not</w:t>
      </w:r>
      <w:r w:rsidRPr="00483D04">
        <w:rPr>
          <w:rFonts w:ascii="Calibri" w:hAnsi="Calibri"/>
          <w:sz w:val="24"/>
        </w:rPr>
        <w:t xml:space="preserve">ional timeframe for implementing each </w:t>
      </w:r>
      <w:r w:rsidR="00385010">
        <w:rPr>
          <w:rFonts w:ascii="Calibri" w:hAnsi="Calibri"/>
          <w:sz w:val="24"/>
        </w:rPr>
        <w:t>o</w:t>
      </w:r>
      <w:r w:rsidRPr="00483D04">
        <w:rPr>
          <w:rFonts w:ascii="Calibri" w:hAnsi="Calibri"/>
          <w:sz w:val="24"/>
        </w:rPr>
        <w:t xml:space="preserve">f the seven recommendations under short, medium and </w:t>
      </w:r>
      <w:r w:rsidR="00483D04" w:rsidRPr="00483D04">
        <w:rPr>
          <w:rFonts w:ascii="Calibri" w:hAnsi="Calibri"/>
          <w:sz w:val="24"/>
        </w:rPr>
        <w:t>long-term</w:t>
      </w:r>
      <w:r w:rsidRPr="001E1E76">
        <w:rPr>
          <w:rFonts w:ascii="Calibri" w:hAnsi="Calibri"/>
          <w:sz w:val="24"/>
        </w:rPr>
        <w:t xml:space="preserve"> horizons.</w:t>
      </w:r>
    </w:p>
    <w:p w14:paraId="54039107" w14:textId="58787C74" w:rsidR="007A730A" w:rsidRPr="004B2A73" w:rsidRDefault="007A730A" w:rsidP="006A2194">
      <w:pPr>
        <w:pStyle w:val="ListParagraph"/>
        <w:spacing w:after="0" w:line="22" w:lineRule="atLeast"/>
        <w:ind w:left="0"/>
        <w:rPr>
          <w:rFonts w:ascii="Calibri" w:hAnsi="Calibri"/>
          <w:sz w:val="24"/>
        </w:rPr>
      </w:pPr>
    </w:p>
    <w:tbl>
      <w:tblPr>
        <w:tblStyle w:val="TableGrid"/>
        <w:tblW w:w="0" w:type="auto"/>
        <w:tblLook w:val="04A0" w:firstRow="1" w:lastRow="0" w:firstColumn="1" w:lastColumn="0" w:noHBand="0" w:noVBand="1"/>
      </w:tblPr>
      <w:tblGrid>
        <w:gridCol w:w="4632"/>
        <w:gridCol w:w="1571"/>
        <w:gridCol w:w="1578"/>
        <w:gridCol w:w="1569"/>
      </w:tblGrid>
      <w:tr w:rsidR="001331D5" w:rsidRPr="00483D04" w14:paraId="0DA156BE" w14:textId="77777777" w:rsidTr="00483D04">
        <w:tc>
          <w:tcPr>
            <w:tcW w:w="4698" w:type="dxa"/>
          </w:tcPr>
          <w:p w14:paraId="793589A4" w14:textId="77777777" w:rsidR="001331D5" w:rsidRPr="00483D04" w:rsidRDefault="001331D5" w:rsidP="00483D04">
            <w:pPr>
              <w:widowControl w:val="0"/>
              <w:autoSpaceDE w:val="0"/>
              <w:autoSpaceDN w:val="0"/>
              <w:adjustRightInd w:val="0"/>
              <w:jc w:val="center"/>
              <w:rPr>
                <w:b/>
                <w:i/>
                <w:szCs w:val="20"/>
              </w:rPr>
            </w:pPr>
            <w:r w:rsidRPr="00483D04">
              <w:rPr>
                <w:b/>
                <w:i/>
                <w:szCs w:val="20"/>
              </w:rPr>
              <w:t>Recommendation #</w:t>
            </w:r>
          </w:p>
        </w:tc>
        <w:tc>
          <w:tcPr>
            <w:tcW w:w="1590" w:type="dxa"/>
          </w:tcPr>
          <w:p w14:paraId="15EE4B39" w14:textId="77777777" w:rsidR="001331D5" w:rsidRPr="00483D04" w:rsidRDefault="001331D5" w:rsidP="001331D5">
            <w:pPr>
              <w:widowControl w:val="0"/>
              <w:autoSpaceDE w:val="0"/>
              <w:autoSpaceDN w:val="0"/>
              <w:adjustRightInd w:val="0"/>
              <w:jc w:val="both"/>
              <w:rPr>
                <w:b/>
                <w:i/>
              </w:rPr>
            </w:pPr>
            <w:r w:rsidRPr="00483D04">
              <w:rPr>
                <w:b/>
                <w:i/>
              </w:rPr>
              <w:t>Short-Term</w:t>
            </w:r>
          </w:p>
        </w:tc>
        <w:tc>
          <w:tcPr>
            <w:tcW w:w="1590" w:type="dxa"/>
          </w:tcPr>
          <w:p w14:paraId="71C879E2" w14:textId="63A6CF8B" w:rsidR="001331D5" w:rsidRPr="00483D04" w:rsidRDefault="001331D5" w:rsidP="001331D5">
            <w:pPr>
              <w:widowControl w:val="0"/>
              <w:autoSpaceDE w:val="0"/>
              <w:autoSpaceDN w:val="0"/>
              <w:adjustRightInd w:val="0"/>
              <w:jc w:val="both"/>
              <w:rPr>
                <w:b/>
                <w:i/>
              </w:rPr>
            </w:pPr>
            <w:r w:rsidRPr="00483D04">
              <w:rPr>
                <w:b/>
                <w:i/>
              </w:rPr>
              <w:t>Medium</w:t>
            </w:r>
            <w:r w:rsidR="00483D04">
              <w:rPr>
                <w:b/>
                <w:i/>
              </w:rPr>
              <w:t>-</w:t>
            </w:r>
            <w:r w:rsidRPr="00483D04">
              <w:rPr>
                <w:b/>
                <w:i/>
              </w:rPr>
              <w:t>Term</w:t>
            </w:r>
          </w:p>
        </w:tc>
        <w:tc>
          <w:tcPr>
            <w:tcW w:w="1590" w:type="dxa"/>
          </w:tcPr>
          <w:p w14:paraId="32F8CB70" w14:textId="77777777" w:rsidR="001331D5" w:rsidRPr="00483D04" w:rsidRDefault="001331D5" w:rsidP="001331D5">
            <w:pPr>
              <w:widowControl w:val="0"/>
              <w:autoSpaceDE w:val="0"/>
              <w:autoSpaceDN w:val="0"/>
              <w:adjustRightInd w:val="0"/>
              <w:jc w:val="both"/>
              <w:rPr>
                <w:b/>
                <w:i/>
              </w:rPr>
            </w:pPr>
            <w:r w:rsidRPr="00483D04">
              <w:rPr>
                <w:b/>
                <w:i/>
              </w:rPr>
              <w:t>Long Term</w:t>
            </w:r>
          </w:p>
        </w:tc>
      </w:tr>
      <w:tr w:rsidR="001331D5" w14:paraId="5857FC9B" w14:textId="77777777" w:rsidTr="00483D04">
        <w:tc>
          <w:tcPr>
            <w:tcW w:w="4698" w:type="dxa"/>
          </w:tcPr>
          <w:p w14:paraId="01895C58" w14:textId="77777777" w:rsidR="001331D5" w:rsidRPr="00483D04" w:rsidRDefault="001331D5" w:rsidP="001331D5">
            <w:pPr>
              <w:widowControl w:val="0"/>
              <w:autoSpaceDE w:val="0"/>
              <w:autoSpaceDN w:val="0"/>
              <w:adjustRightInd w:val="0"/>
              <w:jc w:val="both"/>
              <w:rPr>
                <w:b/>
                <w:szCs w:val="20"/>
              </w:rPr>
            </w:pPr>
            <w:r w:rsidRPr="00483D04">
              <w:rPr>
                <w:b/>
                <w:szCs w:val="20"/>
              </w:rPr>
              <w:t>1. Define Key Performance Indicators (KPI)</w:t>
            </w:r>
          </w:p>
        </w:tc>
        <w:tc>
          <w:tcPr>
            <w:tcW w:w="1590" w:type="dxa"/>
            <w:vAlign w:val="center"/>
          </w:tcPr>
          <w:p w14:paraId="0DA83A9E" w14:textId="77777777" w:rsidR="001331D5" w:rsidRPr="0075552F" w:rsidRDefault="001331D5" w:rsidP="001331D5">
            <w:pPr>
              <w:widowControl w:val="0"/>
              <w:autoSpaceDE w:val="0"/>
              <w:autoSpaceDN w:val="0"/>
              <w:adjustRightInd w:val="0"/>
              <w:jc w:val="center"/>
              <w:rPr>
                <w:rFonts w:asciiTheme="majorHAnsi" w:hAnsiTheme="majorHAnsi"/>
                <w:color w:val="0000FF"/>
              </w:rPr>
            </w:pPr>
            <w:r w:rsidRPr="0075552F">
              <w:rPr>
                <w:rFonts w:ascii="Zapf Dingbats" w:hAnsi="Zapf Dingbats"/>
                <w:color w:val="0000FF"/>
              </w:rPr>
              <w:t>✔</w:t>
            </w:r>
          </w:p>
        </w:tc>
        <w:tc>
          <w:tcPr>
            <w:tcW w:w="1590" w:type="dxa"/>
            <w:vAlign w:val="center"/>
          </w:tcPr>
          <w:p w14:paraId="09DD7E0B"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11392548"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r>
      <w:tr w:rsidR="001331D5" w14:paraId="0E44BF23" w14:textId="77777777" w:rsidTr="00483D04">
        <w:tc>
          <w:tcPr>
            <w:tcW w:w="4698" w:type="dxa"/>
          </w:tcPr>
          <w:p w14:paraId="4282A668" w14:textId="77777777" w:rsidR="001331D5" w:rsidRPr="00483D04" w:rsidRDefault="001331D5" w:rsidP="001331D5">
            <w:pPr>
              <w:widowControl w:val="0"/>
              <w:autoSpaceDE w:val="0"/>
              <w:autoSpaceDN w:val="0"/>
              <w:adjustRightInd w:val="0"/>
              <w:jc w:val="both"/>
              <w:rPr>
                <w:b/>
                <w:szCs w:val="20"/>
              </w:rPr>
            </w:pPr>
            <w:r w:rsidRPr="00483D04">
              <w:rPr>
                <w:b/>
                <w:szCs w:val="20"/>
              </w:rPr>
              <w:t>2. KPI and tariffs periodically disclosed</w:t>
            </w:r>
          </w:p>
        </w:tc>
        <w:tc>
          <w:tcPr>
            <w:tcW w:w="1590" w:type="dxa"/>
            <w:vAlign w:val="center"/>
          </w:tcPr>
          <w:p w14:paraId="2936A8B8"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30F35284" w14:textId="77777777" w:rsidR="001331D5" w:rsidRPr="0075552F" w:rsidRDefault="001331D5" w:rsidP="001331D5">
            <w:pPr>
              <w:widowControl w:val="0"/>
              <w:autoSpaceDE w:val="0"/>
              <w:autoSpaceDN w:val="0"/>
              <w:adjustRightInd w:val="0"/>
              <w:jc w:val="center"/>
              <w:rPr>
                <w:rFonts w:asciiTheme="majorHAnsi" w:hAnsiTheme="majorHAnsi"/>
                <w:color w:val="0000FF"/>
              </w:rPr>
            </w:pPr>
            <w:r w:rsidRPr="0075552F">
              <w:rPr>
                <w:rFonts w:ascii="Zapf Dingbats" w:hAnsi="Zapf Dingbats"/>
                <w:color w:val="0000FF"/>
              </w:rPr>
              <w:t>✔</w:t>
            </w:r>
          </w:p>
        </w:tc>
        <w:tc>
          <w:tcPr>
            <w:tcW w:w="1590" w:type="dxa"/>
            <w:vAlign w:val="center"/>
          </w:tcPr>
          <w:p w14:paraId="01B16A39"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r>
      <w:tr w:rsidR="001331D5" w14:paraId="7A8FBDDB" w14:textId="77777777" w:rsidTr="00483D04">
        <w:tc>
          <w:tcPr>
            <w:tcW w:w="4698" w:type="dxa"/>
          </w:tcPr>
          <w:p w14:paraId="7E655E8E" w14:textId="77777777" w:rsidR="001331D5" w:rsidRPr="00483D04" w:rsidRDefault="001331D5" w:rsidP="001331D5">
            <w:pPr>
              <w:widowControl w:val="0"/>
              <w:autoSpaceDE w:val="0"/>
              <w:autoSpaceDN w:val="0"/>
              <w:adjustRightInd w:val="0"/>
              <w:jc w:val="both"/>
              <w:rPr>
                <w:b/>
                <w:szCs w:val="20"/>
              </w:rPr>
            </w:pPr>
            <w:r w:rsidRPr="00483D04">
              <w:rPr>
                <w:b/>
                <w:szCs w:val="20"/>
              </w:rPr>
              <w:t>3. Code of conduct for future concessions</w:t>
            </w:r>
          </w:p>
        </w:tc>
        <w:tc>
          <w:tcPr>
            <w:tcW w:w="1590" w:type="dxa"/>
            <w:vAlign w:val="center"/>
          </w:tcPr>
          <w:p w14:paraId="11E97150"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43ACCA20" w14:textId="77777777" w:rsidR="001331D5" w:rsidRPr="0075552F" w:rsidRDefault="001331D5" w:rsidP="001331D5">
            <w:pPr>
              <w:widowControl w:val="0"/>
              <w:autoSpaceDE w:val="0"/>
              <w:autoSpaceDN w:val="0"/>
              <w:adjustRightInd w:val="0"/>
              <w:jc w:val="center"/>
              <w:rPr>
                <w:rFonts w:asciiTheme="majorHAnsi" w:hAnsiTheme="majorHAnsi"/>
                <w:color w:val="0000FF"/>
              </w:rPr>
            </w:pPr>
            <w:r w:rsidRPr="0075552F">
              <w:rPr>
                <w:rFonts w:ascii="Zapf Dingbats" w:hAnsi="Zapf Dingbats"/>
                <w:color w:val="0000FF"/>
              </w:rPr>
              <w:t>✔</w:t>
            </w:r>
          </w:p>
        </w:tc>
        <w:tc>
          <w:tcPr>
            <w:tcW w:w="1590" w:type="dxa"/>
            <w:vAlign w:val="center"/>
          </w:tcPr>
          <w:p w14:paraId="56D31314"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r>
      <w:tr w:rsidR="001331D5" w14:paraId="452934B3" w14:textId="77777777" w:rsidTr="00483D04">
        <w:tc>
          <w:tcPr>
            <w:tcW w:w="4698" w:type="dxa"/>
          </w:tcPr>
          <w:p w14:paraId="7773615B" w14:textId="77777777" w:rsidR="001331D5" w:rsidRPr="00483D04" w:rsidRDefault="001331D5" w:rsidP="001331D5">
            <w:pPr>
              <w:widowControl w:val="0"/>
              <w:autoSpaceDE w:val="0"/>
              <w:autoSpaceDN w:val="0"/>
              <w:adjustRightInd w:val="0"/>
              <w:jc w:val="both"/>
              <w:rPr>
                <w:b/>
                <w:szCs w:val="20"/>
              </w:rPr>
            </w:pPr>
            <w:r w:rsidRPr="00483D04">
              <w:rPr>
                <w:b/>
                <w:szCs w:val="20"/>
              </w:rPr>
              <w:t>4. Clarified port concessions regulation</w:t>
            </w:r>
          </w:p>
        </w:tc>
        <w:tc>
          <w:tcPr>
            <w:tcW w:w="1590" w:type="dxa"/>
            <w:vAlign w:val="center"/>
          </w:tcPr>
          <w:p w14:paraId="206AE85B"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4060AE1F"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5804A48A" w14:textId="77777777" w:rsidR="001331D5" w:rsidRPr="0075552F" w:rsidRDefault="001331D5" w:rsidP="001331D5">
            <w:pPr>
              <w:widowControl w:val="0"/>
              <w:autoSpaceDE w:val="0"/>
              <w:autoSpaceDN w:val="0"/>
              <w:adjustRightInd w:val="0"/>
              <w:jc w:val="center"/>
              <w:rPr>
                <w:rFonts w:asciiTheme="majorHAnsi" w:hAnsiTheme="majorHAnsi"/>
                <w:color w:val="0000FF"/>
              </w:rPr>
            </w:pPr>
            <w:r w:rsidRPr="0075552F">
              <w:rPr>
                <w:rFonts w:ascii="Zapf Dingbats" w:hAnsi="Zapf Dingbats"/>
                <w:color w:val="0000FF"/>
              </w:rPr>
              <w:t>✔</w:t>
            </w:r>
          </w:p>
        </w:tc>
      </w:tr>
      <w:tr w:rsidR="001331D5" w14:paraId="2505F5A7" w14:textId="77777777" w:rsidTr="00483D04">
        <w:tc>
          <w:tcPr>
            <w:tcW w:w="4698" w:type="dxa"/>
          </w:tcPr>
          <w:p w14:paraId="58D78673" w14:textId="5BF77ECB" w:rsidR="001331D5" w:rsidRPr="00483D04" w:rsidRDefault="001331D5" w:rsidP="001331D5">
            <w:pPr>
              <w:widowControl w:val="0"/>
              <w:autoSpaceDE w:val="0"/>
              <w:autoSpaceDN w:val="0"/>
              <w:adjustRightInd w:val="0"/>
              <w:jc w:val="both"/>
              <w:rPr>
                <w:b/>
                <w:szCs w:val="20"/>
              </w:rPr>
            </w:pPr>
            <w:r w:rsidRPr="00483D04">
              <w:rPr>
                <w:b/>
                <w:szCs w:val="20"/>
              </w:rPr>
              <w:t>5. Tariff Strategy</w:t>
            </w:r>
            <w:r w:rsidR="00483D04">
              <w:rPr>
                <w:b/>
                <w:szCs w:val="20"/>
              </w:rPr>
              <w:t xml:space="preserve"> </w:t>
            </w:r>
            <w:r w:rsidR="001E1E76">
              <w:rPr>
                <w:b/>
                <w:szCs w:val="20"/>
              </w:rPr>
              <w:t>in concession agreements</w:t>
            </w:r>
          </w:p>
        </w:tc>
        <w:tc>
          <w:tcPr>
            <w:tcW w:w="1590" w:type="dxa"/>
            <w:vAlign w:val="center"/>
          </w:tcPr>
          <w:p w14:paraId="5F4DD84C"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486FB260" w14:textId="77777777" w:rsidR="001331D5" w:rsidRPr="0075552F" w:rsidRDefault="001331D5" w:rsidP="001331D5">
            <w:pPr>
              <w:widowControl w:val="0"/>
              <w:autoSpaceDE w:val="0"/>
              <w:autoSpaceDN w:val="0"/>
              <w:adjustRightInd w:val="0"/>
              <w:jc w:val="center"/>
              <w:rPr>
                <w:rFonts w:asciiTheme="majorHAnsi" w:hAnsiTheme="majorHAnsi"/>
                <w:color w:val="0000FF"/>
              </w:rPr>
            </w:pPr>
            <w:r w:rsidRPr="0075552F">
              <w:rPr>
                <w:rFonts w:ascii="Zapf Dingbats" w:hAnsi="Zapf Dingbats"/>
                <w:color w:val="0000FF"/>
              </w:rPr>
              <w:t>✔</w:t>
            </w:r>
          </w:p>
        </w:tc>
        <w:tc>
          <w:tcPr>
            <w:tcW w:w="1590" w:type="dxa"/>
            <w:vAlign w:val="center"/>
          </w:tcPr>
          <w:p w14:paraId="001AF3C1"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r>
      <w:tr w:rsidR="001331D5" w14:paraId="38DED5B5" w14:textId="77777777" w:rsidTr="00483D04">
        <w:tc>
          <w:tcPr>
            <w:tcW w:w="4698" w:type="dxa"/>
          </w:tcPr>
          <w:p w14:paraId="70ADC688" w14:textId="77777777" w:rsidR="001331D5" w:rsidRPr="00483D04" w:rsidRDefault="001331D5" w:rsidP="001331D5">
            <w:pPr>
              <w:widowControl w:val="0"/>
              <w:autoSpaceDE w:val="0"/>
              <w:autoSpaceDN w:val="0"/>
              <w:adjustRightInd w:val="0"/>
              <w:jc w:val="both"/>
              <w:rPr>
                <w:b/>
                <w:szCs w:val="20"/>
              </w:rPr>
            </w:pPr>
            <w:r w:rsidRPr="00483D04">
              <w:rPr>
                <w:b/>
                <w:szCs w:val="20"/>
              </w:rPr>
              <w:t>6. Redesign of future concession processes</w:t>
            </w:r>
          </w:p>
        </w:tc>
        <w:tc>
          <w:tcPr>
            <w:tcW w:w="1590" w:type="dxa"/>
            <w:vAlign w:val="center"/>
          </w:tcPr>
          <w:p w14:paraId="55A646D7" w14:textId="77777777" w:rsidR="001331D5" w:rsidRPr="0075552F" w:rsidRDefault="001331D5" w:rsidP="001331D5">
            <w:pPr>
              <w:widowControl w:val="0"/>
              <w:autoSpaceDE w:val="0"/>
              <w:autoSpaceDN w:val="0"/>
              <w:adjustRightInd w:val="0"/>
              <w:jc w:val="center"/>
              <w:rPr>
                <w:rFonts w:asciiTheme="majorHAnsi" w:hAnsiTheme="majorHAnsi"/>
                <w:color w:val="0000FF"/>
              </w:rPr>
            </w:pPr>
            <w:r w:rsidRPr="0075552F">
              <w:rPr>
                <w:rFonts w:ascii="Zapf Dingbats" w:hAnsi="Zapf Dingbats"/>
                <w:color w:val="0000FF"/>
              </w:rPr>
              <w:t>✔</w:t>
            </w:r>
          </w:p>
        </w:tc>
        <w:tc>
          <w:tcPr>
            <w:tcW w:w="1590" w:type="dxa"/>
            <w:vAlign w:val="center"/>
          </w:tcPr>
          <w:p w14:paraId="66F8949F"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696A94E4"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r>
      <w:tr w:rsidR="001331D5" w14:paraId="23BA88C7" w14:textId="77777777" w:rsidTr="00483D04">
        <w:tc>
          <w:tcPr>
            <w:tcW w:w="4698" w:type="dxa"/>
          </w:tcPr>
          <w:p w14:paraId="57B9434A" w14:textId="77777777" w:rsidR="001331D5" w:rsidRPr="00483D04" w:rsidRDefault="001331D5" w:rsidP="001331D5">
            <w:pPr>
              <w:widowControl w:val="0"/>
              <w:autoSpaceDE w:val="0"/>
              <w:autoSpaceDN w:val="0"/>
              <w:adjustRightInd w:val="0"/>
              <w:jc w:val="both"/>
              <w:rPr>
                <w:b/>
                <w:szCs w:val="20"/>
              </w:rPr>
            </w:pPr>
            <w:r w:rsidRPr="00483D04">
              <w:rPr>
                <w:b/>
                <w:szCs w:val="20"/>
              </w:rPr>
              <w:t>7. Regional Port Master Plan</w:t>
            </w:r>
          </w:p>
        </w:tc>
        <w:tc>
          <w:tcPr>
            <w:tcW w:w="1590" w:type="dxa"/>
            <w:vAlign w:val="center"/>
          </w:tcPr>
          <w:p w14:paraId="7957531C"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261C4239" w14:textId="77777777" w:rsidR="001331D5" w:rsidRPr="0075552F" w:rsidRDefault="001331D5" w:rsidP="001331D5">
            <w:pPr>
              <w:widowControl w:val="0"/>
              <w:autoSpaceDE w:val="0"/>
              <w:autoSpaceDN w:val="0"/>
              <w:adjustRightInd w:val="0"/>
              <w:jc w:val="center"/>
              <w:rPr>
                <w:rFonts w:asciiTheme="majorHAnsi" w:hAnsiTheme="majorHAnsi"/>
                <w:color w:val="0000FF"/>
              </w:rPr>
            </w:pPr>
          </w:p>
        </w:tc>
        <w:tc>
          <w:tcPr>
            <w:tcW w:w="1590" w:type="dxa"/>
            <w:vAlign w:val="center"/>
          </w:tcPr>
          <w:p w14:paraId="252551A9" w14:textId="77777777" w:rsidR="001331D5" w:rsidRPr="0075552F" w:rsidRDefault="001331D5" w:rsidP="001331D5">
            <w:pPr>
              <w:widowControl w:val="0"/>
              <w:autoSpaceDE w:val="0"/>
              <w:autoSpaceDN w:val="0"/>
              <w:adjustRightInd w:val="0"/>
              <w:jc w:val="center"/>
              <w:rPr>
                <w:rFonts w:asciiTheme="majorHAnsi" w:hAnsiTheme="majorHAnsi"/>
                <w:color w:val="0000FF"/>
              </w:rPr>
            </w:pPr>
            <w:r w:rsidRPr="0075552F">
              <w:rPr>
                <w:rFonts w:ascii="Zapf Dingbats" w:hAnsi="Zapf Dingbats"/>
                <w:color w:val="0000FF"/>
              </w:rPr>
              <w:t>✔</w:t>
            </w:r>
          </w:p>
        </w:tc>
      </w:tr>
    </w:tbl>
    <w:p w14:paraId="1A8887DE" w14:textId="77777777" w:rsidR="00502489" w:rsidRPr="00E86A33" w:rsidRDefault="00502489" w:rsidP="004C49CD">
      <w:pPr>
        <w:spacing w:after="240" w:line="22" w:lineRule="atLeast"/>
        <w:jc w:val="both"/>
        <w:rPr>
          <w:rFonts w:ascii="Calibri" w:hAnsi="Calibri"/>
          <w:sz w:val="24"/>
          <w:szCs w:val="24"/>
        </w:rPr>
      </w:pPr>
    </w:p>
    <w:p w14:paraId="11A771BB" w14:textId="07B2A31A" w:rsidR="003F1F76" w:rsidRDefault="003F1F76">
      <w:pPr>
        <w:rPr>
          <w:rFonts w:ascii="Calibri" w:hAnsi="Calibri"/>
          <w:sz w:val="24"/>
        </w:rPr>
      </w:pPr>
      <w:r>
        <w:rPr>
          <w:rFonts w:ascii="Calibri" w:hAnsi="Calibri"/>
          <w:sz w:val="24"/>
        </w:rPr>
        <w:br w:type="page"/>
      </w:r>
    </w:p>
    <w:p w14:paraId="5FC2D53E" w14:textId="0187C9FC" w:rsidR="00104E65" w:rsidRPr="00A22483" w:rsidRDefault="00EF5637" w:rsidP="006161AC">
      <w:pPr>
        <w:pStyle w:val="Heading1"/>
        <w:rPr>
          <w:rFonts w:asciiTheme="minorHAnsi" w:hAnsiTheme="minorHAnsi"/>
          <w:sz w:val="32"/>
          <w:szCs w:val="32"/>
        </w:rPr>
      </w:pPr>
      <w:bookmarkStart w:id="6" w:name="_Toc485381986"/>
      <w:r w:rsidRPr="00A22483">
        <w:rPr>
          <w:rFonts w:asciiTheme="minorHAnsi" w:hAnsiTheme="minorHAnsi"/>
          <w:sz w:val="32"/>
          <w:szCs w:val="32"/>
        </w:rPr>
        <w:lastRenderedPageBreak/>
        <w:t xml:space="preserve">The </w:t>
      </w:r>
      <w:r w:rsidR="00BD67A8" w:rsidRPr="00A22483">
        <w:rPr>
          <w:rFonts w:asciiTheme="minorHAnsi" w:hAnsiTheme="minorHAnsi"/>
          <w:sz w:val="32"/>
          <w:szCs w:val="32"/>
        </w:rPr>
        <w:t>West African</w:t>
      </w:r>
      <w:r w:rsidR="00B65D2E" w:rsidRPr="00A22483">
        <w:rPr>
          <w:rFonts w:asciiTheme="minorHAnsi" w:hAnsiTheme="minorHAnsi"/>
          <w:sz w:val="32"/>
          <w:szCs w:val="32"/>
        </w:rPr>
        <w:t xml:space="preserve"> </w:t>
      </w:r>
      <w:r w:rsidR="009D7EB0" w:rsidRPr="00A22483">
        <w:rPr>
          <w:rFonts w:asciiTheme="minorHAnsi" w:hAnsiTheme="minorHAnsi"/>
          <w:sz w:val="32"/>
          <w:szCs w:val="32"/>
        </w:rPr>
        <w:t xml:space="preserve">Ports </w:t>
      </w:r>
      <w:r w:rsidRPr="00A22483">
        <w:rPr>
          <w:rFonts w:asciiTheme="minorHAnsi" w:hAnsiTheme="minorHAnsi"/>
          <w:sz w:val="32"/>
          <w:szCs w:val="32"/>
        </w:rPr>
        <w:t xml:space="preserve">Landscape </w:t>
      </w:r>
      <w:r w:rsidR="00390CC9" w:rsidRPr="00A22483">
        <w:rPr>
          <w:rFonts w:asciiTheme="minorHAnsi" w:hAnsiTheme="minorHAnsi"/>
          <w:sz w:val="32"/>
          <w:szCs w:val="32"/>
        </w:rPr>
        <w:t>and Containerized Trade</w:t>
      </w:r>
      <w:bookmarkEnd w:id="6"/>
    </w:p>
    <w:p w14:paraId="507BA236" w14:textId="77777777" w:rsidR="00115BBE" w:rsidRPr="004B2A73" w:rsidRDefault="00115BBE" w:rsidP="003F1F76">
      <w:pPr>
        <w:spacing w:after="0" w:line="240" w:lineRule="auto"/>
        <w:rPr>
          <w:rFonts w:ascii="Calibri" w:hAnsi="Calibri"/>
        </w:rPr>
      </w:pPr>
    </w:p>
    <w:p w14:paraId="320AC0AB" w14:textId="107C6766" w:rsidR="00627628" w:rsidRPr="00554060" w:rsidRDefault="00627628" w:rsidP="00981E58">
      <w:pPr>
        <w:pStyle w:val="Heading2"/>
        <w:ind w:left="0"/>
        <w:rPr>
          <w:rFonts w:asciiTheme="minorHAnsi" w:hAnsiTheme="minorHAnsi" w:cstheme="minorHAnsi"/>
          <w:color w:val="000000" w:themeColor="text1"/>
          <w:sz w:val="28"/>
          <w:szCs w:val="28"/>
        </w:rPr>
      </w:pPr>
      <w:bookmarkStart w:id="7" w:name="_Toc418756627"/>
      <w:bookmarkStart w:id="8" w:name="_Toc485381987"/>
      <w:r w:rsidRPr="00554060">
        <w:rPr>
          <w:rFonts w:asciiTheme="minorHAnsi" w:hAnsiTheme="minorHAnsi" w:cstheme="minorHAnsi"/>
          <w:color w:val="000000" w:themeColor="text1"/>
          <w:sz w:val="28"/>
          <w:szCs w:val="28"/>
        </w:rPr>
        <w:t xml:space="preserve">Geographic, demographic and economic </w:t>
      </w:r>
      <w:bookmarkEnd w:id="7"/>
      <w:r w:rsidR="00856B2B" w:rsidRPr="00554060">
        <w:rPr>
          <w:rFonts w:asciiTheme="minorHAnsi" w:hAnsiTheme="minorHAnsi" w:cstheme="minorHAnsi"/>
          <w:color w:val="000000" w:themeColor="text1"/>
          <w:sz w:val="28"/>
          <w:szCs w:val="28"/>
        </w:rPr>
        <w:t>overview</w:t>
      </w:r>
      <w:bookmarkEnd w:id="8"/>
      <w:r w:rsidR="00856B2B" w:rsidRPr="00554060">
        <w:rPr>
          <w:rFonts w:asciiTheme="minorHAnsi" w:hAnsiTheme="minorHAnsi" w:cstheme="minorHAnsi"/>
          <w:color w:val="000000" w:themeColor="text1"/>
          <w:sz w:val="28"/>
          <w:szCs w:val="28"/>
        </w:rPr>
        <w:t xml:space="preserve"> </w:t>
      </w:r>
    </w:p>
    <w:p w14:paraId="618E2BCC" w14:textId="77777777" w:rsidR="00115BBE" w:rsidRPr="004B2A73" w:rsidRDefault="00115BBE" w:rsidP="00115BBE">
      <w:pPr>
        <w:spacing w:after="0" w:line="240" w:lineRule="auto"/>
        <w:rPr>
          <w:rFonts w:ascii="Calibri" w:hAnsi="Calibri"/>
        </w:rPr>
      </w:pPr>
    </w:p>
    <w:p w14:paraId="26331C7C" w14:textId="77777777" w:rsidR="00B65D2E" w:rsidRPr="004B2A73" w:rsidRDefault="00B65D2E"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West Africa</w:t>
      </w:r>
      <w:r w:rsidR="00540016" w:rsidRPr="004B2A73">
        <w:rPr>
          <w:rFonts w:ascii="Calibri" w:hAnsi="Calibri"/>
          <w:b/>
          <w:sz w:val="24"/>
        </w:rPr>
        <w:t xml:space="preserve"> </w:t>
      </w:r>
      <w:r w:rsidRPr="004B2A73">
        <w:rPr>
          <w:rFonts w:ascii="Calibri" w:hAnsi="Calibri"/>
          <w:b/>
          <w:sz w:val="24"/>
        </w:rPr>
        <w:t>is a relatively large region with a majority of coastal countries</w:t>
      </w:r>
      <w:r w:rsidR="00540016" w:rsidRPr="004B2A73">
        <w:rPr>
          <w:rFonts w:ascii="Calibri" w:hAnsi="Calibri"/>
          <w:b/>
          <w:vertAlign w:val="superscript"/>
        </w:rPr>
        <w:footnoteReference w:id="2"/>
      </w:r>
      <w:r w:rsidRPr="004B2A73">
        <w:rPr>
          <w:rFonts w:ascii="Calibri" w:hAnsi="Calibri"/>
          <w:b/>
          <w:sz w:val="24"/>
        </w:rPr>
        <w:t xml:space="preserve">. </w:t>
      </w:r>
      <w:r w:rsidRPr="004B2A73">
        <w:rPr>
          <w:rFonts w:ascii="Calibri" w:hAnsi="Calibri"/>
          <w:sz w:val="24"/>
        </w:rPr>
        <w:t>The combined land area of ECOWAS countries is just over 5 million km</w:t>
      </w:r>
      <w:r w:rsidRPr="004B2A73">
        <w:rPr>
          <w:rFonts w:ascii="Calibri" w:hAnsi="Calibri"/>
          <w:sz w:val="24"/>
          <w:vertAlign w:val="superscript"/>
        </w:rPr>
        <w:t>2</w:t>
      </w:r>
      <w:r w:rsidRPr="004B2A73">
        <w:rPr>
          <w:rFonts w:ascii="Calibri" w:hAnsi="Calibri"/>
          <w:sz w:val="24"/>
        </w:rPr>
        <w:t xml:space="preserve">, which represents 21 percent of </w:t>
      </w:r>
      <w:r w:rsidR="006F4918" w:rsidRPr="004B2A73">
        <w:rPr>
          <w:rFonts w:ascii="Calibri" w:hAnsi="Calibri"/>
          <w:sz w:val="24"/>
        </w:rPr>
        <w:t xml:space="preserve">the </w:t>
      </w:r>
      <w:r w:rsidRPr="004B2A73">
        <w:rPr>
          <w:rFonts w:ascii="Calibri" w:hAnsi="Calibri"/>
          <w:sz w:val="24"/>
        </w:rPr>
        <w:t xml:space="preserve">Sub-Saharan </w:t>
      </w:r>
      <w:r w:rsidR="00F0774D" w:rsidRPr="004B2A73">
        <w:rPr>
          <w:rFonts w:ascii="Calibri" w:hAnsi="Calibri"/>
          <w:sz w:val="24"/>
        </w:rPr>
        <w:t>African (</w:t>
      </w:r>
      <w:r w:rsidRPr="004B2A73">
        <w:rPr>
          <w:rFonts w:ascii="Calibri" w:hAnsi="Calibri"/>
          <w:sz w:val="24"/>
        </w:rPr>
        <w:t xml:space="preserve">SSA) </w:t>
      </w:r>
      <w:r w:rsidR="006F4918" w:rsidRPr="004B2A73">
        <w:rPr>
          <w:rFonts w:ascii="Calibri" w:hAnsi="Calibri"/>
          <w:sz w:val="24"/>
        </w:rPr>
        <w:t xml:space="preserve">landmass </w:t>
      </w:r>
      <w:r w:rsidRPr="004B2A73">
        <w:rPr>
          <w:rFonts w:ascii="Calibri" w:hAnsi="Calibri"/>
          <w:sz w:val="24"/>
        </w:rPr>
        <w:t>and is a fifth larger than the European Union. While Niger and Mali are over 1.2 million km</w:t>
      </w:r>
      <w:r w:rsidRPr="004B2A73">
        <w:rPr>
          <w:rFonts w:ascii="Calibri" w:hAnsi="Calibri"/>
          <w:sz w:val="24"/>
          <w:vertAlign w:val="superscript"/>
        </w:rPr>
        <w:t xml:space="preserve">2 </w:t>
      </w:r>
      <w:r w:rsidRPr="004B2A73">
        <w:rPr>
          <w:rFonts w:ascii="Calibri" w:hAnsi="Calibri"/>
          <w:sz w:val="24"/>
        </w:rPr>
        <w:t>each, six countries are under 100 thousand km</w:t>
      </w:r>
      <w:r w:rsidRPr="004B2A73">
        <w:rPr>
          <w:rFonts w:ascii="Calibri" w:hAnsi="Calibri"/>
          <w:sz w:val="24"/>
          <w:vertAlign w:val="superscript"/>
        </w:rPr>
        <w:t>2</w:t>
      </w:r>
      <w:r w:rsidRPr="004B2A73">
        <w:rPr>
          <w:rFonts w:ascii="Calibri" w:hAnsi="Calibri"/>
          <w:sz w:val="24"/>
        </w:rPr>
        <w:t>. Of the 15 ECOWAS countries, 11 have a coastline, 3 are landlocked</w:t>
      </w:r>
      <w:r w:rsidR="006F6F67" w:rsidRPr="004B2A73">
        <w:rPr>
          <w:rFonts w:ascii="Calibri" w:hAnsi="Calibri"/>
          <w:sz w:val="24"/>
        </w:rPr>
        <w:t>,</w:t>
      </w:r>
      <w:r w:rsidRPr="004B2A73">
        <w:rPr>
          <w:rFonts w:ascii="Calibri" w:hAnsi="Calibri"/>
          <w:sz w:val="24"/>
        </w:rPr>
        <w:t xml:space="preserve"> and one is an island country. The average size of coastal countries is 189 thousand km</w:t>
      </w:r>
      <w:r w:rsidRPr="004B2A73">
        <w:rPr>
          <w:rFonts w:ascii="Calibri" w:hAnsi="Calibri"/>
          <w:sz w:val="24"/>
          <w:vertAlign w:val="superscript"/>
        </w:rPr>
        <w:t xml:space="preserve">2 </w:t>
      </w:r>
      <w:r w:rsidRPr="004B2A73">
        <w:rPr>
          <w:rFonts w:ascii="Calibri" w:hAnsi="Calibri"/>
          <w:sz w:val="24"/>
        </w:rPr>
        <w:t xml:space="preserve">(124 </w:t>
      </w:r>
      <w:r w:rsidR="006F4918" w:rsidRPr="004B2A73">
        <w:rPr>
          <w:rFonts w:ascii="Calibri" w:hAnsi="Calibri"/>
          <w:sz w:val="24"/>
        </w:rPr>
        <w:t xml:space="preserve">thousand </w:t>
      </w:r>
      <w:r w:rsidRPr="004B2A73">
        <w:rPr>
          <w:rFonts w:ascii="Calibri" w:hAnsi="Calibri"/>
          <w:sz w:val="24"/>
        </w:rPr>
        <w:t xml:space="preserve">excluding Nigeria). </w:t>
      </w:r>
      <w:r w:rsidR="00225ABF" w:rsidRPr="004B2A73">
        <w:rPr>
          <w:rFonts w:ascii="Calibri" w:hAnsi="Calibri"/>
          <w:sz w:val="24"/>
        </w:rPr>
        <w:t>T</w:t>
      </w:r>
      <w:r w:rsidRPr="004B2A73">
        <w:rPr>
          <w:rFonts w:ascii="Calibri" w:hAnsi="Calibri"/>
          <w:sz w:val="24"/>
        </w:rPr>
        <w:t>he West African coastline totals just over 4,300 km, with national coastlines ranging from around 850 km in Nigeria to 56 km in Togo.</w:t>
      </w:r>
    </w:p>
    <w:p w14:paraId="11D87FB1" w14:textId="77777777" w:rsidR="00115BBE" w:rsidRPr="004B2A73" w:rsidRDefault="00115BBE" w:rsidP="00115BBE">
      <w:pPr>
        <w:spacing w:after="0"/>
        <w:rPr>
          <w:rFonts w:ascii="Calibri" w:hAnsi="Calibri"/>
          <w:sz w:val="24"/>
        </w:rPr>
      </w:pPr>
    </w:p>
    <w:p w14:paraId="39A75715" w14:textId="77777777" w:rsidR="00F0774D" w:rsidRPr="004B2A73" w:rsidRDefault="00B65D2E"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 West African population is highly concentrated and will boom in the next decades.</w:t>
      </w:r>
      <w:r w:rsidRPr="004B2A73">
        <w:rPr>
          <w:rFonts w:ascii="Calibri" w:hAnsi="Calibri"/>
          <w:sz w:val="24"/>
        </w:rPr>
        <w:t xml:space="preserve"> The combined population in the region </w:t>
      </w:r>
      <w:r w:rsidR="003B0439" w:rsidRPr="004B2A73">
        <w:rPr>
          <w:rFonts w:ascii="Calibri" w:hAnsi="Calibri"/>
          <w:sz w:val="24"/>
        </w:rPr>
        <w:t>i</w:t>
      </w:r>
      <w:r w:rsidRPr="004B2A73">
        <w:rPr>
          <w:rFonts w:ascii="Calibri" w:hAnsi="Calibri"/>
          <w:sz w:val="24"/>
        </w:rPr>
        <w:t>s around 350 million inhabitants (37 percent of SSA and 5 percent of the world). Nigeria accounts for half of this number, but 12 countries in the region have less than 20 million inhabitants. Population density varies greatly, from 191 people per km</w:t>
      </w:r>
      <w:r w:rsidRPr="004B2A73">
        <w:rPr>
          <w:rFonts w:ascii="Calibri" w:hAnsi="Calibri"/>
          <w:sz w:val="24"/>
          <w:vertAlign w:val="superscript"/>
        </w:rPr>
        <w:t>2</w:t>
      </w:r>
      <w:r w:rsidRPr="004B2A73">
        <w:rPr>
          <w:rFonts w:ascii="Calibri" w:hAnsi="Calibri"/>
          <w:sz w:val="24"/>
        </w:rPr>
        <w:t xml:space="preserve"> in Nigeria to 13 in Mali. West Africa’s population is highly concentrated along the coast, although there are also some large cities in the hinterland. Population growth has averaged 2.6 percent per annum since </w:t>
      </w:r>
      <w:r w:rsidR="00D51E1C" w:rsidRPr="004B2A73">
        <w:rPr>
          <w:rFonts w:ascii="Calibri" w:hAnsi="Calibri"/>
          <w:sz w:val="24"/>
        </w:rPr>
        <w:t>the beginning of this century</w:t>
      </w:r>
      <w:r w:rsidRPr="004B2A73">
        <w:rPr>
          <w:rFonts w:ascii="Calibri" w:hAnsi="Calibri"/>
          <w:sz w:val="24"/>
        </w:rPr>
        <w:t>, in line with the SSA average. Looking forward, the United Nations estimates that West Africa will become the most populous region on the continent, reaching over 800 million people by 2050 and 1.6 billion by 2100 (respectively 9 and 15 percent of the wo</w:t>
      </w:r>
      <w:r w:rsidR="00225ABF" w:rsidRPr="004B2A73">
        <w:rPr>
          <w:rFonts w:ascii="Calibri" w:hAnsi="Calibri"/>
          <w:sz w:val="24"/>
        </w:rPr>
        <w:t>rld’s total population by then)</w:t>
      </w:r>
      <w:r w:rsidRPr="004B2A73">
        <w:rPr>
          <w:rFonts w:ascii="Calibri" w:hAnsi="Calibri"/>
          <w:sz w:val="24"/>
          <w:vertAlign w:val="superscript"/>
        </w:rPr>
        <w:footnoteReference w:id="3"/>
      </w:r>
      <w:r w:rsidR="00225ABF" w:rsidRPr="004B2A73">
        <w:rPr>
          <w:rFonts w:ascii="Calibri" w:hAnsi="Calibri"/>
          <w:sz w:val="24"/>
        </w:rPr>
        <w:t>.</w:t>
      </w:r>
    </w:p>
    <w:p w14:paraId="63C499CB" w14:textId="77777777" w:rsidR="00F0774D" w:rsidRPr="004B2A73" w:rsidRDefault="00F0774D" w:rsidP="00F0774D">
      <w:pPr>
        <w:pStyle w:val="ListParagraph"/>
        <w:spacing w:after="0"/>
        <w:ind w:left="0"/>
        <w:rPr>
          <w:rFonts w:ascii="Calibri" w:hAnsi="Calibri"/>
          <w:sz w:val="24"/>
        </w:rPr>
      </w:pPr>
    </w:p>
    <w:p w14:paraId="72284B6D" w14:textId="77777777" w:rsidR="00E00641" w:rsidRPr="004B2A73" w:rsidRDefault="00E00641" w:rsidP="00E826B9">
      <w:pPr>
        <w:pStyle w:val="ListParagraph"/>
        <w:numPr>
          <w:ilvl w:val="0"/>
          <w:numId w:val="6"/>
        </w:numPr>
        <w:spacing w:after="0"/>
        <w:ind w:left="0" w:firstLine="0"/>
        <w:jc w:val="both"/>
        <w:rPr>
          <w:rFonts w:ascii="Calibri" w:hAnsi="Calibri"/>
          <w:sz w:val="24"/>
        </w:rPr>
      </w:pPr>
      <w:r w:rsidRPr="00757064">
        <w:rPr>
          <w:rFonts w:ascii="Calibri" w:hAnsi="Calibri"/>
          <w:b/>
          <w:sz w:val="24"/>
        </w:rPr>
        <w:t xml:space="preserve">The economies of West African countries have been growing rapidly albeit with a slowdown in recent years reflecting the global decline in </w:t>
      </w:r>
      <w:r>
        <w:rPr>
          <w:rFonts w:ascii="Calibri" w:hAnsi="Calibri"/>
          <w:b/>
          <w:sz w:val="24"/>
        </w:rPr>
        <w:t xml:space="preserve">commodities and </w:t>
      </w:r>
      <w:r w:rsidRPr="00757064">
        <w:rPr>
          <w:rFonts w:ascii="Calibri" w:hAnsi="Calibri"/>
          <w:b/>
          <w:sz w:val="24"/>
        </w:rPr>
        <w:t>oil prices</w:t>
      </w:r>
      <w:r w:rsidRPr="004B2A73">
        <w:rPr>
          <w:rFonts w:ascii="Calibri" w:hAnsi="Calibri"/>
          <w:b/>
          <w:sz w:val="24"/>
        </w:rPr>
        <w:t>.</w:t>
      </w:r>
      <w:r w:rsidRPr="004B2A73">
        <w:rPr>
          <w:rFonts w:ascii="Calibri" w:hAnsi="Calibri"/>
          <w:sz w:val="24"/>
        </w:rPr>
        <w:t xml:space="preserve"> </w:t>
      </w:r>
      <w:r w:rsidRPr="004B2A73">
        <w:rPr>
          <w:rFonts w:ascii="Calibri" w:hAnsi="Calibri"/>
          <w:sz w:val="24"/>
          <w:szCs w:val="24"/>
        </w:rPr>
        <w:t xml:space="preserve">The combined GDP of ECOWAS countries amounted to US$720 billion in 2014, less than 1 percent of </w:t>
      </w:r>
      <w:r w:rsidRPr="00AE0D69">
        <w:rPr>
          <w:rFonts w:ascii="Calibri" w:hAnsi="Calibri"/>
          <w:sz w:val="24"/>
          <w:szCs w:val="24"/>
        </w:rPr>
        <w:t xml:space="preserve">the </w:t>
      </w:r>
      <w:r w:rsidRPr="00AE0D69">
        <w:rPr>
          <w:rFonts w:ascii="Calibri" w:hAnsi="Calibri"/>
          <w:sz w:val="24"/>
        </w:rPr>
        <w:t>world’s</w:t>
      </w:r>
      <w:r w:rsidRPr="004B2A73">
        <w:rPr>
          <w:rFonts w:ascii="Calibri" w:hAnsi="Calibri"/>
          <w:sz w:val="24"/>
          <w:szCs w:val="24"/>
        </w:rPr>
        <w:t xml:space="preserve"> GDP (42 percent of SSA’s GDP). Nigeria accounts for over three quarters of this figure, while nine countries of the sub-region have a GDP of less than US$10 billion. </w:t>
      </w:r>
      <w:r>
        <w:rPr>
          <w:rFonts w:ascii="Calibri" w:hAnsi="Calibri"/>
          <w:sz w:val="24"/>
        </w:rPr>
        <w:t>As per the IMF</w:t>
      </w:r>
      <w:r>
        <w:rPr>
          <w:rStyle w:val="FootnoteReference"/>
          <w:rFonts w:ascii="Calibri" w:hAnsi="Calibri"/>
          <w:sz w:val="24"/>
        </w:rPr>
        <w:footnoteReference w:id="4"/>
      </w:r>
      <w:r>
        <w:rPr>
          <w:rFonts w:ascii="Calibri" w:hAnsi="Calibri"/>
          <w:sz w:val="24"/>
        </w:rPr>
        <w:t xml:space="preserve">, </w:t>
      </w:r>
      <w:r w:rsidRPr="004B2A73">
        <w:rPr>
          <w:rFonts w:ascii="Calibri" w:hAnsi="Calibri"/>
          <w:sz w:val="24"/>
          <w:szCs w:val="24"/>
        </w:rPr>
        <w:t xml:space="preserve">Gross Domestic product (GDP) </w:t>
      </w:r>
      <w:r>
        <w:rPr>
          <w:rFonts w:ascii="Calibri" w:hAnsi="Calibri"/>
          <w:sz w:val="24"/>
          <w:szCs w:val="24"/>
        </w:rPr>
        <w:t>for</w:t>
      </w:r>
      <w:r w:rsidRPr="004B2A73">
        <w:rPr>
          <w:rFonts w:ascii="Calibri" w:hAnsi="Calibri" w:cs="Arial"/>
          <w:color w:val="333333"/>
          <w:sz w:val="24"/>
          <w:szCs w:val="24"/>
          <w:shd w:val="clear" w:color="auto" w:fill="FFFFFF"/>
        </w:rPr>
        <w:t xml:space="preserve"> </w:t>
      </w:r>
      <w:r>
        <w:rPr>
          <w:rFonts w:ascii="Calibri" w:hAnsi="Calibri" w:cs="Arial"/>
          <w:color w:val="333333"/>
          <w:sz w:val="24"/>
          <w:szCs w:val="24"/>
          <w:shd w:val="clear" w:color="auto" w:fill="FFFFFF"/>
        </w:rPr>
        <w:t>West Africa contracted by 11.9% in 2015, and by a further 10.3% in 2016, but is expected to rebound in 2017</w:t>
      </w:r>
      <w:r w:rsidRPr="004B2A73">
        <w:rPr>
          <w:rFonts w:ascii="Calibri" w:hAnsi="Calibri" w:cs="Arial"/>
          <w:color w:val="333333"/>
          <w:sz w:val="24"/>
          <w:szCs w:val="24"/>
          <w:shd w:val="clear" w:color="auto" w:fill="FFFFFF"/>
        </w:rPr>
        <w:t xml:space="preserve">. </w:t>
      </w:r>
      <w:r w:rsidRPr="004B2A73">
        <w:rPr>
          <w:rFonts w:ascii="Calibri" w:hAnsi="Calibri"/>
          <w:sz w:val="24"/>
          <w:szCs w:val="24"/>
        </w:rPr>
        <w:t xml:space="preserve">Economic activity is expected to </w:t>
      </w:r>
      <w:r>
        <w:rPr>
          <w:rFonts w:ascii="Calibri" w:hAnsi="Calibri"/>
          <w:sz w:val="24"/>
          <w:szCs w:val="24"/>
        </w:rPr>
        <w:t>resume its growth at an average annual rate of 5.3% for the period 2016-2021</w:t>
      </w:r>
      <w:r w:rsidRPr="004B2A73">
        <w:rPr>
          <w:rFonts w:ascii="Calibri" w:hAnsi="Calibri"/>
          <w:sz w:val="24"/>
          <w:szCs w:val="24"/>
        </w:rPr>
        <w:t>. The realization of the growth prospects for West Africa will continue to be influenced by improvements in its</w:t>
      </w:r>
      <w:r w:rsidRPr="004B2A73">
        <w:rPr>
          <w:rFonts w:ascii="Calibri" w:hAnsi="Calibri"/>
          <w:sz w:val="24"/>
        </w:rPr>
        <w:t xml:space="preserve"> institutions and implementation of policies necessary to sustain growth and promote economic diversification, in addition to global factors.  </w:t>
      </w:r>
    </w:p>
    <w:p w14:paraId="084AB415" w14:textId="77777777" w:rsidR="00F0774D" w:rsidRPr="004B2A73" w:rsidRDefault="00F0774D" w:rsidP="00F0774D">
      <w:pPr>
        <w:pStyle w:val="ListParagraph"/>
        <w:spacing w:after="0"/>
        <w:ind w:left="0"/>
        <w:rPr>
          <w:rFonts w:ascii="Calibri" w:hAnsi="Calibri"/>
          <w:sz w:val="24"/>
        </w:rPr>
      </w:pPr>
    </w:p>
    <w:p w14:paraId="34EB2E1F" w14:textId="77777777" w:rsidR="00B65D2E" w:rsidRPr="004B2A73" w:rsidRDefault="00B65D2E"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lastRenderedPageBreak/>
        <w:t xml:space="preserve">The economic structure of West Africa has not </w:t>
      </w:r>
      <w:r w:rsidR="007E0D3F" w:rsidRPr="004B2A73">
        <w:rPr>
          <w:rFonts w:ascii="Calibri" w:hAnsi="Calibri"/>
          <w:b/>
          <w:sz w:val="24"/>
        </w:rPr>
        <w:t xml:space="preserve">seen much </w:t>
      </w:r>
      <w:r w:rsidRPr="004B2A73">
        <w:rPr>
          <w:rFonts w:ascii="Calibri" w:hAnsi="Calibri"/>
          <w:b/>
          <w:sz w:val="24"/>
        </w:rPr>
        <w:t xml:space="preserve">change in recent </w:t>
      </w:r>
      <w:r w:rsidR="006F4918" w:rsidRPr="004B2A73">
        <w:rPr>
          <w:rFonts w:ascii="Calibri" w:hAnsi="Calibri"/>
          <w:b/>
          <w:sz w:val="24"/>
        </w:rPr>
        <w:t xml:space="preserve">years </w:t>
      </w:r>
      <w:r w:rsidRPr="004B2A73">
        <w:rPr>
          <w:rFonts w:ascii="Calibri" w:hAnsi="Calibri"/>
          <w:b/>
          <w:sz w:val="24"/>
        </w:rPr>
        <w:t xml:space="preserve">and the region </w:t>
      </w:r>
      <w:r w:rsidR="00F826C0" w:rsidRPr="004B2A73">
        <w:rPr>
          <w:rFonts w:ascii="Calibri" w:hAnsi="Calibri"/>
          <w:b/>
          <w:sz w:val="24"/>
        </w:rPr>
        <w:t>remains</w:t>
      </w:r>
      <w:r w:rsidRPr="004B2A73">
        <w:rPr>
          <w:rFonts w:ascii="Calibri" w:hAnsi="Calibri"/>
          <w:b/>
          <w:sz w:val="24"/>
        </w:rPr>
        <w:t xml:space="preserve"> highly dependent on trade with the rest of the world. </w:t>
      </w:r>
      <w:r w:rsidRPr="004B2A73">
        <w:rPr>
          <w:rFonts w:ascii="Calibri" w:hAnsi="Calibri"/>
          <w:sz w:val="24"/>
        </w:rPr>
        <w:t xml:space="preserve">Economic activity </w:t>
      </w:r>
      <w:r w:rsidR="005A7B4B" w:rsidRPr="004B2A73">
        <w:rPr>
          <w:rFonts w:ascii="Calibri" w:hAnsi="Calibri"/>
          <w:sz w:val="24"/>
        </w:rPr>
        <w:t xml:space="preserve">in the region </w:t>
      </w:r>
      <w:r w:rsidRPr="004B2A73">
        <w:rPr>
          <w:rFonts w:ascii="Calibri" w:hAnsi="Calibri"/>
          <w:sz w:val="24"/>
        </w:rPr>
        <w:t xml:space="preserve">is highly concentrated: economic density exceeds </w:t>
      </w:r>
      <w:r w:rsidR="00470806" w:rsidRPr="004B2A73">
        <w:rPr>
          <w:rFonts w:ascii="Calibri" w:hAnsi="Calibri"/>
          <w:sz w:val="24"/>
        </w:rPr>
        <w:t>US$</w:t>
      </w:r>
      <w:r w:rsidRPr="004B2A73">
        <w:rPr>
          <w:rFonts w:ascii="Calibri" w:hAnsi="Calibri"/>
          <w:sz w:val="24"/>
        </w:rPr>
        <w:t>1 billion per hundred km</w:t>
      </w:r>
      <w:r w:rsidRPr="004B2A73">
        <w:rPr>
          <w:rFonts w:ascii="Calibri" w:hAnsi="Calibri"/>
          <w:sz w:val="24"/>
          <w:vertAlign w:val="superscript"/>
        </w:rPr>
        <w:t>2</w:t>
      </w:r>
      <w:r w:rsidRPr="004B2A73">
        <w:rPr>
          <w:rFonts w:ascii="Calibri" w:hAnsi="Calibri"/>
          <w:sz w:val="24"/>
        </w:rPr>
        <w:t xml:space="preserve"> in large urban centers along the coast, </w:t>
      </w:r>
      <w:r w:rsidR="004379E4" w:rsidRPr="004B2A73">
        <w:rPr>
          <w:rFonts w:ascii="Calibri" w:hAnsi="Calibri"/>
          <w:sz w:val="24"/>
        </w:rPr>
        <w:t>but</w:t>
      </w:r>
      <w:r w:rsidRPr="004B2A73">
        <w:rPr>
          <w:rFonts w:ascii="Calibri" w:hAnsi="Calibri"/>
          <w:sz w:val="24"/>
        </w:rPr>
        <w:t xml:space="preserve"> decreases rapidly as one moves inland to below </w:t>
      </w:r>
      <w:r w:rsidR="00470806" w:rsidRPr="004B2A73">
        <w:rPr>
          <w:rFonts w:ascii="Calibri" w:hAnsi="Calibri"/>
          <w:sz w:val="24"/>
        </w:rPr>
        <w:t>US$</w:t>
      </w:r>
      <w:r w:rsidRPr="004B2A73">
        <w:rPr>
          <w:rFonts w:ascii="Calibri" w:hAnsi="Calibri"/>
          <w:sz w:val="24"/>
        </w:rPr>
        <w:t>10 million in the Sahel region (Ranganathan and Foster 2011).</w:t>
      </w:r>
      <w:r w:rsidR="004379E4" w:rsidRPr="004B2A73">
        <w:rPr>
          <w:rFonts w:ascii="Calibri" w:hAnsi="Calibri"/>
          <w:sz w:val="24"/>
        </w:rPr>
        <w:t xml:space="preserve"> </w:t>
      </w:r>
      <w:r w:rsidRPr="004B2A73">
        <w:rPr>
          <w:rFonts w:ascii="Calibri" w:hAnsi="Calibri"/>
          <w:sz w:val="24"/>
        </w:rPr>
        <w:t xml:space="preserve">The economic structures of ECOWAS countries are dominated by the agricultural and </w:t>
      </w:r>
      <w:r w:rsidRPr="00E23C91">
        <w:rPr>
          <w:rFonts w:ascii="Calibri" w:hAnsi="Calibri"/>
          <w:sz w:val="24"/>
        </w:rPr>
        <w:t>services sectors</w:t>
      </w:r>
      <w:r w:rsidRPr="004B2A73">
        <w:rPr>
          <w:rFonts w:ascii="Calibri" w:hAnsi="Calibri"/>
          <w:sz w:val="24"/>
        </w:rPr>
        <w:t xml:space="preserve">, while the share of manufacturing in GDP has remained below 10 percent on average. West Africa has traditionally exported </w:t>
      </w:r>
      <w:r w:rsidR="005A7B4B" w:rsidRPr="004B2A73">
        <w:rPr>
          <w:rFonts w:ascii="Calibri" w:hAnsi="Calibri"/>
          <w:sz w:val="24"/>
        </w:rPr>
        <w:t xml:space="preserve">unprocessed </w:t>
      </w:r>
      <w:r w:rsidRPr="004B2A73">
        <w:rPr>
          <w:rFonts w:ascii="Calibri" w:hAnsi="Calibri"/>
          <w:sz w:val="24"/>
        </w:rPr>
        <w:t>agricultural products, as well as increasing volumes of petroleum and mining products</w:t>
      </w:r>
      <w:r w:rsidR="006F4918" w:rsidRPr="004B2A73">
        <w:rPr>
          <w:rFonts w:ascii="Calibri" w:hAnsi="Calibri"/>
          <w:sz w:val="24"/>
        </w:rPr>
        <w:t xml:space="preserve">, while importing </w:t>
      </w:r>
      <w:r w:rsidRPr="004B2A73">
        <w:rPr>
          <w:rFonts w:ascii="Calibri" w:hAnsi="Calibri"/>
          <w:sz w:val="24"/>
        </w:rPr>
        <w:t xml:space="preserve">manufactures produced in other continents. Trade with partners outside the region, which occurs almost exclusively via maritime transport, represented on average 91 percent of ECOWAS countries’ imports and 94 percent of their exports between 2010 and 2013. Over the same period, extra-regional trade amounted to around 40 percent of the countries’ </w:t>
      </w:r>
      <w:r w:rsidR="003F48D6" w:rsidRPr="004B2A73">
        <w:rPr>
          <w:rFonts w:ascii="Calibri" w:hAnsi="Calibri"/>
          <w:sz w:val="24"/>
        </w:rPr>
        <w:t xml:space="preserve">aggregate </w:t>
      </w:r>
      <w:r w:rsidRPr="004B2A73">
        <w:rPr>
          <w:rFonts w:ascii="Calibri" w:hAnsi="Calibri"/>
          <w:sz w:val="24"/>
        </w:rPr>
        <w:t>GDP. While Europe remains West Africa’s first trade partner</w:t>
      </w:r>
      <w:r w:rsidR="00CA7E8A" w:rsidRPr="004B2A73">
        <w:rPr>
          <w:rFonts w:ascii="Calibri" w:hAnsi="Calibri"/>
          <w:sz w:val="24"/>
        </w:rPr>
        <w:t xml:space="preserve"> in value</w:t>
      </w:r>
      <w:r w:rsidRPr="004B2A73">
        <w:rPr>
          <w:rFonts w:ascii="Calibri" w:hAnsi="Calibri"/>
          <w:sz w:val="24"/>
        </w:rPr>
        <w:t xml:space="preserve">, its share in total trade has steadily declined </w:t>
      </w:r>
      <w:r w:rsidR="006F4918" w:rsidRPr="004B2A73">
        <w:rPr>
          <w:rFonts w:ascii="Calibri" w:hAnsi="Calibri"/>
          <w:sz w:val="24"/>
        </w:rPr>
        <w:t>over the</w:t>
      </w:r>
      <w:r w:rsidRPr="004B2A73">
        <w:rPr>
          <w:rFonts w:ascii="Calibri" w:hAnsi="Calibri"/>
          <w:sz w:val="24"/>
        </w:rPr>
        <w:t xml:space="preserve"> recent decade, while the share of Asian countries has inc</w:t>
      </w:r>
      <w:r w:rsidR="00436CAF" w:rsidRPr="004B2A73">
        <w:rPr>
          <w:rFonts w:ascii="Calibri" w:hAnsi="Calibri"/>
          <w:sz w:val="24"/>
        </w:rPr>
        <w:t>reased.</w:t>
      </w:r>
    </w:p>
    <w:p w14:paraId="3D552059" w14:textId="77777777" w:rsidR="00D643D0" w:rsidRPr="004B2A73" w:rsidRDefault="00D643D0" w:rsidP="00D643D0">
      <w:pPr>
        <w:spacing w:after="0"/>
        <w:ind w:left="720" w:hanging="360"/>
        <w:rPr>
          <w:rFonts w:ascii="Calibri" w:hAnsi="Calibri"/>
          <w:sz w:val="24"/>
        </w:rPr>
      </w:pPr>
    </w:p>
    <w:p w14:paraId="05C6BBF2" w14:textId="0C8D047C" w:rsidR="00D629BF" w:rsidRPr="00554060" w:rsidRDefault="00D629BF" w:rsidP="00981E58">
      <w:pPr>
        <w:pStyle w:val="Heading2"/>
        <w:ind w:left="0"/>
        <w:rPr>
          <w:rFonts w:asciiTheme="minorHAnsi" w:hAnsiTheme="minorHAnsi" w:cstheme="minorHAnsi"/>
          <w:color w:val="000000" w:themeColor="text1"/>
          <w:sz w:val="28"/>
          <w:szCs w:val="28"/>
        </w:rPr>
      </w:pPr>
      <w:bookmarkStart w:id="9" w:name="_Toc485381988"/>
      <w:r w:rsidRPr="00554060">
        <w:rPr>
          <w:rFonts w:asciiTheme="minorHAnsi" w:hAnsiTheme="minorHAnsi" w:cstheme="minorHAnsi"/>
          <w:color w:val="000000" w:themeColor="text1"/>
          <w:sz w:val="28"/>
          <w:szCs w:val="28"/>
        </w:rPr>
        <w:t xml:space="preserve">The </w:t>
      </w:r>
      <w:r w:rsidR="003B0439" w:rsidRPr="00554060">
        <w:rPr>
          <w:rFonts w:asciiTheme="minorHAnsi" w:hAnsiTheme="minorHAnsi" w:cstheme="minorHAnsi"/>
          <w:color w:val="000000" w:themeColor="text1"/>
          <w:sz w:val="28"/>
          <w:szCs w:val="28"/>
        </w:rPr>
        <w:t>d</w:t>
      </w:r>
      <w:r w:rsidRPr="00554060">
        <w:rPr>
          <w:rFonts w:asciiTheme="minorHAnsi" w:hAnsiTheme="minorHAnsi" w:cstheme="minorHAnsi"/>
          <w:color w:val="000000" w:themeColor="text1"/>
          <w:sz w:val="28"/>
          <w:szCs w:val="28"/>
        </w:rPr>
        <w:t xml:space="preserve">evelopment of the West African </w:t>
      </w:r>
      <w:r w:rsidR="003B0439" w:rsidRPr="00554060">
        <w:rPr>
          <w:rFonts w:asciiTheme="minorHAnsi" w:hAnsiTheme="minorHAnsi" w:cstheme="minorHAnsi"/>
          <w:color w:val="000000" w:themeColor="text1"/>
          <w:sz w:val="28"/>
          <w:szCs w:val="28"/>
        </w:rPr>
        <w:t>p</w:t>
      </w:r>
      <w:r w:rsidRPr="00554060">
        <w:rPr>
          <w:rFonts w:asciiTheme="minorHAnsi" w:hAnsiTheme="minorHAnsi" w:cstheme="minorHAnsi"/>
          <w:color w:val="000000" w:themeColor="text1"/>
          <w:sz w:val="28"/>
          <w:szCs w:val="28"/>
        </w:rPr>
        <w:t xml:space="preserve">ort </w:t>
      </w:r>
      <w:r w:rsidR="003B0439" w:rsidRPr="00554060">
        <w:rPr>
          <w:rFonts w:asciiTheme="minorHAnsi" w:hAnsiTheme="minorHAnsi" w:cstheme="minorHAnsi"/>
          <w:color w:val="000000" w:themeColor="text1"/>
          <w:sz w:val="28"/>
          <w:szCs w:val="28"/>
        </w:rPr>
        <w:t>s</w:t>
      </w:r>
      <w:r w:rsidRPr="00554060">
        <w:rPr>
          <w:rFonts w:asciiTheme="minorHAnsi" w:hAnsiTheme="minorHAnsi" w:cstheme="minorHAnsi"/>
          <w:color w:val="000000" w:themeColor="text1"/>
          <w:sz w:val="28"/>
          <w:szCs w:val="28"/>
        </w:rPr>
        <w:t>ector</w:t>
      </w:r>
      <w:bookmarkEnd w:id="9"/>
    </w:p>
    <w:p w14:paraId="3424DC93" w14:textId="77777777" w:rsidR="00F0774D" w:rsidRPr="004B2A73" w:rsidRDefault="00F0774D" w:rsidP="00F0774D">
      <w:pPr>
        <w:pStyle w:val="ListParagraph"/>
        <w:spacing w:after="0"/>
        <w:ind w:left="0"/>
        <w:rPr>
          <w:rFonts w:ascii="Calibri" w:hAnsi="Calibri"/>
          <w:sz w:val="24"/>
        </w:rPr>
      </w:pPr>
    </w:p>
    <w:p w14:paraId="48247D98" w14:textId="77777777" w:rsidR="005E6D8F" w:rsidRDefault="002205F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Ports play a critical role </w:t>
      </w:r>
      <w:r w:rsidR="006F4918" w:rsidRPr="004B2A73">
        <w:rPr>
          <w:rFonts w:ascii="Calibri" w:hAnsi="Calibri"/>
          <w:b/>
          <w:sz w:val="24"/>
        </w:rPr>
        <w:t>in</w:t>
      </w:r>
      <w:r w:rsidRPr="004B2A73">
        <w:rPr>
          <w:rFonts w:ascii="Calibri" w:hAnsi="Calibri"/>
          <w:b/>
          <w:sz w:val="24"/>
        </w:rPr>
        <w:t xml:space="preserve"> trade and economic activity in ECOWAS countries.</w:t>
      </w:r>
      <w:r w:rsidRPr="004B2A73">
        <w:rPr>
          <w:rFonts w:ascii="Calibri" w:hAnsi="Calibri"/>
          <w:sz w:val="24"/>
        </w:rPr>
        <w:t xml:space="preserve"> Ports in West Africa, many of which were established during the colonial period, have historically constituted the most developed part of transport networks. The dependence on maritime transport for international trade has ensured </w:t>
      </w:r>
      <w:r w:rsidR="006F4918" w:rsidRPr="004B2A73">
        <w:rPr>
          <w:rFonts w:ascii="Calibri" w:hAnsi="Calibri"/>
          <w:sz w:val="24"/>
        </w:rPr>
        <w:t xml:space="preserve">the </w:t>
      </w:r>
      <w:r w:rsidRPr="004B2A73">
        <w:rPr>
          <w:rFonts w:ascii="Calibri" w:hAnsi="Calibri"/>
          <w:sz w:val="24"/>
        </w:rPr>
        <w:t>port</w:t>
      </w:r>
      <w:r w:rsidR="006F4918" w:rsidRPr="004B2A73">
        <w:rPr>
          <w:rFonts w:ascii="Calibri" w:hAnsi="Calibri"/>
          <w:sz w:val="24"/>
        </w:rPr>
        <w:t>s</w:t>
      </w:r>
      <w:r w:rsidRPr="004B2A73">
        <w:rPr>
          <w:rFonts w:ascii="Calibri" w:hAnsi="Calibri"/>
          <w:sz w:val="24"/>
        </w:rPr>
        <w:t xml:space="preserve"> a captive clientele </w:t>
      </w:r>
      <w:r w:rsidR="00FE7BF4" w:rsidRPr="004B2A73">
        <w:rPr>
          <w:rFonts w:ascii="Calibri" w:hAnsi="Calibri"/>
          <w:sz w:val="24"/>
        </w:rPr>
        <w:t xml:space="preserve">and continued traffic </w:t>
      </w:r>
      <w:r w:rsidRPr="004B2A73">
        <w:rPr>
          <w:rFonts w:ascii="Calibri" w:hAnsi="Calibri"/>
          <w:sz w:val="24"/>
        </w:rPr>
        <w:t>despite operational struggle</w:t>
      </w:r>
      <w:r w:rsidR="009305D1" w:rsidRPr="004B2A73">
        <w:rPr>
          <w:rFonts w:ascii="Calibri" w:hAnsi="Calibri"/>
          <w:sz w:val="24"/>
        </w:rPr>
        <w:t>s</w:t>
      </w:r>
      <w:r w:rsidRPr="004B2A73">
        <w:rPr>
          <w:rFonts w:ascii="Calibri" w:hAnsi="Calibri"/>
          <w:sz w:val="24"/>
          <w:vertAlign w:val="superscript"/>
        </w:rPr>
        <w:footnoteReference w:id="5"/>
      </w:r>
      <w:r w:rsidR="00FE7BF4" w:rsidRPr="004B2A73">
        <w:rPr>
          <w:rFonts w:ascii="Calibri" w:hAnsi="Calibri"/>
          <w:sz w:val="24"/>
        </w:rPr>
        <w:t>.</w:t>
      </w:r>
      <w:r w:rsidRPr="004B2A73">
        <w:rPr>
          <w:rFonts w:ascii="Calibri" w:hAnsi="Calibri"/>
          <w:sz w:val="24"/>
        </w:rPr>
        <w:t xml:space="preserve"> Most ECOWAS </w:t>
      </w:r>
      <w:r w:rsidRPr="005A0AEF">
        <w:rPr>
          <w:rFonts w:ascii="Calibri" w:hAnsi="Calibri"/>
          <w:sz w:val="24"/>
        </w:rPr>
        <w:t>countries</w:t>
      </w:r>
      <w:r w:rsidRPr="004B2A73">
        <w:rPr>
          <w:rFonts w:ascii="Calibri" w:hAnsi="Calibri"/>
          <w:sz w:val="24"/>
        </w:rPr>
        <w:t xml:space="preserve"> are small economies in which port operations represent a vital part. With no land access to distant consumer markets and little production of</w:t>
      </w:r>
      <w:r w:rsidR="006F4918" w:rsidRPr="004B2A73">
        <w:rPr>
          <w:rFonts w:ascii="Calibri" w:hAnsi="Calibri"/>
          <w:sz w:val="24"/>
        </w:rPr>
        <w:t xml:space="preserve"> high</w:t>
      </w:r>
      <w:r w:rsidRPr="004B2A73">
        <w:rPr>
          <w:rFonts w:ascii="Calibri" w:hAnsi="Calibri"/>
          <w:sz w:val="24"/>
        </w:rPr>
        <w:t xml:space="preserve"> value added goods that could justify air transport, ports have a central role to play as the gateway linking West African economies to the rest of the world. </w:t>
      </w:r>
      <w:r w:rsidR="00BB12CF" w:rsidRPr="004B2A73">
        <w:rPr>
          <w:rFonts w:ascii="Calibri" w:hAnsi="Calibri"/>
          <w:sz w:val="24"/>
        </w:rPr>
        <w:t>And with globalization of the world’s economy, the competitiveness of a country’s exports of raw materials, intermediate inputs and final goods is increasingly connected to the efficiency and costs of its shipping services.</w:t>
      </w:r>
    </w:p>
    <w:p w14:paraId="1718272B" w14:textId="77777777" w:rsidR="005E6D8F" w:rsidRDefault="005E6D8F" w:rsidP="005E6D8F">
      <w:pPr>
        <w:pStyle w:val="ListParagraph"/>
        <w:spacing w:after="0"/>
        <w:ind w:left="0"/>
        <w:jc w:val="both"/>
        <w:rPr>
          <w:rFonts w:ascii="Calibri" w:hAnsi="Calibri"/>
          <w:sz w:val="24"/>
        </w:rPr>
      </w:pPr>
    </w:p>
    <w:p w14:paraId="1846D0DB" w14:textId="77D563A3" w:rsidR="005E6D8F" w:rsidRPr="005E6D8F" w:rsidRDefault="005E6D8F" w:rsidP="00E826B9">
      <w:pPr>
        <w:pStyle w:val="ListParagraph"/>
        <w:numPr>
          <w:ilvl w:val="0"/>
          <w:numId w:val="6"/>
        </w:numPr>
        <w:spacing w:after="0"/>
        <w:ind w:left="0" w:firstLine="0"/>
        <w:jc w:val="both"/>
        <w:rPr>
          <w:rFonts w:ascii="Calibri" w:hAnsi="Calibri"/>
          <w:sz w:val="24"/>
        </w:rPr>
      </w:pPr>
      <w:r w:rsidRPr="005E6D8F">
        <w:rPr>
          <w:rFonts w:eastAsia="Times New Roman" w:cs="Times New Roman"/>
          <w:b/>
          <w:sz w:val="24"/>
          <w:szCs w:val="24"/>
        </w:rPr>
        <w:t>Externalities</w:t>
      </w:r>
      <w:r>
        <w:rPr>
          <w:rFonts w:eastAsia="Times New Roman" w:cs="Times New Roman"/>
          <w:sz w:val="24"/>
          <w:szCs w:val="24"/>
        </w:rPr>
        <w:t xml:space="preserve">. </w:t>
      </w:r>
      <w:r w:rsidRPr="005E6D8F">
        <w:rPr>
          <w:rFonts w:eastAsia="Times New Roman" w:cs="Times New Roman"/>
          <w:sz w:val="24"/>
          <w:szCs w:val="24"/>
        </w:rPr>
        <w:t>Ports’ positive impact on economic growth is significant and mostly relies on high value-added and employment level generated by the ports activities. Such features are likely to be prone to high transport density network and innovation, but also to negative externalities such as CO2 pollution and traffic congestion.</w:t>
      </w:r>
      <w:r>
        <w:rPr>
          <w:rFonts w:ascii="Calibri" w:hAnsi="Calibri"/>
          <w:sz w:val="24"/>
        </w:rPr>
        <w:t xml:space="preserve"> </w:t>
      </w:r>
      <w:r w:rsidR="00005914">
        <w:rPr>
          <w:rFonts w:ascii="Calibri" w:hAnsi="Calibri"/>
          <w:sz w:val="24"/>
        </w:rPr>
        <w:t>While clearly outside the scope of the present study, the three following negative externalities deserve the attention of the governments: (i) climate change and coastal erosion; (ii) sea pollution and loss of biodiversity; and (iii) national security face with piracy and terrorist activities.</w:t>
      </w:r>
    </w:p>
    <w:p w14:paraId="6F7915B6" w14:textId="77777777" w:rsidR="00F0774D" w:rsidRPr="004B2A73" w:rsidRDefault="00F0774D" w:rsidP="00F0774D">
      <w:pPr>
        <w:pStyle w:val="ListParagraph"/>
        <w:spacing w:after="0"/>
        <w:ind w:left="0"/>
        <w:rPr>
          <w:rFonts w:ascii="Calibri" w:hAnsi="Calibri"/>
          <w:sz w:val="24"/>
        </w:rPr>
      </w:pPr>
    </w:p>
    <w:p w14:paraId="1342D0FE" w14:textId="65518E9E" w:rsidR="002205F4" w:rsidRPr="004B2A73" w:rsidRDefault="002205F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lastRenderedPageBreak/>
        <w:t>West African ports are central nodes of regional trade and transport networks.</w:t>
      </w:r>
      <w:r w:rsidRPr="004B2A73">
        <w:rPr>
          <w:rFonts w:ascii="Calibri" w:hAnsi="Calibri"/>
          <w:sz w:val="24"/>
        </w:rPr>
        <w:t xml:space="preserve"> The regional transport system is made up of two West-East corridors (Dakar-Niamey and Abidjan-Lagos) and half a dozen North-South axes (e.g. </w:t>
      </w:r>
      <w:r w:rsidRPr="005A0AEF">
        <w:rPr>
          <w:rFonts w:ascii="Calibri" w:hAnsi="Calibri"/>
          <w:sz w:val="24"/>
        </w:rPr>
        <w:t>Abidjan-</w:t>
      </w:r>
      <w:r w:rsidRPr="004B2A73">
        <w:rPr>
          <w:rFonts w:ascii="Calibri" w:hAnsi="Calibri"/>
          <w:sz w:val="24"/>
        </w:rPr>
        <w:t>Bamako/Ouagadougou, Cotonou-Niamey), which link ports with markets mostly centered around capital cities</w:t>
      </w:r>
      <w:r w:rsidR="00145F3E" w:rsidRPr="004B2A73">
        <w:rPr>
          <w:rFonts w:ascii="Calibri" w:hAnsi="Calibri"/>
          <w:sz w:val="24"/>
        </w:rPr>
        <w:t xml:space="preserve">). </w:t>
      </w:r>
      <w:r w:rsidRPr="004B2A73">
        <w:rPr>
          <w:rFonts w:ascii="Calibri" w:hAnsi="Calibri"/>
          <w:sz w:val="24"/>
        </w:rPr>
        <w:t xml:space="preserve">The </w:t>
      </w:r>
      <w:r w:rsidR="009305D1" w:rsidRPr="004B2A73">
        <w:rPr>
          <w:rFonts w:ascii="Calibri" w:hAnsi="Calibri"/>
          <w:sz w:val="24"/>
        </w:rPr>
        <w:t xml:space="preserve">landlocked countries </w:t>
      </w:r>
      <w:r w:rsidRPr="004B2A73">
        <w:rPr>
          <w:rFonts w:ascii="Calibri" w:hAnsi="Calibri"/>
          <w:sz w:val="24"/>
        </w:rPr>
        <w:t xml:space="preserve">rely heavily on transit to transport goods to and from ports in the </w:t>
      </w:r>
      <w:r w:rsidR="009305D1" w:rsidRPr="004B2A73">
        <w:rPr>
          <w:rFonts w:ascii="Calibri" w:hAnsi="Calibri"/>
          <w:sz w:val="24"/>
        </w:rPr>
        <w:t>coastal countries</w:t>
      </w:r>
      <w:r w:rsidRPr="004B2A73">
        <w:rPr>
          <w:rFonts w:ascii="Calibri" w:hAnsi="Calibri"/>
          <w:sz w:val="24"/>
        </w:rPr>
        <w:t xml:space="preserve">. In fact, one port (Cotonou) plays a more important role as </w:t>
      </w:r>
      <w:r w:rsidR="009305D1" w:rsidRPr="004B2A73">
        <w:rPr>
          <w:rFonts w:ascii="Calibri" w:hAnsi="Calibri"/>
          <w:sz w:val="24"/>
        </w:rPr>
        <w:t xml:space="preserve">a </w:t>
      </w:r>
      <w:r w:rsidRPr="004B2A73">
        <w:rPr>
          <w:rFonts w:ascii="Calibri" w:hAnsi="Calibri"/>
          <w:sz w:val="24"/>
        </w:rPr>
        <w:t>gateway for the region than for its domestic market.</w:t>
      </w:r>
    </w:p>
    <w:p w14:paraId="05586D14" w14:textId="77777777" w:rsidR="00F0774D" w:rsidRPr="004B2A73" w:rsidRDefault="00F0774D" w:rsidP="00F0774D">
      <w:pPr>
        <w:pStyle w:val="ListParagraph"/>
        <w:spacing w:after="0"/>
        <w:ind w:left="0"/>
        <w:rPr>
          <w:rFonts w:ascii="Calibri" w:hAnsi="Calibri"/>
          <w:sz w:val="24"/>
        </w:rPr>
      </w:pPr>
    </w:p>
    <w:p w14:paraId="2C5D52B6" w14:textId="77777777" w:rsidR="00BB12CF" w:rsidRPr="004B2A73" w:rsidRDefault="002205F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History </w:t>
      </w:r>
      <w:r w:rsidR="009305D1" w:rsidRPr="004B2A73">
        <w:rPr>
          <w:rFonts w:ascii="Calibri" w:hAnsi="Calibri"/>
          <w:b/>
          <w:sz w:val="24"/>
        </w:rPr>
        <w:t xml:space="preserve">has </w:t>
      </w:r>
      <w:r w:rsidRPr="004B2A73">
        <w:rPr>
          <w:rFonts w:ascii="Calibri" w:hAnsi="Calibri"/>
          <w:b/>
          <w:sz w:val="24"/>
        </w:rPr>
        <w:t>shaped the development of ports in West Africa.</w:t>
      </w:r>
      <w:r w:rsidRPr="004B2A73">
        <w:rPr>
          <w:rFonts w:ascii="Calibri" w:hAnsi="Calibri"/>
          <w:sz w:val="24"/>
        </w:rPr>
        <w:t xml:space="preserve"> The structure of the West African port range, and more broadly of transport infrastructure networks in the region, was shaped by colonial powers with the main objective </w:t>
      </w:r>
      <w:r w:rsidR="009305D1" w:rsidRPr="004B2A73">
        <w:rPr>
          <w:rFonts w:ascii="Calibri" w:hAnsi="Calibri"/>
          <w:sz w:val="24"/>
        </w:rPr>
        <w:t>of supporting</w:t>
      </w:r>
      <w:r w:rsidRPr="004B2A73">
        <w:rPr>
          <w:rFonts w:ascii="Calibri" w:hAnsi="Calibri"/>
          <w:sz w:val="24"/>
        </w:rPr>
        <w:t xml:space="preserve"> the exploitation and export of natural resources (e.g. peanuts on the Niger/Dakar route</w:t>
      </w:r>
      <w:r w:rsidR="009305D1" w:rsidRPr="004B2A73">
        <w:rPr>
          <w:rFonts w:ascii="Calibri" w:hAnsi="Calibri"/>
          <w:sz w:val="24"/>
        </w:rPr>
        <w:t>;</w:t>
      </w:r>
      <w:r w:rsidRPr="004B2A73">
        <w:rPr>
          <w:rFonts w:ascii="Calibri" w:hAnsi="Calibri"/>
          <w:sz w:val="24"/>
        </w:rPr>
        <w:t xml:space="preserve"> bananas on the Niger/Conakry route</w:t>
      </w:r>
      <w:r w:rsidR="009305D1" w:rsidRPr="004B2A73">
        <w:rPr>
          <w:rFonts w:ascii="Calibri" w:hAnsi="Calibri"/>
          <w:sz w:val="24"/>
        </w:rPr>
        <w:t>;</w:t>
      </w:r>
      <w:r w:rsidRPr="004B2A73">
        <w:rPr>
          <w:rFonts w:ascii="Calibri" w:hAnsi="Calibri"/>
          <w:sz w:val="24"/>
        </w:rPr>
        <w:t xml:space="preserve"> coffee, cocoa and timber on the Niger/Abidjan route</w:t>
      </w:r>
      <w:r w:rsidR="009305D1" w:rsidRPr="004B2A73">
        <w:rPr>
          <w:rFonts w:ascii="Calibri" w:hAnsi="Calibri"/>
          <w:sz w:val="24"/>
        </w:rPr>
        <w:t>;</w:t>
      </w:r>
      <w:r w:rsidRPr="004B2A73">
        <w:rPr>
          <w:rFonts w:ascii="Calibri" w:hAnsi="Calibri"/>
          <w:sz w:val="24"/>
        </w:rPr>
        <w:t xml:space="preserve"> and cotton, cocoa and mining products on the Gold Coast/Cape Coast routes)</w:t>
      </w:r>
      <w:r w:rsidR="003A7F8E" w:rsidRPr="004B2A73">
        <w:rPr>
          <w:rFonts w:ascii="Calibri" w:hAnsi="Calibri"/>
          <w:sz w:val="24"/>
        </w:rPr>
        <w:t xml:space="preserve"> (Debrie 2012)</w:t>
      </w:r>
      <w:r w:rsidRPr="004B2A73">
        <w:rPr>
          <w:rFonts w:ascii="Calibri" w:hAnsi="Calibri"/>
          <w:sz w:val="24"/>
        </w:rPr>
        <w:t xml:space="preserve">. This has led to the development of numerous small ports with basic facilities along the coast of the Gulf of Guinea, which </w:t>
      </w:r>
      <w:r w:rsidR="009305D1" w:rsidRPr="004B2A73">
        <w:rPr>
          <w:rFonts w:ascii="Calibri" w:hAnsi="Calibri"/>
          <w:sz w:val="24"/>
        </w:rPr>
        <w:t>a</w:t>
      </w:r>
      <w:r w:rsidRPr="004B2A73">
        <w:rPr>
          <w:rFonts w:ascii="Calibri" w:hAnsi="Calibri"/>
          <w:sz w:val="24"/>
        </w:rPr>
        <w:t>re linked by road and railways to inland production centers, but not to each other in order to protect the monopoly of competing colonial powers on specific trade and export routes. This structure was later consolidated by the planning policies of newly independent States in the post-colonial period. In this context, port infrastructure and services, as well as railways, were owned and operated</w:t>
      </w:r>
      <w:r w:rsidR="009305D1" w:rsidRPr="004B2A73">
        <w:rPr>
          <w:rFonts w:ascii="Calibri" w:hAnsi="Calibri"/>
          <w:sz w:val="24"/>
        </w:rPr>
        <w:t xml:space="preserve"> as</w:t>
      </w:r>
      <w:r w:rsidRPr="004B2A73">
        <w:rPr>
          <w:rFonts w:ascii="Calibri" w:hAnsi="Calibri"/>
          <w:sz w:val="24"/>
        </w:rPr>
        <w:t xml:space="preserve"> public monopolies.</w:t>
      </w:r>
      <w:bookmarkStart w:id="10" w:name="_Ref433367564"/>
    </w:p>
    <w:p w14:paraId="133ADDAC" w14:textId="77777777" w:rsidR="00BB12CF" w:rsidRDefault="00BB12CF" w:rsidP="0021211F">
      <w:pPr>
        <w:pStyle w:val="ListParagraph"/>
        <w:spacing w:after="0"/>
        <w:ind w:left="0"/>
        <w:rPr>
          <w:rFonts w:ascii="Calibri" w:hAnsi="Calibri"/>
          <w:sz w:val="24"/>
        </w:rPr>
      </w:pPr>
    </w:p>
    <w:p w14:paraId="10226F78" w14:textId="0CF53B99" w:rsidR="00F43754" w:rsidRPr="004B2A73" w:rsidRDefault="00A31EDE" w:rsidP="00A31EDE">
      <w:pPr>
        <w:pStyle w:val="Caption"/>
        <w:rPr>
          <w:rFonts w:ascii="Calibri" w:hAnsi="Calibri"/>
          <w:sz w:val="24"/>
        </w:rPr>
      </w:pPr>
      <w:bookmarkStart w:id="11" w:name="_Toc485377021"/>
      <w:bookmarkEnd w:id="10"/>
      <w:r>
        <w:lastRenderedPageBreak/>
        <w:t xml:space="preserve">Map </w:t>
      </w:r>
      <w:fldSimple w:instr=" SEQ Map \* ARABIC ">
        <w:r w:rsidR="00212D01">
          <w:rPr>
            <w:noProof/>
          </w:rPr>
          <w:t>1</w:t>
        </w:r>
      </w:fldSimple>
      <w:r w:rsidRPr="004B2A73">
        <w:rPr>
          <w:rFonts w:ascii="Calibri" w:hAnsi="Calibri"/>
          <w:b w:val="0"/>
          <w:sz w:val="24"/>
        </w:rPr>
        <w:t>: The West African transport network and future capacity</w:t>
      </w:r>
      <w:bookmarkEnd w:id="11"/>
    </w:p>
    <w:p w14:paraId="141B0E10" w14:textId="77777777" w:rsidR="002205F4" w:rsidRDefault="00252395" w:rsidP="00B81FB7">
      <w:pPr>
        <w:spacing w:after="0"/>
        <w:jc w:val="center"/>
        <w:rPr>
          <w:rFonts w:ascii="Calibri" w:hAnsi="Calibri"/>
          <w:sz w:val="24"/>
          <w:szCs w:val="24"/>
        </w:rPr>
      </w:pPr>
      <w:r w:rsidRPr="008E1B0F">
        <w:rPr>
          <w:noProof/>
        </w:rPr>
        <w:drawing>
          <wp:inline distT="0" distB="0" distL="0" distR="0" wp14:anchorId="087638DF" wp14:editId="3A70864C">
            <wp:extent cx="5271715" cy="7209185"/>
            <wp:effectExtent l="0" t="0" r="5715" b="0"/>
            <wp:docPr id="1" name="Picture 1" descr="C:\Users\wb259485\AppData\Local\Microsoft\Windows\Temporary Internet Files\Content.Outlook\I824AJHP\WAF4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59485\AppData\Local\Microsoft\Windows\Temporary Internet Files\Content.Outlook\I824AJHP\WAF417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5068" cy="7254796"/>
                    </a:xfrm>
                    <a:prstGeom prst="rect">
                      <a:avLst/>
                    </a:prstGeom>
                    <a:noFill/>
                    <a:ln>
                      <a:noFill/>
                    </a:ln>
                  </pic:spPr>
                </pic:pic>
              </a:graphicData>
            </a:graphic>
          </wp:inline>
        </w:drawing>
      </w:r>
    </w:p>
    <w:p w14:paraId="6CF72984" w14:textId="77777777" w:rsidR="00A31EDE" w:rsidRPr="004B2A73" w:rsidRDefault="00A31EDE" w:rsidP="00B81FB7">
      <w:pPr>
        <w:spacing w:after="0"/>
        <w:jc w:val="center"/>
        <w:rPr>
          <w:rFonts w:ascii="Calibri" w:hAnsi="Calibri"/>
          <w:sz w:val="24"/>
          <w:szCs w:val="24"/>
        </w:rPr>
      </w:pPr>
    </w:p>
    <w:p w14:paraId="6100A583" w14:textId="631691CD" w:rsidR="00F0774D" w:rsidRDefault="00F0774D" w:rsidP="00F0774D">
      <w:pPr>
        <w:pStyle w:val="ListParagraph"/>
        <w:spacing w:after="0"/>
        <w:ind w:left="0"/>
        <w:rPr>
          <w:rFonts w:ascii="Calibri" w:hAnsi="Calibri"/>
          <w:sz w:val="24"/>
        </w:rPr>
      </w:pPr>
    </w:p>
    <w:p w14:paraId="73E46081" w14:textId="77777777" w:rsidR="007460D3" w:rsidRPr="004B2A73" w:rsidRDefault="007460D3" w:rsidP="00F0774D">
      <w:pPr>
        <w:pStyle w:val="ListParagraph"/>
        <w:spacing w:after="0"/>
        <w:ind w:left="0"/>
        <w:rPr>
          <w:rFonts w:ascii="Calibri" w:hAnsi="Calibri"/>
          <w:sz w:val="24"/>
        </w:rPr>
      </w:pPr>
    </w:p>
    <w:p w14:paraId="70DA7677" w14:textId="77777777" w:rsidR="002205F4" w:rsidRPr="004B2A73" w:rsidRDefault="00EE72AB"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lastRenderedPageBreak/>
        <w:t>Following the global trend with some delay, p</w:t>
      </w:r>
      <w:r w:rsidR="00573778" w:rsidRPr="004B2A73">
        <w:rPr>
          <w:rFonts w:ascii="Calibri" w:hAnsi="Calibri"/>
          <w:b/>
          <w:sz w:val="24"/>
        </w:rPr>
        <w:t>rivate sector participation in port management and development</w:t>
      </w:r>
      <w:r w:rsidR="002205F4" w:rsidRPr="004B2A73">
        <w:rPr>
          <w:rFonts w:ascii="Calibri" w:hAnsi="Calibri"/>
          <w:b/>
          <w:sz w:val="24"/>
        </w:rPr>
        <w:t xml:space="preserve"> gained momentum in West Afric</w:t>
      </w:r>
      <w:r w:rsidRPr="004B2A73">
        <w:rPr>
          <w:rFonts w:ascii="Calibri" w:hAnsi="Calibri"/>
          <w:b/>
          <w:sz w:val="24"/>
        </w:rPr>
        <w:t>a at the turn of the millennium</w:t>
      </w:r>
      <w:r w:rsidR="002205F4" w:rsidRPr="004B2A73">
        <w:rPr>
          <w:rFonts w:ascii="Calibri" w:hAnsi="Calibri"/>
          <w:b/>
          <w:sz w:val="24"/>
        </w:rPr>
        <w:t>.</w:t>
      </w:r>
      <w:r w:rsidR="002205F4" w:rsidRPr="004B2A73">
        <w:rPr>
          <w:rFonts w:ascii="Calibri" w:hAnsi="Calibri"/>
          <w:sz w:val="24"/>
        </w:rPr>
        <w:t xml:space="preserve"> </w:t>
      </w:r>
      <w:r w:rsidR="00573778" w:rsidRPr="004B2A73">
        <w:rPr>
          <w:rFonts w:ascii="Calibri" w:hAnsi="Calibri"/>
          <w:sz w:val="24"/>
        </w:rPr>
        <w:t xml:space="preserve">As discussed in more detail in the third chapter, </w:t>
      </w:r>
      <w:r w:rsidR="009305D1" w:rsidRPr="004B2A73">
        <w:rPr>
          <w:rFonts w:ascii="Calibri" w:hAnsi="Calibri"/>
          <w:sz w:val="24"/>
        </w:rPr>
        <w:t>p</w:t>
      </w:r>
      <w:r w:rsidR="002205F4" w:rsidRPr="004B2A73">
        <w:rPr>
          <w:rFonts w:ascii="Calibri" w:hAnsi="Calibri"/>
          <w:sz w:val="24"/>
        </w:rPr>
        <w:t xml:space="preserve">ort </w:t>
      </w:r>
      <w:r w:rsidR="009305D1" w:rsidRPr="004B2A73">
        <w:rPr>
          <w:rFonts w:ascii="Calibri" w:hAnsi="Calibri"/>
          <w:sz w:val="24"/>
        </w:rPr>
        <w:t>a</w:t>
      </w:r>
      <w:r w:rsidR="002205F4" w:rsidRPr="004B2A73">
        <w:rPr>
          <w:rFonts w:ascii="Calibri" w:hAnsi="Calibri"/>
          <w:sz w:val="24"/>
        </w:rPr>
        <w:t xml:space="preserve">uthorities gradually involved specialized </w:t>
      </w:r>
      <w:r w:rsidR="00F94C45" w:rsidRPr="004B2A73">
        <w:rPr>
          <w:rFonts w:ascii="Calibri" w:hAnsi="Calibri"/>
          <w:sz w:val="24"/>
        </w:rPr>
        <w:t>private companies</w:t>
      </w:r>
      <w:r w:rsidR="00573778" w:rsidRPr="004B2A73">
        <w:rPr>
          <w:rFonts w:ascii="Calibri" w:hAnsi="Calibri"/>
          <w:sz w:val="24"/>
        </w:rPr>
        <w:t xml:space="preserve"> </w:t>
      </w:r>
      <w:r w:rsidR="002205F4" w:rsidRPr="004B2A73">
        <w:rPr>
          <w:rFonts w:ascii="Calibri" w:hAnsi="Calibri"/>
          <w:sz w:val="24"/>
        </w:rPr>
        <w:t xml:space="preserve">in cargo handling through licensing, shifting from the public service port model to the tool port model. This was motivated by the need to radically transform the ports which were then characterized by low productivity, low service levels and inadequate investments due to limited public </w:t>
      </w:r>
      <w:r w:rsidR="002205F4" w:rsidRPr="00AE0D69">
        <w:rPr>
          <w:rFonts w:ascii="Calibri" w:hAnsi="Calibri"/>
          <w:sz w:val="24"/>
        </w:rPr>
        <w:t>resources</w:t>
      </w:r>
      <w:r w:rsidR="002205F4" w:rsidRPr="004B2A73">
        <w:rPr>
          <w:rFonts w:ascii="Calibri" w:hAnsi="Calibri"/>
          <w:sz w:val="24"/>
        </w:rPr>
        <w:t>. Because ports were critical for integration of the region into international trade, international agencies called for institutional reforms complemented by an increased role for the private sector</w:t>
      </w:r>
      <w:r w:rsidR="00573778" w:rsidRPr="004B2A73">
        <w:rPr>
          <w:rFonts w:ascii="Calibri" w:hAnsi="Calibri"/>
          <w:sz w:val="24"/>
        </w:rPr>
        <w:t xml:space="preserve"> (UNCTAD 2003, World Bank 2001)</w:t>
      </w:r>
      <w:r w:rsidR="002205F4" w:rsidRPr="004B2A73">
        <w:rPr>
          <w:rFonts w:ascii="Calibri" w:hAnsi="Calibri"/>
          <w:sz w:val="24"/>
        </w:rPr>
        <w:t>. Strong growth of world trade put additional pressure on port authorities to respond to the need for improvements in handling efficiency and to expand facilities which would accom</w:t>
      </w:r>
      <w:r w:rsidR="002205F4" w:rsidRPr="004B2A73">
        <w:rPr>
          <w:rFonts w:ascii="Calibri" w:hAnsi="Calibri"/>
          <w:noProof/>
          <w:sz w:val="24"/>
        </w:rPr>
        <w:t>mo</w:t>
      </w:r>
      <w:r w:rsidR="002205F4" w:rsidRPr="004B2A73">
        <w:rPr>
          <w:rFonts w:ascii="Calibri" w:hAnsi="Calibri"/>
          <w:sz w:val="24"/>
        </w:rPr>
        <w:t xml:space="preserve">date larger cargo flows. As a result, by the end of 2002, eight ports in SSA, mainly </w:t>
      </w:r>
      <w:r w:rsidR="00573778" w:rsidRPr="004B2A73">
        <w:rPr>
          <w:rFonts w:ascii="Calibri" w:hAnsi="Calibri"/>
          <w:sz w:val="24"/>
        </w:rPr>
        <w:t>in West Africa Economic and Monetary Union (</w:t>
      </w:r>
      <w:r w:rsidR="002205F4" w:rsidRPr="004B2A73">
        <w:rPr>
          <w:rFonts w:ascii="Calibri" w:hAnsi="Calibri"/>
          <w:sz w:val="24"/>
        </w:rPr>
        <w:t>WAEMU</w:t>
      </w:r>
      <w:r w:rsidR="00573778" w:rsidRPr="004B2A73">
        <w:rPr>
          <w:rFonts w:ascii="Calibri" w:hAnsi="Calibri"/>
          <w:sz w:val="24"/>
        </w:rPr>
        <w:t>)</w:t>
      </w:r>
      <w:r w:rsidR="002205F4" w:rsidRPr="004B2A73">
        <w:rPr>
          <w:rFonts w:ascii="Calibri" w:hAnsi="Calibri"/>
          <w:sz w:val="24"/>
        </w:rPr>
        <w:t xml:space="preserve"> countries, had experimented with leasing port equipment to the private sector </w:t>
      </w:r>
      <w:r w:rsidR="00F43754" w:rsidRPr="004B2A73">
        <w:rPr>
          <w:rFonts w:ascii="Calibri" w:hAnsi="Calibri"/>
          <w:sz w:val="24"/>
        </w:rPr>
        <w:t>(</w:t>
      </w:r>
      <w:r w:rsidR="002205F4" w:rsidRPr="004B2A73">
        <w:rPr>
          <w:rFonts w:ascii="Calibri" w:hAnsi="Calibri"/>
          <w:sz w:val="24"/>
        </w:rPr>
        <w:t>UNCTAD 2003</w:t>
      </w:r>
      <w:r w:rsidR="00F43754" w:rsidRPr="004B2A73">
        <w:rPr>
          <w:rFonts w:ascii="Calibri" w:hAnsi="Calibri"/>
          <w:sz w:val="24"/>
        </w:rPr>
        <w:t>)</w:t>
      </w:r>
      <w:r w:rsidR="002205F4" w:rsidRPr="004B2A73">
        <w:rPr>
          <w:rFonts w:ascii="Calibri" w:hAnsi="Calibri"/>
          <w:sz w:val="24"/>
        </w:rPr>
        <w:t>.</w:t>
      </w:r>
    </w:p>
    <w:p w14:paraId="07FFB84F" w14:textId="77777777" w:rsidR="00F0774D" w:rsidRPr="004B2A73" w:rsidRDefault="00F0774D" w:rsidP="00F0774D">
      <w:pPr>
        <w:pStyle w:val="ListParagraph"/>
        <w:spacing w:after="0"/>
        <w:ind w:left="0"/>
        <w:rPr>
          <w:rFonts w:ascii="Calibri" w:hAnsi="Calibri"/>
          <w:sz w:val="24"/>
          <w:lang w:val="en-GB" w:eastAsia="nl-NL"/>
        </w:rPr>
      </w:pPr>
    </w:p>
    <w:p w14:paraId="784E5296" w14:textId="240B3566" w:rsidR="00D629BF" w:rsidRPr="004B2A73" w:rsidRDefault="009305D1" w:rsidP="00E826B9">
      <w:pPr>
        <w:pStyle w:val="ListParagraph"/>
        <w:numPr>
          <w:ilvl w:val="0"/>
          <w:numId w:val="6"/>
        </w:numPr>
        <w:spacing w:after="0"/>
        <w:ind w:left="0" w:firstLine="0"/>
        <w:jc w:val="both"/>
        <w:rPr>
          <w:rFonts w:ascii="Calibri" w:hAnsi="Calibri"/>
          <w:sz w:val="24"/>
          <w:lang w:val="en-GB" w:eastAsia="nl-NL"/>
        </w:rPr>
      </w:pPr>
      <w:r w:rsidRPr="004B2A73">
        <w:rPr>
          <w:rFonts w:ascii="Calibri" w:hAnsi="Calibri"/>
          <w:b/>
          <w:bCs/>
          <w:sz w:val="24"/>
          <w:lang w:val="en-GB" w:eastAsia="nl-NL"/>
        </w:rPr>
        <w:t>Private sector participation in port services increased further during</w:t>
      </w:r>
      <w:r w:rsidR="00F94C45" w:rsidRPr="004B2A73">
        <w:rPr>
          <w:rFonts w:ascii="Calibri" w:hAnsi="Calibri"/>
          <w:b/>
          <w:bCs/>
          <w:sz w:val="24"/>
          <w:lang w:val="en-GB" w:eastAsia="nl-NL"/>
        </w:rPr>
        <w:t xml:space="preserve"> the last decade </w:t>
      </w:r>
      <w:r w:rsidR="00D629BF" w:rsidRPr="004B2A73">
        <w:rPr>
          <w:rFonts w:ascii="Calibri" w:hAnsi="Calibri"/>
          <w:b/>
          <w:bCs/>
          <w:sz w:val="24"/>
          <w:lang w:val="en-GB" w:eastAsia="nl-NL"/>
        </w:rPr>
        <w:t xml:space="preserve">with the concession of </w:t>
      </w:r>
      <w:r w:rsidR="00D629BF" w:rsidRPr="004B2A73">
        <w:rPr>
          <w:rFonts w:ascii="Calibri" w:hAnsi="Calibri"/>
          <w:b/>
          <w:sz w:val="24"/>
        </w:rPr>
        <w:t>container</w:t>
      </w:r>
      <w:r w:rsidR="00D629BF" w:rsidRPr="004B2A73">
        <w:rPr>
          <w:rFonts w:ascii="Calibri" w:hAnsi="Calibri"/>
          <w:b/>
          <w:bCs/>
          <w:sz w:val="24"/>
          <w:lang w:val="en-GB" w:eastAsia="nl-NL"/>
        </w:rPr>
        <w:t xml:space="preserve"> terminals to specialized </w:t>
      </w:r>
      <w:r w:rsidRPr="004B2A73">
        <w:rPr>
          <w:rFonts w:ascii="Calibri" w:hAnsi="Calibri"/>
          <w:b/>
          <w:bCs/>
          <w:sz w:val="24"/>
          <w:lang w:val="en-GB" w:eastAsia="nl-NL"/>
        </w:rPr>
        <w:t>t</w:t>
      </w:r>
      <w:r w:rsidR="00F94C45" w:rsidRPr="004B2A73">
        <w:rPr>
          <w:rFonts w:ascii="Calibri" w:hAnsi="Calibri"/>
          <w:b/>
          <w:bCs/>
          <w:sz w:val="24"/>
          <w:lang w:val="en-GB" w:eastAsia="nl-NL"/>
        </w:rPr>
        <w:t xml:space="preserve">erminal </w:t>
      </w:r>
      <w:r w:rsidRPr="004B2A73">
        <w:rPr>
          <w:rFonts w:ascii="Calibri" w:hAnsi="Calibri"/>
          <w:b/>
          <w:bCs/>
          <w:sz w:val="24"/>
          <w:lang w:val="en-GB" w:eastAsia="nl-NL"/>
        </w:rPr>
        <w:t>o</w:t>
      </w:r>
      <w:r w:rsidR="00F94C45" w:rsidRPr="004B2A73">
        <w:rPr>
          <w:rFonts w:ascii="Calibri" w:hAnsi="Calibri"/>
          <w:b/>
          <w:bCs/>
          <w:sz w:val="24"/>
          <w:lang w:val="en-GB" w:eastAsia="nl-NL"/>
        </w:rPr>
        <w:t xml:space="preserve">perating </w:t>
      </w:r>
      <w:r w:rsidRPr="004B2A73">
        <w:rPr>
          <w:rFonts w:ascii="Calibri" w:hAnsi="Calibri"/>
          <w:b/>
          <w:bCs/>
          <w:sz w:val="24"/>
          <w:lang w:val="en-GB" w:eastAsia="nl-NL"/>
        </w:rPr>
        <w:t>c</w:t>
      </w:r>
      <w:r w:rsidR="00F94C45" w:rsidRPr="004B2A73">
        <w:rPr>
          <w:rFonts w:ascii="Calibri" w:hAnsi="Calibri"/>
          <w:b/>
          <w:bCs/>
          <w:sz w:val="24"/>
          <w:lang w:val="en-GB" w:eastAsia="nl-NL"/>
        </w:rPr>
        <w:t>ompanies (</w:t>
      </w:r>
      <w:r w:rsidR="001F0ED9" w:rsidRPr="004B2A73">
        <w:rPr>
          <w:rFonts w:ascii="Calibri" w:hAnsi="Calibri"/>
          <w:b/>
          <w:bCs/>
          <w:sz w:val="24"/>
          <w:lang w:val="en-GB" w:eastAsia="nl-NL"/>
        </w:rPr>
        <w:t>TOCs</w:t>
      </w:r>
      <w:r w:rsidR="00F94C45" w:rsidRPr="004B2A73">
        <w:rPr>
          <w:rFonts w:ascii="Calibri" w:hAnsi="Calibri"/>
          <w:b/>
          <w:bCs/>
          <w:sz w:val="24"/>
          <w:lang w:val="en-GB" w:eastAsia="nl-NL"/>
        </w:rPr>
        <w:t>)</w:t>
      </w:r>
      <w:r w:rsidR="00D629BF" w:rsidRPr="004B2A73">
        <w:rPr>
          <w:rFonts w:ascii="Calibri" w:hAnsi="Calibri"/>
          <w:b/>
          <w:bCs/>
          <w:sz w:val="24"/>
          <w:lang w:val="en-GB" w:eastAsia="nl-NL"/>
        </w:rPr>
        <w:t xml:space="preserve">.  </w:t>
      </w:r>
      <w:r w:rsidRPr="004B2A73">
        <w:rPr>
          <w:rFonts w:ascii="Calibri" w:hAnsi="Calibri"/>
          <w:sz w:val="24"/>
          <w:lang w:val="en-GB" w:eastAsia="nl-NL"/>
        </w:rPr>
        <w:t>The</w:t>
      </w:r>
      <w:r w:rsidR="00D629BF" w:rsidRPr="004B2A73">
        <w:rPr>
          <w:rFonts w:ascii="Calibri" w:hAnsi="Calibri"/>
          <w:sz w:val="24"/>
          <w:lang w:val="en-GB" w:eastAsia="nl-NL"/>
        </w:rPr>
        <w:t xml:space="preserve"> </w:t>
      </w:r>
      <w:r w:rsidRPr="004B2A73">
        <w:rPr>
          <w:rFonts w:ascii="Calibri" w:hAnsi="Calibri"/>
          <w:sz w:val="24"/>
          <w:lang w:val="en-GB" w:eastAsia="nl-NL"/>
        </w:rPr>
        <w:t xml:space="preserve">preferred approach to port management became the </w:t>
      </w:r>
      <w:r w:rsidR="00D629BF" w:rsidRPr="004B2A73">
        <w:rPr>
          <w:rFonts w:ascii="Calibri" w:hAnsi="Calibri"/>
          <w:sz w:val="24"/>
          <w:lang w:val="en-GB" w:eastAsia="nl-NL"/>
        </w:rPr>
        <w:t>landlord port structure</w:t>
      </w:r>
      <w:r w:rsidRPr="004B2A73">
        <w:rPr>
          <w:rFonts w:ascii="Calibri" w:hAnsi="Calibri"/>
          <w:sz w:val="24"/>
          <w:lang w:val="en-GB" w:eastAsia="nl-NL"/>
        </w:rPr>
        <w:t>,</w:t>
      </w:r>
      <w:r w:rsidR="00D629BF" w:rsidRPr="004B2A73">
        <w:rPr>
          <w:rFonts w:ascii="Calibri" w:hAnsi="Calibri"/>
          <w:sz w:val="24"/>
          <w:lang w:val="en-GB" w:eastAsia="nl-NL"/>
        </w:rPr>
        <w:t xml:space="preserve"> under which </w:t>
      </w:r>
      <w:r w:rsidRPr="004B2A73">
        <w:rPr>
          <w:rFonts w:ascii="Calibri" w:hAnsi="Calibri"/>
          <w:sz w:val="24"/>
          <w:lang w:val="en-GB" w:eastAsia="nl-NL"/>
        </w:rPr>
        <w:t>the public sector</w:t>
      </w:r>
      <w:r w:rsidR="00D629BF" w:rsidRPr="004B2A73">
        <w:rPr>
          <w:rFonts w:ascii="Calibri" w:hAnsi="Calibri"/>
          <w:sz w:val="24"/>
          <w:lang w:val="en-GB" w:eastAsia="nl-NL"/>
        </w:rPr>
        <w:t xml:space="preserve"> own</w:t>
      </w:r>
      <w:r w:rsidRPr="004B2A73">
        <w:rPr>
          <w:rFonts w:ascii="Calibri" w:hAnsi="Calibri"/>
          <w:sz w:val="24"/>
          <w:lang w:val="en-GB" w:eastAsia="nl-NL"/>
        </w:rPr>
        <w:t>s</w:t>
      </w:r>
      <w:r w:rsidR="00D629BF" w:rsidRPr="004B2A73">
        <w:rPr>
          <w:rFonts w:ascii="Calibri" w:hAnsi="Calibri"/>
          <w:sz w:val="24"/>
          <w:lang w:val="en-GB" w:eastAsia="nl-NL"/>
        </w:rPr>
        <w:t xml:space="preserve"> basic infrastructure assets and retain</w:t>
      </w:r>
      <w:r w:rsidRPr="004B2A73">
        <w:rPr>
          <w:rFonts w:ascii="Calibri" w:hAnsi="Calibri"/>
          <w:sz w:val="24"/>
          <w:lang w:val="en-GB" w:eastAsia="nl-NL"/>
        </w:rPr>
        <w:t>s</w:t>
      </w:r>
      <w:r w:rsidR="00D629BF" w:rsidRPr="004B2A73">
        <w:rPr>
          <w:rFonts w:ascii="Calibri" w:hAnsi="Calibri"/>
          <w:sz w:val="24"/>
          <w:lang w:val="en-GB" w:eastAsia="nl-NL"/>
        </w:rPr>
        <w:t xml:space="preserve"> regulatory functions</w:t>
      </w:r>
      <w:r w:rsidR="00F94C45" w:rsidRPr="004B2A73">
        <w:rPr>
          <w:rFonts w:ascii="Calibri" w:hAnsi="Calibri"/>
          <w:sz w:val="24"/>
          <w:lang w:val="en-GB" w:eastAsia="nl-NL"/>
        </w:rPr>
        <w:t>,</w:t>
      </w:r>
      <w:r w:rsidR="00D629BF" w:rsidRPr="004B2A73">
        <w:rPr>
          <w:rFonts w:ascii="Calibri" w:hAnsi="Calibri"/>
          <w:sz w:val="24"/>
          <w:lang w:val="en-GB" w:eastAsia="nl-NL"/>
        </w:rPr>
        <w:t xml:space="preserve"> but divest</w:t>
      </w:r>
      <w:r w:rsidRPr="004B2A73">
        <w:rPr>
          <w:rFonts w:ascii="Calibri" w:hAnsi="Calibri"/>
          <w:sz w:val="24"/>
          <w:lang w:val="en-GB" w:eastAsia="nl-NL"/>
        </w:rPr>
        <w:t>s</w:t>
      </w:r>
      <w:r w:rsidR="00D629BF" w:rsidRPr="004B2A73">
        <w:rPr>
          <w:rFonts w:ascii="Calibri" w:hAnsi="Calibri"/>
          <w:sz w:val="24"/>
          <w:lang w:val="en-GB" w:eastAsia="nl-NL"/>
        </w:rPr>
        <w:t xml:space="preserve"> the managerial and financial </w:t>
      </w:r>
      <w:r w:rsidR="00D629BF" w:rsidRPr="008E4290">
        <w:rPr>
          <w:rFonts w:ascii="Calibri" w:hAnsi="Calibri"/>
          <w:sz w:val="24"/>
        </w:rPr>
        <w:t>responsibilities</w:t>
      </w:r>
      <w:r w:rsidR="00D629BF" w:rsidRPr="008E4290">
        <w:rPr>
          <w:rFonts w:ascii="Calibri" w:hAnsi="Calibri"/>
          <w:sz w:val="24"/>
          <w:lang w:val="en-GB" w:eastAsia="nl-NL"/>
        </w:rPr>
        <w:t xml:space="preserve"> </w:t>
      </w:r>
      <w:r w:rsidR="00D629BF" w:rsidRPr="004B2A73">
        <w:rPr>
          <w:rFonts w:ascii="Calibri" w:hAnsi="Calibri"/>
          <w:sz w:val="24"/>
          <w:lang w:val="en-GB" w:eastAsia="nl-NL"/>
        </w:rPr>
        <w:t xml:space="preserve">for commercial facilities. This institutional arrangement also allowed for different forms of public-private </w:t>
      </w:r>
      <w:r w:rsidR="00A02DBC" w:rsidRPr="004B2A73">
        <w:rPr>
          <w:rFonts w:ascii="Calibri" w:hAnsi="Calibri"/>
          <w:sz w:val="24"/>
          <w:lang w:val="en-GB" w:eastAsia="nl-NL"/>
        </w:rPr>
        <w:t>partnership</w:t>
      </w:r>
      <w:r w:rsidR="00A02DBC">
        <w:rPr>
          <w:rFonts w:ascii="Calibri" w:hAnsi="Calibri"/>
          <w:sz w:val="24"/>
          <w:lang w:val="en-GB" w:eastAsia="nl-NL"/>
        </w:rPr>
        <w:t>, which have brought about major positive changes</w:t>
      </w:r>
      <w:r w:rsidR="00D629BF" w:rsidRPr="004B2A73">
        <w:rPr>
          <w:rFonts w:ascii="Calibri" w:hAnsi="Calibri"/>
          <w:sz w:val="24"/>
          <w:lang w:val="en-GB" w:eastAsia="nl-NL"/>
        </w:rPr>
        <w:t xml:space="preserve">. The gradually increasing private sector </w:t>
      </w:r>
      <w:r w:rsidR="00F94C45" w:rsidRPr="004B2A73">
        <w:rPr>
          <w:rFonts w:ascii="Calibri" w:hAnsi="Calibri"/>
          <w:sz w:val="24"/>
          <w:lang w:val="en-GB" w:eastAsia="nl-NL"/>
        </w:rPr>
        <w:t>involvement</w:t>
      </w:r>
      <w:r w:rsidR="00D629BF" w:rsidRPr="004B2A73">
        <w:rPr>
          <w:rFonts w:ascii="Calibri" w:hAnsi="Calibri"/>
          <w:sz w:val="24"/>
          <w:lang w:val="en-GB" w:eastAsia="nl-NL"/>
        </w:rPr>
        <w:t xml:space="preserve"> in the operations of port facilities </w:t>
      </w:r>
      <w:r w:rsidRPr="004B2A73">
        <w:rPr>
          <w:rFonts w:ascii="Calibri" w:hAnsi="Calibri"/>
          <w:sz w:val="24"/>
          <w:lang w:val="en-GB" w:eastAsia="nl-NL"/>
        </w:rPr>
        <w:t xml:space="preserve">in West Africa </w:t>
      </w:r>
      <w:r w:rsidR="00D629BF" w:rsidRPr="004B2A73">
        <w:rPr>
          <w:rFonts w:ascii="Calibri" w:hAnsi="Calibri"/>
          <w:sz w:val="24"/>
          <w:lang w:val="en-GB" w:eastAsia="nl-NL"/>
        </w:rPr>
        <w:t xml:space="preserve">mirrored the global trend of the </w:t>
      </w:r>
      <w:r w:rsidR="00F94C45" w:rsidRPr="004B2A73">
        <w:rPr>
          <w:rFonts w:ascii="Calibri" w:hAnsi="Calibri"/>
          <w:sz w:val="24"/>
          <w:lang w:val="en-GB" w:eastAsia="nl-NL"/>
        </w:rPr>
        <w:t>1990s</w:t>
      </w:r>
      <w:r w:rsidR="00D629BF" w:rsidRPr="004B2A73">
        <w:rPr>
          <w:rFonts w:ascii="Calibri" w:hAnsi="Calibri"/>
          <w:sz w:val="24"/>
          <w:lang w:val="en-GB" w:eastAsia="nl-NL"/>
        </w:rPr>
        <w:t xml:space="preserve"> when 104 ports in 24 developing countries reached financial closure </w:t>
      </w:r>
      <w:r w:rsidRPr="004B2A73">
        <w:rPr>
          <w:rFonts w:ascii="Calibri" w:hAnsi="Calibri"/>
          <w:sz w:val="24"/>
          <w:lang w:val="en-GB" w:eastAsia="nl-NL"/>
        </w:rPr>
        <w:t xml:space="preserve">on concessions </w:t>
      </w:r>
      <w:r w:rsidR="00D629BF" w:rsidRPr="004B2A73">
        <w:rPr>
          <w:rFonts w:ascii="Calibri" w:hAnsi="Calibri"/>
          <w:sz w:val="24"/>
          <w:lang w:val="en-GB" w:eastAsia="nl-NL"/>
        </w:rPr>
        <w:t xml:space="preserve">with investment commitments totalling over </w:t>
      </w:r>
      <w:r w:rsidR="00470806" w:rsidRPr="004B2A73">
        <w:rPr>
          <w:rFonts w:ascii="Calibri" w:hAnsi="Calibri"/>
          <w:sz w:val="24"/>
          <w:lang w:val="en-GB" w:eastAsia="nl-NL"/>
        </w:rPr>
        <w:t>US$</w:t>
      </w:r>
      <w:r w:rsidR="00D629BF" w:rsidRPr="004B2A73">
        <w:rPr>
          <w:rFonts w:ascii="Calibri" w:hAnsi="Calibri"/>
          <w:sz w:val="24"/>
          <w:lang w:val="en-GB" w:eastAsia="nl-NL"/>
        </w:rPr>
        <w:t>8 billion</w:t>
      </w:r>
      <w:r w:rsidR="00F94C45" w:rsidRPr="004B2A73">
        <w:rPr>
          <w:rFonts w:ascii="Calibri" w:hAnsi="Calibri"/>
          <w:sz w:val="24"/>
          <w:lang w:val="en-GB" w:eastAsia="nl-NL"/>
        </w:rPr>
        <w:t xml:space="preserve"> (Juhel 2000)</w:t>
      </w:r>
      <w:r w:rsidR="00D629BF" w:rsidRPr="004B2A73">
        <w:rPr>
          <w:rFonts w:ascii="Calibri" w:hAnsi="Calibri"/>
          <w:sz w:val="24"/>
          <w:lang w:val="en-GB" w:eastAsia="nl-NL"/>
        </w:rPr>
        <w:t xml:space="preserve">.  The majority of the commercial ports </w:t>
      </w:r>
      <w:r w:rsidRPr="004B2A73">
        <w:rPr>
          <w:rFonts w:ascii="Calibri" w:hAnsi="Calibri"/>
          <w:sz w:val="24"/>
          <w:lang w:val="en-GB" w:eastAsia="nl-NL"/>
        </w:rPr>
        <w:t xml:space="preserve">that </w:t>
      </w:r>
      <w:r w:rsidR="00D629BF" w:rsidRPr="004B2A73">
        <w:rPr>
          <w:rFonts w:ascii="Calibri" w:hAnsi="Calibri"/>
          <w:sz w:val="24"/>
          <w:lang w:val="en-GB" w:eastAsia="nl-NL"/>
        </w:rPr>
        <w:t xml:space="preserve">handle containers and general cargo traffic in the ECOWAS region are today operating under one form of concession or another.  </w:t>
      </w:r>
    </w:p>
    <w:p w14:paraId="6FC344EB" w14:textId="77777777" w:rsidR="00F0774D" w:rsidRPr="004B2A73" w:rsidRDefault="00F0774D" w:rsidP="00F0774D">
      <w:pPr>
        <w:pStyle w:val="ListParagraph"/>
        <w:spacing w:after="0"/>
        <w:ind w:left="0"/>
        <w:rPr>
          <w:rFonts w:ascii="Calibri" w:hAnsi="Calibri"/>
          <w:sz w:val="24"/>
        </w:rPr>
      </w:pPr>
    </w:p>
    <w:p w14:paraId="6FD34756" w14:textId="14B164EA" w:rsidR="00F0774D" w:rsidRPr="008C7B24" w:rsidRDefault="00627628"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There are wide disparities in throughput volume</w:t>
      </w:r>
      <w:r w:rsidR="006F4918" w:rsidRPr="004B2A73">
        <w:rPr>
          <w:rFonts w:ascii="Calibri" w:hAnsi="Calibri"/>
          <w:b/>
          <w:sz w:val="24"/>
        </w:rPr>
        <w:t>s</w:t>
      </w:r>
      <w:r w:rsidRPr="004B2A73">
        <w:rPr>
          <w:rFonts w:ascii="Calibri" w:hAnsi="Calibri"/>
          <w:b/>
          <w:sz w:val="24"/>
        </w:rPr>
        <w:t xml:space="preserve"> </w:t>
      </w:r>
      <w:r w:rsidR="006F4918" w:rsidRPr="004B2A73">
        <w:rPr>
          <w:rFonts w:ascii="Calibri" w:hAnsi="Calibri"/>
          <w:b/>
          <w:sz w:val="24"/>
        </w:rPr>
        <w:t xml:space="preserve">among </w:t>
      </w:r>
      <w:r w:rsidRPr="004B2A73">
        <w:rPr>
          <w:rFonts w:ascii="Calibri" w:hAnsi="Calibri"/>
          <w:b/>
          <w:sz w:val="24"/>
        </w:rPr>
        <w:t xml:space="preserve">ports in West Africa, but traffic has been growing significantly </w:t>
      </w:r>
      <w:r w:rsidR="00EA7B8A" w:rsidRPr="004B2A73">
        <w:rPr>
          <w:rFonts w:ascii="Calibri" w:hAnsi="Calibri"/>
          <w:b/>
          <w:sz w:val="24"/>
        </w:rPr>
        <w:t>in all countries</w:t>
      </w:r>
      <w:r w:rsidRPr="004B2A73">
        <w:rPr>
          <w:rFonts w:ascii="Calibri" w:hAnsi="Calibri"/>
          <w:b/>
          <w:sz w:val="24"/>
        </w:rPr>
        <w:t>.</w:t>
      </w:r>
      <w:r w:rsidRPr="004B2A73">
        <w:rPr>
          <w:rFonts w:ascii="Calibri" w:hAnsi="Calibri"/>
          <w:sz w:val="24"/>
        </w:rPr>
        <w:t xml:space="preserve"> There are over 25 commercial ports </w:t>
      </w:r>
      <w:r w:rsidR="006F4918" w:rsidRPr="004B2A73">
        <w:rPr>
          <w:rFonts w:ascii="Calibri" w:hAnsi="Calibri"/>
          <w:sz w:val="24"/>
        </w:rPr>
        <w:t>along the coast between Dakar and Lagos</w:t>
      </w:r>
      <w:r w:rsidRPr="004B2A73">
        <w:rPr>
          <w:rFonts w:ascii="Calibri" w:hAnsi="Calibri"/>
          <w:sz w:val="24"/>
        </w:rPr>
        <w:t>, of which around</w:t>
      </w:r>
      <w:r w:rsidR="00E44DF0" w:rsidRPr="004B2A73">
        <w:rPr>
          <w:rFonts w:ascii="Calibri" w:hAnsi="Calibri"/>
          <w:sz w:val="24"/>
        </w:rPr>
        <w:t xml:space="preserve"> </w:t>
      </w:r>
      <w:r w:rsidRPr="004B2A73">
        <w:rPr>
          <w:rFonts w:ascii="Calibri" w:hAnsi="Calibri"/>
          <w:sz w:val="24"/>
        </w:rPr>
        <w:t xml:space="preserve">20 handle container and general cargo traffic. The coast hosts half a dozen major ports </w:t>
      </w:r>
      <w:r w:rsidR="00A97F0B" w:rsidRPr="004B2A73">
        <w:rPr>
          <w:rFonts w:ascii="Calibri" w:hAnsi="Calibri"/>
          <w:sz w:val="24"/>
        </w:rPr>
        <w:t>(Dakar, Abidjan, Tema, Lomé, Co</w:t>
      </w:r>
      <w:r w:rsidRPr="004B2A73">
        <w:rPr>
          <w:rFonts w:ascii="Calibri" w:hAnsi="Calibri"/>
          <w:sz w:val="24"/>
        </w:rPr>
        <w:t>tonou, Lagos), which account for the bulk of total throughput (</w:t>
      </w:r>
      <w:r w:rsidR="003E1BFC" w:rsidRPr="004B2A73">
        <w:rPr>
          <w:rFonts w:ascii="Calibri" w:hAnsi="Calibri"/>
        </w:rPr>
        <w:fldChar w:fldCharType="begin"/>
      </w:r>
      <w:r w:rsidR="003E1BFC" w:rsidRPr="004B2A73">
        <w:rPr>
          <w:rFonts w:ascii="Calibri" w:hAnsi="Calibri"/>
        </w:rPr>
        <w:instrText xml:space="preserve"> REF _Ref414012365 \h  \* MERGEFORMAT </w:instrText>
      </w:r>
      <w:r w:rsidR="003E1BFC" w:rsidRPr="004B2A73">
        <w:rPr>
          <w:rFonts w:ascii="Calibri" w:hAnsi="Calibri"/>
        </w:rPr>
      </w:r>
      <w:r w:rsidR="003E1BFC" w:rsidRPr="004B2A73">
        <w:rPr>
          <w:rFonts w:ascii="Calibri" w:hAnsi="Calibri"/>
        </w:rPr>
        <w:fldChar w:fldCharType="separate"/>
      </w:r>
      <w:r w:rsidR="00212D01" w:rsidRPr="00212D01">
        <w:rPr>
          <w:rFonts w:ascii="Calibri" w:hAnsi="Calibri"/>
          <w:sz w:val="24"/>
        </w:rPr>
        <w:t>Figure 1</w:t>
      </w:r>
      <w:r w:rsidR="003E1BFC" w:rsidRPr="004B2A73">
        <w:rPr>
          <w:rFonts w:ascii="Calibri" w:hAnsi="Calibri"/>
        </w:rPr>
        <w:fldChar w:fldCharType="end"/>
      </w:r>
      <w:r w:rsidR="00F43754" w:rsidRPr="004B2A73">
        <w:rPr>
          <w:rFonts w:ascii="Calibri" w:hAnsi="Calibri"/>
          <w:sz w:val="24"/>
        </w:rPr>
        <w:t>)</w:t>
      </w:r>
      <w:r w:rsidRPr="004B2A73">
        <w:rPr>
          <w:rFonts w:ascii="Calibri" w:hAnsi="Calibri"/>
          <w:sz w:val="24"/>
          <w:vertAlign w:val="superscript"/>
        </w:rPr>
        <w:footnoteReference w:id="6"/>
      </w:r>
      <w:r w:rsidR="00F43754" w:rsidRPr="004B2A73">
        <w:rPr>
          <w:rFonts w:ascii="Calibri" w:hAnsi="Calibri"/>
          <w:sz w:val="24"/>
        </w:rPr>
        <w:t>.</w:t>
      </w:r>
      <w:r w:rsidRPr="004B2A73">
        <w:rPr>
          <w:rFonts w:ascii="Calibri" w:hAnsi="Calibri"/>
          <w:sz w:val="24"/>
        </w:rPr>
        <w:t xml:space="preserve"> In addition, a number of secondary ports in smaller countries serve mainly </w:t>
      </w:r>
      <w:r w:rsidRPr="008E4290">
        <w:rPr>
          <w:rFonts w:ascii="Calibri" w:hAnsi="Calibri"/>
          <w:sz w:val="24"/>
        </w:rPr>
        <w:t xml:space="preserve">their </w:t>
      </w:r>
      <w:r w:rsidRPr="004B2A73">
        <w:rPr>
          <w:rFonts w:ascii="Calibri" w:hAnsi="Calibri"/>
          <w:sz w:val="24"/>
        </w:rPr>
        <w:t xml:space="preserve">domestic markets, and specialized ports are used for the export of petroleum products and mineral resources. In terms of volume, inward flows largely dominate port traffic, accounting in 2013 for 78 percent of total throughput at the port of Dakar, 65 percent in Abidjan, 82 percent in Tema and 76 percent in Lomé. Total throughput in West African ports grew from around 105 million tons in 2006 to 165 million tons in 2012 (61 to 87 </w:t>
      </w:r>
      <w:r w:rsidR="006F4918" w:rsidRPr="004B2A73">
        <w:rPr>
          <w:rFonts w:ascii="Calibri" w:hAnsi="Calibri"/>
          <w:sz w:val="24"/>
        </w:rPr>
        <w:t xml:space="preserve">million </w:t>
      </w:r>
      <w:r w:rsidRPr="004B2A73">
        <w:rPr>
          <w:rFonts w:ascii="Calibri" w:hAnsi="Calibri"/>
          <w:sz w:val="24"/>
        </w:rPr>
        <w:t xml:space="preserve">without Nigerian ports). During this period, traffic volume </w:t>
      </w:r>
      <w:r w:rsidR="004610E9" w:rsidRPr="004B2A73">
        <w:rPr>
          <w:rFonts w:ascii="Calibri" w:hAnsi="Calibri"/>
          <w:sz w:val="24"/>
        </w:rPr>
        <w:t>increased by more than</w:t>
      </w:r>
      <w:r w:rsidR="00472F83" w:rsidRPr="004B2A73">
        <w:rPr>
          <w:rFonts w:ascii="Calibri" w:hAnsi="Calibri"/>
          <w:sz w:val="24"/>
        </w:rPr>
        <w:t xml:space="preserve"> </w:t>
      </w:r>
      <w:r w:rsidRPr="004B2A73">
        <w:rPr>
          <w:rFonts w:ascii="Calibri" w:hAnsi="Calibri"/>
          <w:sz w:val="24"/>
        </w:rPr>
        <w:t xml:space="preserve">5 </w:t>
      </w:r>
      <w:r w:rsidRPr="004B2A73">
        <w:rPr>
          <w:rFonts w:ascii="Calibri" w:hAnsi="Calibri"/>
          <w:sz w:val="24"/>
        </w:rPr>
        <w:lastRenderedPageBreak/>
        <w:t>percent</w:t>
      </w:r>
      <w:r w:rsidR="004610E9" w:rsidRPr="004B2A73">
        <w:rPr>
          <w:rFonts w:ascii="Calibri" w:hAnsi="Calibri"/>
          <w:sz w:val="24"/>
        </w:rPr>
        <w:t xml:space="preserve"> per year</w:t>
      </w:r>
      <w:r w:rsidRPr="004B2A73">
        <w:rPr>
          <w:rFonts w:ascii="Calibri" w:hAnsi="Calibri"/>
          <w:sz w:val="24"/>
        </w:rPr>
        <w:t xml:space="preserve"> in the ports of Dakar (5.8</w:t>
      </w:r>
      <w:r w:rsidR="0096051D">
        <w:rPr>
          <w:rFonts w:ascii="Calibri" w:hAnsi="Calibri"/>
          <w:sz w:val="24"/>
        </w:rPr>
        <w:t>%</w:t>
      </w:r>
      <w:r w:rsidRPr="004B2A73">
        <w:rPr>
          <w:rFonts w:ascii="Calibri" w:hAnsi="Calibri"/>
          <w:sz w:val="24"/>
        </w:rPr>
        <w:t>), Monrovia (9.2</w:t>
      </w:r>
      <w:r w:rsidR="0096051D">
        <w:rPr>
          <w:rFonts w:ascii="Calibri" w:hAnsi="Calibri"/>
          <w:sz w:val="24"/>
        </w:rPr>
        <w:t>%</w:t>
      </w:r>
      <w:r w:rsidRPr="004B2A73">
        <w:rPr>
          <w:rFonts w:ascii="Calibri" w:hAnsi="Calibri"/>
          <w:sz w:val="24"/>
        </w:rPr>
        <w:t>), San Pedro (21.6</w:t>
      </w:r>
      <w:r w:rsidR="0096051D">
        <w:rPr>
          <w:rFonts w:ascii="Calibri" w:hAnsi="Calibri"/>
          <w:sz w:val="24"/>
        </w:rPr>
        <w:t>%</w:t>
      </w:r>
      <w:r w:rsidRPr="004B2A73">
        <w:rPr>
          <w:rFonts w:ascii="Calibri" w:hAnsi="Calibri"/>
          <w:sz w:val="24"/>
        </w:rPr>
        <w:t>), Tema (6.1</w:t>
      </w:r>
      <w:r w:rsidR="0096051D">
        <w:rPr>
          <w:rFonts w:ascii="Calibri" w:hAnsi="Calibri"/>
          <w:sz w:val="24"/>
        </w:rPr>
        <w:t>%</w:t>
      </w:r>
      <w:r w:rsidRPr="004B2A73">
        <w:rPr>
          <w:rFonts w:ascii="Calibri" w:hAnsi="Calibri"/>
          <w:sz w:val="24"/>
        </w:rPr>
        <w:t>), Lomé (7.3</w:t>
      </w:r>
      <w:r w:rsidR="0096051D">
        <w:rPr>
          <w:rFonts w:ascii="Calibri" w:hAnsi="Calibri"/>
          <w:sz w:val="24"/>
        </w:rPr>
        <w:t>%</w:t>
      </w:r>
      <w:r w:rsidRPr="004B2A73">
        <w:rPr>
          <w:rFonts w:ascii="Calibri" w:hAnsi="Calibri"/>
          <w:sz w:val="24"/>
        </w:rPr>
        <w:t>), Cotonou (5.6</w:t>
      </w:r>
      <w:r w:rsidR="0096051D">
        <w:rPr>
          <w:rFonts w:ascii="Calibri" w:hAnsi="Calibri"/>
          <w:sz w:val="24"/>
        </w:rPr>
        <w:t>%</w:t>
      </w:r>
      <w:r w:rsidRPr="004B2A73">
        <w:rPr>
          <w:rFonts w:ascii="Calibri" w:hAnsi="Calibri"/>
          <w:sz w:val="24"/>
        </w:rPr>
        <w:t>), Apapa (5.6</w:t>
      </w:r>
      <w:r w:rsidR="0096051D">
        <w:rPr>
          <w:rFonts w:ascii="Calibri" w:hAnsi="Calibri"/>
          <w:sz w:val="24"/>
        </w:rPr>
        <w:t>%</w:t>
      </w:r>
      <w:r w:rsidRPr="004B2A73">
        <w:rPr>
          <w:rFonts w:ascii="Calibri" w:hAnsi="Calibri"/>
          <w:sz w:val="24"/>
        </w:rPr>
        <w:t>), Tin Can (12.5</w:t>
      </w:r>
      <w:r w:rsidR="0096051D">
        <w:rPr>
          <w:rFonts w:ascii="Calibri" w:hAnsi="Calibri"/>
          <w:sz w:val="24"/>
        </w:rPr>
        <w:t>%</w:t>
      </w:r>
      <w:r w:rsidRPr="004B2A73">
        <w:rPr>
          <w:rFonts w:ascii="Calibri" w:hAnsi="Calibri"/>
          <w:sz w:val="24"/>
        </w:rPr>
        <w:t>) and Onne (9.3</w:t>
      </w:r>
      <w:r w:rsidR="0096051D">
        <w:rPr>
          <w:rFonts w:ascii="Calibri" w:hAnsi="Calibri"/>
          <w:sz w:val="24"/>
        </w:rPr>
        <w:t>%</w:t>
      </w:r>
      <w:r w:rsidRPr="004B2A73">
        <w:rPr>
          <w:rFonts w:ascii="Calibri" w:hAnsi="Calibri"/>
          <w:sz w:val="24"/>
        </w:rPr>
        <w:t xml:space="preserve">). </w:t>
      </w:r>
    </w:p>
    <w:p w14:paraId="1764926D" w14:textId="77777777" w:rsidR="00F0774D" w:rsidRPr="004B2A73" w:rsidRDefault="00F0774D" w:rsidP="00F0774D">
      <w:pPr>
        <w:spacing w:after="0"/>
        <w:rPr>
          <w:rFonts w:ascii="Calibri" w:hAnsi="Calibri"/>
          <w:sz w:val="24"/>
        </w:rPr>
      </w:pPr>
    </w:p>
    <w:p w14:paraId="08520D88" w14:textId="2CF34113" w:rsidR="00627628" w:rsidRPr="004B2A73" w:rsidRDefault="00627628" w:rsidP="00AF33A5">
      <w:pPr>
        <w:pStyle w:val="Caption"/>
        <w:rPr>
          <w:rFonts w:ascii="Calibri" w:hAnsi="Calibri"/>
        </w:rPr>
      </w:pPr>
      <w:bookmarkStart w:id="12" w:name="_Ref414012365"/>
      <w:bookmarkStart w:id="13" w:name="_Toc418842926"/>
      <w:bookmarkStart w:id="14" w:name="_Toc485377036"/>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1</w:t>
      </w:r>
      <w:r w:rsidR="00520B46" w:rsidRPr="004B2A73">
        <w:rPr>
          <w:rFonts w:ascii="Calibri" w:hAnsi="Calibri"/>
          <w:noProof/>
        </w:rPr>
        <w:fldChar w:fldCharType="end"/>
      </w:r>
      <w:bookmarkEnd w:id="12"/>
      <w:r w:rsidRPr="004B2A73">
        <w:rPr>
          <w:rFonts w:ascii="Calibri" w:hAnsi="Calibri"/>
        </w:rPr>
        <w:t>: Total and containerized traffic at West African ports (2012)</w:t>
      </w:r>
      <w:bookmarkEnd w:id="13"/>
      <w:bookmarkEnd w:id="14"/>
    </w:p>
    <w:p w14:paraId="4EDDDB25" w14:textId="77777777" w:rsidR="00F0774D" w:rsidRPr="004B2A73" w:rsidRDefault="00DC5EF8" w:rsidP="00F0774D">
      <w:pPr>
        <w:pStyle w:val="ListParagraph"/>
        <w:spacing w:after="0"/>
        <w:ind w:left="0"/>
        <w:rPr>
          <w:rFonts w:ascii="Calibri" w:hAnsi="Calibri"/>
          <w:sz w:val="24"/>
        </w:rPr>
      </w:pPr>
      <w:r w:rsidRPr="004B2A73">
        <w:rPr>
          <w:rFonts w:ascii="Calibri" w:hAnsi="Calibri"/>
          <w:noProof/>
        </w:rPr>
        <w:drawing>
          <wp:inline distT="0" distB="0" distL="0" distR="0" wp14:anchorId="09DCEFCC" wp14:editId="7BE824F2">
            <wp:extent cx="5943600" cy="25717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754FF9" w14:textId="77777777" w:rsidR="00B87710" w:rsidRPr="00B87710" w:rsidRDefault="00B87710" w:rsidP="00B87710">
      <w:pPr>
        <w:pStyle w:val="ListParagraph"/>
        <w:spacing w:after="0"/>
        <w:ind w:left="0"/>
        <w:jc w:val="both"/>
        <w:rPr>
          <w:rFonts w:ascii="Calibri" w:hAnsi="Calibri"/>
          <w:sz w:val="24"/>
        </w:rPr>
      </w:pPr>
    </w:p>
    <w:p w14:paraId="302CF1E2" w14:textId="77777777" w:rsidR="00627628" w:rsidRPr="004B2A73" w:rsidRDefault="00627628"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West African ports differ widely in terms of physical characteristics and equipment. </w:t>
      </w:r>
      <w:r w:rsidRPr="004B2A73">
        <w:rPr>
          <w:rFonts w:ascii="Calibri" w:hAnsi="Calibri"/>
          <w:sz w:val="24"/>
        </w:rPr>
        <w:t xml:space="preserve">The size and type of vessels that can be serviced varies </w:t>
      </w:r>
      <w:r w:rsidR="003F48D6" w:rsidRPr="004B2A73">
        <w:rPr>
          <w:rFonts w:ascii="Calibri" w:hAnsi="Calibri"/>
          <w:sz w:val="24"/>
        </w:rPr>
        <w:t>across</w:t>
      </w:r>
      <w:r w:rsidRPr="004B2A73">
        <w:rPr>
          <w:rFonts w:ascii="Calibri" w:hAnsi="Calibri"/>
          <w:sz w:val="24"/>
        </w:rPr>
        <w:t xml:space="preserve"> ports. </w:t>
      </w:r>
      <w:r w:rsidR="00B22A8F" w:rsidRPr="004B2A73">
        <w:rPr>
          <w:rFonts w:ascii="Calibri" w:hAnsi="Calibri"/>
          <w:sz w:val="24"/>
        </w:rPr>
        <w:t xml:space="preserve">In </w:t>
      </w:r>
      <w:r w:rsidRPr="004B2A73">
        <w:rPr>
          <w:rFonts w:ascii="Calibri" w:hAnsi="Calibri"/>
          <w:sz w:val="24"/>
        </w:rPr>
        <w:t>container terminals, linear quay lengths ranging from 190 meters (Takoradi) to 920 meters (Lomé)</w:t>
      </w:r>
      <w:r w:rsidR="00B22A8F" w:rsidRPr="004B2A73">
        <w:rPr>
          <w:rFonts w:ascii="Calibri" w:hAnsi="Calibri"/>
          <w:sz w:val="24"/>
        </w:rPr>
        <w:t>,</w:t>
      </w:r>
      <w:r w:rsidRPr="004B2A73">
        <w:rPr>
          <w:rFonts w:ascii="Calibri" w:hAnsi="Calibri"/>
          <w:sz w:val="24"/>
        </w:rPr>
        <w:t xml:space="preserve"> and drafts ranging from 9 meters (Takoradi) to 15 meters (Lomé)</w:t>
      </w:r>
      <w:r w:rsidR="00B22A8F" w:rsidRPr="004B2A73">
        <w:rPr>
          <w:rFonts w:ascii="Calibri" w:hAnsi="Calibri"/>
          <w:sz w:val="24"/>
        </w:rPr>
        <w:t>,</w:t>
      </w:r>
      <w:r w:rsidRPr="004B2A73">
        <w:rPr>
          <w:rFonts w:ascii="Calibri" w:hAnsi="Calibri"/>
          <w:sz w:val="24"/>
        </w:rPr>
        <w:t xml:space="preserve"> mean that some ports </w:t>
      </w:r>
      <w:r w:rsidR="001B6CC1" w:rsidRPr="004B2A73">
        <w:rPr>
          <w:rFonts w:ascii="Calibri" w:hAnsi="Calibri"/>
          <w:sz w:val="24"/>
        </w:rPr>
        <w:t>cannot</w:t>
      </w:r>
      <w:r w:rsidR="00472F83" w:rsidRPr="004B2A73">
        <w:rPr>
          <w:rFonts w:ascii="Calibri" w:hAnsi="Calibri"/>
          <w:sz w:val="24"/>
        </w:rPr>
        <w:t xml:space="preserve"> accommodate</w:t>
      </w:r>
      <w:r w:rsidRPr="004B2A73">
        <w:rPr>
          <w:rFonts w:ascii="Calibri" w:hAnsi="Calibri"/>
          <w:sz w:val="24"/>
        </w:rPr>
        <w:t xml:space="preserve"> ships carrying more than 2,000 TEUs, while container vessels of up to 6,000 TEUs can call at a few others (MLTC / CATRAM 2013). Likewise, the quality of container handling equipment varies greatly </w:t>
      </w:r>
      <w:r w:rsidR="00472F83" w:rsidRPr="004B2A73">
        <w:rPr>
          <w:rFonts w:ascii="Calibri" w:hAnsi="Calibri"/>
          <w:sz w:val="24"/>
        </w:rPr>
        <w:t xml:space="preserve">among </w:t>
      </w:r>
      <w:r w:rsidRPr="004B2A73">
        <w:rPr>
          <w:rFonts w:ascii="Calibri" w:hAnsi="Calibri"/>
          <w:sz w:val="24"/>
        </w:rPr>
        <w:t xml:space="preserve">terminals, some ports having invested in post-Panamax ship-to-shore </w:t>
      </w:r>
      <w:r w:rsidR="00413CCF" w:rsidRPr="004B2A73">
        <w:rPr>
          <w:rFonts w:ascii="Calibri" w:hAnsi="Calibri"/>
          <w:sz w:val="24"/>
        </w:rPr>
        <w:t xml:space="preserve">(STS) </w:t>
      </w:r>
      <w:r w:rsidRPr="004B2A73">
        <w:rPr>
          <w:rFonts w:ascii="Calibri" w:hAnsi="Calibri"/>
          <w:sz w:val="24"/>
        </w:rPr>
        <w:t>and rubber</w:t>
      </w:r>
      <w:r w:rsidR="00472F83" w:rsidRPr="004B2A73">
        <w:rPr>
          <w:rFonts w:ascii="Calibri" w:hAnsi="Calibri"/>
          <w:sz w:val="24"/>
        </w:rPr>
        <w:t>-</w:t>
      </w:r>
      <w:r w:rsidRPr="004B2A73">
        <w:rPr>
          <w:rFonts w:ascii="Calibri" w:hAnsi="Calibri"/>
          <w:sz w:val="24"/>
        </w:rPr>
        <w:t>t</w:t>
      </w:r>
      <w:r w:rsidR="003F48D6" w:rsidRPr="004B2A73">
        <w:rPr>
          <w:rFonts w:ascii="Calibri" w:hAnsi="Calibri"/>
          <w:sz w:val="24"/>
        </w:rPr>
        <w:t>y</w:t>
      </w:r>
      <w:r w:rsidRPr="004B2A73">
        <w:rPr>
          <w:rFonts w:ascii="Calibri" w:hAnsi="Calibri"/>
          <w:sz w:val="24"/>
        </w:rPr>
        <w:t xml:space="preserve">red gantry </w:t>
      </w:r>
      <w:r w:rsidR="00413CCF" w:rsidRPr="004B2A73">
        <w:rPr>
          <w:rFonts w:ascii="Calibri" w:hAnsi="Calibri"/>
          <w:sz w:val="24"/>
        </w:rPr>
        <w:t xml:space="preserve">(RTG) </w:t>
      </w:r>
      <w:r w:rsidRPr="004B2A73">
        <w:rPr>
          <w:rFonts w:ascii="Calibri" w:hAnsi="Calibri"/>
          <w:sz w:val="24"/>
        </w:rPr>
        <w:t>cranes, while others have no such equipment and therefore rel</w:t>
      </w:r>
      <w:r w:rsidR="00E44DF0" w:rsidRPr="004B2A73">
        <w:rPr>
          <w:rFonts w:ascii="Calibri" w:hAnsi="Calibri"/>
          <w:sz w:val="24"/>
        </w:rPr>
        <w:t>y</w:t>
      </w:r>
      <w:r w:rsidRPr="004B2A73">
        <w:rPr>
          <w:rFonts w:ascii="Calibri" w:hAnsi="Calibri"/>
          <w:sz w:val="24"/>
        </w:rPr>
        <w:t xml:space="preserve"> on geared vessels. While the smallest ports only have a general cargo quay, the larger ones have dedicated terminals (e.g. containers, liquid bulk, RORO</w:t>
      </w:r>
      <w:r w:rsidRPr="004B2A73">
        <w:rPr>
          <w:rFonts w:ascii="Calibri" w:hAnsi="Calibri"/>
          <w:sz w:val="24"/>
          <w:vertAlign w:val="superscript"/>
        </w:rPr>
        <w:footnoteReference w:id="7"/>
      </w:r>
      <w:r w:rsidRPr="004B2A73">
        <w:rPr>
          <w:rFonts w:ascii="Calibri" w:hAnsi="Calibri"/>
          <w:sz w:val="24"/>
        </w:rPr>
        <w:t>) and storage facilities (e.g. reefer outlets).</w:t>
      </w:r>
    </w:p>
    <w:p w14:paraId="474843F7" w14:textId="77777777" w:rsidR="00F0774D" w:rsidRPr="004B2A73" w:rsidRDefault="00F0774D" w:rsidP="00F0774D">
      <w:pPr>
        <w:pStyle w:val="ListParagraph"/>
        <w:spacing w:after="0"/>
        <w:ind w:left="0"/>
        <w:rPr>
          <w:rFonts w:ascii="Calibri" w:hAnsi="Calibri"/>
          <w:sz w:val="24"/>
        </w:rPr>
      </w:pPr>
    </w:p>
    <w:p w14:paraId="50889710" w14:textId="78CD95D1" w:rsidR="00766414" w:rsidRPr="004B2A73" w:rsidRDefault="0076641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Compared to other regions, containerized traffic in West Africa is still limited though it has been growing rapidly.</w:t>
      </w:r>
      <w:r w:rsidRPr="004B2A73">
        <w:rPr>
          <w:rFonts w:ascii="Calibri" w:hAnsi="Calibri"/>
          <w:sz w:val="24"/>
        </w:rPr>
        <w:t xml:space="preserve"> Over the last decade, containerized traffic boomed in some ports, such as San Pedro and Tema. Leading ports in terms of container throughput include (by order of importance) Lagos, Tema, Abidjan and Dakar, but several ports still handle a limited number of containers every year (</w:t>
      </w:r>
      <w:r w:rsidRPr="004B2A73">
        <w:rPr>
          <w:rFonts w:ascii="Calibri" w:hAnsi="Calibri"/>
        </w:rPr>
        <w:fldChar w:fldCharType="begin"/>
      </w:r>
      <w:r w:rsidRPr="004B2A73">
        <w:rPr>
          <w:rFonts w:ascii="Calibri" w:hAnsi="Calibri"/>
        </w:rPr>
        <w:instrText xml:space="preserve"> REF _Ref414012365 \h  \* MERGEFORMAT </w:instrText>
      </w:r>
      <w:r w:rsidRPr="004B2A73">
        <w:rPr>
          <w:rFonts w:ascii="Calibri" w:hAnsi="Calibri"/>
        </w:rPr>
      </w:r>
      <w:r w:rsidRPr="004B2A73">
        <w:rPr>
          <w:rFonts w:ascii="Calibri" w:hAnsi="Calibri"/>
        </w:rPr>
        <w:fldChar w:fldCharType="separate"/>
      </w:r>
      <w:r w:rsidR="00212D01" w:rsidRPr="00212D01">
        <w:rPr>
          <w:rFonts w:ascii="Calibri" w:hAnsi="Calibri"/>
          <w:sz w:val="24"/>
        </w:rPr>
        <w:t>Figure 1</w:t>
      </w:r>
      <w:r w:rsidRPr="004B2A73">
        <w:rPr>
          <w:rFonts w:ascii="Calibri" w:hAnsi="Calibri"/>
        </w:rPr>
        <w:fldChar w:fldCharType="end"/>
      </w:r>
      <w:r w:rsidRPr="004B2A73">
        <w:rPr>
          <w:rFonts w:ascii="Calibri" w:hAnsi="Calibri"/>
          <w:sz w:val="24"/>
        </w:rPr>
        <w:t>). Although starting from a low base, container volumes handled in West Africa have grown faster than in any other region in the world over the last five years (</w:t>
      </w:r>
      <w:r w:rsidRPr="004B2A73">
        <w:rPr>
          <w:rFonts w:ascii="Calibri" w:hAnsi="Calibri"/>
        </w:rPr>
        <w:fldChar w:fldCharType="begin"/>
      </w:r>
      <w:r w:rsidRPr="004B2A73">
        <w:rPr>
          <w:rFonts w:ascii="Calibri" w:hAnsi="Calibri"/>
        </w:rPr>
        <w:instrText xml:space="preserve"> REF _Ref417748982 \h  \* MERGEFORMAT </w:instrText>
      </w:r>
      <w:r w:rsidRPr="004B2A73">
        <w:rPr>
          <w:rFonts w:ascii="Calibri" w:hAnsi="Calibri"/>
        </w:rPr>
      </w:r>
      <w:r w:rsidRPr="004B2A73">
        <w:rPr>
          <w:rFonts w:ascii="Calibri" w:hAnsi="Calibri"/>
        </w:rPr>
        <w:fldChar w:fldCharType="separate"/>
      </w:r>
      <w:r w:rsidR="00212D01" w:rsidRPr="00212D01">
        <w:rPr>
          <w:rFonts w:ascii="Calibri" w:hAnsi="Calibri"/>
          <w:sz w:val="24"/>
        </w:rPr>
        <w:t>Figure 2</w:t>
      </w:r>
      <w:r w:rsidRPr="004B2A73">
        <w:rPr>
          <w:rFonts w:ascii="Calibri" w:hAnsi="Calibri"/>
        </w:rPr>
        <w:fldChar w:fldCharType="end"/>
      </w:r>
      <w:r w:rsidRPr="004B2A73">
        <w:rPr>
          <w:rFonts w:ascii="Calibri" w:hAnsi="Calibri"/>
          <w:sz w:val="24"/>
        </w:rPr>
        <w:t xml:space="preserve">). The combined throughput of container terminals in the region reached almost 5 million TEUs in 2013, twice as much as a decade ago. Generally speaking, West African container terminals nonetheless remain modest in size compared to the large hubs in the Northern and </w:t>
      </w:r>
      <w:r w:rsidRPr="004B2A73">
        <w:rPr>
          <w:rFonts w:ascii="Calibri" w:hAnsi="Calibri"/>
          <w:sz w:val="24"/>
        </w:rPr>
        <w:lastRenderedPageBreak/>
        <w:t>Southern tips of the continent, such as Algeciras in Spain (4.5 million TEUs in 2013), Tanger Med in Morocco and Durban in South Africa (2.6 million TEUs each) (Containerization International 2014). Compared to South Africa, and to the global average, most West African countries still handle low volumes of containers relative to total port throughput and to the size of their economy and population. This suggests that there is potential for further container traffic growth in West Africa.</w:t>
      </w:r>
    </w:p>
    <w:p w14:paraId="33B43A85" w14:textId="77777777" w:rsidR="008443A4" w:rsidRPr="00D91C0B" w:rsidRDefault="008443A4" w:rsidP="008443A4">
      <w:pPr>
        <w:pStyle w:val="ListParagraph"/>
        <w:spacing w:after="0"/>
        <w:ind w:left="0"/>
        <w:rPr>
          <w:rFonts w:ascii="Calibri" w:hAnsi="Calibri"/>
          <w:sz w:val="14"/>
        </w:rPr>
      </w:pPr>
    </w:p>
    <w:p w14:paraId="2435C9AC" w14:textId="0650D6AF" w:rsidR="00627628" w:rsidRPr="004B2A73" w:rsidRDefault="00627628" w:rsidP="001C14B1">
      <w:pPr>
        <w:pStyle w:val="Caption"/>
        <w:rPr>
          <w:rFonts w:ascii="Calibri" w:hAnsi="Calibri"/>
        </w:rPr>
      </w:pPr>
      <w:bookmarkStart w:id="15" w:name="_Ref417748982"/>
      <w:bookmarkStart w:id="16" w:name="_Toc418842927"/>
      <w:bookmarkStart w:id="17" w:name="_Toc485377037"/>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2</w:t>
      </w:r>
      <w:r w:rsidR="00520B46" w:rsidRPr="004B2A73">
        <w:rPr>
          <w:rFonts w:ascii="Calibri" w:hAnsi="Calibri"/>
          <w:noProof/>
        </w:rPr>
        <w:fldChar w:fldCharType="end"/>
      </w:r>
      <w:bookmarkEnd w:id="15"/>
      <w:r w:rsidRPr="004B2A73">
        <w:rPr>
          <w:rFonts w:ascii="Calibri" w:hAnsi="Calibri"/>
        </w:rPr>
        <w:t>: Growth of containerized traffic in West Africa and other regions (2009 = 100)</w:t>
      </w:r>
      <w:bookmarkEnd w:id="16"/>
      <w:bookmarkEnd w:id="17"/>
    </w:p>
    <w:p w14:paraId="3E869EA8" w14:textId="77777777" w:rsidR="00F0774D" w:rsidRPr="004B2A73" w:rsidRDefault="00DC5EF8" w:rsidP="00F0774D">
      <w:pPr>
        <w:pStyle w:val="ListParagraph"/>
        <w:spacing w:after="0"/>
        <w:ind w:left="0"/>
        <w:rPr>
          <w:rFonts w:ascii="Calibri" w:hAnsi="Calibri"/>
          <w:sz w:val="24"/>
        </w:rPr>
      </w:pPr>
      <w:r w:rsidRPr="004B2A73">
        <w:rPr>
          <w:rFonts w:ascii="Calibri" w:hAnsi="Calibri"/>
          <w:noProof/>
        </w:rPr>
        <w:drawing>
          <wp:inline distT="0" distB="0" distL="0" distR="0" wp14:anchorId="13DE4ED4" wp14:editId="5282D8AE">
            <wp:extent cx="5943600" cy="1999615"/>
            <wp:effectExtent l="0" t="0" r="0" b="6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E8E5F2" w14:textId="77777777" w:rsidR="00D91C0B" w:rsidRPr="00D91C0B" w:rsidRDefault="00D91C0B" w:rsidP="00D91C0B">
      <w:pPr>
        <w:pStyle w:val="ListParagraph"/>
        <w:spacing w:after="0"/>
        <w:ind w:left="0"/>
        <w:jc w:val="both"/>
        <w:rPr>
          <w:rFonts w:ascii="Calibri" w:hAnsi="Calibri"/>
          <w:sz w:val="24"/>
        </w:rPr>
      </w:pPr>
    </w:p>
    <w:p w14:paraId="4D815E55" w14:textId="4D231831" w:rsidR="00627628" w:rsidRPr="004B2A73" w:rsidRDefault="002A02A5"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dominance of imports over exports </w:t>
      </w:r>
      <w:r w:rsidR="003302A5" w:rsidRPr="004B2A73">
        <w:rPr>
          <w:rFonts w:ascii="Calibri" w:hAnsi="Calibri"/>
          <w:b/>
          <w:sz w:val="24"/>
        </w:rPr>
        <w:t>across</w:t>
      </w:r>
      <w:r w:rsidR="00587930" w:rsidRPr="004B2A73">
        <w:rPr>
          <w:rFonts w:ascii="Calibri" w:hAnsi="Calibri"/>
          <w:b/>
          <w:sz w:val="24"/>
        </w:rPr>
        <w:t xml:space="preserve"> </w:t>
      </w:r>
      <w:r w:rsidRPr="004B2A73">
        <w:rPr>
          <w:rFonts w:ascii="Calibri" w:hAnsi="Calibri"/>
          <w:b/>
          <w:sz w:val="24"/>
        </w:rPr>
        <w:t>West Africa</w:t>
      </w:r>
      <w:r w:rsidR="00587930" w:rsidRPr="004B2A73">
        <w:rPr>
          <w:rFonts w:ascii="Calibri" w:hAnsi="Calibri"/>
          <w:b/>
          <w:sz w:val="24"/>
        </w:rPr>
        <w:t xml:space="preserve"> </w:t>
      </w:r>
      <w:r w:rsidR="0027304E" w:rsidRPr="004B2A73">
        <w:rPr>
          <w:rFonts w:ascii="Calibri" w:hAnsi="Calibri"/>
          <w:b/>
          <w:sz w:val="24"/>
        </w:rPr>
        <w:t xml:space="preserve">is </w:t>
      </w:r>
      <w:r w:rsidR="00DB0510" w:rsidRPr="004B2A73">
        <w:rPr>
          <w:rFonts w:ascii="Calibri" w:hAnsi="Calibri"/>
          <w:b/>
          <w:sz w:val="24"/>
        </w:rPr>
        <w:t xml:space="preserve">most </w:t>
      </w:r>
      <w:r w:rsidR="0027304E" w:rsidRPr="004B2A73">
        <w:rPr>
          <w:rFonts w:ascii="Calibri" w:hAnsi="Calibri"/>
          <w:b/>
          <w:sz w:val="24"/>
        </w:rPr>
        <w:t>pr</w:t>
      </w:r>
      <w:r w:rsidR="00DB0510" w:rsidRPr="004B2A73">
        <w:rPr>
          <w:rFonts w:ascii="Calibri" w:hAnsi="Calibri"/>
          <w:b/>
          <w:sz w:val="24"/>
        </w:rPr>
        <w:t>o</w:t>
      </w:r>
      <w:r w:rsidR="0027304E" w:rsidRPr="004B2A73">
        <w:rPr>
          <w:rFonts w:ascii="Calibri" w:hAnsi="Calibri"/>
          <w:b/>
          <w:sz w:val="24"/>
        </w:rPr>
        <w:t xml:space="preserve">nounced in the container trade. </w:t>
      </w:r>
      <w:r w:rsidR="00627628" w:rsidRPr="004B2A73">
        <w:rPr>
          <w:rFonts w:ascii="Calibri" w:hAnsi="Calibri"/>
          <w:sz w:val="24"/>
        </w:rPr>
        <w:t>The</w:t>
      </w:r>
      <w:r w:rsidR="00627628" w:rsidRPr="004B2A73">
        <w:rPr>
          <w:rFonts w:ascii="Calibri" w:hAnsi="Calibri"/>
          <w:b/>
          <w:sz w:val="24"/>
        </w:rPr>
        <w:t xml:space="preserve"> </w:t>
      </w:r>
      <w:r w:rsidR="00627628" w:rsidRPr="004B2A73">
        <w:rPr>
          <w:rFonts w:ascii="Calibri" w:hAnsi="Calibri"/>
          <w:sz w:val="24"/>
        </w:rPr>
        <w:t xml:space="preserve">structure of merchandise trade </w:t>
      </w:r>
      <w:r w:rsidR="008443A4" w:rsidRPr="004B2A73">
        <w:rPr>
          <w:rFonts w:ascii="Calibri" w:hAnsi="Calibri"/>
          <w:sz w:val="24"/>
        </w:rPr>
        <w:t>is</w:t>
      </w:r>
      <w:r w:rsidR="00627628" w:rsidRPr="004B2A73">
        <w:rPr>
          <w:rFonts w:ascii="Calibri" w:hAnsi="Calibri"/>
          <w:sz w:val="24"/>
        </w:rPr>
        <w:t xml:space="preserve"> geared towards bulk exports and manufactured imports</w:t>
      </w:r>
      <w:r w:rsidR="00FD4F56" w:rsidRPr="004B2A73">
        <w:rPr>
          <w:rFonts w:ascii="Calibri" w:hAnsi="Calibri"/>
          <w:sz w:val="24"/>
        </w:rPr>
        <w:t xml:space="preserve"> with minerals and agricultural products handled either by specialized or dedicated dry or liquid bulk terminals or general cargo facilities</w:t>
      </w:r>
      <w:r w:rsidR="00FD4F56" w:rsidRPr="004B2A73">
        <w:rPr>
          <w:rStyle w:val="FootnoteReference"/>
          <w:rFonts w:ascii="Calibri" w:hAnsi="Calibri"/>
          <w:b/>
          <w:sz w:val="24"/>
        </w:rPr>
        <w:footnoteReference w:id="8"/>
      </w:r>
      <w:r w:rsidR="00710A31" w:rsidRPr="004B2A73">
        <w:rPr>
          <w:rFonts w:ascii="Calibri" w:hAnsi="Calibri"/>
          <w:b/>
          <w:sz w:val="24"/>
        </w:rPr>
        <w:t>.</w:t>
      </w:r>
      <w:r w:rsidR="00627628" w:rsidRPr="004B2A73">
        <w:rPr>
          <w:rFonts w:ascii="Calibri" w:hAnsi="Calibri"/>
          <w:sz w:val="24"/>
        </w:rPr>
        <w:t xml:space="preserve"> </w:t>
      </w:r>
      <w:r w:rsidR="00710A31" w:rsidRPr="004B2A73">
        <w:rPr>
          <w:rFonts w:ascii="Calibri" w:hAnsi="Calibri"/>
          <w:sz w:val="24"/>
        </w:rPr>
        <w:t>T</w:t>
      </w:r>
      <w:r w:rsidR="00627628" w:rsidRPr="004B2A73">
        <w:rPr>
          <w:rFonts w:ascii="Calibri" w:hAnsi="Calibri"/>
          <w:sz w:val="24"/>
        </w:rPr>
        <w:t xml:space="preserve">he value of merchandise imports </w:t>
      </w:r>
      <w:r w:rsidR="00710A31" w:rsidRPr="004B2A73">
        <w:rPr>
          <w:rFonts w:ascii="Calibri" w:hAnsi="Calibri"/>
          <w:sz w:val="24"/>
        </w:rPr>
        <w:t xml:space="preserve">is </w:t>
      </w:r>
      <w:r w:rsidR="00627628" w:rsidRPr="004B2A73">
        <w:rPr>
          <w:rFonts w:ascii="Calibri" w:hAnsi="Calibri"/>
          <w:sz w:val="24"/>
        </w:rPr>
        <w:t>almost double that of merchandise exports</w:t>
      </w:r>
      <w:r w:rsidR="00710A31" w:rsidRPr="004B2A73">
        <w:rPr>
          <w:rFonts w:ascii="Calibri" w:hAnsi="Calibri"/>
          <w:sz w:val="24"/>
        </w:rPr>
        <w:t xml:space="preserve"> such that </w:t>
      </w:r>
      <w:r w:rsidR="00627628" w:rsidRPr="004B2A73">
        <w:rPr>
          <w:rFonts w:ascii="Calibri" w:hAnsi="Calibri"/>
          <w:sz w:val="24"/>
        </w:rPr>
        <w:t>inward traffic is generally two or three time</w:t>
      </w:r>
      <w:r w:rsidR="009B5E6C" w:rsidRPr="004B2A73">
        <w:rPr>
          <w:rFonts w:ascii="Calibri" w:hAnsi="Calibri"/>
          <w:sz w:val="24"/>
        </w:rPr>
        <w:t>s</w:t>
      </w:r>
      <w:r w:rsidR="00627628" w:rsidRPr="004B2A73">
        <w:rPr>
          <w:rFonts w:ascii="Calibri" w:hAnsi="Calibri"/>
          <w:sz w:val="24"/>
        </w:rPr>
        <w:t xml:space="preserve"> as large as outward traffic in volume terms. For containers, this translates into a large proportion of boxes discharged full being loaded</w:t>
      </w:r>
      <w:r w:rsidR="00DA6746" w:rsidRPr="004B2A73">
        <w:rPr>
          <w:rFonts w:ascii="Calibri" w:hAnsi="Calibri"/>
          <w:sz w:val="24"/>
        </w:rPr>
        <w:t xml:space="preserve"> back</w:t>
      </w:r>
      <w:r w:rsidR="00627628" w:rsidRPr="004B2A73">
        <w:rPr>
          <w:rFonts w:ascii="Calibri" w:hAnsi="Calibri"/>
          <w:sz w:val="24"/>
        </w:rPr>
        <w:t xml:space="preserve"> as empty containers. The ratio of loaded </w:t>
      </w:r>
      <w:r w:rsidR="00DC5EF8" w:rsidRPr="004B2A73">
        <w:rPr>
          <w:rFonts w:ascii="Calibri" w:hAnsi="Calibri"/>
          <w:sz w:val="24"/>
        </w:rPr>
        <w:t>export to import</w:t>
      </w:r>
      <w:r w:rsidR="00627628" w:rsidRPr="004B2A73">
        <w:rPr>
          <w:rFonts w:ascii="Calibri" w:hAnsi="Calibri"/>
          <w:sz w:val="24"/>
        </w:rPr>
        <w:t xml:space="preserve"> containers is on average </w:t>
      </w:r>
      <w:r w:rsidR="00DC5EF8" w:rsidRPr="004B2A73">
        <w:rPr>
          <w:rFonts w:ascii="Calibri" w:hAnsi="Calibri"/>
          <w:sz w:val="24"/>
        </w:rPr>
        <w:t>55% across the region</w:t>
      </w:r>
      <w:r w:rsidR="00DC5EF8" w:rsidRPr="004B2A73">
        <w:rPr>
          <w:rStyle w:val="FootnoteReference"/>
          <w:rFonts w:ascii="Calibri" w:hAnsi="Calibri"/>
          <w:sz w:val="24"/>
        </w:rPr>
        <w:footnoteReference w:id="9"/>
      </w:r>
      <w:r w:rsidR="00DC5EF8" w:rsidRPr="004B2A73">
        <w:rPr>
          <w:rFonts w:ascii="Calibri" w:hAnsi="Calibri"/>
          <w:sz w:val="24"/>
        </w:rPr>
        <w:t>, with variations between 20% for Dakar and almost a balanced traffic in Abidjan.</w:t>
      </w:r>
    </w:p>
    <w:p w14:paraId="770CD1C5" w14:textId="77777777" w:rsidR="00D643D0" w:rsidRPr="004B2A73" w:rsidRDefault="00D643D0" w:rsidP="00D643D0">
      <w:pPr>
        <w:spacing w:after="0"/>
        <w:ind w:left="720" w:hanging="360"/>
        <w:rPr>
          <w:rFonts w:ascii="Calibri" w:hAnsi="Calibri"/>
          <w:sz w:val="24"/>
        </w:rPr>
      </w:pPr>
    </w:p>
    <w:p w14:paraId="41D86C2D" w14:textId="5CE1E624" w:rsidR="00201434" w:rsidRPr="00981E58" w:rsidRDefault="00201434" w:rsidP="00981E58">
      <w:pPr>
        <w:pStyle w:val="Heading2"/>
        <w:ind w:left="0"/>
        <w:rPr>
          <w:rFonts w:asciiTheme="minorHAnsi" w:hAnsiTheme="minorHAnsi" w:cstheme="minorHAnsi"/>
          <w:color w:val="000000" w:themeColor="text1"/>
          <w:sz w:val="28"/>
          <w:szCs w:val="28"/>
        </w:rPr>
      </w:pPr>
      <w:bookmarkStart w:id="18" w:name="_Toc485381989"/>
      <w:r w:rsidRPr="00981E58">
        <w:rPr>
          <w:rFonts w:asciiTheme="minorHAnsi" w:hAnsiTheme="minorHAnsi" w:cstheme="minorHAnsi"/>
          <w:color w:val="000000" w:themeColor="text1"/>
          <w:sz w:val="28"/>
          <w:szCs w:val="28"/>
        </w:rPr>
        <w:t>West Africa</w:t>
      </w:r>
      <w:r w:rsidR="00F44929" w:rsidRPr="00981E58">
        <w:rPr>
          <w:rFonts w:asciiTheme="minorHAnsi" w:hAnsiTheme="minorHAnsi" w:cstheme="minorHAnsi"/>
          <w:color w:val="000000" w:themeColor="text1"/>
          <w:sz w:val="28"/>
          <w:szCs w:val="28"/>
        </w:rPr>
        <w:t xml:space="preserve">n Integration with </w:t>
      </w:r>
      <w:r w:rsidR="00BB12CF" w:rsidRPr="00981E58">
        <w:rPr>
          <w:rFonts w:asciiTheme="minorHAnsi" w:hAnsiTheme="minorHAnsi" w:cstheme="minorHAnsi"/>
          <w:color w:val="000000" w:themeColor="text1"/>
          <w:sz w:val="28"/>
          <w:szCs w:val="28"/>
        </w:rPr>
        <w:t>g</w:t>
      </w:r>
      <w:r w:rsidR="00F44929" w:rsidRPr="00981E58">
        <w:rPr>
          <w:rFonts w:asciiTheme="minorHAnsi" w:hAnsiTheme="minorHAnsi" w:cstheme="minorHAnsi"/>
          <w:color w:val="000000" w:themeColor="text1"/>
          <w:sz w:val="28"/>
          <w:szCs w:val="28"/>
        </w:rPr>
        <w:t xml:space="preserve">lobal </w:t>
      </w:r>
      <w:r w:rsidR="00BB12CF" w:rsidRPr="00981E58">
        <w:rPr>
          <w:rFonts w:asciiTheme="minorHAnsi" w:hAnsiTheme="minorHAnsi" w:cstheme="minorHAnsi"/>
          <w:color w:val="000000" w:themeColor="text1"/>
          <w:sz w:val="28"/>
          <w:szCs w:val="28"/>
        </w:rPr>
        <w:t>s</w:t>
      </w:r>
      <w:r w:rsidR="00F44929" w:rsidRPr="00981E58">
        <w:rPr>
          <w:rFonts w:asciiTheme="minorHAnsi" w:hAnsiTheme="minorHAnsi" w:cstheme="minorHAnsi"/>
          <w:color w:val="000000" w:themeColor="text1"/>
          <w:sz w:val="28"/>
          <w:szCs w:val="28"/>
        </w:rPr>
        <w:t>hipping</w:t>
      </w:r>
      <w:bookmarkEnd w:id="18"/>
    </w:p>
    <w:p w14:paraId="26BACCB2" w14:textId="77777777" w:rsidR="00F0774D" w:rsidRPr="004B2A73" w:rsidRDefault="00F0774D" w:rsidP="00F0774D">
      <w:pPr>
        <w:pStyle w:val="ListParagraph"/>
        <w:spacing w:after="0"/>
        <w:ind w:left="0"/>
        <w:rPr>
          <w:rFonts w:ascii="Calibri" w:hAnsi="Calibri"/>
          <w:sz w:val="24"/>
        </w:rPr>
      </w:pPr>
    </w:p>
    <w:p w14:paraId="674B940A" w14:textId="77777777" w:rsidR="00201434" w:rsidRPr="004B2A73" w:rsidRDefault="0020143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West Africa is connected to the </w:t>
      </w:r>
      <w:r w:rsidR="001B38F9" w:rsidRPr="004B2A73">
        <w:rPr>
          <w:rFonts w:ascii="Calibri" w:hAnsi="Calibri"/>
          <w:b/>
          <w:sz w:val="24"/>
        </w:rPr>
        <w:t>global</w:t>
      </w:r>
      <w:r w:rsidRPr="004B2A73">
        <w:rPr>
          <w:rFonts w:ascii="Calibri" w:hAnsi="Calibri"/>
          <w:b/>
          <w:sz w:val="24"/>
        </w:rPr>
        <w:t xml:space="preserve"> liner</w:t>
      </w:r>
      <w:r w:rsidR="00B81FB7" w:rsidRPr="004B2A73">
        <w:rPr>
          <w:rFonts w:ascii="Calibri" w:hAnsi="Calibri"/>
          <w:b/>
          <w:sz w:val="24"/>
        </w:rPr>
        <w:t>-</w:t>
      </w:r>
      <w:r w:rsidRPr="004B2A73">
        <w:rPr>
          <w:rFonts w:ascii="Calibri" w:hAnsi="Calibri"/>
          <w:b/>
          <w:sz w:val="24"/>
        </w:rPr>
        <w:t xml:space="preserve">shipping network by a combination of end-to-end and transshipment services articulated </w:t>
      </w:r>
      <w:r w:rsidR="001B38F9" w:rsidRPr="004B2A73">
        <w:rPr>
          <w:rFonts w:ascii="Calibri" w:hAnsi="Calibri"/>
          <w:b/>
          <w:sz w:val="24"/>
        </w:rPr>
        <w:t>around</w:t>
      </w:r>
      <w:r w:rsidRPr="004B2A73">
        <w:rPr>
          <w:rFonts w:ascii="Calibri" w:hAnsi="Calibri"/>
          <w:b/>
          <w:sz w:val="24"/>
        </w:rPr>
        <w:t xml:space="preserve"> hub ports outside of the region. </w:t>
      </w:r>
      <w:r w:rsidRPr="004B2A73">
        <w:rPr>
          <w:rFonts w:ascii="Calibri" w:hAnsi="Calibri"/>
          <w:sz w:val="24"/>
        </w:rPr>
        <w:t xml:space="preserve">The current mix of services comprises end-to-end </w:t>
      </w:r>
      <w:r w:rsidR="00D8132D" w:rsidRPr="004B2A73">
        <w:rPr>
          <w:rFonts w:ascii="Calibri" w:hAnsi="Calibri"/>
          <w:sz w:val="24"/>
        </w:rPr>
        <w:t xml:space="preserve">(ETE) </w:t>
      </w:r>
      <w:r w:rsidRPr="004B2A73">
        <w:rPr>
          <w:rFonts w:ascii="Calibri" w:hAnsi="Calibri"/>
          <w:sz w:val="24"/>
        </w:rPr>
        <w:t>services</w:t>
      </w:r>
      <w:r w:rsidR="00B22A8F" w:rsidRPr="004B2A73">
        <w:rPr>
          <w:rFonts w:ascii="Calibri" w:hAnsi="Calibri"/>
          <w:sz w:val="24"/>
        </w:rPr>
        <w:t xml:space="preserve"> connecting</w:t>
      </w:r>
      <w:r w:rsidR="007830C7" w:rsidRPr="004B2A73">
        <w:rPr>
          <w:rFonts w:ascii="Calibri" w:hAnsi="Calibri"/>
          <w:sz w:val="24"/>
        </w:rPr>
        <w:t xml:space="preserve"> </w:t>
      </w:r>
      <w:r w:rsidRPr="004B2A73">
        <w:rPr>
          <w:rFonts w:ascii="Calibri" w:hAnsi="Calibri"/>
          <w:sz w:val="24"/>
        </w:rPr>
        <w:t>the coastline directly with the major industrialized regions of Europe, North America and East Asia</w:t>
      </w:r>
      <w:r w:rsidR="001B38F9" w:rsidRPr="004B2A73">
        <w:rPr>
          <w:rFonts w:ascii="Calibri" w:hAnsi="Calibri"/>
          <w:sz w:val="24"/>
        </w:rPr>
        <w:t>,</w:t>
      </w:r>
      <w:r w:rsidRPr="004B2A73">
        <w:rPr>
          <w:rFonts w:ascii="Calibri" w:hAnsi="Calibri"/>
          <w:sz w:val="24"/>
        </w:rPr>
        <w:t xml:space="preserve"> and relay services connecting with main line services via hub</w:t>
      </w:r>
      <w:r w:rsidR="00B22A8F" w:rsidRPr="004B2A73">
        <w:rPr>
          <w:rFonts w:ascii="Calibri" w:hAnsi="Calibri"/>
          <w:sz w:val="24"/>
        </w:rPr>
        <w:t xml:space="preserve"> </w:t>
      </w:r>
      <w:r w:rsidRPr="004B2A73">
        <w:rPr>
          <w:rFonts w:ascii="Calibri" w:hAnsi="Calibri"/>
          <w:sz w:val="24"/>
        </w:rPr>
        <w:t>ports around the Strait of Gibraltar</w:t>
      </w:r>
      <w:r w:rsidR="001B38F9" w:rsidRPr="004B2A73">
        <w:rPr>
          <w:rFonts w:ascii="Calibri" w:hAnsi="Calibri"/>
          <w:sz w:val="24"/>
        </w:rPr>
        <w:t>,</w:t>
      </w:r>
      <w:r w:rsidRPr="004B2A73">
        <w:rPr>
          <w:rFonts w:ascii="Calibri" w:hAnsi="Calibri"/>
          <w:sz w:val="24"/>
        </w:rPr>
        <w:t xml:space="preserve"> such as Algeciras and Tangier</w:t>
      </w:r>
      <w:r w:rsidR="001B38F9" w:rsidRPr="004B2A73">
        <w:rPr>
          <w:rFonts w:ascii="Calibri" w:hAnsi="Calibri"/>
          <w:sz w:val="24"/>
        </w:rPr>
        <w:t>,</w:t>
      </w:r>
      <w:r w:rsidRPr="004B2A73">
        <w:rPr>
          <w:rFonts w:ascii="Calibri" w:hAnsi="Calibri"/>
          <w:sz w:val="24"/>
        </w:rPr>
        <w:t xml:space="preserve"> and further away</w:t>
      </w:r>
      <w:r w:rsidR="001B38F9" w:rsidRPr="004B2A73">
        <w:rPr>
          <w:rFonts w:ascii="Calibri" w:hAnsi="Calibri"/>
          <w:sz w:val="24"/>
        </w:rPr>
        <w:t>,</w:t>
      </w:r>
      <w:r w:rsidRPr="004B2A73">
        <w:rPr>
          <w:rFonts w:ascii="Calibri" w:hAnsi="Calibri"/>
          <w:sz w:val="24"/>
        </w:rPr>
        <w:t xml:space="preserve"> such as Las Palmas in the north, and, to a lesser degree, via hub</w:t>
      </w:r>
      <w:r w:rsidR="00B22A8F" w:rsidRPr="004B2A73">
        <w:rPr>
          <w:rFonts w:ascii="Calibri" w:hAnsi="Calibri"/>
          <w:sz w:val="24"/>
        </w:rPr>
        <w:t xml:space="preserve"> </w:t>
      </w:r>
      <w:r w:rsidRPr="004B2A73">
        <w:rPr>
          <w:rFonts w:ascii="Calibri" w:hAnsi="Calibri"/>
          <w:sz w:val="24"/>
        </w:rPr>
        <w:t xml:space="preserve">ports such as Durban, Cape Town and Coega </w:t>
      </w:r>
      <w:r w:rsidR="00B22A8F" w:rsidRPr="004B2A73">
        <w:rPr>
          <w:rFonts w:ascii="Calibri" w:hAnsi="Calibri"/>
          <w:sz w:val="24"/>
        </w:rPr>
        <w:t xml:space="preserve">to the </w:t>
      </w:r>
      <w:r w:rsidRPr="004B2A73">
        <w:rPr>
          <w:rFonts w:ascii="Calibri" w:hAnsi="Calibri"/>
          <w:sz w:val="24"/>
        </w:rPr>
        <w:t xml:space="preserve">south. </w:t>
      </w:r>
      <w:r w:rsidR="00382B8A" w:rsidRPr="004B2A73">
        <w:rPr>
          <w:rFonts w:ascii="Calibri" w:hAnsi="Calibri"/>
          <w:sz w:val="24"/>
          <w:lang w:val="en-GB"/>
        </w:rPr>
        <w:t xml:space="preserve">Europe has historically been West </w:t>
      </w:r>
      <w:r w:rsidR="00382B8A" w:rsidRPr="004B2A73">
        <w:rPr>
          <w:rFonts w:ascii="Calibri" w:hAnsi="Calibri"/>
          <w:sz w:val="24"/>
          <w:lang w:val="en-GB"/>
        </w:rPr>
        <w:lastRenderedPageBreak/>
        <w:t xml:space="preserve">Africa’s dominant trade partner, but Asia’s importance increased rapidly from the second half of the 2000s (see Annex 2).  </w:t>
      </w:r>
    </w:p>
    <w:p w14:paraId="67598C42" w14:textId="4C3B7420" w:rsidR="00344EEE" w:rsidRPr="00224C9A" w:rsidRDefault="00FE048F" w:rsidP="00E826B9">
      <w:pPr>
        <w:pStyle w:val="ListParagraph"/>
        <w:numPr>
          <w:ilvl w:val="0"/>
          <w:numId w:val="6"/>
        </w:numPr>
        <w:ind w:left="0" w:firstLine="0"/>
        <w:jc w:val="both"/>
        <w:rPr>
          <w:rFonts w:ascii="Calibri" w:hAnsi="Calibri"/>
          <w:noProof/>
        </w:rPr>
      </w:pPr>
      <w:r w:rsidRPr="004B2A73">
        <w:rPr>
          <w:rFonts w:ascii="Calibri" w:hAnsi="Calibri"/>
          <w:b/>
          <w:sz w:val="24"/>
        </w:rPr>
        <w:t>West Africa remains to a large extent an isolated region in the global liner network.</w:t>
      </w:r>
      <w:r w:rsidRPr="004B2A73">
        <w:rPr>
          <w:rFonts w:ascii="Calibri" w:hAnsi="Calibri"/>
          <w:sz w:val="24"/>
        </w:rPr>
        <w:t xml:space="preserve"> </w:t>
      </w:r>
      <w:r w:rsidR="00344EEE" w:rsidRPr="004B2A73">
        <w:rPr>
          <w:rFonts w:ascii="Calibri" w:hAnsi="Calibri"/>
          <w:sz w:val="24"/>
        </w:rPr>
        <w:t>Connectivity, as measured by UNCTAD’s Liner Shipping Connectivity Index</w:t>
      </w:r>
      <w:r w:rsidRPr="004B2A73">
        <w:rPr>
          <w:rFonts w:ascii="Calibri" w:hAnsi="Calibri"/>
          <w:sz w:val="24"/>
        </w:rPr>
        <w:t>, is low for West Africa</w:t>
      </w:r>
      <w:r w:rsidR="001B38F9" w:rsidRPr="004B2A73">
        <w:rPr>
          <w:rFonts w:ascii="Calibri" w:hAnsi="Calibri"/>
          <w:sz w:val="24"/>
        </w:rPr>
        <w:t>n</w:t>
      </w:r>
      <w:r w:rsidRPr="004B2A73">
        <w:rPr>
          <w:rFonts w:ascii="Calibri" w:hAnsi="Calibri"/>
          <w:sz w:val="24"/>
        </w:rPr>
        <w:t xml:space="preserve"> ports</w:t>
      </w:r>
      <w:r w:rsidR="00F3281D" w:rsidRPr="004B2A73">
        <w:rPr>
          <w:rFonts w:ascii="Calibri" w:hAnsi="Calibri"/>
          <w:sz w:val="24"/>
        </w:rPr>
        <w:t xml:space="preserve">. </w:t>
      </w:r>
      <w:r w:rsidR="004C2B7C" w:rsidRPr="004B2A73">
        <w:rPr>
          <w:rFonts w:ascii="Calibri" w:hAnsi="Calibri"/>
          <w:sz w:val="24"/>
        </w:rPr>
        <w:t>Connectivity</w:t>
      </w:r>
      <w:r w:rsidR="00F3281D" w:rsidRPr="004B2A73">
        <w:rPr>
          <w:rFonts w:ascii="Calibri" w:hAnsi="Calibri"/>
          <w:sz w:val="24"/>
        </w:rPr>
        <w:t xml:space="preserve"> </w:t>
      </w:r>
      <w:r w:rsidR="00344EEE" w:rsidRPr="004B2A73">
        <w:rPr>
          <w:rFonts w:ascii="Calibri" w:hAnsi="Calibri"/>
          <w:sz w:val="24"/>
        </w:rPr>
        <w:t>has not progressed at the same pace as traffic over the last decade and remains low compared to Morocco and South Africa (</w:t>
      </w:r>
      <w:r w:rsidR="00C972E7" w:rsidRPr="00224C9A">
        <w:rPr>
          <w:rFonts w:ascii="Calibri" w:hAnsi="Calibri"/>
          <w:sz w:val="24"/>
          <w:szCs w:val="24"/>
        </w:rPr>
        <w:fldChar w:fldCharType="begin"/>
      </w:r>
      <w:r w:rsidR="00C972E7" w:rsidRPr="00224C9A">
        <w:rPr>
          <w:rFonts w:ascii="Calibri" w:hAnsi="Calibri"/>
          <w:sz w:val="24"/>
          <w:szCs w:val="24"/>
        </w:rPr>
        <w:instrText xml:space="preserve"> REF _Ref431889416 \h  \* MERGEFORMAT </w:instrText>
      </w:r>
      <w:r w:rsidR="00C972E7" w:rsidRPr="00224C9A">
        <w:rPr>
          <w:rFonts w:ascii="Calibri" w:hAnsi="Calibri"/>
          <w:sz w:val="24"/>
          <w:szCs w:val="24"/>
        </w:rPr>
      </w:r>
      <w:r w:rsidR="00C972E7" w:rsidRPr="00224C9A">
        <w:rPr>
          <w:rFonts w:ascii="Calibri" w:hAnsi="Calibri"/>
          <w:sz w:val="24"/>
          <w:szCs w:val="24"/>
        </w:rPr>
        <w:fldChar w:fldCharType="separate"/>
      </w:r>
      <w:r w:rsidR="00212D01" w:rsidRPr="00212D01">
        <w:rPr>
          <w:rFonts w:ascii="Calibri" w:hAnsi="Calibri"/>
          <w:noProof/>
          <w:sz w:val="24"/>
          <w:szCs w:val="24"/>
        </w:rPr>
        <w:t>Figure 3</w:t>
      </w:r>
      <w:r w:rsidR="00C972E7" w:rsidRPr="00224C9A">
        <w:rPr>
          <w:rFonts w:ascii="Calibri" w:hAnsi="Calibri"/>
          <w:sz w:val="24"/>
          <w:szCs w:val="24"/>
        </w:rPr>
        <w:fldChar w:fldCharType="end"/>
      </w:r>
      <w:r w:rsidR="00344EEE" w:rsidRPr="00224C9A">
        <w:rPr>
          <w:rFonts w:ascii="Calibri" w:hAnsi="Calibri"/>
          <w:sz w:val="24"/>
        </w:rPr>
        <w:t>)</w:t>
      </w:r>
      <w:r w:rsidR="00520B46" w:rsidRPr="00224C9A">
        <w:rPr>
          <w:rFonts w:ascii="Calibri" w:hAnsi="Calibri"/>
          <w:sz w:val="24"/>
        </w:rPr>
        <w:t>, where connectivity was boosted by the development of major transshipment hubs and traffic growth. However, some direct routes have emerged between Asia and West Africa’s large ports, such as Abidjan and Lagos</w:t>
      </w:r>
      <w:r w:rsidR="00440B7E" w:rsidRPr="00224C9A">
        <w:rPr>
          <w:rFonts w:ascii="Calibri" w:hAnsi="Calibri"/>
          <w:sz w:val="24"/>
        </w:rPr>
        <w:t xml:space="preserve"> (Alix 2011)</w:t>
      </w:r>
      <w:r w:rsidR="00520B46" w:rsidRPr="00224C9A">
        <w:rPr>
          <w:rFonts w:ascii="Calibri" w:hAnsi="Calibri"/>
          <w:sz w:val="24"/>
        </w:rPr>
        <w:t xml:space="preserve">, </w:t>
      </w:r>
      <w:r w:rsidR="00440B7E" w:rsidRPr="00224C9A">
        <w:rPr>
          <w:rFonts w:ascii="Calibri" w:hAnsi="Calibri"/>
          <w:sz w:val="24"/>
        </w:rPr>
        <w:t xml:space="preserve">and more recently </w:t>
      </w:r>
      <w:r w:rsidR="00522DDB" w:rsidRPr="00224C9A">
        <w:rPr>
          <w:rFonts w:ascii="Calibri" w:hAnsi="Calibri"/>
          <w:sz w:val="24"/>
        </w:rPr>
        <w:t>Lomé</w:t>
      </w:r>
      <w:r w:rsidR="00440B7E" w:rsidRPr="00224C9A">
        <w:rPr>
          <w:rFonts w:ascii="Calibri" w:hAnsi="Calibri"/>
          <w:sz w:val="24"/>
        </w:rPr>
        <w:t xml:space="preserve">, </w:t>
      </w:r>
      <w:r w:rsidR="00520B46" w:rsidRPr="00224C9A">
        <w:rPr>
          <w:rFonts w:ascii="Calibri" w:hAnsi="Calibri"/>
          <w:sz w:val="24"/>
        </w:rPr>
        <w:t>which are linked to smaller countries by sub-regional feeder routes. The level of transshipment within the region is limited</w:t>
      </w:r>
      <w:r w:rsidR="00440B7E" w:rsidRPr="00224C9A">
        <w:rPr>
          <w:rFonts w:ascii="Calibri" w:hAnsi="Calibri"/>
          <w:sz w:val="24"/>
        </w:rPr>
        <w:t xml:space="preserve"> but quickly picking up</w:t>
      </w:r>
      <w:r w:rsidR="00520B46" w:rsidRPr="00224C9A">
        <w:rPr>
          <w:rFonts w:ascii="Calibri" w:hAnsi="Calibri"/>
          <w:sz w:val="24"/>
        </w:rPr>
        <w:t xml:space="preserve">, </w:t>
      </w:r>
      <w:r w:rsidR="00440B7E" w:rsidRPr="00224C9A">
        <w:rPr>
          <w:rFonts w:ascii="Calibri" w:hAnsi="Calibri"/>
          <w:sz w:val="24"/>
        </w:rPr>
        <w:t xml:space="preserve">and </w:t>
      </w:r>
      <w:r w:rsidR="00520B46" w:rsidRPr="00224C9A">
        <w:rPr>
          <w:rFonts w:ascii="Calibri" w:hAnsi="Calibri"/>
          <w:sz w:val="24"/>
        </w:rPr>
        <w:t xml:space="preserve">this situation is currently changing due to rapid trade growth that is changing the parameters of the cost equation for shipping lines.  </w:t>
      </w:r>
    </w:p>
    <w:p w14:paraId="0CD382CD" w14:textId="1B1B1F46" w:rsidR="00344EEE" w:rsidRPr="004B2A73" w:rsidRDefault="00344EEE" w:rsidP="001C14B1">
      <w:pPr>
        <w:pStyle w:val="Caption"/>
        <w:rPr>
          <w:rFonts w:ascii="Calibri" w:hAnsi="Calibri"/>
        </w:rPr>
      </w:pPr>
      <w:bookmarkStart w:id="19" w:name="_Ref431889416"/>
      <w:bookmarkStart w:id="20" w:name="_Toc485377038"/>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3</w:t>
      </w:r>
      <w:r w:rsidR="00520B46" w:rsidRPr="004B2A73">
        <w:rPr>
          <w:rFonts w:ascii="Calibri" w:hAnsi="Calibri"/>
          <w:noProof/>
        </w:rPr>
        <w:fldChar w:fldCharType="end"/>
      </w:r>
      <w:bookmarkEnd w:id="19"/>
      <w:r w:rsidRPr="004B2A73">
        <w:rPr>
          <w:rFonts w:ascii="Calibri" w:hAnsi="Calibri"/>
        </w:rPr>
        <w:t>: Evolution of the maritime connectivity of West African ports</w:t>
      </w:r>
      <w:bookmarkEnd w:id="20"/>
    </w:p>
    <w:p w14:paraId="294DB1A4" w14:textId="77777777" w:rsidR="00F0774D" w:rsidRPr="004B2A73" w:rsidRDefault="00DC5EF8" w:rsidP="00F0774D">
      <w:pPr>
        <w:pStyle w:val="ListParagraph"/>
        <w:spacing w:after="0"/>
        <w:ind w:left="0"/>
        <w:rPr>
          <w:rFonts w:ascii="Calibri" w:hAnsi="Calibri"/>
          <w:sz w:val="24"/>
        </w:rPr>
      </w:pPr>
      <w:r w:rsidRPr="004B2A73">
        <w:rPr>
          <w:rFonts w:ascii="Calibri" w:hAnsi="Calibri"/>
          <w:noProof/>
        </w:rPr>
        <w:drawing>
          <wp:inline distT="0" distB="0" distL="0" distR="0" wp14:anchorId="00BF77DC" wp14:editId="4C65F4EF">
            <wp:extent cx="5562600" cy="2362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A498C7" w14:textId="77777777" w:rsidR="00DC5EF8" w:rsidRPr="00C972E7" w:rsidRDefault="00DC5EF8" w:rsidP="00F0774D">
      <w:pPr>
        <w:pStyle w:val="ListParagraph"/>
        <w:spacing w:after="0"/>
        <w:ind w:left="0"/>
        <w:rPr>
          <w:rFonts w:ascii="Calibri" w:hAnsi="Calibri"/>
          <w:sz w:val="20"/>
          <w:szCs w:val="20"/>
        </w:rPr>
      </w:pPr>
      <w:r w:rsidRPr="00C972E7">
        <w:rPr>
          <w:rFonts w:ascii="Calibri" w:hAnsi="Calibri"/>
          <w:sz w:val="20"/>
          <w:szCs w:val="20"/>
        </w:rPr>
        <w:t>Source: UNCTAD LSCI 2016</w:t>
      </w:r>
    </w:p>
    <w:p w14:paraId="5985C69C" w14:textId="77777777" w:rsidR="00DC5EF8" w:rsidRPr="004B2A73" w:rsidRDefault="00DC5EF8" w:rsidP="00F0774D">
      <w:pPr>
        <w:pStyle w:val="ListParagraph"/>
        <w:spacing w:after="0"/>
        <w:ind w:left="0"/>
        <w:rPr>
          <w:rFonts w:ascii="Calibri" w:hAnsi="Calibri"/>
          <w:sz w:val="24"/>
        </w:rPr>
      </w:pPr>
    </w:p>
    <w:p w14:paraId="2060CCA6" w14:textId="7EEEDD05" w:rsidR="002C3258" w:rsidRPr="00C44889" w:rsidRDefault="002C3258" w:rsidP="004318FF">
      <w:pPr>
        <w:widowControl w:val="0"/>
        <w:autoSpaceDE w:val="0"/>
        <w:autoSpaceDN w:val="0"/>
        <w:adjustRightInd w:val="0"/>
        <w:jc w:val="both"/>
        <w:rPr>
          <w:rFonts w:ascii="Calibri" w:hAnsi="Calibri"/>
          <w:sz w:val="24"/>
          <w:lang w:val="en-GB"/>
        </w:rPr>
      </w:pPr>
      <w:r w:rsidRPr="004B2A73">
        <w:rPr>
          <w:rFonts w:ascii="Calibri" w:hAnsi="Calibri"/>
          <w:b/>
          <w:sz w:val="24"/>
          <w:lang w:val="en-GB"/>
        </w:rPr>
        <w:t xml:space="preserve">The level of transhipment in any region depends on the </w:t>
      </w:r>
      <w:r w:rsidR="00702F0A" w:rsidRPr="004B2A73">
        <w:rPr>
          <w:rFonts w:ascii="Calibri" w:hAnsi="Calibri"/>
          <w:b/>
          <w:sz w:val="24"/>
          <w:lang w:val="en-GB"/>
        </w:rPr>
        <w:t xml:space="preserve">global </w:t>
      </w:r>
      <w:r w:rsidRPr="004B2A73">
        <w:rPr>
          <w:rFonts w:ascii="Calibri" w:hAnsi="Calibri"/>
          <w:b/>
          <w:sz w:val="24"/>
          <w:lang w:val="en-GB"/>
        </w:rPr>
        <w:t xml:space="preserve">strategies of the shipping lines and the organization of their networks. </w:t>
      </w:r>
      <w:r w:rsidRPr="004B2A73">
        <w:rPr>
          <w:rFonts w:ascii="Calibri" w:hAnsi="Calibri"/>
          <w:sz w:val="24"/>
          <w:lang w:val="en-GB"/>
        </w:rPr>
        <w:t>Until recently, most of the transhipment in West Africa was opportunistic as services on the main trade lanes, Europe and Asia, were a combination of direct and regional services articulated from an external hub.  Consequently, the share of transhipment in West African ports was below that of other regions in the world.</w:t>
      </w:r>
      <w:r w:rsidRPr="004B2A73">
        <w:rPr>
          <w:rFonts w:ascii="Calibri" w:hAnsi="Calibri"/>
          <w:b/>
          <w:sz w:val="24"/>
          <w:lang w:val="en-GB"/>
        </w:rPr>
        <w:t xml:space="preserve"> </w:t>
      </w:r>
      <w:r w:rsidRPr="004B2A73">
        <w:rPr>
          <w:rFonts w:ascii="Calibri" w:hAnsi="Calibri"/>
          <w:sz w:val="24"/>
          <w:lang w:val="en-GB"/>
        </w:rPr>
        <w:t>The decline in Europe’s dominance of maritime trade</w:t>
      </w:r>
      <w:r w:rsidR="00702F0A" w:rsidRPr="004B2A73">
        <w:rPr>
          <w:rFonts w:ascii="Calibri" w:hAnsi="Calibri"/>
          <w:sz w:val="24"/>
          <w:lang w:val="en-GB"/>
        </w:rPr>
        <w:t xml:space="preserve"> over the last decade</w:t>
      </w:r>
      <w:r w:rsidR="00E201C7" w:rsidRPr="004B2A73">
        <w:rPr>
          <w:rFonts w:ascii="Calibri" w:hAnsi="Calibri"/>
          <w:sz w:val="24"/>
          <w:lang w:val="en-GB"/>
        </w:rPr>
        <w:t>,</w:t>
      </w:r>
      <w:r w:rsidRPr="004B2A73">
        <w:rPr>
          <w:rFonts w:ascii="Calibri" w:hAnsi="Calibri"/>
          <w:sz w:val="24"/>
          <w:lang w:val="en-GB"/>
        </w:rPr>
        <w:t xml:space="preserve"> with shipping lines relying exclusively on hubs in the Mediterranean (Algeciras for Maersk, Valencia for MSC and tangier Med for CMA-CGM) has permitted consideration of alternative locations, including ports in West Africa</w:t>
      </w:r>
      <w:r w:rsidR="00E201C7" w:rsidRPr="004B2A73">
        <w:rPr>
          <w:rFonts w:ascii="Calibri" w:hAnsi="Calibri"/>
          <w:sz w:val="24"/>
          <w:lang w:val="en-GB"/>
        </w:rPr>
        <w:t>, as hub ports</w:t>
      </w:r>
      <w:r w:rsidRPr="004B2A73">
        <w:rPr>
          <w:rFonts w:ascii="Calibri" w:hAnsi="Calibri"/>
          <w:sz w:val="24"/>
          <w:lang w:val="en-GB"/>
        </w:rPr>
        <w:t xml:space="preserve">. </w:t>
      </w:r>
      <w:r w:rsidR="00AF4733" w:rsidRPr="00C44889">
        <w:rPr>
          <w:rFonts w:ascii="Calibri" w:hAnsi="Calibri"/>
          <w:sz w:val="24"/>
          <w:lang w:val="en-GB"/>
        </w:rPr>
        <w:t xml:space="preserve">Some governments see the large volumes handled by transshipment ports and believe that converting their port into a transshipment hub will bring economic benefits in the form of high concession fees and royalty payments. But transshipment cargo may not be very good business for either a government or for a private port operator. Transshipment only makes sense for ports located in places with ideal geographical and natural conditions where the ports can succeed with a “supermarket” approach: very high volumes at a low price together with very </w:t>
      </w:r>
      <w:r w:rsidR="00AF4733" w:rsidRPr="00C44889">
        <w:rPr>
          <w:rFonts w:ascii="Calibri" w:hAnsi="Calibri"/>
          <w:sz w:val="24"/>
          <w:lang w:val="en-GB"/>
        </w:rPr>
        <w:lastRenderedPageBreak/>
        <w:t>high efficiency, which can generate an attractive return on investment despite low revenues per move</w:t>
      </w:r>
      <w:r w:rsidR="00711004" w:rsidRPr="00C44889">
        <w:rPr>
          <w:rFonts w:ascii="Calibri" w:hAnsi="Calibri"/>
          <w:sz w:val="24"/>
          <w:lang w:val="en-GB"/>
        </w:rPr>
        <w:footnoteReference w:id="10"/>
      </w:r>
      <w:r w:rsidR="00AF4733" w:rsidRPr="00C44889">
        <w:rPr>
          <w:rFonts w:ascii="Calibri" w:hAnsi="Calibri"/>
          <w:sz w:val="24"/>
          <w:lang w:val="en-GB"/>
        </w:rPr>
        <w:t>.</w:t>
      </w:r>
    </w:p>
    <w:p w14:paraId="36112265" w14:textId="77777777" w:rsidR="00347FA7" w:rsidRPr="004B2A73" w:rsidRDefault="00347FA7" w:rsidP="001E0A2B">
      <w:pPr>
        <w:pStyle w:val="ListParagraph"/>
        <w:spacing w:after="0"/>
        <w:ind w:left="0"/>
        <w:rPr>
          <w:rFonts w:ascii="Calibri" w:hAnsi="Calibri"/>
          <w:b/>
          <w:sz w:val="24"/>
          <w:lang w:val="en-GB"/>
        </w:rPr>
      </w:pPr>
    </w:p>
    <w:p w14:paraId="3C97D073" w14:textId="5659BFC4" w:rsidR="001944D3" w:rsidRPr="004B2A73" w:rsidRDefault="001944D3" w:rsidP="001944D3">
      <w:pPr>
        <w:pStyle w:val="Caption"/>
        <w:rPr>
          <w:rFonts w:ascii="Calibri" w:hAnsi="Calibri"/>
        </w:rPr>
      </w:pPr>
      <w:bookmarkStart w:id="21" w:name="_Toc485377010"/>
      <w:r w:rsidRPr="004B2A73">
        <w:rPr>
          <w:rFonts w:ascii="Calibri" w:hAnsi="Calibri"/>
        </w:rPr>
        <w:t xml:space="preserve">Box </w:t>
      </w:r>
      <w:r w:rsidR="00811885" w:rsidRPr="004B2A73">
        <w:rPr>
          <w:rFonts w:ascii="Calibri" w:hAnsi="Calibri"/>
        </w:rPr>
        <w:fldChar w:fldCharType="begin"/>
      </w:r>
      <w:r w:rsidR="00811885" w:rsidRPr="004B2A73">
        <w:rPr>
          <w:rFonts w:ascii="Calibri" w:hAnsi="Calibri"/>
        </w:rPr>
        <w:instrText xml:space="preserve"> SEQ Box \* ARABIC </w:instrText>
      </w:r>
      <w:r w:rsidR="00811885" w:rsidRPr="004B2A73">
        <w:rPr>
          <w:rFonts w:ascii="Calibri" w:hAnsi="Calibri"/>
        </w:rPr>
        <w:fldChar w:fldCharType="separate"/>
      </w:r>
      <w:r w:rsidR="00212D01">
        <w:rPr>
          <w:rFonts w:ascii="Calibri" w:hAnsi="Calibri"/>
          <w:noProof/>
        </w:rPr>
        <w:t>1</w:t>
      </w:r>
      <w:r w:rsidR="00811885" w:rsidRPr="004B2A73">
        <w:rPr>
          <w:rFonts w:ascii="Calibri" w:hAnsi="Calibri"/>
          <w:noProof/>
        </w:rPr>
        <w:fldChar w:fldCharType="end"/>
      </w:r>
      <w:r w:rsidRPr="004B2A73">
        <w:rPr>
          <w:rFonts w:ascii="Calibri" w:hAnsi="Calibri"/>
        </w:rPr>
        <w:t>: A question of vocabulary – Transshipment hubs, logistics hubs and maritime gateways</w:t>
      </w:r>
      <w:bookmarkEnd w:id="21"/>
    </w:p>
    <w:tbl>
      <w:tblPr>
        <w:tblStyle w:val="TableGrid"/>
        <w:tblW w:w="0" w:type="auto"/>
        <w:tblLook w:val="04A0" w:firstRow="1" w:lastRow="0" w:firstColumn="1" w:lastColumn="0" w:noHBand="0" w:noVBand="1"/>
      </w:tblPr>
      <w:tblGrid>
        <w:gridCol w:w="9350"/>
      </w:tblGrid>
      <w:tr w:rsidR="001944D3" w:rsidRPr="004B2A73" w14:paraId="27B4F61F" w14:textId="77777777" w:rsidTr="005C76F7">
        <w:tc>
          <w:tcPr>
            <w:tcW w:w="9350" w:type="dxa"/>
          </w:tcPr>
          <w:p w14:paraId="2724A4F2" w14:textId="77777777" w:rsidR="001944D3" w:rsidRPr="004B2A73" w:rsidRDefault="001944D3" w:rsidP="005C76F7">
            <w:pPr>
              <w:spacing w:before="120"/>
              <w:rPr>
                <w:rFonts w:ascii="Calibri" w:hAnsi="Calibri"/>
              </w:rPr>
            </w:pPr>
            <w:r w:rsidRPr="004B2A73">
              <w:rPr>
                <w:rFonts w:ascii="Calibri" w:hAnsi="Calibri"/>
              </w:rPr>
              <w:t xml:space="preserve">The notion of a logistics hub refers to a node in a network. When applied to ports and shipping, however, it frequently evokes the notion of transshipment, a specific function in a shipping network. </w:t>
            </w:r>
          </w:p>
          <w:p w14:paraId="43D8913C" w14:textId="77777777" w:rsidR="001944D3" w:rsidRPr="004B2A73" w:rsidRDefault="001944D3" w:rsidP="005C76F7">
            <w:pPr>
              <w:spacing w:before="120"/>
              <w:rPr>
                <w:rFonts w:ascii="Calibri" w:hAnsi="Calibri"/>
              </w:rPr>
            </w:pPr>
            <w:r w:rsidRPr="004B2A73">
              <w:rPr>
                <w:rFonts w:ascii="Calibri" w:hAnsi="Calibri"/>
              </w:rPr>
              <w:t>To distinguish between the two notions, a different vocabulary is being used here, consistent with the commonly accepted designation of ports in the specialized literature:</w:t>
            </w:r>
          </w:p>
          <w:p w14:paraId="664882E9" w14:textId="77777777" w:rsidR="001944D3" w:rsidRPr="004B2A73" w:rsidRDefault="001944D3" w:rsidP="005C76F7">
            <w:pPr>
              <w:pStyle w:val="ListParagraph"/>
              <w:rPr>
                <w:rFonts w:ascii="Calibri" w:hAnsi="Calibri"/>
              </w:rPr>
            </w:pPr>
            <w:r w:rsidRPr="004B2A73">
              <w:rPr>
                <w:rFonts w:ascii="Calibri" w:hAnsi="Calibri"/>
                <w:b/>
              </w:rPr>
              <w:t>Hub</w:t>
            </w:r>
            <w:r w:rsidRPr="004B2A73">
              <w:rPr>
                <w:rFonts w:ascii="Calibri" w:hAnsi="Calibri"/>
              </w:rPr>
              <w:t xml:space="preserve"> (sometimes </w:t>
            </w:r>
            <w:r w:rsidRPr="004B2A73">
              <w:rPr>
                <w:rFonts w:ascii="Calibri" w:hAnsi="Calibri"/>
                <w:b/>
              </w:rPr>
              <w:t>transshipment hub</w:t>
            </w:r>
            <w:r w:rsidRPr="004B2A73">
              <w:rPr>
                <w:rFonts w:ascii="Calibri" w:hAnsi="Calibri"/>
              </w:rPr>
              <w:t>) refers to nodal position in a shipping network organized with main lines connecting in selected hub ports with a network of feeder or other intersecting main lines,</w:t>
            </w:r>
          </w:p>
          <w:p w14:paraId="06D315DD" w14:textId="77777777" w:rsidR="001944D3" w:rsidRPr="004B2A73" w:rsidRDefault="001944D3" w:rsidP="005C76F7">
            <w:pPr>
              <w:pStyle w:val="ListParagraph"/>
              <w:rPr>
                <w:rFonts w:ascii="Calibri" w:hAnsi="Calibri"/>
              </w:rPr>
            </w:pPr>
            <w:r w:rsidRPr="004B2A73">
              <w:rPr>
                <w:rFonts w:ascii="Calibri" w:hAnsi="Calibri"/>
                <w:b/>
              </w:rPr>
              <w:t>Maritime gateway</w:t>
            </w:r>
            <w:r w:rsidRPr="004B2A73">
              <w:rPr>
                <w:rFonts w:ascii="Calibri" w:hAnsi="Calibri"/>
              </w:rPr>
              <w:t xml:space="preserve"> refers to a port serving a large regional hinterland extending beyond the national boundaries</w:t>
            </w:r>
          </w:p>
          <w:p w14:paraId="6AFA845E" w14:textId="77777777" w:rsidR="001944D3" w:rsidRPr="004B2A73" w:rsidRDefault="001944D3" w:rsidP="005C76F7">
            <w:pPr>
              <w:spacing w:before="120"/>
              <w:rPr>
                <w:rFonts w:ascii="Calibri" w:hAnsi="Calibri"/>
                <w:sz w:val="24"/>
                <w:szCs w:val="24"/>
              </w:rPr>
            </w:pPr>
            <w:r w:rsidRPr="004B2A73">
              <w:rPr>
                <w:rFonts w:ascii="Calibri" w:hAnsi="Calibri"/>
              </w:rPr>
              <w:t>These two functions may coexist in a given port, or a port can perform either one of the functions, or neither for secondary ports. For ports within and close to West Africa, Algeciras at the Strait of Gibraltar is an example of pure transshipment hub, Cotonou an example of pure gateway, and Abidjan or Dakar examples of ports combining the two functions.</w:t>
            </w:r>
          </w:p>
        </w:tc>
      </w:tr>
    </w:tbl>
    <w:p w14:paraId="588350EE" w14:textId="77777777" w:rsidR="001944D3" w:rsidRPr="004B2A73" w:rsidRDefault="001944D3" w:rsidP="001944D3">
      <w:pPr>
        <w:pStyle w:val="ListParagraph"/>
        <w:spacing w:after="0"/>
        <w:ind w:left="0"/>
        <w:rPr>
          <w:rFonts w:ascii="Calibri" w:hAnsi="Calibri"/>
          <w:sz w:val="24"/>
        </w:rPr>
      </w:pPr>
    </w:p>
    <w:p w14:paraId="40C49281" w14:textId="5B40570E" w:rsidR="00FE048F" w:rsidRPr="004B2A73" w:rsidRDefault="000547C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w:t>
      </w:r>
      <w:r w:rsidR="00E201C7" w:rsidRPr="004B2A73">
        <w:rPr>
          <w:rFonts w:ascii="Calibri" w:hAnsi="Calibri"/>
          <w:b/>
          <w:sz w:val="24"/>
        </w:rPr>
        <w:t>idea</w:t>
      </w:r>
      <w:r w:rsidR="00107315" w:rsidRPr="004B2A73">
        <w:rPr>
          <w:rFonts w:ascii="Calibri" w:hAnsi="Calibri"/>
          <w:b/>
          <w:sz w:val="24"/>
        </w:rPr>
        <w:t xml:space="preserve"> </w:t>
      </w:r>
      <w:r w:rsidR="00373BFF" w:rsidRPr="004B2A73">
        <w:rPr>
          <w:rFonts w:ascii="Calibri" w:hAnsi="Calibri"/>
          <w:b/>
          <w:sz w:val="24"/>
        </w:rPr>
        <w:t>o</w:t>
      </w:r>
      <w:r w:rsidRPr="004B2A73">
        <w:rPr>
          <w:rFonts w:ascii="Calibri" w:hAnsi="Calibri"/>
          <w:b/>
          <w:sz w:val="24"/>
        </w:rPr>
        <w:t xml:space="preserve">f a hub and spoke structure along the </w:t>
      </w:r>
      <w:r w:rsidR="00A5795E" w:rsidRPr="004B2A73">
        <w:rPr>
          <w:rFonts w:ascii="Calibri" w:hAnsi="Calibri"/>
          <w:b/>
          <w:sz w:val="24"/>
        </w:rPr>
        <w:t xml:space="preserve">West African </w:t>
      </w:r>
      <w:r w:rsidRPr="004B2A73">
        <w:rPr>
          <w:rFonts w:ascii="Calibri" w:hAnsi="Calibri"/>
          <w:b/>
          <w:sz w:val="24"/>
        </w:rPr>
        <w:t xml:space="preserve">coast has </w:t>
      </w:r>
      <w:r w:rsidR="00BE27A7" w:rsidRPr="004B2A73">
        <w:rPr>
          <w:rFonts w:ascii="Calibri" w:hAnsi="Calibri"/>
          <w:b/>
          <w:sz w:val="24"/>
        </w:rPr>
        <w:t xml:space="preserve">been </w:t>
      </w:r>
      <w:r w:rsidRPr="004B2A73">
        <w:rPr>
          <w:rFonts w:ascii="Calibri" w:hAnsi="Calibri"/>
          <w:b/>
          <w:sz w:val="24"/>
        </w:rPr>
        <w:t>gain</w:t>
      </w:r>
      <w:r w:rsidR="00BE27A7" w:rsidRPr="004B2A73">
        <w:rPr>
          <w:rFonts w:ascii="Calibri" w:hAnsi="Calibri"/>
          <w:b/>
          <w:sz w:val="24"/>
        </w:rPr>
        <w:t>ing</w:t>
      </w:r>
      <w:r w:rsidR="00E201C7" w:rsidRPr="004B2A73">
        <w:rPr>
          <w:rFonts w:ascii="Calibri" w:hAnsi="Calibri"/>
          <w:b/>
          <w:sz w:val="24"/>
        </w:rPr>
        <w:t xml:space="preserve"> traction</w:t>
      </w:r>
      <w:r w:rsidR="00131C5E" w:rsidRPr="004B2A73">
        <w:rPr>
          <w:rFonts w:ascii="Calibri" w:hAnsi="Calibri"/>
          <w:b/>
          <w:sz w:val="24"/>
        </w:rPr>
        <w:t xml:space="preserve"> </w:t>
      </w:r>
      <w:r w:rsidR="009E2306" w:rsidRPr="004B2A73">
        <w:rPr>
          <w:rFonts w:ascii="Calibri" w:hAnsi="Calibri"/>
          <w:b/>
          <w:sz w:val="24"/>
        </w:rPr>
        <w:t xml:space="preserve">over several years </w:t>
      </w:r>
      <w:r w:rsidRPr="004B2A73">
        <w:rPr>
          <w:rFonts w:ascii="Calibri" w:hAnsi="Calibri"/>
          <w:b/>
          <w:sz w:val="24"/>
        </w:rPr>
        <w:t xml:space="preserve">and </w:t>
      </w:r>
      <w:r w:rsidR="00BE27A7" w:rsidRPr="004B2A73">
        <w:rPr>
          <w:rFonts w:ascii="Calibri" w:hAnsi="Calibri"/>
          <w:b/>
          <w:sz w:val="24"/>
        </w:rPr>
        <w:t xml:space="preserve">its implementation appears imminent. </w:t>
      </w:r>
      <w:r w:rsidR="00FE048F" w:rsidRPr="004B2A73">
        <w:rPr>
          <w:rFonts w:ascii="Calibri" w:hAnsi="Calibri"/>
          <w:b/>
          <w:sz w:val="24"/>
        </w:rPr>
        <w:t xml:space="preserve"> </w:t>
      </w:r>
      <w:r w:rsidR="00FE048F" w:rsidRPr="004B2A73">
        <w:rPr>
          <w:rFonts w:ascii="Calibri" w:hAnsi="Calibri"/>
          <w:sz w:val="24"/>
        </w:rPr>
        <w:t xml:space="preserve">The </w:t>
      </w:r>
      <w:r w:rsidR="0070213C" w:rsidRPr="004B2A73">
        <w:rPr>
          <w:rFonts w:ascii="Calibri" w:hAnsi="Calibri"/>
          <w:sz w:val="24"/>
        </w:rPr>
        <w:t>increasing likelihood o</w:t>
      </w:r>
      <w:r w:rsidR="00FE048F" w:rsidRPr="004B2A73">
        <w:rPr>
          <w:rFonts w:ascii="Calibri" w:hAnsi="Calibri"/>
          <w:sz w:val="24"/>
        </w:rPr>
        <w:t xml:space="preserve">f </w:t>
      </w:r>
      <w:r w:rsidR="001145E7" w:rsidRPr="004B2A73">
        <w:rPr>
          <w:rFonts w:ascii="Calibri" w:hAnsi="Calibri"/>
          <w:sz w:val="24"/>
        </w:rPr>
        <w:t xml:space="preserve">one or more </w:t>
      </w:r>
      <w:r w:rsidR="00FE048F" w:rsidRPr="004B2A73">
        <w:rPr>
          <w:rFonts w:ascii="Calibri" w:hAnsi="Calibri"/>
          <w:sz w:val="24"/>
        </w:rPr>
        <w:t>hub</w:t>
      </w:r>
      <w:r w:rsidR="001145E7" w:rsidRPr="004B2A73">
        <w:rPr>
          <w:rFonts w:ascii="Calibri" w:hAnsi="Calibri"/>
          <w:sz w:val="24"/>
        </w:rPr>
        <w:t>s</w:t>
      </w:r>
      <w:r w:rsidR="00FE048F" w:rsidRPr="004B2A73">
        <w:rPr>
          <w:rFonts w:ascii="Calibri" w:hAnsi="Calibri"/>
          <w:sz w:val="24"/>
        </w:rPr>
        <w:t xml:space="preserve"> </w:t>
      </w:r>
      <w:r w:rsidR="009E2306" w:rsidRPr="004B2A73">
        <w:rPr>
          <w:rFonts w:ascii="Calibri" w:hAnsi="Calibri"/>
          <w:sz w:val="24"/>
        </w:rPr>
        <w:t xml:space="preserve">being established </w:t>
      </w:r>
      <w:r w:rsidR="001145E7" w:rsidRPr="004B2A73">
        <w:rPr>
          <w:rFonts w:ascii="Calibri" w:hAnsi="Calibri"/>
          <w:sz w:val="24"/>
        </w:rPr>
        <w:t xml:space="preserve">in West Africa may be attributed </w:t>
      </w:r>
      <w:r w:rsidR="00FE048F" w:rsidRPr="004B2A73">
        <w:rPr>
          <w:rFonts w:ascii="Calibri" w:hAnsi="Calibri"/>
          <w:sz w:val="24"/>
        </w:rPr>
        <w:t xml:space="preserve">to the increasing traffic on the Asia </w:t>
      </w:r>
      <w:r w:rsidR="00D73A1C" w:rsidRPr="004B2A73">
        <w:rPr>
          <w:rFonts w:ascii="Calibri" w:hAnsi="Calibri"/>
          <w:sz w:val="24"/>
        </w:rPr>
        <w:t xml:space="preserve">- </w:t>
      </w:r>
      <w:r w:rsidR="00FE048F" w:rsidRPr="004B2A73">
        <w:rPr>
          <w:rFonts w:ascii="Calibri" w:hAnsi="Calibri"/>
          <w:sz w:val="24"/>
        </w:rPr>
        <w:t>West Africa trade lane, the evolving strategies of shipping lines and the “cascading effect” of new post-panamax container vessels on East-West routes</w:t>
      </w:r>
      <w:r w:rsidR="00685F0E" w:rsidRPr="004B2A73">
        <w:rPr>
          <w:rFonts w:ascii="Calibri" w:hAnsi="Calibri"/>
          <w:sz w:val="24"/>
        </w:rPr>
        <w:t xml:space="preserve">.  The latter evolution has </w:t>
      </w:r>
      <w:r w:rsidR="00FE048F" w:rsidRPr="004B2A73">
        <w:rPr>
          <w:rFonts w:ascii="Calibri" w:hAnsi="Calibri"/>
          <w:sz w:val="24"/>
        </w:rPr>
        <w:t>push</w:t>
      </w:r>
      <w:r w:rsidR="00685F0E" w:rsidRPr="004B2A73">
        <w:rPr>
          <w:rFonts w:ascii="Calibri" w:hAnsi="Calibri"/>
          <w:sz w:val="24"/>
        </w:rPr>
        <w:t>ed</w:t>
      </w:r>
      <w:r w:rsidR="00FE048F" w:rsidRPr="004B2A73">
        <w:rPr>
          <w:rFonts w:ascii="Calibri" w:hAnsi="Calibri"/>
          <w:sz w:val="24"/>
        </w:rPr>
        <w:t xml:space="preserve"> larger ships </w:t>
      </w:r>
      <w:r w:rsidR="00AF263E" w:rsidRPr="004B2A73">
        <w:rPr>
          <w:rFonts w:ascii="Calibri" w:hAnsi="Calibri"/>
          <w:sz w:val="24"/>
        </w:rPr>
        <w:t>to</w:t>
      </w:r>
      <w:r w:rsidR="00FE048F" w:rsidRPr="004B2A73">
        <w:rPr>
          <w:rFonts w:ascii="Calibri" w:hAnsi="Calibri"/>
          <w:sz w:val="24"/>
        </w:rPr>
        <w:t xml:space="preserve"> North-South routes serving West Africa</w:t>
      </w:r>
      <w:r w:rsidR="00AF263E" w:rsidRPr="004B2A73">
        <w:rPr>
          <w:rFonts w:ascii="Calibri" w:hAnsi="Calibri"/>
          <w:sz w:val="24"/>
        </w:rPr>
        <w:t xml:space="preserve"> </w:t>
      </w:r>
      <w:r w:rsidR="004339FE" w:rsidRPr="004B2A73">
        <w:rPr>
          <w:rFonts w:ascii="Calibri" w:hAnsi="Calibri"/>
          <w:sz w:val="24"/>
        </w:rPr>
        <w:t xml:space="preserve">and created a requirement for ports </w:t>
      </w:r>
      <w:r w:rsidR="00FE048F" w:rsidRPr="004B2A73">
        <w:rPr>
          <w:rFonts w:ascii="Calibri" w:hAnsi="Calibri"/>
          <w:sz w:val="24"/>
        </w:rPr>
        <w:t xml:space="preserve">with sufficient capacity and draught to </w:t>
      </w:r>
      <w:r w:rsidR="00382B8A" w:rsidRPr="004B2A73">
        <w:rPr>
          <w:rFonts w:ascii="Calibri" w:hAnsi="Calibri"/>
          <w:sz w:val="24"/>
        </w:rPr>
        <w:t>handle</w:t>
      </w:r>
      <w:r w:rsidR="00FE048F" w:rsidRPr="004B2A73">
        <w:rPr>
          <w:rFonts w:ascii="Calibri" w:hAnsi="Calibri"/>
          <w:sz w:val="24"/>
        </w:rPr>
        <w:t xml:space="preserve"> these ships</w:t>
      </w:r>
      <w:r w:rsidR="00F4782F" w:rsidRPr="004B2A73">
        <w:rPr>
          <w:rFonts w:ascii="Calibri" w:hAnsi="Calibri"/>
          <w:sz w:val="24"/>
        </w:rPr>
        <w:t xml:space="preserve">.  </w:t>
      </w:r>
      <w:r w:rsidR="006615DA" w:rsidRPr="004B2A73">
        <w:rPr>
          <w:rFonts w:ascii="Calibri" w:hAnsi="Calibri"/>
          <w:sz w:val="24"/>
          <w:lang w:val="en-GB"/>
        </w:rPr>
        <w:t>Identification</w:t>
      </w:r>
      <w:r w:rsidR="009658CA" w:rsidRPr="004B2A73">
        <w:rPr>
          <w:rFonts w:ascii="Calibri" w:hAnsi="Calibri"/>
          <w:sz w:val="24"/>
          <w:lang w:val="en-GB"/>
        </w:rPr>
        <w:t xml:space="preserve"> of a </w:t>
      </w:r>
      <w:r w:rsidR="00AB3971" w:rsidRPr="004B2A73">
        <w:rPr>
          <w:rFonts w:ascii="Calibri" w:hAnsi="Calibri"/>
          <w:sz w:val="24"/>
          <w:lang w:val="en-GB"/>
        </w:rPr>
        <w:t xml:space="preserve">suitable base </w:t>
      </w:r>
      <w:r w:rsidR="009658CA" w:rsidRPr="004B2A73">
        <w:rPr>
          <w:rFonts w:ascii="Calibri" w:hAnsi="Calibri"/>
          <w:sz w:val="24"/>
          <w:lang w:val="en-GB"/>
        </w:rPr>
        <w:t>port in West Africa ha</w:t>
      </w:r>
      <w:r w:rsidR="006615DA" w:rsidRPr="004B2A73">
        <w:rPr>
          <w:rFonts w:ascii="Calibri" w:hAnsi="Calibri"/>
          <w:sz w:val="24"/>
          <w:lang w:val="en-GB"/>
        </w:rPr>
        <w:t>s</w:t>
      </w:r>
      <w:r w:rsidR="009658CA" w:rsidRPr="004B2A73">
        <w:rPr>
          <w:rFonts w:ascii="Calibri" w:hAnsi="Calibri"/>
          <w:sz w:val="24"/>
          <w:lang w:val="en-GB"/>
        </w:rPr>
        <w:t xml:space="preserve"> been under consideration by </w:t>
      </w:r>
      <w:r w:rsidR="00ED52F1" w:rsidRPr="004B2A73">
        <w:rPr>
          <w:rFonts w:ascii="Calibri" w:hAnsi="Calibri"/>
          <w:sz w:val="24"/>
          <w:lang w:val="en-GB"/>
        </w:rPr>
        <w:t xml:space="preserve">both </w:t>
      </w:r>
      <w:r w:rsidR="009658CA" w:rsidRPr="004B2A73">
        <w:rPr>
          <w:rFonts w:ascii="Calibri" w:hAnsi="Calibri"/>
          <w:sz w:val="24"/>
          <w:lang w:val="en-GB"/>
        </w:rPr>
        <w:t>CMA-CGM and MSC</w:t>
      </w:r>
      <w:r w:rsidR="002C0C66" w:rsidRPr="004B2A73">
        <w:rPr>
          <w:rFonts w:ascii="Calibri" w:hAnsi="Calibri"/>
          <w:sz w:val="24"/>
          <w:lang w:val="en-GB"/>
        </w:rPr>
        <w:t>, the two mai</w:t>
      </w:r>
      <w:r w:rsidR="00460132" w:rsidRPr="004B2A73">
        <w:rPr>
          <w:rFonts w:ascii="Calibri" w:hAnsi="Calibri"/>
          <w:sz w:val="24"/>
          <w:lang w:val="en-GB"/>
        </w:rPr>
        <w:t>n</w:t>
      </w:r>
      <w:r w:rsidR="002C0C66" w:rsidRPr="004B2A73">
        <w:rPr>
          <w:rFonts w:ascii="Calibri" w:hAnsi="Calibri"/>
          <w:sz w:val="24"/>
          <w:lang w:val="en-GB"/>
        </w:rPr>
        <w:t xml:space="preserve"> shipping lines serving West Africa,</w:t>
      </w:r>
      <w:r w:rsidR="009658CA" w:rsidRPr="004B2A73">
        <w:rPr>
          <w:rFonts w:ascii="Calibri" w:hAnsi="Calibri"/>
          <w:sz w:val="24"/>
          <w:lang w:val="en-GB"/>
        </w:rPr>
        <w:t xml:space="preserve"> for several years. In </w:t>
      </w:r>
      <w:r w:rsidR="00AB3971" w:rsidRPr="004B2A73">
        <w:rPr>
          <w:rFonts w:ascii="Calibri" w:hAnsi="Calibri"/>
          <w:sz w:val="24"/>
          <w:lang w:val="en-GB"/>
        </w:rPr>
        <w:t xml:space="preserve">2008, </w:t>
      </w:r>
      <w:r w:rsidR="005D1091" w:rsidRPr="004B2A73">
        <w:rPr>
          <w:rFonts w:ascii="Calibri" w:hAnsi="Calibri"/>
          <w:sz w:val="24"/>
          <w:lang w:val="en-GB"/>
        </w:rPr>
        <w:t xml:space="preserve">MSC reached </w:t>
      </w:r>
      <w:r w:rsidR="00AB3971" w:rsidRPr="004B2A73">
        <w:rPr>
          <w:rFonts w:ascii="Calibri" w:hAnsi="Calibri"/>
          <w:sz w:val="24"/>
          <w:lang w:val="en-GB"/>
        </w:rPr>
        <w:t xml:space="preserve">agreement </w:t>
      </w:r>
      <w:r w:rsidR="005D1091" w:rsidRPr="004B2A73">
        <w:rPr>
          <w:rFonts w:ascii="Calibri" w:hAnsi="Calibri"/>
          <w:sz w:val="24"/>
          <w:lang w:val="en-GB"/>
        </w:rPr>
        <w:t xml:space="preserve">with </w:t>
      </w:r>
      <w:r w:rsidR="009658CA" w:rsidRPr="004B2A73">
        <w:rPr>
          <w:rFonts w:ascii="Calibri" w:hAnsi="Calibri"/>
          <w:sz w:val="24"/>
          <w:lang w:val="en-GB"/>
        </w:rPr>
        <w:t xml:space="preserve">the port of San Pedro </w:t>
      </w:r>
      <w:r w:rsidR="00E35191" w:rsidRPr="004B2A73">
        <w:rPr>
          <w:rFonts w:ascii="Calibri" w:hAnsi="Calibri"/>
          <w:sz w:val="24"/>
          <w:lang w:val="en-GB"/>
        </w:rPr>
        <w:t>confirming its intentions to d</w:t>
      </w:r>
      <w:r w:rsidR="005D1091" w:rsidRPr="004B2A73">
        <w:rPr>
          <w:rFonts w:ascii="Calibri" w:hAnsi="Calibri"/>
          <w:sz w:val="24"/>
          <w:lang w:val="en-GB"/>
        </w:rPr>
        <w:t xml:space="preserve">evelop the port as </w:t>
      </w:r>
      <w:r w:rsidR="009658CA" w:rsidRPr="004B2A73">
        <w:rPr>
          <w:rFonts w:ascii="Calibri" w:hAnsi="Calibri"/>
          <w:sz w:val="24"/>
          <w:lang w:val="en-GB"/>
        </w:rPr>
        <w:t xml:space="preserve">MSC’s West Africa hub. However, with the uncertainties of the situation in Cote d’Ivoire and the limited cargo base of San Pedro, MSC </w:t>
      </w:r>
      <w:r w:rsidR="00F27FA6" w:rsidRPr="004B2A73">
        <w:rPr>
          <w:rFonts w:ascii="Calibri" w:hAnsi="Calibri"/>
          <w:sz w:val="24"/>
          <w:lang w:val="en-GB"/>
        </w:rPr>
        <w:t xml:space="preserve">continued </w:t>
      </w:r>
      <w:r w:rsidR="00E35191" w:rsidRPr="004B2A73">
        <w:rPr>
          <w:rFonts w:ascii="Calibri" w:hAnsi="Calibri"/>
          <w:sz w:val="24"/>
          <w:lang w:val="en-GB"/>
        </w:rPr>
        <w:t xml:space="preserve">to explore and in 2011 </w:t>
      </w:r>
      <w:r w:rsidR="00F27FA6" w:rsidRPr="004B2A73">
        <w:rPr>
          <w:rFonts w:ascii="Calibri" w:hAnsi="Calibri"/>
          <w:sz w:val="24"/>
          <w:lang w:val="en-GB"/>
        </w:rPr>
        <w:t xml:space="preserve">settled on </w:t>
      </w:r>
      <w:r w:rsidR="00C922CA">
        <w:rPr>
          <w:rFonts w:ascii="Calibri" w:hAnsi="Calibri"/>
          <w:sz w:val="24"/>
          <w:lang w:val="en-GB"/>
        </w:rPr>
        <w:t>Lomé</w:t>
      </w:r>
      <w:r w:rsidR="009658CA" w:rsidRPr="004B2A73">
        <w:rPr>
          <w:rFonts w:ascii="Calibri" w:hAnsi="Calibri"/>
          <w:sz w:val="24"/>
          <w:lang w:val="en-GB"/>
        </w:rPr>
        <w:t xml:space="preserve"> </w:t>
      </w:r>
      <w:r w:rsidR="00AD2BB4" w:rsidRPr="004B2A73">
        <w:rPr>
          <w:rFonts w:ascii="Calibri" w:hAnsi="Calibri"/>
          <w:sz w:val="24"/>
          <w:lang w:val="en-GB"/>
        </w:rPr>
        <w:t>as its choice for a hub in West Africa</w:t>
      </w:r>
      <w:r w:rsidR="009658CA" w:rsidRPr="004B2A73">
        <w:rPr>
          <w:rFonts w:ascii="Calibri" w:hAnsi="Calibri"/>
          <w:sz w:val="24"/>
          <w:lang w:val="en-GB"/>
        </w:rPr>
        <w:t xml:space="preserve">. </w:t>
      </w:r>
      <w:r w:rsidR="00344EA1" w:rsidRPr="004B2A73">
        <w:rPr>
          <w:rFonts w:ascii="Calibri" w:hAnsi="Calibri"/>
          <w:sz w:val="24"/>
          <w:lang w:val="en-GB"/>
        </w:rPr>
        <w:t xml:space="preserve">CMA-CGM had also identified </w:t>
      </w:r>
      <w:r w:rsidR="00C922CA">
        <w:rPr>
          <w:rFonts w:ascii="Calibri" w:hAnsi="Calibri"/>
          <w:sz w:val="24"/>
          <w:lang w:val="en-GB"/>
        </w:rPr>
        <w:t>Lomé</w:t>
      </w:r>
      <w:r w:rsidR="00344EA1" w:rsidRPr="004B2A73">
        <w:rPr>
          <w:rFonts w:ascii="Calibri" w:hAnsi="Calibri"/>
          <w:sz w:val="24"/>
          <w:lang w:val="en-GB"/>
        </w:rPr>
        <w:t xml:space="preserve">’s potential </w:t>
      </w:r>
      <w:r w:rsidR="008D1E64" w:rsidRPr="004B2A73">
        <w:rPr>
          <w:rFonts w:ascii="Calibri" w:hAnsi="Calibri"/>
          <w:sz w:val="24"/>
          <w:lang w:val="en-GB"/>
        </w:rPr>
        <w:t xml:space="preserve">in the past </w:t>
      </w:r>
      <w:r w:rsidR="00771AC2" w:rsidRPr="004B2A73">
        <w:rPr>
          <w:rFonts w:ascii="Calibri" w:hAnsi="Calibri"/>
          <w:sz w:val="24"/>
          <w:lang w:val="en-GB"/>
        </w:rPr>
        <w:t>a</w:t>
      </w:r>
      <w:r w:rsidR="00267761" w:rsidRPr="004B2A73">
        <w:rPr>
          <w:rFonts w:ascii="Calibri" w:hAnsi="Calibri"/>
          <w:sz w:val="24"/>
          <w:lang w:val="en-GB"/>
        </w:rPr>
        <w:t>long with that of Sao Tome and Principe</w:t>
      </w:r>
      <w:r w:rsidR="005304E9" w:rsidRPr="004B2A73">
        <w:rPr>
          <w:rFonts w:ascii="Calibri" w:hAnsi="Calibri"/>
          <w:sz w:val="24"/>
          <w:lang w:val="en-GB"/>
        </w:rPr>
        <w:t xml:space="preserve">. </w:t>
      </w:r>
      <w:r w:rsidR="006C1F6E" w:rsidRPr="004B2A73">
        <w:rPr>
          <w:rFonts w:ascii="Calibri" w:hAnsi="Calibri"/>
          <w:sz w:val="24"/>
          <w:lang w:val="en-GB"/>
        </w:rPr>
        <w:t>The</w:t>
      </w:r>
      <w:r w:rsidR="00F44337" w:rsidRPr="004B2A73">
        <w:rPr>
          <w:rFonts w:ascii="Calibri" w:hAnsi="Calibri"/>
          <w:sz w:val="24"/>
          <w:lang w:val="en-GB"/>
        </w:rPr>
        <w:t xml:space="preserve">se </w:t>
      </w:r>
      <w:r w:rsidR="00C922CA" w:rsidRPr="004B2A73">
        <w:rPr>
          <w:rFonts w:ascii="Calibri" w:hAnsi="Calibri"/>
          <w:sz w:val="24"/>
          <w:lang w:val="en-GB"/>
        </w:rPr>
        <w:t>on-going</w:t>
      </w:r>
      <w:r w:rsidR="00F44337" w:rsidRPr="004B2A73">
        <w:rPr>
          <w:rFonts w:ascii="Calibri" w:hAnsi="Calibri"/>
          <w:sz w:val="24"/>
          <w:lang w:val="en-GB"/>
        </w:rPr>
        <w:t xml:space="preserve"> quests by shipping lines </w:t>
      </w:r>
      <w:r w:rsidR="00544935" w:rsidRPr="004B2A73">
        <w:rPr>
          <w:rFonts w:ascii="Calibri" w:hAnsi="Calibri"/>
          <w:sz w:val="24"/>
          <w:lang w:val="en-GB"/>
        </w:rPr>
        <w:t xml:space="preserve">have </w:t>
      </w:r>
      <w:r w:rsidR="00CA1245" w:rsidRPr="004B2A73">
        <w:rPr>
          <w:rFonts w:ascii="Calibri" w:hAnsi="Calibri"/>
          <w:sz w:val="24"/>
          <w:lang w:val="en-GB"/>
        </w:rPr>
        <w:t xml:space="preserve">long </w:t>
      </w:r>
      <w:r w:rsidR="00544935" w:rsidRPr="004B2A73">
        <w:rPr>
          <w:rFonts w:ascii="Calibri" w:hAnsi="Calibri"/>
          <w:sz w:val="24"/>
          <w:lang w:val="en-GB"/>
        </w:rPr>
        <w:t>fuell</w:t>
      </w:r>
      <w:r w:rsidR="00CA1245" w:rsidRPr="004B2A73">
        <w:rPr>
          <w:rFonts w:ascii="Calibri" w:hAnsi="Calibri"/>
          <w:sz w:val="24"/>
          <w:lang w:val="en-GB"/>
        </w:rPr>
        <w:t xml:space="preserve">ed </w:t>
      </w:r>
      <w:r w:rsidR="00544935" w:rsidRPr="004B2A73">
        <w:rPr>
          <w:rFonts w:ascii="Calibri" w:hAnsi="Calibri"/>
          <w:sz w:val="24"/>
          <w:lang w:val="en-GB"/>
        </w:rPr>
        <w:t xml:space="preserve">national desires to be the “chosen” ones.  </w:t>
      </w:r>
      <w:r w:rsidR="00E057F4" w:rsidRPr="004B2A73">
        <w:rPr>
          <w:rFonts w:ascii="Calibri" w:hAnsi="Calibri"/>
          <w:sz w:val="24"/>
          <w:lang w:val="en-GB"/>
        </w:rPr>
        <w:t>CMA-CGM’</w:t>
      </w:r>
      <w:r w:rsidR="0071624B" w:rsidRPr="004B2A73">
        <w:rPr>
          <w:rFonts w:ascii="Calibri" w:hAnsi="Calibri"/>
          <w:sz w:val="24"/>
          <w:lang w:val="en-GB"/>
        </w:rPr>
        <w:t xml:space="preserve">s hunt </w:t>
      </w:r>
      <w:r w:rsidR="004910F2" w:rsidRPr="004B2A73">
        <w:rPr>
          <w:rFonts w:ascii="Calibri" w:hAnsi="Calibri"/>
          <w:sz w:val="24"/>
          <w:lang w:val="en-GB"/>
        </w:rPr>
        <w:t xml:space="preserve">for a suitable hub port </w:t>
      </w:r>
      <w:r w:rsidR="00E057F4" w:rsidRPr="004B2A73">
        <w:rPr>
          <w:rFonts w:ascii="Calibri" w:hAnsi="Calibri"/>
          <w:sz w:val="24"/>
          <w:lang w:val="en-GB"/>
        </w:rPr>
        <w:t xml:space="preserve">appears to </w:t>
      </w:r>
      <w:r w:rsidR="00791BEA" w:rsidRPr="004B2A73">
        <w:rPr>
          <w:rFonts w:ascii="Calibri" w:hAnsi="Calibri"/>
          <w:sz w:val="24"/>
          <w:lang w:val="en-GB"/>
        </w:rPr>
        <w:t xml:space="preserve">now </w:t>
      </w:r>
      <w:r w:rsidR="00E057F4" w:rsidRPr="004B2A73">
        <w:rPr>
          <w:rFonts w:ascii="Calibri" w:hAnsi="Calibri"/>
          <w:sz w:val="24"/>
          <w:lang w:val="en-GB"/>
        </w:rPr>
        <w:t xml:space="preserve">be over with the </w:t>
      </w:r>
      <w:r w:rsidR="009658CA" w:rsidRPr="004B2A73">
        <w:rPr>
          <w:rFonts w:ascii="Calibri" w:hAnsi="Calibri"/>
          <w:sz w:val="24"/>
          <w:lang w:val="en-GB"/>
        </w:rPr>
        <w:t>purchase</w:t>
      </w:r>
      <w:r w:rsidR="00E057F4" w:rsidRPr="004B2A73">
        <w:rPr>
          <w:rFonts w:ascii="Calibri" w:hAnsi="Calibri"/>
          <w:sz w:val="24"/>
          <w:lang w:val="en-GB"/>
        </w:rPr>
        <w:t xml:space="preserve"> of a </w:t>
      </w:r>
      <w:r w:rsidR="009658CA" w:rsidRPr="004B2A73">
        <w:rPr>
          <w:rFonts w:ascii="Calibri" w:hAnsi="Calibri"/>
          <w:sz w:val="24"/>
          <w:lang w:val="en-GB"/>
        </w:rPr>
        <w:t>stake from ICTSI</w:t>
      </w:r>
      <w:r w:rsidR="003E02B3">
        <w:rPr>
          <w:rFonts w:ascii="Calibri" w:hAnsi="Calibri"/>
          <w:sz w:val="24"/>
          <w:lang w:val="en-GB"/>
        </w:rPr>
        <w:t xml:space="preserve"> (International Container Terminal Services)</w:t>
      </w:r>
      <w:r w:rsidR="009658CA" w:rsidRPr="004B2A73">
        <w:rPr>
          <w:rFonts w:ascii="Calibri" w:hAnsi="Calibri"/>
          <w:sz w:val="24"/>
          <w:lang w:val="en-GB"/>
        </w:rPr>
        <w:t xml:space="preserve"> in the port of Lekki</w:t>
      </w:r>
      <w:r w:rsidR="00E057F4" w:rsidRPr="004B2A73">
        <w:rPr>
          <w:rFonts w:ascii="Calibri" w:hAnsi="Calibri"/>
          <w:sz w:val="24"/>
          <w:lang w:val="en-GB"/>
        </w:rPr>
        <w:t xml:space="preserve">, </w:t>
      </w:r>
      <w:r w:rsidR="009658CA" w:rsidRPr="004B2A73">
        <w:rPr>
          <w:rFonts w:ascii="Calibri" w:hAnsi="Calibri"/>
          <w:sz w:val="24"/>
          <w:lang w:val="en-GB"/>
        </w:rPr>
        <w:t>Nigeria</w:t>
      </w:r>
      <w:r w:rsidR="00E057F4" w:rsidRPr="004B2A73">
        <w:rPr>
          <w:rFonts w:ascii="Calibri" w:hAnsi="Calibri"/>
          <w:sz w:val="24"/>
          <w:lang w:val="en-GB"/>
        </w:rPr>
        <w:t xml:space="preserve">, which is </w:t>
      </w:r>
      <w:r w:rsidR="009658CA" w:rsidRPr="004B2A73">
        <w:rPr>
          <w:rFonts w:ascii="Calibri" w:hAnsi="Calibri"/>
          <w:sz w:val="24"/>
          <w:lang w:val="en-GB"/>
        </w:rPr>
        <w:t xml:space="preserve">likely to become </w:t>
      </w:r>
      <w:r w:rsidR="0071624B" w:rsidRPr="004B2A73">
        <w:rPr>
          <w:rFonts w:ascii="Calibri" w:hAnsi="Calibri"/>
          <w:sz w:val="24"/>
          <w:lang w:val="en-GB"/>
        </w:rPr>
        <w:t>the shipping line’s W</w:t>
      </w:r>
      <w:r w:rsidR="00A67235" w:rsidRPr="004B2A73">
        <w:rPr>
          <w:rFonts w:ascii="Calibri" w:hAnsi="Calibri"/>
          <w:sz w:val="24"/>
          <w:lang w:val="en-GB"/>
        </w:rPr>
        <w:t xml:space="preserve">est Africa </w:t>
      </w:r>
      <w:r w:rsidR="009658CA" w:rsidRPr="004B2A73">
        <w:rPr>
          <w:rFonts w:ascii="Calibri" w:hAnsi="Calibri"/>
          <w:sz w:val="24"/>
          <w:lang w:val="en-GB"/>
        </w:rPr>
        <w:t xml:space="preserve">hub when it opens. </w:t>
      </w:r>
      <w:r w:rsidR="00191948" w:rsidRPr="004B2A73">
        <w:rPr>
          <w:rFonts w:ascii="Calibri" w:hAnsi="Calibri"/>
          <w:sz w:val="24"/>
          <w:lang w:val="en-GB"/>
        </w:rPr>
        <w:t xml:space="preserve">Despite the selection of </w:t>
      </w:r>
      <w:r w:rsidR="00C922CA">
        <w:rPr>
          <w:rFonts w:ascii="Calibri" w:hAnsi="Calibri"/>
          <w:sz w:val="24"/>
          <w:lang w:val="en-GB"/>
        </w:rPr>
        <w:t>Lomé</w:t>
      </w:r>
      <w:r w:rsidR="00191948" w:rsidRPr="004B2A73">
        <w:rPr>
          <w:rFonts w:ascii="Calibri" w:hAnsi="Calibri"/>
          <w:sz w:val="24"/>
          <w:lang w:val="en-GB"/>
        </w:rPr>
        <w:t xml:space="preserve"> </w:t>
      </w:r>
      <w:r w:rsidR="00726841" w:rsidRPr="004B2A73">
        <w:rPr>
          <w:rFonts w:ascii="Calibri" w:hAnsi="Calibri"/>
          <w:sz w:val="24"/>
          <w:lang w:val="en-GB"/>
        </w:rPr>
        <w:t>as</w:t>
      </w:r>
      <w:r w:rsidR="00CD5F03" w:rsidRPr="004B2A73">
        <w:rPr>
          <w:rFonts w:ascii="Calibri" w:hAnsi="Calibri"/>
          <w:sz w:val="24"/>
          <w:lang w:val="en-GB"/>
        </w:rPr>
        <w:t xml:space="preserve"> a potential hub, </w:t>
      </w:r>
      <w:r w:rsidR="00191948" w:rsidRPr="004B2A73">
        <w:rPr>
          <w:rFonts w:ascii="Calibri" w:hAnsi="Calibri"/>
          <w:sz w:val="24"/>
          <w:lang w:val="en-GB"/>
        </w:rPr>
        <w:t xml:space="preserve">Maersk retains flexibility </w:t>
      </w:r>
      <w:r w:rsidR="009658CA" w:rsidRPr="004B2A73">
        <w:rPr>
          <w:rFonts w:ascii="Calibri" w:hAnsi="Calibri"/>
          <w:sz w:val="24"/>
          <w:lang w:val="en-GB"/>
        </w:rPr>
        <w:t xml:space="preserve">in </w:t>
      </w:r>
      <w:r w:rsidR="00DF07F7" w:rsidRPr="004B2A73">
        <w:rPr>
          <w:rFonts w:ascii="Calibri" w:hAnsi="Calibri"/>
          <w:sz w:val="24"/>
          <w:lang w:val="en-GB"/>
        </w:rPr>
        <w:t>finalising its selection</w:t>
      </w:r>
      <w:r w:rsidR="009658CA" w:rsidRPr="004B2A73">
        <w:rPr>
          <w:rFonts w:ascii="Calibri" w:hAnsi="Calibri"/>
          <w:sz w:val="24"/>
          <w:lang w:val="en-GB"/>
        </w:rPr>
        <w:t xml:space="preserve"> </w:t>
      </w:r>
      <w:r w:rsidR="00DF07F7" w:rsidRPr="004B2A73">
        <w:rPr>
          <w:rFonts w:ascii="Calibri" w:hAnsi="Calibri"/>
          <w:sz w:val="24"/>
          <w:lang w:val="en-GB"/>
        </w:rPr>
        <w:t xml:space="preserve">given its involvement, </w:t>
      </w:r>
      <w:r w:rsidR="009658CA" w:rsidRPr="004B2A73">
        <w:rPr>
          <w:rFonts w:ascii="Calibri" w:hAnsi="Calibri"/>
          <w:sz w:val="24"/>
          <w:lang w:val="en-GB"/>
        </w:rPr>
        <w:t>through its subsidiary APM Terminals</w:t>
      </w:r>
      <w:r w:rsidR="00DF07F7" w:rsidRPr="004B2A73">
        <w:rPr>
          <w:rFonts w:ascii="Calibri" w:hAnsi="Calibri"/>
          <w:sz w:val="24"/>
          <w:lang w:val="en-GB"/>
        </w:rPr>
        <w:t>,</w:t>
      </w:r>
      <w:r w:rsidR="009658CA" w:rsidRPr="004B2A73">
        <w:rPr>
          <w:rFonts w:ascii="Calibri" w:hAnsi="Calibri"/>
          <w:sz w:val="24"/>
          <w:lang w:val="en-GB"/>
        </w:rPr>
        <w:t xml:space="preserve"> in several major ports: Abidjan, Tema, Lagos Apapa, and soon</w:t>
      </w:r>
      <w:r w:rsidR="00A67235" w:rsidRPr="004B2A73">
        <w:rPr>
          <w:rFonts w:ascii="Calibri" w:hAnsi="Calibri"/>
          <w:sz w:val="24"/>
          <w:lang w:val="en-GB"/>
        </w:rPr>
        <w:t>,</w:t>
      </w:r>
      <w:r w:rsidR="009658CA" w:rsidRPr="004B2A73">
        <w:rPr>
          <w:rFonts w:ascii="Calibri" w:hAnsi="Calibri"/>
          <w:sz w:val="24"/>
          <w:lang w:val="en-GB"/>
        </w:rPr>
        <w:t xml:space="preserve"> Badagry in Nigeria.</w:t>
      </w:r>
      <w:r w:rsidR="00FB6822" w:rsidRPr="004B2A73">
        <w:rPr>
          <w:rFonts w:ascii="Calibri" w:hAnsi="Calibri"/>
          <w:sz w:val="24"/>
          <w:lang w:val="en-GB"/>
        </w:rPr>
        <w:t xml:space="preserve"> </w:t>
      </w:r>
      <w:r w:rsidR="003F154D" w:rsidRPr="004B2A73">
        <w:rPr>
          <w:rFonts w:ascii="Calibri" w:hAnsi="Calibri"/>
          <w:sz w:val="24"/>
          <w:lang w:val="en-GB"/>
        </w:rPr>
        <w:t xml:space="preserve">Once confirmed, the sub-regional hubs are expected </w:t>
      </w:r>
      <w:r w:rsidR="00726841" w:rsidRPr="004B2A73">
        <w:rPr>
          <w:rFonts w:ascii="Calibri" w:hAnsi="Calibri"/>
          <w:sz w:val="24"/>
          <w:lang w:val="en-GB"/>
        </w:rPr>
        <w:t xml:space="preserve">to </w:t>
      </w:r>
      <w:r w:rsidR="003F154D" w:rsidRPr="004B2A73">
        <w:rPr>
          <w:rFonts w:ascii="Calibri" w:hAnsi="Calibri"/>
          <w:sz w:val="24"/>
          <w:lang w:val="en-GB"/>
        </w:rPr>
        <w:t xml:space="preserve"> </w:t>
      </w:r>
      <w:r w:rsidR="00FE048F" w:rsidRPr="004B2A73">
        <w:rPr>
          <w:rFonts w:ascii="Calibri" w:hAnsi="Calibri"/>
          <w:sz w:val="24"/>
        </w:rPr>
        <w:t xml:space="preserve"> handle cargo between West Africa and large transshipment platforms in North Africa, with other </w:t>
      </w:r>
      <w:r w:rsidR="002C3258" w:rsidRPr="004B2A73">
        <w:rPr>
          <w:rFonts w:ascii="Calibri" w:hAnsi="Calibri"/>
          <w:sz w:val="24"/>
        </w:rPr>
        <w:lastRenderedPageBreak/>
        <w:t xml:space="preserve">sub-regional </w:t>
      </w:r>
      <w:r w:rsidR="00FE048F" w:rsidRPr="004B2A73">
        <w:rPr>
          <w:rFonts w:ascii="Calibri" w:hAnsi="Calibri"/>
          <w:sz w:val="24"/>
        </w:rPr>
        <w:t xml:space="preserve">ports increasingly served by feeder </w:t>
      </w:r>
      <w:r w:rsidR="00382B8A" w:rsidRPr="004B2A73">
        <w:rPr>
          <w:rFonts w:ascii="Calibri" w:hAnsi="Calibri"/>
          <w:sz w:val="24"/>
        </w:rPr>
        <w:t xml:space="preserve">lines </w:t>
      </w:r>
      <w:r w:rsidR="00FE048F" w:rsidRPr="004B2A73">
        <w:rPr>
          <w:rFonts w:ascii="Calibri" w:hAnsi="Calibri"/>
          <w:sz w:val="24"/>
        </w:rPr>
        <w:t xml:space="preserve">(USAID 2005, AICD 2009, Brooks et al. 2014). </w:t>
      </w:r>
    </w:p>
    <w:p w14:paraId="503522BF" w14:textId="77777777" w:rsidR="00C5665C" w:rsidRPr="004B2A73" w:rsidRDefault="00C5665C" w:rsidP="00401002">
      <w:pPr>
        <w:pStyle w:val="ListParagraph"/>
        <w:spacing w:after="0"/>
        <w:ind w:left="0"/>
        <w:rPr>
          <w:rFonts w:ascii="Calibri" w:hAnsi="Calibri"/>
          <w:sz w:val="24"/>
          <w:lang w:val="en-GB"/>
        </w:rPr>
      </w:pPr>
    </w:p>
    <w:p w14:paraId="2182E8F5" w14:textId="77777777" w:rsidR="00B471EF" w:rsidRDefault="0073316F"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Coordinated development of gateway ports could help resolve the problem of an efficient port system in West Africa provided inland infrastructure and bureaucratic facilitation issues are adequately addressed.  </w:t>
      </w:r>
      <w:r w:rsidR="00BB25F8" w:rsidRPr="004B2A73">
        <w:rPr>
          <w:rFonts w:ascii="Calibri" w:hAnsi="Calibri"/>
          <w:sz w:val="24"/>
        </w:rPr>
        <w:t xml:space="preserve">Container demand can originate from two different sources: inland, for gateway ports, and at sea, for transshipment hubs (see Box 1). Large gateway ports must draw traffic from a large hinterland, which, considering the size of the economies in West Africa, means that this hinterland must extend beyond the confines of the coastal country in which the gateway is located. Facilitating trade and transport on the landside will therefore be essential to support large gateway ports. This would require (i) changing policies, regulations and behaviors to lift obstacles to cross-border trade and investment, as well as (ii) improving land transport networks through investment in road infrastructure, development of railways along major corridors, establishment of inland logistics platforms, etc. (Alix 2015). Transshipment hubs require the long-term commitment of a shipping line to be viable. Usually, that commitment takes the form of large investments sunk into the development of the facility, and the choice of the regional hub </w:t>
      </w:r>
      <w:r w:rsidR="00517B62" w:rsidRPr="004B2A73">
        <w:rPr>
          <w:rFonts w:ascii="Calibri" w:hAnsi="Calibri"/>
          <w:sz w:val="24"/>
        </w:rPr>
        <w:t xml:space="preserve">normally </w:t>
      </w:r>
      <w:r w:rsidR="00BB25F8" w:rsidRPr="004B2A73">
        <w:rPr>
          <w:rFonts w:ascii="Calibri" w:hAnsi="Calibri"/>
          <w:sz w:val="24"/>
        </w:rPr>
        <w:t>defines the structure of the liner network for the entire region.</w:t>
      </w:r>
    </w:p>
    <w:p w14:paraId="7E5C2C05" w14:textId="1A528F5C" w:rsidR="00916940" w:rsidRPr="004B2A73" w:rsidRDefault="00916940" w:rsidP="00AF4733">
      <w:pPr>
        <w:pStyle w:val="ListParagraph"/>
        <w:spacing w:after="0"/>
        <w:ind w:left="0"/>
        <w:jc w:val="both"/>
        <w:rPr>
          <w:rFonts w:ascii="Calibri" w:hAnsi="Calibri"/>
          <w:sz w:val="24"/>
        </w:rPr>
      </w:pPr>
    </w:p>
    <w:p w14:paraId="362FC43D" w14:textId="77777777" w:rsidR="00B471EF" w:rsidRPr="004B2A73" w:rsidRDefault="00B471EF" w:rsidP="00B471EF">
      <w:pPr>
        <w:pStyle w:val="ListParagraph"/>
        <w:spacing w:after="0"/>
        <w:ind w:left="0"/>
        <w:rPr>
          <w:rFonts w:ascii="Calibri" w:hAnsi="Calibri"/>
          <w:sz w:val="24"/>
        </w:rPr>
      </w:pPr>
    </w:p>
    <w:p w14:paraId="61882BB4" w14:textId="77777777" w:rsidR="00BB25F8" w:rsidRPr="004B2A73" w:rsidRDefault="00BB25F8" w:rsidP="00BB25F8">
      <w:pPr>
        <w:pStyle w:val="ListParagraph"/>
        <w:spacing w:after="0"/>
        <w:ind w:left="0"/>
        <w:rPr>
          <w:rFonts w:ascii="Calibri" w:hAnsi="Calibri"/>
          <w:b/>
          <w:sz w:val="24"/>
        </w:rPr>
      </w:pPr>
    </w:p>
    <w:p w14:paraId="40018689" w14:textId="77777777" w:rsidR="00420426" w:rsidRPr="004B2A73" w:rsidRDefault="00420426" w:rsidP="00BB25F8">
      <w:pPr>
        <w:pStyle w:val="ListParagraph"/>
        <w:spacing w:after="0"/>
        <w:ind w:left="0"/>
        <w:rPr>
          <w:rFonts w:ascii="Calibri" w:hAnsi="Calibri"/>
          <w:b/>
          <w:sz w:val="24"/>
        </w:rPr>
      </w:pPr>
    </w:p>
    <w:p w14:paraId="15931010" w14:textId="77777777" w:rsidR="00BB25F8" w:rsidRPr="004B2A73" w:rsidRDefault="00BB25F8" w:rsidP="00BB25F8">
      <w:pPr>
        <w:rPr>
          <w:rFonts w:ascii="Calibri" w:hAnsi="Calibri"/>
          <w:sz w:val="24"/>
        </w:rPr>
      </w:pPr>
    </w:p>
    <w:p w14:paraId="45DBE491" w14:textId="77777777" w:rsidR="005731B5" w:rsidRPr="004B2A73" w:rsidRDefault="005731B5">
      <w:pPr>
        <w:rPr>
          <w:rFonts w:ascii="Calibri" w:hAnsi="Calibri"/>
          <w:b/>
          <w:sz w:val="24"/>
        </w:rPr>
      </w:pPr>
      <w:r w:rsidRPr="004B2A73">
        <w:rPr>
          <w:rFonts w:ascii="Calibri" w:hAnsi="Calibri"/>
          <w:b/>
          <w:sz w:val="24"/>
        </w:rPr>
        <w:br w:type="page"/>
      </w:r>
    </w:p>
    <w:p w14:paraId="1FDC75B4" w14:textId="7A51457D" w:rsidR="00E4603A" w:rsidRDefault="00390CC9" w:rsidP="006161AC">
      <w:pPr>
        <w:pStyle w:val="Heading1"/>
        <w:rPr>
          <w:rFonts w:asciiTheme="minorHAnsi" w:hAnsiTheme="minorHAnsi" w:cstheme="minorHAnsi"/>
          <w:sz w:val="32"/>
          <w:szCs w:val="32"/>
        </w:rPr>
      </w:pPr>
      <w:bookmarkStart w:id="22" w:name="_Toc485381990"/>
      <w:r w:rsidRPr="00554060">
        <w:rPr>
          <w:rFonts w:asciiTheme="minorHAnsi" w:hAnsiTheme="minorHAnsi" w:cstheme="minorHAnsi"/>
          <w:sz w:val="32"/>
          <w:szCs w:val="32"/>
        </w:rPr>
        <w:lastRenderedPageBreak/>
        <w:t xml:space="preserve">The </w:t>
      </w:r>
      <w:r w:rsidR="00A71D9A" w:rsidRPr="00554060">
        <w:rPr>
          <w:rFonts w:asciiTheme="minorHAnsi" w:hAnsiTheme="minorHAnsi" w:cstheme="minorHAnsi"/>
          <w:sz w:val="32"/>
          <w:szCs w:val="32"/>
        </w:rPr>
        <w:t xml:space="preserve">Economics </w:t>
      </w:r>
      <w:r w:rsidRPr="00554060">
        <w:rPr>
          <w:rFonts w:asciiTheme="minorHAnsi" w:hAnsiTheme="minorHAnsi" w:cstheme="minorHAnsi"/>
          <w:sz w:val="32"/>
          <w:szCs w:val="32"/>
        </w:rPr>
        <w:t>of the Port Sector and Implications for West Africa</w:t>
      </w:r>
      <w:bookmarkEnd w:id="22"/>
    </w:p>
    <w:p w14:paraId="1AE3C067" w14:textId="77777777" w:rsidR="00554060" w:rsidRPr="00554060" w:rsidRDefault="00554060" w:rsidP="00554060">
      <w:pPr>
        <w:rPr>
          <w:sz w:val="8"/>
          <w:szCs w:val="8"/>
        </w:rPr>
      </w:pPr>
    </w:p>
    <w:p w14:paraId="71F0DD45" w14:textId="59BA92BF" w:rsidR="00DD1A3D" w:rsidRPr="00554060" w:rsidRDefault="006B0FDF" w:rsidP="00981E58">
      <w:pPr>
        <w:pStyle w:val="Heading2"/>
        <w:ind w:left="0"/>
        <w:rPr>
          <w:rFonts w:asciiTheme="minorHAnsi" w:hAnsiTheme="minorHAnsi" w:cstheme="minorHAnsi"/>
          <w:color w:val="000000" w:themeColor="text1"/>
          <w:sz w:val="28"/>
          <w:szCs w:val="28"/>
        </w:rPr>
      </w:pPr>
      <w:bookmarkStart w:id="23" w:name="_Toc485381991"/>
      <w:r w:rsidRPr="00554060">
        <w:rPr>
          <w:rFonts w:asciiTheme="minorHAnsi" w:hAnsiTheme="minorHAnsi" w:cstheme="minorHAnsi"/>
          <w:color w:val="000000" w:themeColor="text1"/>
          <w:sz w:val="28"/>
          <w:szCs w:val="28"/>
        </w:rPr>
        <w:t>Features and Economic</w:t>
      </w:r>
      <w:r w:rsidR="00DF68DA" w:rsidRPr="00554060">
        <w:rPr>
          <w:rFonts w:asciiTheme="minorHAnsi" w:hAnsiTheme="minorHAnsi" w:cstheme="minorHAnsi"/>
          <w:color w:val="000000" w:themeColor="text1"/>
          <w:sz w:val="28"/>
          <w:szCs w:val="28"/>
        </w:rPr>
        <w:t>s</w:t>
      </w:r>
      <w:r w:rsidRPr="00554060">
        <w:rPr>
          <w:rFonts w:asciiTheme="minorHAnsi" w:hAnsiTheme="minorHAnsi" w:cstheme="minorHAnsi"/>
          <w:color w:val="000000" w:themeColor="text1"/>
          <w:sz w:val="28"/>
          <w:szCs w:val="28"/>
        </w:rPr>
        <w:t xml:space="preserve"> of Natural Monopolies</w:t>
      </w:r>
      <w:bookmarkEnd w:id="23"/>
    </w:p>
    <w:p w14:paraId="406589DE" w14:textId="77777777" w:rsidR="00DF68DA" w:rsidRPr="004B2A73" w:rsidRDefault="00DF68DA" w:rsidP="00DF68DA">
      <w:pPr>
        <w:pStyle w:val="ListParagraph"/>
        <w:spacing w:after="0"/>
        <w:ind w:left="0"/>
        <w:rPr>
          <w:rFonts w:ascii="Calibri" w:hAnsi="Calibri"/>
          <w:sz w:val="24"/>
        </w:rPr>
      </w:pPr>
    </w:p>
    <w:p w14:paraId="1266CF69" w14:textId="56601CAF" w:rsidR="00E53A57" w:rsidRPr="004B2A73" w:rsidRDefault="00E53A57"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  </w:t>
      </w:r>
      <w:r w:rsidR="00046F76" w:rsidRPr="004B2A73">
        <w:rPr>
          <w:rFonts w:ascii="Calibri" w:hAnsi="Calibri"/>
          <w:b/>
          <w:sz w:val="24"/>
        </w:rPr>
        <w:t>The presence of particular features in the</w:t>
      </w:r>
      <w:r w:rsidRPr="004B2A73">
        <w:rPr>
          <w:rFonts w:ascii="Calibri" w:hAnsi="Calibri"/>
          <w:b/>
          <w:sz w:val="24"/>
        </w:rPr>
        <w:t xml:space="preserve"> demand and production of a good or service </w:t>
      </w:r>
      <w:r w:rsidR="00AA06CB" w:rsidRPr="004B2A73">
        <w:rPr>
          <w:rFonts w:ascii="Calibri" w:hAnsi="Calibri"/>
          <w:b/>
          <w:sz w:val="24"/>
        </w:rPr>
        <w:t xml:space="preserve">can </w:t>
      </w:r>
      <w:r w:rsidR="00046F76" w:rsidRPr="004B2A73">
        <w:rPr>
          <w:rFonts w:ascii="Calibri" w:hAnsi="Calibri"/>
          <w:b/>
          <w:sz w:val="24"/>
        </w:rPr>
        <w:t xml:space="preserve">lead to </w:t>
      </w:r>
      <w:r w:rsidR="00C24AC0">
        <w:rPr>
          <w:rFonts w:ascii="Calibri" w:hAnsi="Calibri"/>
          <w:b/>
          <w:sz w:val="24"/>
        </w:rPr>
        <w:t xml:space="preserve">the </w:t>
      </w:r>
      <w:r w:rsidRPr="004B2A73">
        <w:rPr>
          <w:rFonts w:ascii="Calibri" w:hAnsi="Calibri"/>
          <w:b/>
          <w:sz w:val="24"/>
        </w:rPr>
        <w:t>emergence of a single supplier (monopoly) in that market</w:t>
      </w:r>
      <w:r w:rsidRPr="004B2A73">
        <w:rPr>
          <w:rFonts w:ascii="Calibri" w:hAnsi="Calibri"/>
          <w:sz w:val="24"/>
        </w:rPr>
        <w:t xml:space="preserve">. </w:t>
      </w:r>
      <w:r w:rsidR="00127116" w:rsidRPr="004B2A73">
        <w:rPr>
          <w:rFonts w:ascii="Calibri" w:hAnsi="Calibri"/>
          <w:sz w:val="24"/>
        </w:rPr>
        <w:t xml:space="preserve"> </w:t>
      </w:r>
      <w:r w:rsidR="00832717" w:rsidRPr="004B2A73">
        <w:rPr>
          <w:rFonts w:ascii="Calibri" w:hAnsi="Calibri"/>
          <w:sz w:val="24"/>
        </w:rPr>
        <w:t>M</w:t>
      </w:r>
      <w:r w:rsidR="00000DBB" w:rsidRPr="004B2A73">
        <w:rPr>
          <w:rFonts w:ascii="Calibri" w:hAnsi="Calibri"/>
          <w:sz w:val="24"/>
        </w:rPr>
        <w:t>onopol</w:t>
      </w:r>
      <w:r w:rsidR="001E38FB" w:rsidRPr="004B2A73">
        <w:rPr>
          <w:rFonts w:ascii="Calibri" w:hAnsi="Calibri"/>
          <w:sz w:val="24"/>
        </w:rPr>
        <w:t xml:space="preserve">ies stemming from </w:t>
      </w:r>
      <w:r w:rsidR="00802ACF" w:rsidRPr="004B2A73">
        <w:rPr>
          <w:rFonts w:ascii="Calibri" w:hAnsi="Calibri"/>
          <w:sz w:val="24"/>
        </w:rPr>
        <w:t>the nature of the market rather than barriers to entry imposed by policy</w:t>
      </w:r>
      <w:r w:rsidR="00832717" w:rsidRPr="004B2A73">
        <w:rPr>
          <w:rFonts w:ascii="Calibri" w:hAnsi="Calibri"/>
          <w:sz w:val="24"/>
        </w:rPr>
        <w:t xml:space="preserve"> are referred to as natural monopolies. </w:t>
      </w:r>
      <w:r w:rsidR="00A919DC" w:rsidRPr="004B2A73">
        <w:rPr>
          <w:rFonts w:ascii="Calibri" w:hAnsi="Calibri"/>
          <w:sz w:val="24"/>
        </w:rPr>
        <w:t xml:space="preserve">Monopolies can be found when there are </w:t>
      </w:r>
      <w:r w:rsidR="00802ACF" w:rsidRPr="004B2A73">
        <w:rPr>
          <w:rFonts w:ascii="Calibri" w:hAnsi="Calibri"/>
          <w:sz w:val="24"/>
        </w:rPr>
        <w:t xml:space="preserve">large internal economies of scale, so that </w:t>
      </w:r>
      <w:r w:rsidR="00802ACF" w:rsidRPr="004B2A73">
        <w:rPr>
          <w:rFonts w:ascii="Calibri" w:hAnsi="Calibri"/>
          <w:sz w:val="24"/>
          <w:shd w:val="clear" w:color="auto" w:fill="FFFFFF"/>
        </w:rPr>
        <w:t xml:space="preserve">the </w:t>
      </w:r>
      <w:r w:rsidR="00286692" w:rsidRPr="004B2A73">
        <w:rPr>
          <w:rFonts w:ascii="Calibri" w:hAnsi="Calibri"/>
          <w:sz w:val="24"/>
          <w:shd w:val="clear" w:color="auto" w:fill="FFFFFF"/>
        </w:rPr>
        <w:t>minimum efficient scale</w:t>
      </w:r>
      <w:r w:rsidR="00802ACF" w:rsidRPr="004B2A73">
        <w:rPr>
          <w:rFonts w:ascii="Calibri" w:hAnsi="Calibri"/>
          <w:sz w:val="24"/>
          <w:shd w:val="clear" w:color="auto" w:fill="FFFFFF"/>
        </w:rPr>
        <w:t xml:space="preserve"> is not reached until th</w:t>
      </w:r>
      <w:r w:rsidR="00802ACF" w:rsidRPr="004B2A73">
        <w:rPr>
          <w:rFonts w:ascii="Calibri" w:hAnsi="Calibri"/>
          <w:color w:val="000000"/>
          <w:sz w:val="24"/>
          <w:shd w:val="clear" w:color="auto" w:fill="FFFFFF"/>
        </w:rPr>
        <w:t>e firm has become very large in relation to the total size of the market</w:t>
      </w:r>
      <w:r w:rsidR="00B14BEE" w:rsidRPr="004B2A73">
        <w:rPr>
          <w:rFonts w:ascii="Calibri" w:hAnsi="Calibri"/>
          <w:color w:val="000000"/>
          <w:sz w:val="24"/>
          <w:shd w:val="clear" w:color="auto" w:fill="FFFFFF"/>
        </w:rPr>
        <w:t>,</w:t>
      </w:r>
      <w:r w:rsidR="00802ACF" w:rsidRPr="004B2A73">
        <w:rPr>
          <w:rStyle w:val="FootnoteReference"/>
          <w:rFonts w:ascii="Calibri" w:hAnsi="Calibri"/>
          <w:sz w:val="24"/>
        </w:rPr>
        <w:footnoteReference w:id="11"/>
      </w:r>
      <w:r w:rsidR="007F0956" w:rsidRPr="004B2A73">
        <w:rPr>
          <w:rFonts w:ascii="Calibri" w:hAnsi="Calibri"/>
          <w:color w:val="000000"/>
          <w:shd w:val="clear" w:color="auto" w:fill="FFFFFF"/>
        </w:rPr>
        <w:t xml:space="preserve"> or </w:t>
      </w:r>
      <w:r w:rsidR="00A919DC" w:rsidRPr="004B2A73">
        <w:rPr>
          <w:rFonts w:ascii="Calibri" w:hAnsi="Calibri"/>
          <w:color w:val="000000"/>
          <w:shd w:val="clear" w:color="auto" w:fill="FFFFFF"/>
        </w:rPr>
        <w:t xml:space="preserve">when </w:t>
      </w:r>
      <w:r w:rsidR="00B14BEE" w:rsidRPr="004B2A73">
        <w:rPr>
          <w:rFonts w:ascii="Calibri" w:hAnsi="Calibri"/>
          <w:sz w:val="24"/>
        </w:rPr>
        <w:t xml:space="preserve">certain </w:t>
      </w:r>
      <w:r w:rsidR="00802ACF" w:rsidRPr="004B2A73">
        <w:rPr>
          <w:rFonts w:ascii="Calibri" w:hAnsi="Calibri"/>
          <w:sz w:val="24"/>
        </w:rPr>
        <w:t>unique geographical features prevent the emergence of competing facilities</w:t>
      </w:r>
      <w:r w:rsidR="00B14BEE" w:rsidRPr="004B2A73">
        <w:rPr>
          <w:rFonts w:ascii="Calibri" w:hAnsi="Calibri"/>
          <w:sz w:val="24"/>
        </w:rPr>
        <w:t xml:space="preserve">. Particular </w:t>
      </w:r>
      <w:r w:rsidR="00802ACF" w:rsidRPr="004B2A73">
        <w:rPr>
          <w:rFonts w:ascii="Calibri" w:hAnsi="Calibri"/>
          <w:sz w:val="24"/>
        </w:rPr>
        <w:t xml:space="preserve">attributes of a technology for producing certain goods and </w:t>
      </w:r>
      <w:r w:rsidR="00802ACF" w:rsidRPr="008E4290">
        <w:rPr>
          <w:rFonts w:ascii="Calibri" w:hAnsi="Calibri"/>
          <w:sz w:val="24"/>
          <w:szCs w:val="24"/>
        </w:rPr>
        <w:t>services</w:t>
      </w:r>
      <w:r w:rsidR="00B14BEE" w:rsidRPr="004B2A73">
        <w:rPr>
          <w:rFonts w:ascii="Calibri" w:hAnsi="Calibri"/>
          <w:sz w:val="24"/>
        </w:rPr>
        <w:t xml:space="preserve"> can also be the cause of a “natural’ monopoly. </w:t>
      </w:r>
      <w:r w:rsidR="00802ACF" w:rsidRPr="004B2A73">
        <w:rPr>
          <w:rFonts w:ascii="Calibri" w:hAnsi="Calibri"/>
          <w:sz w:val="24"/>
        </w:rPr>
        <w:t xml:space="preserve"> </w:t>
      </w:r>
      <w:r w:rsidR="00C46E79" w:rsidRPr="004B2A73">
        <w:rPr>
          <w:rFonts w:ascii="Calibri" w:hAnsi="Calibri"/>
          <w:sz w:val="24"/>
        </w:rPr>
        <w:t>The presence of one or more of t</w:t>
      </w:r>
      <w:r w:rsidR="00802ACF" w:rsidRPr="004B2A73">
        <w:rPr>
          <w:rFonts w:ascii="Calibri" w:hAnsi="Calibri"/>
          <w:sz w:val="24"/>
        </w:rPr>
        <w:t>hese features</w:t>
      </w:r>
      <w:r w:rsidR="00C46E79" w:rsidRPr="004B2A73">
        <w:rPr>
          <w:rFonts w:ascii="Calibri" w:hAnsi="Calibri"/>
          <w:sz w:val="24"/>
        </w:rPr>
        <w:t xml:space="preserve"> implies t</w:t>
      </w:r>
      <w:r w:rsidR="00802ACF" w:rsidRPr="004B2A73">
        <w:rPr>
          <w:rFonts w:ascii="Calibri" w:hAnsi="Calibri"/>
          <w:sz w:val="24"/>
        </w:rPr>
        <w:t>hat a</w:t>
      </w:r>
      <w:r w:rsidRPr="004B2A73">
        <w:rPr>
          <w:rFonts w:ascii="Calibri" w:hAnsi="Calibri"/>
          <w:sz w:val="24"/>
        </w:rPr>
        <w:t xml:space="preserve"> single </w:t>
      </w:r>
      <w:r w:rsidR="005D460D" w:rsidRPr="004B2A73">
        <w:rPr>
          <w:rFonts w:ascii="Calibri" w:hAnsi="Calibri"/>
          <w:sz w:val="24"/>
        </w:rPr>
        <w:t>supplier</w:t>
      </w:r>
      <w:r w:rsidR="008C7566" w:rsidRPr="004B2A73">
        <w:rPr>
          <w:rFonts w:ascii="Calibri" w:hAnsi="Calibri"/>
          <w:sz w:val="24"/>
        </w:rPr>
        <w:t xml:space="preserve"> </w:t>
      </w:r>
      <w:r w:rsidR="00F10836" w:rsidRPr="004B2A73">
        <w:rPr>
          <w:rFonts w:ascii="Calibri" w:hAnsi="Calibri"/>
          <w:sz w:val="24"/>
        </w:rPr>
        <w:t>can</w:t>
      </w:r>
      <w:r w:rsidR="00802ACF" w:rsidRPr="004B2A73">
        <w:rPr>
          <w:rFonts w:ascii="Calibri" w:hAnsi="Calibri"/>
          <w:sz w:val="24"/>
        </w:rPr>
        <w:t xml:space="preserve"> </w:t>
      </w:r>
      <w:r w:rsidRPr="004B2A73">
        <w:rPr>
          <w:rFonts w:ascii="Calibri" w:hAnsi="Calibri"/>
          <w:sz w:val="24"/>
        </w:rPr>
        <w:t>provide</w:t>
      </w:r>
      <w:r w:rsidR="00802ACF" w:rsidRPr="004B2A73">
        <w:rPr>
          <w:rFonts w:ascii="Calibri" w:hAnsi="Calibri"/>
          <w:sz w:val="24"/>
        </w:rPr>
        <w:t xml:space="preserve"> a</w:t>
      </w:r>
      <w:r w:rsidRPr="004B2A73">
        <w:rPr>
          <w:rFonts w:ascii="Calibri" w:hAnsi="Calibri"/>
          <w:sz w:val="24"/>
        </w:rPr>
        <w:t xml:space="preserve"> homogenous good or service more economically than two or more firms</w:t>
      </w:r>
      <w:r w:rsidR="00802ACF" w:rsidRPr="004B2A73">
        <w:rPr>
          <w:rFonts w:ascii="Calibri" w:hAnsi="Calibri"/>
          <w:sz w:val="24"/>
        </w:rPr>
        <w:t xml:space="preserve">, or that one firm can produce many different products at lower cost than two or more firms (referred to as ‘economies of scope’). </w:t>
      </w:r>
      <w:r w:rsidR="008C7566" w:rsidRPr="004B2A73">
        <w:rPr>
          <w:rFonts w:ascii="Calibri" w:hAnsi="Calibri"/>
          <w:sz w:val="24"/>
        </w:rPr>
        <w:t xml:space="preserve">Such </w:t>
      </w:r>
      <w:r w:rsidRPr="004B2A73">
        <w:rPr>
          <w:rFonts w:ascii="Calibri" w:hAnsi="Calibri"/>
          <w:sz w:val="24"/>
        </w:rPr>
        <w:t xml:space="preserve">natural monopolies </w:t>
      </w:r>
      <w:r w:rsidR="00705BFB" w:rsidRPr="004B2A73">
        <w:rPr>
          <w:rFonts w:ascii="Calibri" w:hAnsi="Calibri"/>
          <w:sz w:val="24"/>
        </w:rPr>
        <w:t xml:space="preserve">are often </w:t>
      </w:r>
      <w:r w:rsidR="00EE65C4" w:rsidRPr="004B2A73">
        <w:rPr>
          <w:rFonts w:ascii="Calibri" w:hAnsi="Calibri"/>
          <w:sz w:val="24"/>
        </w:rPr>
        <w:t xml:space="preserve">seen </w:t>
      </w:r>
      <w:r w:rsidRPr="004B2A73">
        <w:rPr>
          <w:rFonts w:ascii="Calibri" w:hAnsi="Calibri"/>
          <w:sz w:val="24"/>
        </w:rPr>
        <w:t xml:space="preserve">in smaller markets as in the countries of the West Africa region, infrastructure facilities (ports and airports) with large sunk costs and/ or location advantages, and certain network industries. The market for a natural monopoly may encompass a regional market, the entire domestic market or extend beyond a single region.  </w:t>
      </w:r>
    </w:p>
    <w:p w14:paraId="0D2FA6BF" w14:textId="77777777" w:rsidR="00E53A57" w:rsidRPr="004B2A73" w:rsidRDefault="00E53A57" w:rsidP="00E53A57">
      <w:pPr>
        <w:pStyle w:val="ListParagraph"/>
        <w:spacing w:after="0"/>
        <w:ind w:left="0"/>
        <w:rPr>
          <w:rFonts w:ascii="Calibri" w:hAnsi="Calibri"/>
          <w:sz w:val="24"/>
        </w:rPr>
      </w:pPr>
    </w:p>
    <w:p w14:paraId="781C9851" w14:textId="12540337" w:rsidR="00FE5207" w:rsidRPr="00C24AC0" w:rsidRDefault="00E53A57" w:rsidP="00E826B9">
      <w:pPr>
        <w:pStyle w:val="ListParagraph"/>
        <w:numPr>
          <w:ilvl w:val="0"/>
          <w:numId w:val="6"/>
        </w:numPr>
        <w:spacing w:after="0"/>
        <w:ind w:left="0" w:firstLine="0"/>
        <w:jc w:val="both"/>
        <w:rPr>
          <w:rFonts w:ascii="Calibri" w:hAnsi="Calibri"/>
          <w:sz w:val="24"/>
        </w:rPr>
      </w:pPr>
      <w:r w:rsidRPr="004B2A73">
        <w:rPr>
          <w:rFonts w:ascii="Calibri" w:hAnsi="Calibri"/>
          <w:b/>
          <w:color w:val="000000"/>
          <w:sz w:val="24"/>
          <w:shd w:val="clear" w:color="auto" w:fill="FFFFFF"/>
        </w:rPr>
        <w:t>Under certain circumstances, the port industry</w:t>
      </w:r>
      <w:r w:rsidR="00DD1A3D" w:rsidRPr="004B2A73">
        <w:rPr>
          <w:rFonts w:ascii="Calibri" w:hAnsi="Calibri"/>
          <w:b/>
          <w:color w:val="000000"/>
          <w:sz w:val="24"/>
          <w:shd w:val="clear" w:color="auto" w:fill="FFFFFF"/>
        </w:rPr>
        <w:t>,</w:t>
      </w:r>
      <w:r w:rsidRPr="004B2A73">
        <w:rPr>
          <w:rFonts w:ascii="Calibri" w:hAnsi="Calibri"/>
          <w:b/>
          <w:color w:val="000000"/>
          <w:sz w:val="24"/>
          <w:shd w:val="clear" w:color="auto" w:fill="FFFFFF"/>
        </w:rPr>
        <w:t xml:space="preserve"> or services within it</w:t>
      </w:r>
      <w:r w:rsidR="00FE5207" w:rsidRPr="004B2A73">
        <w:rPr>
          <w:rFonts w:ascii="Calibri" w:hAnsi="Calibri"/>
          <w:b/>
          <w:color w:val="000000"/>
          <w:sz w:val="24"/>
          <w:shd w:val="clear" w:color="auto" w:fill="FFFFFF"/>
        </w:rPr>
        <w:t>, may</w:t>
      </w:r>
      <w:r w:rsidRPr="004B2A73">
        <w:rPr>
          <w:rFonts w:ascii="Calibri" w:hAnsi="Calibri"/>
          <w:b/>
          <w:color w:val="000000"/>
          <w:sz w:val="24"/>
          <w:shd w:val="clear" w:color="auto" w:fill="FFFFFF"/>
        </w:rPr>
        <w:t xml:space="preserve"> display monopolistic tendencies leading to a variety of economic performance problems such as</w:t>
      </w:r>
      <w:r w:rsidRPr="004B2A73">
        <w:rPr>
          <w:rFonts w:ascii="Calibri" w:hAnsi="Calibri"/>
          <w:sz w:val="24"/>
        </w:rPr>
        <w:t xml:space="preserve"> excessive prices, production inefficiencies, costly duplication of facilities, and poor service quality. These inefficiencies have potentially undesirable productive and distributional impacts</w:t>
      </w:r>
      <w:r w:rsidRPr="004B2A73">
        <w:rPr>
          <w:rStyle w:val="FootnoteReference"/>
          <w:rFonts w:ascii="Calibri" w:hAnsi="Calibri"/>
          <w:sz w:val="24"/>
        </w:rPr>
        <w:footnoteReference w:id="12"/>
      </w:r>
      <w:r w:rsidRPr="004B2A73">
        <w:rPr>
          <w:rFonts w:ascii="Calibri" w:hAnsi="Calibri"/>
          <w:sz w:val="24"/>
        </w:rPr>
        <w:t xml:space="preserve"> with social costs.  To achieve </w:t>
      </w:r>
      <w:r w:rsidRPr="008E4290">
        <w:rPr>
          <w:rFonts w:ascii="Calibri" w:hAnsi="Calibri"/>
          <w:sz w:val="24"/>
          <w:szCs w:val="24"/>
        </w:rPr>
        <w:t>productive</w:t>
      </w:r>
      <w:r w:rsidRPr="004B2A73">
        <w:rPr>
          <w:rFonts w:ascii="Calibri" w:hAnsi="Calibri"/>
          <w:sz w:val="24"/>
        </w:rPr>
        <w:t xml:space="preserve"> efficiency, it </w:t>
      </w:r>
      <w:r w:rsidR="00FE5207" w:rsidRPr="004B2A73">
        <w:rPr>
          <w:rFonts w:ascii="Calibri" w:hAnsi="Calibri"/>
          <w:sz w:val="24"/>
        </w:rPr>
        <w:t>may</w:t>
      </w:r>
      <w:r w:rsidRPr="004B2A73">
        <w:rPr>
          <w:rFonts w:ascii="Calibri" w:hAnsi="Calibri"/>
          <w:sz w:val="24"/>
        </w:rPr>
        <w:t xml:space="preserve"> be necessary to allow only one firm in the market, because it is the only case when the value of the inputs used to supply the market is minimized. However, the absence of competition </w:t>
      </w:r>
      <w:r w:rsidR="00C24AC0">
        <w:rPr>
          <w:rFonts w:ascii="Calibri" w:hAnsi="Calibri"/>
          <w:sz w:val="24"/>
        </w:rPr>
        <w:t>could</w:t>
      </w:r>
      <w:r w:rsidRPr="00C24AC0">
        <w:rPr>
          <w:rFonts w:ascii="Calibri" w:hAnsi="Calibri"/>
          <w:sz w:val="24"/>
        </w:rPr>
        <w:t xml:space="preserve"> encourage the monopolist to set prices above marginal cost, thereby obstructing the achievement of allocative efficiency which is produced when prices are set as close as possible to production costs (</w:t>
      </w:r>
      <w:r w:rsidR="00DB6002" w:rsidRPr="004260E2">
        <w:rPr>
          <w:rFonts w:ascii="Calibri" w:hAnsi="Calibri" w:cs="Times-Bold"/>
          <w:bCs/>
          <w:sz w:val="24"/>
        </w:rPr>
        <w:t>Angeldonis, 2010</w:t>
      </w:r>
      <w:r w:rsidRPr="004260E2">
        <w:rPr>
          <w:rFonts w:ascii="Calibri" w:hAnsi="Calibri"/>
          <w:sz w:val="24"/>
        </w:rPr>
        <w:t xml:space="preserve">). </w:t>
      </w:r>
      <w:r w:rsidR="0083575A" w:rsidRPr="004260E2">
        <w:rPr>
          <w:rFonts w:ascii="Calibri" w:hAnsi="Calibri"/>
          <w:sz w:val="24"/>
        </w:rPr>
        <w:t>High port and shipping costs linked to container terminal monopolies can have a dampening impact on trade similar to general duties</w:t>
      </w:r>
      <w:r w:rsidR="0083575A" w:rsidRPr="004B2A73">
        <w:rPr>
          <w:rStyle w:val="FootnoteReference"/>
          <w:rFonts w:ascii="Calibri" w:hAnsi="Calibri"/>
          <w:sz w:val="24"/>
        </w:rPr>
        <w:footnoteReference w:id="13"/>
      </w:r>
      <w:r w:rsidR="0083575A" w:rsidRPr="00C24AC0">
        <w:rPr>
          <w:rFonts w:ascii="Calibri" w:hAnsi="Calibri"/>
          <w:sz w:val="24"/>
        </w:rPr>
        <w:t xml:space="preserve">. </w:t>
      </w:r>
      <w:r w:rsidRPr="00C24AC0">
        <w:rPr>
          <w:rFonts w:ascii="Calibri" w:hAnsi="Calibri"/>
          <w:sz w:val="24"/>
        </w:rPr>
        <w:t>I</w:t>
      </w:r>
      <w:r w:rsidR="00BC18F8" w:rsidRPr="00C24AC0">
        <w:rPr>
          <w:rFonts w:ascii="Calibri" w:hAnsi="Calibri"/>
          <w:sz w:val="24"/>
        </w:rPr>
        <w:t>n some instances, neither productive nor allocative efficiency is achieved. I</w:t>
      </w:r>
      <w:r w:rsidRPr="004260E2">
        <w:rPr>
          <w:rFonts w:ascii="Calibri" w:hAnsi="Calibri"/>
          <w:sz w:val="24"/>
        </w:rPr>
        <w:t xml:space="preserve">t is </w:t>
      </w:r>
      <w:r w:rsidR="00BC18F8" w:rsidRPr="004260E2">
        <w:rPr>
          <w:rFonts w:ascii="Calibri" w:hAnsi="Calibri"/>
          <w:sz w:val="24"/>
        </w:rPr>
        <w:t>in such cases</w:t>
      </w:r>
      <w:r w:rsidR="00E0468B" w:rsidRPr="00C24AC0">
        <w:rPr>
          <w:rFonts w:ascii="Calibri" w:hAnsi="Calibri"/>
          <w:sz w:val="24"/>
        </w:rPr>
        <w:t xml:space="preserve"> </w:t>
      </w:r>
      <w:r w:rsidR="00883586" w:rsidRPr="00C24AC0">
        <w:rPr>
          <w:rFonts w:ascii="Calibri" w:hAnsi="Calibri"/>
          <w:sz w:val="24"/>
        </w:rPr>
        <w:t xml:space="preserve">when </w:t>
      </w:r>
      <w:r w:rsidRPr="00C24AC0">
        <w:rPr>
          <w:rFonts w:ascii="Calibri" w:hAnsi="Calibri"/>
          <w:sz w:val="24"/>
        </w:rPr>
        <w:t>market mechanism</w:t>
      </w:r>
      <w:r w:rsidR="00883586" w:rsidRPr="00C24AC0">
        <w:rPr>
          <w:rFonts w:ascii="Calibri" w:hAnsi="Calibri"/>
          <w:sz w:val="24"/>
        </w:rPr>
        <w:t xml:space="preserve">s </w:t>
      </w:r>
      <w:r w:rsidR="003614E3" w:rsidRPr="00C24AC0">
        <w:rPr>
          <w:rFonts w:ascii="Calibri" w:hAnsi="Calibri"/>
          <w:sz w:val="24"/>
        </w:rPr>
        <w:t xml:space="preserve">fail </w:t>
      </w:r>
      <w:r w:rsidR="00883586" w:rsidRPr="00C24AC0">
        <w:rPr>
          <w:rFonts w:ascii="Calibri" w:hAnsi="Calibri"/>
          <w:sz w:val="24"/>
        </w:rPr>
        <w:t>that</w:t>
      </w:r>
      <w:r w:rsidR="003614E3" w:rsidRPr="00C24AC0">
        <w:rPr>
          <w:rFonts w:ascii="Calibri" w:hAnsi="Calibri"/>
          <w:sz w:val="24"/>
        </w:rPr>
        <w:t xml:space="preserve"> </w:t>
      </w:r>
      <w:r w:rsidRPr="00C24AC0">
        <w:rPr>
          <w:rFonts w:ascii="Calibri" w:hAnsi="Calibri"/>
          <w:sz w:val="24"/>
        </w:rPr>
        <w:t>government intervention and regulation of price and service levels</w:t>
      </w:r>
      <w:r w:rsidR="00883586" w:rsidRPr="00C24AC0">
        <w:rPr>
          <w:rFonts w:ascii="Calibri" w:hAnsi="Calibri"/>
          <w:sz w:val="24"/>
        </w:rPr>
        <w:t xml:space="preserve"> is needed</w:t>
      </w:r>
      <w:r w:rsidRPr="00C24AC0">
        <w:rPr>
          <w:rFonts w:ascii="Calibri" w:hAnsi="Calibri"/>
          <w:sz w:val="24"/>
        </w:rPr>
        <w:t xml:space="preserve">. However, regulation is not a panacea, especially in the case of developing countries where institutional frameworks are weak and regulatory decisions may be biased due to interest groups or political considerations (this is </w:t>
      </w:r>
      <w:r w:rsidRPr="00C24AC0">
        <w:rPr>
          <w:rFonts w:ascii="Calibri" w:hAnsi="Calibri"/>
          <w:sz w:val="24"/>
        </w:rPr>
        <w:lastRenderedPageBreak/>
        <w:t>further elaborated in Chapter 3)</w:t>
      </w:r>
      <w:r w:rsidR="004C5189" w:rsidRPr="00C24AC0">
        <w:rPr>
          <w:rFonts w:ascii="Calibri" w:hAnsi="Calibri"/>
          <w:sz w:val="24"/>
        </w:rPr>
        <w:t xml:space="preserve"> and may lead to economic costs bigger than those generated by the market failure being corrected</w:t>
      </w:r>
      <w:r w:rsidRPr="00C24AC0">
        <w:rPr>
          <w:rFonts w:ascii="Calibri" w:hAnsi="Calibri"/>
          <w:sz w:val="24"/>
        </w:rPr>
        <w:t xml:space="preserve">. </w:t>
      </w:r>
    </w:p>
    <w:p w14:paraId="7C0C5EB2" w14:textId="79B2B768" w:rsidR="00E53A57" w:rsidRPr="00554060" w:rsidRDefault="00E53A57" w:rsidP="00554060">
      <w:pPr>
        <w:pStyle w:val="Heading2"/>
        <w:numPr>
          <w:ilvl w:val="0"/>
          <w:numId w:val="0"/>
        </w:numPr>
        <w:ind w:left="90"/>
        <w:rPr>
          <w:rFonts w:asciiTheme="minorHAnsi" w:hAnsiTheme="minorHAnsi" w:cstheme="minorHAnsi"/>
          <w:color w:val="000000" w:themeColor="text1"/>
        </w:rPr>
      </w:pPr>
    </w:p>
    <w:p w14:paraId="0199DBDD" w14:textId="3C9F616F" w:rsidR="002E440E" w:rsidRPr="00554060" w:rsidRDefault="00785751" w:rsidP="00981E58">
      <w:pPr>
        <w:pStyle w:val="Heading2"/>
        <w:ind w:left="0"/>
        <w:rPr>
          <w:rFonts w:asciiTheme="minorHAnsi" w:hAnsiTheme="minorHAnsi" w:cstheme="minorHAnsi"/>
          <w:color w:val="000000" w:themeColor="text1"/>
          <w:sz w:val="28"/>
          <w:szCs w:val="28"/>
        </w:rPr>
      </w:pPr>
      <w:bookmarkStart w:id="24" w:name="_Toc485381992"/>
      <w:r w:rsidRPr="00554060">
        <w:rPr>
          <w:rFonts w:asciiTheme="minorHAnsi" w:hAnsiTheme="minorHAnsi" w:cstheme="minorHAnsi"/>
          <w:color w:val="000000" w:themeColor="text1"/>
          <w:sz w:val="28"/>
          <w:szCs w:val="28"/>
        </w:rPr>
        <w:t>Organization of the Port and Shipping Industry: Globally and in</w:t>
      </w:r>
      <w:r w:rsidRPr="00981E58">
        <w:rPr>
          <w:rFonts w:asciiTheme="minorHAnsi" w:hAnsiTheme="minorHAnsi" w:cstheme="minorHAnsi"/>
          <w:color w:val="000000" w:themeColor="text1"/>
          <w:sz w:val="28"/>
          <w:szCs w:val="28"/>
        </w:rPr>
        <w:t xml:space="preserve"> </w:t>
      </w:r>
      <w:r w:rsidRPr="00554060">
        <w:rPr>
          <w:rFonts w:asciiTheme="minorHAnsi" w:hAnsiTheme="minorHAnsi" w:cstheme="minorHAnsi"/>
          <w:color w:val="000000" w:themeColor="text1"/>
          <w:sz w:val="28"/>
          <w:szCs w:val="28"/>
        </w:rPr>
        <w:t>West Africa</w:t>
      </w:r>
      <w:bookmarkEnd w:id="24"/>
    </w:p>
    <w:p w14:paraId="069450E1" w14:textId="77777777" w:rsidR="00843678" w:rsidRPr="004B2A73" w:rsidRDefault="00843678" w:rsidP="002E4744"/>
    <w:p w14:paraId="02EF85EF" w14:textId="4E7EA229" w:rsidR="0029012A" w:rsidRDefault="009A06C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Globally, t</w:t>
      </w:r>
      <w:r w:rsidR="0029012A" w:rsidRPr="004B2A73">
        <w:rPr>
          <w:rFonts w:ascii="Calibri" w:hAnsi="Calibri"/>
          <w:b/>
          <w:sz w:val="24"/>
        </w:rPr>
        <w:t>he port and shipping industry is a capital intensive and highly concentrated industry</w:t>
      </w:r>
      <w:r w:rsidR="00A342E0" w:rsidRPr="004B2A73">
        <w:rPr>
          <w:rFonts w:ascii="Calibri" w:hAnsi="Calibri"/>
          <w:b/>
          <w:sz w:val="24"/>
        </w:rPr>
        <w:t xml:space="preserve"> </w:t>
      </w:r>
      <w:r w:rsidR="00A342E0" w:rsidRPr="004B2A73">
        <w:rPr>
          <w:rFonts w:ascii="Calibri" w:hAnsi="Calibri"/>
          <w:sz w:val="24"/>
        </w:rPr>
        <w:t>(</w:t>
      </w:r>
      <w:r w:rsidR="008D788C" w:rsidRPr="008D788C">
        <w:rPr>
          <w:rFonts w:ascii="Calibri" w:hAnsi="Calibri"/>
          <w:sz w:val="24"/>
          <w:szCs w:val="24"/>
        </w:rPr>
        <w:fldChar w:fldCharType="begin"/>
      </w:r>
      <w:r w:rsidR="008D788C" w:rsidRPr="008D788C">
        <w:rPr>
          <w:rFonts w:ascii="Calibri" w:hAnsi="Calibri"/>
          <w:sz w:val="24"/>
          <w:szCs w:val="24"/>
        </w:rPr>
        <w:instrText xml:space="preserve"> REF _Ref473101381 \h  \* MERGEFORMAT </w:instrText>
      </w:r>
      <w:r w:rsidR="008D788C" w:rsidRPr="008D788C">
        <w:rPr>
          <w:rFonts w:ascii="Calibri" w:hAnsi="Calibri"/>
          <w:sz w:val="24"/>
          <w:szCs w:val="24"/>
        </w:rPr>
      </w:r>
      <w:r w:rsidR="008D788C" w:rsidRPr="008D788C">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4</w:t>
      </w:r>
      <w:r w:rsidR="008D788C" w:rsidRPr="008D788C">
        <w:rPr>
          <w:rFonts w:ascii="Calibri" w:hAnsi="Calibri"/>
          <w:sz w:val="24"/>
          <w:szCs w:val="24"/>
        </w:rPr>
        <w:fldChar w:fldCharType="end"/>
      </w:r>
      <w:r w:rsidR="00A342E0" w:rsidRPr="004B2A73">
        <w:rPr>
          <w:rFonts w:ascii="Calibri" w:hAnsi="Calibri"/>
          <w:sz w:val="24"/>
        </w:rPr>
        <w:t>),</w:t>
      </w:r>
      <w:r w:rsidR="0029012A" w:rsidRPr="004B2A73">
        <w:rPr>
          <w:rFonts w:ascii="Calibri" w:hAnsi="Calibri"/>
          <w:sz w:val="24"/>
        </w:rPr>
        <w:t xml:space="preserve"> where large sunk investments constitute barriers to </w:t>
      </w:r>
      <w:r w:rsidR="006352D8" w:rsidRPr="004B2A73">
        <w:rPr>
          <w:rFonts w:ascii="Calibri" w:hAnsi="Calibri"/>
          <w:sz w:val="24"/>
        </w:rPr>
        <w:t>entry that</w:t>
      </w:r>
      <w:r w:rsidR="0029012A" w:rsidRPr="004B2A73">
        <w:rPr>
          <w:rFonts w:ascii="Calibri" w:hAnsi="Calibri"/>
          <w:sz w:val="24"/>
        </w:rPr>
        <w:t xml:space="preserve"> limit competition. </w:t>
      </w:r>
      <w:r w:rsidR="00BB0225" w:rsidRPr="004B2A73">
        <w:rPr>
          <w:rFonts w:ascii="Calibri" w:hAnsi="Calibri"/>
          <w:sz w:val="24"/>
        </w:rPr>
        <w:t>This concentration is particularly marked for the liner shipping industry, as the top three lines collectively control 37.2% of the world container fleet, measured in TEUs</w:t>
      </w:r>
      <w:r w:rsidR="00BB0225" w:rsidRPr="004B2A73">
        <w:rPr>
          <w:rStyle w:val="FootnoteReference"/>
          <w:rFonts w:ascii="Calibri" w:hAnsi="Calibri"/>
          <w:sz w:val="24"/>
        </w:rPr>
        <w:footnoteReference w:id="14"/>
      </w:r>
      <w:r w:rsidR="00BB0225" w:rsidRPr="004B2A73">
        <w:rPr>
          <w:rFonts w:ascii="Calibri" w:hAnsi="Calibri"/>
          <w:sz w:val="24"/>
        </w:rPr>
        <w:t>.</w:t>
      </w:r>
      <w:r w:rsidR="0029012A" w:rsidRPr="004B2A73">
        <w:rPr>
          <w:rFonts w:ascii="Calibri" w:hAnsi="Calibri"/>
          <w:sz w:val="24"/>
        </w:rPr>
        <w:t xml:space="preserve"> </w:t>
      </w:r>
      <w:r w:rsidR="00BB0225" w:rsidRPr="004B2A73">
        <w:rPr>
          <w:rFonts w:ascii="Calibri" w:hAnsi="Calibri"/>
          <w:sz w:val="24"/>
        </w:rPr>
        <w:t>That concentration is increasing</w:t>
      </w:r>
      <w:r w:rsidR="00870080" w:rsidRPr="004B2A73">
        <w:rPr>
          <w:rFonts w:ascii="Calibri" w:hAnsi="Calibri"/>
          <w:sz w:val="24"/>
        </w:rPr>
        <w:t xml:space="preserve">: 20 years ago, the top five shipping lines had comparable fleets, while in 2015, </w:t>
      </w:r>
      <w:r w:rsidR="00454017" w:rsidRPr="004B2A73">
        <w:rPr>
          <w:rFonts w:ascii="Calibri" w:hAnsi="Calibri"/>
          <w:sz w:val="24"/>
        </w:rPr>
        <w:t xml:space="preserve">the </w:t>
      </w:r>
      <w:r w:rsidR="00BB0225" w:rsidRPr="004B2A73">
        <w:rPr>
          <w:rFonts w:ascii="Calibri" w:hAnsi="Calibri"/>
          <w:sz w:val="24"/>
        </w:rPr>
        <w:t>third</w:t>
      </w:r>
      <w:r w:rsidR="00454017" w:rsidRPr="004B2A73">
        <w:rPr>
          <w:rFonts w:ascii="Calibri" w:hAnsi="Calibri"/>
          <w:sz w:val="24"/>
        </w:rPr>
        <w:t>-largest</w:t>
      </w:r>
      <w:r w:rsidR="00BB0225" w:rsidRPr="004B2A73">
        <w:rPr>
          <w:rFonts w:ascii="Calibri" w:hAnsi="Calibri"/>
          <w:sz w:val="24"/>
        </w:rPr>
        <w:t xml:space="preserve"> operator, CMA-CGM, operates a fleet twice the size of the </w:t>
      </w:r>
      <w:r w:rsidR="00454017" w:rsidRPr="004B2A73">
        <w:rPr>
          <w:rFonts w:ascii="Calibri" w:hAnsi="Calibri"/>
          <w:sz w:val="24"/>
        </w:rPr>
        <w:t>fourth-largest</w:t>
      </w:r>
      <w:r w:rsidR="00BB0225" w:rsidRPr="004B2A73">
        <w:rPr>
          <w:rFonts w:ascii="Calibri" w:hAnsi="Calibri"/>
          <w:sz w:val="24"/>
        </w:rPr>
        <w:t>, Evergreen Line</w:t>
      </w:r>
      <w:r w:rsidR="00870080" w:rsidRPr="004B2A73">
        <w:rPr>
          <w:rStyle w:val="FootnoteReference"/>
          <w:rFonts w:ascii="Calibri" w:hAnsi="Calibri"/>
          <w:sz w:val="24"/>
        </w:rPr>
        <w:footnoteReference w:id="15"/>
      </w:r>
      <w:r w:rsidR="00BB0225" w:rsidRPr="004B2A73">
        <w:rPr>
          <w:rFonts w:ascii="Calibri" w:hAnsi="Calibri"/>
          <w:sz w:val="24"/>
        </w:rPr>
        <w:t>.</w:t>
      </w:r>
      <w:r w:rsidR="00870080" w:rsidRPr="004B2A73">
        <w:rPr>
          <w:rFonts w:ascii="Calibri" w:hAnsi="Calibri"/>
          <w:sz w:val="24"/>
        </w:rPr>
        <w:t xml:space="preserve"> </w:t>
      </w:r>
      <w:r w:rsidR="00454017" w:rsidRPr="004B2A73">
        <w:rPr>
          <w:rFonts w:ascii="Calibri" w:hAnsi="Calibri"/>
          <w:sz w:val="24"/>
        </w:rPr>
        <w:t xml:space="preserve">The level of </w:t>
      </w:r>
      <w:r w:rsidR="00870080" w:rsidRPr="004B2A73">
        <w:rPr>
          <w:rFonts w:ascii="Calibri" w:hAnsi="Calibri"/>
          <w:sz w:val="24"/>
        </w:rPr>
        <w:t>concentration is less marked</w:t>
      </w:r>
      <w:r w:rsidR="00454017" w:rsidRPr="004B2A73">
        <w:rPr>
          <w:rFonts w:ascii="Calibri" w:hAnsi="Calibri"/>
          <w:sz w:val="24"/>
        </w:rPr>
        <w:t xml:space="preserve"> for global TOCs</w:t>
      </w:r>
      <w:r w:rsidR="00870080" w:rsidRPr="004B2A73">
        <w:rPr>
          <w:rFonts w:ascii="Calibri" w:hAnsi="Calibri"/>
          <w:sz w:val="24"/>
        </w:rPr>
        <w:t>: the top three, measured by equity TEU</w:t>
      </w:r>
      <w:r w:rsidR="005A757B" w:rsidRPr="004B2A73">
        <w:rPr>
          <w:rStyle w:val="FootnoteReference"/>
          <w:rFonts w:ascii="Calibri" w:hAnsi="Calibri"/>
          <w:sz w:val="24"/>
        </w:rPr>
        <w:footnoteReference w:id="16"/>
      </w:r>
      <w:r w:rsidR="001538BF" w:rsidRPr="004B2A73">
        <w:rPr>
          <w:rFonts w:ascii="Calibri" w:hAnsi="Calibri"/>
          <w:sz w:val="24"/>
        </w:rPr>
        <w:t>, controlled 20% of the world container throughput, and the top five</w:t>
      </w:r>
      <w:r w:rsidR="00454017" w:rsidRPr="004B2A73">
        <w:rPr>
          <w:rFonts w:ascii="Calibri" w:hAnsi="Calibri"/>
          <w:sz w:val="24"/>
        </w:rPr>
        <w:t xml:space="preserve"> controlled</w:t>
      </w:r>
      <w:r w:rsidR="001538BF" w:rsidRPr="004B2A73">
        <w:rPr>
          <w:rFonts w:ascii="Calibri" w:hAnsi="Calibri"/>
          <w:sz w:val="24"/>
        </w:rPr>
        <w:t xml:space="preserve"> almost 30%.</w:t>
      </w:r>
    </w:p>
    <w:p w14:paraId="5C32772F" w14:textId="77777777" w:rsidR="0060262C" w:rsidRDefault="0060262C" w:rsidP="0060262C">
      <w:pPr>
        <w:pStyle w:val="ListParagraph"/>
        <w:spacing w:after="0"/>
        <w:ind w:left="0"/>
        <w:jc w:val="both"/>
        <w:rPr>
          <w:rFonts w:ascii="Calibri" w:hAnsi="Calibri"/>
          <w:sz w:val="24"/>
        </w:rPr>
      </w:pPr>
    </w:p>
    <w:tbl>
      <w:tblPr>
        <w:tblStyle w:val="TableGrid"/>
        <w:tblpPr w:leftFromText="180" w:rightFromText="180" w:vertAnchor="text" w:horzAnchor="margin" w:tblpY="861"/>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51"/>
      </w:tblGrid>
      <w:tr w:rsidR="00456F75" w:rsidRPr="004B2A73" w14:paraId="1300C3ED" w14:textId="77777777" w:rsidTr="00456F75">
        <w:trPr>
          <w:trHeight w:val="2414"/>
        </w:trPr>
        <w:tc>
          <w:tcPr>
            <w:tcW w:w="4566" w:type="dxa"/>
          </w:tcPr>
          <w:p w14:paraId="39F1D7A8" w14:textId="0245ED3F" w:rsidR="00456F75" w:rsidRPr="004B2A73" w:rsidRDefault="00063561" w:rsidP="00456F75">
            <w:pPr>
              <w:rPr>
                <w:rFonts w:ascii="Calibri" w:hAnsi="Calibri"/>
                <w:sz w:val="24"/>
                <w:szCs w:val="24"/>
              </w:rPr>
            </w:pPr>
            <w:r w:rsidRPr="0028550A">
              <w:rPr>
                <w:rFonts w:ascii="Calibri" w:hAnsi="Calibri"/>
                <w:noProof/>
              </w:rPr>
              <w:drawing>
                <wp:inline distT="0" distB="0" distL="0" distR="0" wp14:anchorId="4FAB35F2" wp14:editId="3858F1FD">
                  <wp:extent cx="2762250" cy="27241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EB1A96" w14:textId="77777777" w:rsidR="00456F75" w:rsidRPr="00DF3596" w:rsidRDefault="00456F75" w:rsidP="00456F75">
            <w:pPr>
              <w:rPr>
                <w:rFonts w:ascii="Calibri" w:hAnsi="Calibri"/>
                <w:sz w:val="20"/>
                <w:szCs w:val="20"/>
              </w:rPr>
            </w:pPr>
            <w:r w:rsidRPr="00DF3596">
              <w:rPr>
                <w:rFonts w:ascii="Calibri" w:hAnsi="Calibri"/>
                <w:sz w:val="20"/>
                <w:szCs w:val="20"/>
              </w:rPr>
              <w:t>Source: Alphaliner Top 100 2015</w:t>
            </w:r>
          </w:p>
        </w:tc>
        <w:tc>
          <w:tcPr>
            <w:tcW w:w="4551" w:type="dxa"/>
          </w:tcPr>
          <w:p w14:paraId="0F679748" w14:textId="2CFE10AE" w:rsidR="00456F75" w:rsidRPr="004B2A73" w:rsidRDefault="00456F75" w:rsidP="00456F75">
            <w:pPr>
              <w:rPr>
                <w:rFonts w:ascii="Calibri" w:hAnsi="Calibri"/>
                <w:sz w:val="24"/>
                <w:szCs w:val="24"/>
              </w:rPr>
            </w:pPr>
            <w:r w:rsidRPr="004B2A73">
              <w:rPr>
                <w:rFonts w:ascii="Calibri" w:hAnsi="Calibri"/>
                <w:noProof/>
                <w:sz w:val="24"/>
                <w:szCs w:val="24"/>
              </w:rPr>
              <w:drawing>
                <wp:inline distT="0" distB="0" distL="0" distR="0" wp14:anchorId="1FC8FF25" wp14:editId="05C6CAEB">
                  <wp:extent cx="2752725" cy="25527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34C347" w14:textId="77777777" w:rsidR="00DF3596" w:rsidRDefault="00DF3596" w:rsidP="00456F75">
            <w:pPr>
              <w:rPr>
                <w:rFonts w:ascii="Calibri" w:hAnsi="Calibri"/>
                <w:sz w:val="20"/>
                <w:szCs w:val="20"/>
              </w:rPr>
            </w:pPr>
          </w:p>
          <w:p w14:paraId="14234DC5" w14:textId="77777777" w:rsidR="00456F75" w:rsidRPr="00DF3596" w:rsidRDefault="00456F75" w:rsidP="00456F75">
            <w:pPr>
              <w:rPr>
                <w:rFonts w:ascii="Calibri" w:hAnsi="Calibri"/>
                <w:sz w:val="20"/>
                <w:szCs w:val="20"/>
              </w:rPr>
            </w:pPr>
            <w:r w:rsidRPr="00DF3596">
              <w:rPr>
                <w:rFonts w:ascii="Calibri" w:hAnsi="Calibri"/>
                <w:sz w:val="20"/>
                <w:szCs w:val="20"/>
              </w:rPr>
              <w:t>Source: Drewry Shipping, Top TOC 2014</w:t>
            </w:r>
          </w:p>
          <w:p w14:paraId="296B4347" w14:textId="77777777" w:rsidR="00456F75" w:rsidRPr="004B2A73" w:rsidRDefault="00456F75" w:rsidP="00456F75">
            <w:pPr>
              <w:rPr>
                <w:rFonts w:ascii="Calibri" w:hAnsi="Calibri"/>
                <w:sz w:val="24"/>
                <w:szCs w:val="24"/>
              </w:rPr>
            </w:pPr>
          </w:p>
        </w:tc>
      </w:tr>
    </w:tbl>
    <w:p w14:paraId="1DFEDC74" w14:textId="1A638BDE" w:rsidR="00870080" w:rsidRDefault="00C3326F" w:rsidP="00AF33A5">
      <w:pPr>
        <w:pStyle w:val="Caption"/>
        <w:rPr>
          <w:rFonts w:ascii="Calibri" w:hAnsi="Calibri"/>
        </w:rPr>
      </w:pPr>
      <w:bookmarkStart w:id="25" w:name="_Ref473101381"/>
      <w:bookmarkStart w:id="26" w:name="_Ref432581700"/>
      <w:bookmarkStart w:id="27" w:name="_Toc485377039"/>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4</w:t>
      </w:r>
      <w:r w:rsidR="00520B46" w:rsidRPr="004B2A73">
        <w:rPr>
          <w:rFonts w:ascii="Calibri" w:hAnsi="Calibri"/>
          <w:noProof/>
        </w:rPr>
        <w:fldChar w:fldCharType="end"/>
      </w:r>
      <w:bookmarkEnd w:id="25"/>
      <w:r w:rsidRPr="004B2A73">
        <w:rPr>
          <w:rFonts w:ascii="Calibri" w:hAnsi="Calibri"/>
        </w:rPr>
        <w:t>: Top shipping lines and global terminal operators</w:t>
      </w:r>
      <w:bookmarkEnd w:id="26"/>
      <w:bookmarkEnd w:id="27"/>
    </w:p>
    <w:p w14:paraId="555C158C" w14:textId="366342E2" w:rsidR="00456F75" w:rsidRDefault="00456F75" w:rsidP="00456F75"/>
    <w:p w14:paraId="48B379AB" w14:textId="77777777" w:rsidR="00456F75" w:rsidRPr="00456F75" w:rsidRDefault="00456F75" w:rsidP="00456F75"/>
    <w:p w14:paraId="284F7ED9" w14:textId="24EB508E" w:rsidR="00EE0983" w:rsidRPr="00456F75" w:rsidRDefault="0021001B" w:rsidP="00E826B9">
      <w:pPr>
        <w:pStyle w:val="ListParagraph"/>
        <w:numPr>
          <w:ilvl w:val="0"/>
          <w:numId w:val="6"/>
        </w:numPr>
        <w:spacing w:after="0"/>
        <w:ind w:left="0" w:firstLine="0"/>
        <w:jc w:val="both"/>
        <w:rPr>
          <w:rFonts w:ascii="Calibri" w:hAnsi="Calibri"/>
          <w:sz w:val="24"/>
        </w:rPr>
      </w:pPr>
      <w:r w:rsidRPr="00404219">
        <w:rPr>
          <w:b/>
          <w:sz w:val="24"/>
        </w:rPr>
        <w:lastRenderedPageBreak/>
        <w:t xml:space="preserve">The main </w:t>
      </w:r>
      <w:r>
        <w:rPr>
          <w:b/>
          <w:sz w:val="24"/>
        </w:rPr>
        <w:t>t</w:t>
      </w:r>
      <w:r w:rsidRPr="00404219">
        <w:rPr>
          <w:b/>
          <w:sz w:val="24"/>
        </w:rPr>
        <w:t xml:space="preserve">erminal operators </w:t>
      </w:r>
      <w:r>
        <w:rPr>
          <w:b/>
          <w:sz w:val="24"/>
        </w:rPr>
        <w:t xml:space="preserve">and shipping lines </w:t>
      </w:r>
      <w:r w:rsidRPr="00404219">
        <w:rPr>
          <w:b/>
          <w:sz w:val="24"/>
        </w:rPr>
        <w:t>active in West Africa are also highly concentrated</w:t>
      </w:r>
      <w:r w:rsidRPr="00404219">
        <w:rPr>
          <w:sz w:val="24"/>
        </w:rPr>
        <w:t xml:space="preserve"> (</w:t>
      </w:r>
      <w:r>
        <w:rPr>
          <w:sz w:val="24"/>
        </w:rPr>
        <w:t>Figure</w:t>
      </w:r>
      <w:r w:rsidRPr="00404219">
        <w:rPr>
          <w:sz w:val="24"/>
        </w:rPr>
        <w:t xml:space="preserve"> </w:t>
      </w:r>
      <w:r w:rsidR="008D788C">
        <w:rPr>
          <w:sz w:val="24"/>
        </w:rPr>
        <w:t>5</w:t>
      </w:r>
      <w:r w:rsidRPr="00404219">
        <w:rPr>
          <w:sz w:val="24"/>
        </w:rPr>
        <w:t xml:space="preserve">). </w:t>
      </w:r>
      <w:r w:rsidR="003345CA">
        <w:rPr>
          <w:sz w:val="24"/>
        </w:rPr>
        <w:t>Bolloré</w:t>
      </w:r>
      <w:r>
        <w:rPr>
          <w:sz w:val="24"/>
        </w:rPr>
        <w:t xml:space="preserve"> Logistics Limited (BAL) and APM </w:t>
      </w:r>
      <w:r w:rsidR="008D788C">
        <w:rPr>
          <w:sz w:val="24"/>
        </w:rPr>
        <w:t xml:space="preserve">Terminals </w:t>
      </w:r>
      <w:r>
        <w:rPr>
          <w:sz w:val="24"/>
        </w:rPr>
        <w:t>control 44% and 34% respectively of the container throughput in the West African container market, bringing their joint share to just below 80%. The</w:t>
      </w:r>
      <w:r w:rsidRPr="00404219">
        <w:rPr>
          <w:sz w:val="24"/>
        </w:rPr>
        <w:t xml:space="preserve"> high level of </w:t>
      </w:r>
      <w:r w:rsidRPr="008E4290">
        <w:rPr>
          <w:rFonts w:ascii="Calibri" w:hAnsi="Calibri"/>
          <w:sz w:val="24"/>
          <w:szCs w:val="24"/>
        </w:rPr>
        <w:t>concentration</w:t>
      </w:r>
      <w:r w:rsidRPr="00404219">
        <w:rPr>
          <w:sz w:val="24"/>
        </w:rPr>
        <w:t xml:space="preserve"> in West Africa compared to the world </w:t>
      </w:r>
      <w:r>
        <w:rPr>
          <w:sz w:val="24"/>
        </w:rPr>
        <w:t xml:space="preserve">may be </w:t>
      </w:r>
      <w:r w:rsidRPr="00404219">
        <w:rPr>
          <w:sz w:val="24"/>
        </w:rPr>
        <w:t>due to the small size of the market, and the more homogeneous nature of the active operators</w:t>
      </w:r>
      <w:r>
        <w:rPr>
          <w:sz w:val="24"/>
        </w:rPr>
        <w:t>. Market concentration nevertheless confers significant market power and is a deterrent to potential entrants:  this may well underlie the</w:t>
      </w:r>
      <w:r w:rsidRPr="00404219">
        <w:rPr>
          <w:sz w:val="24"/>
        </w:rPr>
        <w:t xml:space="preserve"> weak inter- and intra-port competition</w:t>
      </w:r>
      <w:r>
        <w:rPr>
          <w:sz w:val="24"/>
        </w:rPr>
        <w:t xml:space="preserve"> seen in the region and </w:t>
      </w:r>
      <w:r w:rsidRPr="00404219">
        <w:rPr>
          <w:sz w:val="24"/>
        </w:rPr>
        <w:t xml:space="preserve">the durably high market shares of </w:t>
      </w:r>
      <w:r>
        <w:rPr>
          <w:sz w:val="24"/>
        </w:rPr>
        <w:t>these two firms.</w:t>
      </w:r>
    </w:p>
    <w:p w14:paraId="0CC209A0" w14:textId="77777777" w:rsidR="00EE0983" w:rsidRPr="00E01B60" w:rsidRDefault="00EE0983" w:rsidP="00EE0983">
      <w:pPr>
        <w:pStyle w:val="ListParagraph"/>
        <w:spacing w:after="0"/>
        <w:ind w:left="0"/>
        <w:rPr>
          <w:rFonts w:ascii="Calibri" w:hAnsi="Calibri"/>
          <w:sz w:val="24"/>
          <w:szCs w:val="24"/>
        </w:rPr>
      </w:pPr>
    </w:p>
    <w:p w14:paraId="0AF7FAD9" w14:textId="76B7A436" w:rsidR="0021001B" w:rsidRDefault="0021001B" w:rsidP="00E826B9">
      <w:pPr>
        <w:pStyle w:val="ListParagraph"/>
        <w:numPr>
          <w:ilvl w:val="0"/>
          <w:numId w:val="6"/>
        </w:numPr>
        <w:spacing w:after="0"/>
        <w:ind w:left="0" w:firstLine="0"/>
        <w:jc w:val="both"/>
        <w:rPr>
          <w:sz w:val="24"/>
        </w:rPr>
      </w:pPr>
      <w:r w:rsidRPr="00224C9A">
        <w:rPr>
          <w:b/>
          <w:sz w:val="24"/>
          <w:szCs w:val="24"/>
        </w:rPr>
        <w:t xml:space="preserve">Table 1 below applies a modified </w:t>
      </w:r>
      <w:r w:rsidRPr="00224C9A">
        <w:rPr>
          <w:rFonts w:eastAsia="Times New Roman"/>
          <w:b/>
          <w:sz w:val="24"/>
          <w:szCs w:val="24"/>
        </w:rPr>
        <w:t>WBG markets and competition policy assessment tool</w:t>
      </w:r>
      <w:r w:rsidRPr="00224C9A">
        <w:rPr>
          <w:rStyle w:val="FootnoteReference"/>
          <w:rFonts w:eastAsia="Times New Roman"/>
          <w:b/>
          <w:sz w:val="24"/>
          <w:szCs w:val="24"/>
        </w:rPr>
        <w:footnoteReference w:id="17"/>
      </w:r>
      <w:r w:rsidRPr="00224C9A">
        <w:rPr>
          <w:rFonts w:eastAsia="Times New Roman"/>
          <w:b/>
          <w:sz w:val="24"/>
          <w:szCs w:val="24"/>
        </w:rPr>
        <w:t xml:space="preserve"> to the port concessions market</w:t>
      </w:r>
      <w:r w:rsidRPr="00E01B60">
        <w:rPr>
          <w:rFonts w:eastAsia="Times New Roman"/>
          <w:sz w:val="24"/>
          <w:szCs w:val="24"/>
        </w:rPr>
        <w:t xml:space="preserve">: the table lists key criteria affecting competition and outlines </w:t>
      </w:r>
      <w:r w:rsidRPr="00E01B60">
        <w:rPr>
          <w:sz w:val="24"/>
          <w:szCs w:val="24"/>
        </w:rPr>
        <w:t xml:space="preserve">a qualitative profile of the West African </w:t>
      </w:r>
      <w:r w:rsidRPr="00E01B60">
        <w:rPr>
          <w:rFonts w:ascii="Calibri" w:hAnsi="Calibri"/>
          <w:sz w:val="24"/>
          <w:szCs w:val="24"/>
        </w:rPr>
        <w:t>situation</w:t>
      </w:r>
      <w:r w:rsidRPr="00E01B60">
        <w:rPr>
          <w:sz w:val="24"/>
          <w:szCs w:val="24"/>
        </w:rPr>
        <w:t>. The tool provides some indication that competition in the port sector in West Africa is limited with significant market power conferred to existing firms and limited ability to attract new entrants. Further analysis is needed to assess how this situation is affecting the efficiency and competitiveness</w:t>
      </w:r>
      <w:r>
        <w:rPr>
          <w:sz w:val="24"/>
        </w:rPr>
        <w:t xml:space="preserve"> of the sector and to determine what policies could improve competition in the most effective way.</w:t>
      </w:r>
    </w:p>
    <w:p w14:paraId="665F0164" w14:textId="77777777" w:rsidR="00295BE6" w:rsidRPr="004B2A73" w:rsidRDefault="00295BE6" w:rsidP="00295BE6">
      <w:pPr>
        <w:pStyle w:val="ListParagraph"/>
        <w:spacing w:after="0"/>
        <w:ind w:left="0"/>
        <w:rPr>
          <w:rFonts w:ascii="Calibri" w:hAnsi="Calibri"/>
          <w:b/>
          <w:sz w:val="24"/>
        </w:rPr>
      </w:pPr>
    </w:p>
    <w:p w14:paraId="58136A46" w14:textId="4C27507F" w:rsidR="00F406DA" w:rsidRPr="004B2A73" w:rsidRDefault="004126C1" w:rsidP="00FD6EFA">
      <w:pPr>
        <w:pStyle w:val="Caption"/>
      </w:pPr>
      <w:bookmarkStart w:id="28" w:name="_Toc485377040"/>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5</w:t>
      </w:r>
      <w:r w:rsidR="00520B46" w:rsidRPr="004B2A73">
        <w:rPr>
          <w:rFonts w:ascii="Calibri" w:hAnsi="Calibri"/>
          <w:noProof/>
        </w:rPr>
        <w:fldChar w:fldCharType="end"/>
      </w:r>
      <w:r w:rsidRPr="004B2A73">
        <w:rPr>
          <w:rFonts w:ascii="Calibri" w:hAnsi="Calibri"/>
          <w:noProof/>
        </w:rPr>
        <w:t xml:space="preserve">: Share of </w:t>
      </w:r>
      <w:r w:rsidR="00B54553" w:rsidRPr="004B2A73">
        <w:rPr>
          <w:rFonts w:ascii="Calibri" w:hAnsi="Calibri"/>
          <w:noProof/>
        </w:rPr>
        <w:t xml:space="preserve">Main </w:t>
      </w:r>
      <w:r w:rsidR="000453CF" w:rsidRPr="004B2A73">
        <w:rPr>
          <w:rFonts w:ascii="Calibri" w:hAnsi="Calibri"/>
          <w:noProof/>
        </w:rPr>
        <w:t xml:space="preserve">Shipping </w:t>
      </w:r>
      <w:r w:rsidR="00B54553" w:rsidRPr="004B2A73">
        <w:rPr>
          <w:rFonts w:ascii="Calibri" w:hAnsi="Calibri"/>
          <w:noProof/>
        </w:rPr>
        <w:t xml:space="preserve">Lines and Terminal Operators in </w:t>
      </w:r>
      <w:r w:rsidRPr="004B2A73">
        <w:rPr>
          <w:rFonts w:ascii="Calibri" w:hAnsi="Calibri"/>
          <w:noProof/>
        </w:rPr>
        <w:t>West Africa</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896"/>
      </w:tblGrid>
      <w:tr w:rsidR="004126C1" w:rsidRPr="004B2A73" w14:paraId="53D86B1B" w14:textId="77777777" w:rsidTr="00880586">
        <w:tc>
          <w:tcPr>
            <w:tcW w:w="4464" w:type="dxa"/>
          </w:tcPr>
          <w:p w14:paraId="7BE0E794" w14:textId="77777777" w:rsidR="004126C1" w:rsidRPr="004B2A73" w:rsidRDefault="004126C1" w:rsidP="00D047A7">
            <w:pPr>
              <w:rPr>
                <w:rFonts w:ascii="Calibri" w:hAnsi="Calibri"/>
                <w:sz w:val="24"/>
                <w:szCs w:val="24"/>
              </w:rPr>
            </w:pPr>
            <w:r w:rsidRPr="004B2A73">
              <w:rPr>
                <w:rFonts w:ascii="Calibri" w:hAnsi="Calibri"/>
                <w:noProof/>
              </w:rPr>
              <w:drawing>
                <wp:inline distT="0" distB="0" distL="0" distR="0" wp14:anchorId="4253E34F" wp14:editId="334F5FC0">
                  <wp:extent cx="2590800" cy="2424113"/>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210509" w14:textId="77777777" w:rsidR="004126C1" w:rsidRPr="003345CA" w:rsidRDefault="004126C1" w:rsidP="000453CF">
            <w:pPr>
              <w:rPr>
                <w:rFonts w:ascii="Calibri" w:hAnsi="Calibri"/>
                <w:sz w:val="20"/>
                <w:szCs w:val="20"/>
              </w:rPr>
            </w:pPr>
            <w:r w:rsidRPr="003345CA">
              <w:rPr>
                <w:rFonts w:ascii="Calibri" w:hAnsi="Calibri"/>
                <w:sz w:val="20"/>
                <w:szCs w:val="20"/>
              </w:rPr>
              <w:t xml:space="preserve">Source: </w:t>
            </w:r>
            <w:r w:rsidR="000453CF" w:rsidRPr="003345CA">
              <w:rPr>
                <w:rFonts w:ascii="Calibri" w:hAnsi="Calibri"/>
                <w:sz w:val="20"/>
                <w:szCs w:val="20"/>
              </w:rPr>
              <w:t>C</w:t>
            </w:r>
            <w:r w:rsidRPr="003345CA">
              <w:rPr>
                <w:rFonts w:ascii="Calibri" w:hAnsi="Calibri"/>
                <w:sz w:val="20"/>
                <w:szCs w:val="20"/>
              </w:rPr>
              <w:t xml:space="preserve">apacity deployed in 2014, </w:t>
            </w:r>
            <w:r w:rsidR="000453CF" w:rsidRPr="003345CA">
              <w:rPr>
                <w:rFonts w:ascii="Calibri" w:hAnsi="Calibri"/>
                <w:sz w:val="20"/>
                <w:szCs w:val="20"/>
              </w:rPr>
              <w:t xml:space="preserve">from </w:t>
            </w:r>
            <w:r w:rsidRPr="003345CA">
              <w:rPr>
                <w:rFonts w:ascii="Calibri" w:hAnsi="Calibri"/>
                <w:sz w:val="20"/>
                <w:szCs w:val="20"/>
              </w:rPr>
              <w:t>Drewry data</w:t>
            </w:r>
            <w:r w:rsidR="000453CF" w:rsidRPr="003345CA">
              <w:rPr>
                <w:rFonts w:ascii="Calibri" w:hAnsi="Calibri"/>
                <w:sz w:val="20"/>
                <w:szCs w:val="20"/>
              </w:rPr>
              <w:t>,</w:t>
            </w:r>
            <w:r w:rsidRPr="003345CA">
              <w:rPr>
                <w:rFonts w:ascii="Calibri" w:hAnsi="Calibri"/>
                <w:sz w:val="20"/>
                <w:szCs w:val="20"/>
              </w:rPr>
              <w:t xml:space="preserve"> prepared by ECORYS</w:t>
            </w:r>
          </w:p>
        </w:tc>
        <w:tc>
          <w:tcPr>
            <w:tcW w:w="4896" w:type="dxa"/>
          </w:tcPr>
          <w:p w14:paraId="53CB163E" w14:textId="77777777" w:rsidR="004126C1" w:rsidRPr="004B2A73" w:rsidRDefault="004126C1" w:rsidP="00D047A7">
            <w:pPr>
              <w:rPr>
                <w:rFonts w:ascii="Calibri" w:hAnsi="Calibri"/>
                <w:sz w:val="24"/>
                <w:szCs w:val="24"/>
              </w:rPr>
            </w:pPr>
            <w:r w:rsidRPr="004B2A73">
              <w:rPr>
                <w:rFonts w:ascii="Calibri" w:hAnsi="Calibri"/>
                <w:noProof/>
                <w:sz w:val="24"/>
                <w:szCs w:val="24"/>
              </w:rPr>
              <w:drawing>
                <wp:inline distT="0" distB="0" distL="0" distR="0" wp14:anchorId="7ED591F8" wp14:editId="486556DD">
                  <wp:extent cx="2771775" cy="242379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21189F" w14:textId="77777777" w:rsidR="004126C1" w:rsidRPr="003345CA" w:rsidRDefault="004126C1" w:rsidP="00705F7A">
            <w:pPr>
              <w:rPr>
                <w:rFonts w:ascii="Calibri" w:hAnsi="Calibri"/>
                <w:sz w:val="20"/>
                <w:szCs w:val="20"/>
              </w:rPr>
            </w:pPr>
            <w:r w:rsidRPr="003345CA">
              <w:rPr>
                <w:rFonts w:ascii="Calibri" w:hAnsi="Calibri"/>
                <w:sz w:val="20"/>
                <w:szCs w:val="20"/>
              </w:rPr>
              <w:t xml:space="preserve">Source: Authors calculation from container throughput </w:t>
            </w:r>
            <w:r w:rsidR="00293F94" w:rsidRPr="003345CA">
              <w:rPr>
                <w:rFonts w:ascii="Calibri" w:hAnsi="Calibri"/>
                <w:sz w:val="20"/>
                <w:szCs w:val="20"/>
              </w:rPr>
              <w:t xml:space="preserve">in </w:t>
            </w:r>
            <w:r w:rsidRPr="003345CA">
              <w:rPr>
                <w:rFonts w:ascii="Calibri" w:hAnsi="Calibri"/>
                <w:sz w:val="20"/>
                <w:szCs w:val="20"/>
              </w:rPr>
              <w:t>2013</w:t>
            </w:r>
            <w:r w:rsidR="00293F94" w:rsidRPr="003345CA">
              <w:rPr>
                <w:rFonts w:ascii="Calibri" w:hAnsi="Calibri"/>
                <w:sz w:val="20"/>
                <w:szCs w:val="20"/>
              </w:rPr>
              <w:t>,</w:t>
            </w:r>
            <w:r w:rsidRPr="003345CA">
              <w:rPr>
                <w:rFonts w:ascii="Calibri" w:hAnsi="Calibri"/>
                <w:sz w:val="20"/>
                <w:szCs w:val="20"/>
              </w:rPr>
              <w:t xml:space="preserve"> reported by port authorities</w:t>
            </w:r>
          </w:p>
          <w:p w14:paraId="5DBA6C45" w14:textId="77777777" w:rsidR="004126C1" w:rsidRPr="004B2A73" w:rsidRDefault="004126C1" w:rsidP="00D047A7">
            <w:pPr>
              <w:rPr>
                <w:rFonts w:ascii="Calibri" w:hAnsi="Calibri"/>
                <w:sz w:val="24"/>
                <w:szCs w:val="24"/>
              </w:rPr>
            </w:pPr>
          </w:p>
        </w:tc>
      </w:tr>
    </w:tbl>
    <w:p w14:paraId="3091D50F" w14:textId="77777777" w:rsidR="00CC3869" w:rsidRPr="004B2A73" w:rsidRDefault="00CC3869" w:rsidP="00AF33A5">
      <w:pPr>
        <w:pStyle w:val="Caption"/>
        <w:rPr>
          <w:rFonts w:ascii="Calibri" w:hAnsi="Calibri"/>
        </w:rPr>
      </w:pPr>
    </w:p>
    <w:p w14:paraId="65A769A7" w14:textId="41D8A232" w:rsidR="00295BE6" w:rsidRPr="004B2A73" w:rsidRDefault="000E6252">
      <w:pPr>
        <w:pStyle w:val="Caption"/>
        <w:rPr>
          <w:rFonts w:ascii="Calibri" w:hAnsi="Calibri"/>
        </w:rPr>
      </w:pPr>
      <w:bookmarkStart w:id="29" w:name="_Toc485381912"/>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w:t>
      </w:r>
      <w:r w:rsidR="00811885" w:rsidRPr="004B2A73">
        <w:rPr>
          <w:rFonts w:ascii="Calibri" w:hAnsi="Calibri"/>
          <w:noProof/>
        </w:rPr>
        <w:fldChar w:fldCharType="end"/>
      </w:r>
      <w:r w:rsidRPr="004B2A73">
        <w:rPr>
          <w:rFonts w:ascii="Calibri" w:hAnsi="Calibri"/>
        </w:rPr>
        <w:t xml:space="preserve">: </w:t>
      </w:r>
      <w:r w:rsidR="0079107C">
        <w:t xml:space="preserve">Key </w:t>
      </w:r>
      <w:r w:rsidR="0079107C" w:rsidRPr="000E6252">
        <w:t xml:space="preserve">Market Conditions </w:t>
      </w:r>
      <w:r w:rsidR="0079107C">
        <w:t>impacting competition in the ports sector</w:t>
      </w:r>
      <w:bookmarkEnd w:id="29"/>
    </w:p>
    <w:tbl>
      <w:tblPr>
        <w:tblStyle w:val="TableGrid"/>
        <w:tblW w:w="0" w:type="auto"/>
        <w:tblLook w:val="04A0" w:firstRow="1" w:lastRow="0" w:firstColumn="1" w:lastColumn="0" w:noHBand="0" w:noVBand="1"/>
      </w:tblPr>
      <w:tblGrid>
        <w:gridCol w:w="2098"/>
        <w:gridCol w:w="3061"/>
        <w:gridCol w:w="3061"/>
        <w:gridCol w:w="907"/>
      </w:tblGrid>
      <w:tr w:rsidR="0018123A" w:rsidRPr="004B2A73" w14:paraId="16D47E49" w14:textId="77777777" w:rsidTr="00DC5EF8">
        <w:tc>
          <w:tcPr>
            <w:tcW w:w="2098" w:type="dxa"/>
          </w:tcPr>
          <w:p w14:paraId="628D1743" w14:textId="77777777" w:rsidR="0018123A" w:rsidRPr="004B2A73" w:rsidRDefault="0018123A" w:rsidP="0018123A">
            <w:pPr>
              <w:rPr>
                <w:rFonts w:ascii="Calibri" w:hAnsi="Calibri"/>
              </w:rPr>
            </w:pPr>
            <w:r>
              <w:t>Criteria</w:t>
            </w:r>
          </w:p>
        </w:tc>
        <w:tc>
          <w:tcPr>
            <w:tcW w:w="3061" w:type="dxa"/>
          </w:tcPr>
          <w:p w14:paraId="59C25F3F" w14:textId="77777777" w:rsidR="0018123A" w:rsidRPr="004B2A73" w:rsidRDefault="0018123A" w:rsidP="0018123A">
            <w:pPr>
              <w:rPr>
                <w:rFonts w:ascii="Calibri" w:hAnsi="Calibri"/>
              </w:rPr>
            </w:pPr>
            <w:r>
              <w:t>Comments</w:t>
            </w:r>
          </w:p>
        </w:tc>
        <w:tc>
          <w:tcPr>
            <w:tcW w:w="3061" w:type="dxa"/>
          </w:tcPr>
          <w:p w14:paraId="10CCE209" w14:textId="77777777" w:rsidR="0018123A" w:rsidRPr="004B2A73" w:rsidRDefault="0018123A" w:rsidP="0018123A">
            <w:pPr>
              <w:rPr>
                <w:rFonts w:ascii="Calibri" w:hAnsi="Calibri"/>
              </w:rPr>
            </w:pPr>
            <w:r>
              <w:t>Situation in West Africa</w:t>
            </w:r>
          </w:p>
        </w:tc>
        <w:tc>
          <w:tcPr>
            <w:tcW w:w="907" w:type="dxa"/>
          </w:tcPr>
          <w:p w14:paraId="1F082732" w14:textId="77777777" w:rsidR="0018123A" w:rsidRPr="004B2A73" w:rsidRDefault="0018123A" w:rsidP="0018123A">
            <w:pPr>
              <w:rPr>
                <w:rFonts w:ascii="Calibri" w:hAnsi="Calibri"/>
              </w:rPr>
            </w:pPr>
            <w:r>
              <w:t>Check</w:t>
            </w:r>
          </w:p>
        </w:tc>
      </w:tr>
      <w:tr w:rsidR="0018123A" w:rsidRPr="004B2A73" w14:paraId="675E559B" w14:textId="77777777" w:rsidTr="00DC5EF8">
        <w:tc>
          <w:tcPr>
            <w:tcW w:w="2098" w:type="dxa"/>
          </w:tcPr>
          <w:p w14:paraId="70FD772E" w14:textId="77777777" w:rsidR="0018123A" w:rsidRPr="004B2A73" w:rsidRDefault="0018123A" w:rsidP="0018123A">
            <w:pPr>
              <w:rPr>
                <w:rFonts w:ascii="Calibri" w:hAnsi="Calibri"/>
              </w:rPr>
            </w:pPr>
            <w:r>
              <w:lastRenderedPageBreak/>
              <w:t>Concentration levels</w:t>
            </w:r>
          </w:p>
        </w:tc>
        <w:tc>
          <w:tcPr>
            <w:tcW w:w="3061" w:type="dxa"/>
          </w:tcPr>
          <w:p w14:paraId="46D2168C" w14:textId="77777777" w:rsidR="0018123A" w:rsidRPr="004B2A73" w:rsidRDefault="0018123A" w:rsidP="0018123A">
            <w:pPr>
              <w:rPr>
                <w:rFonts w:ascii="Calibri" w:hAnsi="Calibri"/>
              </w:rPr>
            </w:pPr>
            <w:r w:rsidRPr="00D17567">
              <w:t>C</w:t>
            </w:r>
            <w:r>
              <w:t>ompetition is severely limited when there are few firms in the market allowing participating firms to monitor competitor’s actions</w:t>
            </w:r>
          </w:p>
        </w:tc>
        <w:tc>
          <w:tcPr>
            <w:tcW w:w="3061" w:type="dxa"/>
          </w:tcPr>
          <w:p w14:paraId="04B7D600" w14:textId="42B4433F" w:rsidR="0018123A" w:rsidRPr="004B2A73" w:rsidRDefault="0018123A" w:rsidP="0018123A">
            <w:pPr>
              <w:rPr>
                <w:rFonts w:ascii="Calibri" w:hAnsi="Calibri"/>
              </w:rPr>
            </w:pPr>
            <w:r>
              <w:t xml:space="preserve">At present, </w:t>
            </w:r>
            <w:r w:rsidR="006352D8">
              <w:t>there are</w:t>
            </w:r>
            <w:r>
              <w:t xml:space="preserve"> </w:t>
            </w:r>
            <w:r w:rsidR="006352D8">
              <w:t>two operators</w:t>
            </w:r>
            <w:r>
              <w:t xml:space="preserve"> which together control 80% of the total container market</w:t>
            </w:r>
          </w:p>
        </w:tc>
        <w:tc>
          <w:tcPr>
            <w:tcW w:w="907" w:type="dxa"/>
          </w:tcPr>
          <w:p w14:paraId="1B996903" w14:textId="77777777" w:rsidR="0018123A" w:rsidRPr="004B2A73" w:rsidRDefault="0018123A" w:rsidP="0018123A">
            <w:pPr>
              <w:jc w:val="center"/>
              <w:rPr>
                <w:rFonts w:ascii="Calibri" w:hAnsi="Calibri"/>
              </w:rPr>
            </w:pPr>
            <w:r>
              <w:sym w:font="Wingdings" w:char="F0FE"/>
            </w:r>
          </w:p>
        </w:tc>
      </w:tr>
      <w:tr w:rsidR="0018123A" w:rsidRPr="004B2A73" w14:paraId="1C9FCE1B" w14:textId="77777777" w:rsidTr="00DC5EF8">
        <w:tc>
          <w:tcPr>
            <w:tcW w:w="2098" w:type="dxa"/>
          </w:tcPr>
          <w:p w14:paraId="2906FA05" w14:textId="77777777" w:rsidR="0018123A" w:rsidRPr="004B2A73" w:rsidRDefault="0018123A" w:rsidP="0018123A">
            <w:pPr>
              <w:rPr>
                <w:rFonts w:ascii="Calibri" w:hAnsi="Calibri"/>
              </w:rPr>
            </w:pPr>
            <w:r>
              <w:t>High barriers to entry</w:t>
            </w:r>
          </w:p>
        </w:tc>
        <w:tc>
          <w:tcPr>
            <w:tcW w:w="3061" w:type="dxa"/>
          </w:tcPr>
          <w:p w14:paraId="0BB25C13" w14:textId="77777777" w:rsidR="0018123A" w:rsidRDefault="0018123A" w:rsidP="0018123A">
            <w:r>
              <w:t xml:space="preserve">In the case where there are collusive </w:t>
            </w:r>
            <w:r w:rsidRPr="00D17567">
              <w:t>prices</w:t>
            </w:r>
            <w:r>
              <w:t xml:space="preserve">, these </w:t>
            </w:r>
            <w:r w:rsidRPr="00D17567">
              <w:t>act as an incentive for new entrants</w:t>
            </w:r>
            <w:r>
              <w:t>;</w:t>
            </w:r>
            <w:r w:rsidRPr="00D17567">
              <w:t xml:space="preserve"> high barriers </w:t>
            </w:r>
            <w:r>
              <w:t xml:space="preserve">however prevent </w:t>
            </w:r>
            <w:r w:rsidRPr="00D17567">
              <w:t>entry</w:t>
            </w:r>
            <w:r>
              <w:t>, m</w:t>
            </w:r>
            <w:r w:rsidRPr="00D17567">
              <w:t>akin</w:t>
            </w:r>
            <w:r>
              <w:t>g It easier to sustain limited competition</w:t>
            </w:r>
          </w:p>
          <w:p w14:paraId="5482F89A" w14:textId="77777777" w:rsidR="0018123A" w:rsidRPr="004B2A73" w:rsidRDefault="0018123A" w:rsidP="0018123A">
            <w:pPr>
              <w:rPr>
                <w:rFonts w:ascii="Calibri" w:hAnsi="Calibri"/>
              </w:rPr>
            </w:pPr>
          </w:p>
        </w:tc>
        <w:tc>
          <w:tcPr>
            <w:tcW w:w="3061" w:type="dxa"/>
          </w:tcPr>
          <w:p w14:paraId="3F881286" w14:textId="77777777" w:rsidR="0018123A" w:rsidRPr="004B2A73" w:rsidRDefault="0018123A" w:rsidP="0018123A">
            <w:pPr>
              <w:rPr>
                <w:rFonts w:ascii="Calibri" w:hAnsi="Calibri"/>
              </w:rPr>
            </w:pPr>
            <w:r>
              <w:t xml:space="preserve">Though sunk costs in existing terminals are modest, most contracts have long durations providing effective entry barrier.  Political connections of incumbent firms are also an advantage. </w:t>
            </w:r>
          </w:p>
        </w:tc>
        <w:tc>
          <w:tcPr>
            <w:tcW w:w="907" w:type="dxa"/>
          </w:tcPr>
          <w:p w14:paraId="623B6BB4" w14:textId="77777777" w:rsidR="0018123A" w:rsidRPr="004B2A73" w:rsidRDefault="0018123A" w:rsidP="0018123A">
            <w:pPr>
              <w:jc w:val="center"/>
              <w:rPr>
                <w:rFonts w:ascii="Calibri" w:hAnsi="Calibri"/>
              </w:rPr>
            </w:pPr>
            <w:r>
              <w:sym w:font="Wingdings" w:char="F0FE"/>
            </w:r>
          </w:p>
        </w:tc>
      </w:tr>
      <w:tr w:rsidR="0018123A" w:rsidRPr="004B2A73" w14:paraId="77CA82D2" w14:textId="77777777" w:rsidTr="00DC5EF8">
        <w:tc>
          <w:tcPr>
            <w:tcW w:w="2098" w:type="dxa"/>
          </w:tcPr>
          <w:p w14:paraId="39B2A2FF" w14:textId="77777777" w:rsidR="0018123A" w:rsidRPr="004B2A73" w:rsidRDefault="0018123A" w:rsidP="0018123A">
            <w:pPr>
              <w:rPr>
                <w:rFonts w:ascii="Calibri" w:hAnsi="Calibri"/>
              </w:rPr>
            </w:pPr>
            <w:r>
              <w:t>Homogeneous products</w:t>
            </w:r>
          </w:p>
        </w:tc>
        <w:tc>
          <w:tcPr>
            <w:tcW w:w="3061" w:type="dxa"/>
          </w:tcPr>
          <w:p w14:paraId="1523EB87" w14:textId="77777777" w:rsidR="0018123A" w:rsidRPr="004B2A73" w:rsidRDefault="0018123A" w:rsidP="0018123A">
            <w:pPr>
              <w:rPr>
                <w:rFonts w:ascii="Calibri" w:hAnsi="Calibri"/>
              </w:rPr>
            </w:pPr>
            <w:r>
              <w:t>Competition is facilitated and monitoring is harder</w:t>
            </w:r>
            <w:r w:rsidRPr="00D17567">
              <w:t xml:space="preserve"> with differentiated products</w:t>
            </w:r>
          </w:p>
        </w:tc>
        <w:tc>
          <w:tcPr>
            <w:tcW w:w="3061" w:type="dxa"/>
          </w:tcPr>
          <w:p w14:paraId="1E0F5A2F" w14:textId="77777777" w:rsidR="0018123A" w:rsidRPr="004B2A73" w:rsidRDefault="0018123A" w:rsidP="0018123A">
            <w:pPr>
              <w:rPr>
                <w:rFonts w:ascii="Calibri" w:hAnsi="Calibri"/>
              </w:rPr>
            </w:pPr>
            <w:r>
              <w:t>Container handling is an homogeneous product worldwide</w:t>
            </w:r>
          </w:p>
        </w:tc>
        <w:tc>
          <w:tcPr>
            <w:tcW w:w="907" w:type="dxa"/>
          </w:tcPr>
          <w:p w14:paraId="4E038322" w14:textId="77777777" w:rsidR="0018123A" w:rsidRPr="004B2A73" w:rsidRDefault="0018123A" w:rsidP="0018123A">
            <w:pPr>
              <w:jc w:val="center"/>
              <w:rPr>
                <w:rFonts w:ascii="Calibri" w:hAnsi="Calibri"/>
              </w:rPr>
            </w:pPr>
            <w:r>
              <w:sym w:font="Wingdings" w:char="F0FE"/>
            </w:r>
          </w:p>
        </w:tc>
      </w:tr>
      <w:tr w:rsidR="0018123A" w:rsidRPr="004B2A73" w14:paraId="6944486B" w14:textId="77777777" w:rsidTr="00DC5EF8">
        <w:tc>
          <w:tcPr>
            <w:tcW w:w="2098" w:type="dxa"/>
          </w:tcPr>
          <w:p w14:paraId="2F099977" w14:textId="77777777" w:rsidR="0018123A" w:rsidRPr="004B2A73" w:rsidRDefault="0018123A" w:rsidP="0018123A">
            <w:pPr>
              <w:rPr>
                <w:rFonts w:ascii="Calibri" w:hAnsi="Calibri"/>
              </w:rPr>
            </w:pPr>
            <w:r>
              <w:t>Cross ownership</w:t>
            </w:r>
          </w:p>
        </w:tc>
        <w:tc>
          <w:tcPr>
            <w:tcW w:w="3061" w:type="dxa"/>
          </w:tcPr>
          <w:p w14:paraId="1E5148B8" w14:textId="77777777" w:rsidR="0018123A" w:rsidRPr="004B2A73" w:rsidRDefault="0018123A" w:rsidP="0018123A">
            <w:pPr>
              <w:rPr>
                <w:rFonts w:ascii="Calibri" w:hAnsi="Calibri"/>
              </w:rPr>
            </w:pPr>
            <w:r w:rsidRPr="00D17567">
              <w:t xml:space="preserve">Having any degree of participation </w:t>
            </w:r>
            <w:r>
              <w:t xml:space="preserve">with </w:t>
            </w:r>
            <w:r w:rsidRPr="00D17567">
              <w:t xml:space="preserve">a competitor </w:t>
            </w:r>
            <w:r>
              <w:t>increases the risk of</w:t>
            </w:r>
            <w:r w:rsidRPr="00D17567">
              <w:t xml:space="preserve"> collusion</w:t>
            </w:r>
            <w:r>
              <w:t>. It makes information exchange and</w:t>
            </w:r>
            <w:r w:rsidRPr="00D17567">
              <w:t xml:space="preserve"> price coordination easier. It also reduces the incentives to compet</w:t>
            </w:r>
            <w:r>
              <w:t xml:space="preserve">e in the marketplace. </w:t>
            </w:r>
          </w:p>
        </w:tc>
        <w:tc>
          <w:tcPr>
            <w:tcW w:w="3061" w:type="dxa"/>
          </w:tcPr>
          <w:p w14:paraId="2F5F7032" w14:textId="77777777" w:rsidR="0018123A" w:rsidRDefault="0018123A" w:rsidP="0018123A">
            <w:r>
              <w:t>In West Africa and Central Africa, the dominant TOC’s  are also jointly operating terminals (Tema, Abidjan 1 and 2, Douala, Pointe Noire)</w:t>
            </w:r>
          </w:p>
          <w:p w14:paraId="7B5FEE39" w14:textId="77777777" w:rsidR="0018123A" w:rsidRPr="004B2A73" w:rsidRDefault="0018123A" w:rsidP="0018123A">
            <w:pPr>
              <w:rPr>
                <w:rFonts w:ascii="Calibri" w:hAnsi="Calibri"/>
              </w:rPr>
            </w:pPr>
            <w:r>
              <w:t xml:space="preserve">Different forms of integration: operational, financial and contractual (as in joint ventures) are all present in the port sector in West Africa.   </w:t>
            </w:r>
          </w:p>
        </w:tc>
        <w:tc>
          <w:tcPr>
            <w:tcW w:w="907" w:type="dxa"/>
          </w:tcPr>
          <w:p w14:paraId="2A430C86" w14:textId="77777777" w:rsidR="0018123A" w:rsidRPr="004B2A73" w:rsidRDefault="0018123A" w:rsidP="0018123A">
            <w:pPr>
              <w:jc w:val="center"/>
              <w:rPr>
                <w:rFonts w:ascii="Calibri" w:hAnsi="Calibri"/>
              </w:rPr>
            </w:pPr>
            <w:r>
              <w:sym w:font="Wingdings" w:char="F0FE"/>
            </w:r>
          </w:p>
        </w:tc>
      </w:tr>
      <w:tr w:rsidR="0018123A" w:rsidRPr="004B2A73" w14:paraId="6FF342D6" w14:textId="77777777" w:rsidTr="00DC5EF8">
        <w:tc>
          <w:tcPr>
            <w:tcW w:w="2098" w:type="dxa"/>
          </w:tcPr>
          <w:p w14:paraId="7B9B259B" w14:textId="77777777" w:rsidR="0018123A" w:rsidRPr="004B2A73" w:rsidRDefault="0018123A" w:rsidP="0018123A">
            <w:pPr>
              <w:rPr>
                <w:rFonts w:ascii="Calibri" w:hAnsi="Calibri"/>
              </w:rPr>
            </w:pPr>
            <w:r>
              <w:t>Regular orders</w:t>
            </w:r>
          </w:p>
        </w:tc>
        <w:tc>
          <w:tcPr>
            <w:tcW w:w="3061" w:type="dxa"/>
          </w:tcPr>
          <w:p w14:paraId="09FEAB5D" w14:textId="77777777" w:rsidR="0018123A" w:rsidRPr="004B2A73" w:rsidRDefault="0018123A" w:rsidP="0018123A">
            <w:pPr>
              <w:rPr>
                <w:rFonts w:ascii="Calibri" w:hAnsi="Calibri"/>
              </w:rPr>
            </w:pPr>
            <w:r w:rsidRPr="00D17567">
              <w:t xml:space="preserve">The high frequency of orders </w:t>
            </w:r>
            <w:r>
              <w:t>increases the risk of</w:t>
            </w:r>
            <w:r w:rsidRPr="00D17567">
              <w:t xml:space="preserve"> co</w:t>
            </w:r>
            <w:r>
              <w:t xml:space="preserve">llusion because it allows for </w:t>
            </w:r>
            <w:r w:rsidRPr="00D17567">
              <w:t>timely punishment in case of deviation, since the infringer will not risk losing regular collusive profits</w:t>
            </w:r>
          </w:p>
        </w:tc>
        <w:tc>
          <w:tcPr>
            <w:tcW w:w="3061" w:type="dxa"/>
          </w:tcPr>
          <w:p w14:paraId="0A00D299" w14:textId="77777777" w:rsidR="0018123A" w:rsidRDefault="0018123A" w:rsidP="0018123A">
            <w:r>
              <w:t>Not applicable:</w:t>
            </w:r>
          </w:p>
          <w:p w14:paraId="5C9BF9D1" w14:textId="77777777" w:rsidR="0018123A" w:rsidRDefault="0018123A" w:rsidP="0018123A">
            <w:r>
              <w:t>Contracts between shipping lines and TOC are generally for long periods</w:t>
            </w:r>
          </w:p>
          <w:p w14:paraId="66CBB6A4" w14:textId="77777777" w:rsidR="0018123A" w:rsidRPr="004B2A73" w:rsidRDefault="0018123A" w:rsidP="0018123A">
            <w:pPr>
              <w:rPr>
                <w:rFonts w:ascii="Calibri" w:hAnsi="Calibri"/>
              </w:rPr>
            </w:pPr>
            <w:r>
              <w:t xml:space="preserve">There are no contractual arrangements per se between TOC and shippers </w:t>
            </w:r>
          </w:p>
        </w:tc>
        <w:tc>
          <w:tcPr>
            <w:tcW w:w="907" w:type="dxa"/>
          </w:tcPr>
          <w:p w14:paraId="302AAB1D" w14:textId="77777777" w:rsidR="0018123A" w:rsidRPr="004B2A73" w:rsidRDefault="0018123A" w:rsidP="0018123A">
            <w:pPr>
              <w:jc w:val="center"/>
              <w:rPr>
                <w:rFonts w:ascii="Calibri" w:hAnsi="Calibri"/>
              </w:rPr>
            </w:pPr>
          </w:p>
        </w:tc>
      </w:tr>
      <w:tr w:rsidR="0018123A" w:rsidRPr="004B2A73" w14:paraId="03221709" w14:textId="77777777" w:rsidTr="00DC5EF8">
        <w:tc>
          <w:tcPr>
            <w:tcW w:w="2098" w:type="dxa"/>
          </w:tcPr>
          <w:p w14:paraId="6257FAA2" w14:textId="77777777" w:rsidR="0018123A" w:rsidRPr="004B2A73" w:rsidRDefault="0018123A" w:rsidP="0018123A">
            <w:pPr>
              <w:rPr>
                <w:rFonts w:ascii="Calibri" w:hAnsi="Calibri"/>
              </w:rPr>
            </w:pPr>
            <w:r>
              <w:t>Symmetric firms</w:t>
            </w:r>
          </w:p>
        </w:tc>
        <w:tc>
          <w:tcPr>
            <w:tcW w:w="3061" w:type="dxa"/>
          </w:tcPr>
          <w:p w14:paraId="64371275" w14:textId="77777777" w:rsidR="0018123A" w:rsidRPr="004B2A73" w:rsidRDefault="0018123A" w:rsidP="0018123A">
            <w:pPr>
              <w:rPr>
                <w:rFonts w:ascii="Calibri" w:hAnsi="Calibri"/>
              </w:rPr>
            </w:pPr>
            <w:r>
              <w:t xml:space="preserve">Mutually advantageous </w:t>
            </w:r>
            <w:r w:rsidRPr="00D17567">
              <w:t>agreement</w:t>
            </w:r>
            <w:r>
              <w:t>s are easier to reach and sustain for fir</w:t>
            </w:r>
            <w:r w:rsidRPr="00D17567">
              <w:t xml:space="preserve">ms </w:t>
            </w:r>
            <w:r>
              <w:t xml:space="preserve">with equal bargaining power. </w:t>
            </w:r>
          </w:p>
        </w:tc>
        <w:tc>
          <w:tcPr>
            <w:tcW w:w="3061" w:type="dxa"/>
          </w:tcPr>
          <w:p w14:paraId="2FCC0B24" w14:textId="77777777" w:rsidR="0018123A" w:rsidRPr="004B2A73" w:rsidRDefault="0018123A" w:rsidP="0018123A">
            <w:pPr>
              <w:rPr>
                <w:rFonts w:ascii="Calibri" w:hAnsi="Calibri"/>
              </w:rPr>
            </w:pPr>
            <w:r>
              <w:t xml:space="preserve">The market is more or less equally divided between the main operating companies conferring equal bargaining power to each. </w:t>
            </w:r>
          </w:p>
        </w:tc>
        <w:tc>
          <w:tcPr>
            <w:tcW w:w="907" w:type="dxa"/>
          </w:tcPr>
          <w:p w14:paraId="41D4287D" w14:textId="77777777" w:rsidR="0018123A" w:rsidRPr="004B2A73" w:rsidRDefault="0018123A" w:rsidP="0018123A">
            <w:pPr>
              <w:jc w:val="center"/>
              <w:rPr>
                <w:rFonts w:ascii="Calibri" w:hAnsi="Calibri"/>
              </w:rPr>
            </w:pPr>
            <w:r>
              <w:sym w:font="Wingdings" w:char="F0FE"/>
            </w:r>
          </w:p>
        </w:tc>
      </w:tr>
      <w:tr w:rsidR="0018123A" w:rsidRPr="004B2A73" w14:paraId="38355474" w14:textId="77777777" w:rsidTr="00DC5EF8">
        <w:tc>
          <w:tcPr>
            <w:tcW w:w="2098" w:type="dxa"/>
          </w:tcPr>
          <w:p w14:paraId="4DDA5CA8" w14:textId="77777777" w:rsidR="0018123A" w:rsidRPr="004B2A73" w:rsidRDefault="0018123A" w:rsidP="0018123A">
            <w:pPr>
              <w:rPr>
                <w:rFonts w:ascii="Calibri" w:hAnsi="Calibri"/>
              </w:rPr>
            </w:pPr>
            <w:r>
              <w:t>Inelastic demand</w:t>
            </w:r>
          </w:p>
        </w:tc>
        <w:tc>
          <w:tcPr>
            <w:tcW w:w="3061" w:type="dxa"/>
          </w:tcPr>
          <w:p w14:paraId="4D216F33" w14:textId="77777777" w:rsidR="0018123A" w:rsidRPr="004B2A73" w:rsidRDefault="0018123A" w:rsidP="0018123A">
            <w:pPr>
              <w:rPr>
                <w:rFonts w:ascii="Calibri" w:hAnsi="Calibri"/>
              </w:rPr>
            </w:pPr>
            <w:r>
              <w:t>In case of collusive practices, d</w:t>
            </w:r>
            <w:r w:rsidRPr="00D17567">
              <w:t>emand elasticity affects the level of the maximum collusive price</w:t>
            </w:r>
            <w:r>
              <w:t xml:space="preserve">. </w:t>
            </w:r>
          </w:p>
        </w:tc>
        <w:tc>
          <w:tcPr>
            <w:tcW w:w="3061" w:type="dxa"/>
          </w:tcPr>
          <w:p w14:paraId="16B3E407" w14:textId="77777777" w:rsidR="0018123A" w:rsidRPr="004B2A73" w:rsidRDefault="0018123A" w:rsidP="0018123A">
            <w:pPr>
              <w:rPr>
                <w:rFonts w:ascii="Calibri" w:hAnsi="Calibri"/>
              </w:rPr>
            </w:pPr>
            <w:r>
              <w:t xml:space="preserve">Demand from shippers would be relatively inelastic as most countries have a single CT.   </w:t>
            </w:r>
          </w:p>
        </w:tc>
        <w:tc>
          <w:tcPr>
            <w:tcW w:w="907" w:type="dxa"/>
          </w:tcPr>
          <w:p w14:paraId="0E3F949F" w14:textId="77777777" w:rsidR="0018123A" w:rsidRPr="004B2A73" w:rsidRDefault="0018123A" w:rsidP="0018123A">
            <w:pPr>
              <w:jc w:val="center"/>
              <w:rPr>
                <w:rFonts w:ascii="Calibri" w:hAnsi="Calibri"/>
              </w:rPr>
            </w:pPr>
            <w:r>
              <w:sym w:font="Wingdings" w:char="F0FE"/>
            </w:r>
          </w:p>
        </w:tc>
      </w:tr>
      <w:tr w:rsidR="0018123A" w:rsidRPr="004B2A73" w14:paraId="738B8DF7" w14:textId="77777777" w:rsidTr="00DC5EF8">
        <w:tc>
          <w:tcPr>
            <w:tcW w:w="2098" w:type="dxa"/>
          </w:tcPr>
          <w:p w14:paraId="70F5C4EC" w14:textId="77777777" w:rsidR="0018123A" w:rsidRPr="004B2A73" w:rsidRDefault="0018123A" w:rsidP="0018123A">
            <w:pPr>
              <w:rPr>
                <w:rFonts w:ascii="Calibri" w:hAnsi="Calibri"/>
              </w:rPr>
            </w:pPr>
            <w:r>
              <w:t>Inventories and excess capacities</w:t>
            </w:r>
          </w:p>
        </w:tc>
        <w:tc>
          <w:tcPr>
            <w:tcW w:w="3061" w:type="dxa"/>
          </w:tcPr>
          <w:p w14:paraId="1F908952" w14:textId="77777777" w:rsidR="0018123A" w:rsidRPr="004B2A73" w:rsidRDefault="0018123A" w:rsidP="0018123A">
            <w:pPr>
              <w:rPr>
                <w:rFonts w:ascii="Calibri" w:hAnsi="Calibri"/>
              </w:rPr>
            </w:pPr>
            <w:r w:rsidRPr="00D17567">
              <w:t>If firms are endowed with large capacities or excess inventories they might have incentives to reduce production</w:t>
            </w:r>
          </w:p>
        </w:tc>
        <w:tc>
          <w:tcPr>
            <w:tcW w:w="3061" w:type="dxa"/>
          </w:tcPr>
          <w:p w14:paraId="06F0E4BC" w14:textId="77777777" w:rsidR="0018123A" w:rsidRPr="004B2A73" w:rsidRDefault="0018123A" w:rsidP="0018123A">
            <w:pPr>
              <w:rPr>
                <w:rFonts w:ascii="Calibri" w:hAnsi="Calibri"/>
              </w:rPr>
            </w:pPr>
            <w:r>
              <w:t>By nature, transport infrastructure has excess capacity.</w:t>
            </w:r>
          </w:p>
        </w:tc>
        <w:tc>
          <w:tcPr>
            <w:tcW w:w="907" w:type="dxa"/>
          </w:tcPr>
          <w:p w14:paraId="6283C0E2" w14:textId="77777777" w:rsidR="0018123A" w:rsidRPr="004B2A73" w:rsidRDefault="0018123A" w:rsidP="0018123A">
            <w:pPr>
              <w:jc w:val="center"/>
              <w:rPr>
                <w:rFonts w:ascii="Calibri" w:hAnsi="Calibri"/>
              </w:rPr>
            </w:pPr>
            <w:r>
              <w:sym w:font="Wingdings" w:char="F0FE"/>
            </w:r>
          </w:p>
        </w:tc>
      </w:tr>
      <w:tr w:rsidR="0018123A" w:rsidRPr="004B2A73" w14:paraId="1DCDD1B0" w14:textId="77777777" w:rsidTr="00DC5EF8">
        <w:tc>
          <w:tcPr>
            <w:tcW w:w="2098" w:type="dxa"/>
          </w:tcPr>
          <w:p w14:paraId="4BD24433" w14:textId="77777777" w:rsidR="0018123A" w:rsidRPr="004B2A73" w:rsidRDefault="0018123A" w:rsidP="0018123A">
            <w:pPr>
              <w:rPr>
                <w:rFonts w:ascii="Calibri" w:hAnsi="Calibri"/>
              </w:rPr>
            </w:pPr>
            <w:r>
              <w:lastRenderedPageBreak/>
              <w:t>Multi-market contracts among firms</w:t>
            </w:r>
          </w:p>
        </w:tc>
        <w:tc>
          <w:tcPr>
            <w:tcW w:w="3061" w:type="dxa"/>
          </w:tcPr>
          <w:p w14:paraId="5C8F41F3" w14:textId="77777777" w:rsidR="0018123A" w:rsidRPr="004B2A73" w:rsidRDefault="0018123A" w:rsidP="0018123A">
            <w:pPr>
              <w:rPr>
                <w:rFonts w:ascii="Calibri" w:hAnsi="Calibri"/>
              </w:rPr>
            </w:pPr>
            <w:r w:rsidRPr="00D17567">
              <w:t>The same firms meeting in different markets could facilitate collusion</w:t>
            </w:r>
          </w:p>
        </w:tc>
        <w:tc>
          <w:tcPr>
            <w:tcW w:w="3061" w:type="dxa"/>
          </w:tcPr>
          <w:p w14:paraId="7EE1F6EB" w14:textId="77777777" w:rsidR="0018123A" w:rsidRPr="004B2A73" w:rsidRDefault="0018123A" w:rsidP="0018123A">
            <w:pPr>
              <w:rPr>
                <w:rFonts w:ascii="Calibri" w:hAnsi="Calibri"/>
              </w:rPr>
            </w:pPr>
            <w:r w:rsidRPr="0018123A">
              <w:t xml:space="preserve">Shipping lines and TOCs are vertically integrated, including provision of   inland logistics. </w:t>
            </w:r>
          </w:p>
        </w:tc>
        <w:tc>
          <w:tcPr>
            <w:tcW w:w="907" w:type="dxa"/>
          </w:tcPr>
          <w:p w14:paraId="3DCA87F0" w14:textId="77777777" w:rsidR="0018123A" w:rsidRPr="004B2A73" w:rsidRDefault="0018123A" w:rsidP="0018123A">
            <w:pPr>
              <w:jc w:val="center"/>
              <w:rPr>
                <w:rFonts w:ascii="Calibri" w:hAnsi="Calibri"/>
              </w:rPr>
            </w:pPr>
            <w:r>
              <w:sym w:font="Wingdings" w:char="F0FE"/>
            </w:r>
          </w:p>
        </w:tc>
      </w:tr>
    </w:tbl>
    <w:p w14:paraId="7BF21C0F" w14:textId="77777777" w:rsidR="009A06C4" w:rsidRPr="004B2A73" w:rsidRDefault="009A06C4" w:rsidP="00295BE6">
      <w:pPr>
        <w:pStyle w:val="ListParagraph"/>
        <w:spacing w:after="0"/>
        <w:ind w:left="0"/>
        <w:rPr>
          <w:rFonts w:ascii="Calibri" w:hAnsi="Calibri"/>
          <w:sz w:val="24"/>
        </w:rPr>
      </w:pPr>
    </w:p>
    <w:p w14:paraId="122B6476" w14:textId="77777777" w:rsidR="00CC3869" w:rsidRPr="004B2A73" w:rsidRDefault="00CC3869" w:rsidP="00295BE6">
      <w:pPr>
        <w:pStyle w:val="ListParagraph"/>
        <w:spacing w:after="0"/>
        <w:ind w:left="0"/>
        <w:rPr>
          <w:rFonts w:ascii="Calibri" w:hAnsi="Calibri"/>
          <w:sz w:val="24"/>
        </w:rPr>
      </w:pPr>
    </w:p>
    <w:p w14:paraId="530DA4BA" w14:textId="77777777" w:rsidR="000923D1" w:rsidRPr="00404219" w:rsidRDefault="000923D1" w:rsidP="00E826B9">
      <w:pPr>
        <w:pStyle w:val="ListParagraph"/>
        <w:numPr>
          <w:ilvl w:val="0"/>
          <w:numId w:val="6"/>
        </w:numPr>
        <w:spacing w:after="0"/>
        <w:ind w:left="0" w:firstLine="0"/>
        <w:jc w:val="both"/>
        <w:rPr>
          <w:sz w:val="24"/>
        </w:rPr>
      </w:pPr>
      <w:r w:rsidRPr="003F34F5">
        <w:rPr>
          <w:b/>
          <w:sz w:val="24"/>
        </w:rPr>
        <w:t>Buyer power of downstream operators, such as shipping companies, can be a powerful way to compensate for the market power of port services providers</w:t>
      </w:r>
      <w:r w:rsidRPr="00404219">
        <w:rPr>
          <w:sz w:val="24"/>
        </w:rPr>
        <w:t xml:space="preserve">, although this is </w:t>
      </w:r>
      <w:r>
        <w:rPr>
          <w:sz w:val="24"/>
        </w:rPr>
        <w:t>not the case in West Africa due to t</w:t>
      </w:r>
      <w:r w:rsidRPr="00404219">
        <w:rPr>
          <w:sz w:val="24"/>
        </w:rPr>
        <w:t>he high degree of vertical integration of the leading operators and their strategic partnerships with the major shipping lines active in the region (e.g. Maersk</w:t>
      </w:r>
      <w:r>
        <w:rPr>
          <w:sz w:val="24"/>
        </w:rPr>
        <w:t xml:space="preserve"> and APM Terminals</w:t>
      </w:r>
      <w:r w:rsidRPr="00404219">
        <w:rPr>
          <w:sz w:val="24"/>
        </w:rPr>
        <w:t xml:space="preserve">). </w:t>
      </w:r>
      <w:r>
        <w:rPr>
          <w:sz w:val="24"/>
        </w:rPr>
        <w:t xml:space="preserve"> Joint c</w:t>
      </w:r>
      <w:r w:rsidRPr="00404219">
        <w:rPr>
          <w:sz w:val="24"/>
        </w:rPr>
        <w:t xml:space="preserve">ontrol over </w:t>
      </w:r>
      <w:r>
        <w:rPr>
          <w:sz w:val="24"/>
        </w:rPr>
        <w:t xml:space="preserve">the </w:t>
      </w:r>
      <w:r w:rsidRPr="00404219">
        <w:rPr>
          <w:sz w:val="24"/>
        </w:rPr>
        <w:t xml:space="preserve">major container terminals along the coast also reduces the possibility for users to switch to rival services, although the presence of competitors in some ports, such as Dakar, </w:t>
      </w:r>
      <w:r>
        <w:rPr>
          <w:sz w:val="24"/>
        </w:rPr>
        <w:t>Lomé</w:t>
      </w:r>
      <w:r w:rsidRPr="00404219">
        <w:rPr>
          <w:sz w:val="24"/>
        </w:rPr>
        <w:t xml:space="preserve"> and San Pedro, may provide some leeway for this. Whether the entry of a small number of new players will result in an intensification of competitive pressures or an alliance with historical operators is still unclear and will require monitoring in the future.</w:t>
      </w:r>
    </w:p>
    <w:p w14:paraId="629A885C" w14:textId="77777777" w:rsidR="00C82EB4" w:rsidRPr="004B2A73" w:rsidRDefault="00C82EB4" w:rsidP="00C82EB4">
      <w:pPr>
        <w:pStyle w:val="ListParagraph"/>
        <w:spacing w:after="0"/>
        <w:ind w:left="0"/>
        <w:rPr>
          <w:rFonts w:ascii="Calibri" w:hAnsi="Calibri"/>
          <w:sz w:val="24"/>
        </w:rPr>
      </w:pPr>
    </w:p>
    <w:p w14:paraId="5D6E2449" w14:textId="370DE549" w:rsidR="00DC5EF8" w:rsidRPr="004B2A73" w:rsidRDefault="0021001B" w:rsidP="00E826B9">
      <w:pPr>
        <w:pStyle w:val="ListParagraph"/>
        <w:numPr>
          <w:ilvl w:val="0"/>
          <w:numId w:val="6"/>
        </w:numPr>
        <w:spacing w:after="0"/>
        <w:ind w:left="0" w:firstLine="0"/>
        <w:jc w:val="both"/>
        <w:rPr>
          <w:rStyle w:val="CommentReference"/>
          <w:rFonts w:ascii="Calibri" w:hAnsi="Calibri"/>
          <w:bCs/>
          <w:iCs/>
          <w:sz w:val="24"/>
          <w:szCs w:val="22"/>
        </w:rPr>
      </w:pPr>
      <w:r w:rsidRPr="003345CA">
        <w:rPr>
          <w:b/>
          <w:bCs/>
          <w:sz w:val="24"/>
        </w:rPr>
        <w:t>Container handling charges generally appear to be quite high in the region.  A</w:t>
      </w:r>
      <w:r w:rsidRPr="00A02468">
        <w:rPr>
          <w:b/>
          <w:bCs/>
          <w:sz w:val="24"/>
        </w:rPr>
        <w:t xml:space="preserve"> systematic analysis of the market power of </w:t>
      </w:r>
      <w:r w:rsidR="003345CA">
        <w:rPr>
          <w:b/>
          <w:bCs/>
          <w:sz w:val="24"/>
        </w:rPr>
        <w:t>TOC</w:t>
      </w:r>
      <w:r w:rsidRPr="00A02468">
        <w:rPr>
          <w:b/>
          <w:bCs/>
          <w:sz w:val="24"/>
        </w:rPr>
        <w:t xml:space="preserve">s in West Africa and its consequences is needed to understand the welfare implications of the price and service quality offered by operators.  </w:t>
      </w:r>
      <w:r w:rsidRPr="00A02468">
        <w:rPr>
          <w:sz w:val="24"/>
        </w:rPr>
        <w:t xml:space="preserve">Excessive market power by terminal operating companies creates a risk of abuse of their dominant position. Some broad calculations (presented later) indicate that returns are far higher than indicated to compensate for difficult local conditions and the risk taken by operators. In a parallel situation, which concerns the shipping lines and their respective stevedoring subsidiaries and not the terminal operator per se, the </w:t>
      </w:r>
      <w:r w:rsidRPr="00A02468">
        <w:rPr>
          <w:i/>
          <w:iCs/>
          <w:sz w:val="24"/>
        </w:rPr>
        <w:t xml:space="preserve">de facto </w:t>
      </w:r>
      <w:r w:rsidRPr="00A02468">
        <w:rPr>
          <w:sz w:val="24"/>
        </w:rPr>
        <w:t xml:space="preserve">monopoly established by the stevedoring companies for container deliveries in the Abidjan metropolitan area excludes smaller transport companies from the market, and their market power seems to have enabled operators to set excessively high prices for </w:t>
      </w:r>
      <w:r w:rsidR="00DC5EF8" w:rsidRPr="004B2A73">
        <w:rPr>
          <w:rFonts w:ascii="Calibri" w:hAnsi="Calibri"/>
          <w:sz w:val="24"/>
        </w:rPr>
        <w:t>captive customers</w:t>
      </w:r>
      <w:r w:rsidR="00DC5EF8" w:rsidRPr="004B2A73">
        <w:rPr>
          <w:rFonts w:ascii="Calibri" w:hAnsi="Calibri"/>
          <w:sz w:val="24"/>
          <w:vertAlign w:val="superscript"/>
        </w:rPr>
        <w:footnoteReference w:id="18"/>
      </w:r>
      <w:r w:rsidR="00DC5EF8" w:rsidRPr="004B2A73">
        <w:rPr>
          <w:rFonts w:ascii="Calibri" w:hAnsi="Calibri"/>
          <w:sz w:val="24"/>
        </w:rPr>
        <w:t xml:space="preserve">. </w:t>
      </w:r>
    </w:p>
    <w:p w14:paraId="6572EFD1" w14:textId="77777777" w:rsidR="00DC5EF8" w:rsidRPr="004B2A73" w:rsidRDefault="00DC5EF8" w:rsidP="00C82EB4">
      <w:pPr>
        <w:pStyle w:val="ListParagraph"/>
        <w:spacing w:after="0"/>
        <w:ind w:left="0"/>
        <w:rPr>
          <w:rFonts w:ascii="Calibri" w:hAnsi="Calibri"/>
          <w:sz w:val="24"/>
        </w:rPr>
      </w:pPr>
    </w:p>
    <w:p w14:paraId="056702F7" w14:textId="4594AB0B" w:rsidR="00EF6D4A" w:rsidRPr="00E5661C" w:rsidRDefault="001014A0" w:rsidP="00E826B9">
      <w:pPr>
        <w:pStyle w:val="ListParagraph"/>
        <w:numPr>
          <w:ilvl w:val="0"/>
          <w:numId w:val="6"/>
        </w:numPr>
        <w:spacing w:after="0"/>
        <w:ind w:left="0" w:firstLine="0"/>
        <w:jc w:val="both"/>
        <w:rPr>
          <w:sz w:val="24"/>
          <w:szCs w:val="24"/>
        </w:rPr>
      </w:pPr>
      <w:r>
        <w:rPr>
          <w:b/>
          <w:sz w:val="24"/>
          <w:szCs w:val="24"/>
        </w:rPr>
        <w:t>Insufficient tran</w:t>
      </w:r>
      <w:r w:rsidR="00785A7D">
        <w:rPr>
          <w:b/>
          <w:sz w:val="24"/>
          <w:szCs w:val="24"/>
        </w:rPr>
        <w:t>sparency</w:t>
      </w:r>
      <w:r w:rsidR="00EF6D4A" w:rsidRPr="00E5661C">
        <w:rPr>
          <w:b/>
          <w:sz w:val="24"/>
          <w:szCs w:val="24"/>
        </w:rPr>
        <w:t xml:space="preserve"> and the structure of port tariffs make comparison across ports and regions difficult, but the trading across borders of the Doing Business indicators </w:t>
      </w:r>
      <w:r w:rsidR="00870DB0">
        <w:rPr>
          <w:b/>
          <w:sz w:val="24"/>
          <w:szCs w:val="24"/>
        </w:rPr>
        <w:t>can be used as a</w:t>
      </w:r>
      <w:r w:rsidR="00EF6D4A" w:rsidRPr="00E5661C">
        <w:rPr>
          <w:b/>
          <w:sz w:val="24"/>
          <w:szCs w:val="24"/>
        </w:rPr>
        <w:t xml:space="preserve"> proxy for </w:t>
      </w:r>
      <w:r w:rsidR="00870DB0">
        <w:rPr>
          <w:b/>
          <w:sz w:val="24"/>
          <w:szCs w:val="24"/>
        </w:rPr>
        <w:t xml:space="preserve">estimating port </w:t>
      </w:r>
      <w:r w:rsidR="00EF6D4A" w:rsidRPr="00E5661C">
        <w:rPr>
          <w:b/>
          <w:sz w:val="24"/>
          <w:szCs w:val="24"/>
        </w:rPr>
        <w:t>handling costs.</w:t>
      </w:r>
      <w:r w:rsidR="00EF6D4A" w:rsidRPr="00E5661C">
        <w:rPr>
          <w:sz w:val="24"/>
          <w:szCs w:val="24"/>
        </w:rPr>
        <w:t xml:space="preserve"> The challenge of </w:t>
      </w:r>
      <w:r w:rsidR="00EF6D4A" w:rsidRPr="00E5661C">
        <w:rPr>
          <w:rFonts w:ascii="Calibri" w:hAnsi="Calibri"/>
          <w:sz w:val="24"/>
          <w:szCs w:val="24"/>
        </w:rPr>
        <w:t>collecting</w:t>
      </w:r>
      <w:r w:rsidR="00EF6D4A" w:rsidRPr="00E5661C">
        <w:rPr>
          <w:sz w:val="24"/>
          <w:szCs w:val="24"/>
        </w:rPr>
        <w:t xml:space="preserve"> tariffs that are frequently not </w:t>
      </w:r>
      <w:r w:rsidR="00FD5158">
        <w:rPr>
          <w:sz w:val="24"/>
          <w:szCs w:val="24"/>
        </w:rPr>
        <w:t xml:space="preserve">widely </w:t>
      </w:r>
      <w:r w:rsidR="00EF6D4A" w:rsidRPr="00E5661C">
        <w:rPr>
          <w:sz w:val="24"/>
          <w:szCs w:val="24"/>
        </w:rPr>
        <w:t>published</w:t>
      </w:r>
      <w:r w:rsidR="00FD5158">
        <w:rPr>
          <w:sz w:val="24"/>
          <w:szCs w:val="24"/>
        </w:rPr>
        <w:t xml:space="preserve"> beyond the immediate port community</w:t>
      </w:r>
      <w:r w:rsidR="00EF6D4A" w:rsidRPr="00E5661C">
        <w:rPr>
          <w:sz w:val="24"/>
          <w:szCs w:val="24"/>
        </w:rPr>
        <w:t xml:space="preserve"> is compounded by the facts that sometimes container handling is charged indirectly to the shippers (for instance through THC –Terminal Handling Charges – or partly included in the sea freight according to the liner terms) and that tariff structures differ in tariff items and in special conditions. Fortunately, the World Bank Doing Business indicators monitor the cost of trading across borders worldwide. The indicators record the time and cost associated with the logistical process of exporting and importing goods. Under the new methodology introduced </w:t>
      </w:r>
      <w:r w:rsidR="00FD5158">
        <w:rPr>
          <w:sz w:val="24"/>
          <w:szCs w:val="24"/>
        </w:rPr>
        <w:t>in 2015</w:t>
      </w:r>
      <w:r w:rsidR="00EF6D4A" w:rsidRPr="00E5661C">
        <w:rPr>
          <w:sz w:val="24"/>
          <w:szCs w:val="24"/>
        </w:rPr>
        <w:t xml:space="preserve">, Doing Business measures the </w:t>
      </w:r>
      <w:r w:rsidR="00EF6D4A" w:rsidRPr="00E5661C">
        <w:rPr>
          <w:sz w:val="24"/>
          <w:szCs w:val="24"/>
        </w:rPr>
        <w:lastRenderedPageBreak/>
        <w:t>time and cost (excluding tariffs) associated with three sets of procedures: documentary compliance, border compliance and domestic transport</w:t>
      </w:r>
      <w:r w:rsidR="00EF6D4A" w:rsidRPr="00E5661C">
        <w:rPr>
          <w:rStyle w:val="FootnoteReference"/>
          <w:sz w:val="24"/>
          <w:szCs w:val="24"/>
        </w:rPr>
        <w:footnoteReference w:id="19"/>
      </w:r>
      <w:r w:rsidR="00EF6D4A" w:rsidRPr="00E5661C">
        <w:rPr>
          <w:sz w:val="24"/>
          <w:szCs w:val="24"/>
        </w:rPr>
        <w:t>. In the case of coastal countries, the cost of border compliance corresponds to port handling and customs clearance at the port, and for landlocked countries, the cost of border compliance corresponds to handling and inspections at the land border crossing, by nature less costly.</w:t>
      </w:r>
    </w:p>
    <w:p w14:paraId="5BE96FA2" w14:textId="77777777" w:rsidR="00DC5EF8" w:rsidRPr="004B2A73" w:rsidRDefault="00DC5EF8" w:rsidP="00DC5EF8">
      <w:pPr>
        <w:pStyle w:val="Numbered"/>
        <w:numPr>
          <w:ilvl w:val="0"/>
          <w:numId w:val="0"/>
        </w:numPr>
        <w:rPr>
          <w:rFonts w:ascii="Calibri" w:hAnsi="Calibri"/>
        </w:rPr>
      </w:pPr>
    </w:p>
    <w:p w14:paraId="256C72A5" w14:textId="2897DE67" w:rsidR="00DC5EF8" w:rsidRPr="004B2A73" w:rsidRDefault="00DC5EF8" w:rsidP="00DC5EF8">
      <w:pPr>
        <w:pStyle w:val="Caption"/>
        <w:rPr>
          <w:rFonts w:ascii="Calibri" w:hAnsi="Calibri"/>
        </w:rPr>
      </w:pPr>
      <w:bookmarkStart w:id="30" w:name="_Ref451328151"/>
      <w:bookmarkStart w:id="31" w:name="_Toc485377041"/>
      <w:r w:rsidRPr="004B2A73">
        <w:rPr>
          <w:rFonts w:ascii="Calibri" w:hAnsi="Calibri"/>
        </w:rPr>
        <w:t xml:space="preserve">Figure </w:t>
      </w:r>
      <w:r w:rsidRPr="004B2A73">
        <w:rPr>
          <w:rFonts w:ascii="Calibri" w:hAnsi="Calibri"/>
        </w:rPr>
        <w:fldChar w:fldCharType="begin"/>
      </w:r>
      <w:r w:rsidRPr="004B2A73">
        <w:rPr>
          <w:rFonts w:ascii="Calibri" w:hAnsi="Calibri"/>
        </w:rPr>
        <w:instrText xml:space="preserve"> SEQ Figure \* ARABIC </w:instrText>
      </w:r>
      <w:r w:rsidRPr="004B2A73">
        <w:rPr>
          <w:rFonts w:ascii="Calibri" w:hAnsi="Calibri"/>
        </w:rPr>
        <w:fldChar w:fldCharType="separate"/>
      </w:r>
      <w:r w:rsidR="00212D01">
        <w:rPr>
          <w:rFonts w:ascii="Calibri" w:hAnsi="Calibri"/>
          <w:noProof/>
        </w:rPr>
        <w:t>6</w:t>
      </w:r>
      <w:r w:rsidRPr="004B2A73">
        <w:rPr>
          <w:rFonts w:ascii="Calibri" w:hAnsi="Calibri"/>
        </w:rPr>
        <w:fldChar w:fldCharType="end"/>
      </w:r>
      <w:bookmarkEnd w:id="30"/>
      <w:r w:rsidRPr="004B2A73">
        <w:rPr>
          <w:rFonts w:ascii="Calibri" w:hAnsi="Calibri"/>
        </w:rPr>
        <w:t>: Cost of border compliance, Doing Business 2016 indicators, World Bank</w:t>
      </w:r>
      <w:bookmarkEnd w:id="31"/>
    </w:p>
    <w:p w14:paraId="4C76E0C8" w14:textId="77777777" w:rsidR="00DC5EF8" w:rsidRPr="004B2A73" w:rsidRDefault="00DC5EF8" w:rsidP="00DC5EF8">
      <w:pPr>
        <w:pStyle w:val="Numbered"/>
        <w:numPr>
          <w:ilvl w:val="0"/>
          <w:numId w:val="0"/>
        </w:numPr>
        <w:rPr>
          <w:rFonts w:ascii="Calibri" w:hAnsi="Calibri"/>
        </w:rPr>
      </w:pPr>
      <w:r w:rsidRPr="004B2A73">
        <w:rPr>
          <w:rFonts w:ascii="Calibri" w:hAnsi="Calibri"/>
          <w:noProof/>
        </w:rPr>
        <w:drawing>
          <wp:inline distT="0" distB="0" distL="0" distR="0" wp14:anchorId="615FF84D" wp14:editId="39C58315">
            <wp:extent cx="5505450" cy="2362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9A4562" w14:textId="77777777" w:rsidR="00DC5EF8" w:rsidRPr="004B2A73" w:rsidRDefault="00DC5EF8" w:rsidP="00DC5EF8">
      <w:pPr>
        <w:pStyle w:val="Numbered"/>
        <w:numPr>
          <w:ilvl w:val="0"/>
          <w:numId w:val="0"/>
        </w:numPr>
        <w:rPr>
          <w:rFonts w:ascii="Calibri" w:hAnsi="Calibri"/>
        </w:rPr>
      </w:pPr>
    </w:p>
    <w:p w14:paraId="5A3F3209" w14:textId="36327F7C" w:rsidR="00DC5EF8" w:rsidRPr="006010C8" w:rsidRDefault="00EF6D4A" w:rsidP="00E826B9">
      <w:pPr>
        <w:pStyle w:val="ListParagraph"/>
        <w:numPr>
          <w:ilvl w:val="0"/>
          <w:numId w:val="6"/>
        </w:numPr>
        <w:spacing w:after="0"/>
        <w:ind w:left="0" w:firstLine="0"/>
        <w:jc w:val="both"/>
        <w:rPr>
          <w:sz w:val="24"/>
          <w:szCs w:val="24"/>
        </w:rPr>
      </w:pPr>
      <w:r w:rsidRPr="00E5661C">
        <w:rPr>
          <w:b/>
          <w:sz w:val="24"/>
          <w:szCs w:val="24"/>
        </w:rPr>
        <w:t xml:space="preserve">At regional level, Sub-Sahara Africa has the highest </w:t>
      </w:r>
      <w:r w:rsidR="00BB3539">
        <w:rPr>
          <w:b/>
          <w:sz w:val="24"/>
          <w:szCs w:val="24"/>
        </w:rPr>
        <w:t>Border Compliance</w:t>
      </w:r>
      <w:r w:rsidR="00BB3539" w:rsidRPr="003345CA">
        <w:rPr>
          <w:b/>
          <w:sz w:val="24"/>
          <w:szCs w:val="24"/>
        </w:rPr>
        <w:t xml:space="preserve"> </w:t>
      </w:r>
      <w:r w:rsidRPr="003345CA">
        <w:rPr>
          <w:b/>
          <w:sz w:val="24"/>
          <w:szCs w:val="24"/>
        </w:rPr>
        <w:t>costs</w:t>
      </w:r>
      <w:r w:rsidRPr="00E5661C">
        <w:rPr>
          <w:b/>
          <w:sz w:val="24"/>
          <w:szCs w:val="24"/>
        </w:rPr>
        <w:t xml:space="preserve"> (when combining import and export) among all regions.</w:t>
      </w:r>
      <w:r w:rsidRPr="00E5661C">
        <w:rPr>
          <w:sz w:val="24"/>
          <w:szCs w:val="24"/>
        </w:rPr>
        <w:t xml:space="preserve"> In </w:t>
      </w:r>
      <w:r w:rsidRPr="00E5661C">
        <w:rPr>
          <w:sz w:val="24"/>
          <w:szCs w:val="24"/>
          <w:highlight w:val="yellow"/>
        </w:rPr>
        <w:fldChar w:fldCharType="begin"/>
      </w:r>
      <w:r w:rsidRPr="00E5661C">
        <w:rPr>
          <w:sz w:val="24"/>
          <w:szCs w:val="24"/>
        </w:rPr>
        <w:instrText xml:space="preserve"> REF _Ref451328151 \h </w:instrText>
      </w:r>
      <w:r w:rsidR="00E5661C">
        <w:rPr>
          <w:sz w:val="24"/>
          <w:szCs w:val="24"/>
          <w:highlight w:val="yellow"/>
        </w:rPr>
        <w:instrText xml:space="preserve"> \* MERGEFORMAT </w:instrText>
      </w:r>
      <w:r w:rsidRPr="00E5661C">
        <w:rPr>
          <w:sz w:val="24"/>
          <w:szCs w:val="24"/>
          <w:highlight w:val="yellow"/>
        </w:rPr>
      </w:r>
      <w:r w:rsidRPr="00E5661C">
        <w:rPr>
          <w:sz w:val="24"/>
          <w:szCs w:val="24"/>
          <w:highlight w:val="yellow"/>
        </w:rPr>
        <w:fldChar w:fldCharType="separate"/>
      </w:r>
      <w:r w:rsidR="00212D01" w:rsidRPr="00212D01">
        <w:rPr>
          <w:sz w:val="24"/>
          <w:szCs w:val="24"/>
        </w:rPr>
        <w:t xml:space="preserve">Figure </w:t>
      </w:r>
      <w:r w:rsidR="00212D01" w:rsidRPr="00212D01">
        <w:rPr>
          <w:noProof/>
          <w:sz w:val="24"/>
          <w:szCs w:val="24"/>
        </w:rPr>
        <w:t>6</w:t>
      </w:r>
      <w:r w:rsidRPr="00E5661C">
        <w:rPr>
          <w:sz w:val="24"/>
          <w:szCs w:val="24"/>
          <w:highlight w:val="yellow"/>
        </w:rPr>
        <w:fldChar w:fldCharType="end"/>
      </w:r>
      <w:r w:rsidRPr="00E5661C">
        <w:rPr>
          <w:sz w:val="24"/>
          <w:szCs w:val="24"/>
        </w:rPr>
        <w:t xml:space="preserve"> the average cost of border compliance has been calculated for West Africa coastal countries in order to compare only port related costs. A regional comparison shows that South Asia and the Latin America &amp; Caribbean have slightly higher </w:t>
      </w:r>
      <w:r w:rsidR="00BB3539">
        <w:rPr>
          <w:sz w:val="24"/>
          <w:szCs w:val="24"/>
        </w:rPr>
        <w:t xml:space="preserve">border compliance </w:t>
      </w:r>
      <w:r w:rsidRPr="00E5661C">
        <w:rPr>
          <w:sz w:val="24"/>
          <w:szCs w:val="24"/>
        </w:rPr>
        <w:t xml:space="preserve">costs to import, but much lower </w:t>
      </w:r>
      <w:r w:rsidR="00BB3539">
        <w:rPr>
          <w:sz w:val="24"/>
          <w:szCs w:val="24"/>
        </w:rPr>
        <w:t xml:space="preserve">border compliance </w:t>
      </w:r>
      <w:r w:rsidRPr="00E5661C">
        <w:rPr>
          <w:sz w:val="24"/>
          <w:szCs w:val="24"/>
        </w:rPr>
        <w:t xml:space="preserve">costs to export, which confers a competitive advantage to their exports. The cost of border </w:t>
      </w:r>
      <w:r w:rsidRPr="00E5661C">
        <w:rPr>
          <w:rFonts w:ascii="Calibri" w:hAnsi="Calibri"/>
          <w:sz w:val="24"/>
          <w:szCs w:val="24"/>
        </w:rPr>
        <w:t>compliance</w:t>
      </w:r>
      <w:r w:rsidRPr="00E5661C">
        <w:rPr>
          <w:sz w:val="24"/>
          <w:szCs w:val="24"/>
        </w:rPr>
        <w:t xml:space="preserve"> for Coastal West Africa is higher than the Sub-Sahara Africa average, and therefore higher than all other regions, for both imports and exports. The costs of border compliance at ports in the Coastal West African countries are dispersed widely, ranging from $786 to $1,077 for a 20’ container for imports, and $163 to $786 for exports. A further breakdown by countries where container terminals are under concession and countries without concessions shows a consistent trend of higher costs for concessioned terminals.  In </w:t>
      </w:r>
      <w:r w:rsidRPr="00E5661C">
        <w:rPr>
          <w:sz w:val="24"/>
          <w:szCs w:val="24"/>
        </w:rPr>
        <w:fldChar w:fldCharType="begin"/>
      </w:r>
      <w:r w:rsidRPr="00E5661C">
        <w:rPr>
          <w:sz w:val="24"/>
          <w:szCs w:val="24"/>
        </w:rPr>
        <w:instrText xml:space="preserve"> REF _Ref451328240 \h </w:instrText>
      </w:r>
      <w:r w:rsidR="00E5661C">
        <w:rPr>
          <w:sz w:val="24"/>
          <w:szCs w:val="24"/>
        </w:rPr>
        <w:instrText xml:space="preserve"> \* MERGEFORMAT </w:instrText>
      </w:r>
      <w:r w:rsidRPr="00E5661C">
        <w:rPr>
          <w:sz w:val="24"/>
          <w:szCs w:val="24"/>
        </w:rPr>
      </w:r>
      <w:r w:rsidRPr="00E5661C">
        <w:rPr>
          <w:sz w:val="24"/>
          <w:szCs w:val="24"/>
        </w:rPr>
        <w:fldChar w:fldCharType="separate"/>
      </w:r>
      <w:r w:rsidR="00212D01" w:rsidRPr="00212D01">
        <w:rPr>
          <w:sz w:val="24"/>
          <w:szCs w:val="24"/>
        </w:rPr>
        <w:t xml:space="preserve">Figure </w:t>
      </w:r>
      <w:r w:rsidR="00212D01" w:rsidRPr="00212D01">
        <w:rPr>
          <w:noProof/>
          <w:sz w:val="24"/>
          <w:szCs w:val="24"/>
        </w:rPr>
        <w:t>7</w:t>
      </w:r>
      <w:r w:rsidRPr="00E5661C">
        <w:rPr>
          <w:sz w:val="24"/>
          <w:szCs w:val="24"/>
        </w:rPr>
        <w:fldChar w:fldCharType="end"/>
      </w:r>
      <w:r w:rsidRPr="00E5661C">
        <w:rPr>
          <w:sz w:val="24"/>
          <w:szCs w:val="24"/>
        </w:rPr>
        <w:t>, the lowest portion groups the ports managed by TOCs</w:t>
      </w:r>
      <w:r w:rsidR="00F72D47">
        <w:rPr>
          <w:sz w:val="24"/>
          <w:szCs w:val="24"/>
        </w:rPr>
        <w:t xml:space="preserve"> (i.e. Togo to </w:t>
      </w:r>
      <w:r w:rsidR="00785A7D">
        <w:rPr>
          <w:sz w:val="24"/>
          <w:szCs w:val="24"/>
        </w:rPr>
        <w:t>B</w:t>
      </w:r>
      <w:r w:rsidR="00F72D47">
        <w:rPr>
          <w:sz w:val="24"/>
          <w:szCs w:val="24"/>
        </w:rPr>
        <w:t>enin)</w:t>
      </w:r>
      <w:r w:rsidRPr="00E5661C">
        <w:rPr>
          <w:sz w:val="24"/>
          <w:szCs w:val="24"/>
        </w:rPr>
        <w:t xml:space="preserve">, while the top shows ports without concessions. The cost profiles are quite contrasted: In ports without concessions, the difference between import and export costs is minimal and in three out of four countries, it is more expensive to export than to import.  In ports with concessions, handling charges for imports are 32% higher than for ports without concessions. As indicated earlier, traffic in West Africa is imbalanced, with import flows </w:t>
      </w:r>
      <w:r w:rsidRPr="00E5661C">
        <w:rPr>
          <w:sz w:val="24"/>
          <w:szCs w:val="24"/>
        </w:rPr>
        <w:lastRenderedPageBreak/>
        <w:t>dominating. In ports under concession, TOC are applying differentiated tariffs, and the cost to import is 41% higher than the cost to export.</w:t>
      </w:r>
    </w:p>
    <w:p w14:paraId="456F632E" w14:textId="77777777" w:rsidR="00DC5EF8" w:rsidRPr="004B2A73" w:rsidRDefault="00DC5EF8" w:rsidP="00DC5EF8">
      <w:pPr>
        <w:pStyle w:val="Numbered"/>
        <w:numPr>
          <w:ilvl w:val="0"/>
          <w:numId w:val="0"/>
        </w:numPr>
        <w:rPr>
          <w:rFonts w:ascii="Calibri" w:hAnsi="Calibri"/>
        </w:rPr>
      </w:pPr>
    </w:p>
    <w:p w14:paraId="5D3CA25E" w14:textId="25780552" w:rsidR="00DC5EF8" w:rsidRPr="004B2A73" w:rsidRDefault="00DC5EF8" w:rsidP="00DC5EF8">
      <w:pPr>
        <w:pStyle w:val="Caption"/>
        <w:rPr>
          <w:rFonts w:ascii="Calibri" w:hAnsi="Calibri"/>
        </w:rPr>
      </w:pPr>
      <w:bookmarkStart w:id="32" w:name="_Ref451328240"/>
      <w:bookmarkStart w:id="33" w:name="_Toc485377042"/>
      <w:r w:rsidRPr="004B2A73">
        <w:rPr>
          <w:rFonts w:ascii="Calibri" w:hAnsi="Calibri"/>
        </w:rPr>
        <w:t xml:space="preserve">Figure </w:t>
      </w:r>
      <w:r w:rsidRPr="004B2A73">
        <w:rPr>
          <w:rFonts w:ascii="Calibri" w:hAnsi="Calibri"/>
        </w:rPr>
        <w:fldChar w:fldCharType="begin"/>
      </w:r>
      <w:r w:rsidRPr="004B2A73">
        <w:rPr>
          <w:rFonts w:ascii="Calibri" w:hAnsi="Calibri"/>
        </w:rPr>
        <w:instrText xml:space="preserve"> SEQ Figure \* ARABIC </w:instrText>
      </w:r>
      <w:r w:rsidRPr="004B2A73">
        <w:rPr>
          <w:rFonts w:ascii="Calibri" w:hAnsi="Calibri"/>
        </w:rPr>
        <w:fldChar w:fldCharType="separate"/>
      </w:r>
      <w:r w:rsidR="00212D01">
        <w:rPr>
          <w:rFonts w:ascii="Calibri" w:hAnsi="Calibri"/>
          <w:noProof/>
        </w:rPr>
        <w:t>7</w:t>
      </w:r>
      <w:r w:rsidRPr="004B2A73">
        <w:rPr>
          <w:rFonts w:ascii="Calibri" w:hAnsi="Calibri"/>
          <w:noProof/>
        </w:rPr>
        <w:fldChar w:fldCharType="end"/>
      </w:r>
      <w:bookmarkEnd w:id="32"/>
      <w:r w:rsidRPr="004B2A73">
        <w:rPr>
          <w:rFonts w:ascii="Calibri" w:hAnsi="Calibri"/>
        </w:rPr>
        <w:t>: Cost of border compliance for Coastal West Africa, Doing Business indicators 2016, World Bank</w:t>
      </w:r>
      <w:bookmarkEnd w:id="33"/>
    </w:p>
    <w:p w14:paraId="4B514D92" w14:textId="38C2A644" w:rsidR="00DC5EF8" w:rsidRPr="004B2A73" w:rsidRDefault="00DC5EF8" w:rsidP="006010C8">
      <w:pPr>
        <w:pStyle w:val="Numbered"/>
        <w:numPr>
          <w:ilvl w:val="0"/>
          <w:numId w:val="0"/>
        </w:numPr>
        <w:rPr>
          <w:rFonts w:ascii="Calibri" w:hAnsi="Calibri"/>
        </w:rPr>
      </w:pPr>
      <w:r w:rsidRPr="004B2A73">
        <w:rPr>
          <w:rFonts w:ascii="Calibri" w:hAnsi="Calibri"/>
          <w:noProof/>
        </w:rPr>
        <w:drawing>
          <wp:inline distT="0" distB="0" distL="0" distR="0" wp14:anchorId="69427FB0" wp14:editId="37297295">
            <wp:extent cx="5934075" cy="378142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19BB86" w14:textId="77777777" w:rsidR="004D5AF4" w:rsidRPr="004B2A73" w:rsidRDefault="004D5AF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Shipping lines and shippers, the main customer groups of container terminals,</w:t>
      </w:r>
      <w:r w:rsidRPr="004B2A73">
        <w:rPr>
          <w:rFonts w:ascii="Calibri" w:hAnsi="Calibri"/>
          <w:sz w:val="24"/>
        </w:rPr>
        <w:t xml:space="preserve"> </w:t>
      </w:r>
      <w:r w:rsidRPr="004B2A73">
        <w:rPr>
          <w:rFonts w:ascii="Calibri" w:hAnsi="Calibri"/>
          <w:b/>
          <w:sz w:val="24"/>
        </w:rPr>
        <w:t>are concerned with three types of risks in their use of port services.</w:t>
      </w:r>
      <w:r w:rsidRPr="004B2A73">
        <w:rPr>
          <w:rFonts w:ascii="Calibri" w:hAnsi="Calibri"/>
          <w:sz w:val="24"/>
        </w:rPr>
        <w:t xml:space="preserve">  Without effective public policies, port authorities and terminal operators may not have adequate incentives to provide the highest level of service (operational efficiency, notably handling performances), provide adequate facilities, or guarantee the lowest price (</w:t>
      </w:r>
      <w:r w:rsidR="00B96E0F" w:rsidRPr="004B2A73">
        <w:rPr>
          <w:rFonts w:ascii="Calibri" w:hAnsi="Calibri"/>
          <w:sz w:val="24"/>
        </w:rPr>
        <w:t xml:space="preserve">Table </w:t>
      </w:r>
      <w:r w:rsidR="00A65A12" w:rsidRPr="004B2A73">
        <w:rPr>
          <w:rFonts w:ascii="Calibri" w:hAnsi="Calibri"/>
          <w:sz w:val="24"/>
        </w:rPr>
        <w:t>2</w:t>
      </w:r>
      <w:r w:rsidRPr="004B2A73">
        <w:rPr>
          <w:rFonts w:ascii="Calibri" w:hAnsi="Calibri"/>
          <w:sz w:val="24"/>
        </w:rPr>
        <w:t xml:space="preserve">).  For container traffic, shipping lines and shippers are not exposed to these risks to the same degree. For shipping lines, operational efficiency is often more important than price, </w:t>
      </w:r>
      <w:r w:rsidRPr="000A7291">
        <w:rPr>
          <w:rFonts w:ascii="Calibri" w:hAnsi="Calibri"/>
          <w:sz w:val="24"/>
          <w:szCs w:val="24"/>
        </w:rPr>
        <w:t>because</w:t>
      </w:r>
      <w:r w:rsidRPr="004B2A73">
        <w:rPr>
          <w:rFonts w:ascii="Calibri" w:hAnsi="Calibri"/>
          <w:sz w:val="24"/>
        </w:rPr>
        <w:t xml:space="preserve"> whether chartered or not, ship delays cost money to the line and endanger schedule reliability, which is an important marketing asset. Shippers are indirectly affected by terminal operational efficiency, as poor performance can lead to congestion at the terminal, delaying shipments and incurring various congestion surcharges. However, shippers are more exposed to price risks, particularly as they often have little say in the selection of the port or terminal which influences the shipper’s costs. The port or terminal selected is linked to the selection of the shipping line in the case of multiple terminals in a port, or even more remotely, by the choice of the logistic chain (in which the shipping leg is one component of a more complex succession of nodes and modes) which determines the port.</w:t>
      </w:r>
    </w:p>
    <w:p w14:paraId="3B3BC338" w14:textId="77777777" w:rsidR="00AD6D90" w:rsidRPr="004B2A73" w:rsidRDefault="00AD6D90" w:rsidP="00AD6D90">
      <w:pPr>
        <w:pStyle w:val="ListParagraph"/>
        <w:spacing w:after="0"/>
        <w:ind w:left="0"/>
        <w:rPr>
          <w:rFonts w:ascii="Calibri" w:hAnsi="Calibri"/>
          <w:sz w:val="24"/>
        </w:rPr>
      </w:pPr>
    </w:p>
    <w:p w14:paraId="7EBD1661" w14:textId="3724D94B" w:rsidR="004D5AF4" w:rsidRPr="004B2A73" w:rsidRDefault="003C7E7B" w:rsidP="00AF33A5">
      <w:pPr>
        <w:pStyle w:val="Caption"/>
        <w:rPr>
          <w:rFonts w:ascii="Calibri" w:hAnsi="Calibri"/>
        </w:rPr>
      </w:pPr>
      <w:bookmarkStart w:id="34" w:name="_Ref433387897"/>
      <w:bookmarkStart w:id="35" w:name="_Toc485381913"/>
      <w:r w:rsidRPr="004B2A73">
        <w:rPr>
          <w:rFonts w:ascii="Calibri" w:hAnsi="Calibri"/>
        </w:rPr>
        <w:lastRenderedPageBreak/>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2</w:t>
      </w:r>
      <w:r w:rsidR="00811885" w:rsidRPr="004B2A73">
        <w:rPr>
          <w:rFonts w:ascii="Calibri" w:hAnsi="Calibri"/>
          <w:noProof/>
        </w:rPr>
        <w:fldChar w:fldCharType="end"/>
      </w:r>
      <w:r w:rsidRPr="004B2A73">
        <w:rPr>
          <w:rFonts w:ascii="Calibri" w:hAnsi="Calibri"/>
        </w:rPr>
        <w:t>: Differential Risks to CT Customers</w:t>
      </w:r>
      <w:bookmarkEnd w:id="34"/>
      <w:bookmarkEnd w:id="35"/>
      <w:r w:rsidR="004D5AF4" w:rsidRPr="004B2A73">
        <w:rPr>
          <w:rFonts w:ascii="Calibri" w:hAnsi="Calibri"/>
        </w:rPr>
        <w:t xml:space="preserve"> </w:t>
      </w:r>
    </w:p>
    <w:tbl>
      <w:tblPr>
        <w:tblStyle w:val="ListTable3-Accent31"/>
        <w:tblW w:w="0" w:type="auto"/>
        <w:tblLook w:val="04A0" w:firstRow="1" w:lastRow="0" w:firstColumn="1" w:lastColumn="0" w:noHBand="0" w:noVBand="1"/>
      </w:tblPr>
      <w:tblGrid>
        <w:gridCol w:w="1795"/>
        <w:gridCol w:w="3600"/>
        <w:gridCol w:w="2520"/>
        <w:gridCol w:w="1435"/>
      </w:tblGrid>
      <w:tr w:rsidR="004D5AF4" w:rsidRPr="004B2A73" w14:paraId="6FE5E46C" w14:textId="77777777" w:rsidTr="003A2501">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1795" w:type="dxa"/>
          </w:tcPr>
          <w:p w14:paraId="37107BAD" w14:textId="77777777" w:rsidR="004D5AF4" w:rsidRPr="004B2A73" w:rsidRDefault="00C70D60" w:rsidP="00C70D60">
            <w:pPr>
              <w:pStyle w:val="NoSpacing"/>
              <w:spacing w:after="120"/>
              <w:rPr>
                <w:rFonts w:ascii="Calibri" w:hAnsi="Calibri" w:cs="Times New Roman"/>
                <w:sz w:val="24"/>
                <w:szCs w:val="24"/>
              </w:rPr>
            </w:pPr>
            <w:r w:rsidRPr="004B2A73">
              <w:rPr>
                <w:rFonts w:ascii="Calibri" w:hAnsi="Calibri" w:cs="Times New Roman"/>
                <w:sz w:val="24"/>
                <w:szCs w:val="24"/>
              </w:rPr>
              <w:t xml:space="preserve"> </w:t>
            </w:r>
          </w:p>
        </w:tc>
        <w:tc>
          <w:tcPr>
            <w:tcW w:w="3600" w:type="dxa"/>
            <w:vAlign w:val="center"/>
          </w:tcPr>
          <w:p w14:paraId="0E65802E" w14:textId="77777777" w:rsidR="004D5AF4" w:rsidRPr="004B2A73" w:rsidRDefault="004D5AF4" w:rsidP="00C70D60">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Performance Risk</w:t>
            </w:r>
          </w:p>
        </w:tc>
        <w:tc>
          <w:tcPr>
            <w:tcW w:w="2520" w:type="dxa"/>
            <w:vAlign w:val="center"/>
          </w:tcPr>
          <w:p w14:paraId="66F32080" w14:textId="77777777" w:rsidR="004D5AF4" w:rsidRPr="004B2A73" w:rsidRDefault="004D5AF4" w:rsidP="00295BE6">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Inadequate facilities</w:t>
            </w:r>
          </w:p>
        </w:tc>
        <w:tc>
          <w:tcPr>
            <w:tcW w:w="1435" w:type="dxa"/>
            <w:vAlign w:val="center"/>
          </w:tcPr>
          <w:p w14:paraId="1832CCC2" w14:textId="77777777" w:rsidR="004D5AF4" w:rsidRPr="004B2A73" w:rsidRDefault="004D5AF4" w:rsidP="00295BE6">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 xml:space="preserve">Price Risks </w:t>
            </w:r>
          </w:p>
        </w:tc>
      </w:tr>
      <w:tr w:rsidR="004D5AF4" w:rsidRPr="004B2A73" w14:paraId="277603C1" w14:textId="77777777" w:rsidTr="00295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178FB0B" w14:textId="77777777" w:rsidR="004D5AF4" w:rsidRPr="004B2A73" w:rsidRDefault="004D5AF4" w:rsidP="00295BE6">
            <w:pPr>
              <w:pStyle w:val="NoSpacing"/>
              <w:rPr>
                <w:rFonts w:ascii="Calibri" w:hAnsi="Calibri" w:cs="Times New Roman"/>
                <w:sz w:val="24"/>
                <w:szCs w:val="24"/>
              </w:rPr>
            </w:pPr>
            <w:r w:rsidRPr="004B2A73">
              <w:rPr>
                <w:rFonts w:ascii="Calibri" w:hAnsi="Calibri" w:cs="Times New Roman"/>
                <w:sz w:val="24"/>
                <w:szCs w:val="24"/>
              </w:rPr>
              <w:t>Shipping lines</w:t>
            </w:r>
          </w:p>
        </w:tc>
        <w:tc>
          <w:tcPr>
            <w:tcW w:w="3600" w:type="dxa"/>
          </w:tcPr>
          <w:p w14:paraId="7943BFEA" w14:textId="77777777" w:rsidR="004D5AF4" w:rsidRPr="004B2A73" w:rsidRDefault="004D5AF4" w:rsidP="00295BE6">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Moderate</w:t>
            </w:r>
          </w:p>
        </w:tc>
        <w:tc>
          <w:tcPr>
            <w:tcW w:w="2520" w:type="dxa"/>
          </w:tcPr>
          <w:p w14:paraId="37267BEE" w14:textId="77777777" w:rsidR="004D5AF4" w:rsidRPr="004B2A73" w:rsidRDefault="004D5AF4" w:rsidP="00295BE6">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Moderate to high</w:t>
            </w:r>
          </w:p>
        </w:tc>
        <w:tc>
          <w:tcPr>
            <w:tcW w:w="1435" w:type="dxa"/>
          </w:tcPr>
          <w:p w14:paraId="5A6D201E" w14:textId="77777777" w:rsidR="004D5AF4" w:rsidRPr="004B2A73" w:rsidRDefault="004D5AF4" w:rsidP="00295BE6">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Low</w:t>
            </w:r>
          </w:p>
        </w:tc>
      </w:tr>
      <w:tr w:rsidR="004D5AF4" w:rsidRPr="004B2A73" w14:paraId="286C8A38" w14:textId="77777777" w:rsidTr="00295BE6">
        <w:tc>
          <w:tcPr>
            <w:cnfStyle w:val="001000000000" w:firstRow="0" w:lastRow="0" w:firstColumn="1" w:lastColumn="0" w:oddVBand="0" w:evenVBand="0" w:oddHBand="0" w:evenHBand="0" w:firstRowFirstColumn="0" w:firstRowLastColumn="0" w:lastRowFirstColumn="0" w:lastRowLastColumn="0"/>
            <w:tcW w:w="1795" w:type="dxa"/>
          </w:tcPr>
          <w:p w14:paraId="757AC951" w14:textId="77777777" w:rsidR="004D5AF4" w:rsidRPr="004B2A73" w:rsidRDefault="004D5AF4" w:rsidP="00295BE6">
            <w:pPr>
              <w:pStyle w:val="NoSpacing"/>
              <w:rPr>
                <w:rFonts w:ascii="Calibri" w:hAnsi="Calibri" w:cs="Times New Roman"/>
                <w:sz w:val="24"/>
                <w:szCs w:val="24"/>
              </w:rPr>
            </w:pPr>
            <w:r w:rsidRPr="004B2A73">
              <w:rPr>
                <w:rFonts w:ascii="Calibri" w:hAnsi="Calibri" w:cs="Times New Roman"/>
                <w:sz w:val="24"/>
                <w:szCs w:val="24"/>
              </w:rPr>
              <w:t>Shippers</w:t>
            </w:r>
          </w:p>
        </w:tc>
        <w:tc>
          <w:tcPr>
            <w:tcW w:w="3600" w:type="dxa"/>
          </w:tcPr>
          <w:p w14:paraId="028A3033" w14:textId="77777777" w:rsidR="004D5AF4" w:rsidRPr="004B2A73" w:rsidRDefault="004D5AF4" w:rsidP="00295BE6">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High</w:t>
            </w:r>
          </w:p>
        </w:tc>
        <w:tc>
          <w:tcPr>
            <w:tcW w:w="2520" w:type="dxa"/>
          </w:tcPr>
          <w:p w14:paraId="0A67CD1A" w14:textId="77777777" w:rsidR="004D5AF4" w:rsidRPr="004B2A73" w:rsidRDefault="004D5AF4" w:rsidP="00295BE6">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Low</w:t>
            </w:r>
          </w:p>
        </w:tc>
        <w:tc>
          <w:tcPr>
            <w:tcW w:w="1435" w:type="dxa"/>
          </w:tcPr>
          <w:p w14:paraId="4B34173E" w14:textId="77777777" w:rsidR="004D5AF4" w:rsidRPr="004B2A73" w:rsidRDefault="004D5AF4" w:rsidP="00295BE6">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4"/>
                <w:szCs w:val="24"/>
              </w:rPr>
            </w:pPr>
            <w:r w:rsidRPr="004B2A73">
              <w:rPr>
                <w:rFonts w:ascii="Calibri" w:hAnsi="Calibri" w:cs="Times New Roman"/>
                <w:sz w:val="24"/>
                <w:szCs w:val="24"/>
              </w:rPr>
              <w:t>High</w:t>
            </w:r>
          </w:p>
        </w:tc>
      </w:tr>
    </w:tbl>
    <w:p w14:paraId="66FF55B1" w14:textId="77777777" w:rsidR="004D5AF4" w:rsidRPr="004B2A73" w:rsidRDefault="004D5AF4" w:rsidP="004D5AF4">
      <w:pPr>
        <w:pStyle w:val="ListParagraph"/>
        <w:spacing w:after="0"/>
        <w:ind w:left="0"/>
        <w:rPr>
          <w:rFonts w:ascii="Calibri" w:hAnsi="Calibri"/>
          <w:sz w:val="24"/>
        </w:rPr>
      </w:pPr>
    </w:p>
    <w:p w14:paraId="1DE8DC16" w14:textId="77777777" w:rsidR="00C354FB" w:rsidRPr="004B2A73" w:rsidRDefault="00626AA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Shipp</w:t>
      </w:r>
      <w:r w:rsidR="004D5AF4" w:rsidRPr="004B2A73">
        <w:rPr>
          <w:rFonts w:ascii="Calibri" w:hAnsi="Calibri"/>
          <w:b/>
          <w:sz w:val="24"/>
        </w:rPr>
        <w:t>ing l</w:t>
      </w:r>
      <w:r w:rsidR="00C354FB" w:rsidRPr="004B2A73">
        <w:rPr>
          <w:rFonts w:ascii="Calibri" w:hAnsi="Calibri"/>
          <w:b/>
          <w:sz w:val="24"/>
        </w:rPr>
        <w:t>ines are primarily interested in fast access to berths and</w:t>
      </w:r>
      <w:r w:rsidR="003F46A9" w:rsidRPr="004B2A73">
        <w:rPr>
          <w:rFonts w:ascii="Calibri" w:hAnsi="Calibri"/>
          <w:b/>
          <w:sz w:val="24"/>
        </w:rPr>
        <w:t xml:space="preserve"> the</w:t>
      </w:r>
      <w:r w:rsidR="00C354FB" w:rsidRPr="004B2A73">
        <w:rPr>
          <w:rFonts w:ascii="Calibri" w:hAnsi="Calibri"/>
          <w:b/>
          <w:sz w:val="24"/>
        </w:rPr>
        <w:t xml:space="preserve"> fast handling of ships.</w:t>
      </w:r>
      <w:r w:rsidR="00C354FB" w:rsidRPr="004B2A73">
        <w:rPr>
          <w:rFonts w:ascii="Calibri" w:hAnsi="Calibri"/>
          <w:sz w:val="24"/>
        </w:rPr>
        <w:t xml:space="preserve"> Maintaining a weekly service on a trade lane with many ports of call means that schedule integrity is critical not only to the customers (the shippers), but also to the lines themselves. To avoid congestion at terminals and pre-berthing delays, many ports have adopted a window berthing system, in which a ship is guaranteed priority access to a berth provided it arrives at the port within a pre-defined period of time (the window), replacing the more traditional first-come, first-served rule. Waiting to access a berth can cause snowballing delays, since the ship may then miss the window in the next port of call. With ships costing in the range of US$10,000 to US$12,000 a day depending on the size (for 2,000 TEUs to 3,500 TEUs vessels), shipping lines tend to include as many ports as possible in the loop with the minimal number of vessels, leaving little time to make up for accidental delays. To avoid delays at berth, terminals have upgraded the handling equipment, switching from ship’s gear to gantry cranes, in order to improve the number of moves they can deliver per hour of call.</w:t>
      </w:r>
    </w:p>
    <w:p w14:paraId="094FF836" w14:textId="77777777" w:rsidR="00C354FB" w:rsidRPr="004B2A73" w:rsidRDefault="00C354FB" w:rsidP="00C354FB">
      <w:pPr>
        <w:pStyle w:val="ListParagraph"/>
        <w:spacing w:after="0"/>
        <w:ind w:left="0"/>
        <w:rPr>
          <w:rFonts w:ascii="Calibri" w:hAnsi="Calibri"/>
          <w:sz w:val="24"/>
        </w:rPr>
      </w:pPr>
    </w:p>
    <w:p w14:paraId="5BF1D647" w14:textId="1D1F91C6" w:rsidR="00C354FB" w:rsidRPr="004B2A73" w:rsidRDefault="00C354FB"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In addition to quick turnaround of their vessels, shipping lines also expect ports to accommodate the ever-larger ships required by traffic growth.</w:t>
      </w:r>
      <w:r w:rsidRPr="004B2A73">
        <w:rPr>
          <w:rFonts w:ascii="Calibri" w:hAnsi="Calibri"/>
          <w:sz w:val="24"/>
        </w:rPr>
        <w:t xml:space="preserve"> Larger vessels are more cost efficient than smaller vessels.  In practice, however, the total annual volume of trade, the number of competing shipping lines, and the nautical characteristics of the ports included in the loop tend to define the optimal ship size and </w:t>
      </w:r>
      <w:r w:rsidRPr="000A7291">
        <w:rPr>
          <w:rFonts w:ascii="Calibri" w:hAnsi="Calibri"/>
          <w:sz w:val="24"/>
          <w:szCs w:val="24"/>
        </w:rPr>
        <w:t>characteristics</w:t>
      </w:r>
      <w:r w:rsidRPr="004B2A73">
        <w:rPr>
          <w:rFonts w:ascii="Calibri" w:hAnsi="Calibri"/>
          <w:sz w:val="24"/>
        </w:rPr>
        <w:t xml:space="preserve"> to be deployed. </w:t>
      </w:r>
      <w:r w:rsidR="00D04A70">
        <w:rPr>
          <w:rFonts w:ascii="Calibri" w:hAnsi="Calibri"/>
          <w:sz w:val="24"/>
        </w:rPr>
        <w:t xml:space="preserve">The capacity of the container vessels servicing WAC ports ranged between 1,500-3,000 TEUs in the early </w:t>
      </w:r>
      <w:r w:rsidR="004E04D1">
        <w:rPr>
          <w:rFonts w:ascii="Calibri" w:hAnsi="Calibri"/>
          <w:sz w:val="24"/>
        </w:rPr>
        <w:t>2000’s</w:t>
      </w:r>
      <w:r w:rsidR="00D04A70">
        <w:rPr>
          <w:rFonts w:ascii="Calibri" w:hAnsi="Calibri"/>
          <w:sz w:val="24"/>
        </w:rPr>
        <w:t xml:space="preserve"> has increased steadily over the time to range nowadays between 4,000-5,000TEUs.  </w:t>
      </w:r>
      <w:r w:rsidRPr="004B2A73">
        <w:rPr>
          <w:rFonts w:ascii="Calibri" w:hAnsi="Calibri"/>
          <w:sz w:val="24"/>
        </w:rPr>
        <w:t>The largest shipping lines present on the West Africa trades (Maersk Lines, CMA-CGM and MSC) usually operate several weekly services combining different ports into different loops, in an effort to optimize the relationship between vessel characteristics and trade size, under the constraint of nautical and terminal characteristics.</w:t>
      </w:r>
    </w:p>
    <w:p w14:paraId="67B65781" w14:textId="77777777" w:rsidR="00C354FB" w:rsidRPr="004B2A73" w:rsidRDefault="00C354FB" w:rsidP="00C354FB">
      <w:pPr>
        <w:pStyle w:val="ListParagraph"/>
        <w:spacing w:after="0"/>
        <w:ind w:left="0"/>
        <w:rPr>
          <w:rFonts w:ascii="Calibri" w:hAnsi="Calibri"/>
          <w:sz w:val="24"/>
        </w:rPr>
      </w:pPr>
    </w:p>
    <w:p w14:paraId="5947D76A" w14:textId="77777777" w:rsidR="00C354FB" w:rsidRPr="00395387" w:rsidRDefault="00C354FB"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Shipping lines have some flexibility to mitigate the negative consequences of inadequate services such as long turnaround times or access limitations.</w:t>
      </w:r>
      <w:r w:rsidRPr="004B2A73">
        <w:rPr>
          <w:rFonts w:ascii="Calibri" w:hAnsi="Calibri"/>
          <w:sz w:val="24"/>
        </w:rPr>
        <w:t xml:space="preserve"> Global terminal operators and major shipping lines have more or less equal power, and negotiations are generally conducted between equal partners. Contractual arrangements include service level agreements that define minimum productivity levels, with possible penalties if performance is below the agreed standards. In the worst case </w:t>
      </w:r>
      <w:r w:rsidRPr="000A7291">
        <w:rPr>
          <w:rFonts w:ascii="Calibri" w:hAnsi="Calibri"/>
          <w:sz w:val="24"/>
          <w:szCs w:val="24"/>
        </w:rPr>
        <w:t>scenario</w:t>
      </w:r>
      <w:r w:rsidRPr="004B2A73">
        <w:rPr>
          <w:rFonts w:ascii="Calibri" w:hAnsi="Calibri"/>
          <w:sz w:val="24"/>
        </w:rPr>
        <w:t xml:space="preserve">, shipping lines can also reduce their exposure to risks by removing the port / terminal from its mainline schedule and serving it through feeder services, or shifting the port to a less time-sensitive loop (which is only possible when the shipping line offers a range of services). The reorganization of the liner shipping networks on the ‘hubs </w:t>
      </w:r>
      <w:r w:rsidRPr="004B2A73">
        <w:rPr>
          <w:rFonts w:ascii="Calibri" w:hAnsi="Calibri"/>
          <w:sz w:val="24"/>
        </w:rPr>
        <w:lastRenderedPageBreak/>
        <w:t xml:space="preserve">and spokes’ model divided ports into several classes, with some ports serving as transshipment platforms, on a global or regional scale, and others serving localized hinterland markets through regional/local feeders. Shipping lines can therefore isolate a poorly performing port while still retaining the possibility to serve its market. Such measures are costly, however, and therefore can only be a solution when the threshold of tolerable underperformance has been passed.  Nevertheless, the ability of shipping lines to switch their operations between ports does </w:t>
      </w:r>
      <w:r w:rsidRPr="00395387">
        <w:rPr>
          <w:rFonts w:ascii="Calibri" w:hAnsi="Calibri"/>
          <w:sz w:val="24"/>
        </w:rPr>
        <w:t>constitute a form of competition between ports.</w:t>
      </w:r>
    </w:p>
    <w:p w14:paraId="341FD866" w14:textId="77777777" w:rsidR="00C354FB" w:rsidRPr="00395387" w:rsidRDefault="00C354FB" w:rsidP="00C354FB">
      <w:pPr>
        <w:pStyle w:val="ListParagraph"/>
        <w:spacing w:after="0"/>
        <w:ind w:left="0"/>
        <w:rPr>
          <w:rFonts w:ascii="Calibri" w:hAnsi="Calibri"/>
          <w:sz w:val="24"/>
        </w:rPr>
      </w:pPr>
    </w:p>
    <w:p w14:paraId="44BD8131" w14:textId="6E73E287" w:rsidR="00C354FB" w:rsidRPr="00395387" w:rsidRDefault="00C354FB" w:rsidP="00E826B9">
      <w:pPr>
        <w:pStyle w:val="ListParagraph"/>
        <w:numPr>
          <w:ilvl w:val="0"/>
          <w:numId w:val="6"/>
        </w:numPr>
        <w:spacing w:after="0"/>
        <w:ind w:left="0" w:firstLine="0"/>
        <w:jc w:val="both"/>
        <w:rPr>
          <w:rFonts w:ascii="Calibri" w:hAnsi="Calibri"/>
          <w:sz w:val="24"/>
        </w:rPr>
      </w:pPr>
      <w:r w:rsidRPr="00395387">
        <w:rPr>
          <w:rFonts w:ascii="Calibri" w:hAnsi="Calibri"/>
          <w:b/>
          <w:sz w:val="24"/>
        </w:rPr>
        <w:t xml:space="preserve">Most ports aspire to the status of global or regional hubs, and are eager to </w:t>
      </w:r>
      <w:r w:rsidR="00341C59" w:rsidRPr="00395387">
        <w:rPr>
          <w:rFonts w:ascii="Calibri" w:hAnsi="Calibri"/>
          <w:b/>
          <w:sz w:val="24"/>
        </w:rPr>
        <w:t xml:space="preserve">appease </w:t>
      </w:r>
      <w:r w:rsidRPr="00395387">
        <w:rPr>
          <w:rFonts w:ascii="Calibri" w:hAnsi="Calibri"/>
          <w:b/>
          <w:sz w:val="24"/>
        </w:rPr>
        <w:t>the shipping lines.</w:t>
      </w:r>
      <w:r w:rsidRPr="00395387">
        <w:rPr>
          <w:rFonts w:ascii="Calibri" w:hAnsi="Calibri"/>
          <w:sz w:val="24"/>
        </w:rPr>
        <w:t xml:space="preserve"> </w:t>
      </w:r>
      <w:r w:rsidR="00341C59" w:rsidRPr="00395387">
        <w:rPr>
          <w:rFonts w:ascii="Calibri" w:hAnsi="Calibri"/>
          <w:sz w:val="24"/>
        </w:rPr>
        <w:t xml:space="preserve">National aspirations continue to be </w:t>
      </w:r>
      <w:r w:rsidR="00F40827" w:rsidRPr="00395387">
        <w:rPr>
          <w:rFonts w:ascii="Calibri" w:hAnsi="Calibri"/>
          <w:sz w:val="24"/>
        </w:rPr>
        <w:t xml:space="preserve">fueled </w:t>
      </w:r>
      <w:r w:rsidR="00EE16B0" w:rsidRPr="00395387">
        <w:rPr>
          <w:rFonts w:ascii="Calibri" w:hAnsi="Calibri"/>
          <w:sz w:val="24"/>
        </w:rPr>
        <w:t xml:space="preserve">by the </w:t>
      </w:r>
      <w:r w:rsidR="000D3DB1" w:rsidRPr="00395387">
        <w:rPr>
          <w:rFonts w:ascii="Calibri" w:hAnsi="Calibri"/>
          <w:sz w:val="24"/>
        </w:rPr>
        <w:t xml:space="preserve">perceived </w:t>
      </w:r>
      <w:r w:rsidR="002D1180" w:rsidRPr="00395387">
        <w:rPr>
          <w:rFonts w:ascii="Calibri" w:hAnsi="Calibri"/>
          <w:sz w:val="24"/>
        </w:rPr>
        <w:t>advantages of</w:t>
      </w:r>
      <w:r w:rsidRPr="00395387">
        <w:rPr>
          <w:rFonts w:ascii="Calibri" w:hAnsi="Calibri"/>
          <w:sz w:val="24"/>
        </w:rPr>
        <w:t xml:space="preserve"> additional traffic generated by the double handling of containers, the competitiveness boost </w:t>
      </w:r>
      <w:r w:rsidR="00045106" w:rsidRPr="00395387">
        <w:rPr>
          <w:rFonts w:ascii="Calibri" w:hAnsi="Calibri"/>
          <w:sz w:val="24"/>
        </w:rPr>
        <w:t>from</w:t>
      </w:r>
      <w:r w:rsidRPr="00395387">
        <w:rPr>
          <w:rFonts w:ascii="Calibri" w:hAnsi="Calibri"/>
          <w:sz w:val="24"/>
        </w:rPr>
        <w:t xml:space="preserve"> direct access to trunk liner services and</w:t>
      </w:r>
      <w:r w:rsidR="00F72D47">
        <w:rPr>
          <w:rFonts w:ascii="Calibri" w:hAnsi="Calibri"/>
          <w:sz w:val="24"/>
        </w:rPr>
        <w:t>,</w:t>
      </w:r>
      <w:r w:rsidRPr="00395387">
        <w:rPr>
          <w:rFonts w:ascii="Calibri" w:hAnsi="Calibri"/>
          <w:sz w:val="24"/>
        </w:rPr>
        <w:t xml:space="preserve"> if the conditions are right, the possibility to convert th</w:t>
      </w:r>
      <w:r w:rsidR="00E45581" w:rsidRPr="00395387">
        <w:rPr>
          <w:rFonts w:ascii="Calibri" w:hAnsi="Calibri"/>
          <w:sz w:val="24"/>
        </w:rPr>
        <w:t>e</w:t>
      </w:r>
      <w:r w:rsidRPr="00395387">
        <w:rPr>
          <w:rFonts w:ascii="Calibri" w:hAnsi="Calibri"/>
          <w:sz w:val="24"/>
        </w:rPr>
        <w:t xml:space="preserve"> connectivity advantage into a catalyst for economic activity, for instance by establishing special economic zones. However, the position of </w:t>
      </w:r>
      <w:r w:rsidR="00DA3685" w:rsidRPr="00395387">
        <w:rPr>
          <w:rFonts w:ascii="Calibri" w:hAnsi="Calibri"/>
          <w:sz w:val="24"/>
        </w:rPr>
        <w:t xml:space="preserve">a </w:t>
      </w:r>
      <w:r w:rsidRPr="00395387">
        <w:rPr>
          <w:rFonts w:ascii="Calibri" w:hAnsi="Calibri"/>
          <w:sz w:val="24"/>
        </w:rPr>
        <w:t xml:space="preserve">hub is fragile compared to that of </w:t>
      </w:r>
      <w:r w:rsidR="00AD6D90" w:rsidRPr="00395387">
        <w:rPr>
          <w:rFonts w:ascii="Calibri" w:hAnsi="Calibri"/>
          <w:sz w:val="24"/>
        </w:rPr>
        <w:t xml:space="preserve">a </w:t>
      </w:r>
      <w:r w:rsidRPr="00395387">
        <w:rPr>
          <w:rFonts w:ascii="Calibri" w:hAnsi="Calibri"/>
          <w:sz w:val="24"/>
        </w:rPr>
        <w:t xml:space="preserve">gateway port due to the </w:t>
      </w:r>
      <w:r w:rsidR="00250466" w:rsidRPr="00395387">
        <w:rPr>
          <w:rFonts w:ascii="Calibri" w:hAnsi="Calibri"/>
          <w:sz w:val="24"/>
        </w:rPr>
        <w:t>fickle</w:t>
      </w:r>
      <w:r w:rsidRPr="00395387">
        <w:rPr>
          <w:rFonts w:ascii="Calibri" w:hAnsi="Calibri"/>
          <w:sz w:val="24"/>
        </w:rPr>
        <w:t xml:space="preserve"> nature of </w:t>
      </w:r>
      <w:r w:rsidRPr="00395387">
        <w:rPr>
          <w:rFonts w:ascii="Calibri" w:hAnsi="Calibri"/>
          <w:sz w:val="24"/>
          <w:szCs w:val="24"/>
        </w:rPr>
        <w:t>transshipment</w:t>
      </w:r>
      <w:r w:rsidRPr="00395387">
        <w:rPr>
          <w:rFonts w:ascii="Calibri" w:hAnsi="Calibri"/>
          <w:sz w:val="24"/>
        </w:rPr>
        <w:t xml:space="preserve"> traffic, intense competition and risk of aggressive pricing from rival hubs. There are indeed several examples of carriers rapidly shifting large volumes of cargo from an initial hub to a more competitive one</w:t>
      </w:r>
      <w:r w:rsidR="00A65A12" w:rsidRPr="00395387">
        <w:rPr>
          <w:rStyle w:val="FootnoteReference"/>
          <w:rFonts w:ascii="Calibri" w:hAnsi="Calibri"/>
          <w:sz w:val="24"/>
        </w:rPr>
        <w:footnoteReference w:id="20"/>
      </w:r>
      <w:r w:rsidRPr="00395387">
        <w:rPr>
          <w:rFonts w:ascii="Calibri" w:hAnsi="Calibri"/>
          <w:sz w:val="24"/>
        </w:rPr>
        <w:t xml:space="preserve">. This risk is higher for specialized ports established as pure transshipment platforms, compared to more diversified hubs </w:t>
      </w:r>
      <w:r w:rsidR="00DA3685" w:rsidRPr="00395387">
        <w:rPr>
          <w:rFonts w:ascii="Calibri" w:hAnsi="Calibri"/>
          <w:sz w:val="24"/>
        </w:rPr>
        <w:t xml:space="preserve">with </w:t>
      </w:r>
      <w:r w:rsidRPr="00395387">
        <w:rPr>
          <w:rFonts w:ascii="Calibri" w:hAnsi="Calibri"/>
          <w:sz w:val="24"/>
        </w:rPr>
        <w:t xml:space="preserve">a mix of transshipment and local traffic. </w:t>
      </w:r>
      <w:r w:rsidR="00E5736B" w:rsidRPr="00395387">
        <w:rPr>
          <w:rFonts w:ascii="Calibri" w:hAnsi="Calibri"/>
          <w:sz w:val="24"/>
        </w:rPr>
        <w:t>H</w:t>
      </w:r>
      <w:r w:rsidRPr="00395387">
        <w:rPr>
          <w:rFonts w:ascii="Calibri" w:hAnsi="Calibri"/>
          <w:sz w:val="24"/>
        </w:rPr>
        <w:t>ub strategies pursued by ports</w:t>
      </w:r>
      <w:r w:rsidR="00E5736B" w:rsidRPr="00395387">
        <w:rPr>
          <w:rFonts w:ascii="Calibri" w:hAnsi="Calibri"/>
          <w:sz w:val="24"/>
        </w:rPr>
        <w:t xml:space="preserve"> need to be predicated on </w:t>
      </w:r>
      <w:r w:rsidRPr="00395387">
        <w:rPr>
          <w:rFonts w:ascii="Calibri" w:hAnsi="Calibri"/>
          <w:sz w:val="24"/>
        </w:rPr>
        <w:t xml:space="preserve">obtaining a long-term commitment from a carrier to use the facility, involving one or several carriers in the equity structure of the new facility, and developing landside connections to secure more hinterland traffic. </w:t>
      </w:r>
      <w:r w:rsidR="00E5736B" w:rsidRPr="00395387">
        <w:rPr>
          <w:rFonts w:ascii="Calibri" w:hAnsi="Calibri"/>
          <w:sz w:val="24"/>
        </w:rPr>
        <w:t>Even so s</w:t>
      </w:r>
      <w:r w:rsidRPr="00395387">
        <w:rPr>
          <w:rFonts w:ascii="Calibri" w:hAnsi="Calibri"/>
          <w:sz w:val="24"/>
        </w:rPr>
        <w:t xml:space="preserve">ome studies </w:t>
      </w:r>
      <w:r w:rsidR="00542A0C" w:rsidRPr="00395387">
        <w:rPr>
          <w:rFonts w:ascii="Calibri" w:hAnsi="Calibri"/>
          <w:sz w:val="24"/>
        </w:rPr>
        <w:t xml:space="preserve">have </w:t>
      </w:r>
      <w:r w:rsidRPr="00395387">
        <w:rPr>
          <w:rFonts w:ascii="Calibri" w:hAnsi="Calibri"/>
          <w:sz w:val="24"/>
        </w:rPr>
        <w:t>encourage</w:t>
      </w:r>
      <w:r w:rsidR="00F4748C" w:rsidRPr="00395387">
        <w:rPr>
          <w:rFonts w:ascii="Calibri" w:hAnsi="Calibri"/>
          <w:sz w:val="24"/>
        </w:rPr>
        <w:t>d</w:t>
      </w:r>
      <w:r w:rsidRPr="00395387">
        <w:rPr>
          <w:rFonts w:ascii="Calibri" w:hAnsi="Calibri"/>
          <w:sz w:val="24"/>
        </w:rPr>
        <w:t xml:space="preserve"> caution about the potential effects of inter-port competition between countries for hub status in a context of limited scope for transshipment. </w:t>
      </w:r>
      <w:r w:rsidR="00F4748C" w:rsidRPr="00395387">
        <w:rPr>
          <w:rFonts w:ascii="Calibri" w:hAnsi="Calibri"/>
          <w:sz w:val="24"/>
        </w:rPr>
        <w:t xml:space="preserve"> </w:t>
      </w:r>
      <w:r w:rsidR="00570A3D" w:rsidRPr="00395387">
        <w:rPr>
          <w:rFonts w:ascii="Calibri" w:hAnsi="Calibri"/>
          <w:sz w:val="24"/>
        </w:rPr>
        <w:t xml:space="preserve">The </w:t>
      </w:r>
      <w:r w:rsidR="00685DF1" w:rsidRPr="00395387">
        <w:rPr>
          <w:rFonts w:ascii="Calibri" w:hAnsi="Calibri"/>
          <w:sz w:val="24"/>
        </w:rPr>
        <w:t xml:space="preserve">desire to attain hub </w:t>
      </w:r>
      <w:r w:rsidR="00E80E04" w:rsidRPr="00395387">
        <w:rPr>
          <w:rFonts w:ascii="Calibri" w:hAnsi="Calibri"/>
          <w:sz w:val="24"/>
        </w:rPr>
        <w:t xml:space="preserve">status </w:t>
      </w:r>
      <w:r w:rsidR="00685DF1" w:rsidRPr="00395387">
        <w:rPr>
          <w:rFonts w:ascii="Calibri" w:hAnsi="Calibri"/>
          <w:sz w:val="24"/>
        </w:rPr>
        <w:t xml:space="preserve">led to a detrimental political race along the </w:t>
      </w:r>
      <w:r w:rsidR="00570A3D" w:rsidRPr="00395387">
        <w:rPr>
          <w:rFonts w:ascii="Calibri" w:hAnsi="Calibri"/>
          <w:sz w:val="24"/>
        </w:rPr>
        <w:t>p</w:t>
      </w:r>
      <w:r w:rsidRPr="00395387">
        <w:rPr>
          <w:rFonts w:ascii="Calibri" w:hAnsi="Calibri"/>
          <w:sz w:val="24"/>
        </w:rPr>
        <w:t>acific coast of South America</w:t>
      </w:r>
      <w:r w:rsidR="00685DF1" w:rsidRPr="00395387">
        <w:rPr>
          <w:rFonts w:ascii="Calibri" w:hAnsi="Calibri"/>
          <w:sz w:val="24"/>
        </w:rPr>
        <w:t xml:space="preserve"> </w:t>
      </w:r>
      <w:r w:rsidRPr="00395387">
        <w:rPr>
          <w:rFonts w:ascii="Calibri" w:hAnsi="Calibri"/>
          <w:sz w:val="24"/>
        </w:rPr>
        <w:t>when countries would have benefited more from greater regional coordination of transport policies and investments in port and land transport infrastructure (Hoffmann 2000).</w:t>
      </w:r>
      <w:r w:rsidR="00542A0C" w:rsidRPr="00395387">
        <w:rPr>
          <w:rFonts w:ascii="Calibri" w:hAnsi="Calibri"/>
          <w:sz w:val="24"/>
        </w:rPr>
        <w:t xml:space="preserve"> </w:t>
      </w:r>
      <w:r w:rsidR="009E4264" w:rsidRPr="00395387">
        <w:rPr>
          <w:rFonts w:ascii="Calibri" w:hAnsi="Calibri"/>
          <w:sz w:val="24"/>
        </w:rPr>
        <w:t xml:space="preserve">As </w:t>
      </w:r>
      <w:r w:rsidR="00465CF0" w:rsidRPr="00395387">
        <w:rPr>
          <w:rFonts w:ascii="Calibri" w:hAnsi="Calibri"/>
          <w:sz w:val="24"/>
        </w:rPr>
        <w:t xml:space="preserve">noted </w:t>
      </w:r>
      <w:r w:rsidR="009E4264" w:rsidRPr="00395387">
        <w:rPr>
          <w:rFonts w:ascii="Calibri" w:hAnsi="Calibri"/>
          <w:sz w:val="24"/>
        </w:rPr>
        <w:t xml:space="preserve">in Chapter one, </w:t>
      </w:r>
      <w:r w:rsidR="004A265D" w:rsidRPr="00395387">
        <w:rPr>
          <w:rFonts w:ascii="Calibri" w:hAnsi="Calibri"/>
          <w:sz w:val="24"/>
        </w:rPr>
        <w:t>changes in the shipping industry have created an opening f</w:t>
      </w:r>
      <w:r w:rsidR="00542A0C" w:rsidRPr="00395387">
        <w:rPr>
          <w:rFonts w:ascii="Calibri" w:hAnsi="Calibri"/>
          <w:sz w:val="24"/>
        </w:rPr>
        <w:t xml:space="preserve">or </w:t>
      </w:r>
      <w:r w:rsidR="009E4264" w:rsidRPr="00395387">
        <w:rPr>
          <w:rFonts w:ascii="Calibri" w:hAnsi="Calibri"/>
          <w:sz w:val="24"/>
        </w:rPr>
        <w:t xml:space="preserve">one or more </w:t>
      </w:r>
      <w:r w:rsidR="00542A0C" w:rsidRPr="00395387">
        <w:rPr>
          <w:rFonts w:ascii="Calibri" w:hAnsi="Calibri"/>
          <w:sz w:val="24"/>
        </w:rPr>
        <w:t xml:space="preserve">regional </w:t>
      </w:r>
      <w:r w:rsidR="00573879" w:rsidRPr="00395387">
        <w:rPr>
          <w:rFonts w:ascii="Calibri" w:hAnsi="Calibri"/>
          <w:sz w:val="24"/>
        </w:rPr>
        <w:t>hub</w:t>
      </w:r>
      <w:r w:rsidR="004A265D" w:rsidRPr="00395387">
        <w:rPr>
          <w:rFonts w:ascii="Calibri" w:hAnsi="Calibri"/>
          <w:sz w:val="24"/>
        </w:rPr>
        <w:t>s</w:t>
      </w:r>
      <w:r w:rsidR="00573879" w:rsidRPr="00395387">
        <w:rPr>
          <w:rFonts w:ascii="Calibri" w:hAnsi="Calibri"/>
          <w:sz w:val="24"/>
        </w:rPr>
        <w:t xml:space="preserve"> on the West African coast</w:t>
      </w:r>
      <w:r w:rsidR="00CC04A6" w:rsidRPr="00395387">
        <w:rPr>
          <w:rFonts w:ascii="Calibri" w:hAnsi="Calibri"/>
          <w:sz w:val="24"/>
        </w:rPr>
        <w:t>. S</w:t>
      </w:r>
      <w:r w:rsidR="004A265D" w:rsidRPr="00395387">
        <w:rPr>
          <w:rFonts w:ascii="Calibri" w:hAnsi="Calibri"/>
          <w:sz w:val="24"/>
        </w:rPr>
        <w:t>hipping lines have been exploring options for some time</w:t>
      </w:r>
      <w:r w:rsidR="00D9666A" w:rsidRPr="00395387">
        <w:rPr>
          <w:rFonts w:ascii="Calibri" w:hAnsi="Calibri"/>
          <w:sz w:val="24"/>
        </w:rPr>
        <w:t xml:space="preserve"> with </w:t>
      </w:r>
      <w:r w:rsidR="00C922CA">
        <w:rPr>
          <w:rFonts w:ascii="Calibri" w:hAnsi="Calibri"/>
          <w:sz w:val="24"/>
        </w:rPr>
        <w:t>Lomé</w:t>
      </w:r>
      <w:r w:rsidR="00ED34AA" w:rsidRPr="00395387">
        <w:rPr>
          <w:rFonts w:ascii="Calibri" w:hAnsi="Calibri"/>
          <w:sz w:val="24"/>
        </w:rPr>
        <w:t xml:space="preserve">, </w:t>
      </w:r>
      <w:r w:rsidR="00CC04A6" w:rsidRPr="00395387">
        <w:rPr>
          <w:rFonts w:ascii="Calibri" w:hAnsi="Calibri"/>
          <w:sz w:val="24"/>
        </w:rPr>
        <w:t xml:space="preserve">Lekki, </w:t>
      </w:r>
      <w:r w:rsidR="00573879" w:rsidRPr="00395387">
        <w:rPr>
          <w:rFonts w:ascii="Calibri" w:hAnsi="Calibri"/>
          <w:sz w:val="24"/>
        </w:rPr>
        <w:t xml:space="preserve">Abidjan, Tema, Douala, </w:t>
      </w:r>
      <w:r w:rsidR="00CC04A6" w:rsidRPr="00395387">
        <w:rPr>
          <w:rFonts w:ascii="Calibri" w:hAnsi="Calibri"/>
          <w:sz w:val="24"/>
        </w:rPr>
        <w:t xml:space="preserve">Badagary </w:t>
      </w:r>
      <w:r w:rsidR="00D9666A" w:rsidRPr="00395387">
        <w:rPr>
          <w:rFonts w:ascii="Calibri" w:hAnsi="Calibri"/>
          <w:sz w:val="24"/>
        </w:rPr>
        <w:t xml:space="preserve">still </w:t>
      </w:r>
      <w:r w:rsidR="00246E58" w:rsidRPr="00395387">
        <w:rPr>
          <w:rFonts w:ascii="Calibri" w:hAnsi="Calibri"/>
          <w:sz w:val="24"/>
        </w:rPr>
        <w:t>all</w:t>
      </w:r>
      <w:r w:rsidR="00B216F1" w:rsidRPr="00395387">
        <w:rPr>
          <w:rFonts w:ascii="Calibri" w:hAnsi="Calibri"/>
          <w:sz w:val="24"/>
        </w:rPr>
        <w:t xml:space="preserve"> </w:t>
      </w:r>
      <w:r w:rsidR="00573879" w:rsidRPr="00395387">
        <w:rPr>
          <w:rFonts w:ascii="Calibri" w:hAnsi="Calibri"/>
          <w:sz w:val="24"/>
        </w:rPr>
        <w:t xml:space="preserve">in </w:t>
      </w:r>
      <w:r w:rsidR="00246E58" w:rsidRPr="00395387">
        <w:rPr>
          <w:rFonts w:ascii="Calibri" w:hAnsi="Calibri"/>
          <w:sz w:val="24"/>
        </w:rPr>
        <w:t>play for the coveted position.</w:t>
      </w:r>
      <w:r w:rsidR="00D9666A" w:rsidRPr="00395387">
        <w:rPr>
          <w:rFonts w:ascii="Calibri" w:hAnsi="Calibri"/>
          <w:sz w:val="24"/>
        </w:rPr>
        <w:t xml:space="preserve"> It is expected that </w:t>
      </w:r>
      <w:r w:rsidR="0039449C" w:rsidRPr="00395387">
        <w:rPr>
          <w:rFonts w:ascii="Calibri" w:hAnsi="Calibri"/>
          <w:sz w:val="24"/>
        </w:rPr>
        <w:t>the shipping lines will determine sooner rather than later which of these will be taken forward as hub locations</w:t>
      </w:r>
      <w:r w:rsidR="00EB2F0E">
        <w:rPr>
          <w:rFonts w:ascii="Calibri" w:hAnsi="Calibri"/>
          <w:sz w:val="24"/>
        </w:rPr>
        <w:t xml:space="preserve"> (i.e. already executed for Lome)</w:t>
      </w:r>
      <w:r w:rsidR="00AF7956" w:rsidRPr="00395387">
        <w:rPr>
          <w:rFonts w:ascii="Calibri" w:hAnsi="Calibri"/>
          <w:sz w:val="24"/>
        </w:rPr>
        <w:t>.</w:t>
      </w:r>
      <w:r w:rsidR="00A65A12" w:rsidRPr="00395387">
        <w:rPr>
          <w:rFonts w:ascii="Calibri" w:hAnsi="Calibri"/>
          <w:sz w:val="24"/>
        </w:rPr>
        <w:t xml:space="preserve"> Such terminal developments are negotiated concessions, and it is therefore important for Governments and port authorities to negotiate beneficial conditions for the economy of the country at the early stages.</w:t>
      </w:r>
      <w:r w:rsidR="00AF7956" w:rsidRPr="00395387">
        <w:rPr>
          <w:rFonts w:ascii="Calibri" w:hAnsi="Calibri"/>
          <w:sz w:val="24"/>
        </w:rPr>
        <w:t xml:space="preserve">   </w:t>
      </w:r>
      <w:r w:rsidR="006F3266" w:rsidRPr="00395387">
        <w:rPr>
          <w:rFonts w:ascii="Calibri" w:hAnsi="Calibri"/>
          <w:sz w:val="24"/>
        </w:rPr>
        <w:t xml:space="preserve"> </w:t>
      </w:r>
    </w:p>
    <w:p w14:paraId="35122139" w14:textId="77777777" w:rsidR="00C354FB" w:rsidRPr="002E4744" w:rsidRDefault="00C354FB" w:rsidP="00C354FB">
      <w:pPr>
        <w:pStyle w:val="ListParagraph"/>
        <w:spacing w:after="0"/>
        <w:ind w:left="0"/>
        <w:rPr>
          <w:rFonts w:ascii="Calibri" w:hAnsi="Calibri"/>
          <w:sz w:val="24"/>
        </w:rPr>
      </w:pPr>
    </w:p>
    <w:p w14:paraId="13915B2E" w14:textId="56EE6956" w:rsidR="00C354FB" w:rsidRDefault="00C354FB" w:rsidP="00E826B9">
      <w:pPr>
        <w:pStyle w:val="ListParagraph"/>
        <w:numPr>
          <w:ilvl w:val="0"/>
          <w:numId w:val="6"/>
        </w:numPr>
        <w:spacing w:after="0"/>
        <w:ind w:left="0" w:firstLine="0"/>
        <w:jc w:val="both"/>
        <w:rPr>
          <w:rFonts w:ascii="Calibri" w:hAnsi="Calibri"/>
          <w:sz w:val="24"/>
        </w:rPr>
      </w:pPr>
      <w:r w:rsidRPr="00395387">
        <w:rPr>
          <w:rFonts w:ascii="Calibri" w:hAnsi="Calibri"/>
          <w:b/>
          <w:sz w:val="24"/>
        </w:rPr>
        <w:t xml:space="preserve">Because they can make or break the fortune of the ports, shipping lines tend to have the upper hand in their interaction with ports and terminal operators. </w:t>
      </w:r>
      <w:r w:rsidRPr="00395387">
        <w:rPr>
          <w:rFonts w:ascii="Calibri" w:hAnsi="Calibri"/>
          <w:sz w:val="24"/>
        </w:rPr>
        <w:t xml:space="preserve">The choice by MSC of </w:t>
      </w:r>
      <w:r w:rsidRPr="00395387">
        <w:rPr>
          <w:rFonts w:ascii="Calibri" w:hAnsi="Calibri"/>
          <w:sz w:val="24"/>
        </w:rPr>
        <w:lastRenderedPageBreak/>
        <w:t>the Port of San Pedro in Cote d’Ivoire as its West Africa transshipment hub added up to 180,000 TEUs of transshipment traffic at its peak (</w:t>
      </w:r>
      <w:r w:rsidR="00520B46" w:rsidRPr="002E4744">
        <w:rPr>
          <w:rFonts w:ascii="Calibri" w:hAnsi="Calibri"/>
          <w:sz w:val="24"/>
          <w:szCs w:val="24"/>
        </w:rPr>
        <w:fldChar w:fldCharType="begin"/>
      </w:r>
      <w:r w:rsidRPr="002E4744">
        <w:rPr>
          <w:rFonts w:ascii="Calibri" w:hAnsi="Calibri"/>
          <w:sz w:val="24"/>
          <w:szCs w:val="24"/>
        </w:rPr>
        <w:instrText xml:space="preserve"> REF _Ref434248989 \h </w:instrText>
      </w:r>
      <w:r w:rsidR="004B2A73" w:rsidRPr="002E4744">
        <w:rPr>
          <w:rFonts w:ascii="Calibri" w:hAnsi="Calibri"/>
          <w:sz w:val="24"/>
          <w:szCs w:val="24"/>
        </w:rPr>
        <w:instrText xml:space="preserve"> \* MERGEFORMAT </w:instrText>
      </w:r>
      <w:r w:rsidR="00520B46" w:rsidRPr="002E4744">
        <w:rPr>
          <w:rFonts w:ascii="Calibri" w:hAnsi="Calibri"/>
          <w:sz w:val="24"/>
          <w:szCs w:val="24"/>
        </w:rPr>
      </w:r>
      <w:r w:rsidR="00520B46" w:rsidRPr="002E4744">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8</w:t>
      </w:r>
      <w:r w:rsidR="00520B46" w:rsidRPr="002E4744">
        <w:rPr>
          <w:rFonts w:ascii="Calibri" w:hAnsi="Calibri"/>
          <w:sz w:val="24"/>
          <w:szCs w:val="24"/>
        </w:rPr>
        <w:fldChar w:fldCharType="end"/>
      </w:r>
      <w:r w:rsidRPr="00395387">
        <w:rPr>
          <w:rFonts w:ascii="Calibri" w:hAnsi="Calibri"/>
          <w:sz w:val="24"/>
        </w:rPr>
        <w:t xml:space="preserve">), coupled with some positive impact on the gateway trade; the traffic of the port multiplied by more than four. When MSC shifted its regional hub </w:t>
      </w:r>
      <w:r w:rsidR="00FD5158">
        <w:rPr>
          <w:rFonts w:ascii="Calibri" w:hAnsi="Calibri"/>
          <w:sz w:val="24"/>
        </w:rPr>
        <w:t xml:space="preserve">for the Asia trade </w:t>
      </w:r>
      <w:r w:rsidRPr="00395387">
        <w:rPr>
          <w:rFonts w:ascii="Calibri" w:hAnsi="Calibri"/>
          <w:sz w:val="24"/>
        </w:rPr>
        <w:t xml:space="preserve">to </w:t>
      </w:r>
      <w:r w:rsidR="00C922CA">
        <w:rPr>
          <w:rFonts w:ascii="Calibri" w:hAnsi="Calibri"/>
          <w:sz w:val="24"/>
        </w:rPr>
        <w:t>Lomé</w:t>
      </w:r>
      <w:r w:rsidRPr="00395387">
        <w:rPr>
          <w:rFonts w:ascii="Calibri" w:hAnsi="Calibri"/>
          <w:sz w:val="24"/>
        </w:rPr>
        <w:t xml:space="preserve"> at the end of 2014, it </w:t>
      </w:r>
      <w:r w:rsidRPr="00395387">
        <w:rPr>
          <w:rFonts w:ascii="Calibri" w:hAnsi="Calibri"/>
          <w:sz w:val="24"/>
          <w:szCs w:val="24"/>
        </w:rPr>
        <w:t>reorganized</w:t>
      </w:r>
      <w:r w:rsidRPr="00395387">
        <w:rPr>
          <w:rFonts w:ascii="Calibri" w:hAnsi="Calibri"/>
          <w:sz w:val="24"/>
        </w:rPr>
        <w:t xml:space="preserve"> its entire Asia - West Africa trade service to concentrate all traffic on </w:t>
      </w:r>
      <w:r w:rsidR="00C922CA">
        <w:rPr>
          <w:rFonts w:ascii="Calibri" w:hAnsi="Calibri"/>
          <w:sz w:val="24"/>
        </w:rPr>
        <w:t>Lomé</w:t>
      </w:r>
      <w:r w:rsidRPr="00395387">
        <w:rPr>
          <w:rFonts w:ascii="Calibri" w:hAnsi="Calibri"/>
          <w:sz w:val="24"/>
        </w:rPr>
        <w:t xml:space="preserve">, the only port in West Africa able to accommodate the vessels it deployed on the service. That reduction of the number of calls in West Africa enabled MSC to reduce the fleet required by a weekly service to 10, replacing all other calls by a network of feeder services. </w:t>
      </w:r>
      <w:r w:rsidR="00C922CA">
        <w:rPr>
          <w:rFonts w:ascii="Calibri" w:hAnsi="Calibri"/>
          <w:sz w:val="24"/>
        </w:rPr>
        <w:t>Lomé</w:t>
      </w:r>
      <w:r w:rsidRPr="00395387">
        <w:rPr>
          <w:rFonts w:ascii="Calibri" w:hAnsi="Calibri"/>
          <w:sz w:val="24"/>
        </w:rPr>
        <w:t xml:space="preserve"> therefore experienced a surge in its activity: </w:t>
      </w:r>
      <w:r w:rsidR="002E4744" w:rsidRPr="002E4744">
        <w:rPr>
          <w:rFonts w:ascii="Calibri" w:hAnsi="Calibri"/>
          <w:sz w:val="24"/>
        </w:rPr>
        <w:t>statistics for the year 2015 for the port of Lomé show that gateway (domestic and transit) traffic increased by a mere 2%, whereas transshipment multiplied by almost 5, compared to the year 2014. Consequently, transshipment activity in San Pedro dropped.</w:t>
      </w:r>
    </w:p>
    <w:p w14:paraId="4A63B486" w14:textId="77777777" w:rsidR="00AE0D69" w:rsidRPr="00395387" w:rsidRDefault="00AE0D69" w:rsidP="00AE0D69">
      <w:pPr>
        <w:pStyle w:val="ListParagraph"/>
        <w:spacing w:after="0"/>
        <w:ind w:left="0"/>
        <w:jc w:val="both"/>
        <w:rPr>
          <w:rFonts w:ascii="Calibri" w:hAnsi="Calibri"/>
          <w:sz w:val="24"/>
        </w:rPr>
      </w:pPr>
    </w:p>
    <w:p w14:paraId="6E115716" w14:textId="0EF89643" w:rsidR="00C354FB" w:rsidRPr="004B2A73" w:rsidRDefault="00C354FB" w:rsidP="00AF33A5">
      <w:pPr>
        <w:pStyle w:val="Caption"/>
        <w:rPr>
          <w:rFonts w:ascii="Calibri" w:hAnsi="Calibri"/>
        </w:rPr>
      </w:pPr>
      <w:bookmarkStart w:id="36" w:name="_Ref434248989"/>
      <w:bookmarkStart w:id="37" w:name="_Toc485377043"/>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8</w:t>
      </w:r>
      <w:r w:rsidR="00520B46" w:rsidRPr="004B2A73">
        <w:rPr>
          <w:rFonts w:ascii="Calibri" w:hAnsi="Calibri"/>
          <w:noProof/>
        </w:rPr>
        <w:fldChar w:fldCharType="end"/>
      </w:r>
      <w:bookmarkEnd w:id="36"/>
      <w:r w:rsidRPr="004B2A73">
        <w:rPr>
          <w:rFonts w:ascii="Calibri" w:hAnsi="Calibri"/>
          <w:noProof/>
        </w:rPr>
        <w:t xml:space="preserve"> : Port of San Pedro, growth of container traffic</w:t>
      </w:r>
      <w:bookmarkEnd w:id="37"/>
    </w:p>
    <w:p w14:paraId="2A46E21A" w14:textId="2BE39B7A" w:rsidR="00C354FB" w:rsidRPr="004B2A73" w:rsidRDefault="002E4744" w:rsidP="002E4744">
      <w:pPr>
        <w:rPr>
          <w:rFonts w:ascii="Calibri" w:hAnsi="Calibri"/>
          <w:sz w:val="24"/>
          <w:szCs w:val="24"/>
        </w:rPr>
      </w:pPr>
      <w:r>
        <w:rPr>
          <w:noProof/>
        </w:rPr>
        <w:drawing>
          <wp:inline distT="0" distB="0" distL="0" distR="0" wp14:anchorId="2B759FF2" wp14:editId="5A85D73C">
            <wp:extent cx="5038725" cy="2071688"/>
            <wp:effectExtent l="0" t="0" r="0"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5CC3B4" w14:textId="77777777" w:rsidR="00C354FB" w:rsidRPr="004B2A73" w:rsidRDefault="00C354FB" w:rsidP="00C354FB">
      <w:pPr>
        <w:pStyle w:val="ListParagraph"/>
        <w:spacing w:after="0"/>
        <w:ind w:left="0"/>
        <w:rPr>
          <w:rFonts w:ascii="Calibri" w:hAnsi="Calibri"/>
          <w:sz w:val="24"/>
        </w:rPr>
      </w:pPr>
    </w:p>
    <w:p w14:paraId="370D08C0" w14:textId="77777777" w:rsidR="003352B4" w:rsidRPr="004B2A73" w:rsidRDefault="003352B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 interaction between shipping companies and TOCs is also affected by the fact that some global TOCs are part of the same group as the shipping lines they serve.</w:t>
      </w:r>
      <w:r w:rsidRPr="004B2A73">
        <w:rPr>
          <w:rFonts w:ascii="Calibri" w:hAnsi="Calibri"/>
          <w:sz w:val="24"/>
        </w:rPr>
        <w:t xml:space="preserve"> APM Terminals is the terminal operating arm of Maersk Lines, TIL of MSC, and when Delmas shipping was acquired from the </w:t>
      </w:r>
      <w:r>
        <w:rPr>
          <w:rFonts w:ascii="Calibri" w:hAnsi="Calibri"/>
          <w:sz w:val="24"/>
        </w:rPr>
        <w:t>Bolloré</w:t>
      </w:r>
      <w:r w:rsidRPr="004B2A73">
        <w:rPr>
          <w:rFonts w:ascii="Calibri" w:hAnsi="Calibri"/>
          <w:sz w:val="24"/>
        </w:rPr>
        <w:t xml:space="preserve"> group by CMA-CGM</w:t>
      </w:r>
      <w:r>
        <w:rPr>
          <w:rFonts w:ascii="Calibri" w:hAnsi="Calibri"/>
          <w:sz w:val="24"/>
        </w:rPr>
        <w:t xml:space="preserve"> in September 2005</w:t>
      </w:r>
      <w:r w:rsidRPr="004B2A73">
        <w:rPr>
          <w:rFonts w:ascii="Calibri" w:hAnsi="Calibri"/>
          <w:sz w:val="24"/>
        </w:rPr>
        <w:t>, the two groups signed an agreement which guaranteed that Delmas services will continue</w:t>
      </w:r>
      <w:r>
        <w:rPr>
          <w:rFonts w:ascii="Calibri" w:hAnsi="Calibri"/>
          <w:sz w:val="24"/>
        </w:rPr>
        <w:t xml:space="preserve"> for five years</w:t>
      </w:r>
      <w:r w:rsidRPr="004B2A73">
        <w:rPr>
          <w:rFonts w:ascii="Calibri" w:hAnsi="Calibri"/>
          <w:sz w:val="24"/>
        </w:rPr>
        <w:t xml:space="preserve"> </w:t>
      </w:r>
      <w:r>
        <w:rPr>
          <w:rFonts w:ascii="Calibri" w:hAnsi="Calibri"/>
          <w:sz w:val="24"/>
        </w:rPr>
        <w:t xml:space="preserve">(therefore throughout the first wave of container terminal concessions) </w:t>
      </w:r>
      <w:r w:rsidRPr="004B2A73">
        <w:rPr>
          <w:rFonts w:ascii="Calibri" w:hAnsi="Calibri"/>
          <w:sz w:val="24"/>
        </w:rPr>
        <w:t xml:space="preserve">to use </w:t>
      </w:r>
      <w:r>
        <w:rPr>
          <w:rFonts w:ascii="Calibri" w:hAnsi="Calibri"/>
          <w:sz w:val="24"/>
        </w:rPr>
        <w:t>Bolloré</w:t>
      </w:r>
      <w:r w:rsidRPr="004B2A73">
        <w:rPr>
          <w:rFonts w:ascii="Calibri" w:hAnsi="Calibri"/>
          <w:sz w:val="24"/>
        </w:rPr>
        <w:t xml:space="preserve">’s inland logistics, including stevedoring services. Control of inland logistics appears at present to be the only way for a line to guarantee quality of service and, critically, delivery times, for door-to-door consignments. As such this is an area where integration is helpful and unbundling might be counter-productive. The situation will continue as long as the inefficiencies of the trucking industry persist. As a consequence, shipping lines tend to favor ports in which they control the inland logistics, and this is one of the drivers of the expansion plans for the ports in West Africa. </w:t>
      </w:r>
    </w:p>
    <w:p w14:paraId="0265EBD5" w14:textId="77777777" w:rsidR="00C354FB" w:rsidRPr="004B2A73" w:rsidRDefault="00C354FB" w:rsidP="003F46A9">
      <w:pPr>
        <w:pStyle w:val="ListParagraph"/>
        <w:spacing w:after="0"/>
        <w:ind w:left="0"/>
        <w:rPr>
          <w:rFonts w:ascii="Calibri" w:hAnsi="Calibri"/>
          <w:sz w:val="24"/>
        </w:rPr>
      </w:pPr>
    </w:p>
    <w:p w14:paraId="12353AFD" w14:textId="77777777" w:rsidR="00C605CA" w:rsidRPr="004B2A73" w:rsidRDefault="00C605C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Shippers have far less service options than shipping lines and far less bargaining power, and therefore face greater risks, particularly in terms of arbitrary tariffs. </w:t>
      </w:r>
      <w:r w:rsidRPr="004B2A73">
        <w:rPr>
          <w:rFonts w:ascii="Calibri" w:hAnsi="Calibri"/>
          <w:sz w:val="24"/>
        </w:rPr>
        <w:t xml:space="preserve">Shippers are largely captive customers of the ports and terminals, and have little or no influence on the prices for </w:t>
      </w:r>
      <w:r w:rsidRPr="004B2A73">
        <w:rPr>
          <w:rFonts w:ascii="Calibri" w:hAnsi="Calibri"/>
          <w:sz w:val="24"/>
        </w:rPr>
        <w:lastRenderedPageBreak/>
        <w:t xml:space="preserve">port services. Most of the port activities have a high fixed cost component, and tariffs are often designed to guarantee that traffic </w:t>
      </w:r>
      <w:r w:rsidRPr="000A7291">
        <w:rPr>
          <w:rFonts w:ascii="Calibri" w:hAnsi="Calibri"/>
          <w:sz w:val="24"/>
          <w:szCs w:val="24"/>
        </w:rPr>
        <w:t>multiplied</w:t>
      </w:r>
      <w:r w:rsidRPr="004B2A73">
        <w:rPr>
          <w:rFonts w:ascii="Calibri" w:hAnsi="Calibri"/>
          <w:sz w:val="24"/>
        </w:rPr>
        <w:t xml:space="preserve"> by tariffs indeed covers all costs</w:t>
      </w:r>
      <w:r>
        <w:rPr>
          <w:rFonts w:ascii="Calibri" w:hAnsi="Calibri"/>
          <w:sz w:val="24"/>
        </w:rPr>
        <w:t xml:space="preserve"> (operating and investment)</w:t>
      </w:r>
      <w:r w:rsidRPr="004B2A73">
        <w:rPr>
          <w:rFonts w:ascii="Calibri" w:hAnsi="Calibri"/>
          <w:sz w:val="24"/>
        </w:rPr>
        <w:t>. Any traffic increase is therefore generating a proportional increase in revenue, while the corresponding increase of the variable portion of the costs is much less</w:t>
      </w:r>
      <w:r>
        <w:rPr>
          <w:rFonts w:ascii="Calibri" w:hAnsi="Calibri"/>
          <w:sz w:val="24"/>
        </w:rPr>
        <w:t xml:space="preserve"> if the increase does not imply a discrete investment in additional handling equipment or infrastructure</w:t>
      </w:r>
      <w:r w:rsidRPr="004B2A73">
        <w:rPr>
          <w:rFonts w:ascii="Calibri" w:hAnsi="Calibri"/>
          <w:sz w:val="24"/>
        </w:rPr>
        <w:t>. This mode of definition of the tariffs offers the possibility to have differentiated tariffs. For instance, it is common to have per TEU prices, when in practice there is no significant difference between handling a 20’-foot container or a 40’-foot container (although storage does require double the space).  It is also common to have a lower price for export containers than for import containers. Moreover, even when there are multiple operators, prices tend to be set by professional associations, so that prices are identical irrespective of the provider.</w:t>
      </w:r>
    </w:p>
    <w:p w14:paraId="10C89BD0" w14:textId="77777777" w:rsidR="00837379" w:rsidRPr="004B2A73" w:rsidRDefault="00837379" w:rsidP="0025767C">
      <w:pPr>
        <w:pStyle w:val="ListParagraph"/>
        <w:spacing w:after="0"/>
        <w:ind w:left="0"/>
        <w:rPr>
          <w:rFonts w:ascii="Calibri" w:hAnsi="Calibri"/>
          <w:sz w:val="24"/>
        </w:rPr>
      </w:pPr>
    </w:p>
    <w:p w14:paraId="7B0E2BF0" w14:textId="3D0B9480" w:rsidR="00C354FB" w:rsidRPr="004B2A73" w:rsidRDefault="00C354FB" w:rsidP="00AF33A5">
      <w:pPr>
        <w:pStyle w:val="Caption"/>
        <w:rPr>
          <w:rFonts w:ascii="Calibri" w:hAnsi="Calibri"/>
        </w:rPr>
      </w:pPr>
      <w:bookmarkStart w:id="38" w:name="_Toc485377011"/>
      <w:r w:rsidRPr="004B2A73">
        <w:rPr>
          <w:rFonts w:ascii="Calibri" w:hAnsi="Calibri"/>
        </w:rPr>
        <w:t xml:space="preserve">Box </w:t>
      </w:r>
      <w:r w:rsidR="00520B46" w:rsidRPr="004B2A73">
        <w:rPr>
          <w:rFonts w:ascii="Calibri" w:hAnsi="Calibri"/>
        </w:rPr>
        <w:fldChar w:fldCharType="begin"/>
      </w:r>
      <w:r w:rsidR="00F359E5" w:rsidRPr="004B2A73">
        <w:rPr>
          <w:rFonts w:ascii="Calibri" w:hAnsi="Calibri"/>
        </w:rPr>
        <w:instrText xml:space="preserve"> SEQ Box \* ARABIC </w:instrText>
      </w:r>
      <w:r w:rsidR="00520B46" w:rsidRPr="004B2A73">
        <w:rPr>
          <w:rFonts w:ascii="Calibri" w:hAnsi="Calibri"/>
        </w:rPr>
        <w:fldChar w:fldCharType="separate"/>
      </w:r>
      <w:r w:rsidR="00212D01">
        <w:rPr>
          <w:rFonts w:ascii="Calibri" w:hAnsi="Calibri"/>
          <w:noProof/>
        </w:rPr>
        <w:t>2</w:t>
      </w:r>
      <w:r w:rsidR="00520B46" w:rsidRPr="004B2A73">
        <w:rPr>
          <w:rFonts w:ascii="Calibri" w:hAnsi="Calibri"/>
          <w:noProof/>
        </w:rPr>
        <w:fldChar w:fldCharType="end"/>
      </w:r>
      <w:r w:rsidRPr="004B2A73">
        <w:rPr>
          <w:rFonts w:ascii="Calibri" w:hAnsi="Calibri"/>
        </w:rPr>
        <w:t>: Port fees, prices and services</w:t>
      </w:r>
      <w:bookmarkEnd w:id="38"/>
    </w:p>
    <w:tbl>
      <w:tblPr>
        <w:tblStyle w:val="TableGrid"/>
        <w:tblW w:w="0" w:type="auto"/>
        <w:tblLook w:val="04A0" w:firstRow="1" w:lastRow="0" w:firstColumn="1" w:lastColumn="0" w:noHBand="0" w:noVBand="1"/>
      </w:tblPr>
      <w:tblGrid>
        <w:gridCol w:w="9350"/>
      </w:tblGrid>
      <w:tr w:rsidR="00C354FB" w:rsidRPr="004B2A73" w14:paraId="0C95E9A3" w14:textId="77777777" w:rsidTr="00295BE6">
        <w:tc>
          <w:tcPr>
            <w:tcW w:w="9350" w:type="dxa"/>
          </w:tcPr>
          <w:p w14:paraId="69B88AEC" w14:textId="77777777" w:rsidR="00C354FB" w:rsidRPr="004B2A73" w:rsidRDefault="00C354FB" w:rsidP="00295BE6">
            <w:pPr>
              <w:rPr>
                <w:rFonts w:ascii="Calibri" w:hAnsi="Calibri"/>
              </w:rPr>
            </w:pPr>
            <w:r w:rsidRPr="004B2A73">
              <w:rPr>
                <w:rFonts w:ascii="Calibri" w:hAnsi="Calibri"/>
              </w:rPr>
              <w:t>The maritime gateway processes are complex, due to the number of agencies and operators involved, the nature of the documentation processes conducted, and the combination of physical and information flows involved. It is important to ascertain which fee is paid by whom in order to avoid double counting (for instance, what is paid by the ship is ultimately built into the freight rate paid by the shipper), and also to separate what is related to transport and logistics from what is related to trade tariffs (Customs duties and VAT, and also PSI / DI certification). Prices for logistics services at the maritime gateway are listed in the table below:</w:t>
            </w:r>
          </w:p>
          <w:tbl>
            <w:tblPr>
              <w:tblStyle w:val="ListTable3-Accent31"/>
              <w:tblW w:w="0" w:type="auto"/>
              <w:jc w:val="center"/>
              <w:tblLook w:val="04A0" w:firstRow="1" w:lastRow="0" w:firstColumn="1" w:lastColumn="0" w:noHBand="0" w:noVBand="1"/>
            </w:tblPr>
            <w:tblGrid>
              <w:gridCol w:w="1772"/>
              <w:gridCol w:w="2070"/>
              <w:gridCol w:w="4380"/>
            </w:tblGrid>
            <w:tr w:rsidR="00C354FB" w:rsidRPr="004B2A73" w14:paraId="2FCC51A3" w14:textId="77777777" w:rsidTr="00295BE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72" w:type="dxa"/>
                </w:tcPr>
                <w:p w14:paraId="67B67FEF" w14:textId="77777777" w:rsidR="00C354FB" w:rsidRPr="004B2A73" w:rsidRDefault="00C354FB" w:rsidP="00295BE6">
                  <w:pPr>
                    <w:rPr>
                      <w:rFonts w:ascii="Calibri" w:hAnsi="Calibri"/>
                    </w:rPr>
                  </w:pPr>
                </w:p>
              </w:tc>
              <w:tc>
                <w:tcPr>
                  <w:tcW w:w="2070" w:type="dxa"/>
                </w:tcPr>
                <w:p w14:paraId="5F56EBDC" w14:textId="77777777" w:rsidR="00C354FB" w:rsidRPr="004B2A73" w:rsidRDefault="00C354FB" w:rsidP="00295BE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Paid by ship</w:t>
                  </w:r>
                </w:p>
              </w:tc>
              <w:tc>
                <w:tcPr>
                  <w:tcW w:w="4380" w:type="dxa"/>
                </w:tcPr>
                <w:p w14:paraId="24A33050" w14:textId="77777777" w:rsidR="00C354FB" w:rsidRPr="004B2A73" w:rsidRDefault="00C354FB" w:rsidP="00295BE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Paid by the shipper</w:t>
                  </w:r>
                </w:p>
                <w:p w14:paraId="23813B4A" w14:textId="77777777" w:rsidR="00C354FB" w:rsidRPr="004B2A73" w:rsidRDefault="00C354FB" w:rsidP="00295BE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(through C&amp;F agent)</w:t>
                  </w:r>
                </w:p>
              </w:tc>
            </w:tr>
            <w:tr w:rsidR="00C354FB" w:rsidRPr="004B2A73" w14:paraId="2E33BA5D" w14:textId="77777777" w:rsidTr="00295B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2" w:type="dxa"/>
                </w:tcPr>
                <w:p w14:paraId="4C64A631" w14:textId="77777777" w:rsidR="00C354FB" w:rsidRPr="004B2A73" w:rsidRDefault="00C354FB" w:rsidP="00295BE6">
                  <w:pPr>
                    <w:rPr>
                      <w:rFonts w:ascii="Calibri" w:hAnsi="Calibri"/>
                    </w:rPr>
                  </w:pPr>
                  <w:r w:rsidRPr="004B2A73">
                    <w:rPr>
                      <w:rFonts w:ascii="Calibri" w:hAnsi="Calibri"/>
                    </w:rPr>
                    <w:t>Nautical services</w:t>
                  </w:r>
                </w:p>
              </w:tc>
              <w:tc>
                <w:tcPr>
                  <w:tcW w:w="2070" w:type="dxa"/>
                </w:tcPr>
                <w:p w14:paraId="4C4886AF" w14:textId="77777777" w:rsidR="00C354FB" w:rsidRPr="004B2A73" w:rsidRDefault="00C354FB" w:rsidP="00295BE6">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Pilotage, towage, and mooring</w:t>
                  </w:r>
                </w:p>
              </w:tc>
              <w:tc>
                <w:tcPr>
                  <w:tcW w:w="4380" w:type="dxa"/>
                </w:tcPr>
                <w:p w14:paraId="1563BC19" w14:textId="77777777" w:rsidR="00C354FB" w:rsidRPr="004B2A73" w:rsidRDefault="00C354FB" w:rsidP="00295BE6">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C354FB" w:rsidRPr="004B2A73" w14:paraId="386F4DC8" w14:textId="77777777" w:rsidTr="00295BE6">
              <w:trPr>
                <w:jc w:val="center"/>
              </w:trPr>
              <w:tc>
                <w:tcPr>
                  <w:cnfStyle w:val="001000000000" w:firstRow="0" w:lastRow="0" w:firstColumn="1" w:lastColumn="0" w:oddVBand="0" w:evenVBand="0" w:oddHBand="0" w:evenHBand="0" w:firstRowFirstColumn="0" w:firstRowLastColumn="0" w:lastRowFirstColumn="0" w:lastRowLastColumn="0"/>
                  <w:tcW w:w="1772" w:type="dxa"/>
                </w:tcPr>
                <w:p w14:paraId="11814CDE" w14:textId="77777777" w:rsidR="00C354FB" w:rsidRPr="004B2A73" w:rsidRDefault="00C354FB" w:rsidP="00295BE6">
                  <w:pPr>
                    <w:rPr>
                      <w:rFonts w:ascii="Calibri" w:hAnsi="Calibri"/>
                    </w:rPr>
                  </w:pPr>
                  <w:r w:rsidRPr="004B2A73">
                    <w:rPr>
                      <w:rFonts w:ascii="Calibri" w:hAnsi="Calibri"/>
                    </w:rPr>
                    <w:t>Port Authority</w:t>
                  </w:r>
                </w:p>
              </w:tc>
              <w:tc>
                <w:tcPr>
                  <w:tcW w:w="2070" w:type="dxa"/>
                </w:tcPr>
                <w:p w14:paraId="286E9447" w14:textId="77777777" w:rsidR="00C354FB" w:rsidRPr="004B2A73" w:rsidRDefault="00C354FB" w:rsidP="00295BE6">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Ship dues</w:t>
                  </w:r>
                </w:p>
              </w:tc>
              <w:tc>
                <w:tcPr>
                  <w:tcW w:w="4380" w:type="dxa"/>
                </w:tcPr>
                <w:p w14:paraId="353B210A" w14:textId="77777777" w:rsidR="00C354FB" w:rsidRPr="004B2A73" w:rsidRDefault="00C354FB" w:rsidP="00295BE6">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Cargo dues</w:t>
                  </w:r>
                </w:p>
              </w:tc>
            </w:tr>
            <w:tr w:rsidR="00C354FB" w:rsidRPr="004B2A73" w14:paraId="61C2FFAE" w14:textId="77777777" w:rsidTr="00295B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2" w:type="dxa"/>
                </w:tcPr>
                <w:p w14:paraId="2107C0A2" w14:textId="77777777" w:rsidR="00C354FB" w:rsidRPr="004B2A73" w:rsidRDefault="00C354FB" w:rsidP="00295BE6">
                  <w:pPr>
                    <w:rPr>
                      <w:rFonts w:ascii="Calibri" w:hAnsi="Calibri"/>
                    </w:rPr>
                  </w:pPr>
                  <w:r w:rsidRPr="004B2A73">
                    <w:rPr>
                      <w:rFonts w:ascii="Calibri" w:hAnsi="Calibri"/>
                    </w:rPr>
                    <w:t>Cargo handling companies / Terminals</w:t>
                  </w:r>
                </w:p>
              </w:tc>
              <w:tc>
                <w:tcPr>
                  <w:tcW w:w="2070" w:type="dxa"/>
                </w:tcPr>
                <w:p w14:paraId="4175CB90" w14:textId="77777777" w:rsidR="00C354FB" w:rsidRPr="004B2A73" w:rsidRDefault="00C354FB" w:rsidP="00295BE6">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Shifting / re-stow of containers to access containers, transshipment, and also loading of empty containers</w:t>
                  </w:r>
                </w:p>
              </w:tc>
              <w:tc>
                <w:tcPr>
                  <w:tcW w:w="4380" w:type="dxa"/>
                </w:tcPr>
                <w:p w14:paraId="5F0F1C71" w14:textId="77777777" w:rsidR="00C354FB" w:rsidRPr="004B2A73" w:rsidRDefault="00C354FB" w:rsidP="00295BE6">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Container handling, from ship to yard or warehouse, then to yard or warehouse to vehicle, with sometimes additional intermediate movements, such as positioning for physical or non-intrusive (scanner) inspection by border management agencies, and also, beyond a certain grace period, storage fees</w:t>
                  </w:r>
                  <w:r w:rsidRPr="004B2A73">
                    <w:rPr>
                      <w:rFonts w:ascii="Calibri" w:hAnsi="Calibri"/>
                      <w:vertAlign w:val="superscript"/>
                    </w:rPr>
                    <w:footnoteReference w:id="21"/>
                  </w:r>
                </w:p>
              </w:tc>
            </w:tr>
            <w:tr w:rsidR="00C354FB" w:rsidRPr="004B2A73" w14:paraId="1B2DBEB0" w14:textId="77777777" w:rsidTr="00295BE6">
              <w:trPr>
                <w:jc w:val="center"/>
              </w:trPr>
              <w:tc>
                <w:tcPr>
                  <w:cnfStyle w:val="001000000000" w:firstRow="0" w:lastRow="0" w:firstColumn="1" w:lastColumn="0" w:oddVBand="0" w:evenVBand="0" w:oddHBand="0" w:evenHBand="0" w:firstRowFirstColumn="0" w:firstRowLastColumn="0" w:lastRowFirstColumn="0" w:lastRowLastColumn="0"/>
                  <w:tcW w:w="1772" w:type="dxa"/>
                </w:tcPr>
                <w:p w14:paraId="10D78DE1" w14:textId="77777777" w:rsidR="00C354FB" w:rsidRPr="004B2A73" w:rsidRDefault="00C354FB" w:rsidP="00295BE6">
                  <w:pPr>
                    <w:rPr>
                      <w:rFonts w:ascii="Calibri" w:hAnsi="Calibri"/>
                    </w:rPr>
                  </w:pPr>
                  <w:r w:rsidRPr="004B2A73">
                    <w:rPr>
                      <w:rFonts w:ascii="Calibri" w:hAnsi="Calibri"/>
                    </w:rPr>
                    <w:t>Clearing and Forwarding (C&amp;F) agents</w:t>
                  </w:r>
                </w:p>
              </w:tc>
              <w:tc>
                <w:tcPr>
                  <w:tcW w:w="2070" w:type="dxa"/>
                </w:tcPr>
                <w:p w14:paraId="386AB825" w14:textId="77777777" w:rsidR="00C354FB" w:rsidRPr="004B2A73" w:rsidRDefault="00C354FB" w:rsidP="00295BE6">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4380" w:type="dxa"/>
                </w:tcPr>
                <w:p w14:paraId="71274140" w14:textId="77777777" w:rsidR="00C354FB" w:rsidRPr="004B2A73" w:rsidRDefault="00C354FB" w:rsidP="00295BE6">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Documentation processing by the Clearing and forwarding agents (C&amp;F agents)</w:t>
                  </w:r>
                </w:p>
                <w:p w14:paraId="09FF1DFA" w14:textId="77777777" w:rsidR="00C354FB" w:rsidRPr="004B2A73" w:rsidRDefault="00C354FB" w:rsidP="00295BE6">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Payments for Customs duties (for destination clearance) or mobilization of the guarantee / bond for transit</w:t>
                  </w:r>
                </w:p>
              </w:tc>
            </w:tr>
            <w:tr w:rsidR="00C354FB" w:rsidRPr="004B2A73" w14:paraId="52C723D5" w14:textId="77777777" w:rsidTr="00295B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2" w:type="dxa"/>
                </w:tcPr>
                <w:p w14:paraId="44F928A0" w14:textId="77777777" w:rsidR="00C354FB" w:rsidRPr="004B2A73" w:rsidRDefault="00C354FB" w:rsidP="00295BE6">
                  <w:pPr>
                    <w:rPr>
                      <w:rFonts w:ascii="Calibri" w:hAnsi="Calibri"/>
                    </w:rPr>
                  </w:pPr>
                  <w:r w:rsidRPr="004B2A73">
                    <w:rPr>
                      <w:rFonts w:ascii="Calibri" w:hAnsi="Calibri"/>
                    </w:rPr>
                    <w:t>Shipping agents</w:t>
                  </w:r>
                </w:p>
              </w:tc>
              <w:tc>
                <w:tcPr>
                  <w:tcW w:w="2070" w:type="dxa"/>
                </w:tcPr>
                <w:p w14:paraId="25984EEE" w14:textId="77777777" w:rsidR="00C354FB" w:rsidRPr="004B2A73" w:rsidRDefault="00C354FB" w:rsidP="00295BE6">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4380" w:type="dxa"/>
                </w:tcPr>
                <w:p w14:paraId="5F18BAE7" w14:textId="77777777" w:rsidR="00C354FB" w:rsidRPr="004B2A73" w:rsidRDefault="00C354FB" w:rsidP="00295BE6">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Delivery order (DO), B/L fees, deposits for container removal</w:t>
                  </w:r>
                </w:p>
              </w:tc>
            </w:tr>
            <w:tr w:rsidR="00C354FB" w:rsidRPr="004B2A73" w14:paraId="15A5187E" w14:textId="77777777" w:rsidTr="00295BE6">
              <w:trPr>
                <w:jc w:val="center"/>
              </w:trPr>
              <w:tc>
                <w:tcPr>
                  <w:cnfStyle w:val="001000000000" w:firstRow="0" w:lastRow="0" w:firstColumn="1" w:lastColumn="0" w:oddVBand="0" w:evenVBand="0" w:oddHBand="0" w:evenHBand="0" w:firstRowFirstColumn="0" w:firstRowLastColumn="0" w:lastRowFirstColumn="0" w:lastRowLastColumn="0"/>
                  <w:tcW w:w="1772" w:type="dxa"/>
                </w:tcPr>
                <w:p w14:paraId="3CB67C25" w14:textId="77777777" w:rsidR="00C354FB" w:rsidRPr="004B2A73" w:rsidRDefault="00C354FB" w:rsidP="00295BE6">
                  <w:pPr>
                    <w:rPr>
                      <w:rFonts w:ascii="Calibri" w:hAnsi="Calibri"/>
                    </w:rPr>
                  </w:pPr>
                  <w:r w:rsidRPr="004B2A73">
                    <w:rPr>
                      <w:rFonts w:ascii="Calibri" w:hAnsi="Calibri"/>
                    </w:rPr>
                    <w:lastRenderedPageBreak/>
                    <w:t>Other agencies</w:t>
                  </w:r>
                </w:p>
              </w:tc>
              <w:tc>
                <w:tcPr>
                  <w:tcW w:w="2070" w:type="dxa"/>
                </w:tcPr>
                <w:p w14:paraId="3FC56225" w14:textId="77777777" w:rsidR="00C354FB" w:rsidRPr="004B2A73" w:rsidRDefault="00C354FB" w:rsidP="00295BE6">
                  <w:pP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4380" w:type="dxa"/>
                </w:tcPr>
                <w:p w14:paraId="125302F4" w14:textId="77777777" w:rsidR="00C354FB" w:rsidRPr="004B2A73" w:rsidRDefault="00C354FB" w:rsidP="00295BE6">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PSI / DI certification, Shippers’ councils Cargo Tracking Notes, etc.</w:t>
                  </w:r>
                </w:p>
              </w:tc>
            </w:tr>
          </w:tbl>
          <w:p w14:paraId="79A9690B" w14:textId="77777777" w:rsidR="00C354FB" w:rsidRPr="004B2A73" w:rsidRDefault="00C354FB" w:rsidP="00C70D60">
            <w:pPr>
              <w:rPr>
                <w:rFonts w:ascii="Calibri" w:hAnsi="Calibri"/>
                <w:sz w:val="24"/>
                <w:szCs w:val="24"/>
              </w:rPr>
            </w:pPr>
            <w:r w:rsidRPr="004B2A73">
              <w:rPr>
                <w:rFonts w:ascii="Calibri" w:hAnsi="Calibri"/>
                <w:sz w:val="24"/>
                <w:szCs w:val="24"/>
              </w:rPr>
              <w:t>For terminals, the main tariff items are (i) quay handling, (ii) storage, and (iii) loading / offloading of the vehicle.</w:t>
            </w:r>
          </w:p>
          <w:p w14:paraId="732FD1F0" w14:textId="27E767A6" w:rsidR="00C354FB" w:rsidRPr="004B2A73" w:rsidRDefault="00C354FB" w:rsidP="00295BE6">
            <w:pPr>
              <w:rPr>
                <w:rFonts w:ascii="Calibri" w:hAnsi="Calibri"/>
                <w:sz w:val="24"/>
                <w:szCs w:val="24"/>
              </w:rPr>
            </w:pPr>
            <w:r w:rsidRPr="004B2A73">
              <w:rPr>
                <w:rFonts w:ascii="Calibri" w:hAnsi="Calibri"/>
                <w:noProof/>
                <w:sz w:val="24"/>
                <w:szCs w:val="24"/>
              </w:rPr>
              <w:drawing>
                <wp:inline distT="0" distB="0" distL="0" distR="0" wp14:anchorId="463BAE7E" wp14:editId="7AA1EE8A">
                  <wp:extent cx="5172075" cy="1514475"/>
                  <wp:effectExtent l="0" t="0" r="2857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14:paraId="6E30D905" w14:textId="77777777" w:rsidR="00C354FB" w:rsidRPr="004B2A73" w:rsidRDefault="00C354FB" w:rsidP="00C354FB">
      <w:pPr>
        <w:pStyle w:val="ListParagraph"/>
        <w:spacing w:after="0"/>
        <w:ind w:left="0"/>
        <w:rPr>
          <w:rFonts w:ascii="Calibri" w:hAnsi="Calibri"/>
          <w:sz w:val="24"/>
        </w:rPr>
      </w:pPr>
    </w:p>
    <w:p w14:paraId="6302879B" w14:textId="77777777" w:rsidR="00C354FB" w:rsidRPr="004B2A73" w:rsidRDefault="00C354FB" w:rsidP="00C354FB">
      <w:pPr>
        <w:pStyle w:val="ListParagraph"/>
        <w:spacing w:after="0"/>
        <w:ind w:left="0"/>
        <w:rPr>
          <w:rFonts w:ascii="Calibri" w:hAnsi="Calibri"/>
          <w:sz w:val="24"/>
        </w:rPr>
      </w:pPr>
    </w:p>
    <w:p w14:paraId="731929A3" w14:textId="77777777" w:rsidR="009C56A3" w:rsidRPr="0060262C" w:rsidRDefault="00F74D70" w:rsidP="0060262C">
      <w:pPr>
        <w:pStyle w:val="Heading2"/>
        <w:ind w:left="0"/>
        <w:rPr>
          <w:rFonts w:asciiTheme="minorHAnsi" w:hAnsiTheme="minorHAnsi" w:cstheme="minorHAnsi"/>
          <w:color w:val="000000" w:themeColor="text1"/>
          <w:sz w:val="28"/>
          <w:szCs w:val="28"/>
        </w:rPr>
      </w:pPr>
      <w:bookmarkStart w:id="39" w:name="_Toc485381993"/>
      <w:r w:rsidRPr="0060262C">
        <w:rPr>
          <w:rFonts w:asciiTheme="minorHAnsi" w:hAnsiTheme="minorHAnsi" w:cstheme="minorHAnsi"/>
          <w:color w:val="000000" w:themeColor="text1"/>
          <w:sz w:val="28"/>
          <w:szCs w:val="28"/>
        </w:rPr>
        <w:t>T</w:t>
      </w:r>
      <w:r w:rsidR="009C56A3" w:rsidRPr="0060262C">
        <w:rPr>
          <w:rFonts w:asciiTheme="minorHAnsi" w:hAnsiTheme="minorHAnsi" w:cstheme="minorHAnsi"/>
          <w:color w:val="000000" w:themeColor="text1"/>
          <w:sz w:val="28"/>
          <w:szCs w:val="28"/>
        </w:rPr>
        <w:t>he “</w:t>
      </w:r>
      <w:r w:rsidR="00500FC5" w:rsidRPr="0060262C">
        <w:rPr>
          <w:rFonts w:asciiTheme="minorHAnsi" w:hAnsiTheme="minorHAnsi" w:cstheme="minorHAnsi"/>
          <w:color w:val="000000" w:themeColor="text1"/>
          <w:sz w:val="28"/>
          <w:szCs w:val="28"/>
        </w:rPr>
        <w:t>Naturally M</w:t>
      </w:r>
      <w:r w:rsidR="009C56A3" w:rsidRPr="0060262C">
        <w:rPr>
          <w:rFonts w:asciiTheme="minorHAnsi" w:hAnsiTheme="minorHAnsi" w:cstheme="minorHAnsi"/>
          <w:color w:val="000000" w:themeColor="text1"/>
          <w:sz w:val="28"/>
          <w:szCs w:val="28"/>
        </w:rPr>
        <w:t xml:space="preserve">onopolistic” </w:t>
      </w:r>
      <w:r w:rsidR="00500FC5" w:rsidRPr="0060262C">
        <w:rPr>
          <w:rFonts w:asciiTheme="minorHAnsi" w:hAnsiTheme="minorHAnsi" w:cstheme="minorHAnsi"/>
          <w:color w:val="000000" w:themeColor="text1"/>
          <w:sz w:val="28"/>
          <w:szCs w:val="28"/>
        </w:rPr>
        <w:t>C</w:t>
      </w:r>
      <w:r w:rsidR="00B748D3" w:rsidRPr="0060262C">
        <w:rPr>
          <w:rFonts w:asciiTheme="minorHAnsi" w:hAnsiTheme="minorHAnsi" w:cstheme="minorHAnsi"/>
          <w:color w:val="000000" w:themeColor="text1"/>
          <w:sz w:val="28"/>
          <w:szCs w:val="28"/>
        </w:rPr>
        <w:t xml:space="preserve">ontainer </w:t>
      </w:r>
      <w:r w:rsidR="00500FC5" w:rsidRPr="0060262C">
        <w:rPr>
          <w:rFonts w:asciiTheme="minorHAnsi" w:hAnsiTheme="minorHAnsi" w:cstheme="minorHAnsi"/>
          <w:color w:val="000000" w:themeColor="text1"/>
          <w:sz w:val="28"/>
          <w:szCs w:val="28"/>
        </w:rPr>
        <w:t>Terminal M</w:t>
      </w:r>
      <w:r w:rsidR="008824D5" w:rsidRPr="0060262C">
        <w:rPr>
          <w:rFonts w:asciiTheme="minorHAnsi" w:hAnsiTheme="minorHAnsi" w:cstheme="minorHAnsi"/>
          <w:color w:val="000000" w:themeColor="text1"/>
          <w:sz w:val="28"/>
          <w:szCs w:val="28"/>
        </w:rPr>
        <w:t xml:space="preserve">arket </w:t>
      </w:r>
      <w:r w:rsidR="00BF651C" w:rsidRPr="0060262C">
        <w:rPr>
          <w:rFonts w:asciiTheme="minorHAnsi" w:hAnsiTheme="minorHAnsi" w:cstheme="minorHAnsi"/>
          <w:color w:val="000000" w:themeColor="text1"/>
          <w:sz w:val="28"/>
          <w:szCs w:val="28"/>
        </w:rPr>
        <w:t>of</w:t>
      </w:r>
      <w:r w:rsidR="00E95DFC" w:rsidRPr="0060262C">
        <w:rPr>
          <w:rFonts w:asciiTheme="minorHAnsi" w:hAnsiTheme="minorHAnsi" w:cstheme="minorHAnsi"/>
          <w:color w:val="000000" w:themeColor="text1"/>
          <w:sz w:val="28"/>
          <w:szCs w:val="28"/>
        </w:rPr>
        <w:t xml:space="preserve"> West Africa</w:t>
      </w:r>
      <w:r w:rsidRPr="0060262C">
        <w:rPr>
          <w:rFonts w:asciiTheme="minorHAnsi" w:hAnsiTheme="minorHAnsi" w:cstheme="minorHAnsi"/>
          <w:color w:val="000000" w:themeColor="text1"/>
          <w:sz w:val="28"/>
          <w:szCs w:val="28"/>
        </w:rPr>
        <w:t xml:space="preserve"> </w:t>
      </w:r>
      <w:r w:rsidR="00E429A6" w:rsidRPr="0060262C">
        <w:rPr>
          <w:rFonts w:asciiTheme="minorHAnsi" w:hAnsiTheme="minorHAnsi" w:cstheme="minorHAnsi"/>
          <w:color w:val="000000" w:themeColor="text1"/>
          <w:sz w:val="28"/>
          <w:szCs w:val="28"/>
        </w:rPr>
        <w:t>and</w:t>
      </w:r>
      <w:r w:rsidR="00500FC5" w:rsidRPr="0060262C">
        <w:rPr>
          <w:rFonts w:asciiTheme="minorHAnsi" w:hAnsiTheme="minorHAnsi" w:cstheme="minorHAnsi"/>
          <w:color w:val="000000" w:themeColor="text1"/>
          <w:sz w:val="28"/>
          <w:szCs w:val="28"/>
        </w:rPr>
        <w:t xml:space="preserve"> c</w:t>
      </w:r>
      <w:r w:rsidR="0010478B" w:rsidRPr="0060262C">
        <w:rPr>
          <w:rFonts w:asciiTheme="minorHAnsi" w:hAnsiTheme="minorHAnsi" w:cstheme="minorHAnsi"/>
          <w:color w:val="000000" w:themeColor="text1"/>
          <w:sz w:val="28"/>
          <w:szCs w:val="28"/>
        </w:rPr>
        <w:t xml:space="preserve">ompetition </w:t>
      </w:r>
      <w:r w:rsidR="00E54869" w:rsidRPr="0060262C">
        <w:rPr>
          <w:rFonts w:asciiTheme="minorHAnsi" w:hAnsiTheme="minorHAnsi" w:cstheme="minorHAnsi"/>
          <w:color w:val="000000" w:themeColor="text1"/>
          <w:sz w:val="28"/>
          <w:szCs w:val="28"/>
        </w:rPr>
        <w:t>for the</w:t>
      </w:r>
      <w:r w:rsidR="00500FC5" w:rsidRPr="0060262C">
        <w:rPr>
          <w:rFonts w:asciiTheme="minorHAnsi" w:hAnsiTheme="minorHAnsi" w:cstheme="minorHAnsi"/>
          <w:color w:val="000000" w:themeColor="text1"/>
          <w:sz w:val="28"/>
          <w:szCs w:val="28"/>
        </w:rPr>
        <w:t xml:space="preserve"> m</w:t>
      </w:r>
      <w:r w:rsidR="00E429A6" w:rsidRPr="0060262C">
        <w:rPr>
          <w:rFonts w:asciiTheme="minorHAnsi" w:hAnsiTheme="minorHAnsi" w:cstheme="minorHAnsi"/>
          <w:color w:val="000000" w:themeColor="text1"/>
          <w:sz w:val="28"/>
          <w:szCs w:val="28"/>
        </w:rPr>
        <w:t>arket</w:t>
      </w:r>
      <w:bookmarkEnd w:id="39"/>
    </w:p>
    <w:p w14:paraId="275F345F" w14:textId="77777777" w:rsidR="00B748D3" w:rsidRPr="004B2A73" w:rsidRDefault="00B748D3" w:rsidP="00C354FB">
      <w:pPr>
        <w:pStyle w:val="ListParagraph"/>
        <w:spacing w:after="0"/>
        <w:ind w:left="0"/>
        <w:rPr>
          <w:rFonts w:ascii="Calibri" w:hAnsi="Calibri"/>
          <w:sz w:val="24"/>
        </w:rPr>
      </w:pPr>
    </w:p>
    <w:p w14:paraId="0A68F88E" w14:textId="77777777" w:rsidR="00435B4B" w:rsidRPr="004B2A73" w:rsidRDefault="006205B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Ensuring adequate competition in port services in the context of high concentration in TOCs and shipping services is a complex task. </w:t>
      </w:r>
      <w:r w:rsidR="006A146B" w:rsidRPr="004B2A73">
        <w:rPr>
          <w:rFonts w:ascii="Calibri" w:hAnsi="Calibri"/>
          <w:sz w:val="24"/>
        </w:rPr>
        <w:t xml:space="preserve">One </w:t>
      </w:r>
      <w:r w:rsidRPr="004B2A73">
        <w:rPr>
          <w:rFonts w:ascii="Calibri" w:hAnsi="Calibri"/>
          <w:sz w:val="24"/>
        </w:rPr>
        <w:t xml:space="preserve">approach </w:t>
      </w:r>
      <w:r w:rsidR="00E95DFC" w:rsidRPr="004B2A73">
        <w:rPr>
          <w:rFonts w:ascii="Calibri" w:hAnsi="Calibri"/>
          <w:sz w:val="24"/>
        </w:rPr>
        <w:t xml:space="preserve">is </w:t>
      </w:r>
      <w:r w:rsidR="00A04B67" w:rsidRPr="004B2A73">
        <w:rPr>
          <w:rFonts w:ascii="Calibri" w:hAnsi="Calibri"/>
          <w:sz w:val="24"/>
        </w:rPr>
        <w:t>to encourage</w:t>
      </w:r>
      <w:r w:rsidR="0044259A" w:rsidRPr="004B2A73">
        <w:rPr>
          <w:rFonts w:ascii="Calibri" w:hAnsi="Calibri"/>
          <w:sz w:val="24"/>
        </w:rPr>
        <w:t xml:space="preserve"> competition ‘in</w:t>
      </w:r>
      <w:r w:rsidR="006F4A80" w:rsidRPr="004B2A73">
        <w:rPr>
          <w:rFonts w:ascii="Calibri" w:hAnsi="Calibri"/>
          <w:sz w:val="24"/>
        </w:rPr>
        <w:t xml:space="preserve"> the market</w:t>
      </w:r>
      <w:r w:rsidR="0044259A" w:rsidRPr="004B2A73">
        <w:rPr>
          <w:rFonts w:ascii="Calibri" w:hAnsi="Calibri"/>
          <w:sz w:val="24"/>
        </w:rPr>
        <w:t>”</w:t>
      </w:r>
      <w:r w:rsidR="006F4A80" w:rsidRPr="004B2A73">
        <w:rPr>
          <w:rFonts w:ascii="Calibri" w:hAnsi="Calibri"/>
          <w:sz w:val="24"/>
        </w:rPr>
        <w:t xml:space="preserve"> by </w:t>
      </w:r>
      <w:r w:rsidRPr="004B2A73">
        <w:rPr>
          <w:rFonts w:ascii="Calibri" w:hAnsi="Calibri"/>
          <w:sz w:val="24"/>
        </w:rPr>
        <w:t>promoting intra-port competition</w:t>
      </w:r>
      <w:r w:rsidR="00A04B67" w:rsidRPr="004B2A73">
        <w:rPr>
          <w:rFonts w:ascii="Calibri" w:hAnsi="Calibri"/>
          <w:sz w:val="24"/>
        </w:rPr>
        <w:t xml:space="preserve">, and if that is </w:t>
      </w:r>
      <w:r w:rsidRPr="004B2A73">
        <w:rPr>
          <w:rFonts w:ascii="Calibri" w:hAnsi="Calibri"/>
          <w:sz w:val="24"/>
        </w:rPr>
        <w:t>difficult to achieve</w:t>
      </w:r>
      <w:r w:rsidR="006F4A80" w:rsidRPr="004B2A73">
        <w:rPr>
          <w:rFonts w:ascii="Calibri" w:hAnsi="Calibri"/>
          <w:sz w:val="24"/>
        </w:rPr>
        <w:t>, attention should be foc</w:t>
      </w:r>
      <w:r w:rsidR="00A04B67" w:rsidRPr="004B2A73">
        <w:rPr>
          <w:rFonts w:ascii="Calibri" w:hAnsi="Calibri"/>
          <w:sz w:val="24"/>
        </w:rPr>
        <w:t xml:space="preserve">used on inter-port competition. </w:t>
      </w:r>
      <w:r w:rsidR="006A146B" w:rsidRPr="004B2A73">
        <w:rPr>
          <w:rFonts w:ascii="Calibri" w:hAnsi="Calibri"/>
          <w:sz w:val="24"/>
        </w:rPr>
        <w:t xml:space="preserve">The </w:t>
      </w:r>
      <w:r w:rsidR="006A146B" w:rsidRPr="000A7291">
        <w:rPr>
          <w:rFonts w:ascii="Calibri" w:hAnsi="Calibri"/>
          <w:sz w:val="24"/>
          <w:szCs w:val="24"/>
        </w:rPr>
        <w:t>second</w:t>
      </w:r>
      <w:r w:rsidR="006A146B" w:rsidRPr="004B2A73">
        <w:rPr>
          <w:rFonts w:ascii="Calibri" w:hAnsi="Calibri"/>
          <w:sz w:val="24"/>
        </w:rPr>
        <w:t xml:space="preserve"> alternative</w:t>
      </w:r>
      <w:r w:rsidR="002C7400" w:rsidRPr="004B2A73">
        <w:rPr>
          <w:rFonts w:ascii="Calibri" w:hAnsi="Calibri"/>
          <w:sz w:val="24"/>
        </w:rPr>
        <w:t xml:space="preserve"> </w:t>
      </w:r>
      <w:r w:rsidR="006A146B" w:rsidRPr="004B2A73">
        <w:rPr>
          <w:rFonts w:ascii="Calibri" w:hAnsi="Calibri"/>
          <w:sz w:val="24"/>
        </w:rPr>
        <w:t>is to promote</w:t>
      </w:r>
      <w:r w:rsidR="00BD2616" w:rsidRPr="004B2A73">
        <w:rPr>
          <w:rFonts w:ascii="Calibri" w:hAnsi="Calibri"/>
          <w:sz w:val="24"/>
        </w:rPr>
        <w:t xml:space="preserve"> </w:t>
      </w:r>
      <w:r w:rsidR="003B5082" w:rsidRPr="004B2A73">
        <w:rPr>
          <w:rFonts w:ascii="Calibri" w:hAnsi="Calibri"/>
          <w:sz w:val="24"/>
        </w:rPr>
        <w:t xml:space="preserve">competition </w:t>
      </w:r>
      <w:r w:rsidR="00BD2616" w:rsidRPr="004B2A73">
        <w:rPr>
          <w:rFonts w:ascii="Calibri" w:hAnsi="Calibri"/>
          <w:sz w:val="24"/>
        </w:rPr>
        <w:t>‘</w:t>
      </w:r>
      <w:r w:rsidR="003B5082" w:rsidRPr="004B2A73">
        <w:rPr>
          <w:rFonts w:ascii="Calibri" w:hAnsi="Calibri"/>
          <w:sz w:val="24"/>
        </w:rPr>
        <w:t>for</w:t>
      </w:r>
      <w:r w:rsidR="00BD2616" w:rsidRPr="004B2A73">
        <w:rPr>
          <w:rFonts w:ascii="Calibri" w:hAnsi="Calibri"/>
          <w:sz w:val="24"/>
        </w:rPr>
        <w:t xml:space="preserve"> the market</w:t>
      </w:r>
      <w:r w:rsidR="00A04B67" w:rsidRPr="004B2A73">
        <w:rPr>
          <w:rFonts w:ascii="Calibri" w:hAnsi="Calibri"/>
          <w:sz w:val="24"/>
        </w:rPr>
        <w:t>”</w:t>
      </w:r>
      <w:r w:rsidR="0098211F" w:rsidRPr="004B2A73">
        <w:rPr>
          <w:rFonts w:ascii="Calibri" w:hAnsi="Calibri"/>
          <w:sz w:val="24"/>
        </w:rPr>
        <w:t xml:space="preserve"> (through concessions)</w:t>
      </w:r>
      <w:r w:rsidR="006A146B" w:rsidRPr="004B2A73">
        <w:rPr>
          <w:rFonts w:ascii="Calibri" w:hAnsi="Calibri"/>
          <w:sz w:val="24"/>
        </w:rPr>
        <w:t xml:space="preserve">, </w:t>
      </w:r>
      <w:r w:rsidR="008E0BA6" w:rsidRPr="004B2A73">
        <w:rPr>
          <w:rFonts w:ascii="Calibri" w:hAnsi="Calibri"/>
          <w:sz w:val="24"/>
        </w:rPr>
        <w:t>with adequate attention to</w:t>
      </w:r>
      <w:r w:rsidR="00420CAF" w:rsidRPr="004B2A73">
        <w:rPr>
          <w:rFonts w:ascii="Calibri" w:hAnsi="Calibri"/>
          <w:sz w:val="24"/>
        </w:rPr>
        <w:t xml:space="preserve"> economic regulation</w:t>
      </w:r>
      <w:r w:rsidR="008E0BA6" w:rsidRPr="004B2A73">
        <w:rPr>
          <w:rFonts w:ascii="Calibri" w:hAnsi="Calibri"/>
          <w:sz w:val="24"/>
        </w:rPr>
        <w:t>,</w:t>
      </w:r>
      <w:r w:rsidR="006A146B" w:rsidRPr="004B2A73">
        <w:rPr>
          <w:rStyle w:val="FootnoteReference"/>
          <w:rFonts w:ascii="Calibri" w:hAnsi="Calibri"/>
          <w:sz w:val="24"/>
        </w:rPr>
        <w:footnoteReference w:id="22"/>
      </w:r>
      <w:r w:rsidR="0044259A" w:rsidRPr="004B2A73">
        <w:rPr>
          <w:rFonts w:ascii="Calibri" w:hAnsi="Calibri"/>
          <w:sz w:val="24"/>
        </w:rPr>
        <w:t xml:space="preserve"> supplemented with competition in the non-monopolistic services</w:t>
      </w:r>
      <w:r w:rsidR="00366354" w:rsidRPr="004B2A73">
        <w:rPr>
          <w:rFonts w:ascii="Calibri" w:hAnsi="Calibri"/>
          <w:sz w:val="24"/>
        </w:rPr>
        <w:t xml:space="preserve"> needed for the functioning of the CT and the ports.</w:t>
      </w:r>
      <w:r w:rsidR="000C75FF" w:rsidRPr="004B2A73">
        <w:rPr>
          <w:rFonts w:ascii="Calibri" w:hAnsi="Calibri"/>
          <w:sz w:val="24"/>
        </w:rPr>
        <w:t xml:space="preserve"> Competition for the market and regulation are discussed in Chapter 3 while the status of competition in the market is taken up below.</w:t>
      </w:r>
      <w:r w:rsidR="0015180E" w:rsidRPr="004B2A73">
        <w:rPr>
          <w:rStyle w:val="FootnoteReference"/>
          <w:rFonts w:ascii="Calibri" w:hAnsi="Calibri"/>
          <w:sz w:val="24"/>
        </w:rPr>
        <w:footnoteReference w:id="23"/>
      </w:r>
      <w:r w:rsidR="000C75FF" w:rsidRPr="004B2A73">
        <w:rPr>
          <w:rFonts w:ascii="Calibri" w:hAnsi="Calibri"/>
          <w:sz w:val="24"/>
        </w:rPr>
        <w:t xml:space="preserve"> </w:t>
      </w:r>
    </w:p>
    <w:p w14:paraId="78142378" w14:textId="77777777" w:rsidR="009C6E8E" w:rsidRPr="004B2A73" w:rsidRDefault="009C6E8E" w:rsidP="009C6E8E">
      <w:pPr>
        <w:pStyle w:val="ListParagraph"/>
        <w:spacing w:after="0"/>
        <w:ind w:left="0"/>
        <w:rPr>
          <w:rFonts w:ascii="Calibri" w:hAnsi="Calibri"/>
          <w:sz w:val="24"/>
        </w:rPr>
      </w:pPr>
    </w:p>
    <w:p w14:paraId="37A1A22A" w14:textId="60130B7C" w:rsidR="005957D2" w:rsidRPr="004B2A73" w:rsidRDefault="00EA2811"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Intra-port competition </w:t>
      </w:r>
      <w:r w:rsidR="006F4A80" w:rsidRPr="004B2A73">
        <w:rPr>
          <w:rFonts w:ascii="Calibri" w:hAnsi="Calibri"/>
          <w:b/>
          <w:sz w:val="24"/>
        </w:rPr>
        <w:t>existed</w:t>
      </w:r>
      <w:r w:rsidR="007E098E" w:rsidRPr="004B2A73">
        <w:rPr>
          <w:rFonts w:ascii="Calibri" w:hAnsi="Calibri"/>
          <w:b/>
          <w:sz w:val="24"/>
        </w:rPr>
        <w:t xml:space="preserve">, at least on paper, </w:t>
      </w:r>
      <w:r w:rsidRPr="004B2A73">
        <w:rPr>
          <w:rFonts w:ascii="Calibri" w:hAnsi="Calibri"/>
          <w:b/>
          <w:sz w:val="24"/>
        </w:rPr>
        <w:t>in most of the West Africa ports prior to the creation, and concession, of the container terminals.</w:t>
      </w:r>
      <w:r w:rsidRPr="004B2A73">
        <w:rPr>
          <w:rFonts w:ascii="Calibri" w:hAnsi="Calibri"/>
          <w:sz w:val="24"/>
        </w:rPr>
        <w:t xml:space="preserve"> </w:t>
      </w:r>
      <w:r w:rsidR="00260BE1" w:rsidRPr="004B2A73">
        <w:rPr>
          <w:rFonts w:ascii="Calibri" w:hAnsi="Calibri"/>
          <w:sz w:val="24"/>
        </w:rPr>
        <w:t>Prior to t</w:t>
      </w:r>
      <w:r w:rsidRPr="004B2A73">
        <w:rPr>
          <w:rFonts w:ascii="Calibri" w:hAnsi="Calibri"/>
          <w:sz w:val="24"/>
        </w:rPr>
        <w:t xml:space="preserve">he wave of </w:t>
      </w:r>
      <w:r w:rsidR="00260BE1" w:rsidRPr="004B2A73">
        <w:rPr>
          <w:rFonts w:ascii="Calibri" w:hAnsi="Calibri"/>
          <w:sz w:val="24"/>
        </w:rPr>
        <w:t xml:space="preserve">CT </w:t>
      </w:r>
      <w:r w:rsidRPr="004B2A73">
        <w:rPr>
          <w:rFonts w:ascii="Calibri" w:hAnsi="Calibri"/>
          <w:sz w:val="24"/>
        </w:rPr>
        <w:t>concession</w:t>
      </w:r>
      <w:r w:rsidR="006F4A80" w:rsidRPr="004B2A73">
        <w:rPr>
          <w:rFonts w:ascii="Calibri" w:hAnsi="Calibri"/>
          <w:sz w:val="24"/>
        </w:rPr>
        <w:t>s</w:t>
      </w:r>
      <w:r w:rsidR="00260BE1" w:rsidRPr="004B2A73">
        <w:rPr>
          <w:rFonts w:ascii="Calibri" w:hAnsi="Calibri"/>
          <w:sz w:val="24"/>
        </w:rPr>
        <w:t xml:space="preserve">, the </w:t>
      </w:r>
      <w:r w:rsidRPr="004B2A73">
        <w:rPr>
          <w:rFonts w:ascii="Calibri" w:hAnsi="Calibri"/>
          <w:sz w:val="24"/>
        </w:rPr>
        <w:t xml:space="preserve">stevedoring business </w:t>
      </w:r>
      <w:r w:rsidR="00260BE1" w:rsidRPr="004B2A73">
        <w:rPr>
          <w:rFonts w:ascii="Calibri" w:hAnsi="Calibri"/>
          <w:sz w:val="24"/>
        </w:rPr>
        <w:t xml:space="preserve">had been opened </w:t>
      </w:r>
      <w:r w:rsidRPr="004B2A73">
        <w:rPr>
          <w:rFonts w:ascii="Calibri" w:hAnsi="Calibri"/>
          <w:sz w:val="24"/>
        </w:rPr>
        <w:t>to licensed operators.</w:t>
      </w:r>
      <w:r w:rsidR="00DB507E" w:rsidRPr="004B2A73">
        <w:rPr>
          <w:rFonts w:ascii="Calibri" w:hAnsi="Calibri"/>
          <w:sz w:val="24"/>
        </w:rPr>
        <w:t xml:space="preserve"> </w:t>
      </w:r>
      <w:r w:rsidR="0059454F" w:rsidRPr="004B2A73">
        <w:rPr>
          <w:rFonts w:ascii="Calibri" w:hAnsi="Calibri"/>
          <w:sz w:val="24"/>
        </w:rPr>
        <w:t xml:space="preserve">For instance, in Tema, the monopoly on stevedoring held by the Ghana Ports and Harbours Authority (GPHA) was abolished, and licensed stevedores were </w:t>
      </w:r>
      <w:r w:rsidR="0059454F" w:rsidRPr="000A7291">
        <w:rPr>
          <w:rFonts w:ascii="Calibri" w:hAnsi="Calibri"/>
          <w:sz w:val="24"/>
          <w:szCs w:val="24"/>
        </w:rPr>
        <w:t>handling</w:t>
      </w:r>
      <w:r w:rsidR="0059454F" w:rsidRPr="004B2A73">
        <w:rPr>
          <w:rFonts w:ascii="Calibri" w:hAnsi="Calibri"/>
          <w:sz w:val="24"/>
        </w:rPr>
        <w:t xml:space="preserve"> 75</w:t>
      </w:r>
      <w:r w:rsidR="002E5C97" w:rsidRPr="004B2A73">
        <w:rPr>
          <w:rFonts w:ascii="Calibri" w:hAnsi="Calibri"/>
          <w:sz w:val="24"/>
        </w:rPr>
        <w:t xml:space="preserve"> percent</w:t>
      </w:r>
      <w:r w:rsidR="0059454F" w:rsidRPr="004B2A73">
        <w:rPr>
          <w:rFonts w:ascii="Calibri" w:hAnsi="Calibri"/>
          <w:sz w:val="24"/>
        </w:rPr>
        <w:t xml:space="preserve"> of the traffic</w:t>
      </w:r>
      <w:r w:rsidR="006F4A80" w:rsidRPr="004B2A73">
        <w:rPr>
          <w:rFonts w:ascii="Calibri" w:hAnsi="Calibri"/>
          <w:sz w:val="24"/>
        </w:rPr>
        <w:t>,</w:t>
      </w:r>
      <w:r w:rsidR="0059454F" w:rsidRPr="004B2A73">
        <w:rPr>
          <w:rFonts w:ascii="Calibri" w:hAnsi="Calibri"/>
          <w:sz w:val="24"/>
        </w:rPr>
        <w:t xml:space="preserve"> with GPHA handling 25</w:t>
      </w:r>
      <w:r w:rsidR="002E5C97" w:rsidRPr="004B2A73">
        <w:rPr>
          <w:rFonts w:ascii="Calibri" w:hAnsi="Calibri"/>
          <w:sz w:val="24"/>
        </w:rPr>
        <w:t xml:space="preserve"> percent</w:t>
      </w:r>
      <w:r w:rsidR="0059454F" w:rsidRPr="004B2A73">
        <w:rPr>
          <w:rFonts w:ascii="Calibri" w:hAnsi="Calibri"/>
          <w:sz w:val="24"/>
        </w:rPr>
        <w:t xml:space="preserve">. </w:t>
      </w:r>
      <w:r w:rsidR="00DB507E" w:rsidRPr="004B2A73">
        <w:rPr>
          <w:rFonts w:ascii="Calibri" w:hAnsi="Calibri"/>
          <w:sz w:val="24"/>
        </w:rPr>
        <w:t>The creation of container terminals and their conc</w:t>
      </w:r>
      <w:r w:rsidR="00435B4B" w:rsidRPr="004B2A73">
        <w:rPr>
          <w:rFonts w:ascii="Calibri" w:hAnsi="Calibri"/>
          <w:sz w:val="24"/>
        </w:rPr>
        <w:t>ession</w:t>
      </w:r>
      <w:r w:rsidR="00260BE1" w:rsidRPr="004B2A73">
        <w:rPr>
          <w:rFonts w:ascii="Calibri" w:hAnsi="Calibri"/>
          <w:sz w:val="24"/>
        </w:rPr>
        <w:t>ing</w:t>
      </w:r>
      <w:r w:rsidR="00435B4B" w:rsidRPr="004B2A73">
        <w:rPr>
          <w:rFonts w:ascii="Calibri" w:hAnsi="Calibri"/>
          <w:sz w:val="24"/>
        </w:rPr>
        <w:t xml:space="preserve"> replaced several operators by one single terminal operator. </w:t>
      </w:r>
      <w:r w:rsidR="0074630D" w:rsidRPr="004B2A73">
        <w:rPr>
          <w:rFonts w:ascii="Calibri" w:hAnsi="Calibri"/>
          <w:sz w:val="24"/>
        </w:rPr>
        <w:t>To continue with the example of Tema</w:t>
      </w:r>
      <w:r w:rsidR="00BA6D4C" w:rsidRPr="004B2A73">
        <w:rPr>
          <w:rFonts w:ascii="Calibri" w:hAnsi="Calibri"/>
          <w:sz w:val="24"/>
        </w:rPr>
        <w:t>,</w:t>
      </w:r>
      <w:r w:rsidR="00BF35EB" w:rsidRPr="004B2A73">
        <w:rPr>
          <w:rFonts w:ascii="Calibri" w:hAnsi="Calibri"/>
          <w:sz w:val="24"/>
        </w:rPr>
        <w:t xml:space="preserve"> while</w:t>
      </w:r>
      <w:r w:rsidR="0074630D" w:rsidRPr="004B2A73">
        <w:rPr>
          <w:rFonts w:ascii="Calibri" w:hAnsi="Calibri"/>
          <w:sz w:val="24"/>
        </w:rPr>
        <w:t xml:space="preserve"> MPS, the terminal operator, </w:t>
      </w:r>
      <w:r w:rsidR="006F4A80" w:rsidRPr="004B2A73">
        <w:rPr>
          <w:rFonts w:ascii="Calibri" w:hAnsi="Calibri"/>
          <w:sz w:val="24"/>
        </w:rPr>
        <w:t>handled</w:t>
      </w:r>
      <w:r w:rsidR="0074630D" w:rsidRPr="004B2A73">
        <w:rPr>
          <w:rFonts w:ascii="Calibri" w:hAnsi="Calibri"/>
          <w:sz w:val="24"/>
        </w:rPr>
        <w:t xml:space="preserve"> the majority of the container traffic</w:t>
      </w:r>
      <w:r w:rsidR="00BF35EB" w:rsidRPr="004B2A73">
        <w:rPr>
          <w:rFonts w:ascii="Calibri" w:hAnsi="Calibri"/>
          <w:sz w:val="24"/>
        </w:rPr>
        <w:t xml:space="preserve"> at the port</w:t>
      </w:r>
      <w:r w:rsidR="0074630D" w:rsidRPr="004B2A73">
        <w:rPr>
          <w:rFonts w:ascii="Calibri" w:hAnsi="Calibri"/>
          <w:sz w:val="24"/>
        </w:rPr>
        <w:t xml:space="preserve">, stevedoring companies </w:t>
      </w:r>
      <w:r w:rsidR="006F4A80" w:rsidRPr="004B2A73">
        <w:rPr>
          <w:rFonts w:ascii="Calibri" w:hAnsi="Calibri"/>
          <w:sz w:val="24"/>
        </w:rPr>
        <w:t>still obtained</w:t>
      </w:r>
      <w:r w:rsidR="0074630D" w:rsidRPr="004B2A73">
        <w:rPr>
          <w:rFonts w:ascii="Calibri" w:hAnsi="Calibri"/>
          <w:sz w:val="24"/>
        </w:rPr>
        <w:t xml:space="preserve"> a share of the traffic</w:t>
      </w:r>
      <w:r w:rsidR="00BF35EB" w:rsidRPr="004B2A73">
        <w:rPr>
          <w:rFonts w:ascii="Calibri" w:hAnsi="Calibri"/>
          <w:sz w:val="24"/>
        </w:rPr>
        <w:t xml:space="preserve"> providing a level of intra-port competition</w:t>
      </w:r>
      <w:r w:rsidR="0074630D" w:rsidRPr="004B2A73">
        <w:rPr>
          <w:rFonts w:ascii="Calibri" w:hAnsi="Calibri"/>
          <w:sz w:val="24"/>
        </w:rPr>
        <w:t xml:space="preserve">. This </w:t>
      </w:r>
      <w:r w:rsidR="00CC1363" w:rsidRPr="004B2A73">
        <w:rPr>
          <w:rFonts w:ascii="Calibri" w:hAnsi="Calibri"/>
          <w:sz w:val="24"/>
        </w:rPr>
        <w:t xml:space="preserve">was </w:t>
      </w:r>
      <w:r w:rsidR="00BA6D4C" w:rsidRPr="004B2A73">
        <w:rPr>
          <w:rFonts w:ascii="Calibri" w:hAnsi="Calibri"/>
          <w:sz w:val="24"/>
        </w:rPr>
        <w:t>removed</w:t>
      </w:r>
      <w:r w:rsidR="00CC1363" w:rsidRPr="004B2A73">
        <w:rPr>
          <w:rFonts w:ascii="Calibri" w:hAnsi="Calibri"/>
          <w:sz w:val="24"/>
        </w:rPr>
        <w:t xml:space="preserve"> </w:t>
      </w:r>
      <w:r w:rsidR="0074630D" w:rsidRPr="004B2A73">
        <w:rPr>
          <w:rFonts w:ascii="Calibri" w:hAnsi="Calibri"/>
          <w:sz w:val="24"/>
        </w:rPr>
        <w:t>when G</w:t>
      </w:r>
      <w:r w:rsidR="00785A7D">
        <w:rPr>
          <w:rFonts w:ascii="Calibri" w:hAnsi="Calibri"/>
          <w:sz w:val="24"/>
        </w:rPr>
        <w:t>PH</w:t>
      </w:r>
      <w:r w:rsidR="0074630D" w:rsidRPr="004B2A73">
        <w:rPr>
          <w:rFonts w:ascii="Calibri" w:hAnsi="Calibri"/>
          <w:sz w:val="24"/>
        </w:rPr>
        <w:t>A</w:t>
      </w:r>
      <w:r w:rsidR="006F4A80" w:rsidRPr="004B2A73">
        <w:rPr>
          <w:rFonts w:ascii="Calibri" w:hAnsi="Calibri"/>
          <w:sz w:val="24"/>
        </w:rPr>
        <w:t xml:space="preserve"> was</w:t>
      </w:r>
      <w:r w:rsidR="0074630D" w:rsidRPr="004B2A73">
        <w:rPr>
          <w:rFonts w:ascii="Calibri" w:hAnsi="Calibri"/>
          <w:sz w:val="24"/>
        </w:rPr>
        <w:t xml:space="preserve"> granted exclusive rights to handle ships with a call volume over 50 containers. </w:t>
      </w:r>
      <w:r w:rsidR="00512C0F" w:rsidRPr="004B2A73">
        <w:rPr>
          <w:rFonts w:ascii="Calibri" w:hAnsi="Calibri"/>
          <w:sz w:val="24"/>
        </w:rPr>
        <w:t xml:space="preserve"> In</w:t>
      </w:r>
      <w:r w:rsidR="0074630D" w:rsidRPr="004B2A73">
        <w:rPr>
          <w:rFonts w:ascii="Calibri" w:hAnsi="Calibri"/>
          <w:sz w:val="24"/>
        </w:rPr>
        <w:t xml:space="preserve"> West Africa</w:t>
      </w:r>
      <w:r w:rsidR="00512C0F" w:rsidRPr="004B2A73">
        <w:rPr>
          <w:rFonts w:ascii="Calibri" w:hAnsi="Calibri"/>
          <w:sz w:val="24"/>
        </w:rPr>
        <w:t>n</w:t>
      </w:r>
      <w:r w:rsidR="0074630D" w:rsidRPr="004B2A73">
        <w:rPr>
          <w:rFonts w:ascii="Calibri" w:hAnsi="Calibri"/>
          <w:sz w:val="24"/>
        </w:rPr>
        <w:t xml:space="preserve"> ports with terminal concessions, only </w:t>
      </w:r>
      <w:r w:rsidR="006F4A80" w:rsidRPr="004B2A73">
        <w:rPr>
          <w:rFonts w:ascii="Calibri" w:hAnsi="Calibri"/>
          <w:sz w:val="24"/>
        </w:rPr>
        <w:t xml:space="preserve">a </w:t>
      </w:r>
      <w:r w:rsidR="0074630D" w:rsidRPr="004B2A73">
        <w:rPr>
          <w:rFonts w:ascii="Calibri" w:hAnsi="Calibri"/>
          <w:sz w:val="24"/>
        </w:rPr>
        <w:t>few ports</w:t>
      </w:r>
      <w:r w:rsidR="00435B4B" w:rsidRPr="004B2A73">
        <w:rPr>
          <w:rFonts w:ascii="Calibri" w:hAnsi="Calibri"/>
          <w:sz w:val="24"/>
        </w:rPr>
        <w:t xml:space="preserve"> </w:t>
      </w:r>
      <w:r w:rsidR="00512C0F" w:rsidRPr="004B2A73">
        <w:rPr>
          <w:rFonts w:ascii="Calibri" w:hAnsi="Calibri"/>
          <w:sz w:val="24"/>
        </w:rPr>
        <w:t xml:space="preserve">have </w:t>
      </w:r>
      <w:r w:rsidR="00435B4B" w:rsidRPr="004B2A73">
        <w:rPr>
          <w:rFonts w:ascii="Calibri" w:hAnsi="Calibri"/>
          <w:sz w:val="24"/>
        </w:rPr>
        <w:t>maintain</w:t>
      </w:r>
      <w:r w:rsidR="00512C0F" w:rsidRPr="004B2A73">
        <w:rPr>
          <w:rFonts w:ascii="Calibri" w:hAnsi="Calibri"/>
          <w:sz w:val="24"/>
        </w:rPr>
        <w:t>ed</w:t>
      </w:r>
      <w:r w:rsidR="00435B4B" w:rsidRPr="004B2A73">
        <w:rPr>
          <w:rFonts w:ascii="Calibri" w:hAnsi="Calibri"/>
          <w:sz w:val="24"/>
        </w:rPr>
        <w:t xml:space="preserve"> plurality in container handling: </w:t>
      </w:r>
      <w:r w:rsidR="0074630D" w:rsidRPr="004B2A73">
        <w:rPr>
          <w:rFonts w:ascii="Calibri" w:hAnsi="Calibri"/>
          <w:sz w:val="24"/>
        </w:rPr>
        <w:t xml:space="preserve">Cotonou, where COMAN (a subsidiary of APM Terminals) </w:t>
      </w:r>
      <w:r w:rsidR="00C46B68" w:rsidRPr="004B2A73">
        <w:rPr>
          <w:rFonts w:ascii="Calibri" w:hAnsi="Calibri"/>
          <w:sz w:val="24"/>
        </w:rPr>
        <w:t xml:space="preserve">handles container vessels, </w:t>
      </w:r>
      <w:r w:rsidR="00C46B68" w:rsidRPr="004B2A73">
        <w:rPr>
          <w:rFonts w:ascii="Calibri" w:hAnsi="Calibri"/>
          <w:sz w:val="24"/>
        </w:rPr>
        <w:lastRenderedPageBreak/>
        <w:t xml:space="preserve">Lagos, with two container terminals (Apapa and Tin Can Island) and </w:t>
      </w:r>
      <w:r w:rsidR="00C922CA">
        <w:rPr>
          <w:rFonts w:ascii="Calibri" w:hAnsi="Calibri"/>
          <w:sz w:val="24"/>
        </w:rPr>
        <w:t>Lomé</w:t>
      </w:r>
      <w:r w:rsidR="00C46B68" w:rsidRPr="004B2A73">
        <w:rPr>
          <w:rFonts w:ascii="Calibri" w:hAnsi="Calibri"/>
          <w:sz w:val="24"/>
        </w:rPr>
        <w:t xml:space="preserve">, </w:t>
      </w:r>
      <w:r w:rsidR="006F4A80" w:rsidRPr="004B2A73">
        <w:rPr>
          <w:rFonts w:ascii="Calibri" w:hAnsi="Calibri"/>
          <w:sz w:val="24"/>
        </w:rPr>
        <w:t xml:space="preserve">also </w:t>
      </w:r>
      <w:r w:rsidR="00C46B68" w:rsidRPr="004B2A73">
        <w:rPr>
          <w:rFonts w:ascii="Calibri" w:hAnsi="Calibri"/>
          <w:sz w:val="24"/>
        </w:rPr>
        <w:t>with two container terminals (Togo Terminal and LCT).</w:t>
      </w:r>
      <w:r w:rsidR="009C4567" w:rsidRPr="004B2A73">
        <w:rPr>
          <w:rFonts w:ascii="Calibri" w:hAnsi="Calibri"/>
          <w:sz w:val="24"/>
        </w:rPr>
        <w:t xml:space="preserve"> In all other ports, containers are handled in </w:t>
      </w:r>
      <w:r w:rsidR="00512C0F" w:rsidRPr="004B2A73">
        <w:rPr>
          <w:rFonts w:ascii="Calibri" w:hAnsi="Calibri"/>
          <w:sz w:val="24"/>
        </w:rPr>
        <w:t xml:space="preserve">a </w:t>
      </w:r>
      <w:r w:rsidR="009C4567" w:rsidRPr="004B2A73">
        <w:rPr>
          <w:rFonts w:ascii="Calibri" w:hAnsi="Calibri"/>
          <w:sz w:val="24"/>
        </w:rPr>
        <w:t>single terminal.</w:t>
      </w:r>
    </w:p>
    <w:p w14:paraId="4ED6EA91" w14:textId="77777777" w:rsidR="009C6E8E" w:rsidRPr="004B2A73" w:rsidRDefault="009C6E8E" w:rsidP="009C6E8E">
      <w:pPr>
        <w:pStyle w:val="ListParagraph"/>
        <w:spacing w:after="0"/>
        <w:ind w:left="0"/>
        <w:rPr>
          <w:rFonts w:ascii="Calibri" w:hAnsi="Calibri"/>
          <w:sz w:val="24"/>
        </w:rPr>
      </w:pPr>
    </w:p>
    <w:p w14:paraId="25F19731" w14:textId="77777777" w:rsidR="00384BF0" w:rsidRPr="004B2A73" w:rsidRDefault="005957D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Only a few ports in West Africa have </w:t>
      </w:r>
      <w:r w:rsidR="006F4A80" w:rsidRPr="004B2A73">
        <w:rPr>
          <w:rFonts w:ascii="Calibri" w:hAnsi="Calibri"/>
          <w:b/>
          <w:sz w:val="24"/>
        </w:rPr>
        <w:t>sufficient</w:t>
      </w:r>
      <w:r w:rsidRPr="004B2A73">
        <w:rPr>
          <w:rFonts w:ascii="Calibri" w:hAnsi="Calibri"/>
          <w:b/>
          <w:sz w:val="24"/>
        </w:rPr>
        <w:t xml:space="preserve"> throughput to sustain more than one terminal, and even fewer have the facilities that would enable the creation of two terminals.</w:t>
      </w:r>
      <w:r w:rsidRPr="004B2A73">
        <w:rPr>
          <w:rFonts w:ascii="Calibri" w:hAnsi="Calibri"/>
          <w:sz w:val="24"/>
        </w:rPr>
        <w:t xml:space="preserve"> </w:t>
      </w:r>
      <w:r w:rsidR="00086905" w:rsidRPr="004B2A73">
        <w:rPr>
          <w:rFonts w:ascii="Calibri" w:hAnsi="Calibri"/>
          <w:sz w:val="24"/>
        </w:rPr>
        <w:t xml:space="preserve">Because of economies of scale, </w:t>
      </w:r>
      <w:r w:rsidR="005171F8" w:rsidRPr="004B2A73">
        <w:rPr>
          <w:rFonts w:ascii="Calibri" w:hAnsi="Calibri"/>
          <w:sz w:val="24"/>
        </w:rPr>
        <w:t>assess</w:t>
      </w:r>
      <w:r w:rsidR="006F4A80" w:rsidRPr="004B2A73">
        <w:rPr>
          <w:rFonts w:ascii="Calibri" w:hAnsi="Calibri"/>
          <w:sz w:val="24"/>
        </w:rPr>
        <w:t>ing</w:t>
      </w:r>
      <w:r w:rsidR="005171F8" w:rsidRPr="004B2A73">
        <w:rPr>
          <w:rFonts w:ascii="Calibri" w:hAnsi="Calibri"/>
          <w:sz w:val="24"/>
        </w:rPr>
        <w:t xml:space="preserve"> the benefits of one efficient terminal </w:t>
      </w:r>
      <w:r w:rsidR="006F4A80" w:rsidRPr="004B2A73">
        <w:rPr>
          <w:rFonts w:ascii="Calibri" w:hAnsi="Calibri"/>
          <w:sz w:val="24"/>
        </w:rPr>
        <w:t>with</w:t>
      </w:r>
      <w:r w:rsidR="005171F8" w:rsidRPr="004B2A73">
        <w:rPr>
          <w:rFonts w:ascii="Calibri" w:hAnsi="Calibri"/>
          <w:sz w:val="24"/>
        </w:rPr>
        <w:t xml:space="preserve"> a monopolistic position </w:t>
      </w:r>
      <w:r w:rsidR="006F4A80" w:rsidRPr="004B2A73">
        <w:rPr>
          <w:rFonts w:ascii="Calibri" w:hAnsi="Calibri"/>
          <w:sz w:val="24"/>
        </w:rPr>
        <w:t>versus</w:t>
      </w:r>
      <w:r w:rsidR="005171F8" w:rsidRPr="004B2A73">
        <w:rPr>
          <w:rFonts w:ascii="Calibri" w:hAnsi="Calibri"/>
          <w:sz w:val="24"/>
        </w:rPr>
        <w:t xml:space="preserve"> two </w:t>
      </w:r>
      <w:r w:rsidR="00C3326F" w:rsidRPr="004B2A73">
        <w:rPr>
          <w:rFonts w:ascii="Calibri" w:hAnsi="Calibri"/>
          <w:sz w:val="24"/>
        </w:rPr>
        <w:t>(</w:t>
      </w:r>
      <w:r w:rsidR="005171F8" w:rsidRPr="004B2A73">
        <w:rPr>
          <w:rFonts w:ascii="Calibri" w:hAnsi="Calibri"/>
          <w:sz w:val="24"/>
        </w:rPr>
        <w:t>or more</w:t>
      </w:r>
      <w:r w:rsidR="00C3326F" w:rsidRPr="004B2A73">
        <w:rPr>
          <w:rFonts w:ascii="Calibri" w:hAnsi="Calibri"/>
          <w:sz w:val="24"/>
        </w:rPr>
        <w:t>)</w:t>
      </w:r>
      <w:r w:rsidR="005171F8" w:rsidRPr="004B2A73">
        <w:rPr>
          <w:rFonts w:ascii="Calibri" w:hAnsi="Calibri"/>
          <w:sz w:val="24"/>
        </w:rPr>
        <w:t xml:space="preserve"> less efficient </w:t>
      </w:r>
      <w:r w:rsidR="005171F8" w:rsidRPr="00395387">
        <w:rPr>
          <w:rFonts w:ascii="Calibri" w:hAnsi="Calibri"/>
          <w:sz w:val="24"/>
        </w:rPr>
        <w:t xml:space="preserve">terminals </w:t>
      </w:r>
      <w:r w:rsidR="00086905" w:rsidRPr="00395387">
        <w:rPr>
          <w:rFonts w:ascii="Calibri" w:hAnsi="Calibri"/>
          <w:sz w:val="24"/>
        </w:rPr>
        <w:t>with</w:t>
      </w:r>
      <w:r w:rsidR="005171F8" w:rsidRPr="00395387">
        <w:rPr>
          <w:rFonts w:ascii="Calibri" w:hAnsi="Calibri"/>
          <w:sz w:val="24"/>
        </w:rPr>
        <w:t xml:space="preserve"> the possibility of competition</w:t>
      </w:r>
      <w:r w:rsidR="006F4A80" w:rsidRPr="00395387">
        <w:rPr>
          <w:rFonts w:ascii="Calibri" w:hAnsi="Calibri"/>
          <w:sz w:val="24"/>
        </w:rPr>
        <w:t xml:space="preserve"> is only useful when traffic volumes reach a minimal threshold</w:t>
      </w:r>
      <w:r w:rsidR="005171F8" w:rsidRPr="00395387">
        <w:rPr>
          <w:rFonts w:ascii="Calibri" w:hAnsi="Calibri"/>
          <w:sz w:val="24"/>
        </w:rPr>
        <w:t>.</w:t>
      </w:r>
      <w:r w:rsidR="00B65CB7" w:rsidRPr="00395387">
        <w:rPr>
          <w:rFonts w:ascii="Calibri" w:hAnsi="Calibri"/>
          <w:sz w:val="24"/>
        </w:rPr>
        <w:t xml:space="preserve"> If volume is the primary criteria</w:t>
      </w:r>
      <w:r w:rsidR="00A65A12" w:rsidRPr="00395387">
        <w:rPr>
          <w:rFonts w:ascii="Calibri" w:hAnsi="Calibri"/>
          <w:sz w:val="24"/>
        </w:rPr>
        <w:t xml:space="preserve"> to determine the viability of multiple </w:t>
      </w:r>
      <w:r w:rsidR="00A65A12" w:rsidRPr="00395387">
        <w:rPr>
          <w:rFonts w:ascii="Calibri" w:hAnsi="Calibri"/>
          <w:sz w:val="24"/>
          <w:szCs w:val="24"/>
        </w:rPr>
        <w:t>container</w:t>
      </w:r>
      <w:r w:rsidR="00A65A12" w:rsidRPr="00395387">
        <w:rPr>
          <w:rFonts w:ascii="Calibri" w:hAnsi="Calibri"/>
          <w:sz w:val="24"/>
        </w:rPr>
        <w:t xml:space="preserve"> terminals</w:t>
      </w:r>
      <w:r w:rsidR="00B65CB7" w:rsidRPr="00395387">
        <w:rPr>
          <w:rFonts w:ascii="Calibri" w:hAnsi="Calibri"/>
          <w:sz w:val="24"/>
        </w:rPr>
        <w:t xml:space="preserve">, the layout of the port is </w:t>
      </w:r>
      <w:r w:rsidR="000A3780" w:rsidRPr="00395387">
        <w:rPr>
          <w:rFonts w:ascii="Calibri" w:hAnsi="Calibri"/>
          <w:sz w:val="24"/>
        </w:rPr>
        <w:t xml:space="preserve">also </w:t>
      </w:r>
      <w:r w:rsidR="00B65CB7" w:rsidRPr="00395387">
        <w:rPr>
          <w:rFonts w:ascii="Calibri" w:hAnsi="Calibri"/>
          <w:sz w:val="24"/>
        </w:rPr>
        <w:t>an important parameter</w:t>
      </w:r>
      <w:r w:rsidR="00A65A12" w:rsidRPr="00395387">
        <w:rPr>
          <w:rFonts w:ascii="Calibri" w:hAnsi="Calibri"/>
          <w:sz w:val="24"/>
        </w:rPr>
        <w:t xml:space="preserve"> to consider</w:t>
      </w:r>
      <w:r w:rsidR="00B65CB7" w:rsidRPr="00395387">
        <w:rPr>
          <w:rFonts w:ascii="Calibri" w:hAnsi="Calibri"/>
          <w:sz w:val="24"/>
        </w:rPr>
        <w:t xml:space="preserve">. In most ports, only a few berths have physical characteristics suitable for handling container vessels: sufficient draft, backspace to create a container yard, sufficiently strong quay walls to accommodate gantry cranes, etc. </w:t>
      </w:r>
      <w:r w:rsidR="00A65A12" w:rsidRPr="00395387">
        <w:rPr>
          <w:rFonts w:ascii="Calibri" w:hAnsi="Calibri"/>
          <w:sz w:val="24"/>
        </w:rPr>
        <w:t xml:space="preserve">It is therefore very likely that only one location in the port is suitable for a container terminal, not more. </w:t>
      </w:r>
      <w:r w:rsidR="00384BF0" w:rsidRPr="00395387">
        <w:rPr>
          <w:rFonts w:ascii="Calibri" w:hAnsi="Calibri"/>
          <w:sz w:val="24"/>
        </w:rPr>
        <w:t>In the first wave of concession</w:t>
      </w:r>
      <w:r w:rsidR="006F4A80" w:rsidRPr="00395387">
        <w:rPr>
          <w:rFonts w:ascii="Calibri" w:hAnsi="Calibri"/>
          <w:sz w:val="24"/>
        </w:rPr>
        <w:t>s</w:t>
      </w:r>
      <w:r w:rsidR="00384BF0" w:rsidRPr="00395387">
        <w:rPr>
          <w:rFonts w:ascii="Calibri" w:hAnsi="Calibri"/>
          <w:sz w:val="24"/>
        </w:rPr>
        <w:t xml:space="preserve">, only Lagos met </w:t>
      </w:r>
      <w:r w:rsidR="00F95A16" w:rsidRPr="00395387">
        <w:rPr>
          <w:rFonts w:ascii="Calibri" w:hAnsi="Calibri"/>
          <w:sz w:val="24"/>
        </w:rPr>
        <w:t>the necessary</w:t>
      </w:r>
      <w:r w:rsidR="00384BF0" w:rsidRPr="00395387">
        <w:rPr>
          <w:rFonts w:ascii="Calibri" w:hAnsi="Calibri"/>
          <w:sz w:val="24"/>
        </w:rPr>
        <w:t xml:space="preserve"> criteria</w:t>
      </w:r>
      <w:r w:rsidR="00A65A12" w:rsidRPr="00395387">
        <w:rPr>
          <w:rFonts w:ascii="Calibri" w:hAnsi="Calibri"/>
          <w:sz w:val="24"/>
        </w:rPr>
        <w:t xml:space="preserve"> to have two different container</w:t>
      </w:r>
      <w:r w:rsidR="00A65A12" w:rsidRPr="004B2A73">
        <w:rPr>
          <w:rFonts w:ascii="Calibri" w:hAnsi="Calibri"/>
          <w:sz w:val="24"/>
        </w:rPr>
        <w:t xml:space="preserve"> terminal concessions</w:t>
      </w:r>
      <w:r w:rsidR="00384BF0" w:rsidRPr="004B2A73">
        <w:rPr>
          <w:rFonts w:ascii="Calibri" w:hAnsi="Calibri"/>
          <w:sz w:val="24"/>
        </w:rPr>
        <w:t>.</w:t>
      </w:r>
    </w:p>
    <w:p w14:paraId="4041F676" w14:textId="77777777" w:rsidR="009C6E8E" w:rsidRPr="004B2A73" w:rsidRDefault="009C6E8E" w:rsidP="009C6E8E">
      <w:pPr>
        <w:pStyle w:val="ListParagraph"/>
        <w:spacing w:after="0"/>
        <w:ind w:left="0"/>
        <w:rPr>
          <w:rFonts w:ascii="Calibri" w:hAnsi="Calibri"/>
          <w:sz w:val="24"/>
        </w:rPr>
      </w:pPr>
    </w:p>
    <w:p w14:paraId="275ED56F" w14:textId="77777777" w:rsidR="001526A7" w:rsidRPr="004B2A73" w:rsidRDefault="001526A7" w:rsidP="00E826B9">
      <w:pPr>
        <w:pStyle w:val="ListParagraph"/>
        <w:numPr>
          <w:ilvl w:val="0"/>
          <w:numId w:val="6"/>
        </w:numPr>
        <w:spacing w:after="0"/>
        <w:ind w:left="0" w:firstLine="0"/>
        <w:jc w:val="both"/>
        <w:rPr>
          <w:rFonts w:ascii="Calibri" w:hAnsi="Calibri"/>
          <w:sz w:val="24"/>
        </w:rPr>
      </w:pPr>
      <w:r>
        <w:rPr>
          <w:rFonts w:ascii="Calibri" w:hAnsi="Calibri"/>
          <w:b/>
          <w:sz w:val="24"/>
        </w:rPr>
        <w:t>Observed</w:t>
      </w:r>
      <w:r w:rsidRPr="00A436A0">
        <w:rPr>
          <w:rFonts w:ascii="Calibri" w:hAnsi="Calibri"/>
          <w:b/>
          <w:sz w:val="24"/>
        </w:rPr>
        <w:t xml:space="preserve"> growth in </w:t>
      </w:r>
      <w:r>
        <w:rPr>
          <w:rFonts w:ascii="Calibri" w:hAnsi="Calibri"/>
          <w:b/>
          <w:sz w:val="24"/>
        </w:rPr>
        <w:t xml:space="preserve">containerized </w:t>
      </w:r>
      <w:r w:rsidRPr="00A436A0">
        <w:rPr>
          <w:rFonts w:ascii="Calibri" w:hAnsi="Calibri"/>
          <w:b/>
          <w:sz w:val="24"/>
        </w:rPr>
        <w:t xml:space="preserve">traffic is </w:t>
      </w:r>
      <w:r>
        <w:rPr>
          <w:rFonts w:ascii="Calibri" w:hAnsi="Calibri"/>
          <w:b/>
          <w:sz w:val="24"/>
        </w:rPr>
        <w:t xml:space="preserve">gradually </w:t>
      </w:r>
      <w:r w:rsidRPr="00A436A0">
        <w:rPr>
          <w:rFonts w:ascii="Calibri" w:hAnsi="Calibri"/>
          <w:b/>
          <w:sz w:val="24"/>
        </w:rPr>
        <w:t>leading to saturation in some facilities, so that it becomes necessary to consider whether new capacity can be used to promote competition</w:t>
      </w:r>
      <w:r w:rsidRPr="004B2A73">
        <w:rPr>
          <w:rFonts w:ascii="Calibri" w:hAnsi="Calibri"/>
          <w:b/>
          <w:sz w:val="24"/>
        </w:rPr>
        <w:t xml:space="preserve">, </w:t>
      </w:r>
      <w:r w:rsidRPr="004B2A73">
        <w:rPr>
          <w:rFonts w:ascii="Calibri" w:hAnsi="Calibri"/>
          <w:sz w:val="24"/>
        </w:rPr>
        <w:t xml:space="preserve">for example by leasing a new terminal to an operator other than the one responsible for the existing terminal. However, the port authorities in West Africa have not always taken up this opportunity. In Abidjan, for example, the second </w:t>
      </w:r>
      <w:r w:rsidRPr="000A7291">
        <w:rPr>
          <w:rFonts w:ascii="Calibri" w:hAnsi="Calibri"/>
          <w:sz w:val="24"/>
          <w:szCs w:val="24"/>
        </w:rPr>
        <w:t>terminal</w:t>
      </w:r>
      <w:r w:rsidRPr="004B2A73">
        <w:rPr>
          <w:rFonts w:ascii="Calibri" w:hAnsi="Calibri"/>
          <w:sz w:val="24"/>
        </w:rPr>
        <w:t xml:space="preserve"> was ultimately awarded</w:t>
      </w:r>
      <w:r>
        <w:rPr>
          <w:rFonts w:ascii="Calibri" w:hAnsi="Calibri"/>
          <w:sz w:val="24"/>
        </w:rPr>
        <w:t>, after a competitive process,</w:t>
      </w:r>
      <w:r w:rsidRPr="004B2A73">
        <w:rPr>
          <w:rFonts w:ascii="Calibri" w:hAnsi="Calibri"/>
          <w:sz w:val="24"/>
        </w:rPr>
        <w:t xml:space="preserve"> to a group comprising the same TOCs as the first terminal; in Tema, the concession of the existing terminal was simply expanded to include the new infrastructure to be developed. </w:t>
      </w:r>
      <w:r>
        <w:rPr>
          <w:rFonts w:ascii="Calibri" w:hAnsi="Calibri"/>
          <w:sz w:val="24"/>
        </w:rPr>
        <w:t>Lomé</w:t>
      </w:r>
      <w:r w:rsidRPr="004B2A73">
        <w:rPr>
          <w:rFonts w:ascii="Calibri" w:hAnsi="Calibri"/>
          <w:sz w:val="24"/>
        </w:rPr>
        <w:t xml:space="preserve"> is an exception, with the existing container berths awarded to one operator, while the second terminal</w:t>
      </w:r>
      <w:r>
        <w:rPr>
          <w:rFonts w:ascii="Calibri" w:hAnsi="Calibri"/>
          <w:sz w:val="24"/>
        </w:rPr>
        <w:t>, primarily serving MSC vessels and</w:t>
      </w:r>
      <w:r w:rsidRPr="004B2A73">
        <w:rPr>
          <w:rFonts w:ascii="Calibri" w:hAnsi="Calibri"/>
          <w:sz w:val="24"/>
        </w:rPr>
        <w:t xml:space="preserve"> created through a BOT</w:t>
      </w:r>
      <w:r>
        <w:rPr>
          <w:rFonts w:ascii="Calibri" w:hAnsi="Calibri"/>
          <w:sz w:val="24"/>
        </w:rPr>
        <w:t>,</w:t>
      </w:r>
      <w:r w:rsidRPr="004B2A73">
        <w:rPr>
          <w:rFonts w:ascii="Calibri" w:hAnsi="Calibri"/>
          <w:sz w:val="24"/>
        </w:rPr>
        <w:t xml:space="preserve"> was awarded to a different operator.</w:t>
      </w:r>
    </w:p>
    <w:p w14:paraId="2DF71E01" w14:textId="77777777" w:rsidR="009C6E8E" w:rsidRPr="004B2A73" w:rsidRDefault="009C6E8E" w:rsidP="009C6E8E">
      <w:pPr>
        <w:pStyle w:val="ListParagraph"/>
        <w:spacing w:after="0"/>
        <w:ind w:left="0"/>
        <w:rPr>
          <w:rFonts w:ascii="Calibri" w:hAnsi="Calibri"/>
          <w:sz w:val="24"/>
        </w:rPr>
      </w:pPr>
    </w:p>
    <w:p w14:paraId="7C46DEC8" w14:textId="77777777" w:rsidR="00665CAB" w:rsidRPr="004B2A73" w:rsidRDefault="006056B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If i</w:t>
      </w:r>
      <w:r w:rsidR="005F33E8" w:rsidRPr="004B2A73">
        <w:rPr>
          <w:rFonts w:ascii="Calibri" w:hAnsi="Calibri"/>
          <w:b/>
          <w:sz w:val="24"/>
        </w:rPr>
        <w:t xml:space="preserve">ntroducing </w:t>
      </w:r>
      <w:r w:rsidRPr="004B2A73">
        <w:rPr>
          <w:rFonts w:ascii="Calibri" w:hAnsi="Calibri"/>
          <w:b/>
          <w:sz w:val="24"/>
        </w:rPr>
        <w:t xml:space="preserve">intra-port competition is </w:t>
      </w:r>
      <w:r w:rsidR="005F33E8" w:rsidRPr="004B2A73">
        <w:rPr>
          <w:rFonts w:ascii="Calibri" w:hAnsi="Calibri"/>
          <w:b/>
          <w:sz w:val="24"/>
        </w:rPr>
        <w:t>infeasible</w:t>
      </w:r>
      <w:r w:rsidRPr="004B2A73">
        <w:rPr>
          <w:rFonts w:ascii="Calibri" w:hAnsi="Calibri"/>
          <w:b/>
          <w:sz w:val="24"/>
        </w:rPr>
        <w:t xml:space="preserve">, government should </w:t>
      </w:r>
      <w:r w:rsidR="00665CAB" w:rsidRPr="004B2A73">
        <w:rPr>
          <w:rFonts w:ascii="Calibri" w:hAnsi="Calibri"/>
          <w:b/>
          <w:sz w:val="24"/>
        </w:rPr>
        <w:t xml:space="preserve">promote substitutability between ports and </w:t>
      </w:r>
      <w:r w:rsidR="008B7EA1" w:rsidRPr="004B2A73">
        <w:rPr>
          <w:rFonts w:ascii="Calibri" w:hAnsi="Calibri"/>
          <w:b/>
          <w:sz w:val="24"/>
        </w:rPr>
        <w:t xml:space="preserve">thus </w:t>
      </w:r>
      <w:r w:rsidR="00665CAB" w:rsidRPr="004B2A73">
        <w:rPr>
          <w:rFonts w:ascii="Calibri" w:hAnsi="Calibri"/>
          <w:b/>
          <w:sz w:val="24"/>
        </w:rPr>
        <w:t>create inter-port competition</w:t>
      </w:r>
      <w:r w:rsidR="00665CAB" w:rsidRPr="004B2A73">
        <w:rPr>
          <w:rFonts w:ascii="Calibri" w:hAnsi="Calibri"/>
          <w:sz w:val="24"/>
        </w:rPr>
        <w:t>. The</w:t>
      </w:r>
      <w:r w:rsidR="00491ECB" w:rsidRPr="004B2A73">
        <w:rPr>
          <w:rFonts w:ascii="Calibri" w:hAnsi="Calibri"/>
          <w:sz w:val="24"/>
        </w:rPr>
        <w:t xml:space="preserve"> issue differs considerably between shipping lines and shippers</w:t>
      </w:r>
      <w:r w:rsidR="008B7EA1" w:rsidRPr="004B2A73">
        <w:rPr>
          <w:rFonts w:ascii="Calibri" w:hAnsi="Calibri"/>
          <w:sz w:val="24"/>
        </w:rPr>
        <w:t xml:space="preserve">, </w:t>
      </w:r>
      <w:r w:rsidR="00491ECB" w:rsidRPr="004B2A73">
        <w:rPr>
          <w:rFonts w:ascii="Calibri" w:hAnsi="Calibri"/>
          <w:sz w:val="24"/>
        </w:rPr>
        <w:t>as</w:t>
      </w:r>
      <w:r w:rsidR="008B7EA1" w:rsidRPr="004B2A73">
        <w:rPr>
          <w:rFonts w:ascii="Calibri" w:hAnsi="Calibri"/>
          <w:sz w:val="24"/>
        </w:rPr>
        <w:t xml:space="preserve"> </w:t>
      </w:r>
      <w:r w:rsidR="005F33E8" w:rsidRPr="004B2A73">
        <w:rPr>
          <w:rFonts w:ascii="Calibri" w:hAnsi="Calibri"/>
          <w:sz w:val="24"/>
        </w:rPr>
        <w:t xml:space="preserve">has been discussed in the section above. </w:t>
      </w:r>
      <w:r w:rsidR="008B7EA1" w:rsidRPr="004B2A73">
        <w:rPr>
          <w:rFonts w:ascii="Calibri" w:hAnsi="Calibri"/>
          <w:sz w:val="24"/>
        </w:rPr>
        <w:t xml:space="preserve"> </w:t>
      </w:r>
      <w:r w:rsidR="00491ECB" w:rsidRPr="004B2A73">
        <w:rPr>
          <w:rFonts w:ascii="Calibri" w:hAnsi="Calibri"/>
          <w:sz w:val="24"/>
        </w:rPr>
        <w:t>The major s</w:t>
      </w:r>
      <w:r w:rsidR="008B7EA1" w:rsidRPr="004B2A73">
        <w:rPr>
          <w:rFonts w:ascii="Calibri" w:hAnsi="Calibri"/>
          <w:sz w:val="24"/>
        </w:rPr>
        <w:t>hipping lines</w:t>
      </w:r>
      <w:r w:rsidR="00491ECB" w:rsidRPr="004B2A73">
        <w:rPr>
          <w:rFonts w:ascii="Calibri" w:hAnsi="Calibri"/>
          <w:sz w:val="24"/>
        </w:rPr>
        <w:t xml:space="preserve"> have considerable </w:t>
      </w:r>
      <w:r w:rsidR="008B7EA1" w:rsidRPr="004B2A73">
        <w:rPr>
          <w:rFonts w:ascii="Calibri" w:hAnsi="Calibri"/>
          <w:sz w:val="24"/>
        </w:rPr>
        <w:t>market power</w:t>
      </w:r>
      <w:r w:rsidR="00491ECB" w:rsidRPr="004B2A73">
        <w:rPr>
          <w:rFonts w:ascii="Calibri" w:hAnsi="Calibri"/>
          <w:sz w:val="24"/>
        </w:rPr>
        <w:t>, and enjoy significant flexibility in structuring services, so they tend to be less disadvantaged by the market power of TOCs.</w:t>
      </w:r>
      <w:r w:rsidR="008B7EA1" w:rsidRPr="004B2A73">
        <w:rPr>
          <w:rFonts w:ascii="Calibri" w:hAnsi="Calibri"/>
          <w:sz w:val="24"/>
        </w:rPr>
        <w:t xml:space="preserve"> Shippers, on the other hand, </w:t>
      </w:r>
      <w:r w:rsidR="009C556B" w:rsidRPr="004B2A73">
        <w:rPr>
          <w:rFonts w:ascii="Calibri" w:hAnsi="Calibri"/>
          <w:sz w:val="24"/>
        </w:rPr>
        <w:t>are far more dependent, and it is only for shippers located in the hinterland that alternatives exist. T</w:t>
      </w:r>
      <w:r w:rsidR="008B7EA1" w:rsidRPr="004B2A73">
        <w:rPr>
          <w:rFonts w:ascii="Calibri" w:hAnsi="Calibri"/>
          <w:sz w:val="24"/>
        </w:rPr>
        <w:t xml:space="preserve">ransit traffic is </w:t>
      </w:r>
      <w:r w:rsidR="009C556B" w:rsidRPr="004B2A73">
        <w:rPr>
          <w:rFonts w:ascii="Calibri" w:hAnsi="Calibri"/>
          <w:sz w:val="24"/>
        </w:rPr>
        <w:t xml:space="preserve">therefore </w:t>
      </w:r>
      <w:r w:rsidR="008B7EA1" w:rsidRPr="004B2A73">
        <w:rPr>
          <w:rFonts w:ascii="Calibri" w:hAnsi="Calibri"/>
          <w:sz w:val="24"/>
        </w:rPr>
        <w:t>the only d</w:t>
      </w:r>
      <w:r w:rsidR="009C556B" w:rsidRPr="004B2A73">
        <w:rPr>
          <w:rFonts w:ascii="Calibri" w:hAnsi="Calibri"/>
          <w:sz w:val="24"/>
        </w:rPr>
        <w:t>isputed portion of the traffic, and it benefits from a preferential treatment that the captive shippers</w:t>
      </w:r>
      <w:r w:rsidR="00491ECB" w:rsidRPr="004B2A73">
        <w:rPr>
          <w:rFonts w:ascii="Calibri" w:hAnsi="Calibri"/>
          <w:sz w:val="24"/>
        </w:rPr>
        <w:t xml:space="preserve"> do not enjoy</w:t>
      </w:r>
      <w:r w:rsidR="009C556B" w:rsidRPr="004B2A73">
        <w:rPr>
          <w:rFonts w:ascii="Calibri" w:hAnsi="Calibri"/>
          <w:sz w:val="24"/>
        </w:rPr>
        <w:t>.</w:t>
      </w:r>
    </w:p>
    <w:p w14:paraId="45DD975E" w14:textId="77777777" w:rsidR="009C6E8E" w:rsidRPr="004B2A73" w:rsidRDefault="009C6E8E" w:rsidP="009C6E8E">
      <w:pPr>
        <w:pStyle w:val="ListParagraph"/>
        <w:spacing w:after="0"/>
        <w:ind w:left="0"/>
        <w:rPr>
          <w:rFonts w:ascii="Calibri" w:hAnsi="Calibri"/>
          <w:sz w:val="24"/>
        </w:rPr>
      </w:pPr>
    </w:p>
    <w:p w14:paraId="6104BC99" w14:textId="1918B001" w:rsidR="00843678" w:rsidRPr="004B2A73" w:rsidRDefault="001E231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In practice, due to the results of the terminal concession awards</w:t>
      </w:r>
      <w:r w:rsidR="008B7EA1" w:rsidRPr="004B2A73">
        <w:rPr>
          <w:rFonts w:ascii="Calibri" w:hAnsi="Calibri"/>
          <w:b/>
          <w:sz w:val="24"/>
        </w:rPr>
        <w:t>,</w:t>
      </w:r>
      <w:r w:rsidR="00491ECB" w:rsidRPr="004B2A73">
        <w:rPr>
          <w:rFonts w:ascii="Calibri" w:hAnsi="Calibri"/>
          <w:b/>
          <w:sz w:val="24"/>
        </w:rPr>
        <w:t xml:space="preserve"> there is little</w:t>
      </w:r>
      <w:r w:rsidR="008B7EA1" w:rsidRPr="004B2A73">
        <w:rPr>
          <w:rFonts w:ascii="Calibri" w:hAnsi="Calibri"/>
          <w:b/>
          <w:sz w:val="24"/>
        </w:rPr>
        <w:t xml:space="preserve"> inter-port competition in West Africa.</w:t>
      </w:r>
      <w:r w:rsidR="008B7EA1" w:rsidRPr="004B2A73">
        <w:rPr>
          <w:rFonts w:ascii="Calibri" w:hAnsi="Calibri"/>
          <w:sz w:val="24"/>
        </w:rPr>
        <w:t xml:space="preserve"> </w:t>
      </w:r>
      <w:r w:rsidR="009C556B" w:rsidRPr="004B2A73">
        <w:rPr>
          <w:rFonts w:ascii="Calibri" w:hAnsi="Calibri"/>
          <w:sz w:val="24"/>
        </w:rPr>
        <w:t xml:space="preserve">The main maritime gateways for the three West Africa landlocked countries are Dakar, Abidjan, Tema, </w:t>
      </w:r>
      <w:r w:rsidR="00C922CA">
        <w:rPr>
          <w:rFonts w:ascii="Calibri" w:hAnsi="Calibri"/>
          <w:sz w:val="24"/>
        </w:rPr>
        <w:t>Lomé</w:t>
      </w:r>
      <w:r w:rsidR="009C556B" w:rsidRPr="004B2A73">
        <w:rPr>
          <w:rFonts w:ascii="Calibri" w:hAnsi="Calibri"/>
          <w:sz w:val="24"/>
        </w:rPr>
        <w:t>, and Cotonou. In addition</w:t>
      </w:r>
      <w:r w:rsidRPr="004B2A73">
        <w:rPr>
          <w:rFonts w:ascii="Calibri" w:hAnsi="Calibri"/>
          <w:sz w:val="24"/>
        </w:rPr>
        <w:t xml:space="preserve"> </w:t>
      </w:r>
      <w:r w:rsidR="009C556B" w:rsidRPr="004B2A73">
        <w:rPr>
          <w:rFonts w:ascii="Calibri" w:hAnsi="Calibri"/>
          <w:sz w:val="24"/>
        </w:rPr>
        <w:t xml:space="preserve">to the main five ports, Takoradi had played a minor role </w:t>
      </w:r>
      <w:r w:rsidRPr="004B2A73">
        <w:rPr>
          <w:rFonts w:ascii="Calibri" w:hAnsi="Calibri"/>
          <w:sz w:val="24"/>
        </w:rPr>
        <w:t xml:space="preserve">for transit to </w:t>
      </w:r>
      <w:r w:rsidRPr="000A7291">
        <w:rPr>
          <w:rFonts w:ascii="Calibri" w:hAnsi="Calibri"/>
          <w:sz w:val="24"/>
          <w:szCs w:val="24"/>
        </w:rPr>
        <w:t>Burkina</w:t>
      </w:r>
      <w:r w:rsidRPr="004B2A73">
        <w:rPr>
          <w:rFonts w:ascii="Calibri" w:hAnsi="Calibri"/>
          <w:sz w:val="24"/>
        </w:rPr>
        <w:t xml:space="preserve"> Faso </w:t>
      </w:r>
      <w:r w:rsidR="009C556B" w:rsidRPr="004B2A73">
        <w:rPr>
          <w:rFonts w:ascii="Calibri" w:hAnsi="Calibri"/>
          <w:sz w:val="24"/>
        </w:rPr>
        <w:t xml:space="preserve">at the height of the crisis in </w:t>
      </w:r>
      <w:r w:rsidR="009C556B" w:rsidRPr="004B2A73">
        <w:rPr>
          <w:rFonts w:ascii="Calibri" w:hAnsi="Calibri"/>
          <w:sz w:val="24"/>
        </w:rPr>
        <w:lastRenderedPageBreak/>
        <w:t>Cote d’Ivoire, and San Pedro and Conakry handle small transit volumes</w:t>
      </w:r>
      <w:r w:rsidRPr="004B2A73">
        <w:rPr>
          <w:rFonts w:ascii="Calibri" w:hAnsi="Calibri"/>
          <w:sz w:val="24"/>
        </w:rPr>
        <w:t xml:space="preserve"> for Mali</w:t>
      </w:r>
      <w:r w:rsidR="009C556B" w:rsidRPr="004B2A73">
        <w:rPr>
          <w:rFonts w:ascii="Calibri" w:hAnsi="Calibri"/>
          <w:sz w:val="24"/>
        </w:rPr>
        <w:t xml:space="preserve">. </w:t>
      </w:r>
      <w:r w:rsidRPr="004B2A73">
        <w:rPr>
          <w:rFonts w:ascii="Calibri" w:hAnsi="Calibri"/>
          <w:sz w:val="24"/>
        </w:rPr>
        <w:t xml:space="preserve">Out of the five main transit ports, BAL is present in all of them (although only for the </w:t>
      </w:r>
      <w:r w:rsidR="002E5C97" w:rsidRPr="004B2A73">
        <w:rPr>
          <w:rFonts w:ascii="Calibri" w:hAnsi="Calibri"/>
          <w:sz w:val="24"/>
        </w:rPr>
        <w:t>R</w:t>
      </w:r>
      <w:r w:rsidRPr="004B2A73">
        <w:rPr>
          <w:rFonts w:ascii="Calibri" w:hAnsi="Calibri"/>
          <w:sz w:val="24"/>
        </w:rPr>
        <w:t>o</w:t>
      </w:r>
      <w:r w:rsidR="002E5C97" w:rsidRPr="004B2A73">
        <w:rPr>
          <w:rFonts w:ascii="Calibri" w:hAnsi="Calibri"/>
          <w:sz w:val="24"/>
        </w:rPr>
        <w:t>-R</w:t>
      </w:r>
      <w:r w:rsidRPr="004B2A73">
        <w:rPr>
          <w:rFonts w:ascii="Calibri" w:hAnsi="Calibri"/>
          <w:sz w:val="24"/>
        </w:rPr>
        <w:t xml:space="preserve">o terminal in Dakar), </w:t>
      </w:r>
      <w:r w:rsidR="00491ECB" w:rsidRPr="004B2A73">
        <w:rPr>
          <w:rFonts w:ascii="Calibri" w:hAnsi="Calibri"/>
          <w:sz w:val="24"/>
        </w:rPr>
        <w:t xml:space="preserve">and </w:t>
      </w:r>
      <w:r w:rsidRPr="004B2A73">
        <w:rPr>
          <w:rFonts w:ascii="Calibri" w:hAnsi="Calibri"/>
          <w:sz w:val="24"/>
        </w:rPr>
        <w:t>APM Terminals is present in three (Tema and Abidjan as shareholder in the container terminals, and Cotonou through its stevedoring subsidiary).</w:t>
      </w:r>
    </w:p>
    <w:p w14:paraId="0DC4366A" w14:textId="77777777" w:rsidR="00C9749B" w:rsidRPr="004B2A73" w:rsidRDefault="00C9749B" w:rsidP="00C9749B">
      <w:pPr>
        <w:pStyle w:val="ListParagraph"/>
        <w:spacing w:after="0"/>
        <w:ind w:left="0"/>
        <w:rPr>
          <w:rFonts w:ascii="Calibri" w:hAnsi="Calibri"/>
          <w:sz w:val="24"/>
        </w:rPr>
      </w:pPr>
    </w:p>
    <w:p w14:paraId="3B684B83" w14:textId="77777777" w:rsidR="00AF506F" w:rsidRPr="004B2A73" w:rsidRDefault="00E041DE"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 rapid progress of containerization and inland logistics have standardized port operations and facilitated intermodal transport</w:t>
      </w:r>
      <w:r w:rsidRPr="004B2A73">
        <w:rPr>
          <w:rFonts w:ascii="Calibri" w:hAnsi="Calibri"/>
          <w:sz w:val="24"/>
        </w:rPr>
        <w:t xml:space="preserve">, making many ports closer substitutes competing for larger hinterlands and thus considerably shrinking the size of the undisputed hinterland. </w:t>
      </w:r>
      <w:r w:rsidR="008C487C" w:rsidRPr="004B2A73">
        <w:rPr>
          <w:rFonts w:ascii="Calibri" w:hAnsi="Calibri"/>
          <w:sz w:val="24"/>
        </w:rPr>
        <w:t>P</w:t>
      </w:r>
      <w:r w:rsidR="00BC302F" w:rsidRPr="004B2A73">
        <w:rPr>
          <w:rFonts w:ascii="Calibri" w:hAnsi="Calibri"/>
          <w:sz w:val="24"/>
        </w:rPr>
        <w:t xml:space="preserve">orts are just </w:t>
      </w:r>
      <w:r w:rsidR="008C487C" w:rsidRPr="004B2A73">
        <w:rPr>
          <w:rFonts w:ascii="Calibri" w:hAnsi="Calibri"/>
          <w:sz w:val="24"/>
        </w:rPr>
        <w:t>one</w:t>
      </w:r>
      <w:r w:rsidR="00BC302F" w:rsidRPr="004B2A73">
        <w:rPr>
          <w:rFonts w:ascii="Calibri" w:hAnsi="Calibri"/>
          <w:sz w:val="24"/>
        </w:rPr>
        <w:t xml:space="preserve"> node in the complex logistics chains for international shipping trade</w:t>
      </w:r>
      <w:r w:rsidR="008C487C" w:rsidRPr="004B2A73">
        <w:rPr>
          <w:rFonts w:ascii="Calibri" w:hAnsi="Calibri"/>
          <w:sz w:val="24"/>
        </w:rPr>
        <w:t>. Neve</w:t>
      </w:r>
      <w:r w:rsidR="007A7625" w:rsidRPr="004B2A73">
        <w:rPr>
          <w:rFonts w:ascii="Calibri" w:hAnsi="Calibri"/>
          <w:sz w:val="24"/>
        </w:rPr>
        <w:t>rth</w:t>
      </w:r>
      <w:r w:rsidR="008C487C" w:rsidRPr="004B2A73">
        <w:rPr>
          <w:rFonts w:ascii="Calibri" w:hAnsi="Calibri"/>
          <w:sz w:val="24"/>
        </w:rPr>
        <w:t>eless,</w:t>
      </w:r>
      <w:r w:rsidR="00BC302F" w:rsidRPr="004B2A73">
        <w:rPr>
          <w:rFonts w:ascii="Calibri" w:hAnsi="Calibri"/>
          <w:sz w:val="24"/>
        </w:rPr>
        <w:t xml:space="preserve"> the relative costs, times and risks </w:t>
      </w:r>
      <w:r w:rsidR="00BC302F" w:rsidRPr="000A7291">
        <w:rPr>
          <w:rFonts w:ascii="Calibri" w:hAnsi="Calibri"/>
          <w:sz w:val="24"/>
          <w:szCs w:val="24"/>
        </w:rPr>
        <w:t>between</w:t>
      </w:r>
      <w:r w:rsidR="00BC302F" w:rsidRPr="004B2A73">
        <w:rPr>
          <w:rFonts w:ascii="Calibri" w:hAnsi="Calibri"/>
          <w:sz w:val="24"/>
        </w:rPr>
        <w:t xml:space="preserve"> maritime transport and land transport mean that in practice, ports have an undisputed hinterland of variable extent, and only beyond a certain distance can it become economically viable</w:t>
      </w:r>
      <w:r w:rsidR="007A7625" w:rsidRPr="004B2A73">
        <w:rPr>
          <w:rFonts w:ascii="Calibri" w:hAnsi="Calibri"/>
          <w:sz w:val="24"/>
        </w:rPr>
        <w:t xml:space="preserve"> for shippers</w:t>
      </w:r>
      <w:r w:rsidR="00BC302F" w:rsidRPr="004B2A73">
        <w:rPr>
          <w:rFonts w:ascii="Calibri" w:hAnsi="Calibri"/>
          <w:sz w:val="24"/>
        </w:rPr>
        <w:t xml:space="preserve"> to consider </w:t>
      </w:r>
      <w:r w:rsidR="007A7625" w:rsidRPr="004B2A73">
        <w:rPr>
          <w:rFonts w:ascii="Calibri" w:hAnsi="Calibri"/>
          <w:sz w:val="24"/>
        </w:rPr>
        <w:t xml:space="preserve">an </w:t>
      </w:r>
      <w:r w:rsidR="00BC302F" w:rsidRPr="004B2A73">
        <w:rPr>
          <w:rFonts w:ascii="Calibri" w:hAnsi="Calibri"/>
          <w:sz w:val="24"/>
        </w:rPr>
        <w:t xml:space="preserve">alternative </w:t>
      </w:r>
      <w:r w:rsidR="007A7625" w:rsidRPr="004B2A73">
        <w:rPr>
          <w:rFonts w:ascii="Calibri" w:hAnsi="Calibri"/>
          <w:sz w:val="24"/>
        </w:rPr>
        <w:t>port</w:t>
      </w:r>
      <w:r w:rsidR="00BC302F" w:rsidRPr="004B2A73">
        <w:rPr>
          <w:rFonts w:ascii="Calibri" w:hAnsi="Calibri"/>
          <w:sz w:val="24"/>
        </w:rPr>
        <w:t xml:space="preserve">. </w:t>
      </w:r>
      <w:r w:rsidR="00AF506F" w:rsidRPr="004B2A73">
        <w:rPr>
          <w:rFonts w:ascii="Calibri" w:hAnsi="Calibri"/>
          <w:sz w:val="24"/>
        </w:rPr>
        <w:t xml:space="preserve">In this context, the decision for </w:t>
      </w:r>
      <w:r w:rsidR="006E5905" w:rsidRPr="004B2A73">
        <w:rPr>
          <w:rFonts w:ascii="Calibri" w:hAnsi="Calibri"/>
          <w:sz w:val="24"/>
        </w:rPr>
        <w:t>shippers</w:t>
      </w:r>
      <w:r w:rsidR="00AF506F" w:rsidRPr="004B2A73">
        <w:rPr>
          <w:rFonts w:ascii="Calibri" w:hAnsi="Calibri"/>
          <w:sz w:val="24"/>
        </w:rPr>
        <w:t xml:space="preserve"> to use a particular port to reach a given inland destination is a function of a range of criteria identified in the port choice literature, including costs</w:t>
      </w:r>
      <w:r w:rsidR="00BC302F" w:rsidRPr="004B2A73">
        <w:rPr>
          <w:rFonts w:ascii="Calibri" w:hAnsi="Calibri"/>
          <w:sz w:val="24"/>
        </w:rPr>
        <w:t xml:space="preserve"> and prices</w:t>
      </w:r>
      <w:r w:rsidR="00AF506F" w:rsidRPr="004B2A73">
        <w:rPr>
          <w:rFonts w:ascii="Calibri" w:hAnsi="Calibri"/>
          <w:sz w:val="24"/>
        </w:rPr>
        <w:t xml:space="preserve">, terminal </w:t>
      </w:r>
      <w:r w:rsidR="00BC302F" w:rsidRPr="004B2A73">
        <w:rPr>
          <w:rFonts w:ascii="Calibri" w:hAnsi="Calibri"/>
          <w:sz w:val="24"/>
        </w:rPr>
        <w:t>characteristics</w:t>
      </w:r>
      <w:r w:rsidR="006E5905" w:rsidRPr="004B2A73">
        <w:rPr>
          <w:rFonts w:ascii="Calibri" w:hAnsi="Calibri"/>
          <w:sz w:val="24"/>
        </w:rPr>
        <w:t xml:space="preserve"> and performance</w:t>
      </w:r>
      <w:r w:rsidR="00AF506F" w:rsidRPr="004B2A73">
        <w:rPr>
          <w:rFonts w:ascii="Calibri" w:hAnsi="Calibri"/>
          <w:sz w:val="24"/>
        </w:rPr>
        <w:t xml:space="preserve">, </w:t>
      </w:r>
      <w:r w:rsidR="00BC302F" w:rsidRPr="004B2A73">
        <w:rPr>
          <w:rFonts w:ascii="Calibri" w:hAnsi="Calibri"/>
          <w:sz w:val="24"/>
        </w:rPr>
        <w:t>shipping connectivity</w:t>
      </w:r>
      <w:r w:rsidR="00AF506F" w:rsidRPr="004B2A73">
        <w:rPr>
          <w:rFonts w:ascii="Calibri" w:hAnsi="Calibri"/>
          <w:sz w:val="24"/>
        </w:rPr>
        <w:t xml:space="preserve"> and access to hinterland, </w:t>
      </w:r>
      <w:r w:rsidR="006E5905" w:rsidRPr="004B2A73">
        <w:rPr>
          <w:rFonts w:ascii="Calibri" w:hAnsi="Calibri"/>
          <w:sz w:val="24"/>
        </w:rPr>
        <w:t>complexity of the documentation process</w:t>
      </w:r>
      <w:r w:rsidR="00AF506F" w:rsidRPr="004B2A73">
        <w:rPr>
          <w:rFonts w:ascii="Calibri" w:hAnsi="Calibri"/>
          <w:sz w:val="24"/>
        </w:rPr>
        <w:t>, etc.</w:t>
      </w:r>
    </w:p>
    <w:p w14:paraId="2B25B39D" w14:textId="77777777" w:rsidR="009C6E8E" w:rsidRPr="004B2A73" w:rsidRDefault="009C6E8E" w:rsidP="009C6E8E">
      <w:pPr>
        <w:pStyle w:val="ListParagraph"/>
        <w:spacing w:after="0"/>
        <w:ind w:left="0"/>
        <w:rPr>
          <w:rFonts w:ascii="Calibri" w:hAnsi="Calibri"/>
          <w:sz w:val="24"/>
        </w:rPr>
      </w:pPr>
    </w:p>
    <w:p w14:paraId="60684B66" w14:textId="02633B93" w:rsidR="00111C9D" w:rsidRPr="004B2A73" w:rsidRDefault="008C487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M</w:t>
      </w:r>
      <w:r w:rsidR="006E5905" w:rsidRPr="004B2A73">
        <w:rPr>
          <w:rFonts w:ascii="Calibri" w:hAnsi="Calibri"/>
          <w:b/>
          <w:sz w:val="24"/>
        </w:rPr>
        <w:t>ost West African ports</w:t>
      </w:r>
      <w:r w:rsidRPr="004B2A73">
        <w:rPr>
          <w:rFonts w:ascii="Calibri" w:hAnsi="Calibri"/>
          <w:b/>
          <w:sz w:val="24"/>
        </w:rPr>
        <w:t>, however,</w:t>
      </w:r>
      <w:r w:rsidR="006E5905" w:rsidRPr="004B2A73">
        <w:rPr>
          <w:rFonts w:ascii="Calibri" w:hAnsi="Calibri"/>
          <w:b/>
          <w:sz w:val="24"/>
        </w:rPr>
        <w:t xml:space="preserve"> have retained large undisputed hinterlands, due notably to the persistence of numerous obstacles to trade and transport on the </w:t>
      </w:r>
      <w:r w:rsidR="00A436A0" w:rsidRPr="004B2A73">
        <w:rPr>
          <w:rFonts w:ascii="Calibri" w:hAnsi="Calibri"/>
          <w:b/>
          <w:sz w:val="24"/>
        </w:rPr>
        <w:t>landside</w:t>
      </w:r>
      <w:r w:rsidR="006E5905" w:rsidRPr="004B2A73">
        <w:rPr>
          <w:rFonts w:ascii="Calibri" w:hAnsi="Calibri"/>
          <w:b/>
          <w:sz w:val="24"/>
        </w:rPr>
        <w:t>.</w:t>
      </w:r>
      <w:r w:rsidR="006E5905" w:rsidRPr="004B2A73">
        <w:rPr>
          <w:rFonts w:ascii="Calibri" w:hAnsi="Calibri"/>
          <w:sz w:val="24"/>
        </w:rPr>
        <w:t xml:space="preserve"> In practice, coastal countries rely almost exclusively on domestic ports for their imports and exports</w:t>
      </w:r>
      <w:r w:rsidR="009765C0" w:rsidRPr="004B2A73">
        <w:rPr>
          <w:rFonts w:ascii="Calibri" w:hAnsi="Calibri"/>
          <w:sz w:val="24"/>
        </w:rPr>
        <w:t>. The two notable exceptions are the large transit to Nigeria passing through the port of Cotonou</w:t>
      </w:r>
      <w:r w:rsidR="00D7039A">
        <w:rPr>
          <w:rFonts w:ascii="Calibri" w:hAnsi="Calibri"/>
          <w:sz w:val="24"/>
        </w:rPr>
        <w:t>, but this is mostly</w:t>
      </w:r>
      <w:r w:rsidRPr="004B2A73">
        <w:rPr>
          <w:rFonts w:ascii="Calibri" w:hAnsi="Calibri"/>
          <w:sz w:val="24"/>
        </w:rPr>
        <w:t xml:space="preserve"> due t</w:t>
      </w:r>
      <w:r w:rsidR="009765C0" w:rsidRPr="004B2A73">
        <w:rPr>
          <w:rFonts w:ascii="Calibri" w:hAnsi="Calibri"/>
          <w:sz w:val="24"/>
        </w:rPr>
        <w:t xml:space="preserve">o restrictive trade policies in Nigeria, and the clinker passing through the port of </w:t>
      </w:r>
      <w:r w:rsidR="00C922CA">
        <w:rPr>
          <w:rFonts w:ascii="Calibri" w:hAnsi="Calibri"/>
          <w:sz w:val="24"/>
        </w:rPr>
        <w:t>Lomé</w:t>
      </w:r>
      <w:r w:rsidR="009765C0" w:rsidRPr="004B2A73">
        <w:rPr>
          <w:rFonts w:ascii="Calibri" w:hAnsi="Calibri"/>
          <w:sz w:val="24"/>
        </w:rPr>
        <w:t xml:space="preserve"> for Ghana, </w:t>
      </w:r>
      <w:r w:rsidR="00D7039A">
        <w:rPr>
          <w:rFonts w:ascii="Calibri" w:hAnsi="Calibri"/>
          <w:sz w:val="24"/>
        </w:rPr>
        <w:t>but this is justified by the location of</w:t>
      </w:r>
      <w:r w:rsidR="00D7039A" w:rsidRPr="004B2A73">
        <w:rPr>
          <w:rFonts w:ascii="Calibri" w:hAnsi="Calibri"/>
          <w:sz w:val="24"/>
        </w:rPr>
        <w:t xml:space="preserve"> </w:t>
      </w:r>
      <w:r w:rsidR="009765C0" w:rsidRPr="004B2A73">
        <w:rPr>
          <w:rFonts w:ascii="Calibri" w:hAnsi="Calibri"/>
          <w:sz w:val="24"/>
        </w:rPr>
        <w:t>the cement factory</w:t>
      </w:r>
      <w:r w:rsidR="009765C0" w:rsidRPr="004B2A73">
        <w:rPr>
          <w:rStyle w:val="FootnoteReference"/>
          <w:rFonts w:ascii="Calibri" w:hAnsi="Calibri"/>
          <w:sz w:val="24"/>
        </w:rPr>
        <w:footnoteReference w:id="24"/>
      </w:r>
      <w:r w:rsidR="00D7039A">
        <w:rPr>
          <w:rFonts w:ascii="Calibri" w:hAnsi="Calibri"/>
          <w:sz w:val="24"/>
        </w:rPr>
        <w:t xml:space="preserve">, </w:t>
      </w:r>
      <w:r w:rsidR="009765C0" w:rsidRPr="004B2A73">
        <w:rPr>
          <w:rFonts w:ascii="Calibri" w:hAnsi="Calibri"/>
          <w:sz w:val="24"/>
        </w:rPr>
        <w:t xml:space="preserve">just on the other side of the border and </w:t>
      </w:r>
      <w:r w:rsidR="00D7039A">
        <w:rPr>
          <w:rFonts w:ascii="Calibri" w:hAnsi="Calibri"/>
          <w:sz w:val="24"/>
        </w:rPr>
        <w:t xml:space="preserve">therefore only </w:t>
      </w:r>
      <w:r w:rsidR="009765C0" w:rsidRPr="004B2A73">
        <w:rPr>
          <w:rFonts w:ascii="Calibri" w:hAnsi="Calibri"/>
          <w:sz w:val="24"/>
        </w:rPr>
        <w:t xml:space="preserve">a few </w:t>
      </w:r>
      <w:r w:rsidR="00A436A0" w:rsidRPr="004B2A73">
        <w:rPr>
          <w:rFonts w:ascii="Calibri" w:hAnsi="Calibri"/>
          <w:sz w:val="24"/>
        </w:rPr>
        <w:t>ki</w:t>
      </w:r>
      <w:r w:rsidR="00A436A0">
        <w:rPr>
          <w:rFonts w:ascii="Calibri" w:hAnsi="Calibri"/>
          <w:sz w:val="24"/>
        </w:rPr>
        <w:t>lome</w:t>
      </w:r>
      <w:r w:rsidR="00A436A0" w:rsidRPr="004B2A73">
        <w:rPr>
          <w:rFonts w:ascii="Calibri" w:hAnsi="Calibri"/>
          <w:sz w:val="24"/>
        </w:rPr>
        <w:t>ters</w:t>
      </w:r>
      <w:r w:rsidR="009765C0" w:rsidRPr="004B2A73">
        <w:rPr>
          <w:rFonts w:ascii="Calibri" w:hAnsi="Calibri"/>
          <w:sz w:val="24"/>
        </w:rPr>
        <w:t xml:space="preserve"> from the port.</w:t>
      </w:r>
      <w:r w:rsidR="006E5905" w:rsidRPr="004B2A73">
        <w:rPr>
          <w:rFonts w:ascii="Calibri" w:hAnsi="Calibri"/>
          <w:sz w:val="24"/>
        </w:rPr>
        <w:t xml:space="preserve"> </w:t>
      </w:r>
      <w:r w:rsidR="00D7039A">
        <w:rPr>
          <w:rFonts w:ascii="Calibri" w:hAnsi="Calibri"/>
          <w:sz w:val="24"/>
        </w:rPr>
        <w:t xml:space="preserve">Except </w:t>
      </w:r>
      <w:r w:rsidR="00CF035A">
        <w:rPr>
          <w:rFonts w:ascii="Calibri" w:hAnsi="Calibri"/>
          <w:sz w:val="24"/>
        </w:rPr>
        <w:t xml:space="preserve">for </w:t>
      </w:r>
      <w:r w:rsidR="00D7039A">
        <w:rPr>
          <w:rFonts w:ascii="Calibri" w:hAnsi="Calibri"/>
          <w:sz w:val="24"/>
        </w:rPr>
        <w:t>these very specific cases, inland transport inefficiencies very quickly constitute a barrier that keeps the hinterland of the West Africa ports largely disjointed: a</w:t>
      </w:r>
      <w:r w:rsidR="00D7039A" w:rsidRPr="004B2A73">
        <w:rPr>
          <w:rFonts w:ascii="Calibri" w:hAnsi="Calibri"/>
          <w:sz w:val="24"/>
        </w:rPr>
        <w:t>dvanced logistic services are in their infancy, for instance in terms of intermodal transport, warehousing and dry ports</w:t>
      </w:r>
      <w:r w:rsidR="00D7039A">
        <w:rPr>
          <w:rFonts w:ascii="Calibri" w:hAnsi="Calibri"/>
          <w:sz w:val="24"/>
        </w:rPr>
        <w:t>;</w:t>
      </w:r>
      <w:r w:rsidR="00645AE2">
        <w:rPr>
          <w:rFonts w:ascii="Calibri" w:hAnsi="Calibri"/>
          <w:sz w:val="24"/>
        </w:rPr>
        <w:t xml:space="preserve"> </w:t>
      </w:r>
      <w:r w:rsidR="00D7039A">
        <w:rPr>
          <w:rFonts w:ascii="Calibri" w:hAnsi="Calibri"/>
          <w:sz w:val="24"/>
        </w:rPr>
        <w:t>t</w:t>
      </w:r>
      <w:r w:rsidR="00111C9D" w:rsidRPr="004B2A73">
        <w:rPr>
          <w:rFonts w:ascii="Calibri" w:hAnsi="Calibri"/>
          <w:sz w:val="24"/>
        </w:rPr>
        <w:t xml:space="preserve">he West Africa trucking industry is </w:t>
      </w:r>
      <w:r w:rsidR="00650DBB">
        <w:rPr>
          <w:rFonts w:ascii="Calibri" w:hAnsi="Calibri"/>
          <w:sz w:val="24"/>
          <w:szCs w:val="24"/>
        </w:rPr>
        <w:t>mostly comprising</w:t>
      </w:r>
      <w:r w:rsidR="00111C9D" w:rsidRPr="004B2A73">
        <w:rPr>
          <w:rFonts w:ascii="Calibri" w:hAnsi="Calibri"/>
          <w:sz w:val="24"/>
        </w:rPr>
        <w:t xml:space="preserve"> informal and non-professional operators with inefficient practices (e.g. container stripping at the port, opaque access to freight through a series of intermediaries, dilapidated truck fleets and no capacity to invest in efficient vehicles)</w:t>
      </w:r>
      <w:r w:rsidR="00650DBB">
        <w:rPr>
          <w:rFonts w:ascii="Calibri" w:hAnsi="Calibri"/>
          <w:sz w:val="24"/>
        </w:rPr>
        <w:t>; and</w:t>
      </w:r>
      <w:r w:rsidR="00111C9D" w:rsidRPr="004B2A73">
        <w:rPr>
          <w:rFonts w:ascii="Calibri" w:hAnsi="Calibri"/>
          <w:sz w:val="24"/>
        </w:rPr>
        <w:t xml:space="preserve"> long border crossing times and frequent roadblocks contribute to increasing the cost of importing through a port located in a neighboring country.</w:t>
      </w:r>
    </w:p>
    <w:p w14:paraId="1C217F31" w14:textId="77777777" w:rsidR="009C6E8E" w:rsidRPr="004B2A73" w:rsidRDefault="009C6E8E" w:rsidP="009C6E8E">
      <w:pPr>
        <w:pStyle w:val="ListParagraph"/>
        <w:spacing w:after="0"/>
        <w:ind w:left="0"/>
        <w:rPr>
          <w:rFonts w:ascii="Calibri" w:hAnsi="Calibri"/>
          <w:sz w:val="24"/>
        </w:rPr>
      </w:pPr>
    </w:p>
    <w:p w14:paraId="4C194D4C" w14:textId="77777777" w:rsidR="00681402" w:rsidRPr="004B2A73" w:rsidRDefault="002C6796"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L</w:t>
      </w:r>
      <w:r w:rsidR="00DE2182" w:rsidRPr="004B2A73">
        <w:rPr>
          <w:rFonts w:ascii="Calibri" w:hAnsi="Calibri"/>
          <w:b/>
          <w:sz w:val="24"/>
        </w:rPr>
        <w:t>engthy and complex processes to</w:t>
      </w:r>
      <w:r w:rsidR="00681402" w:rsidRPr="004B2A73">
        <w:rPr>
          <w:rFonts w:ascii="Calibri" w:hAnsi="Calibri"/>
          <w:b/>
          <w:sz w:val="24"/>
        </w:rPr>
        <w:t xml:space="preserve"> trade </w:t>
      </w:r>
      <w:r w:rsidR="00DE2182" w:rsidRPr="004B2A73">
        <w:rPr>
          <w:rFonts w:ascii="Calibri" w:hAnsi="Calibri"/>
          <w:b/>
          <w:sz w:val="24"/>
        </w:rPr>
        <w:t>across borders</w:t>
      </w:r>
      <w:r w:rsidRPr="004B2A73">
        <w:rPr>
          <w:rFonts w:ascii="Calibri" w:hAnsi="Calibri"/>
          <w:b/>
          <w:sz w:val="24"/>
        </w:rPr>
        <w:t xml:space="preserve"> also help maintain a large, undisputed domestic hinterland for ports</w:t>
      </w:r>
      <w:r w:rsidR="00DE2182" w:rsidRPr="004B2A73">
        <w:rPr>
          <w:rFonts w:ascii="Calibri" w:hAnsi="Calibri"/>
          <w:b/>
          <w:sz w:val="24"/>
        </w:rPr>
        <w:t>.</w:t>
      </w:r>
      <w:r w:rsidR="00681402" w:rsidRPr="004B2A73">
        <w:rPr>
          <w:rFonts w:ascii="Calibri" w:hAnsi="Calibri"/>
          <w:b/>
          <w:sz w:val="24"/>
        </w:rPr>
        <w:t xml:space="preserve"> </w:t>
      </w:r>
      <w:r w:rsidR="00681402" w:rsidRPr="004B2A73">
        <w:rPr>
          <w:rFonts w:ascii="Calibri" w:hAnsi="Calibri"/>
          <w:sz w:val="24"/>
        </w:rPr>
        <w:t>Some policies directly aim at discouraging traders from using ports in neighboring countries and thus at restricting inter-port competition</w:t>
      </w:r>
      <w:r w:rsidR="00DE2182" w:rsidRPr="004B2A73">
        <w:rPr>
          <w:rFonts w:ascii="Calibri" w:hAnsi="Calibri"/>
          <w:sz w:val="24"/>
        </w:rPr>
        <w:t xml:space="preserve">: for instance, Ghana has banned the import of rice through land borders, which is officially justified by the prevalent smuggling of rice imported through Cote d’Ivoire, where duties and taxes on </w:t>
      </w:r>
      <w:r w:rsidR="00DE2182" w:rsidRPr="004B2A73">
        <w:rPr>
          <w:rFonts w:ascii="Calibri" w:hAnsi="Calibri"/>
          <w:sz w:val="24"/>
        </w:rPr>
        <w:lastRenderedPageBreak/>
        <w:t>rice imports were lower</w:t>
      </w:r>
      <w:r w:rsidRPr="004B2A73">
        <w:rPr>
          <w:rFonts w:ascii="Calibri" w:hAnsi="Calibri"/>
          <w:sz w:val="24"/>
        </w:rPr>
        <w:t>. And S</w:t>
      </w:r>
      <w:r w:rsidR="00DE2182" w:rsidRPr="004B2A73">
        <w:rPr>
          <w:rFonts w:ascii="Calibri" w:hAnsi="Calibri"/>
          <w:sz w:val="24"/>
        </w:rPr>
        <w:t xml:space="preserve">enegal has imposed </w:t>
      </w:r>
      <w:r w:rsidR="00DE2182" w:rsidRPr="000A7291">
        <w:rPr>
          <w:rFonts w:ascii="Calibri" w:hAnsi="Calibri"/>
          <w:sz w:val="24"/>
          <w:szCs w:val="24"/>
        </w:rPr>
        <w:t>restriction</w:t>
      </w:r>
      <w:r w:rsidRPr="000A7291">
        <w:rPr>
          <w:rFonts w:ascii="Calibri" w:hAnsi="Calibri"/>
          <w:sz w:val="24"/>
          <w:szCs w:val="24"/>
        </w:rPr>
        <w:t>s</w:t>
      </w:r>
      <w:r w:rsidR="00DE2182" w:rsidRPr="004B2A73">
        <w:rPr>
          <w:rFonts w:ascii="Calibri" w:hAnsi="Calibri"/>
          <w:sz w:val="24"/>
        </w:rPr>
        <w:t xml:space="preserve"> on transit from the Gambia due to concerns of smuggling and evasion of customs duty</w:t>
      </w:r>
      <w:r w:rsidR="00681402" w:rsidRPr="004B2A73">
        <w:rPr>
          <w:rFonts w:ascii="Calibri" w:hAnsi="Calibri"/>
          <w:sz w:val="24"/>
        </w:rPr>
        <w:t xml:space="preserve">. </w:t>
      </w:r>
      <w:r w:rsidR="00DE2182" w:rsidRPr="004B2A73">
        <w:rPr>
          <w:rFonts w:ascii="Calibri" w:hAnsi="Calibri"/>
          <w:sz w:val="24"/>
        </w:rPr>
        <w:t xml:space="preserve">However, the entry into force of the ECOWAS Common External Tariff (officially on January 1, 2015, </w:t>
      </w:r>
      <w:r w:rsidRPr="004B2A73">
        <w:rPr>
          <w:rFonts w:ascii="Calibri" w:hAnsi="Calibri"/>
          <w:sz w:val="24"/>
        </w:rPr>
        <w:t>although</w:t>
      </w:r>
      <w:r w:rsidR="00DE2182" w:rsidRPr="004B2A73">
        <w:rPr>
          <w:rFonts w:ascii="Calibri" w:hAnsi="Calibri"/>
          <w:sz w:val="24"/>
        </w:rPr>
        <w:t xml:space="preserve"> implementation</w:t>
      </w:r>
      <w:r w:rsidRPr="004B2A73">
        <w:rPr>
          <w:rFonts w:ascii="Calibri" w:hAnsi="Calibri"/>
          <w:sz w:val="24"/>
        </w:rPr>
        <w:t xml:space="preserve"> difficulties remain</w:t>
      </w:r>
      <w:r w:rsidR="00DE2182" w:rsidRPr="004B2A73">
        <w:rPr>
          <w:rFonts w:ascii="Calibri" w:hAnsi="Calibri"/>
          <w:sz w:val="24"/>
        </w:rPr>
        <w:t xml:space="preserve">) </w:t>
      </w:r>
      <w:r w:rsidRPr="004B2A73">
        <w:rPr>
          <w:rFonts w:ascii="Calibri" w:hAnsi="Calibri"/>
          <w:sz w:val="24"/>
        </w:rPr>
        <w:t>may</w:t>
      </w:r>
      <w:r w:rsidR="00DE2182" w:rsidRPr="004B2A73">
        <w:rPr>
          <w:rFonts w:ascii="Calibri" w:hAnsi="Calibri"/>
          <w:sz w:val="24"/>
        </w:rPr>
        <w:t xml:space="preserve"> reduce this concern.</w:t>
      </w:r>
    </w:p>
    <w:p w14:paraId="01B735EE" w14:textId="77777777" w:rsidR="009C6E8E" w:rsidRPr="004B2A73" w:rsidRDefault="009C6E8E" w:rsidP="009C6E8E">
      <w:pPr>
        <w:pStyle w:val="ListParagraph"/>
        <w:spacing w:after="0"/>
        <w:ind w:left="0"/>
        <w:rPr>
          <w:rFonts w:ascii="Calibri" w:hAnsi="Calibri"/>
          <w:sz w:val="24"/>
        </w:rPr>
      </w:pPr>
    </w:p>
    <w:p w14:paraId="6C9C8C5A" w14:textId="3521D15A" w:rsidR="00386E16" w:rsidRPr="004B2A73" w:rsidRDefault="00DE218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Farther from the ports, s</w:t>
      </w:r>
      <w:r w:rsidR="000D6F44" w:rsidRPr="004B2A73">
        <w:rPr>
          <w:rFonts w:ascii="Calibri" w:hAnsi="Calibri"/>
          <w:b/>
          <w:sz w:val="24"/>
        </w:rPr>
        <w:t>hippers from</w:t>
      </w:r>
      <w:r w:rsidR="00386E16" w:rsidRPr="004B2A73">
        <w:rPr>
          <w:rFonts w:ascii="Calibri" w:hAnsi="Calibri"/>
          <w:b/>
          <w:sz w:val="24"/>
        </w:rPr>
        <w:t xml:space="preserve"> </w:t>
      </w:r>
      <w:r w:rsidR="00681402" w:rsidRPr="004B2A73">
        <w:rPr>
          <w:rFonts w:ascii="Calibri" w:hAnsi="Calibri"/>
          <w:b/>
          <w:sz w:val="24"/>
        </w:rPr>
        <w:t>West Africa</w:t>
      </w:r>
      <w:r w:rsidR="000D6F44" w:rsidRPr="004B2A73">
        <w:rPr>
          <w:rFonts w:ascii="Calibri" w:hAnsi="Calibri"/>
          <w:b/>
          <w:sz w:val="24"/>
        </w:rPr>
        <w:t>n</w:t>
      </w:r>
      <w:r w:rsidR="00386E16" w:rsidRPr="004B2A73">
        <w:rPr>
          <w:rFonts w:ascii="Calibri" w:hAnsi="Calibri"/>
          <w:b/>
          <w:sz w:val="24"/>
        </w:rPr>
        <w:t xml:space="preserve"> hinterland countries benefit</w:t>
      </w:r>
      <w:r w:rsidR="002C6796" w:rsidRPr="004B2A73">
        <w:rPr>
          <w:rFonts w:ascii="Calibri" w:hAnsi="Calibri"/>
          <w:b/>
          <w:sz w:val="24"/>
        </w:rPr>
        <w:t xml:space="preserve"> from </w:t>
      </w:r>
      <w:r w:rsidR="00386E16" w:rsidRPr="004B2A73">
        <w:rPr>
          <w:rFonts w:ascii="Calibri" w:hAnsi="Calibri"/>
          <w:b/>
          <w:sz w:val="24"/>
        </w:rPr>
        <w:t>some form of substitutability between transit corridors.</w:t>
      </w:r>
      <w:r w:rsidR="00386E16" w:rsidRPr="004B2A73">
        <w:rPr>
          <w:rFonts w:ascii="Calibri" w:hAnsi="Calibri"/>
          <w:sz w:val="24"/>
        </w:rPr>
        <w:t xml:space="preserve"> </w:t>
      </w:r>
      <w:r w:rsidR="00386E16" w:rsidRPr="000A7291">
        <w:rPr>
          <w:rFonts w:ascii="Calibri" w:hAnsi="Calibri"/>
          <w:sz w:val="24"/>
          <w:szCs w:val="24"/>
        </w:rPr>
        <w:t>Whether</w:t>
      </w:r>
      <w:r w:rsidR="00386E16" w:rsidRPr="004B2A73">
        <w:rPr>
          <w:rFonts w:ascii="Calibri" w:hAnsi="Calibri"/>
          <w:sz w:val="24"/>
        </w:rPr>
        <w:t xml:space="preserve"> located in Mali, Burkina Faso or Niger, </w:t>
      </w:r>
      <w:r w:rsidR="00681402" w:rsidRPr="004B2A73">
        <w:rPr>
          <w:rFonts w:ascii="Calibri" w:hAnsi="Calibri"/>
          <w:sz w:val="24"/>
        </w:rPr>
        <w:t xml:space="preserve">equivalent distances normally enable </w:t>
      </w:r>
      <w:r w:rsidR="00386E16" w:rsidRPr="004B2A73">
        <w:rPr>
          <w:rFonts w:ascii="Calibri" w:hAnsi="Calibri"/>
          <w:sz w:val="24"/>
        </w:rPr>
        <w:t>shippers the freedom</w:t>
      </w:r>
      <w:r w:rsidR="00681402" w:rsidRPr="004B2A73">
        <w:rPr>
          <w:rFonts w:ascii="Calibri" w:hAnsi="Calibri"/>
          <w:sz w:val="24"/>
        </w:rPr>
        <w:t xml:space="preserve"> to choose</w:t>
      </w:r>
      <w:r w:rsidR="007E3510" w:rsidRPr="004B2A73">
        <w:rPr>
          <w:rFonts w:ascii="Calibri" w:hAnsi="Calibri"/>
          <w:sz w:val="24"/>
        </w:rPr>
        <w:t xml:space="preserve"> from</w:t>
      </w:r>
      <w:r w:rsidR="00681402" w:rsidRPr="004B2A73">
        <w:rPr>
          <w:rFonts w:ascii="Calibri" w:hAnsi="Calibri"/>
          <w:sz w:val="24"/>
        </w:rPr>
        <w:t xml:space="preserve"> </w:t>
      </w:r>
      <w:r w:rsidR="002C6796" w:rsidRPr="004B2A73">
        <w:rPr>
          <w:rFonts w:ascii="Calibri" w:hAnsi="Calibri"/>
          <w:sz w:val="24"/>
        </w:rPr>
        <w:t xml:space="preserve">among </w:t>
      </w:r>
      <w:r w:rsidR="00681402" w:rsidRPr="004B2A73">
        <w:rPr>
          <w:rFonts w:ascii="Calibri" w:hAnsi="Calibri"/>
          <w:sz w:val="24"/>
        </w:rPr>
        <w:t xml:space="preserve">several corridors the one </w:t>
      </w:r>
      <w:r w:rsidR="002E5C97" w:rsidRPr="004B2A73">
        <w:rPr>
          <w:rFonts w:ascii="Calibri" w:hAnsi="Calibri"/>
          <w:sz w:val="24"/>
        </w:rPr>
        <w:t xml:space="preserve">that </w:t>
      </w:r>
      <w:r w:rsidR="00681402" w:rsidRPr="004B2A73">
        <w:rPr>
          <w:rFonts w:ascii="Calibri" w:hAnsi="Calibri"/>
          <w:sz w:val="24"/>
        </w:rPr>
        <w:t xml:space="preserve">minimizes the time, cost and risk of land transport and port operations. </w:t>
      </w:r>
      <w:r w:rsidR="00386E16" w:rsidRPr="004B2A73">
        <w:rPr>
          <w:rFonts w:ascii="Calibri" w:hAnsi="Calibri"/>
          <w:sz w:val="24"/>
        </w:rPr>
        <w:t>The</w:t>
      </w:r>
      <w:r w:rsidR="00681402" w:rsidRPr="004B2A73">
        <w:rPr>
          <w:rFonts w:ascii="Calibri" w:hAnsi="Calibri"/>
          <w:sz w:val="24"/>
        </w:rPr>
        <w:t xml:space="preserve"> degree of substitutability between ports</w:t>
      </w:r>
      <w:r w:rsidR="00386E16" w:rsidRPr="004B2A73">
        <w:rPr>
          <w:rFonts w:ascii="Calibri" w:hAnsi="Calibri"/>
          <w:sz w:val="24"/>
        </w:rPr>
        <w:t xml:space="preserve"> has been</w:t>
      </w:r>
      <w:r w:rsidR="00681402" w:rsidRPr="004B2A73">
        <w:rPr>
          <w:rFonts w:ascii="Calibri" w:hAnsi="Calibri"/>
          <w:sz w:val="24"/>
        </w:rPr>
        <w:t xml:space="preserve"> illustrated in </w:t>
      </w:r>
      <w:r w:rsidR="007E3510" w:rsidRPr="004B2A73">
        <w:rPr>
          <w:rFonts w:ascii="Calibri" w:hAnsi="Calibri"/>
          <w:sz w:val="24"/>
        </w:rPr>
        <w:t>recent years by the</w:t>
      </w:r>
      <w:r w:rsidR="00681402" w:rsidRPr="004B2A73">
        <w:rPr>
          <w:rFonts w:ascii="Calibri" w:hAnsi="Calibri"/>
          <w:sz w:val="24"/>
        </w:rPr>
        <w:t xml:space="preserve"> diversion</w:t>
      </w:r>
      <w:r w:rsidR="007E3510" w:rsidRPr="004B2A73">
        <w:rPr>
          <w:rFonts w:ascii="Calibri" w:hAnsi="Calibri"/>
          <w:sz w:val="24"/>
        </w:rPr>
        <w:t xml:space="preserve"> of traffic</w:t>
      </w:r>
      <w:r w:rsidR="00681402" w:rsidRPr="004B2A73">
        <w:rPr>
          <w:rFonts w:ascii="Calibri" w:hAnsi="Calibri"/>
          <w:sz w:val="24"/>
        </w:rPr>
        <w:t xml:space="preserve"> away from Abidjan due </w:t>
      </w:r>
      <w:r w:rsidR="002E5C97" w:rsidRPr="004B2A73">
        <w:rPr>
          <w:rFonts w:ascii="Calibri" w:hAnsi="Calibri"/>
          <w:sz w:val="24"/>
        </w:rPr>
        <w:t xml:space="preserve">to </w:t>
      </w:r>
      <w:r w:rsidR="00681402" w:rsidRPr="004B2A73">
        <w:rPr>
          <w:rFonts w:ascii="Calibri" w:hAnsi="Calibri"/>
          <w:sz w:val="24"/>
        </w:rPr>
        <w:t xml:space="preserve">the disruptions </w:t>
      </w:r>
      <w:r w:rsidR="007E3510" w:rsidRPr="004B2A73">
        <w:rPr>
          <w:rFonts w:ascii="Calibri" w:hAnsi="Calibri"/>
          <w:sz w:val="24"/>
        </w:rPr>
        <w:t>in</w:t>
      </w:r>
      <w:r w:rsidR="00681402" w:rsidRPr="004B2A73">
        <w:rPr>
          <w:rFonts w:ascii="Calibri" w:hAnsi="Calibri"/>
          <w:sz w:val="24"/>
        </w:rPr>
        <w:t xml:space="preserve"> the corridor caused by the </w:t>
      </w:r>
      <w:r w:rsidR="007B24F3">
        <w:rPr>
          <w:rFonts w:ascii="Calibri" w:hAnsi="Calibri"/>
          <w:sz w:val="24"/>
        </w:rPr>
        <w:t xml:space="preserve">political </w:t>
      </w:r>
      <w:r w:rsidR="00681402" w:rsidRPr="004B2A73">
        <w:rPr>
          <w:rFonts w:ascii="Calibri" w:hAnsi="Calibri"/>
          <w:sz w:val="24"/>
        </w:rPr>
        <w:t>Ivorian crisis</w:t>
      </w:r>
      <w:r w:rsidR="00386E16" w:rsidRPr="004B2A73">
        <w:rPr>
          <w:rFonts w:ascii="Calibri" w:hAnsi="Calibri"/>
          <w:sz w:val="24"/>
        </w:rPr>
        <w:t>.</w:t>
      </w:r>
    </w:p>
    <w:p w14:paraId="4CC14EEF" w14:textId="77777777" w:rsidR="009C6E8E" w:rsidRPr="004B2A73" w:rsidRDefault="009C6E8E" w:rsidP="009C6E8E">
      <w:pPr>
        <w:pStyle w:val="ListParagraph"/>
        <w:spacing w:after="0"/>
        <w:ind w:left="0"/>
        <w:rPr>
          <w:rFonts w:ascii="Calibri" w:hAnsi="Calibri"/>
          <w:sz w:val="24"/>
        </w:rPr>
      </w:pPr>
    </w:p>
    <w:p w14:paraId="2FCAD4FF" w14:textId="77777777" w:rsidR="002D2954" w:rsidRPr="004B2A73" w:rsidRDefault="002D295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This substitutability is recognized by the ports, which conforming to classical monopolistic behavior, provide better terms to shippers from disputed hinterlands than to ‘captive’ shippers. </w:t>
      </w:r>
      <w:r w:rsidRPr="004B2A73">
        <w:rPr>
          <w:rFonts w:ascii="Calibri" w:hAnsi="Calibri"/>
          <w:sz w:val="24"/>
        </w:rPr>
        <w:t xml:space="preserve">Port authorities, terminal operators and shipping lines compete for transit traffic by charging lower tariffs for transit containers, granting </w:t>
      </w:r>
      <w:r w:rsidRPr="000A7291">
        <w:rPr>
          <w:rFonts w:ascii="Calibri" w:hAnsi="Calibri"/>
          <w:sz w:val="24"/>
          <w:szCs w:val="24"/>
        </w:rPr>
        <w:t>longer</w:t>
      </w:r>
      <w:r w:rsidRPr="004B2A73">
        <w:rPr>
          <w:rFonts w:ascii="Calibri" w:hAnsi="Calibri"/>
          <w:sz w:val="24"/>
        </w:rPr>
        <w:t xml:space="preserve"> grace periods to return containers from hinterland destinations, and offering longer grace period for yard storage in ports. This can be an effective strategy</w:t>
      </w:r>
      <w:r>
        <w:rPr>
          <w:rFonts w:ascii="Calibri" w:hAnsi="Calibri"/>
          <w:sz w:val="24"/>
        </w:rPr>
        <w:t>, and the main West Africa ports have all opened liaison offices in the hinterland countries to market their respective advantages</w:t>
      </w:r>
      <w:r w:rsidRPr="004B2A73">
        <w:rPr>
          <w:rFonts w:ascii="Calibri" w:hAnsi="Calibri"/>
          <w:sz w:val="24"/>
        </w:rPr>
        <w:t xml:space="preserve">.  </w:t>
      </w:r>
    </w:p>
    <w:p w14:paraId="62BF7C2B" w14:textId="77777777" w:rsidR="007808C1" w:rsidRPr="004B2A73" w:rsidRDefault="007808C1" w:rsidP="00147A82">
      <w:pPr>
        <w:pStyle w:val="ListParagraph"/>
        <w:rPr>
          <w:rFonts w:ascii="Calibri" w:hAnsi="Calibri"/>
          <w:sz w:val="24"/>
        </w:rPr>
      </w:pPr>
    </w:p>
    <w:p w14:paraId="670B6372" w14:textId="64ECC74E" w:rsidR="007A22A9" w:rsidRPr="004B2A73" w:rsidRDefault="007808C1" w:rsidP="00E826B9">
      <w:pPr>
        <w:pStyle w:val="ListParagraph"/>
        <w:numPr>
          <w:ilvl w:val="0"/>
          <w:numId w:val="6"/>
        </w:numPr>
        <w:spacing w:after="0"/>
        <w:ind w:left="0" w:firstLine="0"/>
        <w:jc w:val="both"/>
        <w:rPr>
          <w:rFonts w:ascii="Calibri" w:hAnsi="Calibri"/>
          <w:sz w:val="24"/>
        </w:rPr>
      </w:pPr>
      <w:r w:rsidRPr="00815BD9">
        <w:rPr>
          <w:rFonts w:ascii="Calibri" w:hAnsi="Calibri"/>
          <w:b/>
          <w:sz w:val="24"/>
        </w:rPr>
        <w:t xml:space="preserve">In sum, there is a high level of concentration in the conterminal terminal market with two of the dominant firms, BAL and APMT, controlling </w:t>
      </w:r>
      <w:r w:rsidR="003152D7" w:rsidRPr="00815BD9">
        <w:rPr>
          <w:rFonts w:ascii="Calibri" w:hAnsi="Calibri"/>
          <w:b/>
          <w:sz w:val="24"/>
        </w:rPr>
        <w:t xml:space="preserve">about </w:t>
      </w:r>
      <w:r w:rsidRPr="00815BD9">
        <w:rPr>
          <w:rFonts w:ascii="Calibri" w:hAnsi="Calibri"/>
          <w:b/>
          <w:sz w:val="24"/>
        </w:rPr>
        <w:t xml:space="preserve">80% of the </w:t>
      </w:r>
      <w:r w:rsidR="00783FF4" w:rsidRPr="00815BD9">
        <w:rPr>
          <w:rFonts w:ascii="Calibri" w:hAnsi="Calibri"/>
          <w:b/>
          <w:sz w:val="24"/>
        </w:rPr>
        <w:t>total container throughput in the region</w:t>
      </w:r>
      <w:r w:rsidR="00783FF4" w:rsidRPr="00815BD9">
        <w:rPr>
          <w:rFonts w:ascii="Calibri" w:hAnsi="Calibri"/>
          <w:sz w:val="24"/>
        </w:rPr>
        <w:t>.</w:t>
      </w:r>
      <w:r w:rsidR="00783FF4" w:rsidRPr="004B2A73">
        <w:rPr>
          <w:rFonts w:ascii="Calibri" w:hAnsi="Calibri"/>
          <w:sz w:val="24"/>
        </w:rPr>
        <w:t xml:space="preserve"> </w:t>
      </w:r>
      <w:r w:rsidR="003152D7" w:rsidRPr="004B2A73">
        <w:rPr>
          <w:rFonts w:ascii="Calibri" w:hAnsi="Calibri"/>
          <w:sz w:val="24"/>
        </w:rPr>
        <w:t xml:space="preserve">Such high levels of concentration </w:t>
      </w:r>
      <w:r w:rsidR="00BE113B" w:rsidRPr="004B2A73">
        <w:rPr>
          <w:rFonts w:ascii="Calibri" w:hAnsi="Calibri"/>
          <w:sz w:val="24"/>
        </w:rPr>
        <w:t>confer significant market power</w:t>
      </w:r>
      <w:r w:rsidR="007B24F3">
        <w:rPr>
          <w:rFonts w:ascii="Calibri" w:hAnsi="Calibri"/>
          <w:sz w:val="24"/>
        </w:rPr>
        <w:t xml:space="preserve"> for unregulated </w:t>
      </w:r>
      <w:r w:rsidR="00A45B99">
        <w:rPr>
          <w:rFonts w:ascii="Calibri" w:hAnsi="Calibri"/>
          <w:sz w:val="24"/>
        </w:rPr>
        <w:t>terminal</w:t>
      </w:r>
      <w:r w:rsidR="007B24F3">
        <w:rPr>
          <w:rFonts w:ascii="Calibri" w:hAnsi="Calibri"/>
          <w:sz w:val="24"/>
        </w:rPr>
        <w:t xml:space="preserve"> services</w:t>
      </w:r>
      <w:r w:rsidR="00BE113B" w:rsidRPr="004B2A73">
        <w:rPr>
          <w:rFonts w:ascii="Calibri" w:hAnsi="Calibri"/>
          <w:sz w:val="24"/>
        </w:rPr>
        <w:t xml:space="preserve"> and the dominant positions</w:t>
      </w:r>
      <w:r w:rsidR="002E78BA">
        <w:rPr>
          <w:rFonts w:ascii="Calibri" w:hAnsi="Calibri"/>
          <w:sz w:val="24"/>
        </w:rPr>
        <w:t xml:space="preserve">, when associated with weak tariff regulations, can be </w:t>
      </w:r>
      <w:r w:rsidR="00BE113B" w:rsidRPr="004B2A73">
        <w:rPr>
          <w:rFonts w:ascii="Calibri" w:hAnsi="Calibri"/>
          <w:sz w:val="24"/>
        </w:rPr>
        <w:t>strengthened w</w:t>
      </w:r>
      <w:r w:rsidR="00E015F4" w:rsidRPr="004B2A73">
        <w:rPr>
          <w:rFonts w:ascii="Calibri" w:hAnsi="Calibri"/>
          <w:sz w:val="24"/>
        </w:rPr>
        <w:t>hen</w:t>
      </w:r>
      <w:r w:rsidR="00BE113B" w:rsidRPr="004B2A73">
        <w:rPr>
          <w:rFonts w:ascii="Calibri" w:hAnsi="Calibri"/>
          <w:sz w:val="24"/>
        </w:rPr>
        <w:t xml:space="preserve"> </w:t>
      </w:r>
      <w:r w:rsidR="00D66B5C" w:rsidRPr="004B2A73">
        <w:rPr>
          <w:rFonts w:ascii="Calibri" w:hAnsi="Calibri"/>
          <w:sz w:val="24"/>
        </w:rPr>
        <w:t xml:space="preserve">opportunities to </w:t>
      </w:r>
      <w:r w:rsidR="00BE113B" w:rsidRPr="004B2A73">
        <w:rPr>
          <w:rFonts w:ascii="Calibri" w:hAnsi="Calibri"/>
          <w:sz w:val="24"/>
        </w:rPr>
        <w:t>ent</w:t>
      </w:r>
      <w:r w:rsidR="00D66B5C" w:rsidRPr="004B2A73">
        <w:rPr>
          <w:rFonts w:ascii="Calibri" w:hAnsi="Calibri"/>
          <w:sz w:val="24"/>
        </w:rPr>
        <w:t>e</w:t>
      </w:r>
      <w:r w:rsidR="00BE113B" w:rsidRPr="004B2A73">
        <w:rPr>
          <w:rFonts w:ascii="Calibri" w:hAnsi="Calibri"/>
          <w:sz w:val="24"/>
        </w:rPr>
        <w:t>r</w:t>
      </w:r>
      <w:r w:rsidR="00D66B5C" w:rsidRPr="004B2A73">
        <w:rPr>
          <w:rFonts w:ascii="Calibri" w:hAnsi="Calibri"/>
          <w:sz w:val="24"/>
        </w:rPr>
        <w:t xml:space="preserve"> the market </w:t>
      </w:r>
      <w:r w:rsidR="00E015F4" w:rsidRPr="004B2A73">
        <w:rPr>
          <w:rFonts w:ascii="Calibri" w:hAnsi="Calibri"/>
          <w:sz w:val="24"/>
        </w:rPr>
        <w:t xml:space="preserve">are </w:t>
      </w:r>
      <w:r w:rsidR="00D66B5C" w:rsidRPr="004B2A73">
        <w:rPr>
          <w:rFonts w:ascii="Calibri" w:hAnsi="Calibri"/>
          <w:sz w:val="24"/>
        </w:rPr>
        <w:t xml:space="preserve">restricted via </w:t>
      </w:r>
      <w:r w:rsidR="00BE113B" w:rsidRPr="004B2A73">
        <w:rPr>
          <w:rFonts w:ascii="Calibri" w:hAnsi="Calibri"/>
          <w:sz w:val="24"/>
        </w:rPr>
        <w:t xml:space="preserve">relatively </w:t>
      </w:r>
      <w:r w:rsidR="00815BD9" w:rsidRPr="004B2A73">
        <w:rPr>
          <w:rFonts w:ascii="Calibri" w:hAnsi="Calibri"/>
          <w:sz w:val="24"/>
        </w:rPr>
        <w:t>long-lived</w:t>
      </w:r>
      <w:r w:rsidR="00BE113B" w:rsidRPr="004B2A73">
        <w:rPr>
          <w:rFonts w:ascii="Calibri" w:hAnsi="Calibri"/>
          <w:sz w:val="24"/>
        </w:rPr>
        <w:t xml:space="preserve"> concession contracts. </w:t>
      </w:r>
      <w:r w:rsidR="00783FF4" w:rsidRPr="004B2A73">
        <w:rPr>
          <w:rFonts w:ascii="Calibri" w:hAnsi="Calibri"/>
          <w:sz w:val="24"/>
        </w:rPr>
        <w:t>Due to the small size of the majority of the ports, intra-port competition has not been possible</w:t>
      </w:r>
      <w:r w:rsidR="00BE113B" w:rsidRPr="004B2A73">
        <w:rPr>
          <w:rFonts w:ascii="Calibri" w:hAnsi="Calibri"/>
          <w:sz w:val="24"/>
        </w:rPr>
        <w:t xml:space="preserve"> in most countries</w:t>
      </w:r>
      <w:r w:rsidR="00AD1152" w:rsidRPr="004B2A73">
        <w:rPr>
          <w:rFonts w:ascii="Calibri" w:hAnsi="Calibri"/>
          <w:sz w:val="24"/>
        </w:rPr>
        <w:t xml:space="preserve">. Even where ports are able to support more than one terminal, </w:t>
      </w:r>
      <w:r w:rsidR="002E78BA">
        <w:rPr>
          <w:rFonts w:ascii="Calibri" w:hAnsi="Calibri"/>
          <w:sz w:val="24"/>
        </w:rPr>
        <w:t xml:space="preserve">often </w:t>
      </w:r>
      <w:r w:rsidR="00E015F4" w:rsidRPr="004B2A73">
        <w:rPr>
          <w:rFonts w:ascii="Calibri" w:hAnsi="Calibri"/>
          <w:sz w:val="24"/>
        </w:rPr>
        <w:t xml:space="preserve">time </w:t>
      </w:r>
      <w:r w:rsidR="00AD1152" w:rsidRPr="004B2A73">
        <w:rPr>
          <w:rFonts w:ascii="Calibri" w:hAnsi="Calibri"/>
          <w:sz w:val="24"/>
        </w:rPr>
        <w:t xml:space="preserve">the same firm has been awarded both terminals, thereby removing the element of competitive pressure on prices and operational performance. Inter-port competition is also impeded when the same two firms control terminals which might </w:t>
      </w:r>
      <w:r w:rsidR="000F14AB" w:rsidRPr="004B2A73">
        <w:rPr>
          <w:rFonts w:ascii="Calibri" w:hAnsi="Calibri"/>
          <w:sz w:val="24"/>
        </w:rPr>
        <w:t xml:space="preserve">otherwise </w:t>
      </w:r>
      <w:r w:rsidR="00AD1152" w:rsidRPr="004B2A73">
        <w:rPr>
          <w:rFonts w:ascii="Calibri" w:hAnsi="Calibri"/>
          <w:sz w:val="24"/>
        </w:rPr>
        <w:t xml:space="preserve">compete with each other for overlapping </w:t>
      </w:r>
      <w:r w:rsidR="003152D7" w:rsidRPr="004B2A73">
        <w:rPr>
          <w:rFonts w:ascii="Calibri" w:hAnsi="Calibri"/>
          <w:sz w:val="24"/>
        </w:rPr>
        <w:t>hinte</w:t>
      </w:r>
      <w:r w:rsidR="000F14AB" w:rsidRPr="004B2A73">
        <w:rPr>
          <w:rFonts w:ascii="Calibri" w:hAnsi="Calibri"/>
          <w:sz w:val="24"/>
        </w:rPr>
        <w:t>rlands</w:t>
      </w:r>
      <w:r w:rsidR="00054CE7" w:rsidRPr="004B2A73">
        <w:rPr>
          <w:rFonts w:ascii="Calibri" w:hAnsi="Calibri"/>
          <w:sz w:val="24"/>
        </w:rPr>
        <w:t xml:space="preserve"> and raise the issue of collusive behavior</w:t>
      </w:r>
      <w:r w:rsidR="002E78BA">
        <w:rPr>
          <w:rFonts w:ascii="Calibri" w:hAnsi="Calibri"/>
          <w:sz w:val="24"/>
        </w:rPr>
        <w:t xml:space="preserve"> to keep tariffs near or the maximum level allowed contractually by concession agreements. </w:t>
      </w:r>
      <w:r w:rsidR="00DA31DB">
        <w:rPr>
          <w:rFonts w:ascii="Calibri" w:hAnsi="Calibri"/>
          <w:sz w:val="24"/>
        </w:rPr>
        <w:t xml:space="preserve">This </w:t>
      </w:r>
      <w:r w:rsidR="002E78BA">
        <w:rPr>
          <w:rFonts w:ascii="Calibri" w:hAnsi="Calibri"/>
          <w:sz w:val="24"/>
        </w:rPr>
        <w:t xml:space="preserve">phenomenon </w:t>
      </w:r>
      <w:r w:rsidR="00DA31DB">
        <w:rPr>
          <w:rFonts w:ascii="Calibri" w:hAnsi="Calibri"/>
          <w:sz w:val="24"/>
        </w:rPr>
        <w:t xml:space="preserve">raises the question as to the role of Governments is setting </w:t>
      </w:r>
      <w:r w:rsidR="002E78BA">
        <w:rPr>
          <w:rFonts w:ascii="Calibri" w:hAnsi="Calibri"/>
          <w:sz w:val="24"/>
        </w:rPr>
        <w:t xml:space="preserve">tariff </w:t>
      </w:r>
      <w:r w:rsidR="00DA31DB">
        <w:rPr>
          <w:rFonts w:ascii="Calibri" w:hAnsi="Calibri"/>
          <w:sz w:val="24"/>
        </w:rPr>
        <w:t xml:space="preserve">policies </w:t>
      </w:r>
      <w:r w:rsidR="002E78BA">
        <w:rPr>
          <w:rFonts w:ascii="Calibri" w:hAnsi="Calibri"/>
          <w:sz w:val="24"/>
        </w:rPr>
        <w:t>and market regulation</w:t>
      </w:r>
      <w:r w:rsidR="00647654">
        <w:rPr>
          <w:rFonts w:ascii="Calibri" w:hAnsi="Calibri"/>
          <w:sz w:val="24"/>
        </w:rPr>
        <w:t xml:space="preserve">s that can result in lower end users costs without deterring private investment even in naturally monopolistic markets like that of the </w:t>
      </w:r>
      <w:r w:rsidR="00C21009">
        <w:rPr>
          <w:rFonts w:ascii="Calibri" w:hAnsi="Calibri"/>
          <w:sz w:val="24"/>
        </w:rPr>
        <w:t>TOC</w:t>
      </w:r>
      <w:r w:rsidR="00647654">
        <w:rPr>
          <w:rFonts w:ascii="Calibri" w:hAnsi="Calibri"/>
          <w:sz w:val="24"/>
        </w:rPr>
        <w:t>.</w:t>
      </w:r>
      <w:r w:rsidR="00DA31DB">
        <w:rPr>
          <w:rFonts w:ascii="Calibri" w:hAnsi="Calibri"/>
          <w:sz w:val="24"/>
        </w:rPr>
        <w:t xml:space="preserve"> </w:t>
      </w:r>
    </w:p>
    <w:p w14:paraId="3AF306D9" w14:textId="77777777" w:rsidR="007A22A9" w:rsidRPr="004B2A73" w:rsidRDefault="007A22A9">
      <w:pPr>
        <w:rPr>
          <w:rFonts w:ascii="Calibri" w:hAnsi="Calibri"/>
          <w:sz w:val="24"/>
        </w:rPr>
      </w:pPr>
      <w:r w:rsidRPr="004B2A73">
        <w:rPr>
          <w:rFonts w:ascii="Calibri" w:hAnsi="Calibri"/>
          <w:sz w:val="24"/>
        </w:rPr>
        <w:br w:type="page"/>
      </w:r>
    </w:p>
    <w:p w14:paraId="185A8508" w14:textId="17D98A9C" w:rsidR="00104E65" w:rsidRPr="00554060" w:rsidRDefault="002061C0" w:rsidP="006161AC">
      <w:pPr>
        <w:pStyle w:val="Heading1"/>
        <w:rPr>
          <w:rFonts w:asciiTheme="minorHAnsi" w:hAnsiTheme="minorHAnsi" w:cstheme="minorHAnsi"/>
          <w:sz w:val="32"/>
          <w:szCs w:val="32"/>
        </w:rPr>
      </w:pPr>
      <w:bookmarkStart w:id="40" w:name="_Toc434331997"/>
      <w:bookmarkStart w:id="41" w:name="_Toc485381994"/>
      <w:bookmarkEnd w:id="40"/>
      <w:r w:rsidRPr="00554060">
        <w:rPr>
          <w:rFonts w:asciiTheme="minorHAnsi" w:hAnsiTheme="minorHAnsi" w:cstheme="minorHAnsi"/>
          <w:sz w:val="32"/>
          <w:szCs w:val="32"/>
        </w:rPr>
        <w:lastRenderedPageBreak/>
        <w:t xml:space="preserve">Institutional Reforms and the Governance </w:t>
      </w:r>
      <w:r w:rsidR="007D5D49" w:rsidRPr="00554060">
        <w:rPr>
          <w:rFonts w:asciiTheme="minorHAnsi" w:hAnsiTheme="minorHAnsi" w:cstheme="minorHAnsi"/>
          <w:sz w:val="32"/>
          <w:szCs w:val="32"/>
        </w:rPr>
        <w:t>o</w:t>
      </w:r>
      <w:r w:rsidR="001C7C5A" w:rsidRPr="00554060">
        <w:rPr>
          <w:rFonts w:asciiTheme="minorHAnsi" w:hAnsiTheme="minorHAnsi" w:cstheme="minorHAnsi"/>
          <w:sz w:val="32"/>
          <w:szCs w:val="32"/>
        </w:rPr>
        <w:t>f Container Terminal Concessions</w:t>
      </w:r>
      <w:bookmarkEnd w:id="41"/>
    </w:p>
    <w:p w14:paraId="63AE4158" w14:textId="77777777" w:rsidR="00812A45" w:rsidRPr="004B2A73" w:rsidRDefault="00812A45" w:rsidP="00D643D0">
      <w:pPr>
        <w:pStyle w:val="ListParagraph"/>
        <w:spacing w:after="0"/>
        <w:ind w:left="0"/>
        <w:rPr>
          <w:rFonts w:ascii="Calibri" w:hAnsi="Calibri"/>
          <w:sz w:val="24"/>
        </w:rPr>
      </w:pPr>
    </w:p>
    <w:p w14:paraId="3F346647" w14:textId="30572AA3" w:rsidR="0045649C" w:rsidRPr="00554060" w:rsidRDefault="0015180E" w:rsidP="00E826B9">
      <w:pPr>
        <w:pStyle w:val="Heading3"/>
        <w:numPr>
          <w:ilvl w:val="2"/>
          <w:numId w:val="9"/>
        </w:numPr>
        <w:ind w:left="0"/>
        <w:rPr>
          <w:rFonts w:asciiTheme="minorHAnsi" w:hAnsiTheme="minorHAnsi" w:cstheme="minorHAnsi"/>
          <w:color w:val="auto"/>
        </w:rPr>
      </w:pPr>
      <w:r w:rsidRPr="00554060">
        <w:rPr>
          <w:rFonts w:asciiTheme="minorHAnsi" w:hAnsiTheme="minorHAnsi" w:cstheme="minorHAnsi"/>
          <w:color w:val="auto"/>
        </w:rPr>
        <w:t>The</w:t>
      </w:r>
      <w:r w:rsidR="00286692" w:rsidRPr="00554060">
        <w:rPr>
          <w:rFonts w:asciiTheme="minorHAnsi" w:hAnsiTheme="minorHAnsi" w:cstheme="minorHAnsi"/>
          <w:color w:val="auto"/>
        </w:rPr>
        <w:t xml:space="preserve"> institutional framework for West African p</w:t>
      </w:r>
      <w:r w:rsidRPr="00554060">
        <w:rPr>
          <w:rFonts w:asciiTheme="minorHAnsi" w:hAnsiTheme="minorHAnsi" w:cstheme="minorHAnsi"/>
          <w:color w:val="auto"/>
        </w:rPr>
        <w:t>orts</w:t>
      </w:r>
    </w:p>
    <w:p w14:paraId="58448B7B" w14:textId="77777777" w:rsidR="009C6E8E" w:rsidRPr="004B2A73" w:rsidRDefault="009C6E8E" w:rsidP="009C6E8E">
      <w:pPr>
        <w:pStyle w:val="ListParagraph"/>
        <w:spacing w:after="0"/>
        <w:ind w:left="0"/>
        <w:rPr>
          <w:rFonts w:ascii="Calibri" w:hAnsi="Calibri"/>
          <w:sz w:val="24"/>
        </w:rPr>
      </w:pPr>
    </w:p>
    <w:p w14:paraId="58A7D7C8" w14:textId="77777777" w:rsidR="0045649C" w:rsidRPr="00B717BA" w:rsidRDefault="0045649C" w:rsidP="00E826B9">
      <w:pPr>
        <w:pStyle w:val="ListParagraph"/>
        <w:numPr>
          <w:ilvl w:val="0"/>
          <w:numId w:val="6"/>
        </w:numPr>
        <w:spacing w:after="0"/>
        <w:ind w:left="0" w:firstLine="0"/>
        <w:jc w:val="both"/>
        <w:rPr>
          <w:sz w:val="24"/>
          <w:szCs w:val="24"/>
        </w:rPr>
      </w:pPr>
      <w:r w:rsidRPr="00B717BA">
        <w:rPr>
          <w:sz w:val="24"/>
          <w:szCs w:val="24"/>
        </w:rPr>
        <w:t>The institution</w:t>
      </w:r>
      <w:r w:rsidR="0015180E" w:rsidRPr="00B717BA">
        <w:rPr>
          <w:sz w:val="24"/>
          <w:szCs w:val="24"/>
        </w:rPr>
        <w:t xml:space="preserve">s responsible </w:t>
      </w:r>
      <w:r w:rsidRPr="00B717BA">
        <w:rPr>
          <w:sz w:val="24"/>
          <w:szCs w:val="24"/>
        </w:rPr>
        <w:t xml:space="preserve">for port management and the </w:t>
      </w:r>
      <w:r w:rsidR="00203592" w:rsidRPr="00B717BA">
        <w:rPr>
          <w:sz w:val="24"/>
          <w:szCs w:val="24"/>
        </w:rPr>
        <w:t>extent of</w:t>
      </w:r>
      <w:r w:rsidRPr="00B717BA">
        <w:rPr>
          <w:sz w:val="24"/>
          <w:szCs w:val="24"/>
        </w:rPr>
        <w:t xml:space="preserve"> public sector </w:t>
      </w:r>
      <w:r w:rsidR="00203592" w:rsidRPr="00B717BA">
        <w:rPr>
          <w:sz w:val="24"/>
          <w:szCs w:val="24"/>
        </w:rPr>
        <w:t xml:space="preserve">responsibilities </w:t>
      </w:r>
      <w:r w:rsidRPr="00B717BA">
        <w:rPr>
          <w:sz w:val="24"/>
          <w:szCs w:val="24"/>
        </w:rPr>
        <w:t>have evolved</w:t>
      </w:r>
      <w:r w:rsidR="00E5115D" w:rsidRPr="00B717BA">
        <w:rPr>
          <w:sz w:val="24"/>
          <w:szCs w:val="24"/>
        </w:rPr>
        <w:t xml:space="preserve"> greatly</w:t>
      </w:r>
      <w:r w:rsidRPr="00B717BA">
        <w:rPr>
          <w:sz w:val="24"/>
          <w:szCs w:val="24"/>
        </w:rPr>
        <w:t xml:space="preserve"> in West Africa over the last decades. </w:t>
      </w:r>
      <w:r w:rsidR="008C3F7E" w:rsidRPr="00B717BA">
        <w:rPr>
          <w:sz w:val="24"/>
          <w:szCs w:val="24"/>
        </w:rPr>
        <w:t xml:space="preserve"> </w:t>
      </w:r>
      <w:r w:rsidR="005E407B" w:rsidRPr="00B717BA">
        <w:rPr>
          <w:sz w:val="24"/>
          <w:szCs w:val="24"/>
        </w:rPr>
        <w:t>While the changes have been fairly uniform at a general level, the</w:t>
      </w:r>
      <w:r w:rsidR="00C67804" w:rsidRPr="00B717BA">
        <w:rPr>
          <w:sz w:val="24"/>
          <w:szCs w:val="24"/>
        </w:rPr>
        <w:t xml:space="preserve">re are a </w:t>
      </w:r>
      <w:r w:rsidR="005E407B" w:rsidRPr="00B717BA">
        <w:rPr>
          <w:sz w:val="24"/>
          <w:szCs w:val="24"/>
        </w:rPr>
        <w:t xml:space="preserve">multiplicity of actors </w:t>
      </w:r>
      <w:r w:rsidR="00C67804" w:rsidRPr="00B717BA">
        <w:rPr>
          <w:sz w:val="24"/>
          <w:szCs w:val="24"/>
        </w:rPr>
        <w:t xml:space="preserve">and arrangements </w:t>
      </w:r>
      <w:r w:rsidR="005E407B" w:rsidRPr="00B717BA">
        <w:rPr>
          <w:sz w:val="24"/>
          <w:szCs w:val="24"/>
        </w:rPr>
        <w:t xml:space="preserve">between the public authorities and the private sector </w:t>
      </w:r>
      <w:r w:rsidR="00C67804" w:rsidRPr="00B717BA">
        <w:rPr>
          <w:sz w:val="24"/>
          <w:szCs w:val="24"/>
        </w:rPr>
        <w:t xml:space="preserve">at the national level. </w:t>
      </w:r>
      <w:r w:rsidR="00803EB7" w:rsidRPr="00B717BA">
        <w:rPr>
          <w:sz w:val="24"/>
          <w:szCs w:val="24"/>
        </w:rPr>
        <w:t>This chapter attempts</w:t>
      </w:r>
      <w:r w:rsidR="00803EB7" w:rsidRPr="00B717BA">
        <w:rPr>
          <w:rFonts w:cs="Arial"/>
          <w:color w:val="2E2E2E"/>
          <w:sz w:val="24"/>
          <w:szCs w:val="24"/>
          <w:shd w:val="clear" w:color="auto" w:fill="FFFFFF"/>
        </w:rPr>
        <w:t xml:space="preserve"> to identify the pote</w:t>
      </w:r>
      <w:r w:rsidR="005E407B" w:rsidRPr="00B717BA">
        <w:rPr>
          <w:rFonts w:cs="Arial"/>
          <w:color w:val="2E2E2E"/>
          <w:sz w:val="24"/>
          <w:szCs w:val="24"/>
          <w:shd w:val="clear" w:color="auto" w:fill="FFFFFF"/>
        </w:rPr>
        <w:t xml:space="preserve">ntial </w:t>
      </w:r>
      <w:r w:rsidR="005E407B" w:rsidRPr="00B717BA">
        <w:rPr>
          <w:rFonts w:ascii="Calibri" w:hAnsi="Calibri"/>
          <w:sz w:val="24"/>
          <w:szCs w:val="24"/>
        </w:rPr>
        <w:t>weaknesses</w:t>
      </w:r>
      <w:r w:rsidR="005E407B" w:rsidRPr="00B717BA">
        <w:rPr>
          <w:rFonts w:cs="Arial"/>
          <w:color w:val="2E2E2E"/>
          <w:sz w:val="24"/>
          <w:szCs w:val="24"/>
          <w:shd w:val="clear" w:color="auto" w:fill="FFFFFF"/>
        </w:rPr>
        <w:t xml:space="preserve"> and uncertainties in the tendering process, contract development and management </w:t>
      </w:r>
      <w:r w:rsidR="00803EB7" w:rsidRPr="00B717BA">
        <w:rPr>
          <w:rFonts w:cs="Arial"/>
          <w:color w:val="2E2E2E"/>
          <w:sz w:val="24"/>
          <w:szCs w:val="24"/>
          <w:shd w:val="clear" w:color="auto" w:fill="FFFFFF"/>
        </w:rPr>
        <w:t xml:space="preserve">with examples </w:t>
      </w:r>
      <w:r w:rsidR="005E407B" w:rsidRPr="00B717BA">
        <w:rPr>
          <w:rFonts w:cs="Arial"/>
          <w:color w:val="2E2E2E"/>
          <w:sz w:val="24"/>
          <w:szCs w:val="24"/>
          <w:shd w:val="clear" w:color="auto" w:fill="FFFFFF"/>
        </w:rPr>
        <w:t xml:space="preserve">and </w:t>
      </w:r>
      <w:r w:rsidR="008C3F7E" w:rsidRPr="00B717BA">
        <w:rPr>
          <w:rFonts w:cs="Arial"/>
          <w:color w:val="2E2E2E"/>
          <w:sz w:val="24"/>
          <w:szCs w:val="24"/>
          <w:shd w:val="clear" w:color="auto" w:fill="FFFFFF"/>
        </w:rPr>
        <w:t xml:space="preserve">see </w:t>
      </w:r>
      <w:r w:rsidR="005E407B" w:rsidRPr="00B717BA">
        <w:rPr>
          <w:rFonts w:cs="Arial"/>
          <w:color w:val="2E2E2E"/>
          <w:sz w:val="24"/>
          <w:szCs w:val="24"/>
          <w:shd w:val="clear" w:color="auto" w:fill="FFFFFF"/>
        </w:rPr>
        <w:t xml:space="preserve">how these </w:t>
      </w:r>
      <w:r w:rsidR="008C3F7E" w:rsidRPr="00B717BA">
        <w:rPr>
          <w:rFonts w:cs="Arial"/>
          <w:color w:val="2E2E2E"/>
          <w:sz w:val="24"/>
          <w:szCs w:val="24"/>
          <w:shd w:val="clear" w:color="auto" w:fill="FFFFFF"/>
        </w:rPr>
        <w:t xml:space="preserve">could </w:t>
      </w:r>
      <w:r w:rsidR="005E407B" w:rsidRPr="00B717BA">
        <w:rPr>
          <w:rFonts w:cs="Arial"/>
          <w:color w:val="2E2E2E"/>
          <w:sz w:val="24"/>
          <w:szCs w:val="24"/>
          <w:shd w:val="clear" w:color="auto" w:fill="FFFFFF"/>
        </w:rPr>
        <w:t>benefit from strengthened governance</w:t>
      </w:r>
      <w:r w:rsidR="008C3F7E" w:rsidRPr="00B717BA">
        <w:rPr>
          <w:rFonts w:cs="Arial"/>
          <w:color w:val="2E2E2E"/>
          <w:sz w:val="24"/>
          <w:szCs w:val="24"/>
          <w:shd w:val="clear" w:color="auto" w:fill="FFFFFF"/>
        </w:rPr>
        <w:t xml:space="preserve">. </w:t>
      </w:r>
      <w:r w:rsidR="005E407B" w:rsidRPr="00B717BA">
        <w:rPr>
          <w:rFonts w:cs="Arial"/>
          <w:color w:val="2E2E2E"/>
          <w:sz w:val="24"/>
          <w:szCs w:val="24"/>
          <w:shd w:val="clear" w:color="auto" w:fill="FFFFFF"/>
        </w:rPr>
        <w:t xml:space="preserve"> </w:t>
      </w:r>
      <w:r w:rsidR="00874F47" w:rsidRPr="00B717BA">
        <w:rPr>
          <w:rFonts w:cs="Arial"/>
          <w:color w:val="2E2E2E"/>
          <w:sz w:val="24"/>
          <w:szCs w:val="24"/>
          <w:shd w:val="clear" w:color="auto" w:fill="FFFFFF"/>
        </w:rPr>
        <w:t xml:space="preserve">The changes in West Africa </w:t>
      </w:r>
      <w:r w:rsidRPr="00B717BA">
        <w:rPr>
          <w:sz w:val="24"/>
          <w:szCs w:val="24"/>
        </w:rPr>
        <w:t>mirror similar changes on the global scale</w:t>
      </w:r>
      <w:r w:rsidR="00874F47" w:rsidRPr="00B717BA">
        <w:rPr>
          <w:sz w:val="24"/>
          <w:szCs w:val="24"/>
        </w:rPr>
        <w:t xml:space="preserve"> and</w:t>
      </w:r>
      <w:r w:rsidRPr="00B717BA">
        <w:rPr>
          <w:sz w:val="24"/>
          <w:szCs w:val="24"/>
        </w:rPr>
        <w:t xml:space="preserve"> can be </w:t>
      </w:r>
      <w:r w:rsidR="00E5115D" w:rsidRPr="00B717BA">
        <w:rPr>
          <w:sz w:val="24"/>
          <w:szCs w:val="24"/>
        </w:rPr>
        <w:t xml:space="preserve">summarized </w:t>
      </w:r>
      <w:r w:rsidRPr="00B717BA">
        <w:rPr>
          <w:sz w:val="24"/>
          <w:szCs w:val="24"/>
        </w:rPr>
        <w:t>as follows:</w:t>
      </w:r>
    </w:p>
    <w:p w14:paraId="3A0DF54A" w14:textId="77777777" w:rsidR="00F33047" w:rsidRPr="00B717BA" w:rsidRDefault="00F33047" w:rsidP="00F33047">
      <w:pPr>
        <w:pStyle w:val="ListParagraph"/>
        <w:spacing w:after="0"/>
        <w:ind w:left="0"/>
        <w:rPr>
          <w:rFonts w:ascii="Calibri" w:hAnsi="Calibri"/>
          <w:sz w:val="24"/>
          <w:szCs w:val="24"/>
        </w:rPr>
      </w:pPr>
    </w:p>
    <w:p w14:paraId="4487E55C" w14:textId="77777777" w:rsidR="003A7F8E" w:rsidRPr="00B717BA" w:rsidRDefault="0045649C" w:rsidP="00E826B9">
      <w:pPr>
        <w:numPr>
          <w:ilvl w:val="0"/>
          <w:numId w:val="5"/>
        </w:numPr>
        <w:spacing w:before="120" w:line="240" w:lineRule="auto"/>
        <w:rPr>
          <w:rFonts w:ascii="Calibri" w:hAnsi="Calibri"/>
          <w:sz w:val="24"/>
          <w:szCs w:val="24"/>
        </w:rPr>
      </w:pPr>
      <w:r w:rsidRPr="00B717BA">
        <w:rPr>
          <w:rFonts w:ascii="Calibri" w:hAnsi="Calibri"/>
          <w:sz w:val="24"/>
          <w:szCs w:val="24"/>
        </w:rPr>
        <w:t>In the mid-1950s, almost all ports were considered ministry departments providing public services. As such, they were under the direct responsibility of their line ministry (e.g. Transport, Infrastructure, or Maritime Affairs) and completely integrated in the central government apparatus.</w:t>
      </w:r>
    </w:p>
    <w:p w14:paraId="2C76CD38" w14:textId="77777777" w:rsidR="003A7F8E" w:rsidRPr="00B717BA" w:rsidRDefault="0045649C" w:rsidP="0015180E">
      <w:pPr>
        <w:pStyle w:val="ListParagraph"/>
        <w:rPr>
          <w:rFonts w:ascii="Calibri" w:hAnsi="Calibri"/>
          <w:sz w:val="24"/>
          <w:szCs w:val="24"/>
        </w:rPr>
      </w:pPr>
      <w:r w:rsidRPr="00B717BA">
        <w:rPr>
          <w:rFonts w:ascii="Calibri" w:hAnsi="Calibri"/>
          <w:sz w:val="24"/>
          <w:szCs w:val="24"/>
        </w:rPr>
        <w:t xml:space="preserve">From the 1970s onwards, reforms </w:t>
      </w:r>
      <w:r w:rsidR="00203592" w:rsidRPr="00B717BA">
        <w:rPr>
          <w:rFonts w:ascii="Calibri" w:hAnsi="Calibri"/>
          <w:sz w:val="24"/>
          <w:szCs w:val="24"/>
        </w:rPr>
        <w:t>were</w:t>
      </w:r>
      <w:r w:rsidRPr="00B717BA">
        <w:rPr>
          <w:rFonts w:ascii="Calibri" w:hAnsi="Calibri"/>
          <w:sz w:val="24"/>
          <w:szCs w:val="24"/>
        </w:rPr>
        <w:t xml:space="preserve"> undertaken to reinforce the autonomy and independence of port authorities. </w:t>
      </w:r>
    </w:p>
    <w:p w14:paraId="64ABAC2B" w14:textId="77777777" w:rsidR="00E5115D" w:rsidRPr="00B717BA" w:rsidRDefault="0045649C" w:rsidP="00E826B9">
      <w:pPr>
        <w:numPr>
          <w:ilvl w:val="0"/>
          <w:numId w:val="5"/>
        </w:numPr>
        <w:spacing w:before="120" w:line="240" w:lineRule="auto"/>
        <w:rPr>
          <w:rFonts w:ascii="Calibri" w:hAnsi="Calibri"/>
          <w:sz w:val="24"/>
          <w:szCs w:val="24"/>
        </w:rPr>
      </w:pPr>
      <w:r w:rsidRPr="00B717BA">
        <w:rPr>
          <w:rFonts w:ascii="Calibri" w:hAnsi="Calibri"/>
          <w:sz w:val="24"/>
          <w:szCs w:val="24"/>
        </w:rPr>
        <w:t xml:space="preserve">From the late 1980s to the 1990s, many West African ports acquired more financial independence as state-owned corporate entities, governed by private law and supervised by a board of directors. Although governments still influence the appointment of port authorities’ managing directors, the board, where </w:t>
      </w:r>
      <w:r w:rsidR="00785C66" w:rsidRPr="00B717BA">
        <w:rPr>
          <w:rFonts w:ascii="Calibri" w:hAnsi="Calibri"/>
          <w:sz w:val="24"/>
          <w:szCs w:val="24"/>
        </w:rPr>
        <w:t xml:space="preserve">port users’ professional associations, and frequently staff representatives, are represented in addition to </w:t>
      </w:r>
      <w:r w:rsidRPr="00B717BA">
        <w:rPr>
          <w:rFonts w:ascii="Calibri" w:hAnsi="Calibri"/>
          <w:sz w:val="24"/>
          <w:szCs w:val="24"/>
        </w:rPr>
        <w:t>line ministries, became the key decision-making body for strategic and large investment matters, resulting in a greater autonomy and independence.</w:t>
      </w:r>
    </w:p>
    <w:p w14:paraId="28F8CAC2" w14:textId="77777777" w:rsidR="0045649C" w:rsidRPr="004B2A73" w:rsidRDefault="0045649C" w:rsidP="00E826B9">
      <w:pPr>
        <w:numPr>
          <w:ilvl w:val="0"/>
          <w:numId w:val="5"/>
        </w:numPr>
        <w:spacing w:before="120" w:line="240" w:lineRule="auto"/>
        <w:rPr>
          <w:rFonts w:ascii="Calibri" w:hAnsi="Calibri"/>
          <w:sz w:val="24"/>
          <w:vertAlign w:val="superscript"/>
        </w:rPr>
      </w:pPr>
      <w:r w:rsidRPr="00B717BA">
        <w:rPr>
          <w:rFonts w:ascii="Calibri" w:hAnsi="Calibri"/>
          <w:sz w:val="24"/>
          <w:szCs w:val="24"/>
        </w:rPr>
        <w:t>From the mid-2000s, the spread of port concessions in West Africa</w:t>
      </w:r>
      <w:r w:rsidRPr="00B717BA">
        <w:rPr>
          <w:rFonts w:ascii="Calibri" w:hAnsi="Calibri"/>
          <w:sz w:val="24"/>
          <w:szCs w:val="24"/>
          <w:vertAlign w:val="superscript"/>
        </w:rPr>
        <w:footnoteReference w:id="25"/>
      </w:r>
      <w:r w:rsidRPr="00B717BA">
        <w:rPr>
          <w:rFonts w:ascii="Calibri" w:hAnsi="Calibri"/>
          <w:sz w:val="24"/>
          <w:szCs w:val="24"/>
        </w:rPr>
        <w:t xml:space="preserve"> led most port authorities to depart from the “service port model”, in which they are responsible for infrastructure and services, to become “landlord ports” with a focus on core strategic and regulatory functions.</w:t>
      </w:r>
      <w:r w:rsidRPr="004B2A73">
        <w:rPr>
          <w:rFonts w:ascii="Calibri" w:hAnsi="Calibri"/>
          <w:sz w:val="24"/>
          <w:vertAlign w:val="superscript"/>
        </w:rPr>
        <w:t xml:space="preserve"> </w:t>
      </w:r>
    </w:p>
    <w:p w14:paraId="6B8745D9" w14:textId="77777777" w:rsidR="00B839CF" w:rsidRPr="004B2A73" w:rsidRDefault="00B839CF" w:rsidP="0015180E">
      <w:pPr>
        <w:pStyle w:val="ListParagraph"/>
        <w:rPr>
          <w:rFonts w:ascii="Calibri" w:hAnsi="Calibri"/>
          <w:sz w:val="24"/>
        </w:rPr>
      </w:pPr>
    </w:p>
    <w:p w14:paraId="3F8F79B6" w14:textId="679343D8" w:rsidR="0045649C" w:rsidRPr="004B2A73" w:rsidRDefault="0045649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Despite the general move towards the landlord port model</w:t>
      </w:r>
      <w:r w:rsidRPr="004B2A73">
        <w:rPr>
          <w:rStyle w:val="FootnoteReference"/>
          <w:rFonts w:ascii="Calibri" w:hAnsi="Calibri"/>
          <w:b/>
          <w:sz w:val="24"/>
        </w:rPr>
        <w:footnoteReference w:id="26"/>
      </w:r>
      <w:r w:rsidRPr="004B2A73">
        <w:rPr>
          <w:rFonts w:ascii="Calibri" w:hAnsi="Calibri"/>
          <w:b/>
          <w:sz w:val="24"/>
        </w:rPr>
        <w:t xml:space="preserve">, </w:t>
      </w:r>
      <w:r w:rsidR="00F10080" w:rsidRPr="004B2A73">
        <w:rPr>
          <w:rFonts w:ascii="Calibri" w:hAnsi="Calibri"/>
          <w:b/>
          <w:sz w:val="24"/>
        </w:rPr>
        <w:t>the</w:t>
      </w:r>
      <w:r w:rsidRPr="004B2A73">
        <w:rPr>
          <w:rFonts w:ascii="Calibri" w:hAnsi="Calibri"/>
          <w:b/>
          <w:sz w:val="24"/>
        </w:rPr>
        <w:t xml:space="preserve"> institutional </w:t>
      </w:r>
      <w:r w:rsidR="00F10080" w:rsidRPr="004B2A73">
        <w:rPr>
          <w:rFonts w:ascii="Calibri" w:hAnsi="Calibri"/>
          <w:b/>
          <w:sz w:val="24"/>
        </w:rPr>
        <w:t xml:space="preserve">structure </w:t>
      </w:r>
      <w:r w:rsidRPr="004B2A73">
        <w:rPr>
          <w:rFonts w:ascii="Calibri" w:hAnsi="Calibri"/>
          <w:b/>
          <w:sz w:val="24"/>
        </w:rPr>
        <w:t>for port management in West Africa</w:t>
      </w:r>
      <w:r w:rsidR="00F10080" w:rsidRPr="004B2A73">
        <w:rPr>
          <w:rFonts w:ascii="Calibri" w:hAnsi="Calibri"/>
          <w:b/>
          <w:sz w:val="24"/>
        </w:rPr>
        <w:t xml:space="preserve"> differs across countries</w:t>
      </w:r>
      <w:r w:rsidRPr="004B2A73">
        <w:rPr>
          <w:rFonts w:ascii="Calibri" w:hAnsi="Calibri"/>
          <w:b/>
          <w:sz w:val="24"/>
        </w:rPr>
        <w:t>.</w:t>
      </w:r>
      <w:r w:rsidRPr="004B2A73">
        <w:rPr>
          <w:rFonts w:ascii="Calibri" w:hAnsi="Calibri"/>
          <w:sz w:val="24"/>
        </w:rPr>
        <w:t xml:space="preserve"> In Anglophone countries, a </w:t>
      </w:r>
      <w:r w:rsidRPr="004B2A73">
        <w:rPr>
          <w:rFonts w:ascii="Calibri" w:hAnsi="Calibri"/>
          <w:sz w:val="24"/>
        </w:rPr>
        <w:lastRenderedPageBreak/>
        <w:t xml:space="preserve">national port authority usually has </w:t>
      </w:r>
      <w:r w:rsidRPr="000A7291">
        <w:rPr>
          <w:rFonts w:ascii="Calibri" w:hAnsi="Calibri"/>
          <w:sz w:val="24"/>
          <w:szCs w:val="24"/>
        </w:rPr>
        <w:t>jurisdiction</w:t>
      </w:r>
      <w:r w:rsidRPr="004B2A73">
        <w:rPr>
          <w:rFonts w:ascii="Calibri" w:hAnsi="Calibri"/>
          <w:sz w:val="24"/>
        </w:rPr>
        <w:t xml:space="preserve"> over all the ports in the country, with varying degrees of involvement in the operations, and sometimes a regulatory role. In Nigeria, the Nigeria Port Authority (NPA) assumes both landlord and regulatory functions and provides marine and related services across Nigerian ports. In Ghana, the Ghana Ports and Harbours Authority (GPHA) acts as a landlord port in the port of Tema (with an equity share in the joint venture with private concessionaires operating the container terminal), but as a public service port in the port of Takoradi. The National Port Authority of Liberia is a state-owned corporation which manages all four ports in the country, including the Freeport of Monrovia where container operations are concessioned. In Francophone countries, on the contrary, the norm is a dedicated port authority for each port, under the autonomous port model with a higher degree of devolution of public </w:t>
      </w:r>
      <w:r w:rsidR="003648E6" w:rsidRPr="004B2A73">
        <w:rPr>
          <w:rFonts w:ascii="Calibri" w:hAnsi="Calibri"/>
          <w:sz w:val="24"/>
        </w:rPr>
        <w:t>decision-making</w:t>
      </w:r>
      <w:r w:rsidRPr="004B2A73">
        <w:rPr>
          <w:rFonts w:ascii="Calibri" w:hAnsi="Calibri"/>
          <w:sz w:val="24"/>
          <w:vertAlign w:val="superscript"/>
        </w:rPr>
        <w:footnoteReference w:id="27"/>
      </w:r>
      <w:r w:rsidRPr="004B2A73">
        <w:rPr>
          <w:rFonts w:ascii="Calibri" w:hAnsi="Calibri"/>
          <w:sz w:val="24"/>
        </w:rPr>
        <w:t>. Francophone countries more rarely have several ports, but some countries do, such as Cote d’Ivoire with Abidjan and San Pedro, each a separate port authority, or Guinea, with Conakry and Kamsar (a bulk ports specialized for alumina exports), also established as separate entities. In practice, most ports in West Africa have hybrid structures on the service-landlord continuum, and there are variations in public attributions</w:t>
      </w:r>
      <w:r w:rsidR="003D51E3" w:rsidRPr="004B2A73">
        <w:rPr>
          <w:rFonts w:ascii="Calibri" w:hAnsi="Calibri"/>
          <w:sz w:val="24"/>
        </w:rPr>
        <w:t xml:space="preserve"> </w:t>
      </w:r>
      <w:r w:rsidRPr="004B2A73">
        <w:rPr>
          <w:rFonts w:ascii="Calibri" w:hAnsi="Calibri"/>
          <w:sz w:val="24"/>
        </w:rPr>
        <w:t xml:space="preserve">both between and within countries. </w:t>
      </w:r>
    </w:p>
    <w:p w14:paraId="7E3D19E6" w14:textId="77777777" w:rsidR="009C6E8E" w:rsidRPr="004B2A73" w:rsidRDefault="009C6E8E" w:rsidP="009C6E8E">
      <w:pPr>
        <w:pStyle w:val="ListParagraph"/>
        <w:spacing w:after="0"/>
        <w:ind w:left="0"/>
        <w:rPr>
          <w:rFonts w:ascii="Calibri" w:hAnsi="Calibri"/>
          <w:sz w:val="24"/>
        </w:rPr>
      </w:pPr>
    </w:p>
    <w:p w14:paraId="09178425" w14:textId="77777777" w:rsidR="0045649C" w:rsidRPr="004B2A73" w:rsidRDefault="0045649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In addition to port authorities and terminal operators, a large number of institutions are involved in port policy and management in West Africa.</w:t>
      </w:r>
      <w:r w:rsidRPr="004B2A73">
        <w:rPr>
          <w:rFonts w:ascii="Calibri" w:hAnsi="Calibri"/>
          <w:sz w:val="24"/>
        </w:rPr>
        <w:t xml:space="preserve"> First, ministerial departments (primarily transport, infrastructure, maritime affairs, and commerce) are responsible for port policy formulation, legislation and planning at the national level. They oversee the activities of port authorities and are represented </w:t>
      </w:r>
      <w:r w:rsidR="0007718A" w:rsidRPr="004B2A73">
        <w:rPr>
          <w:rFonts w:ascii="Calibri" w:hAnsi="Calibri"/>
          <w:sz w:val="24"/>
        </w:rPr>
        <w:t>on</w:t>
      </w:r>
      <w:r w:rsidRPr="004B2A73">
        <w:rPr>
          <w:rFonts w:ascii="Calibri" w:hAnsi="Calibri"/>
          <w:sz w:val="24"/>
        </w:rPr>
        <w:t xml:space="preserve"> their board, which can also include representatives of the Ministry of Finance, Prime Ministry or Presidency for the public sector representatives. Agencies in charge of public procurement regulation and privatizations can also be involved in the awarding and regulation of port concessions. Second, private and public institutions and professional associations represent the interests of port users and logistics service providers and are often represented </w:t>
      </w:r>
      <w:r w:rsidR="0007718A" w:rsidRPr="004B2A73">
        <w:rPr>
          <w:rFonts w:ascii="Calibri" w:hAnsi="Calibri"/>
          <w:sz w:val="24"/>
        </w:rPr>
        <w:t>on</w:t>
      </w:r>
      <w:r w:rsidRPr="004B2A73">
        <w:rPr>
          <w:rFonts w:ascii="Calibri" w:hAnsi="Calibri"/>
          <w:sz w:val="24"/>
        </w:rPr>
        <w:t xml:space="preserve"> the board of ports in several countries (Shippers’ Council, professional associations of stevedores, clearing &amp; forwarding agents, shipping agents). Some ports, such as the Port Authority of Abidjan and the Port Authority of Dakar, have even included </w:t>
      </w:r>
      <w:r w:rsidR="00F10080" w:rsidRPr="004B2A73">
        <w:rPr>
          <w:rFonts w:ascii="Calibri" w:hAnsi="Calibri"/>
          <w:sz w:val="24"/>
        </w:rPr>
        <w:t>o</w:t>
      </w:r>
      <w:r w:rsidRPr="004B2A73">
        <w:rPr>
          <w:rFonts w:ascii="Calibri" w:hAnsi="Calibri"/>
          <w:sz w:val="24"/>
        </w:rPr>
        <w:t xml:space="preserve">n their Board representatives of the landlocked countries they serve. Finally, port users’ communities have been established in several ports, with a consultative role. In the case of Abidjan, the port community is a forum comprising the Port Authority, Customs administration, professional associations, </w:t>
      </w:r>
      <w:r w:rsidR="0007718A" w:rsidRPr="004B2A73">
        <w:rPr>
          <w:rFonts w:ascii="Calibri" w:hAnsi="Calibri"/>
          <w:sz w:val="24"/>
        </w:rPr>
        <w:t>and a</w:t>
      </w:r>
      <w:r w:rsidRPr="004B2A73">
        <w:rPr>
          <w:rFonts w:ascii="Calibri" w:hAnsi="Calibri"/>
          <w:sz w:val="24"/>
        </w:rPr>
        <w:t xml:space="preserve"> number of other institutions and representatives of landlocked countries.</w:t>
      </w:r>
    </w:p>
    <w:p w14:paraId="66352F05" w14:textId="77777777" w:rsidR="009C6E8E" w:rsidRPr="004B2A73" w:rsidRDefault="009C6E8E" w:rsidP="009C6E8E">
      <w:pPr>
        <w:pStyle w:val="ListParagraph"/>
        <w:spacing w:after="0"/>
        <w:ind w:left="0"/>
        <w:rPr>
          <w:rFonts w:ascii="Calibri" w:hAnsi="Calibri"/>
          <w:sz w:val="24"/>
        </w:rPr>
      </w:pPr>
    </w:p>
    <w:p w14:paraId="2159B9C5" w14:textId="77777777" w:rsidR="00D629BF" w:rsidRPr="004B2A73" w:rsidRDefault="00D629BF"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 reform of the port industry in SSA</w:t>
      </w:r>
      <w:r w:rsidR="00521B1A" w:rsidRPr="004B2A73">
        <w:rPr>
          <w:rFonts w:ascii="Calibri" w:hAnsi="Calibri"/>
          <w:b/>
          <w:sz w:val="24"/>
        </w:rPr>
        <w:t>,</w:t>
      </w:r>
      <w:r w:rsidRPr="004B2A73">
        <w:rPr>
          <w:rFonts w:ascii="Calibri" w:hAnsi="Calibri"/>
          <w:b/>
          <w:sz w:val="24"/>
        </w:rPr>
        <w:t xml:space="preserve"> as in the rest of the world</w:t>
      </w:r>
      <w:r w:rsidR="00521B1A" w:rsidRPr="004B2A73">
        <w:rPr>
          <w:rFonts w:ascii="Calibri" w:hAnsi="Calibri"/>
          <w:b/>
          <w:sz w:val="24"/>
        </w:rPr>
        <w:t>,</w:t>
      </w:r>
      <w:r w:rsidRPr="004B2A73">
        <w:rPr>
          <w:rFonts w:ascii="Calibri" w:hAnsi="Calibri"/>
          <w:b/>
          <w:sz w:val="24"/>
        </w:rPr>
        <w:t xml:space="preserve"> has been driven by the growth of world trade and the spread of containerization.</w:t>
      </w:r>
      <w:r w:rsidRPr="004B2A73">
        <w:rPr>
          <w:rFonts w:ascii="Calibri" w:hAnsi="Calibri"/>
          <w:sz w:val="24"/>
        </w:rPr>
        <w:t xml:space="preserve"> The emergence of global value chains and the dramatic growth of the world </w:t>
      </w:r>
      <w:r w:rsidRPr="000A7291">
        <w:rPr>
          <w:rFonts w:ascii="Calibri" w:hAnsi="Calibri"/>
          <w:sz w:val="24"/>
          <w:szCs w:val="24"/>
        </w:rPr>
        <w:t>trade</w:t>
      </w:r>
      <w:r w:rsidRPr="004B2A73">
        <w:rPr>
          <w:rFonts w:ascii="Calibri" w:hAnsi="Calibri"/>
          <w:sz w:val="24"/>
        </w:rPr>
        <w:t xml:space="preserve"> in manufactured goods coincided more or less with the transformation of liner shipping into an industry driven by a quest for efficiency.  Ports </w:t>
      </w:r>
      <w:r w:rsidRPr="004B2A73">
        <w:rPr>
          <w:rFonts w:ascii="Calibri" w:hAnsi="Calibri"/>
          <w:sz w:val="24"/>
        </w:rPr>
        <w:lastRenderedPageBreak/>
        <w:t xml:space="preserve">could not remain unaffected by such changes, and had to restructure to face new challenges. In parallel, the port industry responded to a </w:t>
      </w:r>
      <w:r w:rsidR="00F10080" w:rsidRPr="004B2A73">
        <w:rPr>
          <w:rFonts w:ascii="Calibri" w:hAnsi="Calibri"/>
          <w:sz w:val="24"/>
        </w:rPr>
        <w:t xml:space="preserve">widespread </w:t>
      </w:r>
      <w:r w:rsidRPr="004B2A73">
        <w:rPr>
          <w:rFonts w:ascii="Calibri" w:hAnsi="Calibri"/>
          <w:sz w:val="24"/>
        </w:rPr>
        <w:t xml:space="preserve">movement </w:t>
      </w:r>
      <w:r w:rsidR="00F10080" w:rsidRPr="004B2A73">
        <w:rPr>
          <w:rFonts w:ascii="Calibri" w:hAnsi="Calibri"/>
          <w:sz w:val="24"/>
        </w:rPr>
        <w:t>towards</w:t>
      </w:r>
      <w:r w:rsidRPr="004B2A73">
        <w:rPr>
          <w:rFonts w:ascii="Calibri" w:hAnsi="Calibri"/>
          <w:sz w:val="24"/>
        </w:rPr>
        <w:t xml:space="preserve"> increasing the role of the private sector in the provision of commercial services traditionally under the public sphere. The two forces resulted in the transformation of ports from pure public entities to an area where the public and private sector cooperate in delivery of infrastructure and services. </w:t>
      </w:r>
    </w:p>
    <w:p w14:paraId="0A388413" w14:textId="77777777" w:rsidR="009C6E8E" w:rsidRPr="004B2A73" w:rsidRDefault="009C6E8E" w:rsidP="009C6E8E">
      <w:pPr>
        <w:pStyle w:val="ListParagraph"/>
        <w:spacing w:after="0"/>
        <w:ind w:left="0"/>
        <w:rPr>
          <w:rFonts w:ascii="Calibri" w:hAnsi="Calibri"/>
          <w:bCs/>
          <w:sz w:val="24"/>
        </w:rPr>
      </w:pPr>
    </w:p>
    <w:p w14:paraId="352F87A6" w14:textId="0CA01151" w:rsidR="006420D5" w:rsidRPr="004B2A73" w:rsidRDefault="00D629BF" w:rsidP="00E826B9">
      <w:pPr>
        <w:pStyle w:val="ListParagraph"/>
        <w:numPr>
          <w:ilvl w:val="0"/>
          <w:numId w:val="6"/>
        </w:numPr>
        <w:spacing w:after="0"/>
        <w:ind w:left="0" w:firstLine="0"/>
        <w:jc w:val="both"/>
        <w:rPr>
          <w:rFonts w:ascii="Calibri" w:hAnsi="Calibri"/>
          <w:bCs/>
          <w:sz w:val="24"/>
        </w:rPr>
      </w:pPr>
      <w:r w:rsidRPr="004B2A73">
        <w:rPr>
          <w:rFonts w:ascii="Calibri" w:hAnsi="Calibri"/>
          <w:b/>
          <w:sz w:val="24"/>
        </w:rPr>
        <w:t>The degree and manner of private engagement in the port sector varies with local conditions (social, economic, political, cultural, geographic, etc.)</w:t>
      </w:r>
      <w:r w:rsidR="00F10080" w:rsidRPr="004B2A73">
        <w:rPr>
          <w:rFonts w:ascii="Calibri" w:hAnsi="Calibri"/>
          <w:b/>
          <w:sz w:val="24"/>
        </w:rPr>
        <w:t>,</w:t>
      </w:r>
      <w:r w:rsidRPr="004B2A73">
        <w:rPr>
          <w:rFonts w:ascii="Calibri" w:hAnsi="Calibri"/>
          <w:b/>
          <w:sz w:val="24"/>
        </w:rPr>
        <w:t xml:space="preserve"> and different models of inclusion and administration have proved to be efficient.</w:t>
      </w:r>
      <w:r w:rsidRPr="004B2A73">
        <w:rPr>
          <w:rFonts w:ascii="Calibri" w:hAnsi="Calibri"/>
          <w:sz w:val="24"/>
        </w:rPr>
        <w:t xml:space="preserve"> It is stressed by international agencies such as the World Bank (2007), and borne out by experience, that private sector participation is not a panacea in itself but only one option out of several for port reform</w:t>
      </w:r>
      <w:r w:rsidR="00F10080" w:rsidRPr="004B2A73">
        <w:rPr>
          <w:rFonts w:ascii="Calibri" w:hAnsi="Calibri"/>
          <w:sz w:val="24"/>
        </w:rPr>
        <w:t>.  All of these options</w:t>
      </w:r>
      <w:r w:rsidRPr="004B2A73">
        <w:rPr>
          <w:rFonts w:ascii="Calibri" w:hAnsi="Calibri"/>
          <w:sz w:val="24"/>
        </w:rPr>
        <w:t xml:space="preserve"> need to be accompanied by other measures, such as strategic planning, institutional, legal, regulatory, and labor reforms. </w:t>
      </w:r>
      <w:r w:rsidRPr="004B2A73">
        <w:rPr>
          <w:rFonts w:ascii="Calibri" w:hAnsi="Calibri"/>
          <w:bCs/>
          <w:sz w:val="24"/>
        </w:rPr>
        <w:t xml:space="preserve">The new paradigm of port management seeks higher levels of performance from managing ports as business entities rather than as bureaucracies. In this </w:t>
      </w:r>
      <w:r w:rsidR="006010C8" w:rsidRPr="004B2A73">
        <w:rPr>
          <w:rFonts w:ascii="Calibri" w:hAnsi="Calibri"/>
          <w:bCs/>
          <w:sz w:val="24"/>
        </w:rPr>
        <w:t>worldview</w:t>
      </w:r>
      <w:r w:rsidRPr="004B2A73">
        <w:rPr>
          <w:rFonts w:ascii="Calibri" w:hAnsi="Calibri"/>
          <w:bCs/>
          <w:sz w:val="24"/>
        </w:rPr>
        <w:t xml:space="preserve">, </w:t>
      </w:r>
      <w:r w:rsidRPr="000A7291">
        <w:rPr>
          <w:rFonts w:ascii="Calibri" w:hAnsi="Calibri"/>
          <w:sz w:val="24"/>
          <w:szCs w:val="24"/>
        </w:rPr>
        <w:t>archetypical</w:t>
      </w:r>
      <w:r w:rsidRPr="004B2A73">
        <w:rPr>
          <w:rFonts w:ascii="Calibri" w:hAnsi="Calibri"/>
          <w:bCs/>
          <w:sz w:val="24"/>
        </w:rPr>
        <w:t xml:space="preserve"> port management models may be classified by the degree of private participation (</w:t>
      </w:r>
      <w:r w:rsidR="004E17FA" w:rsidRPr="004E17FA">
        <w:rPr>
          <w:rFonts w:ascii="Calibri" w:hAnsi="Calibri"/>
          <w:bCs/>
          <w:sz w:val="24"/>
          <w:szCs w:val="24"/>
        </w:rPr>
        <w:fldChar w:fldCharType="begin"/>
      </w:r>
      <w:r w:rsidR="004E17FA" w:rsidRPr="004E17FA">
        <w:rPr>
          <w:rFonts w:ascii="Calibri" w:hAnsi="Calibri"/>
          <w:bCs/>
          <w:sz w:val="24"/>
          <w:szCs w:val="24"/>
        </w:rPr>
        <w:instrText xml:space="preserve"> REF _Ref473102639 \h </w:instrText>
      </w:r>
      <w:r w:rsidR="004E17FA">
        <w:rPr>
          <w:rFonts w:ascii="Calibri" w:hAnsi="Calibri"/>
          <w:bCs/>
          <w:sz w:val="24"/>
          <w:szCs w:val="24"/>
        </w:rPr>
        <w:instrText xml:space="preserve"> \* MERGEFORMAT </w:instrText>
      </w:r>
      <w:r w:rsidR="004E17FA" w:rsidRPr="004E17FA">
        <w:rPr>
          <w:rFonts w:ascii="Calibri" w:hAnsi="Calibri"/>
          <w:bCs/>
          <w:sz w:val="24"/>
          <w:szCs w:val="24"/>
        </w:rPr>
      </w:r>
      <w:r w:rsidR="004E17FA" w:rsidRPr="004E17FA">
        <w:rPr>
          <w:rFonts w:ascii="Calibri" w:hAnsi="Calibri"/>
          <w:bCs/>
          <w:sz w:val="24"/>
          <w:szCs w:val="24"/>
        </w:rPr>
        <w:fldChar w:fldCharType="separate"/>
      </w:r>
      <w:r w:rsidR="00212D01" w:rsidRPr="00212D01">
        <w:rPr>
          <w:rFonts w:ascii="Calibri" w:hAnsi="Calibri"/>
          <w:sz w:val="24"/>
          <w:szCs w:val="24"/>
        </w:rPr>
        <w:t xml:space="preserve">Table </w:t>
      </w:r>
      <w:r w:rsidR="00212D01" w:rsidRPr="00212D01">
        <w:rPr>
          <w:rFonts w:ascii="Calibri" w:hAnsi="Calibri"/>
          <w:noProof/>
          <w:sz w:val="24"/>
          <w:szCs w:val="24"/>
        </w:rPr>
        <w:t>3</w:t>
      </w:r>
      <w:r w:rsidR="004E17FA" w:rsidRPr="004E17FA">
        <w:rPr>
          <w:rFonts w:ascii="Calibri" w:hAnsi="Calibri"/>
          <w:bCs/>
          <w:sz w:val="24"/>
          <w:szCs w:val="24"/>
        </w:rPr>
        <w:fldChar w:fldCharType="end"/>
      </w:r>
      <w:r w:rsidRPr="004B2A73">
        <w:rPr>
          <w:rFonts w:ascii="Calibri" w:hAnsi="Calibri"/>
          <w:bCs/>
          <w:sz w:val="24"/>
        </w:rPr>
        <w:t xml:space="preserve">): </w:t>
      </w:r>
      <w:r w:rsidRPr="004B2A73">
        <w:rPr>
          <w:rFonts w:ascii="Calibri" w:hAnsi="Calibri"/>
          <w:sz w:val="24"/>
        </w:rPr>
        <w:t xml:space="preserve">public service port, tool port, landlord port and private ports.  </w:t>
      </w:r>
      <w:r w:rsidR="00F10080" w:rsidRPr="004B2A73">
        <w:rPr>
          <w:rFonts w:ascii="Calibri" w:hAnsi="Calibri"/>
          <w:sz w:val="24"/>
        </w:rPr>
        <w:t>T</w:t>
      </w:r>
      <w:r w:rsidRPr="004B2A73">
        <w:rPr>
          <w:rFonts w:ascii="Calibri" w:hAnsi="Calibri"/>
          <w:sz w:val="24"/>
        </w:rPr>
        <w:t xml:space="preserve">here are no private ports </w:t>
      </w:r>
      <w:r w:rsidR="00F10080" w:rsidRPr="004B2A73">
        <w:rPr>
          <w:rFonts w:ascii="Calibri" w:hAnsi="Calibri"/>
          <w:sz w:val="24"/>
        </w:rPr>
        <w:t>in SSA</w:t>
      </w:r>
      <w:r w:rsidRPr="004B2A73">
        <w:rPr>
          <w:rFonts w:ascii="Calibri" w:hAnsi="Calibri"/>
          <w:sz w:val="24"/>
        </w:rPr>
        <w:t>, and o</w:t>
      </w:r>
      <w:r w:rsidRPr="004B2A73">
        <w:rPr>
          <w:rFonts w:ascii="Calibri" w:hAnsi="Calibri"/>
          <w:bCs/>
          <w:sz w:val="24"/>
        </w:rPr>
        <w:t>wnership of assets and regulation of the sector remains entirely with the public sector. The landlord port model dominates the scene</w:t>
      </w:r>
      <w:r w:rsidR="00F10080" w:rsidRPr="004B2A73">
        <w:rPr>
          <w:rFonts w:ascii="Calibri" w:hAnsi="Calibri"/>
          <w:bCs/>
          <w:sz w:val="24"/>
        </w:rPr>
        <w:t>,</w:t>
      </w:r>
      <w:r w:rsidRPr="004B2A73">
        <w:rPr>
          <w:rFonts w:ascii="Calibri" w:hAnsi="Calibri"/>
          <w:bCs/>
          <w:sz w:val="24"/>
        </w:rPr>
        <w:t xml:space="preserve"> though the approach is far from </w:t>
      </w:r>
      <w:r w:rsidR="00F10080" w:rsidRPr="004B2A73">
        <w:rPr>
          <w:rFonts w:ascii="Calibri" w:hAnsi="Calibri"/>
          <w:bCs/>
          <w:sz w:val="24"/>
        </w:rPr>
        <w:t xml:space="preserve">uniform.  </w:t>
      </w:r>
      <w:r w:rsidRPr="004B2A73">
        <w:rPr>
          <w:rFonts w:ascii="Calibri" w:hAnsi="Calibri"/>
          <w:bCs/>
          <w:sz w:val="24"/>
        </w:rPr>
        <w:t>“</w:t>
      </w:r>
      <w:r w:rsidR="00F10080" w:rsidRPr="004B2A73">
        <w:rPr>
          <w:rFonts w:ascii="Calibri" w:hAnsi="Calibri"/>
          <w:bCs/>
          <w:sz w:val="24"/>
        </w:rPr>
        <w:t>L</w:t>
      </w:r>
      <w:r w:rsidRPr="004B2A73">
        <w:rPr>
          <w:rFonts w:ascii="Calibri" w:hAnsi="Calibri"/>
          <w:bCs/>
          <w:sz w:val="24"/>
        </w:rPr>
        <w:t>andlord ports” continue to dabble in some operations</w:t>
      </w:r>
      <w:r w:rsidR="00F10080" w:rsidRPr="004B2A73">
        <w:rPr>
          <w:rFonts w:ascii="Calibri" w:hAnsi="Calibri"/>
          <w:bCs/>
          <w:sz w:val="24"/>
        </w:rPr>
        <w:t>,</w:t>
      </w:r>
      <w:r w:rsidRPr="004B2A73">
        <w:rPr>
          <w:rFonts w:ascii="Calibri" w:hAnsi="Calibri"/>
          <w:bCs/>
          <w:sz w:val="24"/>
        </w:rPr>
        <w:t xml:space="preserve"> in particular those related to provision of marine services.</w:t>
      </w:r>
    </w:p>
    <w:p w14:paraId="7B73AE5D" w14:textId="77777777" w:rsidR="00B5017B" w:rsidRPr="004B2A73" w:rsidRDefault="00B5017B" w:rsidP="00B5017B">
      <w:pPr>
        <w:pStyle w:val="ListParagraph"/>
        <w:spacing w:after="0"/>
        <w:ind w:left="0"/>
        <w:rPr>
          <w:rFonts w:ascii="Calibri" w:hAnsi="Calibri"/>
          <w:bCs/>
          <w:sz w:val="24"/>
        </w:rPr>
      </w:pPr>
    </w:p>
    <w:p w14:paraId="1FF5156E" w14:textId="6ADE16D5" w:rsidR="00D629BF" w:rsidRPr="004B2A73" w:rsidRDefault="003C7E7B" w:rsidP="00AF33A5">
      <w:pPr>
        <w:pStyle w:val="Caption"/>
        <w:rPr>
          <w:rFonts w:ascii="Calibri" w:hAnsi="Calibri"/>
        </w:rPr>
      </w:pPr>
      <w:bookmarkStart w:id="42" w:name="_Ref473102639"/>
      <w:bookmarkStart w:id="43" w:name="_Ref433368110"/>
      <w:bookmarkStart w:id="44" w:name="_Toc485381914"/>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3</w:t>
      </w:r>
      <w:r w:rsidR="00811885" w:rsidRPr="004B2A73">
        <w:rPr>
          <w:rFonts w:ascii="Calibri" w:hAnsi="Calibri"/>
          <w:noProof/>
        </w:rPr>
        <w:fldChar w:fldCharType="end"/>
      </w:r>
      <w:bookmarkEnd w:id="42"/>
      <w:r w:rsidRPr="004B2A73">
        <w:rPr>
          <w:rFonts w:ascii="Calibri" w:hAnsi="Calibri"/>
        </w:rPr>
        <w:t xml:space="preserve">: Private </w:t>
      </w:r>
      <w:r w:rsidR="002D2954">
        <w:t xml:space="preserve">Sector </w:t>
      </w:r>
      <w:r w:rsidRPr="004B2A73">
        <w:rPr>
          <w:rFonts w:ascii="Calibri" w:hAnsi="Calibri"/>
        </w:rPr>
        <w:t>Participation in the Port Sector</w:t>
      </w:r>
      <w:bookmarkEnd w:id="43"/>
      <w:bookmarkEnd w:id="44"/>
    </w:p>
    <w:tbl>
      <w:tblPr>
        <w:tblStyle w:val="ListTable3-Accent31"/>
        <w:tblW w:w="0" w:type="auto"/>
        <w:jc w:val="center"/>
        <w:tblLook w:val="04A0" w:firstRow="1" w:lastRow="0" w:firstColumn="1" w:lastColumn="0" w:noHBand="0" w:noVBand="1"/>
      </w:tblPr>
      <w:tblGrid>
        <w:gridCol w:w="1870"/>
        <w:gridCol w:w="1870"/>
        <w:gridCol w:w="1870"/>
        <w:gridCol w:w="1870"/>
        <w:gridCol w:w="1870"/>
      </w:tblGrid>
      <w:tr w:rsidR="00D629BF" w:rsidRPr="004B2A73" w14:paraId="241CD8CD" w14:textId="77777777" w:rsidTr="00A2442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70" w:type="dxa"/>
          </w:tcPr>
          <w:p w14:paraId="1843E951" w14:textId="77777777" w:rsidR="00D629BF" w:rsidRPr="004B2A73" w:rsidRDefault="00D629BF" w:rsidP="00A24427">
            <w:pPr>
              <w:rPr>
                <w:rFonts w:ascii="Calibri" w:hAnsi="Calibri"/>
              </w:rPr>
            </w:pPr>
          </w:p>
        </w:tc>
        <w:tc>
          <w:tcPr>
            <w:tcW w:w="1870" w:type="dxa"/>
          </w:tcPr>
          <w:p w14:paraId="005A7F6D" w14:textId="77777777" w:rsidR="00D629BF" w:rsidRPr="004B2A73" w:rsidRDefault="00D629BF" w:rsidP="00A24427">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Infrastructure</w:t>
            </w:r>
          </w:p>
        </w:tc>
        <w:tc>
          <w:tcPr>
            <w:tcW w:w="1870" w:type="dxa"/>
          </w:tcPr>
          <w:p w14:paraId="2AD73883" w14:textId="77777777" w:rsidR="00D629BF" w:rsidRPr="004B2A73" w:rsidRDefault="00D629BF" w:rsidP="00A24427">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Cargo Handling Equipment</w:t>
            </w:r>
          </w:p>
        </w:tc>
        <w:tc>
          <w:tcPr>
            <w:tcW w:w="1870" w:type="dxa"/>
          </w:tcPr>
          <w:p w14:paraId="1D9FD11C" w14:textId="77777777" w:rsidR="00D629BF" w:rsidRPr="004B2A73" w:rsidRDefault="00D629BF" w:rsidP="00A24427">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Stevedoring services</w:t>
            </w:r>
          </w:p>
        </w:tc>
        <w:tc>
          <w:tcPr>
            <w:tcW w:w="1870" w:type="dxa"/>
          </w:tcPr>
          <w:p w14:paraId="1725E708" w14:textId="77777777" w:rsidR="00D629BF" w:rsidRPr="004B2A73" w:rsidRDefault="00D629BF" w:rsidP="00A24427">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Marine Services</w:t>
            </w:r>
          </w:p>
        </w:tc>
      </w:tr>
      <w:tr w:rsidR="00D629BF" w:rsidRPr="004B2A73" w14:paraId="54247201" w14:textId="77777777" w:rsidTr="00A2442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870" w:type="dxa"/>
          </w:tcPr>
          <w:p w14:paraId="01B60179" w14:textId="77777777" w:rsidR="00D629BF" w:rsidRPr="004B2A73" w:rsidRDefault="00D629BF" w:rsidP="00A24427">
            <w:pPr>
              <w:rPr>
                <w:rFonts w:ascii="Calibri" w:hAnsi="Calibri"/>
              </w:rPr>
            </w:pPr>
            <w:r w:rsidRPr="004B2A73">
              <w:rPr>
                <w:rFonts w:ascii="Calibri" w:hAnsi="Calibri"/>
              </w:rPr>
              <w:t>Public Service Port</w:t>
            </w:r>
          </w:p>
        </w:tc>
        <w:tc>
          <w:tcPr>
            <w:tcW w:w="1870" w:type="dxa"/>
          </w:tcPr>
          <w:p w14:paraId="3E633FFF" w14:textId="77777777" w:rsidR="00D629BF" w:rsidRPr="004B2A73" w:rsidRDefault="00D629BF" w:rsidP="00A2442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Public</w:t>
            </w:r>
          </w:p>
        </w:tc>
        <w:tc>
          <w:tcPr>
            <w:tcW w:w="1870" w:type="dxa"/>
          </w:tcPr>
          <w:p w14:paraId="009AE698" w14:textId="77777777" w:rsidR="00D629BF" w:rsidRPr="004B2A73" w:rsidRDefault="00D629BF" w:rsidP="00A2442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Public</w:t>
            </w:r>
          </w:p>
        </w:tc>
        <w:tc>
          <w:tcPr>
            <w:tcW w:w="1870" w:type="dxa"/>
          </w:tcPr>
          <w:p w14:paraId="518D0E3D" w14:textId="77777777" w:rsidR="00D629BF" w:rsidRPr="004B2A73" w:rsidRDefault="00D629BF" w:rsidP="00A2442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Public</w:t>
            </w:r>
          </w:p>
        </w:tc>
        <w:tc>
          <w:tcPr>
            <w:tcW w:w="1870" w:type="dxa"/>
          </w:tcPr>
          <w:p w14:paraId="2B681CC5" w14:textId="77777777" w:rsidR="00D629BF" w:rsidRPr="004B2A73" w:rsidRDefault="00D629BF" w:rsidP="00A2442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Public</w:t>
            </w:r>
          </w:p>
        </w:tc>
      </w:tr>
      <w:tr w:rsidR="00D629BF" w:rsidRPr="004B2A73" w14:paraId="6536B10A" w14:textId="77777777" w:rsidTr="00A24427">
        <w:trPr>
          <w:trHeight w:val="70"/>
          <w:jc w:val="center"/>
        </w:trPr>
        <w:tc>
          <w:tcPr>
            <w:cnfStyle w:val="001000000000" w:firstRow="0" w:lastRow="0" w:firstColumn="1" w:lastColumn="0" w:oddVBand="0" w:evenVBand="0" w:oddHBand="0" w:evenHBand="0" w:firstRowFirstColumn="0" w:firstRowLastColumn="0" w:lastRowFirstColumn="0" w:lastRowLastColumn="0"/>
            <w:tcW w:w="1870" w:type="dxa"/>
          </w:tcPr>
          <w:p w14:paraId="1536724C" w14:textId="77777777" w:rsidR="00D629BF" w:rsidRPr="004B2A73" w:rsidRDefault="00D629BF" w:rsidP="00A24427">
            <w:pPr>
              <w:rPr>
                <w:rFonts w:ascii="Calibri" w:hAnsi="Calibri"/>
              </w:rPr>
            </w:pPr>
            <w:r w:rsidRPr="004B2A73">
              <w:rPr>
                <w:rFonts w:ascii="Calibri" w:hAnsi="Calibri"/>
              </w:rPr>
              <w:t>Tool Port</w:t>
            </w:r>
          </w:p>
        </w:tc>
        <w:tc>
          <w:tcPr>
            <w:tcW w:w="1870" w:type="dxa"/>
          </w:tcPr>
          <w:p w14:paraId="64CB9098" w14:textId="77777777" w:rsidR="00D629BF" w:rsidRPr="004B2A73" w:rsidRDefault="00D629BF" w:rsidP="00A2442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Public</w:t>
            </w:r>
          </w:p>
        </w:tc>
        <w:tc>
          <w:tcPr>
            <w:tcW w:w="1870" w:type="dxa"/>
          </w:tcPr>
          <w:p w14:paraId="7076FFE4" w14:textId="77777777" w:rsidR="00D629BF" w:rsidRPr="004B2A73" w:rsidRDefault="00D629BF" w:rsidP="00A2442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Public</w:t>
            </w:r>
          </w:p>
        </w:tc>
        <w:tc>
          <w:tcPr>
            <w:tcW w:w="1870" w:type="dxa"/>
          </w:tcPr>
          <w:p w14:paraId="2043C484" w14:textId="77777777" w:rsidR="00D629BF" w:rsidRPr="004B2A73" w:rsidRDefault="00D629BF" w:rsidP="00A2442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Private</w:t>
            </w:r>
          </w:p>
        </w:tc>
        <w:tc>
          <w:tcPr>
            <w:tcW w:w="1870" w:type="dxa"/>
          </w:tcPr>
          <w:p w14:paraId="62D6CB00" w14:textId="77777777" w:rsidR="00D629BF" w:rsidRPr="004B2A73" w:rsidRDefault="00D629BF" w:rsidP="00A2442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Public</w:t>
            </w:r>
          </w:p>
        </w:tc>
      </w:tr>
      <w:tr w:rsidR="00D629BF" w:rsidRPr="004B2A73" w14:paraId="5F7E8105" w14:textId="77777777" w:rsidTr="00A24427">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870" w:type="dxa"/>
          </w:tcPr>
          <w:p w14:paraId="7E32B800" w14:textId="77777777" w:rsidR="00D629BF" w:rsidRPr="004B2A73" w:rsidRDefault="00D629BF" w:rsidP="00A24427">
            <w:pPr>
              <w:rPr>
                <w:rFonts w:ascii="Calibri" w:hAnsi="Calibri"/>
              </w:rPr>
            </w:pPr>
            <w:r w:rsidRPr="004B2A73">
              <w:rPr>
                <w:rFonts w:ascii="Calibri" w:hAnsi="Calibri"/>
              </w:rPr>
              <w:t>Landlord Port</w:t>
            </w:r>
          </w:p>
        </w:tc>
        <w:tc>
          <w:tcPr>
            <w:tcW w:w="1870" w:type="dxa"/>
          </w:tcPr>
          <w:p w14:paraId="7AC9E35D" w14:textId="77777777" w:rsidR="00D629BF" w:rsidRPr="004B2A73" w:rsidRDefault="00D629BF" w:rsidP="00A2442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Public</w:t>
            </w:r>
          </w:p>
        </w:tc>
        <w:tc>
          <w:tcPr>
            <w:tcW w:w="1870" w:type="dxa"/>
          </w:tcPr>
          <w:p w14:paraId="2E24614B" w14:textId="77777777" w:rsidR="00D629BF" w:rsidRPr="004B2A73" w:rsidRDefault="00D629BF" w:rsidP="00A2442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Private</w:t>
            </w:r>
          </w:p>
        </w:tc>
        <w:tc>
          <w:tcPr>
            <w:tcW w:w="1870" w:type="dxa"/>
          </w:tcPr>
          <w:p w14:paraId="44B5537C" w14:textId="77777777" w:rsidR="00D629BF" w:rsidRPr="004B2A73" w:rsidRDefault="00D629BF" w:rsidP="00A2442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Private</w:t>
            </w:r>
          </w:p>
        </w:tc>
        <w:tc>
          <w:tcPr>
            <w:tcW w:w="1870" w:type="dxa"/>
          </w:tcPr>
          <w:p w14:paraId="7B50A2B2" w14:textId="77777777" w:rsidR="00D629BF" w:rsidRPr="004B2A73" w:rsidRDefault="00D629BF" w:rsidP="00A2442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Private</w:t>
            </w:r>
          </w:p>
        </w:tc>
      </w:tr>
      <w:tr w:rsidR="00D629BF" w:rsidRPr="004B2A73" w14:paraId="0E2C4ACA" w14:textId="77777777" w:rsidTr="00A24427">
        <w:trPr>
          <w:trHeight w:val="70"/>
          <w:jc w:val="center"/>
        </w:trPr>
        <w:tc>
          <w:tcPr>
            <w:cnfStyle w:val="001000000000" w:firstRow="0" w:lastRow="0" w:firstColumn="1" w:lastColumn="0" w:oddVBand="0" w:evenVBand="0" w:oddHBand="0" w:evenHBand="0" w:firstRowFirstColumn="0" w:firstRowLastColumn="0" w:lastRowFirstColumn="0" w:lastRowLastColumn="0"/>
            <w:tcW w:w="1870" w:type="dxa"/>
          </w:tcPr>
          <w:p w14:paraId="13288E7C" w14:textId="77777777" w:rsidR="00D629BF" w:rsidRPr="004B2A73" w:rsidRDefault="00D629BF" w:rsidP="00A24427">
            <w:pPr>
              <w:rPr>
                <w:rFonts w:ascii="Calibri" w:hAnsi="Calibri"/>
              </w:rPr>
            </w:pPr>
            <w:r w:rsidRPr="004B2A73">
              <w:rPr>
                <w:rFonts w:ascii="Calibri" w:hAnsi="Calibri"/>
              </w:rPr>
              <w:t>Private Port</w:t>
            </w:r>
          </w:p>
        </w:tc>
        <w:tc>
          <w:tcPr>
            <w:tcW w:w="1870" w:type="dxa"/>
          </w:tcPr>
          <w:p w14:paraId="15EEF395" w14:textId="77777777" w:rsidR="00D629BF" w:rsidRPr="004B2A73" w:rsidRDefault="00D629BF" w:rsidP="00A2442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Private</w:t>
            </w:r>
          </w:p>
        </w:tc>
        <w:tc>
          <w:tcPr>
            <w:tcW w:w="1870" w:type="dxa"/>
          </w:tcPr>
          <w:p w14:paraId="0B034804" w14:textId="77777777" w:rsidR="00D629BF" w:rsidRPr="004B2A73" w:rsidRDefault="00D629BF" w:rsidP="00A2442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Private</w:t>
            </w:r>
          </w:p>
        </w:tc>
        <w:tc>
          <w:tcPr>
            <w:tcW w:w="1870" w:type="dxa"/>
          </w:tcPr>
          <w:p w14:paraId="17EE6D5D" w14:textId="77777777" w:rsidR="00D629BF" w:rsidRPr="004B2A73" w:rsidRDefault="00D629BF" w:rsidP="00A2442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Private</w:t>
            </w:r>
          </w:p>
        </w:tc>
        <w:tc>
          <w:tcPr>
            <w:tcW w:w="1870" w:type="dxa"/>
          </w:tcPr>
          <w:p w14:paraId="30E64D32" w14:textId="77777777" w:rsidR="00D629BF" w:rsidRPr="004B2A73" w:rsidRDefault="00D629BF" w:rsidP="00A2442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Private</w:t>
            </w:r>
          </w:p>
        </w:tc>
      </w:tr>
    </w:tbl>
    <w:p w14:paraId="543DCFC5" w14:textId="1E7C9D14" w:rsidR="00D629BF" w:rsidRDefault="00D629BF" w:rsidP="00A24427">
      <w:pPr>
        <w:spacing w:before="120"/>
        <w:rPr>
          <w:rFonts w:ascii="Calibri" w:hAnsi="Calibri"/>
        </w:rPr>
      </w:pPr>
      <w:r w:rsidRPr="004B2A73">
        <w:rPr>
          <w:rFonts w:ascii="Calibri" w:hAnsi="Calibri"/>
        </w:rPr>
        <w:t xml:space="preserve">Source: Adapted from World Bank </w:t>
      </w:r>
      <w:r w:rsidR="002D2954">
        <w:rPr>
          <w:rFonts w:ascii="Calibri" w:hAnsi="Calibri"/>
        </w:rPr>
        <w:t xml:space="preserve">Port Reform Toolkit </w:t>
      </w:r>
      <w:r w:rsidR="00A24427" w:rsidRPr="004B2A73">
        <w:rPr>
          <w:rFonts w:ascii="Calibri" w:hAnsi="Calibri"/>
        </w:rPr>
        <w:t>(2007)</w:t>
      </w:r>
    </w:p>
    <w:p w14:paraId="2DA2DA04" w14:textId="77777777" w:rsidR="007460D3" w:rsidRPr="004B2A73" w:rsidRDefault="007460D3" w:rsidP="00A24427">
      <w:pPr>
        <w:spacing w:before="120"/>
        <w:rPr>
          <w:rFonts w:ascii="Calibri" w:hAnsi="Calibri"/>
        </w:rPr>
      </w:pPr>
    </w:p>
    <w:p w14:paraId="62588EBB" w14:textId="2CF883FF" w:rsidR="0015180E" w:rsidRPr="003F1B3E" w:rsidRDefault="0015180E" w:rsidP="00E826B9">
      <w:pPr>
        <w:pStyle w:val="Heading3"/>
        <w:numPr>
          <w:ilvl w:val="2"/>
          <w:numId w:val="9"/>
        </w:numPr>
        <w:ind w:left="0"/>
        <w:rPr>
          <w:rFonts w:asciiTheme="minorHAnsi" w:hAnsiTheme="minorHAnsi" w:cstheme="minorHAnsi"/>
          <w:color w:val="auto"/>
        </w:rPr>
      </w:pPr>
      <w:r w:rsidRPr="003F1B3E">
        <w:rPr>
          <w:rFonts w:asciiTheme="minorHAnsi" w:hAnsiTheme="minorHAnsi" w:cstheme="minorHAnsi"/>
          <w:color w:val="auto"/>
        </w:rPr>
        <w:t>Port Concessions in West Africa</w:t>
      </w:r>
    </w:p>
    <w:p w14:paraId="7A6897C9" w14:textId="77777777" w:rsidR="0015180E" w:rsidRPr="004B2A73" w:rsidRDefault="0015180E" w:rsidP="00081B22">
      <w:pPr>
        <w:pStyle w:val="ListParagraph"/>
        <w:spacing w:after="0"/>
        <w:ind w:left="0"/>
        <w:rPr>
          <w:rFonts w:ascii="Calibri" w:hAnsi="Calibri"/>
          <w:b/>
          <w:sz w:val="24"/>
        </w:rPr>
      </w:pPr>
    </w:p>
    <w:p w14:paraId="199403E4" w14:textId="0B353D3B" w:rsidR="001808BB" w:rsidRPr="004B2A73" w:rsidRDefault="009778E0"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It is broadly recognized that c</w:t>
      </w:r>
      <w:r w:rsidR="001808BB" w:rsidRPr="004B2A73">
        <w:rPr>
          <w:rFonts w:ascii="Calibri" w:hAnsi="Calibri"/>
          <w:b/>
          <w:sz w:val="24"/>
        </w:rPr>
        <w:t>oncessions can be used to encourage competition in natural</w:t>
      </w:r>
      <w:r w:rsidR="00455CD1" w:rsidRPr="004B2A73">
        <w:rPr>
          <w:rFonts w:ascii="Calibri" w:hAnsi="Calibri"/>
          <w:b/>
          <w:sz w:val="24"/>
        </w:rPr>
        <w:t>ly</w:t>
      </w:r>
      <w:r w:rsidR="001808BB" w:rsidRPr="004B2A73">
        <w:rPr>
          <w:rFonts w:ascii="Calibri" w:hAnsi="Calibri"/>
          <w:b/>
          <w:sz w:val="24"/>
        </w:rPr>
        <w:t xml:space="preserve"> </w:t>
      </w:r>
      <w:r w:rsidR="00455CD1" w:rsidRPr="004B2A73">
        <w:rPr>
          <w:rFonts w:ascii="Calibri" w:hAnsi="Calibri"/>
          <w:b/>
          <w:sz w:val="24"/>
        </w:rPr>
        <w:t>monopolistic markets</w:t>
      </w:r>
      <w:r w:rsidR="001808BB" w:rsidRPr="004B2A73">
        <w:rPr>
          <w:rFonts w:ascii="Calibri" w:hAnsi="Calibri"/>
          <w:b/>
          <w:sz w:val="24"/>
        </w:rPr>
        <w:t xml:space="preserve">.  </w:t>
      </w:r>
      <w:r w:rsidR="001808BB" w:rsidRPr="004B2A73">
        <w:rPr>
          <w:rFonts w:ascii="Calibri" w:hAnsi="Calibri"/>
          <w:sz w:val="24"/>
        </w:rPr>
        <w:t xml:space="preserve">Demsetz (1968) suggested that competitive bidding can be used to award monopoly contracts between a government entity and the most efficient supplier, to try to replicate the outcomes </w:t>
      </w:r>
      <w:r w:rsidR="001808BB" w:rsidRPr="000A7291">
        <w:rPr>
          <w:rFonts w:ascii="Calibri" w:hAnsi="Calibri"/>
          <w:sz w:val="24"/>
          <w:szCs w:val="24"/>
        </w:rPr>
        <w:t>that</w:t>
      </w:r>
      <w:r w:rsidR="001808BB" w:rsidRPr="004B2A73">
        <w:rPr>
          <w:rFonts w:ascii="Calibri" w:hAnsi="Calibri"/>
          <w:sz w:val="24"/>
        </w:rPr>
        <w:t xml:space="preserve"> would emerge in a perfectly contes</w:t>
      </w:r>
      <w:r w:rsidR="000B78F9" w:rsidRPr="004B2A73">
        <w:rPr>
          <w:rFonts w:ascii="Calibri" w:hAnsi="Calibri"/>
          <w:sz w:val="24"/>
        </w:rPr>
        <w:t>table market. The main idea</w:t>
      </w:r>
      <w:r w:rsidR="001808BB" w:rsidRPr="004B2A73">
        <w:rPr>
          <w:rFonts w:ascii="Calibri" w:hAnsi="Calibri"/>
          <w:sz w:val="24"/>
        </w:rPr>
        <w:t xml:space="preserve"> is that the power of competitive markets can be exploited at the ex</w:t>
      </w:r>
      <w:r w:rsidR="004E17FA">
        <w:rPr>
          <w:rFonts w:ascii="Calibri" w:hAnsi="Calibri"/>
          <w:sz w:val="24"/>
        </w:rPr>
        <w:t>-</w:t>
      </w:r>
      <w:r w:rsidR="001808BB" w:rsidRPr="004B2A73">
        <w:rPr>
          <w:rFonts w:ascii="Calibri" w:hAnsi="Calibri"/>
          <w:sz w:val="24"/>
        </w:rPr>
        <w:t>ante contracting stage</w:t>
      </w:r>
      <w:r w:rsidR="000B78F9" w:rsidRPr="004B2A73">
        <w:rPr>
          <w:rFonts w:ascii="Calibri" w:hAnsi="Calibri"/>
          <w:sz w:val="24"/>
        </w:rPr>
        <w:t>,</w:t>
      </w:r>
      <w:r w:rsidR="001808BB" w:rsidRPr="004B2A73">
        <w:rPr>
          <w:rFonts w:ascii="Calibri" w:hAnsi="Calibri"/>
          <w:sz w:val="24"/>
        </w:rPr>
        <w:t xml:space="preserve"> even though ex post there is only a single firm in the market. Ex post, regulation effectively takes place via the terms and conditions of the contract which have been agreed following the </w:t>
      </w:r>
      <w:r w:rsidR="001808BB" w:rsidRPr="004B2A73">
        <w:rPr>
          <w:rFonts w:ascii="Calibri" w:hAnsi="Calibri"/>
          <w:sz w:val="24"/>
        </w:rPr>
        <w:lastRenderedPageBreak/>
        <w:t>competitive process. The bidding process can always be refined with additional criteria to reflect the context and requirements of the contracting authority.</w:t>
      </w:r>
    </w:p>
    <w:p w14:paraId="5E65FDB2" w14:textId="77777777" w:rsidR="003C325D" w:rsidRPr="004B2A73" w:rsidRDefault="003C325D" w:rsidP="00081B22">
      <w:pPr>
        <w:pStyle w:val="ListParagraph"/>
        <w:spacing w:after="0"/>
        <w:ind w:left="0"/>
        <w:rPr>
          <w:rFonts w:ascii="Calibri" w:hAnsi="Calibri"/>
          <w:sz w:val="24"/>
        </w:rPr>
      </w:pPr>
    </w:p>
    <w:p w14:paraId="09C27487" w14:textId="09C06872" w:rsidR="003C325D" w:rsidRPr="004B2A73" w:rsidRDefault="000B78F9" w:rsidP="00E826B9">
      <w:pPr>
        <w:pStyle w:val="ListParagraph"/>
        <w:numPr>
          <w:ilvl w:val="0"/>
          <w:numId w:val="6"/>
        </w:numPr>
        <w:spacing w:after="0"/>
        <w:ind w:left="0" w:firstLine="0"/>
        <w:jc w:val="both"/>
        <w:rPr>
          <w:rFonts w:ascii="Calibri" w:hAnsi="Calibri" w:cs="Times-Roman"/>
          <w:sz w:val="24"/>
        </w:rPr>
      </w:pPr>
      <w:r w:rsidRPr="004B2A73">
        <w:rPr>
          <w:rFonts w:ascii="Calibri" w:hAnsi="Calibri"/>
          <w:b/>
          <w:sz w:val="24"/>
        </w:rPr>
        <w:t>T</w:t>
      </w:r>
      <w:r w:rsidR="003C325D" w:rsidRPr="004B2A73">
        <w:rPr>
          <w:rFonts w:ascii="Calibri" w:hAnsi="Calibri"/>
          <w:b/>
          <w:sz w:val="24"/>
        </w:rPr>
        <w:t>he contracting system</w:t>
      </w:r>
      <w:r w:rsidRPr="004B2A73">
        <w:rPr>
          <w:rFonts w:ascii="Calibri" w:hAnsi="Calibri"/>
          <w:b/>
          <w:sz w:val="24"/>
        </w:rPr>
        <w:t xml:space="preserve"> must</w:t>
      </w:r>
      <w:r w:rsidR="00455CD1" w:rsidRPr="004B2A73">
        <w:rPr>
          <w:rFonts w:ascii="Calibri" w:hAnsi="Calibri"/>
          <w:b/>
          <w:sz w:val="24"/>
        </w:rPr>
        <w:t xml:space="preserve"> however</w:t>
      </w:r>
      <w:r w:rsidRPr="004B2A73">
        <w:rPr>
          <w:rFonts w:ascii="Calibri" w:hAnsi="Calibri"/>
          <w:b/>
          <w:sz w:val="24"/>
        </w:rPr>
        <w:t xml:space="preserve"> meet certain conditions</w:t>
      </w:r>
      <w:r w:rsidR="003C325D" w:rsidRPr="004B2A73">
        <w:rPr>
          <w:rFonts w:ascii="Calibri" w:hAnsi="Calibri"/>
          <w:b/>
          <w:sz w:val="24"/>
        </w:rPr>
        <w:t xml:space="preserve"> to mimic the results of contestable markets</w:t>
      </w:r>
      <w:r w:rsidR="003C325D" w:rsidRPr="004B2A73">
        <w:rPr>
          <w:rFonts w:ascii="Calibri" w:hAnsi="Calibri"/>
          <w:sz w:val="24"/>
        </w:rPr>
        <w:t xml:space="preserve">. The key conditions are that there be, at the very least, an adequate number of ex ante competitors and that they act independently of each other, that is, there should be no collusion. As firms have differing access to productive resources and information, competition among potential suppliers is likely still to be imperfect.  The efficiency and rent distribution outcomes of the competitive process will also depend on the specific rules used to select the winner and the distribution of information about costs and demand among the bidders (Klemperer 2002). It is recognized </w:t>
      </w:r>
      <w:r w:rsidR="003C325D" w:rsidRPr="000A7291">
        <w:rPr>
          <w:rFonts w:ascii="Calibri" w:hAnsi="Calibri"/>
          <w:sz w:val="24"/>
          <w:szCs w:val="24"/>
        </w:rPr>
        <w:t>that</w:t>
      </w:r>
      <w:r w:rsidR="003C325D" w:rsidRPr="004B2A73">
        <w:rPr>
          <w:rFonts w:ascii="Calibri" w:hAnsi="Calibri"/>
          <w:sz w:val="24"/>
        </w:rPr>
        <w:t xml:space="preserve"> the selection criteria used to choose the winner are likely to be influenced by various political economy considerations. Where sunk costs are an important component of total costs, for example in greenfield port investments, longer duration contracts are most likely to support efficient investments in long lived assets and efficient prices for the associated services. But where the sunk costs are relatively small, as in the majority of the </w:t>
      </w:r>
      <w:r w:rsidR="0064574A">
        <w:rPr>
          <w:rFonts w:ascii="Calibri" w:hAnsi="Calibri"/>
          <w:sz w:val="24"/>
        </w:rPr>
        <w:t xml:space="preserve">first wave </w:t>
      </w:r>
      <w:r w:rsidR="003C325D" w:rsidRPr="004B2A73">
        <w:rPr>
          <w:rFonts w:ascii="Calibri" w:hAnsi="Calibri"/>
          <w:sz w:val="24"/>
        </w:rPr>
        <w:t>concessions for container terminals in West Africa, repeated, short term contracts are likely to produce better results. Contracts under implementation in West African container terminals, on the other hand, tend to be long term, ranging between fifteen to twenty-five years.</w:t>
      </w:r>
    </w:p>
    <w:p w14:paraId="03FD10E0" w14:textId="77777777" w:rsidR="001808BB" w:rsidRPr="004B2A73" w:rsidRDefault="001808BB" w:rsidP="00695D88">
      <w:pPr>
        <w:pStyle w:val="ListParagraph"/>
        <w:spacing w:after="0"/>
        <w:ind w:left="0"/>
        <w:rPr>
          <w:rFonts w:ascii="Calibri" w:hAnsi="Calibri"/>
          <w:sz w:val="24"/>
        </w:rPr>
      </w:pPr>
    </w:p>
    <w:p w14:paraId="1E7D0CD6" w14:textId="77777777" w:rsidR="0045649C" w:rsidRPr="004B2A73" w:rsidRDefault="0045649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first wave of concessions – the brownfield concessions – for container terminals in West Africa spanned </w:t>
      </w:r>
      <w:r w:rsidR="000E2677" w:rsidRPr="004B2A73">
        <w:rPr>
          <w:rFonts w:ascii="Calibri" w:hAnsi="Calibri"/>
          <w:b/>
          <w:sz w:val="24"/>
        </w:rPr>
        <w:t xml:space="preserve">the period </w:t>
      </w:r>
      <w:r w:rsidRPr="004B2A73">
        <w:rPr>
          <w:rFonts w:ascii="Calibri" w:hAnsi="Calibri"/>
          <w:b/>
          <w:sz w:val="24"/>
        </w:rPr>
        <w:t xml:space="preserve">2004 to 2010, and </w:t>
      </w:r>
      <w:r w:rsidR="00F10080" w:rsidRPr="004B2A73">
        <w:rPr>
          <w:rFonts w:ascii="Calibri" w:hAnsi="Calibri"/>
          <w:b/>
          <w:sz w:val="24"/>
        </w:rPr>
        <w:t xml:space="preserve">greatly </w:t>
      </w:r>
      <w:r w:rsidRPr="004B2A73">
        <w:rPr>
          <w:rFonts w:ascii="Calibri" w:hAnsi="Calibri"/>
          <w:b/>
          <w:sz w:val="24"/>
        </w:rPr>
        <w:t>modified the port landscape, with almost all container activity exclusively handled in specialized terminals.</w:t>
      </w:r>
      <w:r w:rsidRPr="004B2A73">
        <w:rPr>
          <w:rFonts w:ascii="Calibri" w:hAnsi="Calibri"/>
          <w:sz w:val="24"/>
        </w:rPr>
        <w:t xml:space="preserve"> However, this does not mean</w:t>
      </w:r>
      <w:r w:rsidR="00F10080" w:rsidRPr="004B2A73">
        <w:rPr>
          <w:rFonts w:ascii="Calibri" w:hAnsi="Calibri"/>
          <w:sz w:val="24"/>
        </w:rPr>
        <w:t xml:space="preserve"> </w:t>
      </w:r>
      <w:r w:rsidRPr="004B2A73">
        <w:rPr>
          <w:rFonts w:ascii="Calibri" w:hAnsi="Calibri"/>
          <w:sz w:val="24"/>
        </w:rPr>
        <w:t xml:space="preserve">there was a dramatic shift from public to private sector operations, as prior to the concessions, licensed private stevedores were </w:t>
      </w:r>
      <w:r w:rsidRPr="000A7291">
        <w:rPr>
          <w:rFonts w:ascii="Calibri" w:hAnsi="Calibri"/>
          <w:sz w:val="24"/>
          <w:szCs w:val="24"/>
        </w:rPr>
        <w:t>already</w:t>
      </w:r>
      <w:r w:rsidRPr="004B2A73">
        <w:rPr>
          <w:rFonts w:ascii="Calibri" w:hAnsi="Calibri"/>
          <w:sz w:val="24"/>
        </w:rPr>
        <w:t xml:space="preserve"> operating in most ports</w:t>
      </w:r>
      <w:r w:rsidR="00F10080" w:rsidRPr="004B2A73">
        <w:rPr>
          <w:rFonts w:ascii="Calibri" w:hAnsi="Calibri"/>
          <w:sz w:val="24"/>
        </w:rPr>
        <w:t>.  Rather, these changes represented</w:t>
      </w:r>
      <w:r w:rsidRPr="004B2A73">
        <w:rPr>
          <w:rFonts w:ascii="Calibri" w:hAnsi="Calibri"/>
          <w:sz w:val="24"/>
        </w:rPr>
        <w:t xml:space="preserve"> a rationalization of the container operations with the creation of dedicated container terminals. Indeed, the transformation of public ports into tool ports or landlord ports had started much earlier, and at the time the concessions were launched, most port authorities had already withdrawn from container handling.</w:t>
      </w:r>
    </w:p>
    <w:p w14:paraId="3E622EB5" w14:textId="77777777" w:rsidR="009C6E8E" w:rsidRPr="004B2A73" w:rsidRDefault="009C6E8E" w:rsidP="009C6E8E">
      <w:pPr>
        <w:pStyle w:val="ListParagraph"/>
        <w:spacing w:after="0"/>
        <w:ind w:left="0"/>
        <w:rPr>
          <w:rFonts w:ascii="Calibri" w:hAnsi="Calibri"/>
          <w:sz w:val="24"/>
        </w:rPr>
      </w:pPr>
    </w:p>
    <w:p w14:paraId="57A69BBC" w14:textId="68FF529F" w:rsidR="00F92E55" w:rsidRPr="004B2A73" w:rsidRDefault="00F92E55" w:rsidP="00E826B9">
      <w:pPr>
        <w:pStyle w:val="ListParagraph"/>
        <w:numPr>
          <w:ilvl w:val="0"/>
          <w:numId w:val="6"/>
        </w:numPr>
        <w:spacing w:after="0"/>
        <w:ind w:left="0" w:firstLine="0"/>
        <w:jc w:val="both"/>
        <w:rPr>
          <w:rFonts w:ascii="Calibri" w:hAnsi="Calibri"/>
          <w:bCs/>
          <w:sz w:val="24"/>
        </w:rPr>
      </w:pPr>
      <w:r w:rsidRPr="003648E6">
        <w:rPr>
          <w:rFonts w:ascii="Calibri" w:hAnsi="Calibri"/>
          <w:b/>
          <w:sz w:val="24"/>
        </w:rPr>
        <w:t>International firms with historical ties to the West African port industry, and in some cases holding stevedoring licenses, were in an advantageous position when the concessions were announced.</w:t>
      </w:r>
      <w:r w:rsidRPr="004B2A73">
        <w:rPr>
          <w:rFonts w:ascii="Calibri" w:hAnsi="Calibri"/>
          <w:b/>
          <w:sz w:val="24"/>
        </w:rPr>
        <w:t xml:space="preserve"> </w:t>
      </w:r>
      <w:r w:rsidR="009A18DA">
        <w:rPr>
          <w:rFonts w:ascii="Calibri" w:hAnsi="Calibri"/>
          <w:bCs/>
          <w:sz w:val="24"/>
        </w:rPr>
        <w:t>Seven (out of 17)</w:t>
      </w:r>
      <w:r w:rsidR="003648E6" w:rsidRPr="004B2A73">
        <w:rPr>
          <w:rFonts w:ascii="Calibri" w:hAnsi="Calibri"/>
          <w:bCs/>
          <w:sz w:val="24"/>
        </w:rPr>
        <w:t xml:space="preserve"> </w:t>
      </w:r>
      <w:r w:rsidRPr="004B2A73">
        <w:rPr>
          <w:rFonts w:ascii="Calibri" w:hAnsi="Calibri"/>
          <w:bCs/>
          <w:sz w:val="24"/>
        </w:rPr>
        <w:t xml:space="preserve">of the concessions were granted on a negotiated basis, </w:t>
      </w:r>
      <w:r w:rsidR="0064574A">
        <w:rPr>
          <w:rFonts w:ascii="Calibri" w:hAnsi="Calibri"/>
          <w:bCs/>
          <w:sz w:val="24"/>
        </w:rPr>
        <w:t xml:space="preserve">and two more were ultimately negotiated after a competitive tender failed, </w:t>
      </w:r>
      <w:r w:rsidR="009A18DA">
        <w:rPr>
          <w:rFonts w:ascii="Calibri" w:hAnsi="Calibri"/>
          <w:bCs/>
          <w:sz w:val="24"/>
        </w:rPr>
        <w:t xml:space="preserve">while the others </w:t>
      </w:r>
      <w:r w:rsidR="003648E6">
        <w:rPr>
          <w:rFonts w:ascii="Calibri" w:hAnsi="Calibri"/>
          <w:bCs/>
          <w:sz w:val="24"/>
        </w:rPr>
        <w:t xml:space="preserve">were </w:t>
      </w:r>
      <w:r w:rsidRPr="004B2A73">
        <w:rPr>
          <w:rFonts w:ascii="Calibri" w:hAnsi="Calibri"/>
          <w:bCs/>
          <w:sz w:val="24"/>
        </w:rPr>
        <w:t>on a competitive basis</w:t>
      </w:r>
      <w:r w:rsidR="003648E6">
        <w:rPr>
          <w:rFonts w:ascii="Calibri" w:hAnsi="Calibri"/>
          <w:bCs/>
          <w:sz w:val="24"/>
        </w:rPr>
        <w:t xml:space="preserve"> (see table 4 below)</w:t>
      </w:r>
      <w:r w:rsidRPr="004B2A73">
        <w:rPr>
          <w:rFonts w:ascii="Calibri" w:hAnsi="Calibri"/>
          <w:bCs/>
          <w:sz w:val="24"/>
        </w:rPr>
        <w:t>. The experience of the comprehensive port reform in Nigeria for all types of terminals (container, liquid bulk, dry bulk, general cargo) was similar, again with about half of the concessions negotiated</w:t>
      </w:r>
      <w:r w:rsidRPr="00B231A7">
        <w:rPr>
          <w:rFonts w:ascii="Calibri" w:hAnsi="Calibri"/>
          <w:bCs/>
          <w:vertAlign w:val="superscript"/>
        </w:rPr>
        <w:footnoteReference w:id="28"/>
      </w:r>
      <w:r w:rsidRPr="004B2A73">
        <w:rPr>
          <w:rFonts w:ascii="Calibri" w:hAnsi="Calibri"/>
          <w:bCs/>
          <w:sz w:val="24"/>
        </w:rPr>
        <w:t xml:space="preserve">. Operators </w:t>
      </w:r>
      <w:r w:rsidRPr="000A7291">
        <w:rPr>
          <w:rFonts w:ascii="Calibri" w:hAnsi="Calibri"/>
          <w:sz w:val="24"/>
          <w:szCs w:val="24"/>
        </w:rPr>
        <w:t>already</w:t>
      </w:r>
      <w:r w:rsidRPr="004B2A73">
        <w:rPr>
          <w:rFonts w:ascii="Calibri" w:hAnsi="Calibri"/>
          <w:bCs/>
          <w:sz w:val="24"/>
        </w:rPr>
        <w:t xml:space="preserve"> present in the region as licensed stevedores tended to capture these concessions. For example, Maersk lines, of which APM Terminals is the terminal operating arm, had </w:t>
      </w:r>
      <w:r w:rsidR="000B78F9" w:rsidRPr="004B2A73">
        <w:rPr>
          <w:rFonts w:ascii="Calibri" w:hAnsi="Calibri"/>
          <w:bCs/>
          <w:sz w:val="24"/>
        </w:rPr>
        <w:t>(</w:t>
      </w:r>
      <w:r w:rsidRPr="004B2A73">
        <w:rPr>
          <w:rFonts w:ascii="Calibri" w:hAnsi="Calibri"/>
          <w:bCs/>
          <w:sz w:val="24"/>
        </w:rPr>
        <w:t>and still has</w:t>
      </w:r>
      <w:r w:rsidR="000B78F9" w:rsidRPr="004B2A73">
        <w:rPr>
          <w:rFonts w:ascii="Calibri" w:hAnsi="Calibri"/>
          <w:bCs/>
          <w:sz w:val="24"/>
        </w:rPr>
        <w:t>)</w:t>
      </w:r>
      <w:r w:rsidRPr="004B2A73">
        <w:rPr>
          <w:rFonts w:ascii="Calibri" w:hAnsi="Calibri"/>
          <w:bCs/>
          <w:sz w:val="24"/>
        </w:rPr>
        <w:t xml:space="preserve"> a significant market share of the West Africa liner shipping trade, and Delmas Shipping, which had traditionally been the main </w:t>
      </w:r>
      <w:r w:rsidRPr="004B2A73">
        <w:rPr>
          <w:rFonts w:ascii="Calibri" w:hAnsi="Calibri"/>
          <w:bCs/>
          <w:sz w:val="24"/>
        </w:rPr>
        <w:lastRenderedPageBreak/>
        <w:t xml:space="preserve">shipping line serving West Africa, was still at that time part of the </w:t>
      </w:r>
      <w:r w:rsidR="003345CA">
        <w:rPr>
          <w:rFonts w:ascii="Calibri" w:hAnsi="Calibri"/>
          <w:bCs/>
          <w:sz w:val="24"/>
        </w:rPr>
        <w:t>Bolloré</w:t>
      </w:r>
      <w:r w:rsidRPr="004B2A73">
        <w:rPr>
          <w:rFonts w:ascii="Calibri" w:hAnsi="Calibri"/>
          <w:bCs/>
          <w:sz w:val="24"/>
        </w:rPr>
        <w:t xml:space="preserve"> Group, until its sale to CMA-CGM in 2005. MSC, the third major shipping line serving the West Africa trades, was </w:t>
      </w:r>
      <w:r w:rsidR="0064574A">
        <w:rPr>
          <w:rFonts w:ascii="Calibri" w:hAnsi="Calibri"/>
          <w:bCs/>
          <w:sz w:val="24"/>
        </w:rPr>
        <w:t xml:space="preserve">at the time of the first wave </w:t>
      </w:r>
      <w:r w:rsidRPr="004B2A73">
        <w:rPr>
          <w:rFonts w:ascii="Calibri" w:hAnsi="Calibri"/>
          <w:bCs/>
          <w:sz w:val="24"/>
        </w:rPr>
        <w:t xml:space="preserve">focusing its terminal operating activities on the main East-West trade lane ports.  </w:t>
      </w:r>
    </w:p>
    <w:p w14:paraId="2DB16E2A" w14:textId="77777777" w:rsidR="009C6E8E" w:rsidRPr="004B2A73" w:rsidRDefault="009C6E8E" w:rsidP="009C6E8E">
      <w:pPr>
        <w:pStyle w:val="ListParagraph"/>
        <w:spacing w:after="0"/>
        <w:ind w:left="0"/>
        <w:rPr>
          <w:rFonts w:ascii="Calibri" w:hAnsi="Calibri"/>
          <w:sz w:val="24"/>
        </w:rPr>
      </w:pPr>
    </w:p>
    <w:p w14:paraId="0ADC0632" w14:textId="7D289AA4" w:rsidR="00E72391" w:rsidRPr="004B2A73" w:rsidRDefault="0045649C" w:rsidP="00E826B9">
      <w:pPr>
        <w:pStyle w:val="ListParagraph"/>
        <w:numPr>
          <w:ilvl w:val="0"/>
          <w:numId w:val="6"/>
        </w:numPr>
        <w:spacing w:after="0"/>
        <w:ind w:left="0" w:firstLine="0"/>
        <w:jc w:val="both"/>
        <w:rPr>
          <w:rFonts w:ascii="Calibri" w:hAnsi="Calibri"/>
        </w:rPr>
      </w:pPr>
      <w:r w:rsidRPr="004B2A73">
        <w:rPr>
          <w:rFonts w:ascii="Calibri" w:hAnsi="Calibri"/>
          <w:b/>
          <w:sz w:val="24"/>
        </w:rPr>
        <w:t xml:space="preserve">The two dominant terminal operators in West Africa, APMT and BAL, </w:t>
      </w:r>
      <w:r w:rsidR="00A81469" w:rsidRPr="004B2A73">
        <w:rPr>
          <w:rFonts w:ascii="Calibri" w:hAnsi="Calibri"/>
          <w:b/>
          <w:sz w:val="24"/>
        </w:rPr>
        <w:t>are</w:t>
      </w:r>
      <w:r w:rsidR="00775FF9" w:rsidRPr="004B2A73">
        <w:rPr>
          <w:rFonts w:ascii="Calibri" w:hAnsi="Calibri"/>
          <w:b/>
          <w:sz w:val="24"/>
        </w:rPr>
        <w:t xml:space="preserve"> simultaneously</w:t>
      </w:r>
      <w:r w:rsidR="00F10291" w:rsidRPr="004B2A73">
        <w:rPr>
          <w:rFonts w:ascii="Calibri" w:hAnsi="Calibri"/>
          <w:b/>
          <w:sz w:val="24"/>
        </w:rPr>
        <w:t xml:space="preserve"> </w:t>
      </w:r>
      <w:r w:rsidR="00A81469" w:rsidRPr="004B2A73">
        <w:rPr>
          <w:rFonts w:ascii="Calibri" w:hAnsi="Calibri"/>
          <w:b/>
          <w:sz w:val="24"/>
        </w:rPr>
        <w:t>co</w:t>
      </w:r>
      <w:r w:rsidR="00F10291" w:rsidRPr="004B2A73">
        <w:rPr>
          <w:rFonts w:ascii="Calibri" w:hAnsi="Calibri"/>
          <w:b/>
          <w:sz w:val="24"/>
        </w:rPr>
        <w:t>operating and competing with each other</w:t>
      </w:r>
      <w:r w:rsidR="00444A78" w:rsidRPr="004B2A73">
        <w:rPr>
          <w:rFonts w:ascii="Calibri" w:hAnsi="Calibri"/>
          <w:b/>
          <w:sz w:val="24"/>
        </w:rPr>
        <w:t xml:space="preserve"> for </w:t>
      </w:r>
      <w:r w:rsidR="000B78F9" w:rsidRPr="004B2A73">
        <w:rPr>
          <w:rFonts w:ascii="Calibri" w:hAnsi="Calibri"/>
          <w:b/>
          <w:sz w:val="24"/>
        </w:rPr>
        <w:t>container terminal</w:t>
      </w:r>
      <w:r w:rsidR="00444A78" w:rsidRPr="004B2A73">
        <w:rPr>
          <w:rFonts w:ascii="Calibri" w:hAnsi="Calibri"/>
          <w:b/>
          <w:sz w:val="24"/>
        </w:rPr>
        <w:t xml:space="preserve"> concessions</w:t>
      </w:r>
      <w:r w:rsidR="00A81469" w:rsidRPr="004B2A73">
        <w:rPr>
          <w:rFonts w:ascii="Calibri" w:hAnsi="Calibri"/>
          <w:b/>
          <w:sz w:val="24"/>
        </w:rPr>
        <w:t xml:space="preserve"> in West Africa</w:t>
      </w:r>
      <w:r w:rsidR="00F10291" w:rsidRPr="004B2A73">
        <w:rPr>
          <w:rFonts w:ascii="Calibri" w:hAnsi="Calibri"/>
          <w:b/>
          <w:sz w:val="24"/>
        </w:rPr>
        <w:t xml:space="preserve">. </w:t>
      </w:r>
      <w:r w:rsidR="00F10291" w:rsidRPr="004B2A73">
        <w:rPr>
          <w:rFonts w:ascii="Calibri" w:hAnsi="Calibri"/>
          <w:sz w:val="24"/>
        </w:rPr>
        <w:t xml:space="preserve">There are </w:t>
      </w:r>
      <w:r w:rsidRPr="004B2A73">
        <w:rPr>
          <w:rFonts w:ascii="Calibri" w:hAnsi="Calibri"/>
          <w:sz w:val="24"/>
        </w:rPr>
        <w:t xml:space="preserve">numerous </w:t>
      </w:r>
      <w:r w:rsidR="00444A78" w:rsidRPr="004B2A73">
        <w:rPr>
          <w:rFonts w:ascii="Calibri" w:hAnsi="Calibri"/>
          <w:sz w:val="24"/>
        </w:rPr>
        <w:t xml:space="preserve">cases where the two firms </w:t>
      </w:r>
      <w:r w:rsidR="00FA7758" w:rsidRPr="004B2A73">
        <w:rPr>
          <w:rFonts w:ascii="Calibri" w:hAnsi="Calibri"/>
          <w:sz w:val="24"/>
        </w:rPr>
        <w:t>operate terminal concessions in a</w:t>
      </w:r>
      <w:r w:rsidR="00680C46" w:rsidRPr="004B2A73">
        <w:rPr>
          <w:rFonts w:ascii="Calibri" w:hAnsi="Calibri"/>
          <w:sz w:val="24"/>
        </w:rPr>
        <w:t xml:space="preserve"> j</w:t>
      </w:r>
      <w:r w:rsidRPr="004B2A73">
        <w:rPr>
          <w:rFonts w:ascii="Calibri" w:hAnsi="Calibri"/>
          <w:sz w:val="24"/>
        </w:rPr>
        <w:t>oint</w:t>
      </w:r>
      <w:r w:rsidR="006B11D0" w:rsidRPr="004B2A73">
        <w:rPr>
          <w:rFonts w:ascii="Calibri" w:hAnsi="Calibri"/>
          <w:sz w:val="24"/>
        </w:rPr>
        <w:t xml:space="preserve"> </w:t>
      </w:r>
      <w:r w:rsidRPr="004B2A73">
        <w:rPr>
          <w:rFonts w:ascii="Calibri" w:hAnsi="Calibri"/>
          <w:sz w:val="24"/>
        </w:rPr>
        <w:t>venture</w:t>
      </w:r>
      <w:r w:rsidR="00FA7758" w:rsidRPr="004B2A73">
        <w:rPr>
          <w:rFonts w:ascii="Calibri" w:hAnsi="Calibri"/>
          <w:sz w:val="24"/>
        </w:rPr>
        <w:t xml:space="preserve"> partnership</w:t>
      </w:r>
      <w:r w:rsidRPr="004B2A73">
        <w:rPr>
          <w:rFonts w:ascii="Calibri" w:hAnsi="Calibri"/>
          <w:sz w:val="24"/>
        </w:rPr>
        <w:t xml:space="preserve">: Abidjan (both the current and the planned terminals) and Tema in West Africa, but also </w:t>
      </w:r>
      <w:r w:rsidRPr="000A7291">
        <w:rPr>
          <w:rFonts w:ascii="Calibri" w:hAnsi="Calibri"/>
          <w:sz w:val="24"/>
          <w:szCs w:val="24"/>
        </w:rPr>
        <w:t>Douala</w:t>
      </w:r>
      <w:r w:rsidRPr="004B2A73">
        <w:rPr>
          <w:rFonts w:ascii="Calibri" w:hAnsi="Calibri"/>
          <w:sz w:val="24"/>
        </w:rPr>
        <w:t xml:space="preserve"> and Pointe-Noire in Central Africa. In practice, over 80</w:t>
      </w:r>
      <w:r w:rsidR="007674A0" w:rsidRPr="004B2A73">
        <w:rPr>
          <w:rFonts w:ascii="Calibri" w:hAnsi="Calibri"/>
          <w:sz w:val="24"/>
        </w:rPr>
        <w:t xml:space="preserve"> percent</w:t>
      </w:r>
      <w:r w:rsidRPr="004B2A73">
        <w:rPr>
          <w:rFonts w:ascii="Calibri" w:hAnsi="Calibri"/>
          <w:sz w:val="24"/>
        </w:rPr>
        <w:t xml:space="preserve"> of the current terminal capacity in West Africa is controlled by the two, as illustrated in </w:t>
      </w:r>
      <w:r w:rsidR="007674A0" w:rsidRPr="004B2A73">
        <w:rPr>
          <w:rFonts w:ascii="Calibri" w:hAnsi="Calibri"/>
          <w:sz w:val="24"/>
        </w:rPr>
        <w:t>Figure</w:t>
      </w:r>
      <w:r w:rsidR="007674A0" w:rsidRPr="004B2A73" w:rsidDel="007674A0">
        <w:rPr>
          <w:rFonts w:ascii="Calibri" w:hAnsi="Calibri"/>
          <w:sz w:val="24"/>
        </w:rPr>
        <w:t xml:space="preserve"> </w:t>
      </w:r>
      <w:bookmarkStart w:id="45" w:name="_Ref431812675"/>
      <w:r w:rsidR="00A72A89">
        <w:rPr>
          <w:rFonts w:ascii="Calibri" w:hAnsi="Calibri"/>
          <w:sz w:val="24"/>
        </w:rPr>
        <w:t>9</w:t>
      </w:r>
      <w:r w:rsidR="00E72391" w:rsidRPr="004B2A73">
        <w:rPr>
          <w:rFonts w:ascii="Calibri" w:hAnsi="Calibri"/>
          <w:sz w:val="24"/>
        </w:rPr>
        <w:t>.</w:t>
      </w:r>
      <w:r w:rsidR="007D74FE" w:rsidRPr="004B2A73">
        <w:rPr>
          <w:rFonts w:ascii="Calibri" w:hAnsi="Calibri"/>
          <w:sz w:val="24"/>
        </w:rPr>
        <w:t xml:space="preserve"> The sub-regional influence of these firms is even greater if we consider non-CT facilities operated by them.  </w:t>
      </w:r>
      <w:r w:rsidR="00615AD0" w:rsidRPr="004B2A73">
        <w:rPr>
          <w:rFonts w:ascii="Calibri" w:hAnsi="Calibri"/>
          <w:sz w:val="24"/>
        </w:rPr>
        <w:t xml:space="preserve">For instance, BAL </w:t>
      </w:r>
      <w:r w:rsidR="00864E00" w:rsidRPr="004B2A73">
        <w:rPr>
          <w:rFonts w:ascii="Calibri" w:hAnsi="Calibri"/>
          <w:sz w:val="24"/>
        </w:rPr>
        <w:t xml:space="preserve">manages </w:t>
      </w:r>
      <w:r w:rsidR="00615AD0" w:rsidRPr="004B2A73">
        <w:rPr>
          <w:rFonts w:ascii="Calibri" w:hAnsi="Calibri"/>
          <w:sz w:val="24"/>
        </w:rPr>
        <w:t>the RORO terminal in Dakar, dry ports in Burkina Faso and Chad, and the river port of Bangui (CAR), whereas APM Terminal</w:t>
      </w:r>
      <w:r w:rsidR="00864E00" w:rsidRPr="004B2A73">
        <w:rPr>
          <w:rFonts w:ascii="Calibri" w:hAnsi="Calibri"/>
          <w:sz w:val="24"/>
        </w:rPr>
        <w:t>s</w:t>
      </w:r>
      <w:r w:rsidR="00615AD0" w:rsidRPr="004B2A73">
        <w:rPr>
          <w:rFonts w:ascii="Calibri" w:hAnsi="Calibri"/>
          <w:sz w:val="24"/>
        </w:rPr>
        <w:t xml:space="preserve"> is </w:t>
      </w:r>
      <w:r w:rsidR="00864E00" w:rsidRPr="004B2A73">
        <w:rPr>
          <w:rFonts w:ascii="Calibri" w:hAnsi="Calibri"/>
          <w:sz w:val="24"/>
        </w:rPr>
        <w:t>handling</w:t>
      </w:r>
      <w:r w:rsidR="00615AD0" w:rsidRPr="004B2A73">
        <w:rPr>
          <w:rFonts w:ascii="Calibri" w:hAnsi="Calibri"/>
          <w:sz w:val="24"/>
        </w:rPr>
        <w:t xml:space="preserve"> containers in Cotonou (Benin) but on public general cargo berths. The collaborative situation between APMT and BAL is also mirrored, to a large extent, in the multiple partnerships </w:t>
      </w:r>
      <w:r w:rsidR="00A13E1D" w:rsidRPr="004B2A73">
        <w:rPr>
          <w:rFonts w:ascii="Calibri" w:hAnsi="Calibri"/>
          <w:sz w:val="24"/>
        </w:rPr>
        <w:t>in other</w:t>
      </w:r>
      <w:r w:rsidR="00615AD0" w:rsidRPr="004B2A73">
        <w:rPr>
          <w:rFonts w:ascii="Calibri" w:hAnsi="Calibri"/>
          <w:sz w:val="24"/>
        </w:rPr>
        <w:t xml:space="preserve"> terminal concessions: China Shipping is a partner of </w:t>
      </w:r>
      <w:r w:rsidR="003345CA">
        <w:rPr>
          <w:rFonts w:ascii="Calibri" w:hAnsi="Calibri"/>
          <w:sz w:val="24"/>
        </w:rPr>
        <w:t>Bolloré</w:t>
      </w:r>
      <w:r w:rsidR="00615AD0" w:rsidRPr="004B2A73">
        <w:rPr>
          <w:rFonts w:ascii="Calibri" w:hAnsi="Calibri"/>
          <w:sz w:val="24"/>
        </w:rPr>
        <w:t xml:space="preserve"> Africa Logistics in Lagos Tin Can Island, but of TIL in </w:t>
      </w:r>
      <w:r w:rsidR="00C922CA">
        <w:rPr>
          <w:rFonts w:ascii="Calibri" w:hAnsi="Calibri"/>
          <w:sz w:val="24"/>
        </w:rPr>
        <w:t>Lomé</w:t>
      </w:r>
      <w:r w:rsidR="00615AD0" w:rsidRPr="004B2A73">
        <w:rPr>
          <w:rFonts w:ascii="Calibri" w:hAnsi="Calibri"/>
          <w:sz w:val="24"/>
        </w:rPr>
        <w:t>; TIL / MSC is a partner of APM Terminals in Badagry; and CMA-CGM is a partner of ICTSI in Lekki.</w:t>
      </w:r>
    </w:p>
    <w:p w14:paraId="35E663D6" w14:textId="77777777" w:rsidR="00E72391" w:rsidRPr="004B2A73" w:rsidRDefault="00E72391" w:rsidP="00446589">
      <w:pPr>
        <w:pStyle w:val="ListParagraph"/>
        <w:rPr>
          <w:rFonts w:ascii="Calibri" w:hAnsi="Calibri"/>
        </w:rPr>
      </w:pPr>
    </w:p>
    <w:p w14:paraId="6290E102" w14:textId="5E4B1962" w:rsidR="00E72391" w:rsidRPr="004B2A73" w:rsidRDefault="003C7E7B" w:rsidP="00AF33A5">
      <w:pPr>
        <w:pStyle w:val="Caption"/>
        <w:rPr>
          <w:rFonts w:ascii="Calibri" w:hAnsi="Calibri"/>
        </w:rPr>
      </w:pPr>
      <w:bookmarkStart w:id="46" w:name="_Toc485381915"/>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4</w:t>
      </w:r>
      <w:r w:rsidR="00811885" w:rsidRPr="004B2A73">
        <w:rPr>
          <w:rFonts w:ascii="Calibri" w:hAnsi="Calibri"/>
          <w:noProof/>
        </w:rPr>
        <w:fldChar w:fldCharType="end"/>
      </w:r>
      <w:r w:rsidRPr="004B2A73">
        <w:rPr>
          <w:rFonts w:ascii="Calibri" w:hAnsi="Calibri"/>
        </w:rPr>
        <w:t>: Container Terminal Concessions</w:t>
      </w:r>
      <w:bookmarkEnd w:id="45"/>
      <w:bookmarkEnd w:id="46"/>
    </w:p>
    <w:tbl>
      <w:tblPr>
        <w:tblStyle w:val="ListTable3-Accent31"/>
        <w:tblW w:w="10255" w:type="dxa"/>
        <w:tblLayout w:type="fixed"/>
        <w:tblLook w:val="04A0" w:firstRow="1" w:lastRow="0" w:firstColumn="1" w:lastColumn="0" w:noHBand="0" w:noVBand="1"/>
      </w:tblPr>
      <w:tblGrid>
        <w:gridCol w:w="1134"/>
        <w:gridCol w:w="1021"/>
        <w:gridCol w:w="1260"/>
        <w:gridCol w:w="2880"/>
        <w:gridCol w:w="1530"/>
        <w:gridCol w:w="1350"/>
        <w:gridCol w:w="1080"/>
      </w:tblGrid>
      <w:tr w:rsidR="0045649C" w:rsidRPr="004B2A73" w14:paraId="70642CAC" w14:textId="77777777" w:rsidTr="00BB5E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34" w:type="dxa"/>
            <w:noWrap/>
            <w:vAlign w:val="center"/>
            <w:hideMark/>
          </w:tcPr>
          <w:p w14:paraId="6B14E284" w14:textId="77777777" w:rsidR="0045649C" w:rsidRPr="004B2A73" w:rsidRDefault="0045649C" w:rsidP="00BB5E46">
            <w:pPr>
              <w:jc w:val="center"/>
              <w:rPr>
                <w:rFonts w:ascii="Calibri" w:hAnsi="Calibri"/>
              </w:rPr>
            </w:pPr>
            <w:r w:rsidRPr="004B2A73">
              <w:rPr>
                <w:rFonts w:ascii="Calibri" w:hAnsi="Calibri"/>
              </w:rPr>
              <w:t>Port</w:t>
            </w:r>
          </w:p>
        </w:tc>
        <w:tc>
          <w:tcPr>
            <w:tcW w:w="1021" w:type="dxa"/>
            <w:noWrap/>
            <w:vAlign w:val="center"/>
            <w:hideMark/>
          </w:tcPr>
          <w:p w14:paraId="1B42C529" w14:textId="77777777" w:rsidR="0045649C" w:rsidRPr="004B2A73" w:rsidRDefault="0045649C" w:rsidP="00BB5E4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Country</w:t>
            </w:r>
          </w:p>
        </w:tc>
        <w:tc>
          <w:tcPr>
            <w:tcW w:w="1260" w:type="dxa"/>
            <w:noWrap/>
            <w:vAlign w:val="center"/>
            <w:hideMark/>
          </w:tcPr>
          <w:p w14:paraId="6B927C40" w14:textId="77777777" w:rsidR="0045649C" w:rsidRPr="004B2A73" w:rsidRDefault="0045649C" w:rsidP="00BB5E4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Operator</w:t>
            </w:r>
          </w:p>
        </w:tc>
        <w:tc>
          <w:tcPr>
            <w:tcW w:w="2880" w:type="dxa"/>
            <w:noWrap/>
            <w:vAlign w:val="center"/>
            <w:hideMark/>
          </w:tcPr>
          <w:p w14:paraId="6DB59297" w14:textId="77777777" w:rsidR="0045649C" w:rsidRPr="004B2A73" w:rsidRDefault="0045649C" w:rsidP="00BB5E4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Participation</w:t>
            </w:r>
          </w:p>
        </w:tc>
        <w:tc>
          <w:tcPr>
            <w:tcW w:w="1530" w:type="dxa"/>
            <w:noWrap/>
            <w:vAlign w:val="center"/>
            <w:hideMark/>
          </w:tcPr>
          <w:p w14:paraId="69C5A80F" w14:textId="77777777" w:rsidR="0045649C" w:rsidRPr="004B2A73" w:rsidRDefault="0045649C" w:rsidP="00BB5E4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Date of signature</w:t>
            </w:r>
          </w:p>
        </w:tc>
        <w:tc>
          <w:tcPr>
            <w:tcW w:w="1350" w:type="dxa"/>
            <w:noWrap/>
            <w:vAlign w:val="center"/>
            <w:hideMark/>
          </w:tcPr>
          <w:p w14:paraId="5ECD355E" w14:textId="77777777" w:rsidR="0045649C" w:rsidRPr="004B2A73" w:rsidRDefault="0045649C" w:rsidP="00BB5E4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Type</w:t>
            </w:r>
          </w:p>
        </w:tc>
        <w:tc>
          <w:tcPr>
            <w:tcW w:w="1080" w:type="dxa"/>
            <w:noWrap/>
            <w:vAlign w:val="center"/>
            <w:hideMark/>
          </w:tcPr>
          <w:p w14:paraId="018542E6" w14:textId="77777777" w:rsidR="0045649C" w:rsidRPr="004B2A73" w:rsidRDefault="0045649C" w:rsidP="00BB5E4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Duration</w:t>
            </w:r>
          </w:p>
        </w:tc>
      </w:tr>
      <w:tr w:rsidR="0045649C" w:rsidRPr="004B2A73" w14:paraId="36DE0591"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E12A863" w14:textId="77777777" w:rsidR="0045649C" w:rsidRPr="004B2A73" w:rsidRDefault="0045649C" w:rsidP="006C3F77">
            <w:pPr>
              <w:rPr>
                <w:rFonts w:ascii="Calibri" w:hAnsi="Calibri"/>
                <w:sz w:val="20"/>
                <w:szCs w:val="20"/>
              </w:rPr>
            </w:pPr>
            <w:r w:rsidRPr="004B2A73">
              <w:rPr>
                <w:rFonts w:ascii="Calibri" w:hAnsi="Calibri"/>
                <w:sz w:val="20"/>
                <w:szCs w:val="20"/>
              </w:rPr>
              <w:t>Abidjan</w:t>
            </w:r>
          </w:p>
        </w:tc>
        <w:tc>
          <w:tcPr>
            <w:tcW w:w="1021" w:type="dxa"/>
            <w:noWrap/>
            <w:hideMark/>
          </w:tcPr>
          <w:p w14:paraId="3CD2C48B"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Cote d'Ivoire</w:t>
            </w:r>
          </w:p>
        </w:tc>
        <w:tc>
          <w:tcPr>
            <w:tcW w:w="1260" w:type="dxa"/>
            <w:noWrap/>
            <w:hideMark/>
          </w:tcPr>
          <w:p w14:paraId="7CCAD585"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SETV</w:t>
            </w:r>
          </w:p>
        </w:tc>
        <w:tc>
          <w:tcPr>
            <w:tcW w:w="2880" w:type="dxa"/>
            <w:noWrap/>
            <w:hideMark/>
          </w:tcPr>
          <w:p w14:paraId="0C6E4508" w14:textId="5F1D5A91" w:rsidR="0045649C" w:rsidRPr="004B2A73" w:rsidRDefault="003345CA"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 then APMT acquired 40%</w:t>
            </w:r>
          </w:p>
        </w:tc>
        <w:tc>
          <w:tcPr>
            <w:tcW w:w="1530" w:type="dxa"/>
            <w:noWrap/>
            <w:hideMark/>
          </w:tcPr>
          <w:p w14:paraId="7D5B052A"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October 2003</w:t>
            </w:r>
          </w:p>
        </w:tc>
        <w:tc>
          <w:tcPr>
            <w:tcW w:w="1350" w:type="dxa"/>
            <w:noWrap/>
            <w:hideMark/>
          </w:tcPr>
          <w:p w14:paraId="27E2247B" w14:textId="0A6D7ADC" w:rsidR="0045649C" w:rsidRPr="004B2A73" w:rsidRDefault="003648E6" w:rsidP="009A18DA">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Competitive then n</w:t>
            </w:r>
            <w:r w:rsidRPr="004B2A73">
              <w:rPr>
                <w:rFonts w:ascii="Calibri" w:hAnsi="Calibri"/>
                <w:sz w:val="20"/>
                <w:szCs w:val="20"/>
              </w:rPr>
              <w:t xml:space="preserve">egotiated </w:t>
            </w:r>
          </w:p>
        </w:tc>
        <w:tc>
          <w:tcPr>
            <w:tcW w:w="1080" w:type="dxa"/>
            <w:noWrap/>
            <w:hideMark/>
          </w:tcPr>
          <w:p w14:paraId="299E3EDA"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15, then 25</w:t>
            </w:r>
          </w:p>
        </w:tc>
      </w:tr>
      <w:tr w:rsidR="0045649C" w:rsidRPr="004B2A73" w14:paraId="4A3B6640" w14:textId="77777777" w:rsidTr="00E70029">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E885361" w14:textId="77777777" w:rsidR="0045649C" w:rsidRPr="004B2A73" w:rsidRDefault="0045649C" w:rsidP="006C3F77">
            <w:pPr>
              <w:rPr>
                <w:rFonts w:ascii="Calibri" w:hAnsi="Calibri"/>
                <w:sz w:val="20"/>
                <w:szCs w:val="20"/>
              </w:rPr>
            </w:pPr>
            <w:r w:rsidRPr="004B2A73">
              <w:rPr>
                <w:rFonts w:ascii="Calibri" w:hAnsi="Calibri"/>
                <w:sz w:val="20"/>
                <w:szCs w:val="20"/>
              </w:rPr>
              <w:t>Tema</w:t>
            </w:r>
          </w:p>
        </w:tc>
        <w:tc>
          <w:tcPr>
            <w:tcW w:w="1021" w:type="dxa"/>
            <w:noWrap/>
            <w:hideMark/>
          </w:tcPr>
          <w:p w14:paraId="4EF3A9EC"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Ghana</w:t>
            </w:r>
          </w:p>
        </w:tc>
        <w:tc>
          <w:tcPr>
            <w:tcW w:w="1260" w:type="dxa"/>
            <w:noWrap/>
            <w:hideMark/>
          </w:tcPr>
          <w:p w14:paraId="74CA9BF9"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MPS</w:t>
            </w:r>
          </w:p>
        </w:tc>
        <w:tc>
          <w:tcPr>
            <w:tcW w:w="2880" w:type="dxa"/>
            <w:noWrap/>
            <w:hideMark/>
          </w:tcPr>
          <w:p w14:paraId="1BCE861D" w14:textId="1CDA7171" w:rsidR="0045649C" w:rsidRPr="004B2A73" w:rsidRDefault="003345CA"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 (35%), APMT (35%), GPHA (30%)</w:t>
            </w:r>
          </w:p>
        </w:tc>
        <w:tc>
          <w:tcPr>
            <w:tcW w:w="1530" w:type="dxa"/>
            <w:noWrap/>
            <w:hideMark/>
          </w:tcPr>
          <w:p w14:paraId="5CFBB451"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August 2004</w:t>
            </w:r>
          </w:p>
        </w:tc>
        <w:tc>
          <w:tcPr>
            <w:tcW w:w="1350" w:type="dxa"/>
            <w:noWrap/>
            <w:hideMark/>
          </w:tcPr>
          <w:p w14:paraId="3F416097"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Negotiated</w:t>
            </w:r>
          </w:p>
        </w:tc>
        <w:tc>
          <w:tcPr>
            <w:tcW w:w="1080" w:type="dxa"/>
            <w:noWrap/>
            <w:hideMark/>
          </w:tcPr>
          <w:p w14:paraId="4A23608A"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20</w:t>
            </w:r>
          </w:p>
        </w:tc>
      </w:tr>
      <w:tr w:rsidR="0045649C" w:rsidRPr="004B2A73" w14:paraId="4DDDC8EC"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3CE701A" w14:textId="77777777" w:rsidR="0045649C" w:rsidRPr="004B2A73" w:rsidRDefault="0045649C" w:rsidP="006C3F77">
            <w:pPr>
              <w:rPr>
                <w:rFonts w:ascii="Calibri" w:hAnsi="Calibri"/>
                <w:sz w:val="20"/>
                <w:szCs w:val="20"/>
              </w:rPr>
            </w:pPr>
            <w:r w:rsidRPr="004B2A73">
              <w:rPr>
                <w:rFonts w:ascii="Calibri" w:hAnsi="Calibri"/>
                <w:sz w:val="20"/>
                <w:szCs w:val="20"/>
              </w:rPr>
              <w:t>Lagos</w:t>
            </w:r>
          </w:p>
        </w:tc>
        <w:tc>
          <w:tcPr>
            <w:tcW w:w="1021" w:type="dxa"/>
            <w:noWrap/>
            <w:hideMark/>
          </w:tcPr>
          <w:p w14:paraId="01AF80E6"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Nigeria</w:t>
            </w:r>
          </w:p>
        </w:tc>
        <w:tc>
          <w:tcPr>
            <w:tcW w:w="1260" w:type="dxa"/>
            <w:noWrap/>
            <w:hideMark/>
          </w:tcPr>
          <w:p w14:paraId="44F096CD"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Lagos Apapa Container Terminal</w:t>
            </w:r>
          </w:p>
        </w:tc>
        <w:tc>
          <w:tcPr>
            <w:tcW w:w="2880" w:type="dxa"/>
            <w:noWrap/>
            <w:hideMark/>
          </w:tcPr>
          <w:p w14:paraId="5CD6067F"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APMT</w:t>
            </w:r>
          </w:p>
        </w:tc>
        <w:tc>
          <w:tcPr>
            <w:tcW w:w="1530" w:type="dxa"/>
            <w:noWrap/>
            <w:hideMark/>
          </w:tcPr>
          <w:p w14:paraId="19C426AF"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September 2005</w:t>
            </w:r>
          </w:p>
        </w:tc>
        <w:tc>
          <w:tcPr>
            <w:tcW w:w="1350" w:type="dxa"/>
            <w:noWrap/>
            <w:hideMark/>
          </w:tcPr>
          <w:p w14:paraId="150CB44F"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Competitive</w:t>
            </w:r>
          </w:p>
        </w:tc>
        <w:tc>
          <w:tcPr>
            <w:tcW w:w="1080" w:type="dxa"/>
            <w:noWrap/>
            <w:hideMark/>
          </w:tcPr>
          <w:p w14:paraId="236DFF09"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25</w:t>
            </w:r>
          </w:p>
        </w:tc>
      </w:tr>
      <w:tr w:rsidR="0045649C" w:rsidRPr="004B2A73" w14:paraId="27140F9E" w14:textId="77777777" w:rsidTr="00E70029">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071D89B" w14:textId="77777777" w:rsidR="0045649C" w:rsidRPr="004B2A73" w:rsidRDefault="0045649C" w:rsidP="006C3F77">
            <w:pPr>
              <w:rPr>
                <w:rFonts w:ascii="Calibri" w:hAnsi="Calibri"/>
                <w:sz w:val="20"/>
                <w:szCs w:val="20"/>
              </w:rPr>
            </w:pPr>
            <w:r w:rsidRPr="004B2A73">
              <w:rPr>
                <w:rFonts w:ascii="Calibri" w:hAnsi="Calibri"/>
                <w:sz w:val="20"/>
                <w:szCs w:val="20"/>
              </w:rPr>
              <w:t>Lagos</w:t>
            </w:r>
          </w:p>
        </w:tc>
        <w:tc>
          <w:tcPr>
            <w:tcW w:w="1021" w:type="dxa"/>
            <w:noWrap/>
            <w:hideMark/>
          </w:tcPr>
          <w:p w14:paraId="3A8F881A"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Nigeria</w:t>
            </w:r>
          </w:p>
        </w:tc>
        <w:tc>
          <w:tcPr>
            <w:tcW w:w="1260" w:type="dxa"/>
            <w:noWrap/>
            <w:hideMark/>
          </w:tcPr>
          <w:p w14:paraId="2F652676"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Lagos Tin Can Island TICT</w:t>
            </w:r>
          </w:p>
        </w:tc>
        <w:tc>
          <w:tcPr>
            <w:tcW w:w="2880" w:type="dxa"/>
            <w:noWrap/>
            <w:hideMark/>
          </w:tcPr>
          <w:p w14:paraId="56814E9D" w14:textId="16C10124" w:rsidR="0045649C" w:rsidRPr="004B2A73" w:rsidRDefault="003345CA"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 (47.5%), Zim (47.5%), then CMHI acquired Zim's share and local partners</w:t>
            </w:r>
          </w:p>
        </w:tc>
        <w:tc>
          <w:tcPr>
            <w:tcW w:w="1530" w:type="dxa"/>
            <w:noWrap/>
            <w:hideMark/>
          </w:tcPr>
          <w:p w14:paraId="39B1BD65"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September 2005</w:t>
            </w:r>
          </w:p>
        </w:tc>
        <w:tc>
          <w:tcPr>
            <w:tcW w:w="1350" w:type="dxa"/>
            <w:noWrap/>
            <w:hideMark/>
          </w:tcPr>
          <w:p w14:paraId="72BB95CB"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Competitive</w:t>
            </w:r>
          </w:p>
        </w:tc>
        <w:tc>
          <w:tcPr>
            <w:tcW w:w="1080" w:type="dxa"/>
            <w:noWrap/>
            <w:hideMark/>
          </w:tcPr>
          <w:p w14:paraId="216E7F3D"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15, then 20</w:t>
            </w:r>
          </w:p>
        </w:tc>
      </w:tr>
      <w:tr w:rsidR="0045649C" w:rsidRPr="004B2A73" w14:paraId="625B4454"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7A7ECAD" w14:textId="77777777" w:rsidR="0045649C" w:rsidRPr="004B2A73" w:rsidRDefault="0045649C" w:rsidP="006C3F77">
            <w:pPr>
              <w:rPr>
                <w:rFonts w:ascii="Calibri" w:hAnsi="Calibri"/>
                <w:sz w:val="20"/>
                <w:szCs w:val="20"/>
              </w:rPr>
            </w:pPr>
            <w:r w:rsidRPr="004B2A73">
              <w:rPr>
                <w:rFonts w:ascii="Calibri" w:hAnsi="Calibri"/>
                <w:sz w:val="20"/>
                <w:szCs w:val="20"/>
              </w:rPr>
              <w:t>Dakar</w:t>
            </w:r>
          </w:p>
        </w:tc>
        <w:tc>
          <w:tcPr>
            <w:tcW w:w="1021" w:type="dxa"/>
            <w:noWrap/>
            <w:hideMark/>
          </w:tcPr>
          <w:p w14:paraId="102F7F3E"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Senegal</w:t>
            </w:r>
          </w:p>
        </w:tc>
        <w:tc>
          <w:tcPr>
            <w:tcW w:w="1260" w:type="dxa"/>
            <w:noWrap/>
            <w:hideMark/>
          </w:tcPr>
          <w:p w14:paraId="09313190"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DP World</w:t>
            </w:r>
          </w:p>
        </w:tc>
        <w:tc>
          <w:tcPr>
            <w:tcW w:w="2880" w:type="dxa"/>
            <w:noWrap/>
            <w:hideMark/>
          </w:tcPr>
          <w:p w14:paraId="3F471217"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DP World</w:t>
            </w:r>
          </w:p>
        </w:tc>
        <w:tc>
          <w:tcPr>
            <w:tcW w:w="1530" w:type="dxa"/>
            <w:noWrap/>
            <w:hideMark/>
          </w:tcPr>
          <w:p w14:paraId="248DDFB6"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October 2007</w:t>
            </w:r>
          </w:p>
        </w:tc>
        <w:tc>
          <w:tcPr>
            <w:tcW w:w="1350" w:type="dxa"/>
            <w:noWrap/>
            <w:hideMark/>
          </w:tcPr>
          <w:p w14:paraId="71CC1D69"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Competitive</w:t>
            </w:r>
          </w:p>
        </w:tc>
        <w:tc>
          <w:tcPr>
            <w:tcW w:w="1080" w:type="dxa"/>
            <w:noWrap/>
            <w:hideMark/>
          </w:tcPr>
          <w:p w14:paraId="3E912C3F"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25</w:t>
            </w:r>
          </w:p>
        </w:tc>
      </w:tr>
      <w:tr w:rsidR="0045649C" w:rsidRPr="004B2A73" w14:paraId="3AB949A7" w14:textId="77777777" w:rsidTr="00E70029">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2592361" w14:textId="77777777" w:rsidR="0045649C" w:rsidRPr="004B2A73" w:rsidRDefault="0045649C" w:rsidP="006C3F77">
            <w:pPr>
              <w:rPr>
                <w:rFonts w:ascii="Calibri" w:hAnsi="Calibri"/>
                <w:sz w:val="20"/>
                <w:szCs w:val="20"/>
              </w:rPr>
            </w:pPr>
            <w:r w:rsidRPr="004B2A73">
              <w:rPr>
                <w:rFonts w:ascii="Calibri" w:hAnsi="Calibri"/>
                <w:sz w:val="20"/>
                <w:szCs w:val="20"/>
              </w:rPr>
              <w:t>Conakry</w:t>
            </w:r>
          </w:p>
        </w:tc>
        <w:tc>
          <w:tcPr>
            <w:tcW w:w="1021" w:type="dxa"/>
            <w:noWrap/>
            <w:hideMark/>
          </w:tcPr>
          <w:p w14:paraId="10AF2A6A"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Guinea</w:t>
            </w:r>
          </w:p>
        </w:tc>
        <w:tc>
          <w:tcPr>
            <w:tcW w:w="1260" w:type="dxa"/>
            <w:noWrap/>
            <w:hideMark/>
          </w:tcPr>
          <w:p w14:paraId="2AFAE6BF"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Guinea Terminal</w:t>
            </w:r>
          </w:p>
        </w:tc>
        <w:tc>
          <w:tcPr>
            <w:tcW w:w="2880" w:type="dxa"/>
            <w:noWrap/>
            <w:hideMark/>
          </w:tcPr>
          <w:p w14:paraId="7672F6BD" w14:textId="3B85C603" w:rsidR="0045649C" w:rsidRPr="004B2A73" w:rsidRDefault="003345CA"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w:t>
            </w:r>
          </w:p>
        </w:tc>
        <w:tc>
          <w:tcPr>
            <w:tcW w:w="1530" w:type="dxa"/>
            <w:noWrap/>
            <w:hideMark/>
          </w:tcPr>
          <w:p w14:paraId="3370AA32"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September 2008</w:t>
            </w:r>
          </w:p>
        </w:tc>
        <w:tc>
          <w:tcPr>
            <w:tcW w:w="1350" w:type="dxa"/>
            <w:noWrap/>
            <w:hideMark/>
          </w:tcPr>
          <w:p w14:paraId="043E0B9F" w14:textId="77777777" w:rsidR="0045649C" w:rsidRPr="004B2A73" w:rsidRDefault="0045649C" w:rsidP="00CF7E9A">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Competitive then</w:t>
            </w:r>
            <w:r w:rsidR="00CF7E9A" w:rsidRPr="004B2A73">
              <w:rPr>
                <w:rFonts w:ascii="Calibri" w:hAnsi="Calibri"/>
                <w:sz w:val="20"/>
                <w:szCs w:val="20"/>
              </w:rPr>
              <w:t xml:space="preserve"> </w:t>
            </w:r>
            <w:r w:rsidRPr="004B2A73">
              <w:rPr>
                <w:rFonts w:ascii="Calibri" w:hAnsi="Calibri"/>
                <w:sz w:val="20"/>
                <w:szCs w:val="20"/>
              </w:rPr>
              <w:t>negotiated in March 2011</w:t>
            </w:r>
          </w:p>
        </w:tc>
        <w:tc>
          <w:tcPr>
            <w:tcW w:w="1080" w:type="dxa"/>
            <w:noWrap/>
            <w:hideMark/>
          </w:tcPr>
          <w:p w14:paraId="5B5082DD"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25</w:t>
            </w:r>
          </w:p>
        </w:tc>
      </w:tr>
      <w:tr w:rsidR="0045649C" w:rsidRPr="004B2A73" w14:paraId="1CE74158"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14B5EB0" w14:textId="77777777" w:rsidR="0045649C" w:rsidRPr="004B2A73" w:rsidRDefault="0045649C" w:rsidP="006C3F77">
            <w:pPr>
              <w:rPr>
                <w:rFonts w:ascii="Calibri" w:hAnsi="Calibri"/>
                <w:sz w:val="20"/>
                <w:szCs w:val="20"/>
              </w:rPr>
            </w:pPr>
            <w:r w:rsidRPr="004B2A73">
              <w:rPr>
                <w:rFonts w:ascii="Calibri" w:hAnsi="Calibri"/>
                <w:sz w:val="20"/>
                <w:szCs w:val="20"/>
              </w:rPr>
              <w:t>San Pedro</w:t>
            </w:r>
          </w:p>
        </w:tc>
        <w:tc>
          <w:tcPr>
            <w:tcW w:w="1021" w:type="dxa"/>
            <w:noWrap/>
            <w:hideMark/>
          </w:tcPr>
          <w:p w14:paraId="737C69AA"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Cote d'Ivoire</w:t>
            </w:r>
          </w:p>
        </w:tc>
        <w:tc>
          <w:tcPr>
            <w:tcW w:w="1260" w:type="dxa"/>
            <w:noWrap/>
            <w:hideMark/>
          </w:tcPr>
          <w:p w14:paraId="06EE95F9"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MSC</w:t>
            </w:r>
          </w:p>
        </w:tc>
        <w:tc>
          <w:tcPr>
            <w:tcW w:w="2880" w:type="dxa"/>
            <w:noWrap/>
            <w:hideMark/>
          </w:tcPr>
          <w:p w14:paraId="09FC24A3"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MSC</w:t>
            </w:r>
          </w:p>
        </w:tc>
        <w:tc>
          <w:tcPr>
            <w:tcW w:w="1530" w:type="dxa"/>
            <w:noWrap/>
            <w:hideMark/>
          </w:tcPr>
          <w:p w14:paraId="29163704"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September 2008</w:t>
            </w:r>
          </w:p>
        </w:tc>
        <w:tc>
          <w:tcPr>
            <w:tcW w:w="1350" w:type="dxa"/>
            <w:noWrap/>
            <w:hideMark/>
          </w:tcPr>
          <w:p w14:paraId="544957F6"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Competitive</w:t>
            </w:r>
          </w:p>
        </w:tc>
        <w:tc>
          <w:tcPr>
            <w:tcW w:w="1080" w:type="dxa"/>
            <w:noWrap/>
            <w:hideMark/>
          </w:tcPr>
          <w:p w14:paraId="1CC06B76"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15</w:t>
            </w:r>
          </w:p>
        </w:tc>
      </w:tr>
      <w:tr w:rsidR="0045649C" w:rsidRPr="004B2A73" w14:paraId="629B5FBF" w14:textId="77777777" w:rsidTr="00E70029">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EC29EA3" w14:textId="42B592D8" w:rsidR="0045649C" w:rsidRPr="004B2A73" w:rsidRDefault="00C922CA" w:rsidP="006C3F77">
            <w:pPr>
              <w:rPr>
                <w:rFonts w:ascii="Calibri" w:hAnsi="Calibri"/>
                <w:sz w:val="20"/>
                <w:szCs w:val="20"/>
              </w:rPr>
            </w:pPr>
            <w:r>
              <w:rPr>
                <w:rFonts w:ascii="Calibri" w:hAnsi="Calibri"/>
                <w:sz w:val="20"/>
                <w:szCs w:val="20"/>
              </w:rPr>
              <w:t>Lomé</w:t>
            </w:r>
          </w:p>
        </w:tc>
        <w:tc>
          <w:tcPr>
            <w:tcW w:w="1021" w:type="dxa"/>
            <w:noWrap/>
            <w:hideMark/>
          </w:tcPr>
          <w:p w14:paraId="3B4CD2F8"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Togo</w:t>
            </w:r>
          </w:p>
        </w:tc>
        <w:tc>
          <w:tcPr>
            <w:tcW w:w="1260" w:type="dxa"/>
            <w:noWrap/>
            <w:hideMark/>
          </w:tcPr>
          <w:p w14:paraId="0D464266"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LCT</w:t>
            </w:r>
          </w:p>
        </w:tc>
        <w:tc>
          <w:tcPr>
            <w:tcW w:w="2880" w:type="dxa"/>
            <w:noWrap/>
            <w:hideMark/>
          </w:tcPr>
          <w:p w14:paraId="5B6DEF69"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MSC (50%), CMHI (50%)</w:t>
            </w:r>
          </w:p>
        </w:tc>
        <w:tc>
          <w:tcPr>
            <w:tcW w:w="1530" w:type="dxa"/>
            <w:noWrap/>
            <w:hideMark/>
          </w:tcPr>
          <w:p w14:paraId="23867D5E"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December 2008</w:t>
            </w:r>
          </w:p>
        </w:tc>
        <w:tc>
          <w:tcPr>
            <w:tcW w:w="1350" w:type="dxa"/>
            <w:noWrap/>
            <w:hideMark/>
          </w:tcPr>
          <w:p w14:paraId="79843A0A"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Negotiated</w:t>
            </w:r>
          </w:p>
        </w:tc>
        <w:tc>
          <w:tcPr>
            <w:tcW w:w="1080" w:type="dxa"/>
            <w:noWrap/>
            <w:hideMark/>
          </w:tcPr>
          <w:p w14:paraId="60B388FE"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35</w:t>
            </w:r>
          </w:p>
        </w:tc>
      </w:tr>
      <w:tr w:rsidR="0045649C" w:rsidRPr="004B2A73" w14:paraId="2F21232E"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DB51CAB" w14:textId="77777777" w:rsidR="0045649C" w:rsidRPr="004B2A73" w:rsidRDefault="0045649C" w:rsidP="006C3F77">
            <w:pPr>
              <w:rPr>
                <w:rFonts w:ascii="Calibri" w:hAnsi="Calibri"/>
                <w:sz w:val="20"/>
                <w:szCs w:val="20"/>
              </w:rPr>
            </w:pPr>
            <w:r w:rsidRPr="004B2A73">
              <w:rPr>
                <w:rFonts w:ascii="Calibri" w:hAnsi="Calibri"/>
                <w:sz w:val="20"/>
                <w:szCs w:val="20"/>
              </w:rPr>
              <w:t>Cotonou</w:t>
            </w:r>
          </w:p>
        </w:tc>
        <w:tc>
          <w:tcPr>
            <w:tcW w:w="1021" w:type="dxa"/>
            <w:noWrap/>
            <w:hideMark/>
          </w:tcPr>
          <w:p w14:paraId="2819B6BF"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Benin</w:t>
            </w:r>
          </w:p>
        </w:tc>
        <w:tc>
          <w:tcPr>
            <w:tcW w:w="1260" w:type="dxa"/>
            <w:noWrap/>
            <w:hideMark/>
          </w:tcPr>
          <w:p w14:paraId="7D848324"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Benin Terminal</w:t>
            </w:r>
          </w:p>
        </w:tc>
        <w:tc>
          <w:tcPr>
            <w:tcW w:w="2880" w:type="dxa"/>
            <w:noWrap/>
            <w:hideMark/>
          </w:tcPr>
          <w:p w14:paraId="5FA80066" w14:textId="11F5149C" w:rsidR="0045649C" w:rsidRPr="004B2A73" w:rsidRDefault="003345CA"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 (75%), SMTC (</w:t>
            </w:r>
            <w:r>
              <w:rPr>
                <w:rFonts w:ascii="Calibri" w:hAnsi="Calibri"/>
                <w:sz w:val="20"/>
                <w:szCs w:val="20"/>
              </w:rPr>
              <w:t>Bolloré</w:t>
            </w:r>
            <w:r w:rsidR="0045649C" w:rsidRPr="004B2A73">
              <w:rPr>
                <w:rFonts w:ascii="Calibri" w:hAnsi="Calibri"/>
                <w:sz w:val="20"/>
                <w:szCs w:val="20"/>
              </w:rPr>
              <w:t xml:space="preserve"> local subsidiary, 25%)</w:t>
            </w:r>
          </w:p>
        </w:tc>
        <w:tc>
          <w:tcPr>
            <w:tcW w:w="1530" w:type="dxa"/>
            <w:noWrap/>
            <w:hideMark/>
          </w:tcPr>
          <w:p w14:paraId="4B2440DD"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September 2009</w:t>
            </w:r>
          </w:p>
        </w:tc>
        <w:tc>
          <w:tcPr>
            <w:tcW w:w="1350" w:type="dxa"/>
            <w:noWrap/>
            <w:hideMark/>
          </w:tcPr>
          <w:p w14:paraId="48D94922"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Competitive</w:t>
            </w:r>
          </w:p>
        </w:tc>
        <w:tc>
          <w:tcPr>
            <w:tcW w:w="1080" w:type="dxa"/>
            <w:noWrap/>
            <w:hideMark/>
          </w:tcPr>
          <w:p w14:paraId="52D777F0"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25</w:t>
            </w:r>
          </w:p>
        </w:tc>
      </w:tr>
      <w:tr w:rsidR="0045649C" w:rsidRPr="004B2A73" w14:paraId="6A2A73DF" w14:textId="77777777" w:rsidTr="00E70029">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54F7241" w14:textId="77777777" w:rsidR="0045649C" w:rsidRPr="004B2A73" w:rsidRDefault="0045649C" w:rsidP="006C3F77">
            <w:pPr>
              <w:rPr>
                <w:rFonts w:ascii="Calibri" w:hAnsi="Calibri"/>
                <w:sz w:val="20"/>
                <w:szCs w:val="20"/>
              </w:rPr>
            </w:pPr>
            <w:r w:rsidRPr="004B2A73">
              <w:rPr>
                <w:rFonts w:ascii="Calibri" w:hAnsi="Calibri"/>
                <w:sz w:val="20"/>
                <w:szCs w:val="20"/>
              </w:rPr>
              <w:t>Monrovia</w:t>
            </w:r>
          </w:p>
        </w:tc>
        <w:tc>
          <w:tcPr>
            <w:tcW w:w="1021" w:type="dxa"/>
            <w:noWrap/>
            <w:hideMark/>
          </w:tcPr>
          <w:p w14:paraId="73DEF995"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Liberia</w:t>
            </w:r>
          </w:p>
        </w:tc>
        <w:tc>
          <w:tcPr>
            <w:tcW w:w="1260" w:type="dxa"/>
            <w:noWrap/>
            <w:hideMark/>
          </w:tcPr>
          <w:p w14:paraId="4C19BE64"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APMT</w:t>
            </w:r>
          </w:p>
        </w:tc>
        <w:tc>
          <w:tcPr>
            <w:tcW w:w="2880" w:type="dxa"/>
            <w:noWrap/>
            <w:hideMark/>
          </w:tcPr>
          <w:p w14:paraId="12A9E683"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APMT</w:t>
            </w:r>
          </w:p>
        </w:tc>
        <w:tc>
          <w:tcPr>
            <w:tcW w:w="1530" w:type="dxa"/>
            <w:noWrap/>
            <w:hideMark/>
          </w:tcPr>
          <w:p w14:paraId="1AFCDD73"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March 2010</w:t>
            </w:r>
          </w:p>
        </w:tc>
        <w:tc>
          <w:tcPr>
            <w:tcW w:w="1350" w:type="dxa"/>
            <w:noWrap/>
            <w:hideMark/>
          </w:tcPr>
          <w:p w14:paraId="71C83E8B"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Competitive</w:t>
            </w:r>
          </w:p>
        </w:tc>
        <w:tc>
          <w:tcPr>
            <w:tcW w:w="1080" w:type="dxa"/>
            <w:noWrap/>
            <w:hideMark/>
          </w:tcPr>
          <w:p w14:paraId="2A145C6C"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25</w:t>
            </w:r>
          </w:p>
        </w:tc>
      </w:tr>
      <w:tr w:rsidR="0045649C" w:rsidRPr="004B2A73" w14:paraId="36FFBD68"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9AC2DA4" w14:textId="0D8F0A8C" w:rsidR="0045649C" w:rsidRPr="004B2A73" w:rsidRDefault="00C922CA" w:rsidP="006C3F77">
            <w:pPr>
              <w:rPr>
                <w:rFonts w:ascii="Calibri" w:hAnsi="Calibri"/>
                <w:sz w:val="20"/>
                <w:szCs w:val="20"/>
              </w:rPr>
            </w:pPr>
            <w:r>
              <w:rPr>
                <w:rFonts w:ascii="Calibri" w:hAnsi="Calibri"/>
                <w:sz w:val="20"/>
                <w:szCs w:val="20"/>
              </w:rPr>
              <w:lastRenderedPageBreak/>
              <w:t>Lomé</w:t>
            </w:r>
          </w:p>
        </w:tc>
        <w:tc>
          <w:tcPr>
            <w:tcW w:w="1021" w:type="dxa"/>
            <w:noWrap/>
            <w:hideMark/>
          </w:tcPr>
          <w:p w14:paraId="5D5FE18A"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Togo</w:t>
            </w:r>
          </w:p>
        </w:tc>
        <w:tc>
          <w:tcPr>
            <w:tcW w:w="1260" w:type="dxa"/>
            <w:noWrap/>
            <w:hideMark/>
          </w:tcPr>
          <w:p w14:paraId="425C59CD"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Togo Terminal</w:t>
            </w:r>
          </w:p>
        </w:tc>
        <w:tc>
          <w:tcPr>
            <w:tcW w:w="2880" w:type="dxa"/>
            <w:noWrap/>
            <w:hideMark/>
          </w:tcPr>
          <w:p w14:paraId="6BEDF22D" w14:textId="4A6FD7C8" w:rsidR="0045649C" w:rsidRPr="004B2A73" w:rsidRDefault="003345CA"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w:t>
            </w:r>
          </w:p>
        </w:tc>
        <w:tc>
          <w:tcPr>
            <w:tcW w:w="1530" w:type="dxa"/>
            <w:noWrap/>
            <w:hideMark/>
          </w:tcPr>
          <w:p w14:paraId="227086FC"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June 2010</w:t>
            </w:r>
          </w:p>
        </w:tc>
        <w:tc>
          <w:tcPr>
            <w:tcW w:w="1350" w:type="dxa"/>
            <w:noWrap/>
            <w:hideMark/>
          </w:tcPr>
          <w:p w14:paraId="51F734E8"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Negotiated</w:t>
            </w:r>
          </w:p>
        </w:tc>
        <w:tc>
          <w:tcPr>
            <w:tcW w:w="1080" w:type="dxa"/>
            <w:noWrap/>
            <w:hideMark/>
          </w:tcPr>
          <w:p w14:paraId="13B58D70"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35</w:t>
            </w:r>
          </w:p>
        </w:tc>
      </w:tr>
      <w:tr w:rsidR="0045649C" w:rsidRPr="004B2A73" w14:paraId="4F3EC178" w14:textId="77777777" w:rsidTr="00E70029">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C120FB5" w14:textId="77777777" w:rsidR="0045649C" w:rsidRPr="004B2A73" w:rsidRDefault="0045649C" w:rsidP="006C3F77">
            <w:pPr>
              <w:rPr>
                <w:rFonts w:ascii="Calibri" w:hAnsi="Calibri"/>
                <w:sz w:val="20"/>
                <w:szCs w:val="20"/>
              </w:rPr>
            </w:pPr>
            <w:r w:rsidRPr="004B2A73">
              <w:rPr>
                <w:rFonts w:ascii="Calibri" w:hAnsi="Calibri"/>
                <w:sz w:val="20"/>
                <w:szCs w:val="20"/>
              </w:rPr>
              <w:t>Freetown</w:t>
            </w:r>
          </w:p>
        </w:tc>
        <w:tc>
          <w:tcPr>
            <w:tcW w:w="1021" w:type="dxa"/>
            <w:noWrap/>
            <w:hideMark/>
          </w:tcPr>
          <w:p w14:paraId="2BF14CD3"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Sierra Leone</w:t>
            </w:r>
          </w:p>
        </w:tc>
        <w:tc>
          <w:tcPr>
            <w:tcW w:w="1260" w:type="dxa"/>
            <w:noWrap/>
            <w:hideMark/>
          </w:tcPr>
          <w:p w14:paraId="631D0BB9"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BAL</w:t>
            </w:r>
          </w:p>
        </w:tc>
        <w:tc>
          <w:tcPr>
            <w:tcW w:w="2880" w:type="dxa"/>
            <w:noWrap/>
            <w:hideMark/>
          </w:tcPr>
          <w:p w14:paraId="6C57A693" w14:textId="4359334F" w:rsidR="0045649C" w:rsidRPr="004B2A73" w:rsidRDefault="003345CA"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w:t>
            </w:r>
          </w:p>
        </w:tc>
        <w:tc>
          <w:tcPr>
            <w:tcW w:w="1530" w:type="dxa"/>
            <w:noWrap/>
            <w:hideMark/>
          </w:tcPr>
          <w:p w14:paraId="799E4498"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November 2010</w:t>
            </w:r>
          </w:p>
        </w:tc>
        <w:tc>
          <w:tcPr>
            <w:tcW w:w="1350" w:type="dxa"/>
            <w:noWrap/>
            <w:hideMark/>
          </w:tcPr>
          <w:p w14:paraId="47BA6A56"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Competitive</w:t>
            </w:r>
          </w:p>
        </w:tc>
        <w:tc>
          <w:tcPr>
            <w:tcW w:w="1080" w:type="dxa"/>
            <w:noWrap/>
            <w:hideMark/>
          </w:tcPr>
          <w:p w14:paraId="558E4D77"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25</w:t>
            </w:r>
          </w:p>
        </w:tc>
      </w:tr>
      <w:tr w:rsidR="0045649C" w:rsidRPr="004B2A73" w14:paraId="0187F54A"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591005F" w14:textId="77777777" w:rsidR="0045649C" w:rsidRPr="004B2A73" w:rsidRDefault="0045649C" w:rsidP="006C3F77">
            <w:pPr>
              <w:rPr>
                <w:rFonts w:ascii="Calibri" w:hAnsi="Calibri"/>
                <w:sz w:val="20"/>
                <w:szCs w:val="20"/>
              </w:rPr>
            </w:pPr>
            <w:r w:rsidRPr="004B2A73">
              <w:rPr>
                <w:rFonts w:ascii="Calibri" w:hAnsi="Calibri"/>
                <w:sz w:val="20"/>
                <w:szCs w:val="20"/>
              </w:rPr>
              <w:t>Lekki</w:t>
            </w:r>
          </w:p>
        </w:tc>
        <w:tc>
          <w:tcPr>
            <w:tcW w:w="1021" w:type="dxa"/>
            <w:noWrap/>
            <w:hideMark/>
          </w:tcPr>
          <w:p w14:paraId="16C805F2"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Nigeria</w:t>
            </w:r>
          </w:p>
        </w:tc>
        <w:tc>
          <w:tcPr>
            <w:tcW w:w="1260" w:type="dxa"/>
            <w:noWrap/>
            <w:hideMark/>
          </w:tcPr>
          <w:p w14:paraId="1298C8B1"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ICTSI</w:t>
            </w:r>
          </w:p>
        </w:tc>
        <w:tc>
          <w:tcPr>
            <w:tcW w:w="2880" w:type="dxa"/>
            <w:noWrap/>
            <w:hideMark/>
          </w:tcPr>
          <w:p w14:paraId="0A57F57C"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ICTSI, then CMA-CGM acquired 25%</w:t>
            </w:r>
          </w:p>
        </w:tc>
        <w:tc>
          <w:tcPr>
            <w:tcW w:w="1530" w:type="dxa"/>
            <w:noWrap/>
            <w:hideMark/>
          </w:tcPr>
          <w:p w14:paraId="6B715EF3"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December 2012</w:t>
            </w:r>
          </w:p>
        </w:tc>
        <w:tc>
          <w:tcPr>
            <w:tcW w:w="1350" w:type="dxa"/>
            <w:noWrap/>
            <w:hideMark/>
          </w:tcPr>
          <w:p w14:paraId="7754865C"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Negotiated</w:t>
            </w:r>
          </w:p>
        </w:tc>
        <w:tc>
          <w:tcPr>
            <w:tcW w:w="1080" w:type="dxa"/>
            <w:noWrap/>
            <w:hideMark/>
          </w:tcPr>
          <w:p w14:paraId="00B381D2"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w:t>
            </w:r>
          </w:p>
        </w:tc>
      </w:tr>
      <w:tr w:rsidR="0045649C" w:rsidRPr="004B2A73" w14:paraId="544A6123" w14:textId="77777777" w:rsidTr="00E70029">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7D9BA80" w14:textId="77777777" w:rsidR="0045649C" w:rsidRPr="004B2A73" w:rsidRDefault="0045649C" w:rsidP="006C3F77">
            <w:pPr>
              <w:rPr>
                <w:rFonts w:ascii="Calibri" w:hAnsi="Calibri"/>
                <w:sz w:val="20"/>
                <w:szCs w:val="20"/>
              </w:rPr>
            </w:pPr>
            <w:r w:rsidRPr="004B2A73">
              <w:rPr>
                <w:rFonts w:ascii="Calibri" w:hAnsi="Calibri"/>
                <w:sz w:val="20"/>
                <w:szCs w:val="20"/>
              </w:rPr>
              <w:t>Abidjan</w:t>
            </w:r>
          </w:p>
        </w:tc>
        <w:tc>
          <w:tcPr>
            <w:tcW w:w="1021" w:type="dxa"/>
            <w:noWrap/>
            <w:hideMark/>
          </w:tcPr>
          <w:p w14:paraId="56D4A2B1"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Cote d'Ivoire</w:t>
            </w:r>
          </w:p>
        </w:tc>
        <w:tc>
          <w:tcPr>
            <w:tcW w:w="1260" w:type="dxa"/>
            <w:noWrap/>
            <w:hideMark/>
          </w:tcPr>
          <w:p w14:paraId="367237E5"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TC2</w:t>
            </w:r>
          </w:p>
        </w:tc>
        <w:tc>
          <w:tcPr>
            <w:tcW w:w="2880" w:type="dxa"/>
            <w:noWrap/>
            <w:hideMark/>
          </w:tcPr>
          <w:p w14:paraId="56D70CA1" w14:textId="664296CB" w:rsidR="0045649C" w:rsidRPr="004B2A73" w:rsidRDefault="003345CA"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 40%, APMT 60%</w:t>
            </w:r>
          </w:p>
        </w:tc>
        <w:tc>
          <w:tcPr>
            <w:tcW w:w="1530" w:type="dxa"/>
            <w:noWrap/>
            <w:hideMark/>
          </w:tcPr>
          <w:p w14:paraId="130C5E6C"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June 2013</w:t>
            </w:r>
          </w:p>
        </w:tc>
        <w:tc>
          <w:tcPr>
            <w:tcW w:w="1350" w:type="dxa"/>
            <w:noWrap/>
            <w:hideMark/>
          </w:tcPr>
          <w:p w14:paraId="5C8F1838"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Competitive</w:t>
            </w:r>
          </w:p>
        </w:tc>
        <w:tc>
          <w:tcPr>
            <w:tcW w:w="1080" w:type="dxa"/>
            <w:noWrap/>
            <w:hideMark/>
          </w:tcPr>
          <w:p w14:paraId="78A10504"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21</w:t>
            </w:r>
          </w:p>
        </w:tc>
      </w:tr>
      <w:tr w:rsidR="0045649C" w:rsidRPr="004B2A73" w14:paraId="12DF63F9"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47D7121" w14:textId="77777777" w:rsidR="0045649C" w:rsidRPr="004B2A73" w:rsidRDefault="0045649C" w:rsidP="006C3F77">
            <w:pPr>
              <w:rPr>
                <w:rFonts w:ascii="Calibri" w:hAnsi="Calibri"/>
                <w:sz w:val="20"/>
                <w:szCs w:val="20"/>
              </w:rPr>
            </w:pPr>
            <w:r w:rsidRPr="004B2A73">
              <w:rPr>
                <w:rFonts w:ascii="Calibri" w:hAnsi="Calibri"/>
                <w:sz w:val="20"/>
                <w:szCs w:val="20"/>
              </w:rPr>
              <w:t>Dakar</w:t>
            </w:r>
          </w:p>
        </w:tc>
        <w:tc>
          <w:tcPr>
            <w:tcW w:w="1021" w:type="dxa"/>
            <w:noWrap/>
            <w:hideMark/>
          </w:tcPr>
          <w:p w14:paraId="1B69CAAB"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Senegal</w:t>
            </w:r>
          </w:p>
        </w:tc>
        <w:tc>
          <w:tcPr>
            <w:tcW w:w="1260" w:type="dxa"/>
            <w:noWrap/>
            <w:hideMark/>
          </w:tcPr>
          <w:p w14:paraId="4490C721"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Roro terminal</w:t>
            </w:r>
          </w:p>
        </w:tc>
        <w:tc>
          <w:tcPr>
            <w:tcW w:w="2880" w:type="dxa"/>
            <w:noWrap/>
            <w:hideMark/>
          </w:tcPr>
          <w:p w14:paraId="013421FF" w14:textId="46E7D795" w:rsidR="0045649C" w:rsidRPr="004B2A73" w:rsidRDefault="003345CA"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w:t>
            </w:r>
          </w:p>
        </w:tc>
        <w:tc>
          <w:tcPr>
            <w:tcW w:w="1530" w:type="dxa"/>
            <w:noWrap/>
            <w:hideMark/>
          </w:tcPr>
          <w:p w14:paraId="4808E16B"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November 2013</w:t>
            </w:r>
          </w:p>
        </w:tc>
        <w:tc>
          <w:tcPr>
            <w:tcW w:w="1350" w:type="dxa"/>
            <w:noWrap/>
            <w:hideMark/>
          </w:tcPr>
          <w:p w14:paraId="17BC9F0A"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Negotiated</w:t>
            </w:r>
          </w:p>
        </w:tc>
        <w:tc>
          <w:tcPr>
            <w:tcW w:w="1080" w:type="dxa"/>
            <w:noWrap/>
            <w:hideMark/>
          </w:tcPr>
          <w:p w14:paraId="3A2E076B"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25</w:t>
            </w:r>
          </w:p>
        </w:tc>
      </w:tr>
      <w:tr w:rsidR="0045649C" w:rsidRPr="004B2A73" w14:paraId="203C820A" w14:textId="77777777" w:rsidTr="00E70029">
        <w:trPr>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F0B019B" w14:textId="77777777" w:rsidR="0045649C" w:rsidRPr="004B2A73" w:rsidRDefault="0045649C" w:rsidP="006C3F77">
            <w:pPr>
              <w:rPr>
                <w:rFonts w:ascii="Calibri" w:hAnsi="Calibri"/>
                <w:sz w:val="20"/>
                <w:szCs w:val="20"/>
              </w:rPr>
            </w:pPr>
            <w:r w:rsidRPr="004B2A73">
              <w:rPr>
                <w:rFonts w:ascii="Calibri" w:hAnsi="Calibri"/>
                <w:sz w:val="20"/>
                <w:szCs w:val="20"/>
              </w:rPr>
              <w:t>Badagry</w:t>
            </w:r>
          </w:p>
        </w:tc>
        <w:tc>
          <w:tcPr>
            <w:tcW w:w="1021" w:type="dxa"/>
            <w:noWrap/>
            <w:hideMark/>
          </w:tcPr>
          <w:p w14:paraId="044948FD"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Nigeria</w:t>
            </w:r>
          </w:p>
        </w:tc>
        <w:tc>
          <w:tcPr>
            <w:tcW w:w="1260" w:type="dxa"/>
            <w:noWrap/>
            <w:hideMark/>
          </w:tcPr>
          <w:p w14:paraId="0A81D5CC"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APMT</w:t>
            </w:r>
          </w:p>
        </w:tc>
        <w:tc>
          <w:tcPr>
            <w:tcW w:w="2880" w:type="dxa"/>
            <w:noWrap/>
            <w:hideMark/>
          </w:tcPr>
          <w:p w14:paraId="31F3BC51"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APMT and MSC</w:t>
            </w:r>
          </w:p>
        </w:tc>
        <w:tc>
          <w:tcPr>
            <w:tcW w:w="1530" w:type="dxa"/>
            <w:noWrap/>
            <w:hideMark/>
          </w:tcPr>
          <w:p w14:paraId="6E8C34A8"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July 2014</w:t>
            </w:r>
          </w:p>
        </w:tc>
        <w:tc>
          <w:tcPr>
            <w:tcW w:w="1350" w:type="dxa"/>
            <w:noWrap/>
            <w:hideMark/>
          </w:tcPr>
          <w:p w14:paraId="13CD0AF1"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Negotiated</w:t>
            </w:r>
          </w:p>
        </w:tc>
        <w:tc>
          <w:tcPr>
            <w:tcW w:w="1080" w:type="dxa"/>
            <w:noWrap/>
            <w:hideMark/>
          </w:tcPr>
          <w:p w14:paraId="3C298768" w14:textId="77777777" w:rsidR="0045649C" w:rsidRPr="004B2A73" w:rsidRDefault="0045649C" w:rsidP="006C3F77">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w:t>
            </w:r>
          </w:p>
        </w:tc>
      </w:tr>
      <w:tr w:rsidR="0045649C" w:rsidRPr="004B2A73" w14:paraId="482EE4FD" w14:textId="77777777" w:rsidTr="00E700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C558AA1" w14:textId="77777777" w:rsidR="0045649C" w:rsidRPr="004B2A73" w:rsidRDefault="0045649C" w:rsidP="006C3F77">
            <w:pPr>
              <w:rPr>
                <w:rFonts w:ascii="Calibri" w:hAnsi="Calibri"/>
                <w:sz w:val="20"/>
                <w:szCs w:val="20"/>
              </w:rPr>
            </w:pPr>
            <w:r w:rsidRPr="004B2A73">
              <w:rPr>
                <w:rFonts w:ascii="Calibri" w:hAnsi="Calibri"/>
                <w:sz w:val="20"/>
                <w:szCs w:val="20"/>
              </w:rPr>
              <w:t>Tema</w:t>
            </w:r>
          </w:p>
        </w:tc>
        <w:tc>
          <w:tcPr>
            <w:tcW w:w="1021" w:type="dxa"/>
            <w:noWrap/>
            <w:hideMark/>
          </w:tcPr>
          <w:p w14:paraId="08B429E5"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Ghana</w:t>
            </w:r>
          </w:p>
        </w:tc>
        <w:tc>
          <w:tcPr>
            <w:tcW w:w="1260" w:type="dxa"/>
            <w:noWrap/>
            <w:hideMark/>
          </w:tcPr>
          <w:p w14:paraId="02B7DCC9"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MPS</w:t>
            </w:r>
          </w:p>
        </w:tc>
        <w:tc>
          <w:tcPr>
            <w:tcW w:w="2880" w:type="dxa"/>
            <w:noWrap/>
            <w:hideMark/>
          </w:tcPr>
          <w:p w14:paraId="629DAD09" w14:textId="6D30D1DC" w:rsidR="0045649C" w:rsidRPr="004B2A73" w:rsidRDefault="003345CA"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Bolloré</w:t>
            </w:r>
            <w:r w:rsidR="0045649C" w:rsidRPr="004B2A73">
              <w:rPr>
                <w:rFonts w:ascii="Calibri" w:hAnsi="Calibri"/>
                <w:sz w:val="20"/>
                <w:szCs w:val="20"/>
              </w:rPr>
              <w:t xml:space="preserve"> Group (35%), APMT (35%), GPHA (30%)</w:t>
            </w:r>
          </w:p>
        </w:tc>
        <w:tc>
          <w:tcPr>
            <w:tcW w:w="1530" w:type="dxa"/>
            <w:noWrap/>
            <w:hideMark/>
          </w:tcPr>
          <w:p w14:paraId="56041DF1"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November 2014</w:t>
            </w:r>
          </w:p>
        </w:tc>
        <w:tc>
          <w:tcPr>
            <w:tcW w:w="1350" w:type="dxa"/>
            <w:noWrap/>
            <w:hideMark/>
          </w:tcPr>
          <w:p w14:paraId="76FD9810"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Negotiated</w:t>
            </w:r>
          </w:p>
        </w:tc>
        <w:tc>
          <w:tcPr>
            <w:tcW w:w="1080" w:type="dxa"/>
            <w:noWrap/>
            <w:hideMark/>
          </w:tcPr>
          <w:p w14:paraId="79BFA521" w14:textId="77777777" w:rsidR="0045649C" w:rsidRPr="004B2A73" w:rsidRDefault="0045649C" w:rsidP="006C3F7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w:t>
            </w:r>
          </w:p>
        </w:tc>
      </w:tr>
    </w:tbl>
    <w:p w14:paraId="0949F6DC" w14:textId="77777777" w:rsidR="004E17FA" w:rsidRDefault="004E17FA" w:rsidP="003A7F8E">
      <w:pPr>
        <w:rPr>
          <w:rFonts w:ascii="Calibri" w:hAnsi="Calibri"/>
          <w:sz w:val="24"/>
          <w:szCs w:val="24"/>
        </w:rPr>
      </w:pPr>
    </w:p>
    <w:p w14:paraId="6D8BE897" w14:textId="563408DB" w:rsidR="0045649C" w:rsidRPr="004B2A73" w:rsidRDefault="0045649C" w:rsidP="00AF33A5">
      <w:pPr>
        <w:pStyle w:val="Caption"/>
        <w:rPr>
          <w:rFonts w:ascii="Calibri" w:hAnsi="Calibri"/>
        </w:rPr>
      </w:pPr>
      <w:bookmarkStart w:id="47" w:name="_Ref431821317"/>
      <w:bookmarkStart w:id="48" w:name="_Toc485377044"/>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9</w:t>
      </w:r>
      <w:r w:rsidR="00520B46" w:rsidRPr="004B2A73">
        <w:rPr>
          <w:rFonts w:ascii="Calibri" w:hAnsi="Calibri"/>
          <w:noProof/>
        </w:rPr>
        <w:fldChar w:fldCharType="end"/>
      </w:r>
      <w:bookmarkEnd w:id="47"/>
      <w:r w:rsidRPr="004B2A73">
        <w:rPr>
          <w:rFonts w:ascii="Calibri" w:hAnsi="Calibri"/>
        </w:rPr>
        <w:t>: Evolution of the market share of TOCs in West Africa (2004-2013)</w:t>
      </w:r>
      <w:bookmarkEnd w:id="48"/>
    </w:p>
    <w:p w14:paraId="2B66E251" w14:textId="5D5D6AB9" w:rsidR="0045649C" w:rsidRDefault="005C4FB1" w:rsidP="003A7F8E">
      <w:pPr>
        <w:rPr>
          <w:rFonts w:ascii="Calibri" w:hAnsi="Calibri"/>
          <w:sz w:val="24"/>
          <w:szCs w:val="24"/>
        </w:rPr>
      </w:pPr>
      <w:r w:rsidRPr="004B2A73">
        <w:rPr>
          <w:rFonts w:ascii="Calibri" w:hAnsi="Calibri"/>
          <w:noProof/>
          <w:sz w:val="24"/>
          <w:szCs w:val="24"/>
        </w:rPr>
        <w:drawing>
          <wp:inline distT="0" distB="0" distL="0" distR="0" wp14:anchorId="215694C2" wp14:editId="083E115B">
            <wp:extent cx="6362700" cy="1635125"/>
            <wp:effectExtent l="0" t="0" r="0" b="317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E32987" w14:textId="77777777" w:rsidR="005C4FB1" w:rsidRPr="005C4FB1" w:rsidRDefault="005C4FB1" w:rsidP="005C4FB1">
      <w:pPr>
        <w:rPr>
          <w:rFonts w:ascii="Calibri" w:hAnsi="Calibri"/>
          <w:szCs w:val="24"/>
        </w:rPr>
      </w:pPr>
      <w:r w:rsidRPr="005C4FB1">
        <w:rPr>
          <w:rFonts w:ascii="Calibri" w:hAnsi="Calibri"/>
          <w:szCs w:val="24"/>
        </w:rPr>
        <w:t>Source: authors' compilation based on port data</w:t>
      </w:r>
    </w:p>
    <w:p w14:paraId="78DD79FA" w14:textId="77777777" w:rsidR="005C4FB1" w:rsidRPr="004B2A73" w:rsidRDefault="005C4FB1" w:rsidP="003A7F8E">
      <w:pPr>
        <w:rPr>
          <w:rFonts w:ascii="Calibri" w:hAnsi="Calibri"/>
          <w:sz w:val="24"/>
          <w:szCs w:val="24"/>
        </w:rPr>
      </w:pPr>
    </w:p>
    <w:p w14:paraId="250501D6" w14:textId="77777777" w:rsidR="0045649C" w:rsidRPr="00C91CDE" w:rsidRDefault="0045649C" w:rsidP="00E826B9">
      <w:pPr>
        <w:pStyle w:val="ListParagraph"/>
        <w:numPr>
          <w:ilvl w:val="0"/>
          <w:numId w:val="6"/>
        </w:numPr>
        <w:spacing w:after="0"/>
        <w:ind w:left="0" w:firstLine="0"/>
        <w:jc w:val="both"/>
        <w:rPr>
          <w:sz w:val="24"/>
          <w:szCs w:val="24"/>
        </w:rPr>
      </w:pPr>
      <w:r w:rsidRPr="00C91CDE">
        <w:rPr>
          <w:b/>
          <w:sz w:val="24"/>
          <w:szCs w:val="24"/>
        </w:rPr>
        <w:t>There are signs</w:t>
      </w:r>
      <w:r w:rsidR="00EB023F" w:rsidRPr="00C91CDE">
        <w:rPr>
          <w:b/>
          <w:sz w:val="24"/>
          <w:szCs w:val="24"/>
        </w:rPr>
        <w:t xml:space="preserve"> of change and </w:t>
      </w:r>
      <w:r w:rsidR="003E501C" w:rsidRPr="00C91CDE">
        <w:rPr>
          <w:b/>
          <w:sz w:val="24"/>
          <w:szCs w:val="24"/>
        </w:rPr>
        <w:t>some non-traditional players seem to be entering the West African market</w:t>
      </w:r>
      <w:r w:rsidR="00FA0766" w:rsidRPr="00C91CDE">
        <w:rPr>
          <w:b/>
          <w:sz w:val="24"/>
          <w:szCs w:val="24"/>
        </w:rPr>
        <w:t xml:space="preserve"> </w:t>
      </w:r>
      <w:r w:rsidR="003E501C" w:rsidRPr="00C91CDE">
        <w:rPr>
          <w:sz w:val="24"/>
          <w:szCs w:val="24"/>
        </w:rPr>
        <w:t>(</w:t>
      </w:r>
      <w:r w:rsidR="00EB023F" w:rsidRPr="00C91CDE">
        <w:rPr>
          <w:sz w:val="24"/>
          <w:szCs w:val="24"/>
        </w:rPr>
        <w:t xml:space="preserve">Table </w:t>
      </w:r>
      <w:r w:rsidR="00B5017B" w:rsidRPr="00C91CDE">
        <w:rPr>
          <w:sz w:val="24"/>
          <w:szCs w:val="24"/>
        </w:rPr>
        <w:t>5</w:t>
      </w:r>
      <w:r w:rsidR="00EB023F" w:rsidRPr="00C91CDE">
        <w:rPr>
          <w:sz w:val="24"/>
          <w:szCs w:val="24"/>
        </w:rPr>
        <w:t xml:space="preserve"> provides details on the terminal operators present in West Africa)</w:t>
      </w:r>
      <w:r w:rsidR="003E501C" w:rsidRPr="00C91CDE">
        <w:rPr>
          <w:sz w:val="24"/>
          <w:szCs w:val="24"/>
        </w:rPr>
        <w:t>.</w:t>
      </w:r>
      <w:r w:rsidR="003D778E" w:rsidRPr="00C91CDE">
        <w:rPr>
          <w:sz w:val="24"/>
          <w:szCs w:val="24"/>
        </w:rPr>
        <w:t xml:space="preserve"> </w:t>
      </w:r>
      <w:r w:rsidRPr="00C91CDE">
        <w:rPr>
          <w:sz w:val="24"/>
          <w:szCs w:val="24"/>
        </w:rPr>
        <w:t>When the first concessions in West Africa were a</w:t>
      </w:r>
      <w:r w:rsidR="00E75991" w:rsidRPr="00C91CDE">
        <w:rPr>
          <w:sz w:val="24"/>
          <w:szCs w:val="24"/>
        </w:rPr>
        <w:t>nnounced</w:t>
      </w:r>
      <w:r w:rsidRPr="00C91CDE">
        <w:rPr>
          <w:sz w:val="24"/>
          <w:szCs w:val="24"/>
        </w:rPr>
        <w:t xml:space="preserve">, </w:t>
      </w:r>
      <w:r w:rsidR="00E75991" w:rsidRPr="00C91CDE">
        <w:rPr>
          <w:sz w:val="24"/>
          <w:szCs w:val="24"/>
        </w:rPr>
        <w:t>potential</w:t>
      </w:r>
      <w:r w:rsidR="00D66721" w:rsidRPr="00C91CDE">
        <w:rPr>
          <w:sz w:val="24"/>
          <w:szCs w:val="24"/>
        </w:rPr>
        <w:t xml:space="preserve"> new</w:t>
      </w:r>
      <w:r w:rsidR="00E75991" w:rsidRPr="00C91CDE">
        <w:rPr>
          <w:sz w:val="24"/>
          <w:szCs w:val="24"/>
        </w:rPr>
        <w:t xml:space="preserve"> participants were wary of </w:t>
      </w:r>
      <w:r w:rsidR="00931AC0" w:rsidRPr="00C91CDE">
        <w:rPr>
          <w:sz w:val="24"/>
          <w:szCs w:val="24"/>
        </w:rPr>
        <w:t xml:space="preserve">a </w:t>
      </w:r>
      <w:r w:rsidR="004D4524" w:rsidRPr="00C91CDE">
        <w:rPr>
          <w:sz w:val="24"/>
          <w:szCs w:val="24"/>
        </w:rPr>
        <w:t>market</w:t>
      </w:r>
      <w:r w:rsidR="008D2345" w:rsidRPr="00C91CDE">
        <w:rPr>
          <w:sz w:val="24"/>
          <w:szCs w:val="24"/>
        </w:rPr>
        <w:t xml:space="preserve"> which was largely unknown</w:t>
      </w:r>
      <w:r w:rsidR="00931AC0" w:rsidRPr="00C91CDE">
        <w:rPr>
          <w:sz w:val="24"/>
          <w:szCs w:val="24"/>
        </w:rPr>
        <w:t xml:space="preserve"> </w:t>
      </w:r>
      <w:r w:rsidR="004D4524" w:rsidRPr="00C91CDE">
        <w:rPr>
          <w:sz w:val="24"/>
          <w:szCs w:val="24"/>
        </w:rPr>
        <w:t xml:space="preserve">and </w:t>
      </w:r>
      <w:r w:rsidR="008D2345" w:rsidRPr="00C91CDE">
        <w:rPr>
          <w:sz w:val="24"/>
          <w:szCs w:val="24"/>
        </w:rPr>
        <w:t xml:space="preserve">where </w:t>
      </w:r>
      <w:r w:rsidR="00931AC0" w:rsidRPr="00C91CDE">
        <w:rPr>
          <w:sz w:val="24"/>
          <w:szCs w:val="24"/>
        </w:rPr>
        <w:t xml:space="preserve">gauging the market </w:t>
      </w:r>
      <w:r w:rsidR="004D4524" w:rsidRPr="00C91CDE">
        <w:rPr>
          <w:sz w:val="24"/>
          <w:szCs w:val="24"/>
        </w:rPr>
        <w:t xml:space="preserve">risk </w:t>
      </w:r>
      <w:r w:rsidR="00931AC0" w:rsidRPr="00C91CDE">
        <w:rPr>
          <w:sz w:val="24"/>
          <w:szCs w:val="24"/>
        </w:rPr>
        <w:t>was challenging</w:t>
      </w:r>
      <w:r w:rsidR="008D2345" w:rsidRPr="00C91CDE">
        <w:rPr>
          <w:sz w:val="24"/>
          <w:szCs w:val="24"/>
        </w:rPr>
        <w:t xml:space="preserve"> to say the least</w:t>
      </w:r>
      <w:r w:rsidR="00931AC0" w:rsidRPr="00C91CDE">
        <w:rPr>
          <w:sz w:val="24"/>
          <w:szCs w:val="24"/>
        </w:rPr>
        <w:t xml:space="preserve">. </w:t>
      </w:r>
      <w:r w:rsidR="00404EFA" w:rsidRPr="00C91CDE">
        <w:rPr>
          <w:sz w:val="24"/>
          <w:szCs w:val="24"/>
        </w:rPr>
        <w:t xml:space="preserve"> </w:t>
      </w:r>
      <w:r w:rsidRPr="00C91CDE">
        <w:rPr>
          <w:sz w:val="24"/>
          <w:szCs w:val="24"/>
        </w:rPr>
        <w:t xml:space="preserve"> </w:t>
      </w:r>
      <w:r w:rsidR="00453614" w:rsidRPr="00C91CDE">
        <w:rPr>
          <w:sz w:val="24"/>
          <w:szCs w:val="24"/>
        </w:rPr>
        <w:t xml:space="preserve">As </w:t>
      </w:r>
      <w:r w:rsidR="00404EFA" w:rsidRPr="00C91CDE">
        <w:rPr>
          <w:sz w:val="24"/>
          <w:szCs w:val="24"/>
        </w:rPr>
        <w:t xml:space="preserve">the number of </w:t>
      </w:r>
      <w:r w:rsidRPr="00C91CDE">
        <w:rPr>
          <w:sz w:val="24"/>
          <w:szCs w:val="24"/>
        </w:rPr>
        <w:t xml:space="preserve">concessions in West Africa </w:t>
      </w:r>
      <w:r w:rsidR="00453614" w:rsidRPr="00C91CDE">
        <w:rPr>
          <w:sz w:val="24"/>
          <w:szCs w:val="24"/>
        </w:rPr>
        <w:t>ha</w:t>
      </w:r>
      <w:r w:rsidR="006234E0" w:rsidRPr="00C91CDE">
        <w:rPr>
          <w:sz w:val="24"/>
          <w:szCs w:val="24"/>
        </w:rPr>
        <w:t>s</w:t>
      </w:r>
      <w:r w:rsidR="00453614" w:rsidRPr="00C91CDE">
        <w:rPr>
          <w:sz w:val="24"/>
          <w:szCs w:val="24"/>
        </w:rPr>
        <w:t xml:space="preserve"> increased and accumulated a more or less successful history, firms such as </w:t>
      </w:r>
      <w:r w:rsidR="001C2970" w:rsidRPr="00C91CDE">
        <w:rPr>
          <w:sz w:val="24"/>
          <w:szCs w:val="24"/>
        </w:rPr>
        <w:t>China Shipping</w:t>
      </w:r>
      <w:r w:rsidR="00FA0766" w:rsidRPr="00C91CDE">
        <w:rPr>
          <w:sz w:val="24"/>
          <w:szCs w:val="24"/>
        </w:rPr>
        <w:t xml:space="preserve"> and ICTSI</w:t>
      </w:r>
      <w:r w:rsidR="001C2970" w:rsidRPr="00C91CDE">
        <w:rPr>
          <w:sz w:val="24"/>
          <w:szCs w:val="24"/>
        </w:rPr>
        <w:t xml:space="preserve"> </w:t>
      </w:r>
      <w:r w:rsidR="00453614" w:rsidRPr="00C91CDE">
        <w:rPr>
          <w:sz w:val="24"/>
          <w:szCs w:val="24"/>
        </w:rPr>
        <w:t xml:space="preserve">are more willing to </w:t>
      </w:r>
      <w:r w:rsidR="001C2970" w:rsidRPr="00C91CDE">
        <w:rPr>
          <w:sz w:val="24"/>
          <w:szCs w:val="24"/>
        </w:rPr>
        <w:t xml:space="preserve">participate in the process. </w:t>
      </w:r>
      <w:r w:rsidR="00FC1EC2" w:rsidRPr="00C91CDE">
        <w:rPr>
          <w:sz w:val="24"/>
          <w:szCs w:val="24"/>
        </w:rPr>
        <w:t xml:space="preserve"> </w:t>
      </w:r>
      <w:r w:rsidR="001C2970" w:rsidRPr="00C91CDE">
        <w:rPr>
          <w:sz w:val="24"/>
          <w:szCs w:val="24"/>
        </w:rPr>
        <w:t>T</w:t>
      </w:r>
      <w:r w:rsidR="00FC1EC2" w:rsidRPr="00C91CDE">
        <w:rPr>
          <w:sz w:val="24"/>
          <w:szCs w:val="24"/>
        </w:rPr>
        <w:t>he entrance of new players does not necessarily guarantee a higher level of competition</w:t>
      </w:r>
      <w:r w:rsidR="00E940D6" w:rsidRPr="00C91CDE">
        <w:rPr>
          <w:sz w:val="24"/>
          <w:szCs w:val="24"/>
        </w:rPr>
        <w:t xml:space="preserve"> but does increase competition for the market and potentially </w:t>
      </w:r>
      <w:r w:rsidR="00924368" w:rsidRPr="00C91CDE">
        <w:rPr>
          <w:sz w:val="24"/>
          <w:szCs w:val="24"/>
        </w:rPr>
        <w:t xml:space="preserve">results in </w:t>
      </w:r>
      <w:r w:rsidR="00E940D6" w:rsidRPr="00C91CDE">
        <w:rPr>
          <w:sz w:val="24"/>
          <w:szCs w:val="24"/>
        </w:rPr>
        <w:t>better contracts and outcomes</w:t>
      </w:r>
    </w:p>
    <w:p w14:paraId="4C24425D" w14:textId="335EB28E" w:rsidR="009C6E8E" w:rsidRDefault="009C6E8E" w:rsidP="003A7F8E">
      <w:pPr>
        <w:rPr>
          <w:rFonts w:ascii="Calibri" w:hAnsi="Calibri"/>
          <w:sz w:val="24"/>
          <w:szCs w:val="24"/>
        </w:rPr>
      </w:pPr>
    </w:p>
    <w:p w14:paraId="52F4CBF3" w14:textId="5382DC2B" w:rsidR="007460D3" w:rsidRDefault="007460D3" w:rsidP="003A7F8E">
      <w:pPr>
        <w:rPr>
          <w:rFonts w:ascii="Calibri" w:hAnsi="Calibri"/>
          <w:sz w:val="24"/>
          <w:szCs w:val="24"/>
        </w:rPr>
      </w:pPr>
    </w:p>
    <w:p w14:paraId="5E453AC1" w14:textId="4490C034" w:rsidR="007460D3" w:rsidRDefault="007460D3" w:rsidP="003A7F8E">
      <w:pPr>
        <w:rPr>
          <w:rFonts w:ascii="Calibri" w:hAnsi="Calibri"/>
          <w:sz w:val="24"/>
          <w:szCs w:val="24"/>
        </w:rPr>
      </w:pPr>
    </w:p>
    <w:p w14:paraId="002A61F6" w14:textId="77777777" w:rsidR="007460D3" w:rsidRPr="004B2A73" w:rsidRDefault="007460D3" w:rsidP="003A7F8E">
      <w:pPr>
        <w:rPr>
          <w:rFonts w:ascii="Calibri" w:hAnsi="Calibri"/>
          <w:sz w:val="24"/>
          <w:szCs w:val="24"/>
        </w:rPr>
      </w:pPr>
    </w:p>
    <w:p w14:paraId="2612B889" w14:textId="5F346509" w:rsidR="0045649C" w:rsidRPr="004B2A73" w:rsidRDefault="003C7E7B" w:rsidP="00AF33A5">
      <w:pPr>
        <w:pStyle w:val="Caption"/>
        <w:rPr>
          <w:rFonts w:ascii="Calibri" w:hAnsi="Calibri"/>
        </w:rPr>
      </w:pPr>
      <w:bookmarkStart w:id="49" w:name="_Ref431821689"/>
      <w:bookmarkStart w:id="50" w:name="_Toc485381916"/>
      <w:r w:rsidRPr="004B2A73">
        <w:rPr>
          <w:rFonts w:ascii="Calibri" w:hAnsi="Calibri"/>
        </w:rPr>
        <w:lastRenderedPageBreak/>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5</w:t>
      </w:r>
      <w:r w:rsidR="00811885" w:rsidRPr="004B2A73">
        <w:rPr>
          <w:rFonts w:ascii="Calibri" w:hAnsi="Calibri"/>
          <w:noProof/>
        </w:rPr>
        <w:fldChar w:fldCharType="end"/>
      </w:r>
      <w:r w:rsidRPr="004B2A73">
        <w:rPr>
          <w:rFonts w:ascii="Calibri" w:hAnsi="Calibri"/>
        </w:rPr>
        <w:t>: Africa footprint of the West Africa container terminal operators</w:t>
      </w:r>
      <w:bookmarkEnd w:id="49"/>
      <w:bookmarkEnd w:id="50"/>
    </w:p>
    <w:tbl>
      <w:tblPr>
        <w:tblStyle w:val="ListTable3-Accent31"/>
        <w:tblW w:w="0" w:type="auto"/>
        <w:tblInd w:w="108" w:type="dxa"/>
        <w:tblLook w:val="04A0" w:firstRow="1" w:lastRow="0" w:firstColumn="1" w:lastColumn="0" w:noHBand="0" w:noVBand="1"/>
      </w:tblPr>
      <w:tblGrid>
        <w:gridCol w:w="3006"/>
        <w:gridCol w:w="3108"/>
        <w:gridCol w:w="3128"/>
      </w:tblGrid>
      <w:tr w:rsidR="0045649C" w:rsidRPr="004B2A73" w14:paraId="315EE1B6" w14:textId="77777777" w:rsidTr="00532D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4" w:type="dxa"/>
          </w:tcPr>
          <w:p w14:paraId="373E35F0" w14:textId="77777777" w:rsidR="0045649C" w:rsidRPr="004B2A73" w:rsidRDefault="0045649C" w:rsidP="00DF7415">
            <w:pPr>
              <w:rPr>
                <w:rFonts w:ascii="Calibri" w:hAnsi="Calibri"/>
                <w:sz w:val="24"/>
                <w:szCs w:val="24"/>
              </w:rPr>
            </w:pPr>
            <w:r w:rsidRPr="004B2A73">
              <w:rPr>
                <w:rFonts w:ascii="Calibri" w:hAnsi="Calibri"/>
                <w:sz w:val="24"/>
                <w:szCs w:val="24"/>
              </w:rPr>
              <w:t>Terminal operator</w:t>
            </w:r>
          </w:p>
        </w:tc>
        <w:tc>
          <w:tcPr>
            <w:tcW w:w="3192" w:type="dxa"/>
          </w:tcPr>
          <w:p w14:paraId="68A80DAE" w14:textId="77777777" w:rsidR="0045649C" w:rsidRPr="004B2A73" w:rsidRDefault="0045649C" w:rsidP="00DF7415">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B2A73">
              <w:rPr>
                <w:rFonts w:ascii="Calibri" w:hAnsi="Calibri"/>
                <w:sz w:val="24"/>
                <w:szCs w:val="24"/>
              </w:rPr>
              <w:t>In West Africa</w:t>
            </w:r>
          </w:p>
        </w:tc>
        <w:tc>
          <w:tcPr>
            <w:tcW w:w="3192" w:type="dxa"/>
          </w:tcPr>
          <w:p w14:paraId="1221AFB8" w14:textId="704894BE" w:rsidR="0045649C" w:rsidRPr="004B2A73" w:rsidRDefault="0045649C" w:rsidP="00DF7415">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B2A73">
              <w:rPr>
                <w:rFonts w:ascii="Calibri" w:hAnsi="Calibri"/>
                <w:sz w:val="24"/>
                <w:szCs w:val="24"/>
              </w:rPr>
              <w:t xml:space="preserve">Rest of </w:t>
            </w:r>
            <w:r w:rsidR="0064574A">
              <w:rPr>
                <w:rFonts w:ascii="Calibri" w:hAnsi="Calibri"/>
                <w:sz w:val="24"/>
                <w:szCs w:val="24"/>
              </w:rPr>
              <w:t xml:space="preserve">Sub-Sahara </w:t>
            </w:r>
            <w:r w:rsidRPr="004B2A73">
              <w:rPr>
                <w:rFonts w:ascii="Calibri" w:hAnsi="Calibri"/>
                <w:sz w:val="24"/>
                <w:szCs w:val="24"/>
              </w:rPr>
              <w:t>Africa</w:t>
            </w:r>
          </w:p>
        </w:tc>
      </w:tr>
      <w:tr w:rsidR="0045649C" w:rsidRPr="00BA1B4D" w14:paraId="01D1F1FA" w14:textId="77777777" w:rsidTr="00532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14:paraId="2005E1FB" w14:textId="77777777" w:rsidR="0045649C" w:rsidRPr="004B2A73" w:rsidRDefault="0045649C" w:rsidP="00DF7415">
            <w:pPr>
              <w:rPr>
                <w:rFonts w:ascii="Calibri" w:hAnsi="Calibri"/>
              </w:rPr>
            </w:pPr>
            <w:r w:rsidRPr="004B2A73">
              <w:rPr>
                <w:rFonts w:ascii="Calibri" w:hAnsi="Calibri"/>
              </w:rPr>
              <w:t>APM Terminals</w:t>
            </w:r>
          </w:p>
        </w:tc>
        <w:tc>
          <w:tcPr>
            <w:tcW w:w="3192" w:type="dxa"/>
          </w:tcPr>
          <w:p w14:paraId="1CBB0C03" w14:textId="77777777" w:rsidR="0045649C" w:rsidRPr="004B2A73" w:rsidRDefault="0045649C" w:rsidP="007C0D61">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Monrovia (Liberia), Abidjan (Cote d’Ivoire), Tema (Ghana), Badagry (Nigeria), Lagos Apapa (Nigeria), Onne (Nigeria)</w:t>
            </w:r>
          </w:p>
        </w:tc>
        <w:tc>
          <w:tcPr>
            <w:tcW w:w="3192" w:type="dxa"/>
          </w:tcPr>
          <w:p w14:paraId="4EC8A0E9" w14:textId="77777777" w:rsidR="0045649C" w:rsidRPr="004B2A73" w:rsidRDefault="0045649C" w:rsidP="007C0D61">
            <w:pP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4B2A73">
              <w:rPr>
                <w:rFonts w:ascii="Calibri" w:hAnsi="Calibri"/>
                <w:lang w:val="fr-FR"/>
              </w:rPr>
              <w:t>Douala (Cameroun), Pointe Noire (Congo), Luanda (Angola), Namibe (Angola)</w:t>
            </w:r>
          </w:p>
        </w:tc>
      </w:tr>
      <w:tr w:rsidR="0045649C" w:rsidRPr="00BA1B4D" w14:paraId="29A7A2A6" w14:textId="77777777" w:rsidTr="00532DF1">
        <w:tc>
          <w:tcPr>
            <w:cnfStyle w:val="001000000000" w:firstRow="0" w:lastRow="0" w:firstColumn="1" w:lastColumn="0" w:oddVBand="0" w:evenVBand="0" w:oddHBand="0" w:evenHBand="0" w:firstRowFirstColumn="0" w:firstRowLastColumn="0" w:lastRowFirstColumn="0" w:lastRowLastColumn="0"/>
            <w:tcW w:w="3084" w:type="dxa"/>
          </w:tcPr>
          <w:p w14:paraId="6E3CA370" w14:textId="23454D48" w:rsidR="0045649C" w:rsidRPr="004B2A73" w:rsidRDefault="003345CA" w:rsidP="00DF7415">
            <w:pPr>
              <w:rPr>
                <w:rFonts w:ascii="Calibri" w:hAnsi="Calibri"/>
              </w:rPr>
            </w:pPr>
            <w:r>
              <w:rPr>
                <w:rFonts w:ascii="Calibri" w:hAnsi="Calibri"/>
              </w:rPr>
              <w:t>Bolloré</w:t>
            </w:r>
            <w:r w:rsidR="0045649C" w:rsidRPr="004B2A73">
              <w:rPr>
                <w:rFonts w:ascii="Calibri" w:hAnsi="Calibri"/>
              </w:rPr>
              <w:t xml:space="preserve"> Africa Logistics</w:t>
            </w:r>
          </w:p>
        </w:tc>
        <w:tc>
          <w:tcPr>
            <w:tcW w:w="3192" w:type="dxa"/>
          </w:tcPr>
          <w:p w14:paraId="2756F28F" w14:textId="5A5E22B2" w:rsidR="0045649C" w:rsidRPr="004B2A73" w:rsidRDefault="0045649C" w:rsidP="007C0D61">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 xml:space="preserve">Freetown (Sierra Leone), Conakry (Guinea), Abidjan (Cote d’Ivoire), Tema (Ghana), </w:t>
            </w:r>
            <w:r w:rsidR="00C922CA">
              <w:rPr>
                <w:rFonts w:ascii="Calibri" w:hAnsi="Calibri"/>
              </w:rPr>
              <w:t>Lomé</w:t>
            </w:r>
            <w:r w:rsidRPr="004B2A73">
              <w:rPr>
                <w:rFonts w:ascii="Calibri" w:hAnsi="Calibri"/>
              </w:rPr>
              <w:t xml:space="preserve"> (Togo), Cotonou (Benin), Lagos Tin Can Island</w:t>
            </w:r>
          </w:p>
        </w:tc>
        <w:tc>
          <w:tcPr>
            <w:tcW w:w="3192" w:type="dxa"/>
          </w:tcPr>
          <w:p w14:paraId="4DA40D86" w14:textId="77777777" w:rsidR="0045649C" w:rsidRPr="004B2A73" w:rsidRDefault="0045649C" w:rsidP="007C0D61">
            <w:pP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4B2A73">
              <w:rPr>
                <w:rFonts w:ascii="Calibri" w:hAnsi="Calibri"/>
                <w:lang w:val="fr-FR"/>
              </w:rPr>
              <w:t>Douala (Cameroun), Libreville (Gabon), Pointe Noire (Congo), Moroni (Comoros)</w:t>
            </w:r>
          </w:p>
        </w:tc>
      </w:tr>
      <w:tr w:rsidR="0045649C" w:rsidRPr="004B2A73" w14:paraId="12E3E64C" w14:textId="77777777" w:rsidTr="00532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14:paraId="1F179366" w14:textId="77777777" w:rsidR="0045649C" w:rsidRPr="004B2A73" w:rsidRDefault="0045649C" w:rsidP="00DF7415">
            <w:pPr>
              <w:rPr>
                <w:rFonts w:ascii="Calibri" w:hAnsi="Calibri"/>
              </w:rPr>
            </w:pPr>
            <w:r w:rsidRPr="004B2A73">
              <w:rPr>
                <w:rFonts w:ascii="Calibri" w:hAnsi="Calibri"/>
              </w:rPr>
              <w:t>ICTSI</w:t>
            </w:r>
          </w:p>
        </w:tc>
        <w:tc>
          <w:tcPr>
            <w:tcW w:w="3192" w:type="dxa"/>
          </w:tcPr>
          <w:p w14:paraId="667E6268" w14:textId="77777777" w:rsidR="0045649C" w:rsidRPr="004B2A73" w:rsidRDefault="0045649C" w:rsidP="007C0D61">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Lekki (Nigeria)</w:t>
            </w:r>
          </w:p>
        </w:tc>
        <w:tc>
          <w:tcPr>
            <w:tcW w:w="3192" w:type="dxa"/>
          </w:tcPr>
          <w:p w14:paraId="19920C05" w14:textId="77777777" w:rsidR="0045649C" w:rsidRPr="004B2A73" w:rsidRDefault="0045649C" w:rsidP="007C0D61">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Matadi (DR Congo), Toamasina (Madagascar)</w:t>
            </w:r>
          </w:p>
        </w:tc>
      </w:tr>
      <w:tr w:rsidR="0045649C" w:rsidRPr="004B2A73" w14:paraId="3E79FE36" w14:textId="77777777" w:rsidTr="00532DF1">
        <w:tc>
          <w:tcPr>
            <w:cnfStyle w:val="001000000000" w:firstRow="0" w:lastRow="0" w:firstColumn="1" w:lastColumn="0" w:oddVBand="0" w:evenVBand="0" w:oddHBand="0" w:evenHBand="0" w:firstRowFirstColumn="0" w:firstRowLastColumn="0" w:lastRowFirstColumn="0" w:lastRowLastColumn="0"/>
            <w:tcW w:w="3084" w:type="dxa"/>
          </w:tcPr>
          <w:p w14:paraId="4C06BA37" w14:textId="77777777" w:rsidR="0045649C" w:rsidRPr="004B2A73" w:rsidRDefault="0045649C" w:rsidP="00DF7415">
            <w:pPr>
              <w:rPr>
                <w:rFonts w:ascii="Calibri" w:hAnsi="Calibri"/>
              </w:rPr>
            </w:pPr>
            <w:r w:rsidRPr="004B2A73">
              <w:rPr>
                <w:rFonts w:ascii="Calibri" w:hAnsi="Calibri"/>
              </w:rPr>
              <w:t>DP World</w:t>
            </w:r>
            <w:r w:rsidR="00853148" w:rsidRPr="004B2A73">
              <w:rPr>
                <w:rStyle w:val="FootnoteReference"/>
                <w:rFonts w:ascii="Calibri" w:hAnsi="Calibri"/>
              </w:rPr>
              <w:footnoteReference w:id="29"/>
            </w:r>
          </w:p>
        </w:tc>
        <w:tc>
          <w:tcPr>
            <w:tcW w:w="3192" w:type="dxa"/>
          </w:tcPr>
          <w:p w14:paraId="3922AA32" w14:textId="77777777" w:rsidR="0045649C" w:rsidRPr="004B2A73" w:rsidRDefault="0045649C" w:rsidP="007C0D61">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Dakar (Senegal)</w:t>
            </w:r>
          </w:p>
        </w:tc>
        <w:tc>
          <w:tcPr>
            <w:tcW w:w="3192" w:type="dxa"/>
          </w:tcPr>
          <w:p w14:paraId="01E80E52" w14:textId="6FC1DA8F" w:rsidR="0045649C" w:rsidRPr="004B2A73" w:rsidRDefault="0045649C" w:rsidP="007C0D61">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Maputo (Mozambique)</w:t>
            </w:r>
            <w:r w:rsidR="0064574A">
              <w:rPr>
                <w:rFonts w:ascii="Calibri" w:hAnsi="Calibri"/>
              </w:rPr>
              <w:t>, Berbera (Somalia)</w:t>
            </w:r>
          </w:p>
        </w:tc>
      </w:tr>
      <w:tr w:rsidR="0045649C" w:rsidRPr="004B2A73" w14:paraId="2222FAF6" w14:textId="77777777" w:rsidTr="00532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14:paraId="691A2DB7" w14:textId="77777777" w:rsidR="0045649C" w:rsidRPr="004B2A73" w:rsidRDefault="0045649C" w:rsidP="00DF7415">
            <w:pPr>
              <w:rPr>
                <w:rFonts w:ascii="Calibri" w:hAnsi="Calibri"/>
              </w:rPr>
            </w:pPr>
            <w:r w:rsidRPr="004B2A73">
              <w:rPr>
                <w:rFonts w:ascii="Calibri" w:hAnsi="Calibri"/>
              </w:rPr>
              <w:t>CMA-CGM</w:t>
            </w:r>
          </w:p>
        </w:tc>
        <w:tc>
          <w:tcPr>
            <w:tcW w:w="3192" w:type="dxa"/>
          </w:tcPr>
          <w:p w14:paraId="2C58BCFE" w14:textId="77777777" w:rsidR="0045649C" w:rsidRPr="004B2A73" w:rsidRDefault="0045649C" w:rsidP="007C0D61">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Lekki (Nigeria)</w:t>
            </w:r>
          </w:p>
        </w:tc>
        <w:tc>
          <w:tcPr>
            <w:tcW w:w="3192" w:type="dxa"/>
          </w:tcPr>
          <w:p w14:paraId="63572B3F" w14:textId="68AD1741" w:rsidR="0045649C" w:rsidRPr="004B2A73" w:rsidRDefault="0045649C" w:rsidP="007C0D61">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45649C" w:rsidRPr="004B2A73" w14:paraId="03A0746C" w14:textId="77777777" w:rsidTr="00532DF1">
        <w:tc>
          <w:tcPr>
            <w:cnfStyle w:val="001000000000" w:firstRow="0" w:lastRow="0" w:firstColumn="1" w:lastColumn="0" w:oddVBand="0" w:evenVBand="0" w:oddHBand="0" w:evenHBand="0" w:firstRowFirstColumn="0" w:firstRowLastColumn="0" w:lastRowFirstColumn="0" w:lastRowLastColumn="0"/>
            <w:tcW w:w="3084" w:type="dxa"/>
          </w:tcPr>
          <w:p w14:paraId="33027880" w14:textId="77777777" w:rsidR="0045649C" w:rsidRPr="004B2A73" w:rsidRDefault="0045649C" w:rsidP="00DF7415">
            <w:pPr>
              <w:rPr>
                <w:rFonts w:ascii="Calibri" w:hAnsi="Calibri"/>
              </w:rPr>
            </w:pPr>
            <w:r w:rsidRPr="004B2A73">
              <w:rPr>
                <w:rFonts w:ascii="Calibri" w:hAnsi="Calibri"/>
              </w:rPr>
              <w:t>TIL / MSC</w:t>
            </w:r>
          </w:p>
        </w:tc>
        <w:tc>
          <w:tcPr>
            <w:tcW w:w="3192" w:type="dxa"/>
          </w:tcPr>
          <w:p w14:paraId="00D584C5" w14:textId="29F4C8EC" w:rsidR="0045649C" w:rsidRPr="004B2A73" w:rsidRDefault="00C922CA" w:rsidP="007C0D61">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Lomé</w:t>
            </w:r>
            <w:r w:rsidR="0045649C" w:rsidRPr="004B2A73">
              <w:rPr>
                <w:rFonts w:ascii="Calibri" w:hAnsi="Calibri"/>
              </w:rPr>
              <w:t xml:space="preserve"> (Togo), San Pedro (Cote d’Ivoire), Badagry (Nigeria)</w:t>
            </w:r>
          </w:p>
        </w:tc>
        <w:tc>
          <w:tcPr>
            <w:tcW w:w="3192" w:type="dxa"/>
          </w:tcPr>
          <w:p w14:paraId="1A532ADF" w14:textId="77777777" w:rsidR="0045649C" w:rsidRPr="004B2A73" w:rsidRDefault="0045649C" w:rsidP="007C0D61">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45649C" w:rsidRPr="004B2A73" w14:paraId="4098AEF6" w14:textId="77777777" w:rsidTr="00532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14:paraId="3D9F162F" w14:textId="77777777" w:rsidR="0045649C" w:rsidRPr="004B2A73" w:rsidRDefault="0045649C" w:rsidP="00DF7415">
            <w:pPr>
              <w:rPr>
                <w:rFonts w:ascii="Calibri" w:hAnsi="Calibri"/>
              </w:rPr>
            </w:pPr>
            <w:r w:rsidRPr="004B2A73">
              <w:rPr>
                <w:rFonts w:ascii="Calibri" w:hAnsi="Calibri"/>
              </w:rPr>
              <w:t>China Merchant Holding</w:t>
            </w:r>
          </w:p>
        </w:tc>
        <w:tc>
          <w:tcPr>
            <w:tcW w:w="3192" w:type="dxa"/>
          </w:tcPr>
          <w:p w14:paraId="1B22DB16" w14:textId="0126248F" w:rsidR="0045649C" w:rsidRPr="004B2A73" w:rsidRDefault="00C922CA" w:rsidP="007C0D61">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Lomé</w:t>
            </w:r>
            <w:r w:rsidR="0045649C" w:rsidRPr="004B2A73">
              <w:rPr>
                <w:rFonts w:ascii="Calibri" w:hAnsi="Calibri"/>
              </w:rPr>
              <w:t xml:space="preserve"> (Togo), Lagos Tin Can Island (Nigeria)</w:t>
            </w:r>
          </w:p>
        </w:tc>
        <w:tc>
          <w:tcPr>
            <w:tcW w:w="3192" w:type="dxa"/>
          </w:tcPr>
          <w:p w14:paraId="233B9A3C" w14:textId="77777777" w:rsidR="0045649C" w:rsidRPr="004B2A73" w:rsidRDefault="0045649C" w:rsidP="007C0D61">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Djibouti (Djibouti)</w:t>
            </w:r>
          </w:p>
        </w:tc>
      </w:tr>
    </w:tbl>
    <w:p w14:paraId="3C7CF1ED" w14:textId="77777777" w:rsidR="00561CD9" w:rsidRPr="004B2A73" w:rsidRDefault="00561CD9" w:rsidP="00561CD9">
      <w:pPr>
        <w:pStyle w:val="ListParagraph"/>
        <w:spacing w:after="0"/>
        <w:ind w:left="0"/>
        <w:rPr>
          <w:rFonts w:ascii="Calibri" w:hAnsi="Calibri"/>
          <w:sz w:val="24"/>
        </w:rPr>
      </w:pPr>
    </w:p>
    <w:p w14:paraId="2059F3C8" w14:textId="2017CE88" w:rsidR="0045649C" w:rsidRPr="00C91CDE" w:rsidRDefault="0045649C" w:rsidP="00E826B9">
      <w:pPr>
        <w:pStyle w:val="ListParagraph"/>
        <w:numPr>
          <w:ilvl w:val="0"/>
          <w:numId w:val="6"/>
        </w:numPr>
        <w:spacing w:after="0"/>
        <w:ind w:left="0" w:firstLine="0"/>
        <w:jc w:val="both"/>
        <w:rPr>
          <w:sz w:val="24"/>
          <w:szCs w:val="24"/>
        </w:rPr>
      </w:pPr>
      <w:r w:rsidRPr="00C91CDE">
        <w:rPr>
          <w:b/>
          <w:sz w:val="24"/>
          <w:szCs w:val="24"/>
        </w:rPr>
        <w:t xml:space="preserve">The second wave of </w:t>
      </w:r>
      <w:r w:rsidR="008D6303" w:rsidRPr="00C91CDE">
        <w:rPr>
          <w:b/>
          <w:sz w:val="24"/>
          <w:szCs w:val="24"/>
        </w:rPr>
        <w:t xml:space="preserve">sub-regional </w:t>
      </w:r>
      <w:r w:rsidRPr="00C91CDE">
        <w:rPr>
          <w:b/>
          <w:sz w:val="24"/>
          <w:szCs w:val="24"/>
        </w:rPr>
        <w:t>concession</w:t>
      </w:r>
      <w:r w:rsidR="008C4ECC" w:rsidRPr="00C91CDE">
        <w:rPr>
          <w:b/>
          <w:sz w:val="24"/>
          <w:szCs w:val="24"/>
        </w:rPr>
        <w:t>s</w:t>
      </w:r>
      <w:r w:rsidRPr="00C91CDE">
        <w:rPr>
          <w:b/>
          <w:sz w:val="24"/>
          <w:szCs w:val="24"/>
        </w:rPr>
        <w:t xml:space="preserve"> differs from the first in </w:t>
      </w:r>
      <w:r w:rsidR="008C4ECC" w:rsidRPr="00C91CDE">
        <w:rPr>
          <w:b/>
          <w:sz w:val="24"/>
          <w:szCs w:val="24"/>
        </w:rPr>
        <w:t>that i</w:t>
      </w:r>
      <w:r w:rsidR="00B62F1E" w:rsidRPr="00C91CDE">
        <w:rPr>
          <w:b/>
          <w:sz w:val="24"/>
          <w:szCs w:val="24"/>
        </w:rPr>
        <w:t>t i</w:t>
      </w:r>
      <w:r w:rsidR="008C4ECC" w:rsidRPr="00C91CDE">
        <w:rPr>
          <w:b/>
          <w:sz w:val="24"/>
          <w:szCs w:val="24"/>
        </w:rPr>
        <w:t xml:space="preserve">nvolves </w:t>
      </w:r>
      <w:r w:rsidRPr="00C91CDE">
        <w:rPr>
          <w:b/>
          <w:sz w:val="24"/>
          <w:szCs w:val="24"/>
        </w:rPr>
        <w:t xml:space="preserve">large </w:t>
      </w:r>
      <w:r w:rsidR="00532DF1" w:rsidRPr="00C91CDE">
        <w:rPr>
          <w:b/>
          <w:sz w:val="24"/>
          <w:szCs w:val="24"/>
        </w:rPr>
        <w:t>Greenfield</w:t>
      </w:r>
      <w:r w:rsidRPr="00C91CDE">
        <w:rPr>
          <w:b/>
          <w:sz w:val="24"/>
          <w:szCs w:val="24"/>
        </w:rPr>
        <w:t xml:space="preserve"> terminal development. </w:t>
      </w:r>
      <w:r w:rsidR="009E5FCF" w:rsidRPr="00C91CDE">
        <w:rPr>
          <w:sz w:val="24"/>
          <w:szCs w:val="24"/>
        </w:rPr>
        <w:t>Terminal operating companies now manage almost all existing container facilities</w:t>
      </w:r>
      <w:r w:rsidRPr="00C91CDE">
        <w:rPr>
          <w:sz w:val="24"/>
          <w:szCs w:val="24"/>
        </w:rPr>
        <w:t xml:space="preserve"> with the exception mentioned </w:t>
      </w:r>
      <w:r w:rsidR="007A173D" w:rsidRPr="007A173D">
        <w:rPr>
          <w:rFonts w:ascii="Calibri" w:hAnsi="Calibri"/>
          <w:sz w:val="24"/>
          <w:szCs w:val="24"/>
        </w:rPr>
        <w:t>earlier of the Gambia and Guinea-Bissau</w:t>
      </w:r>
      <w:r w:rsidR="007A173D" w:rsidRPr="007A173D">
        <w:rPr>
          <w:rFonts w:ascii="Calibri" w:hAnsi="Calibri"/>
          <w:sz w:val="24"/>
          <w:szCs w:val="24"/>
          <w:vertAlign w:val="superscript"/>
        </w:rPr>
        <w:footnoteReference w:id="30"/>
      </w:r>
      <w:r w:rsidR="007A173D" w:rsidRPr="007A173D">
        <w:rPr>
          <w:rFonts w:ascii="Calibri" w:hAnsi="Calibri"/>
          <w:sz w:val="24"/>
          <w:szCs w:val="24"/>
        </w:rPr>
        <w:t>. New</w:t>
      </w:r>
      <w:r w:rsidRPr="00C91CDE">
        <w:rPr>
          <w:sz w:val="24"/>
          <w:szCs w:val="24"/>
        </w:rPr>
        <w:t xml:space="preserve"> concessions therefore involve the development of new terminals. The magnitude of the investments is a degree higher, with </w:t>
      </w:r>
      <w:r w:rsidR="00D212AF" w:rsidRPr="00C91CDE">
        <w:rPr>
          <w:sz w:val="24"/>
          <w:szCs w:val="24"/>
        </w:rPr>
        <w:t>f</w:t>
      </w:r>
      <w:r w:rsidR="002E5C97" w:rsidRPr="00C91CDE">
        <w:rPr>
          <w:sz w:val="24"/>
          <w:szCs w:val="24"/>
        </w:rPr>
        <w:t>igure</w:t>
      </w:r>
      <w:r w:rsidRPr="00C91CDE">
        <w:rPr>
          <w:sz w:val="24"/>
          <w:szCs w:val="24"/>
        </w:rPr>
        <w:t xml:space="preserve">s well above </w:t>
      </w:r>
      <w:r w:rsidR="008C4ECC" w:rsidRPr="00C91CDE">
        <w:rPr>
          <w:sz w:val="24"/>
          <w:szCs w:val="24"/>
        </w:rPr>
        <w:t>a</w:t>
      </w:r>
      <w:r w:rsidRPr="00C91CDE">
        <w:rPr>
          <w:sz w:val="24"/>
          <w:szCs w:val="24"/>
        </w:rPr>
        <w:t xml:space="preserve"> billion dollar</w:t>
      </w:r>
      <w:r w:rsidR="008C4ECC" w:rsidRPr="00C91CDE">
        <w:rPr>
          <w:sz w:val="24"/>
          <w:szCs w:val="24"/>
        </w:rPr>
        <w:t>s</w:t>
      </w:r>
      <w:r w:rsidRPr="00C91CDE">
        <w:rPr>
          <w:sz w:val="24"/>
          <w:szCs w:val="24"/>
        </w:rPr>
        <w:t xml:space="preserve"> regularly quoted</w:t>
      </w:r>
      <w:r w:rsidR="008D6303" w:rsidRPr="00C91CDE">
        <w:rPr>
          <w:sz w:val="24"/>
          <w:szCs w:val="24"/>
        </w:rPr>
        <w:t xml:space="preserve"> in the press</w:t>
      </w:r>
      <w:r w:rsidRPr="00C91CDE">
        <w:rPr>
          <w:sz w:val="24"/>
          <w:szCs w:val="24"/>
        </w:rPr>
        <w:t xml:space="preserve">. Investments of this magnitude require </w:t>
      </w:r>
      <w:r w:rsidR="008C4ECC" w:rsidRPr="00C91CDE">
        <w:rPr>
          <w:sz w:val="24"/>
          <w:szCs w:val="24"/>
        </w:rPr>
        <w:t xml:space="preserve">confidence </w:t>
      </w:r>
      <w:r w:rsidRPr="00C91CDE">
        <w:rPr>
          <w:sz w:val="24"/>
          <w:szCs w:val="24"/>
        </w:rPr>
        <w:t>about future volumes of activity</w:t>
      </w:r>
      <w:r w:rsidR="000A1F7B" w:rsidRPr="00C91CDE">
        <w:rPr>
          <w:sz w:val="24"/>
          <w:szCs w:val="24"/>
        </w:rPr>
        <w:t xml:space="preserve"> and may explain why </w:t>
      </w:r>
      <w:r w:rsidR="00D73D44" w:rsidRPr="00C91CDE">
        <w:rPr>
          <w:sz w:val="24"/>
          <w:szCs w:val="24"/>
        </w:rPr>
        <w:t xml:space="preserve">such development is being promoted by TOC’s with clear linkages with shipping lines. </w:t>
      </w:r>
      <w:r w:rsidR="00EE55D2" w:rsidRPr="00C91CDE">
        <w:rPr>
          <w:sz w:val="24"/>
          <w:szCs w:val="24"/>
        </w:rPr>
        <w:t xml:space="preserve">Examples are MSC in </w:t>
      </w:r>
      <w:r w:rsidR="00C922CA">
        <w:rPr>
          <w:sz w:val="24"/>
          <w:szCs w:val="24"/>
        </w:rPr>
        <w:t>Lomé</w:t>
      </w:r>
      <w:r w:rsidR="00EE55D2" w:rsidRPr="00C91CDE">
        <w:rPr>
          <w:sz w:val="24"/>
          <w:szCs w:val="24"/>
        </w:rPr>
        <w:t xml:space="preserve"> and </w:t>
      </w:r>
      <w:r w:rsidRPr="00C91CDE">
        <w:rPr>
          <w:sz w:val="24"/>
          <w:szCs w:val="24"/>
        </w:rPr>
        <w:t>CMA CGM i</w:t>
      </w:r>
      <w:r w:rsidR="00780BE9" w:rsidRPr="00C91CDE">
        <w:rPr>
          <w:sz w:val="24"/>
          <w:szCs w:val="24"/>
        </w:rPr>
        <w:t>n</w:t>
      </w:r>
      <w:r w:rsidRPr="00C91CDE">
        <w:rPr>
          <w:sz w:val="24"/>
          <w:szCs w:val="24"/>
        </w:rPr>
        <w:t xml:space="preserve"> Lekk</w:t>
      </w:r>
      <w:r w:rsidR="0064574A">
        <w:rPr>
          <w:sz w:val="24"/>
          <w:szCs w:val="24"/>
        </w:rPr>
        <w:t>i,</w:t>
      </w:r>
      <w:r w:rsidR="00780BE9" w:rsidRPr="00C91CDE">
        <w:rPr>
          <w:sz w:val="24"/>
          <w:szCs w:val="24"/>
        </w:rPr>
        <w:t xml:space="preserve"> both of which are </w:t>
      </w:r>
      <w:r w:rsidR="005E337E" w:rsidRPr="00C91CDE">
        <w:rPr>
          <w:sz w:val="24"/>
          <w:szCs w:val="24"/>
        </w:rPr>
        <w:t xml:space="preserve">expected </w:t>
      </w:r>
      <w:r w:rsidR="00780BE9" w:rsidRPr="00C91CDE">
        <w:rPr>
          <w:sz w:val="24"/>
          <w:szCs w:val="24"/>
        </w:rPr>
        <w:t>to be hub</w:t>
      </w:r>
      <w:r w:rsidR="005E337E" w:rsidRPr="00C91CDE">
        <w:rPr>
          <w:sz w:val="24"/>
          <w:szCs w:val="24"/>
        </w:rPr>
        <w:t xml:space="preserve"> port</w:t>
      </w:r>
      <w:r w:rsidR="00780BE9" w:rsidRPr="00C91CDE">
        <w:rPr>
          <w:sz w:val="24"/>
          <w:szCs w:val="24"/>
        </w:rPr>
        <w:t>s</w:t>
      </w:r>
      <w:r w:rsidRPr="00C91CDE">
        <w:rPr>
          <w:sz w:val="24"/>
          <w:szCs w:val="24"/>
        </w:rPr>
        <w:t xml:space="preserve">. Growth prospects are equally important: with the saturation of the Lagos port area, and </w:t>
      </w:r>
      <w:r w:rsidR="00825E18">
        <w:rPr>
          <w:sz w:val="24"/>
          <w:szCs w:val="24"/>
        </w:rPr>
        <w:t xml:space="preserve">what was then perceived as </w:t>
      </w:r>
      <w:r w:rsidRPr="00C91CDE">
        <w:rPr>
          <w:sz w:val="24"/>
          <w:szCs w:val="24"/>
        </w:rPr>
        <w:t xml:space="preserve">the </w:t>
      </w:r>
      <w:r w:rsidR="009E45C7" w:rsidRPr="00C91CDE">
        <w:rPr>
          <w:sz w:val="24"/>
          <w:szCs w:val="24"/>
        </w:rPr>
        <w:t xml:space="preserve">sizable </w:t>
      </w:r>
      <w:r w:rsidRPr="00C91CDE">
        <w:rPr>
          <w:sz w:val="24"/>
          <w:szCs w:val="24"/>
        </w:rPr>
        <w:t>container trade forecast for Nigeria</w:t>
      </w:r>
      <w:r w:rsidR="00825E18">
        <w:rPr>
          <w:sz w:val="24"/>
          <w:szCs w:val="24"/>
        </w:rPr>
        <w:t xml:space="preserve"> before the recent economic downturn</w:t>
      </w:r>
      <w:r w:rsidRPr="00C91CDE">
        <w:rPr>
          <w:sz w:val="24"/>
          <w:szCs w:val="24"/>
        </w:rPr>
        <w:t xml:space="preserve">, the prospects for new mega-ports around Lagos </w:t>
      </w:r>
      <w:r w:rsidR="00825E18">
        <w:rPr>
          <w:sz w:val="24"/>
          <w:szCs w:val="24"/>
        </w:rPr>
        <w:t>were looking</w:t>
      </w:r>
      <w:r w:rsidR="00825E18" w:rsidRPr="00C91CDE">
        <w:rPr>
          <w:sz w:val="24"/>
          <w:szCs w:val="24"/>
        </w:rPr>
        <w:t xml:space="preserve"> </w:t>
      </w:r>
      <w:r w:rsidRPr="00C91CDE">
        <w:rPr>
          <w:sz w:val="24"/>
          <w:szCs w:val="24"/>
        </w:rPr>
        <w:t>bright.</w:t>
      </w:r>
    </w:p>
    <w:p w14:paraId="35E9FB9A" w14:textId="77777777" w:rsidR="00B839CF" w:rsidRPr="004B2A73" w:rsidRDefault="00B839CF" w:rsidP="0025767C">
      <w:pPr>
        <w:pStyle w:val="ListParagraph"/>
        <w:spacing w:after="0"/>
        <w:ind w:left="0"/>
        <w:rPr>
          <w:rFonts w:ascii="Calibri" w:hAnsi="Calibri"/>
          <w:sz w:val="24"/>
        </w:rPr>
      </w:pPr>
    </w:p>
    <w:p w14:paraId="6C660268" w14:textId="488E5842" w:rsidR="006420D5" w:rsidRPr="004B2A73" w:rsidRDefault="00A31EDE" w:rsidP="00A31EDE">
      <w:pPr>
        <w:pStyle w:val="Caption"/>
        <w:rPr>
          <w:rFonts w:ascii="Calibri" w:hAnsi="Calibri"/>
        </w:rPr>
      </w:pPr>
      <w:bookmarkStart w:id="51" w:name="_Toc485377022"/>
      <w:r>
        <w:lastRenderedPageBreak/>
        <w:t xml:space="preserve">Map </w:t>
      </w:r>
      <w:fldSimple w:instr=" SEQ Map \* ARABIC ">
        <w:r w:rsidR="00212D01">
          <w:rPr>
            <w:noProof/>
          </w:rPr>
          <w:t>2</w:t>
        </w:r>
      </w:fldSimple>
      <w:r w:rsidRPr="004B2A73">
        <w:rPr>
          <w:rFonts w:ascii="Calibri" w:hAnsi="Calibri"/>
        </w:rPr>
        <w:t>: West Africa Container Terminal Operators</w:t>
      </w:r>
      <w:bookmarkEnd w:id="51"/>
    </w:p>
    <w:p w14:paraId="20774A37" w14:textId="77777777" w:rsidR="0045649C" w:rsidRDefault="001A6E03" w:rsidP="006420D5">
      <w:pPr>
        <w:rPr>
          <w:rFonts w:ascii="Calibri" w:hAnsi="Calibri"/>
          <w:sz w:val="24"/>
          <w:szCs w:val="24"/>
        </w:rPr>
      </w:pPr>
      <w:r w:rsidRPr="00912767">
        <w:rPr>
          <w:noProof/>
        </w:rPr>
        <w:drawing>
          <wp:inline distT="0" distB="0" distL="0" distR="0" wp14:anchorId="394AA339" wp14:editId="7F64A6A2">
            <wp:extent cx="5941900" cy="4516340"/>
            <wp:effectExtent l="0" t="0" r="1905" b="0"/>
            <wp:docPr id="2" name="Picture 2" descr="C:\Users\wb259485\AppData\Local\Microsoft\Windows\Temporary Internet Files\Content.Outlook\I824AJHP\WAF4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59485\AppData\Local\Microsoft\Windows\Temporary Internet Files\Content.Outlook\I824AJHP\WAF417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4490" cy="4525909"/>
                    </a:xfrm>
                    <a:prstGeom prst="rect">
                      <a:avLst/>
                    </a:prstGeom>
                    <a:noFill/>
                    <a:ln>
                      <a:noFill/>
                    </a:ln>
                  </pic:spPr>
                </pic:pic>
              </a:graphicData>
            </a:graphic>
          </wp:inline>
        </w:drawing>
      </w:r>
    </w:p>
    <w:p w14:paraId="1B66F254" w14:textId="77777777" w:rsidR="00A31EDE" w:rsidRDefault="00A31EDE" w:rsidP="006420D5">
      <w:pPr>
        <w:rPr>
          <w:rFonts w:ascii="Calibri" w:hAnsi="Calibri"/>
          <w:sz w:val="24"/>
          <w:szCs w:val="24"/>
        </w:rPr>
      </w:pPr>
    </w:p>
    <w:p w14:paraId="48A2D86D" w14:textId="77777777" w:rsidR="008C4ECC" w:rsidRPr="0060262C" w:rsidRDefault="00022CDC" w:rsidP="00E826B9">
      <w:pPr>
        <w:pStyle w:val="Heading3"/>
        <w:numPr>
          <w:ilvl w:val="2"/>
          <w:numId w:val="9"/>
        </w:numPr>
        <w:ind w:left="0"/>
        <w:rPr>
          <w:rFonts w:asciiTheme="minorHAnsi" w:hAnsiTheme="minorHAnsi" w:cstheme="minorHAnsi"/>
          <w:color w:val="auto"/>
        </w:rPr>
      </w:pPr>
      <w:r w:rsidRPr="0060262C">
        <w:rPr>
          <w:rFonts w:asciiTheme="minorHAnsi" w:hAnsiTheme="minorHAnsi" w:cstheme="minorHAnsi"/>
          <w:color w:val="auto"/>
        </w:rPr>
        <w:t>The legal and regulatory framework for ports</w:t>
      </w:r>
    </w:p>
    <w:p w14:paraId="2A55A03F" w14:textId="77777777" w:rsidR="009C6E8E" w:rsidRPr="004B2A73" w:rsidRDefault="009C6E8E" w:rsidP="009C6E8E">
      <w:pPr>
        <w:pStyle w:val="ListParagraph"/>
        <w:spacing w:after="0"/>
        <w:ind w:left="0"/>
        <w:rPr>
          <w:rFonts w:ascii="Calibri" w:hAnsi="Calibri"/>
          <w:sz w:val="24"/>
        </w:rPr>
      </w:pPr>
    </w:p>
    <w:p w14:paraId="31F151C7" w14:textId="77777777"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presence of </w:t>
      </w:r>
      <w:r w:rsidR="00022CDC" w:rsidRPr="004B2A73">
        <w:rPr>
          <w:rFonts w:ascii="Calibri" w:hAnsi="Calibri"/>
          <w:b/>
          <w:sz w:val="24"/>
        </w:rPr>
        <w:t>public-private partnership (</w:t>
      </w:r>
      <w:r w:rsidRPr="004B2A73">
        <w:rPr>
          <w:rFonts w:ascii="Calibri" w:hAnsi="Calibri"/>
          <w:b/>
          <w:sz w:val="24"/>
        </w:rPr>
        <w:t>PPP</w:t>
      </w:r>
      <w:r w:rsidR="00022CDC" w:rsidRPr="004B2A73">
        <w:rPr>
          <w:rFonts w:ascii="Calibri" w:hAnsi="Calibri"/>
          <w:b/>
          <w:sz w:val="24"/>
        </w:rPr>
        <w:t>)</w:t>
      </w:r>
      <w:r w:rsidRPr="004B2A73">
        <w:rPr>
          <w:rFonts w:ascii="Calibri" w:hAnsi="Calibri"/>
          <w:b/>
          <w:sz w:val="24"/>
        </w:rPr>
        <w:t xml:space="preserve"> legislation is an important signal of government readiness to engage with the private sector</w:t>
      </w:r>
      <w:r w:rsidR="00906DB4" w:rsidRPr="004B2A73">
        <w:rPr>
          <w:rFonts w:ascii="Calibri" w:hAnsi="Calibri"/>
          <w:b/>
          <w:sz w:val="24"/>
        </w:rPr>
        <w:t>,</w:t>
      </w:r>
      <w:r w:rsidRPr="004B2A73">
        <w:rPr>
          <w:rFonts w:ascii="Calibri" w:hAnsi="Calibri"/>
          <w:b/>
          <w:sz w:val="24"/>
        </w:rPr>
        <w:t xml:space="preserve"> </w:t>
      </w:r>
      <w:r w:rsidRPr="004B2A73">
        <w:rPr>
          <w:rFonts w:ascii="Calibri" w:hAnsi="Calibri"/>
          <w:sz w:val="24"/>
        </w:rPr>
        <w:t xml:space="preserve">as it </w:t>
      </w:r>
      <w:r w:rsidRPr="000A7291">
        <w:rPr>
          <w:rFonts w:ascii="Calibri" w:hAnsi="Calibri"/>
          <w:sz w:val="24"/>
          <w:szCs w:val="24"/>
        </w:rPr>
        <w:t>provides</w:t>
      </w:r>
      <w:r w:rsidRPr="004B2A73">
        <w:rPr>
          <w:rFonts w:ascii="Calibri" w:hAnsi="Calibri"/>
          <w:sz w:val="24"/>
          <w:lang w:bidi="hi-IN"/>
        </w:rPr>
        <w:t xml:space="preserve"> a predictable legal framework within which businesses and citizens can act, plan and invest.  </w:t>
      </w:r>
      <w:r w:rsidRPr="004B2A73">
        <w:rPr>
          <w:rFonts w:ascii="Calibri" w:hAnsi="Calibri"/>
          <w:sz w:val="24"/>
        </w:rPr>
        <w:t>PPP or concession laws may be enacted for a number of reasons, such as to give prior</w:t>
      </w:r>
      <w:r w:rsidR="008C4ECC" w:rsidRPr="004B2A73">
        <w:rPr>
          <w:rFonts w:ascii="Calibri" w:hAnsi="Calibri"/>
          <w:sz w:val="24"/>
        </w:rPr>
        <w:t>i</w:t>
      </w:r>
      <w:r w:rsidRPr="004B2A73">
        <w:rPr>
          <w:rFonts w:ascii="Calibri" w:hAnsi="Calibri"/>
          <w:sz w:val="24"/>
        </w:rPr>
        <w:t>ty to a process of developing, procuring and reviewing PPP projects that will take priority over sector laws, or to establish a clear institutional framework for developing, procuring and implementing PPPs.  PPP laws can also be used to close gaps in the laws of a host country where the modifications are embodied in sector-specific law, procurement or competition law for open and fair procurement processes, or included in a general concession or PPP law. Such changes are often found concurrently with greater financial and human resources being allocated to training and capacity building</w:t>
      </w:r>
      <w:r w:rsidR="00022CDC" w:rsidRPr="004B2A73">
        <w:rPr>
          <w:rFonts w:ascii="Calibri" w:hAnsi="Calibri"/>
          <w:sz w:val="24"/>
        </w:rPr>
        <w:t>,</w:t>
      </w:r>
      <w:r w:rsidRPr="004B2A73">
        <w:rPr>
          <w:rFonts w:ascii="Calibri" w:hAnsi="Calibri"/>
          <w:sz w:val="24"/>
        </w:rPr>
        <w:t xml:space="preserve"> which in turn support more PPP transactions. Despite these positive associations, legislation is not a necessary pre-condition for successful port concessions</w:t>
      </w:r>
      <w:r w:rsidR="00123BDA" w:rsidRPr="004B2A73">
        <w:rPr>
          <w:rFonts w:ascii="Calibri" w:hAnsi="Calibri"/>
          <w:sz w:val="24"/>
        </w:rPr>
        <w:t>,</w:t>
      </w:r>
      <w:r w:rsidRPr="004B2A73">
        <w:rPr>
          <w:rFonts w:ascii="Calibri" w:hAnsi="Calibri"/>
          <w:sz w:val="24"/>
        </w:rPr>
        <w:t xml:space="preserve"> as demonstrated by the case</w:t>
      </w:r>
      <w:r w:rsidR="00123BDA" w:rsidRPr="004B2A73">
        <w:rPr>
          <w:rFonts w:ascii="Calibri" w:hAnsi="Calibri"/>
          <w:sz w:val="24"/>
        </w:rPr>
        <w:t>s</w:t>
      </w:r>
      <w:r w:rsidRPr="004B2A73">
        <w:rPr>
          <w:rFonts w:ascii="Calibri" w:hAnsi="Calibri"/>
          <w:sz w:val="24"/>
        </w:rPr>
        <w:t xml:space="preserve"> of Liberia</w:t>
      </w:r>
      <w:r w:rsidR="00F92E55" w:rsidRPr="004B2A73">
        <w:rPr>
          <w:rFonts w:ascii="Calibri" w:hAnsi="Calibri"/>
          <w:sz w:val="24"/>
        </w:rPr>
        <w:t xml:space="preserve"> and Sierra Leone.</w:t>
      </w:r>
    </w:p>
    <w:p w14:paraId="11DAFE50" w14:textId="77777777" w:rsidR="009C6E8E" w:rsidRPr="004B2A73" w:rsidRDefault="009C6E8E" w:rsidP="009C6E8E">
      <w:pPr>
        <w:pStyle w:val="ListParagraph"/>
        <w:spacing w:after="0"/>
        <w:ind w:left="0"/>
        <w:rPr>
          <w:rFonts w:ascii="Calibri" w:hAnsi="Calibri"/>
          <w:sz w:val="24"/>
        </w:rPr>
      </w:pPr>
    </w:p>
    <w:p w14:paraId="195AED53" w14:textId="40997543" w:rsidR="006420D5"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Most West African countries, with the exception of Nigeria, lack comprehensive and specific PPP legislation to support </w:t>
      </w:r>
      <w:r w:rsidR="00022CDC" w:rsidRPr="004B2A73">
        <w:rPr>
          <w:rFonts w:ascii="Calibri" w:hAnsi="Calibri"/>
          <w:b/>
          <w:sz w:val="24"/>
        </w:rPr>
        <w:t>private sector participation</w:t>
      </w:r>
      <w:r w:rsidRPr="004B2A73">
        <w:rPr>
          <w:rFonts w:ascii="Calibri" w:hAnsi="Calibri"/>
          <w:b/>
          <w:sz w:val="24"/>
        </w:rPr>
        <w:t xml:space="preserve"> in infrastructure projects such as ports.  </w:t>
      </w:r>
      <w:r w:rsidRPr="004B2A73">
        <w:rPr>
          <w:rFonts w:ascii="Calibri" w:hAnsi="Calibri"/>
          <w:sz w:val="24"/>
        </w:rPr>
        <w:t>The analysis of the policy and legal framework governing PPP in the countries studied presents a contrasting picture</w:t>
      </w:r>
      <w:r w:rsidR="00022CDC" w:rsidRPr="004B2A73">
        <w:rPr>
          <w:rFonts w:ascii="Calibri" w:hAnsi="Calibri"/>
          <w:sz w:val="24"/>
        </w:rPr>
        <w:t>: l</w:t>
      </w:r>
      <w:r w:rsidRPr="004B2A73">
        <w:rPr>
          <w:rFonts w:ascii="Calibri" w:hAnsi="Calibri"/>
          <w:sz w:val="24"/>
        </w:rPr>
        <w:t>ess than half the countries hav</w:t>
      </w:r>
      <w:r w:rsidR="00022CDC" w:rsidRPr="004B2A73">
        <w:rPr>
          <w:rFonts w:ascii="Calibri" w:hAnsi="Calibri"/>
          <w:sz w:val="24"/>
        </w:rPr>
        <w:t>e</w:t>
      </w:r>
      <w:r w:rsidRPr="004B2A73">
        <w:rPr>
          <w:rFonts w:ascii="Calibri" w:hAnsi="Calibri"/>
          <w:sz w:val="24"/>
        </w:rPr>
        <w:t xml:space="preserve"> a PPP law on the books</w:t>
      </w:r>
      <w:r w:rsidR="00022CDC" w:rsidRPr="004B2A73">
        <w:rPr>
          <w:rFonts w:ascii="Calibri" w:hAnsi="Calibri"/>
          <w:sz w:val="24"/>
        </w:rPr>
        <w:t>,</w:t>
      </w:r>
      <w:r w:rsidRPr="004B2A73">
        <w:rPr>
          <w:rFonts w:ascii="Calibri" w:hAnsi="Calibri"/>
          <w:sz w:val="24"/>
        </w:rPr>
        <w:t xml:space="preserve"> and an equivalent number hav</w:t>
      </w:r>
      <w:r w:rsidR="00022CDC" w:rsidRPr="004B2A73">
        <w:rPr>
          <w:rFonts w:ascii="Calibri" w:hAnsi="Calibri"/>
          <w:sz w:val="24"/>
        </w:rPr>
        <w:t>e</w:t>
      </w:r>
      <w:r w:rsidRPr="004B2A73">
        <w:rPr>
          <w:rFonts w:ascii="Calibri" w:hAnsi="Calibri"/>
          <w:sz w:val="24"/>
        </w:rPr>
        <w:t xml:space="preserve"> no specific legislation.  Among</w:t>
      </w:r>
      <w:r w:rsidR="00022CDC" w:rsidRPr="004B2A73">
        <w:rPr>
          <w:rFonts w:ascii="Calibri" w:hAnsi="Calibri"/>
          <w:sz w:val="24"/>
        </w:rPr>
        <w:t xml:space="preserve"> </w:t>
      </w:r>
      <w:r w:rsidRPr="004B2A73">
        <w:rPr>
          <w:rFonts w:ascii="Calibri" w:hAnsi="Calibri"/>
          <w:sz w:val="24"/>
        </w:rPr>
        <w:t>those who have made provisions for PPPs, the Ivory Coast has concession</w:t>
      </w:r>
      <w:r w:rsidR="00022CDC" w:rsidRPr="004B2A73">
        <w:rPr>
          <w:rFonts w:ascii="Calibri" w:hAnsi="Calibri"/>
          <w:sz w:val="24"/>
        </w:rPr>
        <w:t>-</w:t>
      </w:r>
      <w:r w:rsidRPr="004B2A73">
        <w:rPr>
          <w:rFonts w:ascii="Calibri" w:hAnsi="Calibri"/>
          <w:sz w:val="24"/>
        </w:rPr>
        <w:t xml:space="preserve">related provisions in its Public Procurement Code while Sierra Leone approved a specific PPP law in 2010. With the Infrastructure Concession Regulatory Commission (ICRC) Act of 2005 and a number of policy papers and regulations since then, Nigeria has </w:t>
      </w:r>
      <w:r w:rsidR="00657193" w:rsidRPr="004B2A73">
        <w:rPr>
          <w:rFonts w:ascii="Calibri" w:hAnsi="Calibri"/>
          <w:sz w:val="24"/>
        </w:rPr>
        <w:t xml:space="preserve">created </w:t>
      </w:r>
      <w:r w:rsidRPr="004B2A73">
        <w:rPr>
          <w:rFonts w:ascii="Calibri" w:hAnsi="Calibri"/>
          <w:sz w:val="24"/>
        </w:rPr>
        <w:t>the most advanced regulatory environment for infrastructure concessions at the national level</w:t>
      </w:r>
      <w:r w:rsidR="00657193" w:rsidRPr="004B2A73">
        <w:rPr>
          <w:rFonts w:ascii="Calibri" w:hAnsi="Calibri"/>
          <w:sz w:val="24"/>
        </w:rPr>
        <w:t xml:space="preserve"> albeit one that is</w:t>
      </w:r>
      <w:r w:rsidR="001E38D6" w:rsidRPr="004B2A73">
        <w:rPr>
          <w:rFonts w:ascii="Calibri" w:hAnsi="Calibri"/>
          <w:sz w:val="24"/>
        </w:rPr>
        <w:t xml:space="preserve"> still to deliver on its promise. </w:t>
      </w:r>
      <w:r w:rsidRPr="004B2A73">
        <w:rPr>
          <w:rFonts w:ascii="Calibri" w:hAnsi="Calibri"/>
          <w:sz w:val="24"/>
        </w:rPr>
        <w:t>Individual states have followed the federal example, with Lagos State the most advanced in this respect.  The Parliaments of Benin and Ghana are currently in the process of reviewing specific legislation</w:t>
      </w:r>
      <w:r w:rsidR="00123BDA" w:rsidRPr="004B2A73">
        <w:rPr>
          <w:rFonts w:ascii="Calibri" w:hAnsi="Calibri"/>
          <w:sz w:val="24"/>
        </w:rPr>
        <w:t xml:space="preserve"> for private sector participation</w:t>
      </w:r>
      <w:r w:rsidRPr="004B2A73">
        <w:rPr>
          <w:rFonts w:ascii="Calibri" w:hAnsi="Calibri"/>
          <w:sz w:val="24"/>
        </w:rPr>
        <w:t>. On the policy front, Ghana has a National PPP Policy since 2011</w:t>
      </w:r>
      <w:r w:rsidR="00022CDC" w:rsidRPr="004B2A73">
        <w:rPr>
          <w:rFonts w:ascii="Calibri" w:hAnsi="Calibri"/>
          <w:sz w:val="24"/>
        </w:rPr>
        <w:t>,</w:t>
      </w:r>
      <w:r w:rsidRPr="004B2A73">
        <w:rPr>
          <w:rFonts w:ascii="Calibri" w:hAnsi="Calibri"/>
          <w:sz w:val="24"/>
        </w:rPr>
        <w:t xml:space="preserve"> while Guinea, Togo, Gambia and Liberia are completing diagnostics on their PPP frameworks</w:t>
      </w:r>
      <w:r w:rsidR="00022CDC" w:rsidRPr="004B2A73">
        <w:rPr>
          <w:rFonts w:ascii="Calibri" w:hAnsi="Calibri"/>
          <w:sz w:val="24"/>
        </w:rPr>
        <w:t>,</w:t>
      </w:r>
      <w:r w:rsidRPr="004B2A73">
        <w:rPr>
          <w:rFonts w:ascii="Calibri" w:hAnsi="Calibri"/>
          <w:sz w:val="24"/>
        </w:rPr>
        <w:t xml:space="preserve"> supported variously by PPIAF and the IFC</w:t>
      </w:r>
      <w:r w:rsidR="00B738E5">
        <w:rPr>
          <w:rFonts w:ascii="Calibri" w:hAnsi="Calibri"/>
          <w:sz w:val="24"/>
        </w:rPr>
        <w:t xml:space="preserve"> (International Finance Cooperation)</w:t>
      </w:r>
      <w:r w:rsidRPr="004B2A73">
        <w:rPr>
          <w:rFonts w:ascii="Calibri" w:hAnsi="Calibri"/>
          <w:sz w:val="24"/>
        </w:rPr>
        <w:t>.</w:t>
      </w:r>
    </w:p>
    <w:p w14:paraId="504F4DB6" w14:textId="77777777" w:rsidR="00DA4D83" w:rsidRDefault="00DA4D83" w:rsidP="00E4001C">
      <w:pPr>
        <w:pStyle w:val="ListParagraph"/>
        <w:spacing w:after="0"/>
        <w:ind w:left="0"/>
        <w:rPr>
          <w:rFonts w:ascii="Calibri" w:hAnsi="Calibri"/>
          <w:sz w:val="24"/>
        </w:rPr>
      </w:pPr>
    </w:p>
    <w:p w14:paraId="76496544" w14:textId="4CFCCB2F" w:rsidR="00806B2A" w:rsidRDefault="00607DB9" w:rsidP="00AF33A5">
      <w:pPr>
        <w:pStyle w:val="Caption"/>
        <w:rPr>
          <w:rFonts w:ascii="Calibri" w:hAnsi="Calibri"/>
        </w:rPr>
      </w:pPr>
      <w:bookmarkStart w:id="52" w:name="_Toc485381917"/>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6</w:t>
      </w:r>
      <w:r w:rsidR="00811885" w:rsidRPr="004B2A73">
        <w:rPr>
          <w:rFonts w:ascii="Calibri" w:hAnsi="Calibri"/>
          <w:noProof/>
        </w:rPr>
        <w:fldChar w:fldCharType="end"/>
      </w:r>
      <w:r w:rsidRPr="004B2A73">
        <w:rPr>
          <w:rFonts w:ascii="Calibri" w:hAnsi="Calibri"/>
        </w:rPr>
        <w:t>: Variations of port PPP legislations in West Africa</w:t>
      </w:r>
      <w:bookmarkEnd w:id="52"/>
    </w:p>
    <w:tbl>
      <w:tblPr>
        <w:tblStyle w:val="ListTable3-Accent31"/>
        <w:tblW w:w="3368" w:type="pct"/>
        <w:tblLook w:val="04A0" w:firstRow="1" w:lastRow="0" w:firstColumn="1" w:lastColumn="0" w:noHBand="0" w:noVBand="1"/>
      </w:tblPr>
      <w:tblGrid>
        <w:gridCol w:w="2238"/>
        <w:gridCol w:w="2260"/>
        <w:gridCol w:w="1800"/>
      </w:tblGrid>
      <w:tr w:rsidR="00806B2A" w:rsidRPr="004B2A73" w14:paraId="6D4D1B3C" w14:textId="77777777" w:rsidTr="007A173D">
        <w:trPr>
          <w:cnfStyle w:val="100000000000" w:firstRow="1" w:lastRow="0" w:firstColumn="0" w:lastColumn="0" w:oddVBand="0" w:evenVBand="0" w:oddHBand="0" w:evenHBand="0" w:firstRowFirstColumn="0" w:firstRowLastColumn="0" w:lastRowFirstColumn="0" w:lastRowLastColumn="0"/>
          <w:trHeight w:val="98"/>
        </w:trPr>
        <w:tc>
          <w:tcPr>
            <w:cnfStyle w:val="001000000100" w:firstRow="0" w:lastRow="0" w:firstColumn="1" w:lastColumn="0" w:oddVBand="0" w:evenVBand="0" w:oddHBand="0" w:evenHBand="0" w:firstRowFirstColumn="1" w:firstRowLastColumn="0" w:lastRowFirstColumn="0" w:lastRowLastColumn="0"/>
            <w:tcW w:w="1777" w:type="pct"/>
          </w:tcPr>
          <w:p w14:paraId="78BEE8B9"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Specific PPP legislation implemented</w:t>
            </w:r>
          </w:p>
        </w:tc>
        <w:tc>
          <w:tcPr>
            <w:tcW w:w="1794" w:type="pct"/>
          </w:tcPr>
          <w:p w14:paraId="4EF2E755" w14:textId="77777777" w:rsidR="00806B2A" w:rsidRPr="004B2A73" w:rsidRDefault="00806B2A" w:rsidP="00DF7415">
            <w:pPr>
              <w:pStyle w:val="table-text"/>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Specific PPP legislation in process</w:t>
            </w:r>
          </w:p>
        </w:tc>
        <w:tc>
          <w:tcPr>
            <w:tcW w:w="1429" w:type="pct"/>
          </w:tcPr>
          <w:p w14:paraId="57A197E5" w14:textId="77777777" w:rsidR="00806B2A" w:rsidRPr="004B2A73" w:rsidRDefault="00806B2A" w:rsidP="00DF7415">
            <w:pPr>
              <w:pStyle w:val="table-text"/>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No specific PPP legislation</w:t>
            </w:r>
          </w:p>
        </w:tc>
      </w:tr>
      <w:tr w:rsidR="00806B2A" w:rsidRPr="004B2A73" w14:paraId="610A3BC5" w14:textId="77777777" w:rsidTr="007A173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777" w:type="pct"/>
          </w:tcPr>
          <w:p w14:paraId="421AADFB" w14:textId="77777777" w:rsidR="00806B2A" w:rsidRPr="004B2A73" w:rsidRDefault="00806B2A" w:rsidP="00DF7415">
            <w:pPr>
              <w:pStyle w:val="table-text"/>
              <w:rPr>
                <w:rFonts w:ascii="Calibri" w:hAnsi="Calibri"/>
                <w:b w:val="0"/>
                <w:sz w:val="22"/>
                <w:szCs w:val="22"/>
                <w:lang w:val="fr-FR"/>
              </w:rPr>
            </w:pPr>
            <w:r w:rsidRPr="004B2A73">
              <w:rPr>
                <w:rFonts w:ascii="Calibri" w:hAnsi="Calibri"/>
                <w:b w:val="0"/>
                <w:sz w:val="22"/>
                <w:szCs w:val="22"/>
                <w:lang w:val="fr-FR"/>
              </w:rPr>
              <w:t>Côte d'Ivoire</w:t>
            </w:r>
          </w:p>
          <w:p w14:paraId="1491404A" w14:textId="77777777" w:rsidR="00806B2A" w:rsidRPr="004B2A73" w:rsidRDefault="00806B2A" w:rsidP="00DF7415">
            <w:pPr>
              <w:pStyle w:val="table-text"/>
              <w:rPr>
                <w:rFonts w:ascii="Calibri" w:hAnsi="Calibri"/>
                <w:b w:val="0"/>
                <w:sz w:val="22"/>
                <w:szCs w:val="22"/>
                <w:lang w:val="fr-FR"/>
              </w:rPr>
            </w:pPr>
            <w:r w:rsidRPr="004B2A73">
              <w:rPr>
                <w:rFonts w:ascii="Calibri" w:hAnsi="Calibri"/>
                <w:b w:val="0"/>
                <w:sz w:val="22"/>
                <w:szCs w:val="22"/>
                <w:lang w:val="fr-FR"/>
              </w:rPr>
              <w:t>Nigeria</w:t>
            </w:r>
          </w:p>
          <w:p w14:paraId="235C2303" w14:textId="3E5314F2" w:rsidR="00806B2A" w:rsidRPr="004B2A73" w:rsidRDefault="00532DF1" w:rsidP="00DF7415">
            <w:pPr>
              <w:pStyle w:val="table-text"/>
              <w:rPr>
                <w:rFonts w:ascii="Calibri" w:hAnsi="Calibri"/>
                <w:b w:val="0"/>
                <w:sz w:val="22"/>
                <w:szCs w:val="22"/>
                <w:lang w:val="fr-FR"/>
              </w:rPr>
            </w:pPr>
            <w:r w:rsidRPr="004B2A73">
              <w:rPr>
                <w:rFonts w:ascii="Calibri" w:hAnsi="Calibri"/>
                <w:b w:val="0"/>
                <w:sz w:val="22"/>
                <w:szCs w:val="22"/>
                <w:lang w:val="fr-FR"/>
              </w:rPr>
              <w:t>Sénégal</w:t>
            </w:r>
          </w:p>
          <w:p w14:paraId="20B7F28C" w14:textId="77777777" w:rsidR="00806B2A" w:rsidRPr="004B2A73" w:rsidRDefault="00806B2A" w:rsidP="00DF7415">
            <w:pPr>
              <w:pStyle w:val="table-text"/>
              <w:rPr>
                <w:rFonts w:ascii="Calibri" w:hAnsi="Calibri"/>
                <w:sz w:val="22"/>
                <w:szCs w:val="22"/>
                <w:lang w:val="fr-FR"/>
              </w:rPr>
            </w:pPr>
            <w:r w:rsidRPr="004B2A73">
              <w:rPr>
                <w:rFonts w:ascii="Calibri" w:hAnsi="Calibri"/>
                <w:b w:val="0"/>
                <w:sz w:val="22"/>
                <w:szCs w:val="22"/>
                <w:lang w:val="fr-FR"/>
              </w:rPr>
              <w:t>Sierra Leone (2010)</w:t>
            </w:r>
          </w:p>
        </w:tc>
        <w:tc>
          <w:tcPr>
            <w:tcW w:w="1794" w:type="pct"/>
          </w:tcPr>
          <w:p w14:paraId="4BE0B123"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Benin</w:t>
            </w:r>
          </w:p>
          <w:p w14:paraId="05F8621C"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Ghana</w:t>
            </w:r>
          </w:p>
        </w:tc>
        <w:tc>
          <w:tcPr>
            <w:tcW w:w="1429" w:type="pct"/>
          </w:tcPr>
          <w:p w14:paraId="24D89035"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Gambia</w:t>
            </w:r>
          </w:p>
          <w:p w14:paraId="23211866"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Guinea</w:t>
            </w:r>
          </w:p>
          <w:p w14:paraId="47B1BE0C"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Liberia</w:t>
            </w:r>
          </w:p>
          <w:p w14:paraId="08D4A6A8"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Togo</w:t>
            </w:r>
          </w:p>
        </w:tc>
      </w:tr>
    </w:tbl>
    <w:p w14:paraId="06D64198" w14:textId="44D0B19D" w:rsidR="009C6E8E" w:rsidRPr="007A173D" w:rsidRDefault="00DF7415" w:rsidP="007A173D">
      <w:pPr>
        <w:spacing w:before="120"/>
        <w:rPr>
          <w:rFonts w:ascii="Calibri" w:hAnsi="Calibri"/>
          <w:szCs w:val="20"/>
        </w:rPr>
      </w:pPr>
      <w:r w:rsidRPr="007A173D">
        <w:rPr>
          <w:rFonts w:ascii="Calibri" w:hAnsi="Calibri"/>
          <w:szCs w:val="20"/>
        </w:rPr>
        <w:t>Source: ECORYS, August 2015</w:t>
      </w:r>
    </w:p>
    <w:p w14:paraId="48CF7D25" w14:textId="32466FA8" w:rsidR="006F757D"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By and large, </w:t>
      </w:r>
      <w:r w:rsidR="00E61CF3" w:rsidRPr="004B2A73">
        <w:rPr>
          <w:rFonts w:ascii="Calibri" w:hAnsi="Calibri"/>
          <w:b/>
          <w:sz w:val="24"/>
        </w:rPr>
        <w:t>national</w:t>
      </w:r>
      <w:r w:rsidRPr="004B2A73">
        <w:rPr>
          <w:rFonts w:ascii="Calibri" w:hAnsi="Calibri"/>
          <w:b/>
          <w:sz w:val="24"/>
        </w:rPr>
        <w:t xml:space="preserve"> regulatory framework</w:t>
      </w:r>
      <w:r w:rsidR="00E61CF3" w:rsidRPr="004B2A73">
        <w:rPr>
          <w:rFonts w:ascii="Calibri" w:hAnsi="Calibri"/>
          <w:b/>
          <w:sz w:val="24"/>
        </w:rPr>
        <w:t xml:space="preserve">s </w:t>
      </w:r>
      <w:r w:rsidRPr="004B2A73">
        <w:rPr>
          <w:rFonts w:ascii="Calibri" w:hAnsi="Calibri"/>
          <w:b/>
          <w:sz w:val="24"/>
        </w:rPr>
        <w:t>ha</w:t>
      </w:r>
      <w:r w:rsidR="00E61CF3" w:rsidRPr="004B2A73">
        <w:rPr>
          <w:rFonts w:ascii="Calibri" w:hAnsi="Calibri"/>
          <w:b/>
          <w:sz w:val="24"/>
        </w:rPr>
        <w:t>ve</w:t>
      </w:r>
      <w:r w:rsidRPr="004B2A73">
        <w:rPr>
          <w:rFonts w:ascii="Calibri" w:hAnsi="Calibri"/>
          <w:b/>
          <w:sz w:val="24"/>
        </w:rPr>
        <w:t xml:space="preserve"> evolved to facilitate a move toward the landlord port model and introduce </w:t>
      </w:r>
      <w:r w:rsidR="00123BDA" w:rsidRPr="004B2A73">
        <w:rPr>
          <w:rFonts w:ascii="Calibri" w:hAnsi="Calibri"/>
          <w:b/>
          <w:sz w:val="24"/>
        </w:rPr>
        <w:t>private sector participation</w:t>
      </w:r>
      <w:r w:rsidRPr="004B2A73">
        <w:rPr>
          <w:rFonts w:ascii="Calibri" w:hAnsi="Calibri"/>
          <w:b/>
          <w:sz w:val="24"/>
        </w:rPr>
        <w:t xml:space="preserve"> into cargo handling</w:t>
      </w:r>
      <w:r w:rsidR="00022CDC" w:rsidRPr="004B2A73">
        <w:rPr>
          <w:rFonts w:ascii="Calibri" w:hAnsi="Calibri"/>
          <w:b/>
          <w:sz w:val="24"/>
        </w:rPr>
        <w:t>,</w:t>
      </w:r>
      <w:r w:rsidRPr="004B2A73">
        <w:rPr>
          <w:rFonts w:ascii="Calibri" w:hAnsi="Calibri"/>
          <w:b/>
          <w:sz w:val="24"/>
        </w:rPr>
        <w:t xml:space="preserve"> but ha</w:t>
      </w:r>
      <w:r w:rsidR="00E61CF3" w:rsidRPr="004B2A73">
        <w:rPr>
          <w:rFonts w:ascii="Calibri" w:hAnsi="Calibri"/>
          <w:b/>
          <w:sz w:val="24"/>
        </w:rPr>
        <w:t>ve</w:t>
      </w:r>
      <w:r w:rsidRPr="004B2A73">
        <w:rPr>
          <w:rFonts w:ascii="Calibri" w:hAnsi="Calibri"/>
          <w:b/>
          <w:sz w:val="24"/>
        </w:rPr>
        <w:t xml:space="preserve"> paid </w:t>
      </w:r>
      <w:r w:rsidR="00E61CF3" w:rsidRPr="004B2A73">
        <w:rPr>
          <w:rFonts w:ascii="Calibri" w:hAnsi="Calibri"/>
          <w:b/>
          <w:sz w:val="24"/>
        </w:rPr>
        <w:t>scant</w:t>
      </w:r>
      <w:r w:rsidRPr="004B2A73">
        <w:rPr>
          <w:rFonts w:ascii="Calibri" w:hAnsi="Calibri"/>
          <w:b/>
          <w:sz w:val="24"/>
        </w:rPr>
        <w:t xml:space="preserve"> attention to establishing suitable regulatory institutions.</w:t>
      </w:r>
      <w:r w:rsidRPr="004B2A73">
        <w:rPr>
          <w:rFonts w:ascii="Calibri" w:hAnsi="Calibri"/>
          <w:sz w:val="24"/>
        </w:rPr>
        <w:t xml:space="preserve"> </w:t>
      </w:r>
      <w:r w:rsidR="00E61CF3" w:rsidRPr="004B2A73">
        <w:rPr>
          <w:rFonts w:ascii="Calibri" w:hAnsi="Calibri"/>
          <w:sz w:val="24"/>
        </w:rPr>
        <w:t>Ports</w:t>
      </w:r>
      <w:r w:rsidRPr="004B2A73">
        <w:rPr>
          <w:rFonts w:ascii="Calibri" w:hAnsi="Calibri"/>
          <w:sz w:val="24"/>
        </w:rPr>
        <w:t xml:space="preserve"> sector organization is considerably influenced by the regulatory framework and is composed of numerous entities with different roles and overlapping responsibilities </w:t>
      </w:r>
      <w:r w:rsidR="00022CDC" w:rsidRPr="004B2A73">
        <w:rPr>
          <w:rFonts w:ascii="Calibri" w:hAnsi="Calibri"/>
          <w:sz w:val="24"/>
        </w:rPr>
        <w:t>(</w:t>
      </w:r>
      <w:r w:rsidR="000C756C" w:rsidRPr="004B2A73">
        <w:rPr>
          <w:rFonts w:ascii="Calibri" w:hAnsi="Calibri"/>
          <w:sz w:val="24"/>
        </w:rPr>
        <w:t xml:space="preserve">Table </w:t>
      </w:r>
      <w:r w:rsidR="008D3DDA" w:rsidRPr="004B2A73">
        <w:rPr>
          <w:rFonts w:ascii="Calibri" w:hAnsi="Calibri"/>
          <w:sz w:val="24"/>
        </w:rPr>
        <w:t>7</w:t>
      </w:r>
      <w:r w:rsidR="00022CDC" w:rsidRPr="004B2A73">
        <w:rPr>
          <w:rFonts w:ascii="Calibri" w:hAnsi="Calibri"/>
          <w:sz w:val="24"/>
        </w:rPr>
        <w:t>)</w:t>
      </w:r>
      <w:r w:rsidRPr="004B2A73">
        <w:rPr>
          <w:rFonts w:ascii="Calibri" w:hAnsi="Calibri"/>
          <w:sz w:val="24"/>
        </w:rPr>
        <w:t xml:space="preserve">. The </w:t>
      </w:r>
      <w:r w:rsidR="009E5FCF" w:rsidRPr="004B2A73">
        <w:rPr>
          <w:rFonts w:ascii="Calibri" w:hAnsi="Calibri"/>
          <w:sz w:val="24"/>
        </w:rPr>
        <w:t>ministry of transport or another government agency, such as a national or local port management body, typically undertakes the regulat</w:t>
      </w:r>
      <w:r w:rsidR="00123BDA" w:rsidRPr="004B2A73">
        <w:rPr>
          <w:rFonts w:ascii="Calibri" w:hAnsi="Calibri"/>
          <w:sz w:val="24"/>
        </w:rPr>
        <w:t>ory</w:t>
      </w:r>
      <w:r w:rsidR="009E5FCF" w:rsidRPr="004B2A73">
        <w:rPr>
          <w:rFonts w:ascii="Calibri" w:hAnsi="Calibri"/>
          <w:sz w:val="24"/>
        </w:rPr>
        <w:t xml:space="preserve"> function</w:t>
      </w:r>
      <w:r w:rsidRPr="004B2A73">
        <w:rPr>
          <w:rFonts w:ascii="Calibri" w:hAnsi="Calibri"/>
          <w:sz w:val="24"/>
        </w:rPr>
        <w:t>. These institutions fulfi</w:t>
      </w:r>
      <w:r w:rsidR="00091D92" w:rsidRPr="004B2A73">
        <w:rPr>
          <w:rFonts w:ascii="Calibri" w:hAnsi="Calibri"/>
          <w:sz w:val="24"/>
        </w:rPr>
        <w:t>l</w:t>
      </w:r>
      <w:r w:rsidRPr="004B2A73">
        <w:rPr>
          <w:rFonts w:ascii="Calibri" w:hAnsi="Calibri"/>
          <w:sz w:val="24"/>
        </w:rPr>
        <w:t>l a variety of economic and technical regulatory functions, but none of these bodies offer truly independent regulation. Even Nigeria with its structured regulatory framework is still debating its plans for an independent regulator</w:t>
      </w:r>
      <w:r w:rsidR="00022CDC" w:rsidRPr="004B2A73">
        <w:rPr>
          <w:rFonts w:ascii="Calibri" w:hAnsi="Calibri"/>
          <w:sz w:val="24"/>
        </w:rPr>
        <w:t>,</w:t>
      </w:r>
      <w:r w:rsidRPr="004B2A73">
        <w:rPr>
          <w:rFonts w:ascii="Calibri" w:hAnsi="Calibri"/>
          <w:sz w:val="24"/>
        </w:rPr>
        <w:t xml:space="preserve"> which was part of its port reform package. This ad hoc approach to regulation undermines </w:t>
      </w:r>
      <w:r w:rsidR="00022CDC" w:rsidRPr="004B2A73">
        <w:rPr>
          <w:rFonts w:ascii="Calibri" w:hAnsi="Calibri"/>
          <w:sz w:val="24"/>
        </w:rPr>
        <w:t>the</w:t>
      </w:r>
      <w:r w:rsidRPr="004B2A73">
        <w:rPr>
          <w:rFonts w:ascii="Calibri" w:hAnsi="Calibri"/>
          <w:sz w:val="24"/>
        </w:rPr>
        <w:t xml:space="preserve"> objective </w:t>
      </w:r>
      <w:r w:rsidR="00022CDC" w:rsidRPr="004B2A73">
        <w:rPr>
          <w:rFonts w:ascii="Calibri" w:hAnsi="Calibri"/>
          <w:sz w:val="24"/>
        </w:rPr>
        <w:t>of ensuring an</w:t>
      </w:r>
      <w:r w:rsidRPr="004B2A73">
        <w:rPr>
          <w:rFonts w:ascii="Calibri" w:hAnsi="Calibri"/>
          <w:sz w:val="24"/>
        </w:rPr>
        <w:t xml:space="preserve"> efficient and competitive organization of port activities through technical, economic and financial standards (Grosdidier de Matons, 2012).  </w:t>
      </w:r>
      <w:bookmarkStart w:id="53" w:name="_Toc423511481"/>
      <w:bookmarkStart w:id="54" w:name="_Toc418589491"/>
    </w:p>
    <w:p w14:paraId="53365A8B" w14:textId="77777777" w:rsidR="006010C8" w:rsidRPr="006010C8" w:rsidRDefault="006010C8" w:rsidP="00F72354"/>
    <w:p w14:paraId="5B00BDCB" w14:textId="7CAC8766" w:rsidR="006420D5" w:rsidRPr="004B2A73" w:rsidRDefault="00607DB9" w:rsidP="00AF33A5">
      <w:pPr>
        <w:pStyle w:val="Caption"/>
        <w:rPr>
          <w:rFonts w:ascii="Calibri" w:hAnsi="Calibri"/>
        </w:rPr>
      </w:pPr>
      <w:bookmarkStart w:id="55" w:name="_Ref433368203"/>
      <w:bookmarkStart w:id="56" w:name="_Toc485381918"/>
      <w:r w:rsidRPr="004B2A73">
        <w:rPr>
          <w:rFonts w:ascii="Calibri" w:hAnsi="Calibri"/>
        </w:rPr>
        <w:lastRenderedPageBreak/>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7</w:t>
      </w:r>
      <w:r w:rsidR="00811885" w:rsidRPr="004B2A73">
        <w:rPr>
          <w:rFonts w:ascii="Calibri" w:hAnsi="Calibri"/>
          <w:noProof/>
        </w:rPr>
        <w:fldChar w:fldCharType="end"/>
      </w:r>
      <w:r w:rsidRPr="004B2A73">
        <w:rPr>
          <w:rFonts w:ascii="Calibri" w:hAnsi="Calibri"/>
        </w:rPr>
        <w:t>: National ministries and agencies in charge of port regulation in West Africa</w:t>
      </w:r>
      <w:bookmarkEnd w:id="55"/>
      <w:bookmarkEnd w:id="56"/>
    </w:p>
    <w:tbl>
      <w:tblPr>
        <w:tblStyle w:val="ListTable3-Accent31"/>
        <w:tblW w:w="0" w:type="auto"/>
        <w:tblLook w:val="04A0" w:firstRow="1" w:lastRow="0" w:firstColumn="1" w:lastColumn="0" w:noHBand="0" w:noVBand="1"/>
      </w:tblPr>
      <w:tblGrid>
        <w:gridCol w:w="1387"/>
        <w:gridCol w:w="5836"/>
      </w:tblGrid>
      <w:tr w:rsidR="00806B2A" w:rsidRPr="004B2A73" w14:paraId="4E1C9666" w14:textId="77777777" w:rsidTr="00F72354">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0" w:type="auto"/>
          </w:tcPr>
          <w:bookmarkEnd w:id="53"/>
          <w:bookmarkEnd w:id="54"/>
          <w:p w14:paraId="467E0E48"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Country</w:t>
            </w:r>
          </w:p>
        </w:tc>
        <w:tc>
          <w:tcPr>
            <w:tcW w:w="0" w:type="auto"/>
          </w:tcPr>
          <w:p w14:paraId="6CF6AB75" w14:textId="77777777" w:rsidR="00806B2A" w:rsidRPr="004B2A73" w:rsidRDefault="00806B2A" w:rsidP="00DF7415">
            <w:pPr>
              <w:pStyle w:val="table-text"/>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Ministry / Agency</w:t>
            </w:r>
          </w:p>
        </w:tc>
      </w:tr>
      <w:tr w:rsidR="00806B2A" w:rsidRPr="004B2A73" w14:paraId="7C148B4B" w14:textId="77777777" w:rsidTr="00F723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9C29A4D"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Benin</w:t>
            </w:r>
          </w:p>
        </w:tc>
        <w:tc>
          <w:tcPr>
            <w:tcW w:w="0" w:type="auto"/>
          </w:tcPr>
          <w:p w14:paraId="79A64E3E"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Ministry of Maritime Economy, Ministry of Finance, Presidency</w:t>
            </w:r>
          </w:p>
        </w:tc>
      </w:tr>
      <w:tr w:rsidR="00806B2A" w:rsidRPr="004B2A73" w14:paraId="507B5F01" w14:textId="77777777" w:rsidTr="00F72354">
        <w:trPr>
          <w:cantSplit/>
        </w:trPr>
        <w:tc>
          <w:tcPr>
            <w:cnfStyle w:val="001000000000" w:firstRow="0" w:lastRow="0" w:firstColumn="1" w:lastColumn="0" w:oddVBand="0" w:evenVBand="0" w:oddHBand="0" w:evenHBand="0" w:firstRowFirstColumn="0" w:firstRowLastColumn="0" w:lastRowFirstColumn="0" w:lastRowLastColumn="0"/>
            <w:tcW w:w="0" w:type="auto"/>
          </w:tcPr>
          <w:p w14:paraId="3B30B64E"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Cote d’Ivoire</w:t>
            </w:r>
          </w:p>
        </w:tc>
        <w:tc>
          <w:tcPr>
            <w:tcW w:w="0" w:type="auto"/>
          </w:tcPr>
          <w:p w14:paraId="56CEA421" w14:textId="77777777" w:rsidR="00806B2A" w:rsidRPr="004B2A73" w:rsidRDefault="00806B2A" w:rsidP="00DF7415">
            <w:pPr>
              <w:pStyle w:val="table-tex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Ministry of Transport, Ministry of Economic Infrastructure</w:t>
            </w:r>
          </w:p>
        </w:tc>
      </w:tr>
      <w:tr w:rsidR="00806B2A" w:rsidRPr="004B2A73" w14:paraId="12E84883" w14:textId="77777777" w:rsidTr="00F723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7F87B1D"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Ghana</w:t>
            </w:r>
          </w:p>
        </w:tc>
        <w:tc>
          <w:tcPr>
            <w:tcW w:w="0" w:type="auto"/>
          </w:tcPr>
          <w:p w14:paraId="0297C189"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Ministry of Harbours and Railways</w:t>
            </w:r>
          </w:p>
        </w:tc>
      </w:tr>
      <w:tr w:rsidR="00806B2A" w:rsidRPr="004B2A73" w14:paraId="5B671CA6" w14:textId="77777777" w:rsidTr="00F72354">
        <w:trPr>
          <w:cantSplit/>
        </w:trPr>
        <w:tc>
          <w:tcPr>
            <w:cnfStyle w:val="001000000000" w:firstRow="0" w:lastRow="0" w:firstColumn="1" w:lastColumn="0" w:oddVBand="0" w:evenVBand="0" w:oddHBand="0" w:evenHBand="0" w:firstRowFirstColumn="0" w:firstRowLastColumn="0" w:lastRowFirstColumn="0" w:lastRowLastColumn="0"/>
            <w:tcW w:w="0" w:type="auto"/>
          </w:tcPr>
          <w:p w14:paraId="743295B7"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Nigeria</w:t>
            </w:r>
          </w:p>
        </w:tc>
        <w:tc>
          <w:tcPr>
            <w:tcW w:w="0" w:type="auto"/>
          </w:tcPr>
          <w:p w14:paraId="53A6934D" w14:textId="77777777" w:rsidR="00806B2A" w:rsidRPr="004B2A73" w:rsidRDefault="00806B2A" w:rsidP="00DF7415">
            <w:pPr>
              <w:pStyle w:val="table-tex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Ministry of Transport</w:t>
            </w:r>
          </w:p>
          <w:p w14:paraId="386DDAB2" w14:textId="77777777" w:rsidR="00806B2A" w:rsidRPr="004B2A73" w:rsidRDefault="00806B2A" w:rsidP="00DF7415">
            <w:pPr>
              <w:pStyle w:val="table-tex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Bureau of Public Enterprises</w:t>
            </w:r>
          </w:p>
          <w:p w14:paraId="696BC3D1" w14:textId="77777777" w:rsidR="00806B2A" w:rsidRPr="004B2A73" w:rsidRDefault="00806B2A" w:rsidP="00DF7415">
            <w:pPr>
              <w:pStyle w:val="table-tex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National Council of Privatisation</w:t>
            </w:r>
          </w:p>
          <w:p w14:paraId="66440B01" w14:textId="77777777" w:rsidR="00806B2A" w:rsidRPr="004B2A73" w:rsidRDefault="00806B2A" w:rsidP="00DF7415">
            <w:pPr>
              <w:pStyle w:val="table-tex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Infrastructure Concession Regulatory Commission</w:t>
            </w:r>
          </w:p>
        </w:tc>
      </w:tr>
      <w:tr w:rsidR="00806B2A" w:rsidRPr="004B2A73" w14:paraId="6E93F74D" w14:textId="77777777" w:rsidTr="00F723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DC2ECBD"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Senegal</w:t>
            </w:r>
          </w:p>
        </w:tc>
        <w:tc>
          <w:tcPr>
            <w:tcW w:w="0" w:type="auto"/>
          </w:tcPr>
          <w:p w14:paraId="5A00DFBB"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Ministry of Public Works, Equipment and Surface Transport</w:t>
            </w:r>
          </w:p>
        </w:tc>
      </w:tr>
      <w:tr w:rsidR="00806B2A" w:rsidRPr="004B2A73" w14:paraId="411B3107" w14:textId="77777777" w:rsidTr="00F72354">
        <w:trPr>
          <w:cantSplit/>
        </w:trPr>
        <w:tc>
          <w:tcPr>
            <w:cnfStyle w:val="001000000000" w:firstRow="0" w:lastRow="0" w:firstColumn="1" w:lastColumn="0" w:oddVBand="0" w:evenVBand="0" w:oddHBand="0" w:evenHBand="0" w:firstRowFirstColumn="0" w:firstRowLastColumn="0" w:lastRowFirstColumn="0" w:lastRowLastColumn="0"/>
            <w:tcW w:w="0" w:type="auto"/>
          </w:tcPr>
          <w:p w14:paraId="3D83342B"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Togo</w:t>
            </w:r>
          </w:p>
        </w:tc>
        <w:tc>
          <w:tcPr>
            <w:tcW w:w="0" w:type="auto"/>
          </w:tcPr>
          <w:p w14:paraId="6D751E60" w14:textId="77777777" w:rsidR="00806B2A" w:rsidRPr="004B2A73" w:rsidRDefault="00806B2A" w:rsidP="00DF7415">
            <w:pPr>
              <w:pStyle w:val="table-tex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Ministry of Transport</w:t>
            </w:r>
          </w:p>
        </w:tc>
      </w:tr>
      <w:tr w:rsidR="00806B2A" w:rsidRPr="004B2A73" w14:paraId="52258BAF" w14:textId="77777777" w:rsidTr="00F723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B349F9A"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Guinea</w:t>
            </w:r>
          </w:p>
        </w:tc>
        <w:tc>
          <w:tcPr>
            <w:tcW w:w="0" w:type="auto"/>
          </w:tcPr>
          <w:p w14:paraId="3CDBAA6A"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Presidency, Ministry of Transport</w:t>
            </w:r>
          </w:p>
        </w:tc>
      </w:tr>
      <w:tr w:rsidR="00806B2A" w:rsidRPr="004B2A73" w14:paraId="5608FF6E" w14:textId="77777777" w:rsidTr="00F72354">
        <w:trPr>
          <w:cantSplit/>
        </w:trPr>
        <w:tc>
          <w:tcPr>
            <w:cnfStyle w:val="001000000000" w:firstRow="0" w:lastRow="0" w:firstColumn="1" w:lastColumn="0" w:oddVBand="0" w:evenVBand="0" w:oddHBand="0" w:evenHBand="0" w:firstRowFirstColumn="0" w:firstRowLastColumn="0" w:lastRowFirstColumn="0" w:lastRowLastColumn="0"/>
            <w:tcW w:w="0" w:type="auto"/>
          </w:tcPr>
          <w:p w14:paraId="056C96FD"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Liberia</w:t>
            </w:r>
          </w:p>
        </w:tc>
        <w:tc>
          <w:tcPr>
            <w:tcW w:w="0" w:type="auto"/>
          </w:tcPr>
          <w:p w14:paraId="31E9164B" w14:textId="77777777" w:rsidR="00806B2A" w:rsidRPr="004B2A73" w:rsidRDefault="00806B2A" w:rsidP="00DF7415">
            <w:pPr>
              <w:pStyle w:val="table-tex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Ministry of Transportation</w:t>
            </w:r>
          </w:p>
        </w:tc>
      </w:tr>
      <w:tr w:rsidR="00806B2A" w:rsidRPr="004B2A73" w14:paraId="4CCF4A6E" w14:textId="77777777" w:rsidTr="00F7235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23C040A"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Sierra Leone</w:t>
            </w:r>
          </w:p>
        </w:tc>
        <w:tc>
          <w:tcPr>
            <w:tcW w:w="0" w:type="auto"/>
          </w:tcPr>
          <w:p w14:paraId="4373CEBF" w14:textId="77777777" w:rsidR="00806B2A" w:rsidRPr="004B2A73" w:rsidRDefault="00806B2A" w:rsidP="00DF7415">
            <w:pPr>
              <w:pStyle w:val="table-tex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4B2A73">
              <w:rPr>
                <w:rFonts w:ascii="Calibri" w:hAnsi="Calibri"/>
                <w:sz w:val="22"/>
                <w:szCs w:val="22"/>
              </w:rPr>
              <w:t>Ministry of Transport and Aviation</w:t>
            </w:r>
          </w:p>
        </w:tc>
      </w:tr>
      <w:tr w:rsidR="00806B2A" w:rsidRPr="004B2A73" w14:paraId="7DD90AC1" w14:textId="77777777" w:rsidTr="00F72354">
        <w:trPr>
          <w:cantSplit/>
        </w:trPr>
        <w:tc>
          <w:tcPr>
            <w:cnfStyle w:val="001000000000" w:firstRow="0" w:lastRow="0" w:firstColumn="1" w:lastColumn="0" w:oddVBand="0" w:evenVBand="0" w:oddHBand="0" w:evenHBand="0" w:firstRowFirstColumn="0" w:firstRowLastColumn="0" w:lastRowFirstColumn="0" w:lastRowLastColumn="0"/>
            <w:tcW w:w="0" w:type="auto"/>
          </w:tcPr>
          <w:p w14:paraId="47673E05" w14:textId="77777777" w:rsidR="00806B2A" w:rsidRPr="004B2A73" w:rsidRDefault="00806B2A" w:rsidP="00DF7415">
            <w:pPr>
              <w:pStyle w:val="table-text"/>
              <w:rPr>
                <w:rFonts w:ascii="Calibri" w:hAnsi="Calibri"/>
                <w:sz w:val="22"/>
                <w:szCs w:val="22"/>
              </w:rPr>
            </w:pPr>
            <w:r w:rsidRPr="004B2A73">
              <w:rPr>
                <w:rFonts w:ascii="Calibri" w:hAnsi="Calibri"/>
                <w:sz w:val="22"/>
                <w:szCs w:val="22"/>
              </w:rPr>
              <w:t>Gambia</w:t>
            </w:r>
          </w:p>
        </w:tc>
        <w:tc>
          <w:tcPr>
            <w:tcW w:w="0" w:type="auto"/>
          </w:tcPr>
          <w:p w14:paraId="5EC31A69" w14:textId="77777777" w:rsidR="00806B2A" w:rsidRPr="004B2A73" w:rsidRDefault="00806B2A" w:rsidP="00DF7415">
            <w:pPr>
              <w:pStyle w:val="table-tex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4B2A73">
              <w:rPr>
                <w:rFonts w:ascii="Calibri" w:hAnsi="Calibri"/>
                <w:sz w:val="22"/>
                <w:szCs w:val="22"/>
              </w:rPr>
              <w:t>Ministry of Works, Transport and Telecommunication</w:t>
            </w:r>
          </w:p>
        </w:tc>
      </w:tr>
    </w:tbl>
    <w:p w14:paraId="0A7E7B70" w14:textId="77777777" w:rsidR="009C6E8E" w:rsidRPr="004B2A73" w:rsidRDefault="009C6E8E" w:rsidP="009C6E8E">
      <w:pPr>
        <w:pStyle w:val="ListParagraph"/>
        <w:spacing w:after="0"/>
        <w:ind w:left="0"/>
        <w:rPr>
          <w:rFonts w:ascii="Calibri" w:hAnsi="Calibri"/>
          <w:sz w:val="24"/>
        </w:rPr>
      </w:pPr>
    </w:p>
    <w:p w14:paraId="31522BC4" w14:textId="77777777"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In the absence of comprehensive legislation and a designated regulatory body, the day-to-day activities of ports in most ECOWAS countries are regulated through national laws and international conventions</w:t>
      </w:r>
      <w:r w:rsidR="00E44B3A" w:rsidRPr="004B2A73">
        <w:rPr>
          <w:rFonts w:ascii="Calibri" w:hAnsi="Calibri"/>
          <w:b/>
          <w:sz w:val="24"/>
        </w:rPr>
        <w:t xml:space="preserve"> </w:t>
      </w:r>
      <w:r w:rsidRPr="004B2A73">
        <w:rPr>
          <w:rFonts w:ascii="Calibri" w:hAnsi="Calibri"/>
          <w:b/>
          <w:sz w:val="24"/>
        </w:rPr>
        <w:t>which are implemented and monitored by the port authorities themselves.</w:t>
      </w:r>
      <w:r w:rsidRPr="004B2A73">
        <w:rPr>
          <w:rFonts w:ascii="Calibri" w:hAnsi="Calibri"/>
          <w:sz w:val="24"/>
        </w:rPr>
        <w:t xml:space="preserve"> In most West African ports, it remains unclear as to where decision-making authority and accountability on issues relating to economic regulation, reform and governance really lies: the port authority, the line Ministry (ies), and/or the various </w:t>
      </w:r>
      <w:r w:rsidRPr="000A7291">
        <w:rPr>
          <w:rFonts w:ascii="Calibri" w:hAnsi="Calibri"/>
          <w:sz w:val="24"/>
        </w:rPr>
        <w:t>public</w:t>
      </w:r>
      <w:r w:rsidRPr="004B2A73">
        <w:rPr>
          <w:rFonts w:ascii="Calibri" w:hAnsi="Calibri"/>
          <w:sz w:val="24"/>
        </w:rPr>
        <w:t xml:space="preserve"> agencies involved in economic infrastructure and trade development. Port authorities find themselves de facto responsible for regulation but also challenged to effectively manage port operations when several layers of government agencies interfere in the concessioning and regulation process</w:t>
      </w:r>
      <w:r w:rsidR="00022CDC" w:rsidRPr="004B2A73">
        <w:rPr>
          <w:rFonts w:ascii="Calibri" w:hAnsi="Calibri"/>
          <w:sz w:val="24"/>
        </w:rPr>
        <w:t>,</w:t>
      </w:r>
      <w:r w:rsidRPr="004B2A73">
        <w:rPr>
          <w:rFonts w:ascii="Calibri" w:hAnsi="Calibri"/>
          <w:sz w:val="24"/>
        </w:rPr>
        <w:t xml:space="preserve"> and in wider port policy. </w:t>
      </w:r>
      <w:r w:rsidR="00022CDC" w:rsidRPr="004B2A73">
        <w:rPr>
          <w:rFonts w:ascii="Calibri" w:hAnsi="Calibri"/>
          <w:sz w:val="24"/>
        </w:rPr>
        <w:t>For</w:t>
      </w:r>
      <w:r w:rsidRPr="004B2A73">
        <w:rPr>
          <w:rFonts w:ascii="Calibri" w:hAnsi="Calibri"/>
          <w:sz w:val="24"/>
        </w:rPr>
        <w:t xml:space="preserve"> example, the regulation of tariffs is normally </w:t>
      </w:r>
      <w:r w:rsidR="00022CDC" w:rsidRPr="004B2A73">
        <w:rPr>
          <w:rFonts w:ascii="Calibri" w:hAnsi="Calibri"/>
          <w:sz w:val="24"/>
        </w:rPr>
        <w:t xml:space="preserve">supported </w:t>
      </w:r>
      <w:r w:rsidRPr="004B2A73">
        <w:rPr>
          <w:rFonts w:ascii="Calibri" w:hAnsi="Calibri"/>
          <w:sz w:val="24"/>
        </w:rPr>
        <w:t>by the guidelines of the ministries in charge of trade and competition. In practice</w:t>
      </w:r>
      <w:r w:rsidR="00022CDC" w:rsidRPr="004B2A73">
        <w:rPr>
          <w:rFonts w:ascii="Calibri" w:hAnsi="Calibri"/>
          <w:sz w:val="24"/>
        </w:rPr>
        <w:t>, however,</w:t>
      </w:r>
      <w:r w:rsidRPr="004B2A73">
        <w:rPr>
          <w:rFonts w:ascii="Calibri" w:hAnsi="Calibri"/>
          <w:sz w:val="24"/>
        </w:rPr>
        <w:t xml:space="preserve"> there is considerable room for port authorities, which are closer to actual terminal and shipping operations and often have a much better knowledge of port finance and economics than their line ministry, to negotiate and set tariffs for some of the services offered by private operators. </w:t>
      </w:r>
    </w:p>
    <w:p w14:paraId="3865BAE5" w14:textId="77777777" w:rsidR="009C6E8E" w:rsidRPr="004B2A73" w:rsidRDefault="009C6E8E" w:rsidP="009C6E8E">
      <w:pPr>
        <w:pStyle w:val="ListParagraph"/>
        <w:spacing w:after="0"/>
        <w:ind w:left="0"/>
        <w:rPr>
          <w:rFonts w:ascii="Calibri" w:hAnsi="Calibri"/>
          <w:sz w:val="24"/>
        </w:rPr>
      </w:pPr>
    </w:p>
    <w:p w14:paraId="31BFC1FA" w14:textId="6BE861A4"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bCs/>
          <w:sz w:val="24"/>
        </w:rPr>
        <w:t>There is an inherent conflict in the port authority assuming the functions of, and substituting for, an independent regulator</w:t>
      </w:r>
      <w:r w:rsidRPr="004B2A73">
        <w:rPr>
          <w:rFonts w:ascii="Calibri" w:hAnsi="Calibri"/>
          <w:sz w:val="24"/>
        </w:rPr>
        <w:t xml:space="preserve">.  In most West African ports, </w:t>
      </w:r>
      <w:r w:rsidR="009E5FCF" w:rsidRPr="004B2A73">
        <w:rPr>
          <w:rFonts w:ascii="Calibri" w:hAnsi="Calibri"/>
          <w:sz w:val="24"/>
        </w:rPr>
        <w:t>harbor</w:t>
      </w:r>
      <w:r w:rsidRPr="004B2A73">
        <w:rPr>
          <w:rFonts w:ascii="Calibri" w:hAnsi="Calibri"/>
          <w:sz w:val="24"/>
        </w:rPr>
        <w:t xml:space="preserve"> tariff</w:t>
      </w:r>
      <w:r w:rsidR="00906DB4" w:rsidRPr="004B2A73">
        <w:rPr>
          <w:rFonts w:ascii="Calibri" w:hAnsi="Calibri"/>
          <w:sz w:val="24"/>
        </w:rPr>
        <w:t xml:space="preserve">s </w:t>
      </w:r>
      <w:r w:rsidRPr="004B2A73">
        <w:rPr>
          <w:rFonts w:ascii="Calibri" w:hAnsi="Calibri"/>
          <w:sz w:val="24"/>
        </w:rPr>
        <w:t xml:space="preserve">such as </w:t>
      </w:r>
      <w:r w:rsidR="009E5FCF" w:rsidRPr="004B2A73">
        <w:rPr>
          <w:rFonts w:ascii="Calibri" w:hAnsi="Calibri"/>
          <w:sz w:val="24"/>
        </w:rPr>
        <w:t>harbor</w:t>
      </w:r>
      <w:r w:rsidRPr="004B2A73">
        <w:rPr>
          <w:rFonts w:ascii="Calibri" w:hAnsi="Calibri"/>
          <w:sz w:val="24"/>
        </w:rPr>
        <w:t xml:space="preserve">, ship and goods dues fall under the general remit of the port authority, acting as a government entity. The port authority is thus able to control its own revenue stream; combined with the low levels of financial reporting to and monitoring by central government, this creates the conditions for the emergence of a powerful “state within the state” which sometimes escapes the authority of its line ministry. Additionally, </w:t>
      </w:r>
      <w:r w:rsidR="00022CDC" w:rsidRPr="004B2A73">
        <w:rPr>
          <w:rFonts w:ascii="Calibri" w:hAnsi="Calibri"/>
          <w:sz w:val="24"/>
        </w:rPr>
        <w:t>the port authority</w:t>
      </w:r>
      <w:r w:rsidRPr="004B2A73">
        <w:rPr>
          <w:rFonts w:ascii="Calibri" w:hAnsi="Calibri"/>
          <w:sz w:val="24"/>
        </w:rPr>
        <w:t xml:space="preserve"> may be more effective in enforcing compliance with contract provisions than</w:t>
      </w:r>
      <w:r w:rsidR="00022CDC" w:rsidRPr="004B2A73">
        <w:rPr>
          <w:rFonts w:ascii="Calibri" w:hAnsi="Calibri"/>
          <w:sz w:val="24"/>
        </w:rPr>
        <w:t xml:space="preserve"> in</w:t>
      </w:r>
      <w:r w:rsidRPr="004B2A73">
        <w:rPr>
          <w:rFonts w:ascii="Calibri" w:hAnsi="Calibri"/>
          <w:sz w:val="24"/>
        </w:rPr>
        <w:t xml:space="preserve"> limiting abuses from monopoly power</w:t>
      </w:r>
      <w:r w:rsidR="00022CDC" w:rsidRPr="004B2A73">
        <w:rPr>
          <w:rFonts w:ascii="Calibri" w:hAnsi="Calibri"/>
          <w:sz w:val="24"/>
        </w:rPr>
        <w:t>,</w:t>
      </w:r>
      <w:r w:rsidRPr="004B2A73">
        <w:rPr>
          <w:rFonts w:ascii="Calibri" w:hAnsi="Calibri"/>
          <w:sz w:val="24"/>
        </w:rPr>
        <w:t xml:space="preserve"> ensuring a fair distribution of privatization gains</w:t>
      </w:r>
      <w:r w:rsidR="00022CDC" w:rsidRPr="004B2A73">
        <w:rPr>
          <w:rFonts w:ascii="Calibri" w:hAnsi="Calibri"/>
          <w:sz w:val="24"/>
        </w:rPr>
        <w:t>,</w:t>
      </w:r>
      <w:r w:rsidRPr="004B2A73">
        <w:rPr>
          <w:rFonts w:ascii="Calibri" w:hAnsi="Calibri"/>
          <w:sz w:val="24"/>
        </w:rPr>
        <w:t xml:space="preserve"> or promoting intra</w:t>
      </w:r>
      <w:r w:rsidR="00022CDC" w:rsidRPr="004B2A73">
        <w:rPr>
          <w:rFonts w:ascii="Calibri" w:hAnsi="Calibri"/>
          <w:sz w:val="24"/>
        </w:rPr>
        <w:t xml:space="preserve">- </w:t>
      </w:r>
      <w:r w:rsidRPr="004B2A73">
        <w:rPr>
          <w:rFonts w:ascii="Calibri" w:hAnsi="Calibri"/>
          <w:sz w:val="24"/>
        </w:rPr>
        <w:t>or inter-port competition</w:t>
      </w:r>
      <w:r w:rsidR="00022CDC" w:rsidRPr="004B2A73">
        <w:rPr>
          <w:rFonts w:ascii="Calibri" w:hAnsi="Calibri"/>
          <w:sz w:val="24"/>
        </w:rPr>
        <w:t>,</w:t>
      </w:r>
      <w:r w:rsidRPr="004B2A73">
        <w:rPr>
          <w:rFonts w:ascii="Calibri" w:hAnsi="Calibri"/>
          <w:sz w:val="24"/>
        </w:rPr>
        <w:t xml:space="preserve"> as these </w:t>
      </w:r>
      <w:r w:rsidR="008B13E0" w:rsidRPr="004B2A73">
        <w:rPr>
          <w:rFonts w:ascii="Calibri" w:hAnsi="Calibri"/>
          <w:sz w:val="24"/>
        </w:rPr>
        <w:t>c</w:t>
      </w:r>
      <w:r w:rsidRPr="004B2A73">
        <w:rPr>
          <w:rFonts w:ascii="Calibri" w:hAnsi="Calibri"/>
          <w:sz w:val="24"/>
        </w:rPr>
        <w:t xml:space="preserve">ould </w:t>
      </w:r>
      <w:r w:rsidR="008B13E0" w:rsidRPr="004B2A73">
        <w:rPr>
          <w:rFonts w:ascii="Calibri" w:hAnsi="Calibri"/>
          <w:sz w:val="24"/>
        </w:rPr>
        <w:t>adversely affect</w:t>
      </w:r>
      <w:r w:rsidRPr="004B2A73">
        <w:rPr>
          <w:rFonts w:ascii="Calibri" w:hAnsi="Calibri"/>
          <w:sz w:val="24"/>
        </w:rPr>
        <w:t xml:space="preserve"> its own revenue stream.  Yet clarifying the roles of and </w:t>
      </w:r>
      <w:r w:rsidRPr="004B2A73">
        <w:rPr>
          <w:rFonts w:ascii="Calibri" w:hAnsi="Calibri"/>
          <w:sz w:val="24"/>
        </w:rPr>
        <w:lastRenderedPageBreak/>
        <w:t>responsibilities of government and its various entities is a challenge not only in West Africa but across continents</w:t>
      </w:r>
      <w:r w:rsidR="008B13E0" w:rsidRPr="004B2A73">
        <w:rPr>
          <w:rFonts w:ascii="Calibri" w:hAnsi="Calibri"/>
          <w:sz w:val="24"/>
        </w:rPr>
        <w:t>,</w:t>
      </w:r>
      <w:r w:rsidRPr="004B2A73">
        <w:rPr>
          <w:rFonts w:ascii="Calibri" w:hAnsi="Calibri"/>
          <w:sz w:val="24"/>
        </w:rPr>
        <w:t xml:space="preserve"> and has elicited varying responses depending on the local environment. </w:t>
      </w:r>
    </w:p>
    <w:p w14:paraId="2481650B" w14:textId="77777777" w:rsidR="00677752" w:rsidRPr="004B2A73" w:rsidRDefault="00677752" w:rsidP="00677752">
      <w:pPr>
        <w:pStyle w:val="NoSpacing"/>
        <w:rPr>
          <w:rFonts w:ascii="Calibri" w:hAnsi="Calibri"/>
        </w:rPr>
      </w:pPr>
    </w:p>
    <w:p w14:paraId="130E2CF1" w14:textId="6AD25290" w:rsidR="00677752" w:rsidRPr="004B2A73" w:rsidRDefault="00677752" w:rsidP="000A7291">
      <w:pPr>
        <w:pStyle w:val="Numbered"/>
        <w:ind w:left="0" w:firstLine="0"/>
        <w:contextualSpacing w:val="0"/>
        <w:jc w:val="both"/>
        <w:rPr>
          <w:rFonts w:ascii="Calibri" w:hAnsi="Calibri"/>
        </w:rPr>
      </w:pPr>
      <w:r w:rsidRPr="004B2A73">
        <w:rPr>
          <w:rFonts w:ascii="Calibri" w:hAnsi="Calibri"/>
          <w:b/>
        </w:rPr>
        <w:t xml:space="preserve">In West Africa, three port authorities are shareholders in the container terminal operating </w:t>
      </w:r>
      <w:r w:rsidR="00A8389E" w:rsidRPr="004B2A73">
        <w:rPr>
          <w:rFonts w:ascii="Calibri" w:hAnsi="Calibri"/>
          <w:b/>
        </w:rPr>
        <w:t>business</w:t>
      </w:r>
      <w:r w:rsidRPr="004B2A73">
        <w:rPr>
          <w:rFonts w:ascii="Calibri" w:hAnsi="Calibri"/>
          <w:b/>
        </w:rPr>
        <w:t>.</w:t>
      </w:r>
      <w:r w:rsidRPr="004B2A73">
        <w:rPr>
          <w:rFonts w:ascii="Calibri" w:hAnsi="Calibri"/>
        </w:rPr>
        <w:t xml:space="preserve"> </w:t>
      </w:r>
      <w:r w:rsidR="00A8389E" w:rsidRPr="004B2A73">
        <w:rPr>
          <w:rFonts w:ascii="Calibri" w:hAnsi="Calibri"/>
        </w:rPr>
        <w:t>P</w:t>
      </w:r>
      <w:r w:rsidRPr="004B2A73">
        <w:rPr>
          <w:rFonts w:ascii="Calibri" w:hAnsi="Calibri"/>
        </w:rPr>
        <w:t xml:space="preserve">articipation ranges from 5% for the </w:t>
      </w:r>
      <w:r w:rsidR="00C922CA">
        <w:rPr>
          <w:rFonts w:ascii="Calibri" w:hAnsi="Calibri"/>
        </w:rPr>
        <w:t>Lomé</w:t>
      </w:r>
      <w:r w:rsidRPr="004B2A73">
        <w:rPr>
          <w:rFonts w:ascii="Calibri" w:hAnsi="Calibri"/>
        </w:rPr>
        <w:t xml:space="preserve"> Port Authority in</w:t>
      </w:r>
      <w:r w:rsidR="00123BDA" w:rsidRPr="004B2A73">
        <w:rPr>
          <w:rFonts w:ascii="Calibri" w:hAnsi="Calibri"/>
        </w:rPr>
        <w:t xml:space="preserve"> the</w:t>
      </w:r>
      <w:r w:rsidRPr="004B2A73">
        <w:rPr>
          <w:rFonts w:ascii="Calibri" w:hAnsi="Calibri"/>
        </w:rPr>
        <w:t xml:space="preserve"> Togo Terminal (BAL owns 88.3%)</w:t>
      </w:r>
      <w:r w:rsidR="00546EC3" w:rsidRPr="004B2A73">
        <w:rPr>
          <w:rFonts w:ascii="Calibri" w:hAnsi="Calibri"/>
        </w:rPr>
        <w:t xml:space="preserve"> to</w:t>
      </w:r>
      <w:r w:rsidRPr="004B2A73">
        <w:rPr>
          <w:rFonts w:ascii="Calibri" w:hAnsi="Calibri"/>
        </w:rPr>
        <w:t xml:space="preserve"> 10% for the Dakar Port Authority in DP World Dakar, and 30% for the Ghana Ports and Harbors Authority in MPS. </w:t>
      </w:r>
      <w:r w:rsidR="00C677F8" w:rsidRPr="004B2A73">
        <w:rPr>
          <w:rFonts w:ascii="Calibri" w:hAnsi="Calibri"/>
        </w:rPr>
        <w:t xml:space="preserve">The notion of </w:t>
      </w:r>
      <w:r w:rsidR="001E7DA4" w:rsidRPr="004B2A73">
        <w:rPr>
          <w:rFonts w:ascii="Calibri" w:hAnsi="Calibri"/>
        </w:rPr>
        <w:t>a</w:t>
      </w:r>
      <w:r w:rsidR="00C677F8" w:rsidRPr="004B2A73">
        <w:rPr>
          <w:rFonts w:ascii="Calibri" w:hAnsi="Calibri"/>
        </w:rPr>
        <w:t xml:space="preserve"> port authority being a shareholder in an operat</w:t>
      </w:r>
      <w:r w:rsidR="001E7DA4" w:rsidRPr="004B2A73">
        <w:rPr>
          <w:rFonts w:ascii="Calibri" w:hAnsi="Calibri"/>
        </w:rPr>
        <w:t>ing company</w:t>
      </w:r>
      <w:r w:rsidR="00C677F8" w:rsidRPr="004B2A73">
        <w:rPr>
          <w:rFonts w:ascii="Calibri" w:hAnsi="Calibri"/>
        </w:rPr>
        <w:t xml:space="preserve">, even in a minority position, contradicts the landlord principle where the port authority should not be involved in any commercial operations. Furthermore, not only does it create an obvious conflict of interest but </w:t>
      </w:r>
      <w:r w:rsidR="000E5C4D" w:rsidRPr="004B2A73">
        <w:rPr>
          <w:rFonts w:ascii="Calibri" w:hAnsi="Calibri"/>
        </w:rPr>
        <w:t>to maintain an appearance of level playing field the port authority should then be a shareholder at the same level in all future concessions in the area it man</w:t>
      </w:r>
      <w:r w:rsidR="001E7DA4" w:rsidRPr="004B2A73">
        <w:rPr>
          <w:rFonts w:ascii="Calibri" w:hAnsi="Calibri"/>
        </w:rPr>
        <w:t>a</w:t>
      </w:r>
      <w:r w:rsidR="000E5C4D" w:rsidRPr="004B2A73">
        <w:rPr>
          <w:rFonts w:ascii="Calibri" w:hAnsi="Calibri"/>
        </w:rPr>
        <w:t xml:space="preserve">ges. This latter quickly becomes untenable. The reason normally invoked for participating directly in commercial operations has to do with control of the concessionaire. A better way to achieve this is </w:t>
      </w:r>
      <w:r w:rsidR="00812833" w:rsidRPr="004B2A73">
        <w:rPr>
          <w:rFonts w:ascii="Calibri" w:hAnsi="Calibri"/>
        </w:rPr>
        <w:t>to have good, enforceable contract</w:t>
      </w:r>
      <w:r w:rsidR="00DE6731" w:rsidRPr="004B2A73">
        <w:rPr>
          <w:rFonts w:ascii="Calibri" w:hAnsi="Calibri"/>
        </w:rPr>
        <w:t>s</w:t>
      </w:r>
      <w:r w:rsidR="00812833" w:rsidRPr="004B2A73">
        <w:rPr>
          <w:rFonts w:ascii="Calibri" w:hAnsi="Calibri"/>
        </w:rPr>
        <w:t>, competent moni</w:t>
      </w:r>
      <w:r w:rsidR="00DE6731" w:rsidRPr="004B2A73">
        <w:rPr>
          <w:rFonts w:ascii="Calibri" w:hAnsi="Calibri"/>
        </w:rPr>
        <w:t>t</w:t>
      </w:r>
      <w:r w:rsidR="00812833" w:rsidRPr="004B2A73">
        <w:rPr>
          <w:rFonts w:ascii="Calibri" w:hAnsi="Calibri"/>
        </w:rPr>
        <w:t>o</w:t>
      </w:r>
      <w:r w:rsidR="00DE6731" w:rsidRPr="004B2A73">
        <w:rPr>
          <w:rFonts w:ascii="Calibri" w:hAnsi="Calibri"/>
        </w:rPr>
        <w:t>r</w:t>
      </w:r>
      <w:r w:rsidR="00812833" w:rsidRPr="004B2A73">
        <w:rPr>
          <w:rFonts w:ascii="Calibri" w:hAnsi="Calibri"/>
        </w:rPr>
        <w:t xml:space="preserve">ing of performance and willingness to apply remedies when warranted. </w:t>
      </w:r>
    </w:p>
    <w:p w14:paraId="21DEDA24" w14:textId="77777777" w:rsidR="00DE6731" w:rsidRPr="004B2A73" w:rsidRDefault="00DE6731" w:rsidP="005A1CA2">
      <w:pPr>
        <w:pStyle w:val="Numbered"/>
        <w:numPr>
          <w:ilvl w:val="0"/>
          <w:numId w:val="0"/>
        </w:numPr>
        <w:rPr>
          <w:rFonts w:ascii="Calibri" w:hAnsi="Calibri"/>
        </w:rPr>
      </w:pPr>
    </w:p>
    <w:p w14:paraId="3CFD18F6" w14:textId="13F64CC5" w:rsidR="003C7E4A" w:rsidRPr="003F1B3E" w:rsidRDefault="003C7E4A" w:rsidP="00E826B9">
      <w:pPr>
        <w:pStyle w:val="Heading3"/>
        <w:numPr>
          <w:ilvl w:val="2"/>
          <w:numId w:val="9"/>
        </w:numPr>
        <w:ind w:left="0"/>
        <w:rPr>
          <w:rFonts w:asciiTheme="minorHAnsi" w:hAnsiTheme="minorHAnsi" w:cstheme="minorHAnsi"/>
          <w:color w:val="auto"/>
        </w:rPr>
      </w:pPr>
      <w:r w:rsidRPr="003F1B3E">
        <w:rPr>
          <w:rFonts w:asciiTheme="minorHAnsi" w:hAnsiTheme="minorHAnsi" w:cstheme="minorHAnsi"/>
          <w:color w:val="auto"/>
        </w:rPr>
        <w:t>The concession process and governance issues</w:t>
      </w:r>
    </w:p>
    <w:p w14:paraId="54B35D86" w14:textId="77777777" w:rsidR="003C7E4A" w:rsidRPr="004B2A73" w:rsidRDefault="003C7E4A" w:rsidP="009C6E8E">
      <w:pPr>
        <w:pStyle w:val="ListParagraph"/>
        <w:spacing w:after="0"/>
        <w:ind w:left="0"/>
        <w:rPr>
          <w:rFonts w:ascii="Calibri" w:hAnsi="Calibri"/>
          <w:sz w:val="24"/>
        </w:rPr>
      </w:pPr>
    </w:p>
    <w:p w14:paraId="0017B473" w14:textId="7B556736" w:rsidR="00806B2A" w:rsidRPr="00346916" w:rsidRDefault="00FC1EC2" w:rsidP="00346916">
      <w:pPr>
        <w:pStyle w:val="Numbered"/>
        <w:ind w:left="0" w:firstLine="0"/>
        <w:contextualSpacing w:val="0"/>
        <w:jc w:val="both"/>
        <w:rPr>
          <w:rFonts w:ascii="Calibri" w:hAnsi="Calibri"/>
        </w:rPr>
      </w:pPr>
      <w:r w:rsidRPr="004B2A73">
        <w:rPr>
          <w:rFonts w:ascii="Calibri" w:hAnsi="Calibri"/>
          <w:b/>
        </w:rPr>
        <w:t>Institutional and regulatory imperfections notwithstanding, the sub-</w:t>
      </w:r>
      <w:r w:rsidR="00806B2A" w:rsidRPr="004B2A73">
        <w:rPr>
          <w:rFonts w:ascii="Calibri" w:hAnsi="Calibri"/>
          <w:b/>
        </w:rPr>
        <w:t>region had completed 37 PPP transactions in the port sector by 2013.</w:t>
      </w:r>
      <w:r w:rsidR="00806B2A" w:rsidRPr="004B2A73">
        <w:rPr>
          <w:rFonts w:ascii="Calibri" w:hAnsi="Calibri"/>
          <w:i/>
          <w:iCs/>
        </w:rPr>
        <w:t xml:space="preserve">  </w:t>
      </w:r>
      <w:r w:rsidR="00806B2A" w:rsidRPr="004B2A73">
        <w:rPr>
          <w:rFonts w:ascii="Calibri" w:hAnsi="Calibri"/>
        </w:rPr>
        <w:t xml:space="preserve">In the case of large-scale projects, given the high strategic and financial stakes, central administrations have tended to take control of the tendering process through a mix of official (line ministry, ministry of finance, PPP units, public procurement regulatory agencies, etc.) and unofficial (direct talks between bidders and highest levels of government) lines of communication. A relatively loose governance structure has thus been created where contradictory messages are sent to the market, exposing port authorities to protests and legal actions from disgruntled bidders. In countries where the practice of tendering large infrastructure projects is not standard yet, deals are generally struck with terminal operators at the presidential level </w:t>
      </w:r>
      <w:r w:rsidR="008B13E0" w:rsidRPr="004B2A73">
        <w:rPr>
          <w:rFonts w:ascii="Calibri" w:hAnsi="Calibri"/>
        </w:rPr>
        <w:t>(for example, in</w:t>
      </w:r>
      <w:r w:rsidR="00806B2A" w:rsidRPr="004B2A73">
        <w:rPr>
          <w:rFonts w:ascii="Calibri" w:hAnsi="Calibri"/>
        </w:rPr>
        <w:t xml:space="preserve"> Benin, Togo and Guinea</w:t>
      </w:r>
      <w:r w:rsidR="008B13E0" w:rsidRPr="004B2A73">
        <w:rPr>
          <w:rFonts w:ascii="Calibri" w:hAnsi="Calibri"/>
        </w:rPr>
        <w:t>)</w:t>
      </w:r>
      <w:r w:rsidR="00806B2A" w:rsidRPr="004B2A73">
        <w:rPr>
          <w:rFonts w:ascii="Calibri" w:hAnsi="Calibri"/>
        </w:rPr>
        <w:t>. Even where a competitive process was undertaken, the lack of prior experience in the design, negotiation and award of concessions in the infrastructure sector, and specifically in the port industry</w:t>
      </w:r>
      <w:r w:rsidR="008B13E0" w:rsidRPr="004B2A73">
        <w:rPr>
          <w:rFonts w:ascii="Calibri" w:hAnsi="Calibri"/>
        </w:rPr>
        <w:t>,</w:t>
      </w:r>
      <w:r w:rsidR="00806B2A" w:rsidRPr="004B2A73">
        <w:rPr>
          <w:rFonts w:ascii="Calibri" w:hAnsi="Calibri"/>
        </w:rPr>
        <w:t xml:space="preserve"> has given </w:t>
      </w:r>
      <w:r w:rsidR="00346916">
        <w:rPr>
          <w:rFonts w:ascii="Calibri" w:hAnsi="Calibri"/>
        </w:rPr>
        <w:t xml:space="preserve">a clear </w:t>
      </w:r>
      <w:r w:rsidR="00806B2A" w:rsidRPr="00346916">
        <w:rPr>
          <w:rFonts w:ascii="Calibri" w:hAnsi="Calibri"/>
        </w:rPr>
        <w:t>advantage to private negotiators. The exception</w:t>
      </w:r>
      <w:r w:rsidR="008B13E0" w:rsidRPr="00346916">
        <w:rPr>
          <w:rFonts w:ascii="Calibri" w:hAnsi="Calibri"/>
        </w:rPr>
        <w:t>s</w:t>
      </w:r>
      <w:r w:rsidR="00806B2A" w:rsidRPr="00346916">
        <w:rPr>
          <w:rFonts w:ascii="Calibri" w:hAnsi="Calibri"/>
        </w:rPr>
        <w:t xml:space="preserve"> are t</w:t>
      </w:r>
      <w:r w:rsidR="009866CB" w:rsidRPr="00346916">
        <w:rPr>
          <w:rFonts w:ascii="Calibri" w:hAnsi="Calibri"/>
        </w:rPr>
        <w:t>he countries such as Liberia,</w:t>
      </w:r>
      <w:r w:rsidR="00806B2A" w:rsidRPr="00346916">
        <w:rPr>
          <w:rFonts w:ascii="Calibri" w:hAnsi="Calibri"/>
        </w:rPr>
        <w:t xml:space="preserve"> Sierra Leone </w:t>
      </w:r>
      <w:r w:rsidR="009866CB" w:rsidRPr="00346916">
        <w:rPr>
          <w:rFonts w:ascii="Calibri" w:hAnsi="Calibri"/>
        </w:rPr>
        <w:t xml:space="preserve">and Benin </w:t>
      </w:r>
      <w:r w:rsidR="00806B2A" w:rsidRPr="00346916">
        <w:rPr>
          <w:rFonts w:ascii="Calibri" w:hAnsi="Calibri"/>
        </w:rPr>
        <w:t xml:space="preserve">who recruited support from international transaction advisors.  The unequal capacities of the </w:t>
      </w:r>
      <w:r w:rsidR="00346916">
        <w:rPr>
          <w:rFonts w:ascii="Calibri" w:hAnsi="Calibri"/>
        </w:rPr>
        <w:t xml:space="preserve">concession </w:t>
      </w:r>
      <w:r w:rsidR="00806B2A" w:rsidRPr="00346916">
        <w:rPr>
          <w:rFonts w:ascii="Calibri" w:hAnsi="Calibri"/>
        </w:rPr>
        <w:t>contenders and the conceding authorities</w:t>
      </w:r>
      <w:r w:rsidR="009E5FCF" w:rsidRPr="00346916">
        <w:rPr>
          <w:rFonts w:ascii="Calibri" w:hAnsi="Calibri"/>
        </w:rPr>
        <w:t xml:space="preserve"> are</w:t>
      </w:r>
      <w:r w:rsidR="00806B2A" w:rsidRPr="00346916">
        <w:rPr>
          <w:rFonts w:ascii="Calibri" w:hAnsi="Calibri"/>
        </w:rPr>
        <w:t xml:space="preserve"> reflected in the uneven quality of tender packages and the nature of the </w:t>
      </w:r>
      <w:r w:rsidR="00346916">
        <w:rPr>
          <w:rFonts w:ascii="Calibri" w:hAnsi="Calibri"/>
        </w:rPr>
        <w:t xml:space="preserve">negotiated </w:t>
      </w:r>
      <w:r w:rsidR="00806B2A" w:rsidRPr="00346916">
        <w:rPr>
          <w:rFonts w:ascii="Calibri" w:hAnsi="Calibri"/>
        </w:rPr>
        <w:t>agreements along various dimensions. As in other countries and regions, the administrative outcomes and substance of the</w:t>
      </w:r>
      <w:r w:rsidR="00346916">
        <w:rPr>
          <w:rFonts w:ascii="Calibri" w:hAnsi="Calibri"/>
        </w:rPr>
        <w:t xml:space="preserve"> concession</w:t>
      </w:r>
      <w:r w:rsidR="00806B2A" w:rsidRPr="00346916">
        <w:rPr>
          <w:rFonts w:ascii="Calibri" w:hAnsi="Calibri"/>
        </w:rPr>
        <w:t xml:space="preserve"> contracts have also been shaped by the interaction of political and economic </w:t>
      </w:r>
      <w:r w:rsidR="00906DB4" w:rsidRPr="00346916">
        <w:rPr>
          <w:rFonts w:ascii="Calibri" w:hAnsi="Calibri"/>
        </w:rPr>
        <w:t>incentives</w:t>
      </w:r>
      <w:r w:rsidR="00806B2A" w:rsidRPr="00346916">
        <w:rPr>
          <w:rFonts w:ascii="Calibri" w:hAnsi="Calibri"/>
        </w:rPr>
        <w:t xml:space="preserve">. </w:t>
      </w:r>
    </w:p>
    <w:p w14:paraId="2872604B" w14:textId="77777777" w:rsidR="00871B5E" w:rsidRPr="004B2A73" w:rsidRDefault="00871B5E" w:rsidP="00CD5514">
      <w:pPr>
        <w:pStyle w:val="ListParagraph"/>
        <w:spacing w:after="0"/>
        <w:ind w:left="0"/>
        <w:contextualSpacing w:val="0"/>
        <w:rPr>
          <w:rFonts w:ascii="Calibri" w:hAnsi="Calibri"/>
          <w:sz w:val="24"/>
        </w:rPr>
      </w:pPr>
    </w:p>
    <w:p w14:paraId="46E4DFC9" w14:textId="77777777" w:rsidR="005658CF" w:rsidRPr="004B2A73" w:rsidRDefault="005658CF" w:rsidP="000A7291">
      <w:pPr>
        <w:pStyle w:val="Numbered"/>
        <w:ind w:left="0" w:firstLine="0"/>
        <w:contextualSpacing w:val="0"/>
        <w:jc w:val="both"/>
        <w:rPr>
          <w:rFonts w:ascii="Calibri" w:hAnsi="Calibri"/>
        </w:rPr>
      </w:pPr>
      <w:r w:rsidRPr="004B2A73">
        <w:rPr>
          <w:rFonts w:ascii="Calibri" w:hAnsi="Calibri"/>
          <w:b/>
        </w:rPr>
        <w:t>Even for</w:t>
      </w:r>
      <w:r w:rsidR="00B67270" w:rsidRPr="004B2A73">
        <w:rPr>
          <w:rFonts w:ascii="Calibri" w:hAnsi="Calibri"/>
          <w:b/>
        </w:rPr>
        <w:t xml:space="preserve"> competitive bids, the concession process has been far from flawless, and the results often questioned or disputed.</w:t>
      </w:r>
      <w:r w:rsidR="00B67270" w:rsidRPr="004B2A73">
        <w:rPr>
          <w:rFonts w:ascii="Calibri" w:hAnsi="Calibri"/>
        </w:rPr>
        <w:t xml:space="preserve"> Port reforms are notoriously sensitive, and generate sometimes heated arguments before, during, and after the reform. Container terminal </w:t>
      </w:r>
      <w:r w:rsidR="00B67270" w:rsidRPr="004B2A73">
        <w:rPr>
          <w:rFonts w:ascii="Calibri" w:hAnsi="Calibri"/>
        </w:rPr>
        <w:lastRenderedPageBreak/>
        <w:t>concessions are not different, and very often, press release</w:t>
      </w:r>
      <w:r w:rsidR="00C61ACB" w:rsidRPr="004B2A73">
        <w:rPr>
          <w:rFonts w:ascii="Calibri" w:hAnsi="Calibri"/>
        </w:rPr>
        <w:t>s</w:t>
      </w:r>
      <w:r w:rsidR="00B67270" w:rsidRPr="004B2A73">
        <w:rPr>
          <w:rFonts w:ascii="Calibri" w:hAnsi="Calibri"/>
        </w:rPr>
        <w:t xml:space="preserve"> and statements from all parties reflect attempts to influence the process. Once the concession results are known, it is </w:t>
      </w:r>
      <w:r w:rsidR="00C61ACB" w:rsidRPr="004B2A73">
        <w:rPr>
          <w:rFonts w:ascii="Calibri" w:hAnsi="Calibri"/>
        </w:rPr>
        <w:t xml:space="preserve">quite </w:t>
      </w:r>
      <w:r w:rsidR="00077458" w:rsidRPr="004B2A73">
        <w:rPr>
          <w:rFonts w:ascii="Calibri" w:hAnsi="Calibri"/>
        </w:rPr>
        <w:t>common fo</w:t>
      </w:r>
      <w:r w:rsidR="00B67270" w:rsidRPr="004B2A73">
        <w:rPr>
          <w:rFonts w:ascii="Calibri" w:hAnsi="Calibri"/>
        </w:rPr>
        <w:t>r the losing bidders</w:t>
      </w:r>
      <w:r w:rsidR="00C61ACB" w:rsidRPr="004B2A73">
        <w:rPr>
          <w:rFonts w:ascii="Calibri" w:hAnsi="Calibri"/>
        </w:rPr>
        <w:t xml:space="preserve"> to</w:t>
      </w:r>
      <w:r w:rsidR="00B67270" w:rsidRPr="004B2A73">
        <w:rPr>
          <w:rFonts w:ascii="Calibri" w:hAnsi="Calibri"/>
        </w:rPr>
        <w:t xml:space="preserve"> go public and complain. The difficulty then </w:t>
      </w:r>
      <w:r w:rsidR="00C61ACB" w:rsidRPr="004B2A73">
        <w:rPr>
          <w:rFonts w:ascii="Calibri" w:hAnsi="Calibri"/>
        </w:rPr>
        <w:t xml:space="preserve">is </w:t>
      </w:r>
      <w:r w:rsidR="00B67270" w:rsidRPr="004B2A73">
        <w:rPr>
          <w:rFonts w:ascii="Calibri" w:hAnsi="Calibri"/>
        </w:rPr>
        <w:t>to sift between unfounded claims and more established facts</w:t>
      </w:r>
      <w:r w:rsidR="00C61ACB" w:rsidRPr="004B2A73">
        <w:rPr>
          <w:rFonts w:ascii="Calibri" w:hAnsi="Calibri"/>
        </w:rPr>
        <w:t>.  T</w:t>
      </w:r>
      <w:r w:rsidR="00B67270" w:rsidRPr="004B2A73">
        <w:rPr>
          <w:rFonts w:ascii="Calibri" w:hAnsi="Calibri"/>
        </w:rPr>
        <w:t>he cases detailed below were selected because facts had been reviewed by independent institutions.</w:t>
      </w:r>
    </w:p>
    <w:p w14:paraId="5569EE85" w14:textId="77777777" w:rsidR="005658CF" w:rsidRPr="004B2A73" w:rsidRDefault="005658CF" w:rsidP="00CD5514">
      <w:pPr>
        <w:pStyle w:val="Numbered"/>
        <w:numPr>
          <w:ilvl w:val="0"/>
          <w:numId w:val="0"/>
        </w:numPr>
        <w:contextualSpacing w:val="0"/>
        <w:rPr>
          <w:rFonts w:ascii="Calibri" w:hAnsi="Calibri"/>
        </w:rPr>
      </w:pPr>
    </w:p>
    <w:p w14:paraId="5BF04F9D" w14:textId="16656E5E" w:rsidR="00B67270" w:rsidRPr="004B2A73" w:rsidRDefault="00B67270" w:rsidP="000A7291">
      <w:pPr>
        <w:pStyle w:val="Numbered"/>
        <w:ind w:left="0" w:firstLine="0"/>
        <w:contextualSpacing w:val="0"/>
        <w:jc w:val="both"/>
        <w:rPr>
          <w:rFonts w:ascii="Calibri" w:hAnsi="Calibri"/>
        </w:rPr>
      </w:pPr>
      <w:r w:rsidRPr="004B2A73">
        <w:rPr>
          <w:rFonts w:ascii="Calibri" w:hAnsi="Calibri"/>
          <w:b/>
        </w:rPr>
        <w:t>Most of the complaints</w:t>
      </w:r>
      <w:r w:rsidR="00FB78CB" w:rsidRPr="004B2A73">
        <w:rPr>
          <w:rFonts w:ascii="Calibri" w:hAnsi="Calibri"/>
          <w:b/>
        </w:rPr>
        <w:t xml:space="preserve"> from bidders, all of </w:t>
      </w:r>
      <w:r w:rsidRPr="004B2A73">
        <w:rPr>
          <w:rFonts w:ascii="Calibri" w:hAnsi="Calibri"/>
          <w:b/>
        </w:rPr>
        <w:t xml:space="preserve">which have been well publicized in </w:t>
      </w:r>
      <w:r w:rsidR="00CD5514" w:rsidRPr="004B2A73">
        <w:rPr>
          <w:rFonts w:ascii="Calibri" w:hAnsi="Calibri"/>
          <w:b/>
        </w:rPr>
        <w:t>the transport</w:t>
      </w:r>
      <w:r w:rsidRPr="004B2A73">
        <w:rPr>
          <w:rFonts w:ascii="Calibri" w:hAnsi="Calibri"/>
          <w:b/>
        </w:rPr>
        <w:t xml:space="preserve"> press</w:t>
      </w:r>
      <w:r w:rsidR="00123BDA" w:rsidRPr="004B2A73">
        <w:rPr>
          <w:rFonts w:ascii="Calibri" w:hAnsi="Calibri"/>
          <w:b/>
        </w:rPr>
        <w:t xml:space="preserve"> and </w:t>
      </w:r>
      <w:r w:rsidRPr="004B2A73">
        <w:rPr>
          <w:rFonts w:ascii="Calibri" w:hAnsi="Calibri"/>
          <w:b/>
        </w:rPr>
        <w:t>mainstream news, fall under two main categories: (i) competition issues, and (ii) corruption and fraud.</w:t>
      </w:r>
      <w:r w:rsidRPr="004B2A73">
        <w:rPr>
          <w:rFonts w:ascii="Calibri" w:hAnsi="Calibri"/>
        </w:rPr>
        <w:t xml:space="preserve"> For the first category, the selected example is the concession of the second container terminal in Abidjan</w:t>
      </w:r>
      <w:r w:rsidR="00123BDA" w:rsidRPr="004B2A73">
        <w:rPr>
          <w:rFonts w:ascii="Calibri" w:hAnsi="Calibri"/>
        </w:rPr>
        <w:t>, which</w:t>
      </w:r>
      <w:r w:rsidRPr="004B2A73">
        <w:rPr>
          <w:rFonts w:ascii="Calibri" w:hAnsi="Calibri"/>
        </w:rPr>
        <w:t xml:space="preserve"> was disputed on the basis of competition regulations both in Cote d’Ivoire, with the public procurement agency, and regionally, with the UEMOA Commission. For the second category, </w:t>
      </w:r>
      <w:r w:rsidR="001C33A9" w:rsidRPr="004B2A73">
        <w:rPr>
          <w:rFonts w:ascii="Calibri" w:hAnsi="Calibri"/>
        </w:rPr>
        <w:t>we discuss the concessions for Dakar and Conakry</w:t>
      </w:r>
      <w:r w:rsidR="007E1E3D" w:rsidRPr="004B2A73">
        <w:rPr>
          <w:rFonts w:ascii="Calibri" w:hAnsi="Calibri"/>
        </w:rPr>
        <w:t xml:space="preserve"> where the issue was not the </w:t>
      </w:r>
      <w:r w:rsidRPr="004B2A73">
        <w:rPr>
          <w:rFonts w:ascii="Calibri" w:hAnsi="Calibri"/>
        </w:rPr>
        <w:t>legality of the process</w:t>
      </w:r>
      <w:r w:rsidR="007E1E3D" w:rsidRPr="004B2A73">
        <w:rPr>
          <w:rFonts w:ascii="Calibri" w:hAnsi="Calibri"/>
        </w:rPr>
        <w:t xml:space="preserve"> but rather </w:t>
      </w:r>
      <w:r w:rsidRPr="004B2A73">
        <w:rPr>
          <w:rFonts w:ascii="Calibri" w:hAnsi="Calibri"/>
        </w:rPr>
        <w:t xml:space="preserve">accusations of corruption </w:t>
      </w:r>
      <w:r w:rsidR="00346916">
        <w:rPr>
          <w:rFonts w:ascii="Calibri" w:hAnsi="Calibri"/>
        </w:rPr>
        <w:t>or</w:t>
      </w:r>
      <w:r w:rsidRPr="004B2A73">
        <w:rPr>
          <w:rFonts w:ascii="Calibri" w:hAnsi="Calibri"/>
        </w:rPr>
        <w:t xml:space="preserve"> worse</w:t>
      </w:r>
      <w:r w:rsidR="007E1E3D" w:rsidRPr="004B2A73">
        <w:rPr>
          <w:rFonts w:ascii="Calibri" w:hAnsi="Calibri"/>
        </w:rPr>
        <w:t xml:space="preserve">. </w:t>
      </w:r>
      <w:r w:rsidRPr="004B2A73">
        <w:rPr>
          <w:rFonts w:ascii="Calibri" w:hAnsi="Calibri"/>
        </w:rPr>
        <w:t xml:space="preserve"> </w:t>
      </w:r>
      <w:r w:rsidR="001C33A9" w:rsidRPr="004B2A73">
        <w:rPr>
          <w:rFonts w:ascii="Calibri" w:hAnsi="Calibri"/>
        </w:rPr>
        <w:t xml:space="preserve"> </w:t>
      </w:r>
    </w:p>
    <w:p w14:paraId="2D2B1812" w14:textId="77777777" w:rsidR="001C33A9" w:rsidRPr="004B2A73" w:rsidRDefault="001C33A9" w:rsidP="00CD5514">
      <w:pPr>
        <w:pStyle w:val="Numbered"/>
        <w:numPr>
          <w:ilvl w:val="0"/>
          <w:numId w:val="0"/>
        </w:numPr>
        <w:contextualSpacing w:val="0"/>
        <w:rPr>
          <w:rFonts w:ascii="Calibri" w:hAnsi="Calibri"/>
        </w:rPr>
      </w:pPr>
    </w:p>
    <w:p w14:paraId="694742CD" w14:textId="29298EE4" w:rsidR="00B67270" w:rsidRPr="004B2A73" w:rsidRDefault="00B67270" w:rsidP="000A7291">
      <w:pPr>
        <w:pStyle w:val="Numbered"/>
        <w:ind w:left="0" w:firstLine="0"/>
        <w:contextualSpacing w:val="0"/>
        <w:jc w:val="both"/>
        <w:rPr>
          <w:rFonts w:ascii="Calibri" w:hAnsi="Calibri"/>
        </w:rPr>
      </w:pPr>
      <w:r w:rsidRPr="004B2A73">
        <w:rPr>
          <w:rFonts w:ascii="Calibri" w:hAnsi="Calibri"/>
          <w:b/>
        </w:rPr>
        <w:t>In Cote d’Ivoire, the concession for the second container terminal of Abidjan was a</w:t>
      </w:r>
      <w:r w:rsidR="00344DCF" w:rsidRPr="004B2A73">
        <w:rPr>
          <w:rFonts w:ascii="Calibri" w:hAnsi="Calibri"/>
          <w:b/>
        </w:rPr>
        <w:t xml:space="preserve">warded </w:t>
      </w:r>
      <w:r w:rsidRPr="004B2A73">
        <w:rPr>
          <w:rFonts w:ascii="Calibri" w:hAnsi="Calibri"/>
          <w:b/>
        </w:rPr>
        <w:t xml:space="preserve">to the same </w:t>
      </w:r>
      <w:r w:rsidR="00344DCF" w:rsidRPr="004B2A73">
        <w:rPr>
          <w:rFonts w:ascii="Calibri" w:hAnsi="Calibri"/>
          <w:b/>
        </w:rPr>
        <w:t xml:space="preserve">TOC </w:t>
      </w:r>
      <w:r w:rsidR="00346916">
        <w:rPr>
          <w:rFonts w:ascii="Calibri" w:hAnsi="Calibri"/>
          <w:b/>
        </w:rPr>
        <w:t>which</w:t>
      </w:r>
      <w:r w:rsidR="00344DCF" w:rsidRPr="004B2A73">
        <w:rPr>
          <w:rFonts w:ascii="Calibri" w:hAnsi="Calibri"/>
          <w:b/>
        </w:rPr>
        <w:t xml:space="preserve"> was </w:t>
      </w:r>
      <w:r w:rsidRPr="004B2A73">
        <w:rPr>
          <w:rFonts w:ascii="Calibri" w:hAnsi="Calibri"/>
          <w:b/>
        </w:rPr>
        <w:t>already operating the existing terminal</w:t>
      </w:r>
      <w:r w:rsidR="00346916">
        <w:rPr>
          <w:rFonts w:ascii="Calibri" w:hAnsi="Calibri"/>
          <w:b/>
        </w:rPr>
        <w:t>. T</w:t>
      </w:r>
      <w:r w:rsidR="00344DCF" w:rsidRPr="004B2A73">
        <w:rPr>
          <w:rFonts w:ascii="Calibri" w:hAnsi="Calibri"/>
          <w:b/>
        </w:rPr>
        <w:t xml:space="preserve">his </w:t>
      </w:r>
      <w:r w:rsidRPr="004B2A73">
        <w:rPr>
          <w:rFonts w:ascii="Calibri" w:hAnsi="Calibri"/>
          <w:b/>
        </w:rPr>
        <w:t>prompted complaints from the other bidders.</w:t>
      </w:r>
      <w:r w:rsidRPr="004B2A73">
        <w:rPr>
          <w:rFonts w:ascii="Calibri" w:hAnsi="Calibri"/>
        </w:rPr>
        <w:t xml:space="preserve"> After the Port Authority of Abidjan announced the results of the </w:t>
      </w:r>
      <w:r w:rsidR="00B56398" w:rsidRPr="004B2A73">
        <w:rPr>
          <w:rFonts w:ascii="Calibri" w:hAnsi="Calibri"/>
        </w:rPr>
        <w:t xml:space="preserve">bid </w:t>
      </w:r>
      <w:r w:rsidRPr="004B2A73">
        <w:rPr>
          <w:rFonts w:ascii="Calibri" w:hAnsi="Calibri"/>
        </w:rPr>
        <w:t>assessment in March 2013, declaring the consortium BAL and APMT the winner of the tender, the consortium led by CMA-CGM filed a complaint with the Public Procurement Authority of Cote d’Ivoire (‘Autorité Nationale de Régulation des Marchés Publics’ – ANRMP). The basis for the complaint was the alleged infringement of the competition regulation and disregard for the technical assessment of the offers. The complaint was dismissed by the</w:t>
      </w:r>
      <w:r w:rsidR="00B56398" w:rsidRPr="004B2A73">
        <w:rPr>
          <w:rFonts w:ascii="Calibri" w:hAnsi="Calibri"/>
        </w:rPr>
        <w:t xml:space="preserve"> ANRMP</w:t>
      </w:r>
      <w:r w:rsidRPr="004B2A73">
        <w:rPr>
          <w:rFonts w:ascii="Calibri" w:hAnsi="Calibri"/>
        </w:rPr>
        <w:t xml:space="preserve"> through a decision made in May 2013. CMA-CGM and the other bidders then turned to the Competition Commission of the West Africa Monetary and Economic Union (UEMOA)</w:t>
      </w:r>
      <w:r w:rsidR="00346916">
        <w:rPr>
          <w:rFonts w:ascii="Calibri" w:hAnsi="Calibri"/>
        </w:rPr>
        <w:t xml:space="preserve"> whose</w:t>
      </w:r>
      <w:r w:rsidRPr="004B2A73">
        <w:rPr>
          <w:rFonts w:ascii="Calibri" w:hAnsi="Calibri"/>
        </w:rPr>
        <w:t xml:space="preserve"> deliberations are only consultative. </w:t>
      </w:r>
    </w:p>
    <w:p w14:paraId="6DDAB1A0" w14:textId="77777777" w:rsidR="00B67270" w:rsidRPr="004B2A73" w:rsidRDefault="00B67270" w:rsidP="00CD5514">
      <w:pPr>
        <w:pStyle w:val="NoSpacing"/>
        <w:spacing w:line="259" w:lineRule="auto"/>
        <w:rPr>
          <w:rFonts w:ascii="Calibri" w:hAnsi="Calibri"/>
        </w:rPr>
      </w:pPr>
    </w:p>
    <w:p w14:paraId="34ADC53D" w14:textId="3CC94D62" w:rsidR="00AD2E83" w:rsidRPr="006010C8" w:rsidRDefault="00B67270" w:rsidP="00CD5514">
      <w:pPr>
        <w:pStyle w:val="Numbered"/>
        <w:ind w:left="0" w:firstLine="0"/>
        <w:contextualSpacing w:val="0"/>
        <w:jc w:val="both"/>
        <w:rPr>
          <w:rFonts w:ascii="Calibri" w:hAnsi="Calibri"/>
        </w:rPr>
      </w:pPr>
      <w:r w:rsidRPr="004B2A73">
        <w:rPr>
          <w:rFonts w:ascii="Calibri" w:hAnsi="Calibri"/>
          <w:b/>
        </w:rPr>
        <w:t xml:space="preserve">In Senegal, after the presidential elections in 2012, the newly elected </w:t>
      </w:r>
      <w:r w:rsidR="00346916">
        <w:rPr>
          <w:rFonts w:ascii="Calibri" w:hAnsi="Calibri"/>
          <w:b/>
        </w:rPr>
        <w:t xml:space="preserve">administration </w:t>
      </w:r>
      <w:r w:rsidRPr="004B2A73">
        <w:rPr>
          <w:rFonts w:ascii="Calibri" w:hAnsi="Calibri"/>
          <w:b/>
        </w:rPr>
        <w:t xml:space="preserve"> looked into the circumstances surrounding the </w:t>
      </w:r>
      <w:r w:rsidR="00346916">
        <w:rPr>
          <w:rFonts w:ascii="Calibri" w:hAnsi="Calibri"/>
          <w:b/>
        </w:rPr>
        <w:t xml:space="preserve">award of the </w:t>
      </w:r>
      <w:r w:rsidRPr="004B2A73">
        <w:rPr>
          <w:rFonts w:ascii="Calibri" w:hAnsi="Calibri"/>
          <w:b/>
        </w:rPr>
        <w:t>concession of the container terminal.</w:t>
      </w:r>
      <w:r w:rsidRPr="004B2A73">
        <w:rPr>
          <w:rFonts w:ascii="Calibri" w:hAnsi="Calibri"/>
        </w:rPr>
        <w:t xml:space="preserve"> The ‘Inspection Générale de l’Etat’ was appointed to conduct an enquiry which notably led to the arrest of the former Managing Director of the Port Authority</w:t>
      </w:r>
      <w:r w:rsidR="00346916">
        <w:rPr>
          <w:rFonts w:ascii="Calibri" w:hAnsi="Calibri"/>
        </w:rPr>
        <w:t xml:space="preserve">. He </w:t>
      </w:r>
      <w:r w:rsidRPr="004B2A73">
        <w:rPr>
          <w:rFonts w:ascii="Calibri" w:hAnsi="Calibri"/>
        </w:rPr>
        <w:t>was jailed from November 2013 to November 2014 under suspicion of corruption. The report of the IGE was released in October 2012 under the reference 91/2012, and the following section draws from the extensive quotes of that report in a USAID report on governance in Senegal</w:t>
      </w:r>
      <w:r w:rsidRPr="004B2A73">
        <w:rPr>
          <w:rFonts w:ascii="Calibri" w:hAnsi="Calibri"/>
          <w:vertAlign w:val="superscript"/>
        </w:rPr>
        <w:footnoteReference w:id="31"/>
      </w:r>
      <w:r w:rsidRPr="004B2A73">
        <w:rPr>
          <w:rFonts w:ascii="Calibri" w:hAnsi="Calibri"/>
        </w:rPr>
        <w:t>. DP World proposed to pay an entry ticket of 54 billion CFA Francs for the concession of the container terminal</w:t>
      </w:r>
      <w:r w:rsidR="00346916">
        <w:rPr>
          <w:rFonts w:ascii="Calibri" w:hAnsi="Calibri"/>
        </w:rPr>
        <w:t xml:space="preserve">. This ticket was split in two with </w:t>
      </w:r>
      <w:r w:rsidRPr="004B2A73">
        <w:rPr>
          <w:rFonts w:ascii="Calibri" w:hAnsi="Calibri"/>
        </w:rPr>
        <w:t xml:space="preserve">30 billion </w:t>
      </w:r>
      <w:r w:rsidR="009D7141">
        <w:rPr>
          <w:rFonts w:ascii="Calibri" w:hAnsi="Calibri"/>
        </w:rPr>
        <w:t xml:space="preserve">CFA Francs </w:t>
      </w:r>
      <w:r w:rsidR="00346916">
        <w:rPr>
          <w:rFonts w:ascii="Calibri" w:hAnsi="Calibri"/>
        </w:rPr>
        <w:t xml:space="preserve">in cash paid </w:t>
      </w:r>
      <w:r w:rsidRPr="004B2A73">
        <w:rPr>
          <w:rFonts w:ascii="Calibri" w:hAnsi="Calibri"/>
        </w:rPr>
        <w:t xml:space="preserve">at the signing of the concession, </w:t>
      </w:r>
      <w:r w:rsidR="00346916">
        <w:rPr>
          <w:rFonts w:ascii="Calibri" w:hAnsi="Calibri"/>
        </w:rPr>
        <w:t>and the remaining 24 billion CFA</w:t>
      </w:r>
      <w:r w:rsidR="009D7141">
        <w:rPr>
          <w:rFonts w:ascii="Calibri" w:hAnsi="Calibri"/>
        </w:rPr>
        <w:t xml:space="preserve"> Francs</w:t>
      </w:r>
      <w:r w:rsidR="00346916">
        <w:rPr>
          <w:rFonts w:ascii="Calibri" w:hAnsi="Calibri"/>
        </w:rPr>
        <w:t xml:space="preserve"> paid through </w:t>
      </w:r>
      <w:r w:rsidR="009D7141">
        <w:rPr>
          <w:rFonts w:ascii="Calibri" w:hAnsi="Calibri"/>
        </w:rPr>
        <w:t xml:space="preserve">the ownership of </w:t>
      </w:r>
      <w:r w:rsidRPr="004B2A73">
        <w:rPr>
          <w:rFonts w:ascii="Calibri" w:hAnsi="Calibri"/>
        </w:rPr>
        <w:t>10% of the shares of DP World Dakar</w:t>
      </w:r>
      <w:r w:rsidR="009D7141">
        <w:rPr>
          <w:rFonts w:ascii="Calibri" w:hAnsi="Calibri"/>
        </w:rPr>
        <w:t>.</w:t>
      </w:r>
      <w:r w:rsidRPr="004B2A73">
        <w:rPr>
          <w:rFonts w:ascii="Calibri" w:hAnsi="Calibri"/>
        </w:rPr>
        <w:t xml:space="preserve">. However, </w:t>
      </w:r>
      <w:r w:rsidR="009D7141">
        <w:rPr>
          <w:rFonts w:ascii="Calibri" w:hAnsi="Calibri"/>
        </w:rPr>
        <w:t>the IGE review established that all of</w:t>
      </w:r>
      <w:r w:rsidRPr="004B2A73">
        <w:rPr>
          <w:rFonts w:ascii="Calibri" w:hAnsi="Calibri"/>
        </w:rPr>
        <w:t xml:space="preserve"> DP World Dakar </w:t>
      </w:r>
      <w:r w:rsidR="009D7141">
        <w:rPr>
          <w:rFonts w:ascii="Calibri" w:hAnsi="Calibri"/>
        </w:rPr>
        <w:t xml:space="preserve">shares value was only </w:t>
      </w:r>
      <w:r w:rsidRPr="004B2A73">
        <w:rPr>
          <w:rFonts w:ascii="Calibri" w:hAnsi="Calibri"/>
        </w:rPr>
        <w:t xml:space="preserve">1 billion CFA Francs, </w:t>
      </w:r>
      <w:r w:rsidR="009D7141">
        <w:rPr>
          <w:rFonts w:ascii="Calibri" w:hAnsi="Calibri"/>
        </w:rPr>
        <w:t xml:space="preserve">thus the 10% awarded to the </w:t>
      </w:r>
      <w:r w:rsidRPr="004B2A73">
        <w:rPr>
          <w:rFonts w:ascii="Calibri" w:hAnsi="Calibri"/>
        </w:rPr>
        <w:t xml:space="preserve">Port Authority of Dakar </w:t>
      </w:r>
      <w:r w:rsidR="009D7141">
        <w:rPr>
          <w:rFonts w:ascii="Calibri" w:hAnsi="Calibri"/>
        </w:rPr>
        <w:t xml:space="preserve">were worth only </w:t>
      </w:r>
      <w:r w:rsidRPr="004B2A73">
        <w:rPr>
          <w:rFonts w:ascii="Calibri" w:hAnsi="Calibri"/>
        </w:rPr>
        <w:t xml:space="preserve">100 </w:t>
      </w:r>
      <w:r w:rsidRPr="004B2A73">
        <w:rPr>
          <w:rFonts w:ascii="Calibri" w:hAnsi="Calibri"/>
        </w:rPr>
        <w:lastRenderedPageBreak/>
        <w:t xml:space="preserve">million CFA Francs. To settle the dispute, DP World agreed in June 2013 to pay </w:t>
      </w:r>
      <w:r w:rsidR="009D7141">
        <w:rPr>
          <w:rFonts w:ascii="Calibri" w:hAnsi="Calibri"/>
        </w:rPr>
        <w:t xml:space="preserve">in cash (?) </w:t>
      </w:r>
      <w:r w:rsidRPr="004B2A73">
        <w:rPr>
          <w:rFonts w:ascii="Calibri" w:hAnsi="Calibri"/>
        </w:rPr>
        <w:t>to the Government of Senegal 24.6 billion CFA Francs, equivalent to $48 million</w:t>
      </w:r>
      <w:r w:rsidRPr="004B2A73">
        <w:rPr>
          <w:rFonts w:ascii="Calibri" w:hAnsi="Calibri"/>
          <w:vertAlign w:val="superscript"/>
        </w:rPr>
        <w:footnoteReference w:id="32"/>
      </w:r>
      <w:r w:rsidR="009D7141">
        <w:rPr>
          <w:rFonts w:ascii="Calibri" w:hAnsi="Calibri"/>
        </w:rPr>
        <w:t>, to settle this valuation matter.</w:t>
      </w:r>
    </w:p>
    <w:p w14:paraId="09747E38" w14:textId="77777777" w:rsidR="00CD5514" w:rsidRPr="004B2A73" w:rsidRDefault="00CD5514" w:rsidP="00CD5514">
      <w:pPr>
        <w:pStyle w:val="NoSpacing"/>
        <w:spacing w:line="259" w:lineRule="auto"/>
        <w:rPr>
          <w:rFonts w:ascii="Calibri" w:hAnsi="Calibri"/>
        </w:rPr>
      </w:pPr>
    </w:p>
    <w:p w14:paraId="551AE1A4" w14:textId="071D26B4" w:rsidR="00B67270" w:rsidRPr="004B2A73" w:rsidRDefault="00B67270" w:rsidP="000A7291">
      <w:pPr>
        <w:pStyle w:val="Numbered"/>
        <w:ind w:left="0" w:firstLine="0"/>
        <w:contextualSpacing w:val="0"/>
        <w:jc w:val="both"/>
        <w:rPr>
          <w:rFonts w:ascii="Calibri" w:hAnsi="Calibri"/>
        </w:rPr>
      </w:pPr>
      <w:r w:rsidRPr="004B2A73">
        <w:rPr>
          <w:rFonts w:ascii="Calibri" w:hAnsi="Calibri"/>
          <w:b/>
        </w:rPr>
        <w:t>In Guinea, the concession of the container terminal attributed to GETMA, part of the group NECOTRANS, in 2008 was cancelled in 2011 and attributed to BAL, with GETMA filing court cases to fight the cancellation and obtain compensation.</w:t>
      </w:r>
      <w:r w:rsidRPr="004B2A73">
        <w:rPr>
          <w:rFonts w:ascii="Calibri" w:hAnsi="Calibri"/>
        </w:rPr>
        <w:t xml:space="preserve"> In Conakry, container handling was performed by licensed stevedores, subsidiaries of</w:t>
      </w:r>
      <w:r w:rsidR="004D4032" w:rsidRPr="004B2A73">
        <w:rPr>
          <w:rFonts w:ascii="Calibri" w:hAnsi="Calibri"/>
        </w:rPr>
        <w:t xml:space="preserve"> the</w:t>
      </w:r>
      <w:r w:rsidRPr="004B2A73">
        <w:rPr>
          <w:rFonts w:ascii="Calibri" w:hAnsi="Calibri"/>
        </w:rPr>
        <w:t xml:space="preserve"> NECOTRANS and BAL groups. The international tender for the concession of the Conakry container terminal was launched in May 2008, and a</w:t>
      </w:r>
      <w:r w:rsidR="00C95168" w:rsidRPr="004B2A73">
        <w:rPr>
          <w:rFonts w:ascii="Calibri" w:hAnsi="Calibri"/>
        </w:rPr>
        <w:t xml:space="preserve">warded </w:t>
      </w:r>
      <w:r w:rsidRPr="004B2A73">
        <w:rPr>
          <w:rFonts w:ascii="Calibri" w:hAnsi="Calibri"/>
        </w:rPr>
        <w:t>to GETMA, with a concession contract signed in September 2008 for a</w:t>
      </w:r>
      <w:r w:rsidR="004D4032" w:rsidRPr="004B2A73">
        <w:rPr>
          <w:rFonts w:ascii="Calibri" w:hAnsi="Calibri"/>
        </w:rPr>
        <w:t xml:space="preserve"> </w:t>
      </w:r>
      <w:r w:rsidRPr="004B2A73">
        <w:rPr>
          <w:rFonts w:ascii="Calibri" w:hAnsi="Calibri"/>
        </w:rPr>
        <w:t>duration of 25 years. However, in March 2011, the newly elected government cancelled the concession, and a</w:t>
      </w:r>
      <w:r w:rsidR="00C95168" w:rsidRPr="004B2A73">
        <w:rPr>
          <w:rFonts w:ascii="Calibri" w:hAnsi="Calibri"/>
        </w:rPr>
        <w:t xml:space="preserve">warded </w:t>
      </w:r>
      <w:r w:rsidRPr="004B2A73">
        <w:rPr>
          <w:rFonts w:ascii="Calibri" w:hAnsi="Calibri"/>
        </w:rPr>
        <w:t xml:space="preserve">the terminal to </w:t>
      </w:r>
      <w:r w:rsidR="00131772" w:rsidRPr="004B2A73">
        <w:rPr>
          <w:rFonts w:ascii="Calibri" w:hAnsi="Calibri"/>
        </w:rPr>
        <w:t>BAL, which</w:t>
      </w:r>
      <w:r w:rsidRPr="004B2A73">
        <w:rPr>
          <w:rFonts w:ascii="Calibri" w:hAnsi="Calibri"/>
        </w:rPr>
        <w:t xml:space="preserve"> was ranked second in the 2008 tender. NECOTRANS filed cases against BAL with the Tribunal of Commerce of Nanterre (France) and against the Government of Guinea with the International Centre for the Settlement of Investment Disputes, case ARB/11/29</w:t>
      </w:r>
      <w:r w:rsidRPr="004B2A73">
        <w:rPr>
          <w:rFonts w:ascii="Calibri" w:hAnsi="Calibri"/>
          <w:vertAlign w:val="superscript"/>
        </w:rPr>
        <w:footnoteReference w:id="33"/>
      </w:r>
      <w:r w:rsidRPr="004B2A73">
        <w:rPr>
          <w:rFonts w:ascii="Calibri" w:hAnsi="Calibri"/>
        </w:rPr>
        <w:t xml:space="preserve"> (ICSID)</w:t>
      </w:r>
      <w:r w:rsidR="00BC010A" w:rsidRPr="004B2A73">
        <w:rPr>
          <w:rFonts w:ascii="Calibri" w:hAnsi="Calibri"/>
        </w:rPr>
        <w:t xml:space="preserve"> seeking compensation </w:t>
      </w:r>
      <w:r w:rsidRPr="004B2A73">
        <w:rPr>
          <w:rFonts w:ascii="Calibri" w:hAnsi="Calibri"/>
        </w:rPr>
        <w:t>of €100 million</w:t>
      </w:r>
      <w:r w:rsidR="00D815A3" w:rsidRPr="004B2A73">
        <w:rPr>
          <w:rFonts w:ascii="Calibri" w:hAnsi="Calibri"/>
        </w:rPr>
        <w:t xml:space="preserve"> from BAL</w:t>
      </w:r>
      <w:r w:rsidRPr="004B2A73">
        <w:rPr>
          <w:rFonts w:ascii="Calibri" w:hAnsi="Calibri"/>
        </w:rPr>
        <w:t xml:space="preserve">, accusing the group of having conspired for the cancellation of the concession since its signature in 2008. The Tribunal of Commerce dismissed the accusation due to lack of evidence, only </w:t>
      </w:r>
      <w:r w:rsidR="004D4032" w:rsidRPr="004B2A73">
        <w:rPr>
          <w:rFonts w:ascii="Calibri" w:hAnsi="Calibri"/>
        </w:rPr>
        <w:t xml:space="preserve">awarding </w:t>
      </w:r>
      <w:r w:rsidRPr="004B2A73">
        <w:rPr>
          <w:rFonts w:ascii="Calibri" w:hAnsi="Calibri"/>
        </w:rPr>
        <w:t xml:space="preserve">a compensation of €2.1 million for the investment in the terminal made by NECOTRANS prior to the cancellation of the concession. </w:t>
      </w:r>
    </w:p>
    <w:p w14:paraId="0F65D92F" w14:textId="77777777" w:rsidR="009C6E8E" w:rsidRPr="004B2A73" w:rsidRDefault="009C6E8E" w:rsidP="009C6E8E">
      <w:pPr>
        <w:pStyle w:val="ListParagraph"/>
        <w:spacing w:after="0"/>
        <w:ind w:left="0"/>
        <w:rPr>
          <w:rFonts w:ascii="Calibri" w:hAnsi="Calibri"/>
          <w:sz w:val="24"/>
        </w:rPr>
      </w:pPr>
    </w:p>
    <w:p w14:paraId="51499B0B" w14:textId="77777777"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P</w:t>
      </w:r>
      <w:r w:rsidR="004D4032" w:rsidRPr="004B2A73">
        <w:rPr>
          <w:rFonts w:ascii="Calibri" w:hAnsi="Calibri"/>
          <w:b/>
          <w:sz w:val="24"/>
        </w:rPr>
        <w:t>rivate sector participation</w:t>
      </w:r>
      <w:r w:rsidRPr="004B2A73">
        <w:rPr>
          <w:rFonts w:ascii="Calibri" w:hAnsi="Calibri"/>
          <w:b/>
          <w:sz w:val="24"/>
        </w:rPr>
        <w:t xml:space="preserve"> in ports can take a number of forms</w:t>
      </w:r>
      <w:r w:rsidRPr="004B2A73">
        <w:rPr>
          <w:rFonts w:ascii="Calibri" w:hAnsi="Calibri"/>
          <w:sz w:val="24"/>
        </w:rPr>
        <w:t xml:space="preserve">: management contracts, partial divestiture to strategic equity partnerships, joint ventures, full divestiture, and concessions of various kinds. Management contracts are generally unattractive to terminal operating companies because of the inability to control factors </w:t>
      </w:r>
      <w:r w:rsidR="008B13E0" w:rsidRPr="004B2A73">
        <w:rPr>
          <w:rFonts w:ascii="Calibri" w:hAnsi="Calibri"/>
          <w:sz w:val="24"/>
        </w:rPr>
        <w:t>that</w:t>
      </w:r>
      <w:r w:rsidRPr="004B2A73">
        <w:rPr>
          <w:rFonts w:ascii="Calibri" w:hAnsi="Calibri"/>
          <w:sz w:val="24"/>
        </w:rPr>
        <w:t xml:space="preserve"> influence performance, like staff retention and employment conditions. Strategic equity partnerships are also unattractive to terminal operating companies in the absence of the ability to make investment and operational decisions considered necessary to achieve desired levels of performance. Joint ventures, however, hold considerable attraction as they exploit complementary resources and skills. Concessions (lease contracts or agreements) imply a degree of transfer of responsibility and therefore risk to the private sector. In the case of build-operate-transfer (BOT) concessions, responsibility for building and operating infrastructure is transferred to the private sector, while overall control and ultimate ownership of port infrastructure remain in public hands. </w:t>
      </w:r>
    </w:p>
    <w:p w14:paraId="0FCDE3F8" w14:textId="77777777" w:rsidR="009C6E8E" w:rsidRPr="004B2A73" w:rsidRDefault="009C6E8E" w:rsidP="009C6E8E">
      <w:pPr>
        <w:pStyle w:val="ListParagraph"/>
        <w:spacing w:after="0"/>
        <w:ind w:left="0"/>
        <w:rPr>
          <w:rFonts w:ascii="Calibri" w:hAnsi="Calibri"/>
          <w:sz w:val="24"/>
        </w:rPr>
      </w:pPr>
    </w:p>
    <w:p w14:paraId="68AF54F1" w14:textId="77777777"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Concession contracts for container terminals </w:t>
      </w:r>
      <w:r w:rsidR="008B13E0" w:rsidRPr="004B2A73">
        <w:rPr>
          <w:rFonts w:ascii="Calibri" w:hAnsi="Calibri"/>
          <w:b/>
          <w:sz w:val="24"/>
        </w:rPr>
        <w:t xml:space="preserve">may </w:t>
      </w:r>
      <w:r w:rsidR="00FC1EC2" w:rsidRPr="004B2A73">
        <w:rPr>
          <w:rFonts w:ascii="Calibri" w:hAnsi="Calibri"/>
          <w:b/>
          <w:sz w:val="24"/>
        </w:rPr>
        <w:t>involve existing public assets or may require the development of new assets.</w:t>
      </w:r>
      <w:r w:rsidRPr="004B2A73">
        <w:rPr>
          <w:rFonts w:ascii="Calibri" w:hAnsi="Calibri"/>
          <w:sz w:val="24"/>
        </w:rPr>
        <w:t xml:space="preserve"> In the first case the private operator manages publicly owned assets and makes additional investments in them, in exchange for the right to use them </w:t>
      </w:r>
      <w:r w:rsidRPr="004B2A73">
        <w:rPr>
          <w:rFonts w:ascii="Calibri" w:hAnsi="Calibri"/>
          <w:sz w:val="24"/>
        </w:rPr>
        <w:lastRenderedPageBreak/>
        <w:t>for a specified period of time. Ownership of the public assets remains with the public sector</w:t>
      </w:r>
      <w:r w:rsidR="008B13E0" w:rsidRPr="004B2A73">
        <w:rPr>
          <w:rFonts w:ascii="Calibri" w:hAnsi="Calibri"/>
          <w:sz w:val="24"/>
        </w:rPr>
        <w:t>,</w:t>
      </w:r>
      <w:r w:rsidRPr="004B2A73">
        <w:rPr>
          <w:rFonts w:ascii="Calibri" w:hAnsi="Calibri"/>
          <w:sz w:val="24"/>
        </w:rPr>
        <w:t xml:space="preserve"> and authorities have a continuing claim on port assets and revenues; privately-funded fixed assets are usually (but not always) taken into public ownership immediately after construction, whil</w:t>
      </w:r>
      <w:r w:rsidR="00C460C4" w:rsidRPr="004B2A73">
        <w:rPr>
          <w:rFonts w:ascii="Calibri" w:hAnsi="Calibri"/>
          <w:sz w:val="24"/>
        </w:rPr>
        <w:t>e</w:t>
      </w:r>
      <w:r w:rsidRPr="004B2A73">
        <w:rPr>
          <w:rFonts w:ascii="Calibri" w:hAnsi="Calibri"/>
          <w:sz w:val="24"/>
        </w:rPr>
        <w:t xml:space="preserve"> privately-funded mobile assets such as mechanical equipment usually (but not always) remain in private ownership. This is reflected in the ‘transfer-back’ arrangements at the end of the contract period, when the right to use the assets (now a mixture of public and privately provided) reverts to the public sector, which may then re-assign them to another operator.  Various arrangements exist for compensating the private operator for the residual value of any investment made during its period of tenure. For fixed assets</w:t>
      </w:r>
      <w:r w:rsidR="00C460C4" w:rsidRPr="004B2A73">
        <w:rPr>
          <w:rFonts w:ascii="Calibri" w:hAnsi="Calibri"/>
          <w:sz w:val="24"/>
        </w:rPr>
        <w:t>,</w:t>
      </w:r>
      <w:r w:rsidRPr="004B2A73">
        <w:rPr>
          <w:rFonts w:ascii="Calibri" w:hAnsi="Calibri"/>
          <w:sz w:val="24"/>
        </w:rPr>
        <w:t xml:space="preserve"> “no compensation” transfers are probably still the most common. Mobile assets paid for by the private operator, in contrast, can usually be withdrawn or sold to the public sector, reflecting assumptions about ownership which are either explicit or implicit in the contract. </w:t>
      </w:r>
    </w:p>
    <w:p w14:paraId="295A9611" w14:textId="77777777" w:rsidR="009C6E8E" w:rsidRPr="004B2A73" w:rsidRDefault="009C6E8E" w:rsidP="009C6E8E">
      <w:pPr>
        <w:pStyle w:val="ListParagraph"/>
        <w:spacing w:after="0"/>
        <w:ind w:left="0"/>
        <w:rPr>
          <w:rFonts w:ascii="Calibri" w:hAnsi="Calibri"/>
          <w:sz w:val="24"/>
        </w:rPr>
      </w:pPr>
    </w:p>
    <w:p w14:paraId="133BCEF7" w14:textId="01D5E159"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Most of the PPPs in West Africa are for existing assets and follow the lease-contract model</w:t>
      </w:r>
      <w:r w:rsidR="00C460C4" w:rsidRPr="004B2A73">
        <w:rPr>
          <w:rFonts w:ascii="Calibri" w:hAnsi="Calibri"/>
          <w:b/>
          <w:sz w:val="24"/>
        </w:rPr>
        <w:t>,</w:t>
      </w:r>
      <w:r w:rsidRPr="004B2A73">
        <w:rPr>
          <w:rFonts w:ascii="Calibri" w:hAnsi="Calibri"/>
          <w:sz w:val="24"/>
        </w:rPr>
        <w:t xml:space="preserve"> </w:t>
      </w:r>
      <w:r w:rsidRPr="004B2A73">
        <w:rPr>
          <w:rFonts w:ascii="Calibri" w:hAnsi="Calibri"/>
          <w:b/>
          <w:sz w:val="24"/>
        </w:rPr>
        <w:t>with Lagos (both Apapa and Tincan) being a typical case</w:t>
      </w:r>
      <w:r w:rsidRPr="004B2A73">
        <w:rPr>
          <w:rFonts w:ascii="Calibri" w:hAnsi="Calibri"/>
          <w:sz w:val="24"/>
        </w:rPr>
        <w:t>. A lease is a rental contract in which the port leases an asset (infrastructure, superstructure, or both), or the right to use it, for an agreed period of time in return for a bulk payment or a series of instal</w:t>
      </w:r>
      <w:r w:rsidR="00C460C4" w:rsidRPr="004B2A73">
        <w:rPr>
          <w:rFonts w:ascii="Calibri" w:hAnsi="Calibri"/>
          <w:sz w:val="24"/>
        </w:rPr>
        <w:t>l</w:t>
      </w:r>
      <w:r w:rsidRPr="004B2A73">
        <w:rPr>
          <w:rFonts w:ascii="Calibri" w:hAnsi="Calibri"/>
          <w:sz w:val="24"/>
        </w:rPr>
        <w:t xml:space="preserve">ments. There are two main types of lease arrangements: lease contracts and leasehold agreements. Lease contracts, which often have a built-in renewal clause, apply when an operator enters into a long-term lease, often 20 to 25 years, on the port land and becomes also responsible for superstructure and equipment. This seems to be the case for APMT Apapa, Tincan Island’s TICT and PCHS, Abidjan’s </w:t>
      </w:r>
      <w:r w:rsidR="002A331D" w:rsidRPr="004B2A73">
        <w:rPr>
          <w:rFonts w:ascii="Calibri" w:hAnsi="Calibri"/>
          <w:sz w:val="24"/>
        </w:rPr>
        <w:t xml:space="preserve">Vridi </w:t>
      </w:r>
      <w:r w:rsidR="00F72354" w:rsidRPr="00F72354">
        <w:rPr>
          <w:rFonts w:ascii="Calibri" w:hAnsi="Calibri"/>
          <w:sz w:val="24"/>
        </w:rPr>
        <w:t>Terminal</w:t>
      </w:r>
      <w:r w:rsidR="00F72354" w:rsidRPr="00F72354">
        <w:rPr>
          <w:rFonts w:ascii="Calibri" w:hAnsi="Calibri"/>
          <w:sz w:val="24"/>
          <w:vertAlign w:val="superscript"/>
        </w:rPr>
        <w:footnoteReference w:id="34"/>
      </w:r>
      <w:r w:rsidRPr="004B2A73">
        <w:rPr>
          <w:rFonts w:ascii="Calibri" w:hAnsi="Calibri"/>
          <w:sz w:val="24"/>
        </w:rPr>
        <w:t xml:space="preserve">, Tema’s MPS Container Terminal, Cotonou Container Terminal, Dakar Container Terminal (DCT1), San Pedro’s Container Terminal, Lomé’s </w:t>
      </w:r>
      <w:r w:rsidR="007F79D1">
        <w:rPr>
          <w:rFonts w:ascii="Calibri" w:hAnsi="Calibri"/>
          <w:sz w:val="24"/>
        </w:rPr>
        <w:t>S</w:t>
      </w:r>
      <w:r w:rsidR="007F79D1" w:rsidRPr="004B2A73">
        <w:rPr>
          <w:rFonts w:ascii="Calibri" w:hAnsi="Calibri"/>
          <w:sz w:val="24"/>
        </w:rPr>
        <w:t xml:space="preserve">E2M </w:t>
      </w:r>
      <w:r w:rsidRPr="004B2A73">
        <w:rPr>
          <w:rFonts w:ascii="Calibri" w:hAnsi="Calibri"/>
          <w:sz w:val="24"/>
        </w:rPr>
        <w:t>Container Terminal, and Conakry’s Container Terminal. Most of those lease</w:t>
      </w:r>
      <w:r w:rsidR="00C460C4" w:rsidRPr="004B2A73">
        <w:rPr>
          <w:rFonts w:ascii="Calibri" w:hAnsi="Calibri"/>
          <w:sz w:val="24"/>
        </w:rPr>
        <w:t xml:space="preserve"> </w:t>
      </w:r>
      <w:r w:rsidRPr="004B2A73">
        <w:rPr>
          <w:rFonts w:ascii="Calibri" w:hAnsi="Calibri"/>
          <w:sz w:val="24"/>
        </w:rPr>
        <w:t>contracts have development requirements, often of an obligatory or event-triggered nature, requiring the operator to invest in port infrastructure, superstructure, or both. Leasehold agreements are simple rental agreements with only land or warehouse facilities being leased. Those have been widely used in bulk concessions in West Africa</w:t>
      </w:r>
      <w:r w:rsidR="00C460C4" w:rsidRPr="004B2A73">
        <w:rPr>
          <w:rFonts w:ascii="Calibri" w:hAnsi="Calibri"/>
          <w:sz w:val="24"/>
        </w:rPr>
        <w:t xml:space="preserve"> (</w:t>
      </w:r>
      <w:r w:rsidRPr="004B2A73">
        <w:rPr>
          <w:rFonts w:ascii="Calibri" w:hAnsi="Calibri"/>
          <w:sz w:val="24"/>
        </w:rPr>
        <w:t xml:space="preserve">e.g. Lagos, Monrovia, San Pedro, etc.), but </w:t>
      </w:r>
      <w:r w:rsidR="00C460C4" w:rsidRPr="004B2A73">
        <w:rPr>
          <w:rFonts w:ascii="Calibri" w:hAnsi="Calibri"/>
          <w:sz w:val="24"/>
        </w:rPr>
        <w:t xml:space="preserve">are </w:t>
      </w:r>
      <w:r w:rsidRPr="004B2A73">
        <w:rPr>
          <w:rFonts w:ascii="Calibri" w:hAnsi="Calibri"/>
          <w:sz w:val="24"/>
        </w:rPr>
        <w:t>rarely used for container port concessions.</w:t>
      </w:r>
      <w:bookmarkStart w:id="57" w:name="_Toc409849453"/>
      <w:bookmarkStart w:id="58" w:name="_Toc409849725"/>
    </w:p>
    <w:p w14:paraId="787F8376" w14:textId="77777777" w:rsidR="009C6E8E" w:rsidRPr="004B2A73" w:rsidRDefault="009C6E8E" w:rsidP="009C6E8E">
      <w:pPr>
        <w:pStyle w:val="ListParagraph"/>
        <w:spacing w:after="0"/>
        <w:ind w:left="0"/>
        <w:rPr>
          <w:rFonts w:ascii="Calibri" w:hAnsi="Calibri"/>
          <w:sz w:val="24"/>
        </w:rPr>
      </w:pPr>
    </w:p>
    <w:p w14:paraId="4EE34CBD" w14:textId="77777777"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 Build-Operate-Transfer (BOT) model or any of its sub-sets (DBFM, RBOT, etc.) have been less common thus far but</w:t>
      </w:r>
      <w:r w:rsidR="00C460C4" w:rsidRPr="004B2A73">
        <w:rPr>
          <w:rFonts w:ascii="Calibri" w:hAnsi="Calibri"/>
          <w:b/>
          <w:sz w:val="24"/>
        </w:rPr>
        <w:t xml:space="preserve"> are</w:t>
      </w:r>
      <w:r w:rsidRPr="004B2A73">
        <w:rPr>
          <w:rFonts w:ascii="Calibri" w:hAnsi="Calibri"/>
          <w:b/>
          <w:sz w:val="24"/>
        </w:rPr>
        <w:t xml:space="preserve"> likely to grow rapidly as the stock of existing port assets depletes.</w:t>
      </w:r>
      <w:r w:rsidRPr="004B2A73">
        <w:rPr>
          <w:rFonts w:ascii="Calibri" w:hAnsi="Calibri"/>
          <w:sz w:val="24"/>
        </w:rPr>
        <w:t xml:space="preserve"> </w:t>
      </w:r>
      <w:bookmarkEnd w:id="57"/>
      <w:bookmarkEnd w:id="58"/>
      <w:r w:rsidRPr="004B2A73">
        <w:rPr>
          <w:rFonts w:ascii="Calibri" w:hAnsi="Calibri"/>
          <w:sz w:val="24"/>
        </w:rPr>
        <w:t xml:space="preserve"> In this model</w:t>
      </w:r>
      <w:r w:rsidR="00C460C4" w:rsidRPr="004B2A73">
        <w:rPr>
          <w:rFonts w:ascii="Calibri" w:hAnsi="Calibri"/>
          <w:sz w:val="24"/>
        </w:rPr>
        <w:t>,</w:t>
      </w:r>
      <w:r w:rsidRPr="004B2A73">
        <w:rPr>
          <w:rFonts w:ascii="Calibri" w:hAnsi="Calibri"/>
          <w:sz w:val="24"/>
        </w:rPr>
        <w:t xml:space="preserve"> the private investor buys the right to build new port assets and have exclusive use of them for a fixed period of time before transferring them </w:t>
      </w:r>
      <w:r w:rsidR="00C460C4" w:rsidRPr="004B2A73">
        <w:rPr>
          <w:rFonts w:ascii="Calibri" w:hAnsi="Calibri"/>
          <w:sz w:val="24"/>
        </w:rPr>
        <w:t>to</w:t>
      </w:r>
      <w:r w:rsidRPr="004B2A73">
        <w:rPr>
          <w:rFonts w:ascii="Calibri" w:hAnsi="Calibri"/>
          <w:sz w:val="24"/>
        </w:rPr>
        <w:t xml:space="preserve"> the public sector. This model has been increasing in popularity in the ports sector as the stock of public assets suitable for private management has dwindled</w:t>
      </w:r>
      <w:r w:rsidR="00C460C4" w:rsidRPr="004B2A73">
        <w:rPr>
          <w:rFonts w:ascii="Calibri" w:hAnsi="Calibri"/>
          <w:sz w:val="24"/>
        </w:rPr>
        <w:t>, and was</w:t>
      </w:r>
      <w:r w:rsidRPr="004B2A73">
        <w:rPr>
          <w:rFonts w:ascii="Calibri" w:hAnsi="Calibri"/>
          <w:sz w:val="24"/>
        </w:rPr>
        <w:t xml:space="preserve"> most recently used in West Africa in Lomé’s new container terminal and Dakar’s Port du Futur. On the other hand, both Freetown and Monrovia seem to </w:t>
      </w:r>
      <w:r w:rsidR="00C460C4" w:rsidRPr="004B2A73">
        <w:rPr>
          <w:rFonts w:ascii="Calibri" w:hAnsi="Calibri"/>
          <w:sz w:val="24"/>
        </w:rPr>
        <w:t xml:space="preserve">have </w:t>
      </w:r>
      <w:r w:rsidRPr="004B2A73">
        <w:rPr>
          <w:rFonts w:ascii="Calibri" w:hAnsi="Calibri"/>
          <w:sz w:val="24"/>
        </w:rPr>
        <w:t>appl</w:t>
      </w:r>
      <w:r w:rsidR="00C460C4" w:rsidRPr="004B2A73">
        <w:rPr>
          <w:rFonts w:ascii="Calibri" w:hAnsi="Calibri"/>
          <w:sz w:val="24"/>
        </w:rPr>
        <w:t>ied</w:t>
      </w:r>
      <w:r w:rsidRPr="004B2A73">
        <w:rPr>
          <w:rFonts w:ascii="Calibri" w:hAnsi="Calibri"/>
          <w:sz w:val="24"/>
        </w:rPr>
        <w:t xml:space="preserve"> a mix between the BOT model and the lease management model. </w:t>
      </w:r>
    </w:p>
    <w:p w14:paraId="0103C6B4" w14:textId="77777777" w:rsidR="009C6E8E" w:rsidRPr="004B2A73" w:rsidRDefault="009C6E8E" w:rsidP="009C6E8E">
      <w:pPr>
        <w:pStyle w:val="ListParagraph"/>
        <w:spacing w:after="0"/>
        <w:ind w:left="0"/>
        <w:rPr>
          <w:rFonts w:ascii="Calibri" w:hAnsi="Calibri"/>
          <w:sz w:val="24"/>
        </w:rPr>
      </w:pPr>
    </w:p>
    <w:p w14:paraId="08EAAB48" w14:textId="278469E3"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lastRenderedPageBreak/>
        <w:t>Attracting very large investments from the private sector in port infrastructure and equipment does not seem to be an issue for most West African ports</w:t>
      </w:r>
      <w:r w:rsidR="00A33E9C" w:rsidRPr="004B2A73">
        <w:rPr>
          <w:rFonts w:ascii="Calibri" w:hAnsi="Calibri"/>
          <w:sz w:val="24"/>
        </w:rPr>
        <w:t>. T</w:t>
      </w:r>
      <w:r w:rsidRPr="004B2A73">
        <w:rPr>
          <w:rFonts w:ascii="Calibri" w:hAnsi="Calibri"/>
          <w:sz w:val="24"/>
        </w:rPr>
        <w:t xml:space="preserve">erminal operators often exceed minimum required investment amounts. As a corollary, there is no example in West Africa so far of a concessionaire’s failure to comply with a concession’s investment clauses.  Obligatory investments, clearly specified, with an agreed time schedule, seem to be the norm in West Africa. Such agreements are most commonly seen in </w:t>
      </w:r>
      <w:r w:rsidR="00532DF1" w:rsidRPr="004B2A73">
        <w:rPr>
          <w:rFonts w:ascii="Calibri" w:hAnsi="Calibri"/>
          <w:sz w:val="24"/>
        </w:rPr>
        <w:t>competitively tendered</w:t>
      </w:r>
      <w:r w:rsidRPr="004B2A73">
        <w:rPr>
          <w:rFonts w:ascii="Calibri" w:hAnsi="Calibri"/>
          <w:sz w:val="24"/>
        </w:rPr>
        <w:t xml:space="preserve"> concession projects in countries </w:t>
      </w:r>
      <w:r w:rsidR="00AC0B37">
        <w:rPr>
          <w:rFonts w:ascii="Calibri" w:hAnsi="Calibri"/>
          <w:sz w:val="24"/>
        </w:rPr>
        <w:t>which struggle with g</w:t>
      </w:r>
      <w:r w:rsidR="00762718">
        <w:rPr>
          <w:rFonts w:ascii="Calibri" w:hAnsi="Calibri"/>
          <w:sz w:val="24"/>
        </w:rPr>
        <w:t xml:space="preserve">overnance </w:t>
      </w:r>
      <w:r w:rsidR="00AC0B37">
        <w:rPr>
          <w:rFonts w:ascii="Calibri" w:hAnsi="Calibri"/>
          <w:sz w:val="24"/>
        </w:rPr>
        <w:t>challenges</w:t>
      </w:r>
      <w:r w:rsidRPr="004B2A73">
        <w:rPr>
          <w:rFonts w:ascii="Calibri" w:hAnsi="Calibri"/>
          <w:sz w:val="24"/>
        </w:rPr>
        <w:t xml:space="preserve">, since pre-specifying the investment schedule increases the transparency of the bid evaluation process. It also makes the investment program legally enforceable. Obligatory investment programs are included in concessions where investments are urgently required, and/or there is a single technical solution available. In West African ports, such investment requirements are often captured in a development plan annexed to the concession agreement with pre-specified completion dates which, if unmet, can lead to the forfeiting of performance guarantees, the payment of liquidated damages, and even ultimately to the termination of the concession agreement.    </w:t>
      </w:r>
    </w:p>
    <w:p w14:paraId="2DB98C00" w14:textId="77777777" w:rsidR="003A3F63" w:rsidRPr="004B2A73" w:rsidRDefault="003A3F63" w:rsidP="00A74461">
      <w:pPr>
        <w:pStyle w:val="ListParagraph"/>
        <w:spacing w:after="0"/>
        <w:ind w:left="0"/>
        <w:rPr>
          <w:rFonts w:ascii="Calibri" w:hAnsi="Calibri"/>
          <w:sz w:val="24"/>
        </w:rPr>
      </w:pPr>
    </w:p>
    <w:p w14:paraId="423CACBC" w14:textId="77777777" w:rsidR="003A3F63" w:rsidRPr="004B2A73" w:rsidRDefault="003A3F63"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Good practice suggests that investment requirements should to the largest extent possible be linked to capacity utilization and operational performance</w:t>
      </w:r>
      <w:r w:rsidRPr="004B2A73">
        <w:rPr>
          <w:rFonts w:ascii="Calibri" w:hAnsi="Calibri"/>
          <w:sz w:val="24"/>
        </w:rPr>
        <w:t>. Only when there is an obvious need, reconstruction or hazard to operate, should they be time bound.</w:t>
      </w:r>
      <w:r w:rsidR="00017720" w:rsidRPr="004B2A73">
        <w:rPr>
          <w:rFonts w:ascii="Calibri" w:hAnsi="Calibri"/>
          <w:sz w:val="24"/>
        </w:rPr>
        <w:t xml:space="preserve"> </w:t>
      </w:r>
      <w:r w:rsidRPr="004B2A73">
        <w:rPr>
          <w:rFonts w:ascii="Calibri" w:hAnsi="Calibri"/>
          <w:sz w:val="24"/>
        </w:rPr>
        <w:t xml:space="preserve"> Demanding a concessionaire to sign-off on a pre-determined, time bound investment schedule in other circumstances carries a</w:t>
      </w:r>
      <w:r w:rsidR="00017720" w:rsidRPr="004B2A73">
        <w:rPr>
          <w:rFonts w:ascii="Calibri" w:hAnsi="Calibri"/>
          <w:sz w:val="24"/>
        </w:rPr>
        <w:t>t least three risks: (i) that investments are way ahead of time if demand does not follow forecasts</w:t>
      </w:r>
      <w:r w:rsidR="006A0D00" w:rsidRPr="004B2A73">
        <w:rPr>
          <w:rFonts w:ascii="Calibri" w:hAnsi="Calibri"/>
          <w:sz w:val="24"/>
        </w:rPr>
        <w:t xml:space="preserve"> (the cost of this will one way or another be charged back to the conceding authority), (ii) that investments are made despite sub-optimal productivity of existing assets which removes much of the incentive to maximize</w:t>
      </w:r>
      <w:r w:rsidR="00066B61" w:rsidRPr="004B2A73">
        <w:rPr>
          <w:rFonts w:ascii="Calibri" w:hAnsi="Calibri"/>
          <w:sz w:val="24"/>
        </w:rPr>
        <w:t>\</w:t>
      </w:r>
      <w:r w:rsidR="006A0D00" w:rsidRPr="004B2A73">
        <w:rPr>
          <w:rFonts w:ascii="Calibri" w:hAnsi="Calibri"/>
          <w:sz w:val="24"/>
        </w:rPr>
        <w:t xml:space="preserve"> utilization of existing infrastructure, and (iii) that the </w:t>
      </w:r>
      <w:r w:rsidR="00DF7FF0" w:rsidRPr="004B2A73">
        <w:rPr>
          <w:rFonts w:ascii="Calibri" w:hAnsi="Calibri"/>
          <w:sz w:val="24"/>
        </w:rPr>
        <w:t xml:space="preserve">concessionaire prefers to litigate than comply, arguing for instance that an unexpected economic depression made all forecasts irrelevant. The best path would be to include triggers in the concession </w:t>
      </w:r>
      <w:r w:rsidR="00A74461" w:rsidRPr="004B2A73">
        <w:rPr>
          <w:rFonts w:ascii="Calibri" w:hAnsi="Calibri"/>
          <w:sz w:val="24"/>
        </w:rPr>
        <w:t>contract, such</w:t>
      </w:r>
      <w:r w:rsidR="00D43EF6" w:rsidRPr="004B2A73">
        <w:rPr>
          <w:rFonts w:ascii="Calibri" w:hAnsi="Calibri"/>
          <w:sz w:val="24"/>
        </w:rPr>
        <w:t xml:space="preserve"> </w:t>
      </w:r>
      <w:r w:rsidR="00A74461" w:rsidRPr="004B2A73">
        <w:rPr>
          <w:rFonts w:ascii="Calibri" w:hAnsi="Calibri"/>
          <w:sz w:val="24"/>
        </w:rPr>
        <w:t>as reac</w:t>
      </w:r>
      <w:r w:rsidR="00D43EF6" w:rsidRPr="004B2A73">
        <w:rPr>
          <w:rFonts w:ascii="Calibri" w:hAnsi="Calibri"/>
          <w:sz w:val="24"/>
        </w:rPr>
        <w:t>h</w:t>
      </w:r>
      <w:r w:rsidR="00A74461" w:rsidRPr="004B2A73">
        <w:rPr>
          <w:rFonts w:ascii="Calibri" w:hAnsi="Calibri"/>
          <w:sz w:val="24"/>
        </w:rPr>
        <w:t>ing 80 percent of optimal capacity in two years in a row, or reaching maximum average acceptable waiting times six months in a row, to l</w:t>
      </w:r>
      <w:r w:rsidR="00D43EF6" w:rsidRPr="004B2A73">
        <w:rPr>
          <w:rFonts w:ascii="Calibri" w:hAnsi="Calibri"/>
          <w:sz w:val="24"/>
        </w:rPr>
        <w:t>a</w:t>
      </w:r>
      <w:r w:rsidR="00A74461" w:rsidRPr="004B2A73">
        <w:rPr>
          <w:rFonts w:ascii="Calibri" w:hAnsi="Calibri"/>
          <w:sz w:val="24"/>
        </w:rPr>
        <w:t>u</w:t>
      </w:r>
      <w:r w:rsidR="00D43EF6" w:rsidRPr="004B2A73">
        <w:rPr>
          <w:rFonts w:ascii="Calibri" w:hAnsi="Calibri"/>
          <w:sz w:val="24"/>
        </w:rPr>
        <w:t>n</w:t>
      </w:r>
      <w:r w:rsidR="00A74461" w:rsidRPr="004B2A73">
        <w:rPr>
          <w:rFonts w:ascii="Calibri" w:hAnsi="Calibri"/>
          <w:sz w:val="24"/>
        </w:rPr>
        <w:t xml:space="preserve">ch investment operations. </w:t>
      </w:r>
    </w:p>
    <w:p w14:paraId="2CBB8A7E" w14:textId="77777777" w:rsidR="009C6E8E" w:rsidRPr="004B2A73" w:rsidRDefault="009C6E8E" w:rsidP="009C6E8E">
      <w:pPr>
        <w:pStyle w:val="ListParagraph"/>
        <w:spacing w:after="0"/>
        <w:ind w:left="0"/>
        <w:rPr>
          <w:rFonts w:ascii="Calibri" w:hAnsi="Calibri"/>
          <w:sz w:val="24"/>
        </w:rPr>
      </w:pPr>
    </w:p>
    <w:p w14:paraId="31BCCC01" w14:textId="3B39E9AC"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 duration of concession contracts in SSA ranges between 15 to 35 years, with the majority of the contracts between 20 to 25 years.</w:t>
      </w:r>
      <w:r w:rsidRPr="004B2A73">
        <w:rPr>
          <w:rFonts w:ascii="Calibri" w:hAnsi="Calibri"/>
          <w:sz w:val="24"/>
        </w:rPr>
        <w:t xml:space="preserve"> In general, the duration of a concession contract is expected to vary with the expected value of fixed investments, the breakeven point and the return required by the private operators to participate. </w:t>
      </w:r>
      <w:r w:rsidR="00131772">
        <w:rPr>
          <w:rFonts w:ascii="Calibri" w:hAnsi="Calibri"/>
          <w:sz w:val="24"/>
        </w:rPr>
        <w:t>This</w:t>
      </w:r>
      <w:r w:rsidR="00911650" w:rsidRPr="004B2A73">
        <w:rPr>
          <w:rFonts w:ascii="Calibri" w:hAnsi="Calibri"/>
          <w:sz w:val="24"/>
        </w:rPr>
        <w:t xml:space="preserve"> </w:t>
      </w:r>
      <w:r w:rsidR="00A42E8A" w:rsidRPr="004B2A73">
        <w:rPr>
          <w:rFonts w:ascii="Calibri" w:hAnsi="Calibri"/>
          <w:sz w:val="24"/>
        </w:rPr>
        <w:t xml:space="preserve">suggests that </w:t>
      </w:r>
      <w:r w:rsidR="00911650" w:rsidRPr="004B2A73">
        <w:rPr>
          <w:rFonts w:ascii="Calibri" w:hAnsi="Calibri"/>
          <w:sz w:val="24"/>
        </w:rPr>
        <w:t xml:space="preserve">brownfield concessions should be shorter than </w:t>
      </w:r>
      <w:r w:rsidR="00131772" w:rsidRPr="004B2A73">
        <w:rPr>
          <w:rFonts w:ascii="Calibri" w:hAnsi="Calibri"/>
          <w:sz w:val="24"/>
        </w:rPr>
        <w:t>Greenfield</w:t>
      </w:r>
      <w:r w:rsidR="00911650" w:rsidRPr="004B2A73">
        <w:rPr>
          <w:rFonts w:ascii="Calibri" w:hAnsi="Calibri"/>
          <w:sz w:val="24"/>
        </w:rPr>
        <w:t xml:space="preserve"> </w:t>
      </w:r>
      <w:r w:rsidR="00A42E8A" w:rsidRPr="004B2A73">
        <w:rPr>
          <w:rFonts w:ascii="Calibri" w:hAnsi="Calibri"/>
          <w:sz w:val="24"/>
        </w:rPr>
        <w:t>ones</w:t>
      </w:r>
      <w:r w:rsidR="00911650" w:rsidRPr="004B2A73">
        <w:rPr>
          <w:rFonts w:ascii="Calibri" w:hAnsi="Calibri"/>
          <w:sz w:val="24"/>
        </w:rPr>
        <w:t xml:space="preserve">. </w:t>
      </w:r>
      <w:r w:rsidRPr="004B2A73">
        <w:rPr>
          <w:rFonts w:ascii="Calibri" w:hAnsi="Calibri"/>
          <w:sz w:val="24"/>
        </w:rPr>
        <w:t>Port authorities</w:t>
      </w:r>
      <w:r w:rsidRPr="004B2A73">
        <w:rPr>
          <w:rStyle w:val="FootnoteReference"/>
          <w:rFonts w:ascii="Calibri" w:eastAsiaTheme="majorEastAsia" w:hAnsi="Calibri"/>
          <w:sz w:val="24"/>
        </w:rPr>
        <w:footnoteReference w:id="35"/>
      </w:r>
      <w:r w:rsidR="00131772" w:rsidRPr="004B2A73">
        <w:rPr>
          <w:rFonts w:ascii="Calibri" w:hAnsi="Calibri"/>
          <w:sz w:val="24"/>
        </w:rPr>
        <w:t xml:space="preserve"> prefer</w:t>
      </w:r>
      <w:r w:rsidRPr="004B2A73">
        <w:rPr>
          <w:rFonts w:ascii="Calibri" w:hAnsi="Calibri"/>
          <w:sz w:val="24"/>
        </w:rPr>
        <w:t xml:space="preserve"> relatively short concessions for several reasons</w:t>
      </w:r>
      <w:r w:rsidR="00C460C4" w:rsidRPr="004B2A73">
        <w:rPr>
          <w:rFonts w:ascii="Calibri" w:hAnsi="Calibri"/>
          <w:sz w:val="24"/>
        </w:rPr>
        <w:t>, but</w:t>
      </w:r>
      <w:r w:rsidRPr="004B2A73">
        <w:rPr>
          <w:rFonts w:ascii="Calibri" w:hAnsi="Calibri"/>
          <w:sz w:val="24"/>
        </w:rPr>
        <w:t xml:space="preserve"> mainly because the willingness to pay for a concession rises only marginally with duration, particularly in politically and economically fragile countries. </w:t>
      </w:r>
      <w:r w:rsidRPr="004B2A73">
        <w:rPr>
          <w:rFonts w:ascii="Calibri" w:hAnsi="Calibri"/>
          <w:sz w:val="24"/>
        </w:rPr>
        <w:lastRenderedPageBreak/>
        <w:t>Shorter contracts</w:t>
      </w:r>
      <w:r w:rsidR="00C11CEA">
        <w:rPr>
          <w:rFonts w:ascii="Calibri" w:hAnsi="Calibri"/>
          <w:sz w:val="24"/>
        </w:rPr>
        <w:t xml:space="preserve">, assuming they do not reduce private sector interest, </w:t>
      </w:r>
      <w:r w:rsidRPr="004B2A73">
        <w:rPr>
          <w:rFonts w:ascii="Calibri" w:hAnsi="Calibri"/>
          <w:sz w:val="24"/>
        </w:rPr>
        <w:t xml:space="preserve"> are therefore better for maximizing the revenue of the port authority while </w:t>
      </w:r>
      <w:r w:rsidR="00392E7D" w:rsidRPr="004B2A73">
        <w:rPr>
          <w:rFonts w:ascii="Calibri" w:hAnsi="Calibri"/>
          <w:sz w:val="24"/>
        </w:rPr>
        <w:t xml:space="preserve">reducing barriers to entry by </w:t>
      </w:r>
      <w:r w:rsidRPr="004B2A73">
        <w:rPr>
          <w:rFonts w:ascii="Calibri" w:hAnsi="Calibri"/>
          <w:sz w:val="24"/>
        </w:rPr>
        <w:t xml:space="preserve">offering more frequent opportunities to competitors. </w:t>
      </w:r>
    </w:p>
    <w:p w14:paraId="32EB201A" w14:textId="77777777" w:rsidR="00105611" w:rsidRPr="004B2A73" w:rsidRDefault="00105611" w:rsidP="00105611">
      <w:pPr>
        <w:spacing w:after="0"/>
        <w:rPr>
          <w:rFonts w:ascii="Calibri" w:hAnsi="Calibri"/>
          <w:sz w:val="24"/>
        </w:rPr>
      </w:pPr>
    </w:p>
    <w:p w14:paraId="013B41D7" w14:textId="43703A2E" w:rsidR="00105611" w:rsidRPr="004B2A73" w:rsidRDefault="009D31F8" w:rsidP="000A7291">
      <w:pPr>
        <w:pStyle w:val="Numbered"/>
        <w:ind w:left="0" w:firstLine="0"/>
        <w:contextualSpacing w:val="0"/>
        <w:jc w:val="both"/>
        <w:rPr>
          <w:rFonts w:ascii="Calibri" w:hAnsi="Calibri"/>
        </w:rPr>
      </w:pPr>
      <w:r w:rsidRPr="004B2A73">
        <w:rPr>
          <w:rFonts w:ascii="Calibri" w:hAnsi="Calibri"/>
          <w:b/>
        </w:rPr>
        <w:t xml:space="preserve">These contracts show </w:t>
      </w:r>
      <w:r w:rsidR="00911650" w:rsidRPr="004B2A73">
        <w:rPr>
          <w:rFonts w:ascii="Calibri" w:hAnsi="Calibri"/>
          <w:b/>
        </w:rPr>
        <w:t>little correlation between the duration of the concession and the expected level of investment</w:t>
      </w:r>
      <w:r w:rsidR="00B8275F">
        <w:rPr>
          <w:rFonts w:ascii="Calibri" w:hAnsi="Calibri"/>
          <w:b/>
        </w:rPr>
        <w:t xml:space="preserve"> since private sector’s investment is guided by the attainment of standard financial bankability ratios which depend, for the most part, on the forward balance/assessment of the project’s revenues vs costs (including debt)</w:t>
      </w:r>
      <w:r w:rsidR="00911650" w:rsidRPr="004B2A73">
        <w:rPr>
          <w:rFonts w:ascii="Calibri" w:hAnsi="Calibri"/>
          <w:b/>
        </w:rPr>
        <w:t>.</w:t>
      </w:r>
      <w:r w:rsidR="00911650" w:rsidRPr="004B2A73">
        <w:rPr>
          <w:rFonts w:ascii="Calibri" w:hAnsi="Calibri"/>
        </w:rPr>
        <w:t xml:space="preserve"> In Togo, both concessions (Togo Terminal and LCT) have the same duration, whereas LCT</w:t>
      </w:r>
      <w:r w:rsidR="00267B2B">
        <w:rPr>
          <w:rFonts w:ascii="Calibri" w:hAnsi="Calibri"/>
        </w:rPr>
        <w:t xml:space="preserve"> (Lome Container Terminal)</w:t>
      </w:r>
      <w:r w:rsidR="00911650" w:rsidRPr="004B2A73">
        <w:rPr>
          <w:rFonts w:ascii="Calibri" w:hAnsi="Calibri"/>
        </w:rPr>
        <w:t xml:space="preserve"> is </w:t>
      </w:r>
      <w:r w:rsidR="00532DF1" w:rsidRPr="004B2A73">
        <w:rPr>
          <w:rFonts w:ascii="Calibri" w:hAnsi="Calibri"/>
        </w:rPr>
        <w:t>Greenfield</w:t>
      </w:r>
      <w:r w:rsidR="00B8275F">
        <w:rPr>
          <w:rFonts w:ascii="Calibri" w:hAnsi="Calibri"/>
        </w:rPr>
        <w:t xml:space="preserve"> that relies on a minimum revenue guarantee provided by its shipper/port owner</w:t>
      </w:r>
      <w:r w:rsidR="00911650" w:rsidRPr="004B2A73">
        <w:rPr>
          <w:rFonts w:ascii="Calibri" w:hAnsi="Calibri"/>
        </w:rPr>
        <w:t xml:space="preserve"> and Togo Terminal </w:t>
      </w:r>
      <w:r w:rsidR="00B8275F">
        <w:rPr>
          <w:rFonts w:ascii="Calibri" w:hAnsi="Calibri"/>
        </w:rPr>
        <w:t xml:space="preserve">is a brownfield where the </w:t>
      </w:r>
      <w:r w:rsidR="00911650" w:rsidRPr="004B2A73">
        <w:rPr>
          <w:rFonts w:ascii="Calibri" w:hAnsi="Calibri"/>
        </w:rPr>
        <w:t>terminal</w:t>
      </w:r>
      <w:r w:rsidR="00B8275F">
        <w:rPr>
          <w:rFonts w:ascii="Calibri" w:hAnsi="Calibri"/>
        </w:rPr>
        <w:t xml:space="preserve"> operator has to take on market/demand risks</w:t>
      </w:r>
      <w:r w:rsidR="00911650" w:rsidRPr="004B2A73">
        <w:rPr>
          <w:rFonts w:ascii="Calibri" w:hAnsi="Calibri"/>
        </w:rPr>
        <w:t xml:space="preserve">. In Abidjan, the concession for the second terminal, a </w:t>
      </w:r>
      <w:r w:rsidR="00532DF1" w:rsidRPr="004B2A73">
        <w:rPr>
          <w:rFonts w:ascii="Calibri" w:hAnsi="Calibri"/>
        </w:rPr>
        <w:t>Greenfield</w:t>
      </w:r>
      <w:r w:rsidR="00911650" w:rsidRPr="004B2A73">
        <w:rPr>
          <w:rFonts w:ascii="Calibri" w:hAnsi="Calibri"/>
        </w:rPr>
        <w:t xml:space="preserve"> development, is shorter than the revised concession duration for the first terminal</w:t>
      </w:r>
      <w:r w:rsidR="00B8275F">
        <w:rPr>
          <w:rFonts w:ascii="Calibri" w:hAnsi="Calibri"/>
        </w:rPr>
        <w:t xml:space="preserve"> in part because, like in Togo, its financial bankability is linked to differences in private sector perceived market/demand risks</w:t>
      </w:r>
      <w:r w:rsidR="00911650" w:rsidRPr="004B2A73">
        <w:rPr>
          <w:rFonts w:ascii="Calibri" w:hAnsi="Calibri"/>
        </w:rPr>
        <w:t xml:space="preserve">. The concession terms for the remaining </w:t>
      </w:r>
      <w:r w:rsidR="00532DF1" w:rsidRPr="004B2A73">
        <w:rPr>
          <w:rFonts w:ascii="Calibri" w:hAnsi="Calibri"/>
        </w:rPr>
        <w:t>Greenfield</w:t>
      </w:r>
      <w:r w:rsidR="00911650" w:rsidRPr="004B2A73">
        <w:rPr>
          <w:rFonts w:ascii="Calibri" w:hAnsi="Calibri"/>
        </w:rPr>
        <w:t xml:space="preserve"> developments (extension of Tema, Badagry and Lekki) are not yet set, but are likely to be at the higher end of the range</w:t>
      </w:r>
      <w:r w:rsidR="00B8275F">
        <w:rPr>
          <w:rFonts w:ascii="Calibri" w:hAnsi="Calibri"/>
        </w:rPr>
        <w:t xml:space="preserve"> in terms of total payments to be made to conceding authorities</w:t>
      </w:r>
      <w:r w:rsidR="00911650" w:rsidRPr="004B2A73">
        <w:rPr>
          <w:rFonts w:ascii="Calibri" w:hAnsi="Calibri"/>
        </w:rPr>
        <w:t>.</w:t>
      </w:r>
    </w:p>
    <w:p w14:paraId="59599804" w14:textId="77777777" w:rsidR="009C6E8E" w:rsidRPr="004B2A73" w:rsidRDefault="009C6E8E" w:rsidP="009C6E8E">
      <w:pPr>
        <w:pStyle w:val="ListParagraph"/>
        <w:spacing w:after="0"/>
        <w:ind w:left="0"/>
        <w:rPr>
          <w:rFonts w:ascii="Calibri" w:hAnsi="Calibri"/>
          <w:b/>
          <w:sz w:val="24"/>
        </w:rPr>
      </w:pPr>
    </w:p>
    <w:p w14:paraId="5D29B329" w14:textId="4B526754" w:rsidR="00CA040F" w:rsidRPr="004B2A73" w:rsidRDefault="00806B2A" w:rsidP="00E826B9">
      <w:pPr>
        <w:pStyle w:val="ListParagraph"/>
        <w:numPr>
          <w:ilvl w:val="0"/>
          <w:numId w:val="6"/>
        </w:numPr>
        <w:spacing w:after="0"/>
        <w:ind w:left="0" w:firstLine="0"/>
        <w:jc w:val="both"/>
        <w:rPr>
          <w:rFonts w:ascii="Calibri" w:hAnsi="Calibri"/>
          <w:b/>
          <w:sz w:val="24"/>
        </w:rPr>
      </w:pPr>
      <w:r w:rsidRPr="004B2A73">
        <w:rPr>
          <w:rFonts w:ascii="Calibri" w:hAnsi="Calibri"/>
          <w:b/>
          <w:sz w:val="24"/>
        </w:rPr>
        <w:t xml:space="preserve">Experience shows that obligatory </w:t>
      </w:r>
      <w:r w:rsidR="00ED57E2">
        <w:rPr>
          <w:rFonts w:ascii="Calibri" w:hAnsi="Calibri"/>
          <w:b/>
          <w:sz w:val="24"/>
        </w:rPr>
        <w:t xml:space="preserve">investment </w:t>
      </w:r>
      <w:r w:rsidRPr="004B2A73">
        <w:rPr>
          <w:rFonts w:ascii="Calibri" w:hAnsi="Calibri"/>
          <w:b/>
          <w:sz w:val="24"/>
        </w:rPr>
        <w:t>programs lasting more than five years are rapidly overtaken by technological and market changes</w:t>
      </w:r>
      <w:r w:rsidRPr="004B2A73">
        <w:rPr>
          <w:rFonts w:ascii="Calibri" w:hAnsi="Calibri"/>
          <w:sz w:val="24"/>
        </w:rPr>
        <w:t>,</w:t>
      </w:r>
      <w:r w:rsidR="005F5070" w:rsidRPr="004B2A73">
        <w:rPr>
          <w:rFonts w:ascii="Calibri" w:hAnsi="Calibri"/>
          <w:b/>
          <w:sz w:val="24"/>
        </w:rPr>
        <w:t xml:space="preserve"> </w:t>
      </w:r>
      <w:r w:rsidRPr="004B2A73">
        <w:rPr>
          <w:rFonts w:ascii="Calibri" w:hAnsi="Calibri"/>
          <w:sz w:val="24"/>
        </w:rPr>
        <w:t xml:space="preserve">and unless renegotiated </w:t>
      </w:r>
      <w:r w:rsidR="00E830F5" w:rsidRPr="004B2A73">
        <w:rPr>
          <w:rFonts w:ascii="Calibri" w:hAnsi="Calibri"/>
          <w:sz w:val="24"/>
        </w:rPr>
        <w:t xml:space="preserve">can </w:t>
      </w:r>
      <w:r w:rsidRPr="004B2A73">
        <w:rPr>
          <w:rFonts w:ascii="Calibri" w:hAnsi="Calibri"/>
          <w:sz w:val="24"/>
        </w:rPr>
        <w:t xml:space="preserve">lead to </w:t>
      </w:r>
      <w:r w:rsidR="00E830F5" w:rsidRPr="004B2A73">
        <w:rPr>
          <w:rFonts w:ascii="Calibri" w:hAnsi="Calibri"/>
          <w:sz w:val="24"/>
        </w:rPr>
        <w:t xml:space="preserve">unnecessary </w:t>
      </w:r>
      <w:r w:rsidRPr="004B2A73">
        <w:rPr>
          <w:rFonts w:ascii="Calibri" w:hAnsi="Calibri"/>
          <w:sz w:val="24"/>
        </w:rPr>
        <w:t xml:space="preserve">investments and </w:t>
      </w:r>
      <w:r w:rsidR="00E830F5" w:rsidRPr="004B2A73">
        <w:rPr>
          <w:rFonts w:ascii="Calibri" w:hAnsi="Calibri"/>
          <w:sz w:val="24"/>
        </w:rPr>
        <w:t xml:space="preserve">excessive </w:t>
      </w:r>
      <w:r w:rsidRPr="004B2A73">
        <w:rPr>
          <w:rFonts w:ascii="Calibri" w:hAnsi="Calibri"/>
          <w:sz w:val="24"/>
        </w:rPr>
        <w:t xml:space="preserve">costs. </w:t>
      </w:r>
      <w:r w:rsidR="00AC5B1F" w:rsidRPr="004B2A73">
        <w:rPr>
          <w:rFonts w:ascii="Calibri" w:hAnsi="Calibri"/>
          <w:sz w:val="24"/>
        </w:rPr>
        <w:t>Worldwide</w:t>
      </w:r>
      <w:r w:rsidRPr="004B2A73">
        <w:rPr>
          <w:rFonts w:ascii="Calibri" w:hAnsi="Calibri"/>
          <w:sz w:val="24"/>
        </w:rPr>
        <w:t xml:space="preserve"> obligatory investment plans have therefore been largely replaced by indicative investment programs </w:t>
      </w:r>
      <w:r w:rsidR="00392E7D" w:rsidRPr="004B2A73">
        <w:rPr>
          <w:rFonts w:ascii="Calibri" w:hAnsi="Calibri"/>
          <w:sz w:val="24"/>
        </w:rPr>
        <w:t xml:space="preserve">that </w:t>
      </w:r>
      <w:r w:rsidRPr="004B2A73">
        <w:rPr>
          <w:rFonts w:ascii="Calibri" w:hAnsi="Calibri"/>
          <w:sz w:val="24"/>
        </w:rPr>
        <w:t>can be modified by mutual agreement. This creates a less confrontational atmosphere between the concession partners, encourages innovation, and ensures that the majority of investments are commercially sound. In some occasions the development plan is phased or event-triggered so as to reflect the anticipated traffic demand. The first phase is then usually compulsory, while the following phases remain subject to agreement between the parties. However, in none of the contracts reviewed was the level and nature of the investments left purely at the discretion of the concessionaire</w:t>
      </w:r>
      <w:r w:rsidR="00392E7D" w:rsidRPr="004B2A73">
        <w:rPr>
          <w:rFonts w:ascii="Calibri" w:hAnsi="Calibri"/>
          <w:sz w:val="24"/>
        </w:rPr>
        <w:t>,</w:t>
      </w:r>
      <w:r w:rsidRPr="004B2A73">
        <w:rPr>
          <w:rFonts w:ascii="Calibri" w:hAnsi="Calibri"/>
          <w:sz w:val="24"/>
        </w:rPr>
        <w:t xml:space="preserve"> and port authorities seem to expect firm commitments from the private parties in that regard. </w:t>
      </w:r>
      <w:r w:rsidR="0099114F" w:rsidRPr="004B2A73">
        <w:rPr>
          <w:rFonts w:ascii="Calibri" w:hAnsi="Calibri"/>
          <w:sz w:val="24"/>
        </w:rPr>
        <w:t xml:space="preserve">This may be why investment commitments in West Africa have generally been realized. </w:t>
      </w:r>
    </w:p>
    <w:p w14:paraId="23CB0BCE" w14:textId="77777777" w:rsidR="00CA040F" w:rsidRPr="004B2A73" w:rsidRDefault="00CA040F" w:rsidP="00CA040F">
      <w:pPr>
        <w:pStyle w:val="ListParagraph"/>
        <w:spacing w:after="0"/>
        <w:ind w:left="0"/>
        <w:rPr>
          <w:rFonts w:ascii="Calibri" w:hAnsi="Calibri"/>
          <w:b/>
          <w:sz w:val="24"/>
        </w:rPr>
      </w:pPr>
    </w:p>
    <w:p w14:paraId="3F90A47E" w14:textId="660DC783" w:rsidR="00806B2A" w:rsidRPr="004B2A73" w:rsidRDefault="00806B2A" w:rsidP="00E826B9">
      <w:pPr>
        <w:pStyle w:val="ListParagraph"/>
        <w:numPr>
          <w:ilvl w:val="0"/>
          <w:numId w:val="6"/>
        </w:numPr>
        <w:spacing w:after="0"/>
        <w:ind w:left="0" w:firstLine="0"/>
        <w:jc w:val="both"/>
        <w:rPr>
          <w:rFonts w:ascii="Calibri" w:hAnsi="Calibri"/>
          <w:sz w:val="24"/>
          <w:lang w:val="en-GB" w:eastAsia="nl-NL"/>
        </w:rPr>
      </w:pPr>
      <w:r w:rsidRPr="004B2A73">
        <w:rPr>
          <w:rFonts w:ascii="Calibri" w:hAnsi="Calibri"/>
          <w:b/>
          <w:sz w:val="24"/>
          <w:lang w:val="en-GB" w:eastAsia="nl-NL"/>
        </w:rPr>
        <w:t>Unbundling activities and contracting on a terminal rather than whole</w:t>
      </w:r>
      <w:r w:rsidR="005F5070" w:rsidRPr="004B2A73">
        <w:rPr>
          <w:rFonts w:ascii="Calibri" w:hAnsi="Calibri"/>
          <w:b/>
          <w:sz w:val="24"/>
          <w:lang w:val="en-GB" w:eastAsia="nl-NL"/>
        </w:rPr>
        <w:t>-</w:t>
      </w:r>
      <w:r w:rsidRPr="004B2A73">
        <w:rPr>
          <w:rFonts w:ascii="Calibri" w:hAnsi="Calibri"/>
          <w:b/>
          <w:sz w:val="24"/>
          <w:lang w:val="en-GB" w:eastAsia="nl-NL"/>
        </w:rPr>
        <w:t>port basis is expected t</w:t>
      </w:r>
      <w:r w:rsidR="00FC1EC2" w:rsidRPr="004B2A73">
        <w:rPr>
          <w:rFonts w:ascii="Calibri" w:hAnsi="Calibri"/>
          <w:sz w:val="24"/>
          <w:lang w:val="en-GB" w:eastAsia="nl-NL"/>
        </w:rPr>
        <w:t>o</w:t>
      </w:r>
      <w:r w:rsidRPr="004B2A73">
        <w:rPr>
          <w:rFonts w:ascii="Calibri" w:hAnsi="Calibri"/>
          <w:b/>
          <w:sz w:val="24"/>
          <w:lang w:val="en-GB" w:eastAsia="nl-NL"/>
        </w:rPr>
        <w:t xml:space="preserve"> encourage efficiency through specialization and </w:t>
      </w:r>
      <w:r w:rsidR="005F5070" w:rsidRPr="004B2A73">
        <w:rPr>
          <w:rFonts w:ascii="Calibri" w:hAnsi="Calibri"/>
          <w:b/>
          <w:sz w:val="24"/>
          <w:lang w:val="en-GB" w:eastAsia="nl-NL"/>
        </w:rPr>
        <w:t xml:space="preserve">increased </w:t>
      </w:r>
      <w:r w:rsidRPr="004B2A73">
        <w:rPr>
          <w:rFonts w:ascii="Calibri" w:hAnsi="Calibri"/>
          <w:b/>
          <w:sz w:val="24"/>
          <w:lang w:val="en-GB" w:eastAsia="nl-NL"/>
        </w:rPr>
        <w:t>competition.</w:t>
      </w:r>
      <w:r w:rsidRPr="004B2A73">
        <w:rPr>
          <w:rFonts w:ascii="Calibri" w:hAnsi="Calibri"/>
          <w:sz w:val="24"/>
          <w:lang w:val="en-GB" w:eastAsia="nl-NL"/>
        </w:rPr>
        <w:t xml:space="preserve"> Intra-port competition in turn can help ensure that private operators’ behavior remains compatible with the public interest. Many of the benefits from concessions stem not from private presence per se, but from increased competitive pressures, while limited or absent competition can lead to the creation of rents at the expense of the public interest. Yet there is only one country, Nigeria, </w:t>
      </w:r>
      <w:r w:rsidR="005F5070" w:rsidRPr="004B2A73">
        <w:rPr>
          <w:rFonts w:ascii="Calibri" w:hAnsi="Calibri"/>
          <w:sz w:val="24"/>
          <w:lang w:val="en-GB" w:eastAsia="nl-NL"/>
        </w:rPr>
        <w:t xml:space="preserve">that </w:t>
      </w:r>
      <w:r w:rsidRPr="004B2A73">
        <w:rPr>
          <w:rFonts w:ascii="Calibri" w:hAnsi="Calibri"/>
          <w:sz w:val="24"/>
          <w:lang w:val="en-GB" w:eastAsia="nl-NL"/>
        </w:rPr>
        <w:t>has attempted to increase competition through unbundling.</w:t>
      </w:r>
      <w:r w:rsidR="005F5070" w:rsidRPr="004B2A73">
        <w:rPr>
          <w:rFonts w:ascii="Calibri" w:hAnsi="Calibri"/>
          <w:sz w:val="24"/>
          <w:lang w:val="en-GB" w:eastAsia="nl-NL"/>
        </w:rPr>
        <w:t xml:space="preserve"> </w:t>
      </w:r>
      <w:r w:rsidRPr="004B2A73">
        <w:rPr>
          <w:rFonts w:ascii="Calibri" w:hAnsi="Calibri"/>
          <w:sz w:val="24"/>
          <w:lang w:val="en-GB" w:eastAsia="nl-NL"/>
        </w:rPr>
        <w:t xml:space="preserve"> Even where there is sufficient traffic to permit more than one terminal to operate, governments have refrained from imposing restrictions on incumbent concessionaires</w:t>
      </w:r>
      <w:r w:rsidR="005F5070" w:rsidRPr="004B2A73">
        <w:rPr>
          <w:rFonts w:ascii="Calibri" w:hAnsi="Calibri"/>
          <w:sz w:val="24"/>
          <w:lang w:val="en-GB" w:eastAsia="nl-NL"/>
        </w:rPr>
        <w:t>. Thus in</w:t>
      </w:r>
      <w:r w:rsidRPr="004B2A73">
        <w:rPr>
          <w:rFonts w:ascii="Calibri" w:hAnsi="Calibri"/>
          <w:sz w:val="24"/>
          <w:lang w:val="en-GB" w:eastAsia="nl-NL"/>
        </w:rPr>
        <w:t xml:space="preserve"> Abidjan and Tema there were no limitations placed on who could participate </w:t>
      </w:r>
      <w:r w:rsidR="005F5070" w:rsidRPr="004B2A73">
        <w:rPr>
          <w:rFonts w:ascii="Calibri" w:hAnsi="Calibri"/>
          <w:sz w:val="24"/>
          <w:lang w:val="en-GB" w:eastAsia="nl-NL"/>
        </w:rPr>
        <w:t xml:space="preserve">in </w:t>
      </w:r>
      <w:r w:rsidRPr="004B2A73">
        <w:rPr>
          <w:rFonts w:ascii="Calibri" w:hAnsi="Calibri"/>
          <w:sz w:val="24"/>
          <w:lang w:val="en-GB" w:eastAsia="nl-NL"/>
        </w:rPr>
        <w:t>the new or expanded concessions</w:t>
      </w:r>
      <w:r w:rsidR="005F5070" w:rsidRPr="004B2A73">
        <w:rPr>
          <w:rFonts w:ascii="Calibri" w:hAnsi="Calibri"/>
          <w:sz w:val="24"/>
          <w:lang w:val="en-GB" w:eastAsia="nl-NL"/>
        </w:rPr>
        <w:t>,</w:t>
      </w:r>
      <w:r w:rsidRPr="004B2A73">
        <w:rPr>
          <w:rFonts w:ascii="Calibri" w:hAnsi="Calibri"/>
          <w:sz w:val="24"/>
          <w:lang w:val="en-GB" w:eastAsia="nl-NL"/>
        </w:rPr>
        <w:t xml:space="preserve"> allowing the potential </w:t>
      </w:r>
      <w:r w:rsidRPr="004B2A73">
        <w:rPr>
          <w:rFonts w:ascii="Calibri" w:hAnsi="Calibri"/>
          <w:sz w:val="24"/>
          <w:lang w:val="en-GB" w:eastAsia="nl-NL"/>
        </w:rPr>
        <w:lastRenderedPageBreak/>
        <w:t xml:space="preserve">emergence of a private monopoly.  Dakar seems to </w:t>
      </w:r>
      <w:r w:rsidR="005F5070" w:rsidRPr="004B2A73">
        <w:rPr>
          <w:rFonts w:ascii="Calibri" w:hAnsi="Calibri"/>
          <w:sz w:val="24"/>
          <w:lang w:val="en-GB" w:eastAsia="nl-NL"/>
        </w:rPr>
        <w:t xml:space="preserve">be </w:t>
      </w:r>
      <w:r w:rsidRPr="004B2A73">
        <w:rPr>
          <w:rFonts w:ascii="Calibri" w:hAnsi="Calibri"/>
          <w:sz w:val="24"/>
          <w:lang w:val="en-GB" w:eastAsia="nl-NL"/>
        </w:rPr>
        <w:t>follow</w:t>
      </w:r>
      <w:r w:rsidR="005F5070" w:rsidRPr="004B2A73">
        <w:rPr>
          <w:rFonts w:ascii="Calibri" w:hAnsi="Calibri"/>
          <w:sz w:val="24"/>
          <w:lang w:val="en-GB" w:eastAsia="nl-NL"/>
        </w:rPr>
        <w:t>ing</w:t>
      </w:r>
      <w:r w:rsidRPr="004B2A73">
        <w:rPr>
          <w:rFonts w:ascii="Calibri" w:hAnsi="Calibri"/>
          <w:sz w:val="24"/>
          <w:lang w:val="en-GB" w:eastAsia="nl-NL"/>
        </w:rPr>
        <w:t xml:space="preserve"> a similar path with its new project of the </w:t>
      </w:r>
      <w:r w:rsidR="00081D69">
        <w:rPr>
          <w:rFonts w:ascii="Calibri" w:hAnsi="Calibri"/>
          <w:sz w:val="24"/>
          <w:lang w:val="en-GB" w:eastAsia="nl-NL"/>
        </w:rPr>
        <w:t>“</w:t>
      </w:r>
      <w:r w:rsidRPr="004B2A73">
        <w:rPr>
          <w:rFonts w:ascii="Calibri" w:hAnsi="Calibri"/>
          <w:sz w:val="24"/>
          <w:lang w:val="en-GB" w:eastAsia="nl-NL"/>
        </w:rPr>
        <w:t>Port du Futur</w:t>
      </w:r>
      <w:r w:rsidR="00081D69">
        <w:rPr>
          <w:rFonts w:ascii="Calibri" w:hAnsi="Calibri"/>
          <w:sz w:val="24"/>
          <w:lang w:val="en-GB" w:eastAsia="nl-NL"/>
        </w:rPr>
        <w:t>”</w:t>
      </w:r>
      <w:r w:rsidRPr="004B2A73">
        <w:rPr>
          <w:rFonts w:ascii="Calibri" w:hAnsi="Calibri"/>
          <w:sz w:val="24"/>
          <w:lang w:val="en-GB" w:eastAsia="nl-NL"/>
        </w:rPr>
        <w:t xml:space="preserve">. </w:t>
      </w:r>
    </w:p>
    <w:p w14:paraId="2B035AA1" w14:textId="77777777" w:rsidR="00B65D4F" w:rsidRPr="004B2A73" w:rsidRDefault="00B65D4F" w:rsidP="00B65D4F">
      <w:pPr>
        <w:pStyle w:val="ListParagraph"/>
        <w:spacing w:after="0"/>
        <w:ind w:left="0"/>
        <w:rPr>
          <w:rFonts w:ascii="Calibri" w:hAnsi="Calibri"/>
          <w:sz w:val="24"/>
          <w:lang w:val="en-GB" w:eastAsia="nl-NL"/>
        </w:rPr>
      </w:pPr>
    </w:p>
    <w:p w14:paraId="3AB898B2" w14:textId="77777777" w:rsidR="00806B2A" w:rsidRPr="004B2A73" w:rsidRDefault="00806B2A" w:rsidP="00E826B9">
      <w:pPr>
        <w:pStyle w:val="ListParagraph"/>
        <w:numPr>
          <w:ilvl w:val="0"/>
          <w:numId w:val="6"/>
        </w:numPr>
        <w:spacing w:after="0"/>
        <w:ind w:left="0" w:firstLine="0"/>
        <w:jc w:val="both"/>
        <w:rPr>
          <w:rFonts w:ascii="Calibri" w:hAnsi="Calibri"/>
          <w:sz w:val="24"/>
          <w:lang w:val="en-GB" w:eastAsia="nl-NL"/>
        </w:rPr>
      </w:pPr>
      <w:r w:rsidRPr="004B2A73">
        <w:rPr>
          <w:rFonts w:ascii="Calibri" w:hAnsi="Calibri"/>
          <w:b/>
          <w:sz w:val="24"/>
          <w:lang w:val="en-GB" w:eastAsia="nl-NL"/>
        </w:rPr>
        <w:t>About half the contracts reviewed include provisions for exclusive rights to handle a specific type of cargo or vessel within the port or over a restricted geographic area</w:t>
      </w:r>
      <w:r w:rsidR="00A3705B" w:rsidRPr="004B2A73">
        <w:rPr>
          <w:rFonts w:ascii="Calibri" w:hAnsi="Calibri"/>
          <w:b/>
          <w:sz w:val="24"/>
          <w:lang w:val="en-GB" w:eastAsia="nl-NL"/>
        </w:rPr>
        <w:t xml:space="preserve">, </w:t>
      </w:r>
      <w:r w:rsidR="00A3705B" w:rsidRPr="004B2A73">
        <w:rPr>
          <w:rFonts w:ascii="Calibri" w:hAnsi="Calibri"/>
          <w:sz w:val="24"/>
          <w:lang w:val="en-GB" w:eastAsia="nl-NL"/>
        </w:rPr>
        <w:t>further limiting</w:t>
      </w:r>
      <w:r w:rsidRPr="004B2A73">
        <w:rPr>
          <w:rFonts w:ascii="Calibri" w:hAnsi="Calibri"/>
          <w:sz w:val="24"/>
          <w:lang w:val="en-GB" w:eastAsia="nl-NL"/>
        </w:rPr>
        <w:t xml:space="preserve"> competition and perhaps undermining the drive towards efficiency. More generally, the provision of monopoly rights over a specified port service was a feature of early port PPPs</w:t>
      </w:r>
      <w:r w:rsidR="00A3705B" w:rsidRPr="004B2A73">
        <w:rPr>
          <w:rFonts w:ascii="Calibri" w:hAnsi="Calibri"/>
          <w:sz w:val="24"/>
          <w:lang w:val="en-GB" w:eastAsia="nl-NL"/>
        </w:rPr>
        <w:t>,</w:t>
      </w:r>
      <w:r w:rsidRPr="004B2A73">
        <w:rPr>
          <w:rFonts w:ascii="Calibri" w:hAnsi="Calibri"/>
          <w:sz w:val="24"/>
          <w:lang w:val="en-GB" w:eastAsia="nl-NL"/>
        </w:rPr>
        <w:t xml:space="preserve"> when the contracting modalities and confidence in the concession process were still developing.  Nowadays, the requirements of small, marginally viable projects can be secured through refinements in clauses of the contract and without resort to exclusive rights over specific types of cargos or vessels. Still, such incentives may have been necessary where the risk valuation of private companies is high and the concessionaire may not enter the market without specific arrangements to assure profitability. </w:t>
      </w:r>
    </w:p>
    <w:p w14:paraId="56C6C612" w14:textId="77777777" w:rsidR="00B65D4F" w:rsidRPr="004B2A73" w:rsidRDefault="00B65D4F" w:rsidP="00B65D4F">
      <w:pPr>
        <w:pStyle w:val="ListParagraph"/>
        <w:spacing w:after="0"/>
        <w:ind w:left="0"/>
        <w:rPr>
          <w:rFonts w:ascii="Calibri" w:hAnsi="Calibri"/>
          <w:sz w:val="24"/>
          <w:lang w:val="en-GB" w:eastAsia="nl-NL"/>
        </w:rPr>
      </w:pPr>
    </w:p>
    <w:p w14:paraId="22A97F7A" w14:textId="77777777" w:rsidR="00806B2A" w:rsidRPr="004B2A73" w:rsidRDefault="00806B2A" w:rsidP="00E826B9">
      <w:pPr>
        <w:pStyle w:val="ListParagraph"/>
        <w:numPr>
          <w:ilvl w:val="0"/>
          <w:numId w:val="6"/>
        </w:numPr>
        <w:spacing w:after="0"/>
        <w:ind w:left="0" w:firstLine="0"/>
        <w:jc w:val="both"/>
        <w:rPr>
          <w:rFonts w:ascii="Calibri" w:hAnsi="Calibri"/>
          <w:sz w:val="24"/>
          <w:lang w:val="en-GB" w:eastAsia="nl-NL"/>
        </w:rPr>
      </w:pPr>
      <w:r w:rsidRPr="004B2A73">
        <w:rPr>
          <w:rFonts w:ascii="Calibri" w:hAnsi="Calibri"/>
          <w:b/>
          <w:sz w:val="24"/>
          <w:lang w:val="en-GB" w:eastAsia="nl-NL"/>
        </w:rPr>
        <w:t>Common user clauses are found in all contracts</w:t>
      </w:r>
      <w:r w:rsidR="00A3705B" w:rsidRPr="004B2A73">
        <w:rPr>
          <w:rFonts w:ascii="Calibri" w:hAnsi="Calibri"/>
          <w:b/>
          <w:sz w:val="24"/>
          <w:lang w:val="en-GB" w:eastAsia="nl-NL"/>
        </w:rPr>
        <w:t>,</w:t>
      </w:r>
      <w:r w:rsidRPr="004B2A73">
        <w:rPr>
          <w:rFonts w:ascii="Calibri" w:hAnsi="Calibri"/>
          <w:b/>
          <w:sz w:val="24"/>
          <w:lang w:val="en-GB" w:eastAsia="nl-NL"/>
        </w:rPr>
        <w:t xml:space="preserve"> reflecting the sub-regions preoccupation with the tendering ports’ gateway status and </w:t>
      </w:r>
      <w:r w:rsidR="00A3705B" w:rsidRPr="004B2A73">
        <w:rPr>
          <w:rFonts w:ascii="Calibri" w:hAnsi="Calibri"/>
          <w:b/>
          <w:sz w:val="24"/>
          <w:lang w:val="en-GB" w:eastAsia="nl-NL"/>
        </w:rPr>
        <w:t>their</w:t>
      </w:r>
      <w:r w:rsidRPr="004B2A73">
        <w:rPr>
          <w:rFonts w:ascii="Calibri" w:hAnsi="Calibri"/>
          <w:b/>
          <w:sz w:val="24"/>
          <w:lang w:val="en-GB" w:eastAsia="nl-NL"/>
        </w:rPr>
        <w:t xml:space="preserve"> strategic and economic importance to the country.</w:t>
      </w:r>
      <w:r w:rsidRPr="004B2A73">
        <w:rPr>
          <w:rFonts w:ascii="Calibri" w:hAnsi="Calibri"/>
          <w:sz w:val="24"/>
          <w:lang w:val="en-GB" w:eastAsia="nl-NL"/>
        </w:rPr>
        <w:t xml:space="preserve"> These clauses impose on the concessionaire the requirement to allow access to any </w:t>
      </w:r>
      <w:r w:rsidR="001448D9" w:rsidRPr="004B2A73">
        <w:rPr>
          <w:rFonts w:ascii="Calibri" w:hAnsi="Calibri"/>
          <w:sz w:val="24"/>
          <w:lang w:val="en-GB" w:eastAsia="nl-NL"/>
        </w:rPr>
        <w:t xml:space="preserve">shipping </w:t>
      </w:r>
      <w:r w:rsidR="009E5FCF" w:rsidRPr="004B2A73">
        <w:rPr>
          <w:rFonts w:ascii="Calibri" w:hAnsi="Calibri"/>
          <w:sz w:val="24"/>
          <w:lang w:val="en-GB" w:eastAsia="nl-NL"/>
        </w:rPr>
        <w:t>line and</w:t>
      </w:r>
      <w:r w:rsidRPr="004B2A73">
        <w:rPr>
          <w:rFonts w:ascii="Calibri" w:hAnsi="Calibri"/>
          <w:sz w:val="24"/>
          <w:lang w:val="en-GB" w:eastAsia="nl-NL"/>
        </w:rPr>
        <w:t xml:space="preserve"> service all vessels </w:t>
      </w:r>
      <w:r w:rsidR="001448D9" w:rsidRPr="004B2A73">
        <w:rPr>
          <w:rFonts w:ascii="Calibri" w:hAnsi="Calibri"/>
          <w:sz w:val="24"/>
          <w:lang w:val="en-GB" w:eastAsia="nl-NL"/>
        </w:rPr>
        <w:t>calling at the port</w:t>
      </w:r>
      <w:r w:rsidRPr="004B2A73">
        <w:rPr>
          <w:rFonts w:ascii="Calibri" w:hAnsi="Calibri"/>
          <w:sz w:val="24"/>
          <w:lang w:val="en-GB" w:eastAsia="nl-NL"/>
        </w:rPr>
        <w:t xml:space="preserve">. For similar reasons, all contracts reflect a concern for continuity of service –14 consecutive days or 60 non-consecutive days of interruption of services are the commonly accepted </w:t>
      </w:r>
      <w:r w:rsidR="00804EA8" w:rsidRPr="004B2A73">
        <w:rPr>
          <w:rFonts w:ascii="Calibri" w:hAnsi="Calibri"/>
          <w:sz w:val="24"/>
          <w:lang w:val="en-GB" w:eastAsia="nl-NL"/>
        </w:rPr>
        <w:t>thresholds</w:t>
      </w:r>
      <w:r w:rsidRPr="004B2A73">
        <w:rPr>
          <w:rFonts w:ascii="Calibri" w:hAnsi="Calibri"/>
          <w:sz w:val="24"/>
          <w:lang w:val="en-GB" w:eastAsia="nl-NL"/>
        </w:rPr>
        <w:t xml:space="preserve"> for termination in most contracts. While service continuity is easily monitored, the practical application of common user arrangements (in priority berthing and terminal discriminatory practices) has not been given much thought.  </w:t>
      </w:r>
      <w:r w:rsidR="000F33A0" w:rsidRPr="004B2A73">
        <w:rPr>
          <w:rFonts w:ascii="Calibri" w:hAnsi="Calibri"/>
          <w:sz w:val="24"/>
          <w:lang w:val="en-GB" w:eastAsia="nl-NL"/>
        </w:rPr>
        <w:t xml:space="preserve">Monitoring common user agreements can most effectively be done by setting up formal feedback mechanisms </w:t>
      </w:r>
      <w:r w:rsidR="00715ACE" w:rsidRPr="004B2A73">
        <w:rPr>
          <w:rFonts w:ascii="Calibri" w:hAnsi="Calibri"/>
          <w:sz w:val="24"/>
          <w:lang w:val="en-GB" w:eastAsia="nl-NL"/>
        </w:rPr>
        <w:t>allowing users who believe they have been discriminated against to voice their claims. These claims and the results of their review by the concessioning authority should then be made public; for instance on the authority’</w:t>
      </w:r>
      <w:r w:rsidR="00062106" w:rsidRPr="004B2A73">
        <w:rPr>
          <w:rFonts w:ascii="Calibri" w:hAnsi="Calibri"/>
          <w:sz w:val="24"/>
          <w:lang w:val="en-GB" w:eastAsia="nl-NL"/>
        </w:rPr>
        <w:t xml:space="preserve">s website. </w:t>
      </w:r>
    </w:p>
    <w:p w14:paraId="5B8C241D" w14:textId="77777777" w:rsidR="00B65D4F" w:rsidRPr="004B2A73" w:rsidRDefault="00B65D4F" w:rsidP="00B65D4F">
      <w:pPr>
        <w:pStyle w:val="ListParagraph"/>
        <w:spacing w:after="0"/>
        <w:ind w:left="0"/>
        <w:rPr>
          <w:rFonts w:ascii="Calibri" w:hAnsi="Calibri"/>
          <w:sz w:val="24"/>
        </w:rPr>
      </w:pPr>
    </w:p>
    <w:p w14:paraId="2A52609A" w14:textId="77777777" w:rsidR="008770C5"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lang w:val="en-GB" w:eastAsia="nl-NL"/>
        </w:rPr>
        <w:t>In general, performance parameters can be useful to measure the success of an operator in managing the terminal and help align the interests of both parties.</w:t>
      </w:r>
      <w:r w:rsidRPr="004B2A73">
        <w:rPr>
          <w:rFonts w:ascii="Calibri" w:hAnsi="Calibri"/>
          <w:sz w:val="24"/>
          <w:lang w:val="en-GB" w:eastAsia="nl-NL"/>
        </w:rPr>
        <w:t xml:space="preserve"> In practice</w:t>
      </w:r>
      <w:r w:rsidR="00804EA8" w:rsidRPr="004B2A73">
        <w:rPr>
          <w:rFonts w:ascii="Calibri" w:hAnsi="Calibri"/>
          <w:sz w:val="24"/>
          <w:lang w:val="en-GB" w:eastAsia="nl-NL"/>
        </w:rPr>
        <w:t xml:space="preserve">, </w:t>
      </w:r>
      <w:r w:rsidRPr="004B2A73">
        <w:rPr>
          <w:rFonts w:ascii="Calibri" w:hAnsi="Calibri"/>
          <w:sz w:val="24"/>
          <w:lang w:val="en-GB" w:eastAsia="nl-NL"/>
        </w:rPr>
        <w:t>detailed metrics require extensive control by the port authority and effective monitoring instruments.  The performance indicators may relate to, inter alia: traffic - number of ship calls or containers or tons of cargo passing through the terminal, per time unit (day, week, month and year); crane productivity - number of container movements by crane per time unit; ship productivity - the output achieved per ship working hour</w:t>
      </w:r>
      <w:r w:rsidRPr="004B2A73">
        <w:rPr>
          <w:rFonts w:ascii="Calibri" w:hAnsi="Calibri"/>
          <w:sz w:val="24"/>
        </w:rPr>
        <w:t xml:space="preserve">; quay productivity – number of container moves per unit of time per meter of quay length; terminal productivity - number of containers handled per square meter or hectare of terminal area per time unit.  When required levels are exceeded, a positive financial incentive could be given to the operator because extra traffic and throughput results in extra revenue for the port authority. Conversely, the port authority should be entitled to apply penalties when the minimum targets are not achieved. </w:t>
      </w:r>
    </w:p>
    <w:p w14:paraId="3550B549" w14:textId="77777777" w:rsidR="008770C5" w:rsidRPr="004B2A73" w:rsidRDefault="008770C5" w:rsidP="009F1EBF">
      <w:pPr>
        <w:pStyle w:val="ListParagraph"/>
        <w:spacing w:after="0"/>
        <w:ind w:left="0"/>
        <w:rPr>
          <w:rFonts w:ascii="Calibri" w:hAnsi="Calibri"/>
          <w:sz w:val="24"/>
        </w:rPr>
      </w:pPr>
    </w:p>
    <w:p w14:paraId="744773FA" w14:textId="77777777" w:rsidR="00806B2A" w:rsidRPr="004B2A73" w:rsidRDefault="00806B2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lastRenderedPageBreak/>
        <w:t>Nearly all the contracts reviewed include operational performance obligations</w:t>
      </w:r>
      <w:r w:rsidRPr="004B2A73">
        <w:rPr>
          <w:rFonts w:ascii="Calibri" w:hAnsi="Calibri"/>
          <w:sz w:val="24"/>
        </w:rPr>
        <w:t xml:space="preserve"> expressed in terms of (i) hours of operation, (ii) crane productivity (ranging from 9 to 25 moves per hour), (iii) handling equipment availability (greater than 90</w:t>
      </w:r>
      <w:r w:rsidR="0020092B" w:rsidRPr="004B2A73">
        <w:rPr>
          <w:rFonts w:ascii="Calibri" w:hAnsi="Calibri"/>
          <w:sz w:val="24"/>
        </w:rPr>
        <w:t xml:space="preserve"> percent</w:t>
      </w:r>
      <w:r w:rsidRPr="004B2A73">
        <w:rPr>
          <w:rFonts w:ascii="Calibri" w:hAnsi="Calibri"/>
          <w:sz w:val="24"/>
        </w:rPr>
        <w:t>), (iv) average truck turnaround time (</w:t>
      </w:r>
      <w:r w:rsidR="001448D9" w:rsidRPr="004B2A73">
        <w:rPr>
          <w:rFonts w:ascii="Calibri" w:hAnsi="Calibri"/>
          <w:sz w:val="24"/>
        </w:rPr>
        <w:t xml:space="preserve">for instance, </w:t>
      </w:r>
      <w:r w:rsidRPr="004B2A73">
        <w:rPr>
          <w:rFonts w:ascii="Calibri" w:hAnsi="Calibri"/>
          <w:sz w:val="24"/>
        </w:rPr>
        <w:t xml:space="preserve">less than 45 minutes for a single container transaction), and (v) throughput capacity. In all except one case, failure to achieve the targets does not </w:t>
      </w:r>
      <w:r w:rsidR="00804EA8" w:rsidRPr="004B2A73">
        <w:rPr>
          <w:rFonts w:ascii="Calibri" w:hAnsi="Calibri"/>
          <w:sz w:val="24"/>
        </w:rPr>
        <w:t xml:space="preserve">result in </w:t>
      </w:r>
      <w:r w:rsidRPr="004B2A73">
        <w:rPr>
          <w:rFonts w:ascii="Calibri" w:hAnsi="Calibri"/>
          <w:sz w:val="24"/>
        </w:rPr>
        <w:t>a financial penalty</w:t>
      </w:r>
      <w:r w:rsidR="00804EA8" w:rsidRPr="004B2A73">
        <w:rPr>
          <w:rFonts w:ascii="Calibri" w:hAnsi="Calibri"/>
          <w:sz w:val="24"/>
        </w:rPr>
        <w:t>,</w:t>
      </w:r>
      <w:r w:rsidRPr="004B2A73">
        <w:rPr>
          <w:rFonts w:ascii="Calibri" w:hAnsi="Calibri"/>
          <w:sz w:val="24"/>
        </w:rPr>
        <w:t xml:space="preserve"> </w:t>
      </w:r>
      <w:r w:rsidR="00804EA8" w:rsidRPr="004B2A73">
        <w:rPr>
          <w:rFonts w:ascii="Calibri" w:hAnsi="Calibri"/>
          <w:sz w:val="24"/>
        </w:rPr>
        <w:t>al</w:t>
      </w:r>
      <w:r w:rsidRPr="004B2A73">
        <w:rPr>
          <w:rFonts w:ascii="Calibri" w:hAnsi="Calibri"/>
          <w:sz w:val="24"/>
        </w:rPr>
        <w:t xml:space="preserve">though </w:t>
      </w:r>
      <w:r w:rsidR="0020092B" w:rsidRPr="004B2A73">
        <w:rPr>
          <w:rFonts w:ascii="Calibri" w:hAnsi="Calibri"/>
          <w:sz w:val="24"/>
        </w:rPr>
        <w:t>the concessionaire may consider prolonged underperformance as a default event</w:t>
      </w:r>
      <w:r w:rsidRPr="004B2A73">
        <w:rPr>
          <w:rFonts w:ascii="Calibri" w:hAnsi="Calibri"/>
          <w:sz w:val="24"/>
        </w:rPr>
        <w:t>. There are</w:t>
      </w:r>
      <w:r w:rsidR="00804EA8" w:rsidRPr="004B2A73">
        <w:rPr>
          <w:rFonts w:ascii="Calibri" w:hAnsi="Calibri"/>
          <w:sz w:val="24"/>
        </w:rPr>
        <w:t>,</w:t>
      </w:r>
      <w:r w:rsidRPr="004B2A73">
        <w:rPr>
          <w:rFonts w:ascii="Calibri" w:hAnsi="Calibri"/>
          <w:sz w:val="24"/>
        </w:rPr>
        <w:t xml:space="preserve"> however</w:t>
      </w:r>
      <w:r w:rsidR="00804EA8" w:rsidRPr="004B2A73">
        <w:rPr>
          <w:rFonts w:ascii="Calibri" w:hAnsi="Calibri"/>
          <w:sz w:val="24"/>
        </w:rPr>
        <w:t>,</w:t>
      </w:r>
      <w:r w:rsidRPr="004B2A73">
        <w:rPr>
          <w:rFonts w:ascii="Calibri" w:hAnsi="Calibri"/>
          <w:sz w:val="24"/>
        </w:rPr>
        <w:t xml:space="preserve"> several issues related to these indicators: the targets are set too low, the ability and capacity of the authorities to monitor achievements is questionable at best, and tools to leverage these improvements into better performance are missing. Due to these deficiencies, and because the concessionaires’ revenues are linked to throughput handled at the terminal creating an intrinsic incentive to improve performance, the indicators, as </w:t>
      </w:r>
      <w:r w:rsidR="008076BA" w:rsidRPr="004B2A73">
        <w:rPr>
          <w:rFonts w:ascii="Calibri" w:hAnsi="Calibri"/>
          <w:sz w:val="24"/>
        </w:rPr>
        <w:t>defined,</w:t>
      </w:r>
      <w:r w:rsidRPr="004B2A73">
        <w:rPr>
          <w:rFonts w:ascii="Calibri" w:hAnsi="Calibri"/>
          <w:sz w:val="24"/>
        </w:rPr>
        <w:t xml:space="preserve"> are not very meaningful.   </w:t>
      </w:r>
    </w:p>
    <w:p w14:paraId="74394271" w14:textId="77777777" w:rsidR="00B65D4F" w:rsidRPr="004B2A73" w:rsidRDefault="00B65D4F" w:rsidP="00B65D4F">
      <w:pPr>
        <w:pStyle w:val="ListParagraph"/>
        <w:spacing w:after="0"/>
        <w:ind w:left="0"/>
        <w:rPr>
          <w:rFonts w:ascii="Calibri" w:hAnsi="Calibri"/>
          <w:b/>
          <w:bCs/>
          <w:sz w:val="24"/>
        </w:rPr>
      </w:pPr>
    </w:p>
    <w:p w14:paraId="53B6D65F" w14:textId="77777777" w:rsidR="00806B2A" w:rsidRPr="004B2A73" w:rsidRDefault="00806B2A" w:rsidP="00E826B9">
      <w:pPr>
        <w:pStyle w:val="ListParagraph"/>
        <w:numPr>
          <w:ilvl w:val="0"/>
          <w:numId w:val="6"/>
        </w:numPr>
        <w:spacing w:after="0"/>
        <w:ind w:left="0" w:firstLine="0"/>
        <w:jc w:val="both"/>
        <w:rPr>
          <w:rFonts w:ascii="Calibri" w:hAnsi="Calibri"/>
          <w:b/>
          <w:bCs/>
          <w:sz w:val="24"/>
        </w:rPr>
      </w:pPr>
      <w:r w:rsidRPr="004B2A73">
        <w:rPr>
          <w:rFonts w:ascii="Calibri" w:hAnsi="Calibri"/>
          <w:b/>
          <w:bCs/>
          <w:sz w:val="24"/>
        </w:rPr>
        <w:t>In the majority of the agreements a minimum through</w:t>
      </w:r>
      <w:r w:rsidR="00804EA8" w:rsidRPr="004B2A73">
        <w:rPr>
          <w:rFonts w:ascii="Calibri" w:hAnsi="Calibri"/>
          <w:b/>
          <w:bCs/>
          <w:sz w:val="24"/>
        </w:rPr>
        <w:t>p</w:t>
      </w:r>
      <w:r w:rsidRPr="004B2A73">
        <w:rPr>
          <w:rFonts w:ascii="Calibri" w:hAnsi="Calibri"/>
          <w:b/>
          <w:bCs/>
          <w:sz w:val="24"/>
        </w:rPr>
        <w:t>ut guarantee is required and expressed as a volume commitment</w:t>
      </w:r>
      <w:r w:rsidR="00804EA8" w:rsidRPr="004B2A73">
        <w:rPr>
          <w:rFonts w:ascii="Calibri" w:hAnsi="Calibri"/>
          <w:b/>
          <w:bCs/>
          <w:sz w:val="24"/>
        </w:rPr>
        <w:t>,</w:t>
      </w:r>
      <w:r w:rsidRPr="004B2A73">
        <w:rPr>
          <w:rFonts w:ascii="Calibri" w:hAnsi="Calibri"/>
          <w:b/>
          <w:bCs/>
          <w:sz w:val="24"/>
        </w:rPr>
        <w:t xml:space="preserve"> </w:t>
      </w:r>
      <w:r w:rsidRPr="004B2A73">
        <w:rPr>
          <w:rFonts w:ascii="Calibri" w:hAnsi="Calibri"/>
          <w:sz w:val="24"/>
        </w:rPr>
        <w:t>where the volume</w:t>
      </w:r>
      <w:r w:rsidR="00804EA8" w:rsidRPr="004B2A73">
        <w:rPr>
          <w:rFonts w:ascii="Calibri" w:hAnsi="Calibri"/>
          <w:sz w:val="24"/>
        </w:rPr>
        <w:t xml:space="preserve"> goals</w:t>
      </w:r>
      <w:r w:rsidRPr="004B2A73">
        <w:rPr>
          <w:rFonts w:ascii="Calibri" w:hAnsi="Calibri"/>
          <w:sz w:val="24"/>
        </w:rPr>
        <w:t xml:space="preserve"> are calibrated to the size, attractiveness of the terminal and its growth prospects.  In the case of new terminal assets, the volumes are expected to double in six to eight years</w:t>
      </w:r>
      <w:r w:rsidR="00804EA8" w:rsidRPr="004B2A73">
        <w:rPr>
          <w:rFonts w:ascii="Calibri" w:hAnsi="Calibri"/>
          <w:sz w:val="24"/>
        </w:rPr>
        <w:t xml:space="preserve">, </w:t>
      </w:r>
      <w:r w:rsidRPr="004B2A73">
        <w:rPr>
          <w:rFonts w:ascii="Calibri" w:hAnsi="Calibri"/>
          <w:sz w:val="24"/>
        </w:rPr>
        <w:t xml:space="preserve">indicating the rather optimistic outlook on the growth potential of the West African container market. It is only here that failure to meet the agreed traffic targets has a financial consequence for the concessionaire and we see penalties in the form of compensation to the </w:t>
      </w:r>
      <w:r w:rsidR="008076BA" w:rsidRPr="004B2A73">
        <w:rPr>
          <w:rFonts w:ascii="Calibri" w:hAnsi="Calibri"/>
          <w:sz w:val="24"/>
        </w:rPr>
        <w:t>port authority</w:t>
      </w:r>
      <w:r w:rsidRPr="004B2A73">
        <w:rPr>
          <w:rFonts w:ascii="Calibri" w:hAnsi="Calibri"/>
          <w:sz w:val="24"/>
        </w:rPr>
        <w:t xml:space="preserve">. </w:t>
      </w:r>
      <w:r w:rsidR="00891460" w:rsidRPr="004B2A73">
        <w:rPr>
          <w:rFonts w:ascii="Calibri" w:hAnsi="Calibri"/>
          <w:sz w:val="24"/>
        </w:rPr>
        <w:t>T</w:t>
      </w:r>
      <w:r w:rsidR="00823313" w:rsidRPr="004B2A73">
        <w:rPr>
          <w:rFonts w:ascii="Calibri" w:hAnsi="Calibri"/>
          <w:sz w:val="24"/>
        </w:rPr>
        <w:t>h</w:t>
      </w:r>
      <w:r w:rsidR="003345FE" w:rsidRPr="004B2A73">
        <w:rPr>
          <w:rFonts w:ascii="Calibri" w:hAnsi="Calibri"/>
          <w:sz w:val="24"/>
        </w:rPr>
        <w:t>ese throughput or volume guarantees are misleading as the</w:t>
      </w:r>
      <w:r w:rsidR="00823313" w:rsidRPr="004B2A73">
        <w:rPr>
          <w:rFonts w:ascii="Calibri" w:hAnsi="Calibri"/>
          <w:sz w:val="24"/>
        </w:rPr>
        <w:t xml:space="preserve">y </w:t>
      </w:r>
      <w:r w:rsidR="003345FE" w:rsidRPr="004B2A73">
        <w:rPr>
          <w:rFonts w:ascii="Calibri" w:hAnsi="Calibri"/>
          <w:sz w:val="24"/>
        </w:rPr>
        <w:t xml:space="preserve">are </w:t>
      </w:r>
      <w:r w:rsidR="00891460" w:rsidRPr="004B2A73">
        <w:rPr>
          <w:rFonts w:ascii="Calibri" w:hAnsi="Calibri"/>
          <w:sz w:val="24"/>
        </w:rPr>
        <w:t>in reality revenue guarantees and should be expressed accordingly.  An indep</w:t>
      </w:r>
      <w:r w:rsidR="00AE4DB0" w:rsidRPr="004B2A73">
        <w:rPr>
          <w:rFonts w:ascii="Calibri" w:hAnsi="Calibri"/>
          <w:sz w:val="24"/>
        </w:rPr>
        <w:t xml:space="preserve">endent operator has no way of controlling or guaranteeing traffic, </w:t>
      </w:r>
      <w:r w:rsidR="00823313" w:rsidRPr="004B2A73">
        <w:rPr>
          <w:rFonts w:ascii="Calibri" w:hAnsi="Calibri"/>
          <w:sz w:val="24"/>
        </w:rPr>
        <w:t xml:space="preserve">and </w:t>
      </w:r>
      <w:r w:rsidR="00AE4DB0" w:rsidRPr="004B2A73">
        <w:rPr>
          <w:rFonts w:ascii="Calibri" w:hAnsi="Calibri"/>
          <w:sz w:val="24"/>
        </w:rPr>
        <w:t xml:space="preserve">even operators linked with shipping lines do not have a say on line policies. Such guarantees </w:t>
      </w:r>
      <w:r w:rsidR="00823313" w:rsidRPr="004B2A73">
        <w:rPr>
          <w:rFonts w:ascii="Calibri" w:hAnsi="Calibri"/>
          <w:sz w:val="24"/>
        </w:rPr>
        <w:t xml:space="preserve">then </w:t>
      </w:r>
      <w:r w:rsidR="00AE4DB0" w:rsidRPr="004B2A73">
        <w:rPr>
          <w:rFonts w:ascii="Calibri" w:hAnsi="Calibri"/>
          <w:sz w:val="24"/>
        </w:rPr>
        <w:t xml:space="preserve">translate into an operator commitment to pay a minimum, floor amount to the conceding authority </w:t>
      </w:r>
      <w:r w:rsidR="00823313" w:rsidRPr="004B2A73">
        <w:rPr>
          <w:rFonts w:ascii="Calibri" w:hAnsi="Calibri"/>
          <w:sz w:val="24"/>
        </w:rPr>
        <w:t xml:space="preserve">which is </w:t>
      </w:r>
      <w:r w:rsidR="00AE4DB0" w:rsidRPr="004B2A73">
        <w:rPr>
          <w:rFonts w:ascii="Calibri" w:hAnsi="Calibri"/>
          <w:sz w:val="24"/>
        </w:rPr>
        <w:t xml:space="preserve">on top of the fixed lease value, typically calculated as a royalty per TEU. </w:t>
      </w:r>
      <w:r w:rsidR="00CD2066" w:rsidRPr="004B2A73">
        <w:rPr>
          <w:rFonts w:ascii="Calibri" w:hAnsi="Calibri"/>
          <w:sz w:val="24"/>
        </w:rPr>
        <w:t xml:space="preserve">So the volume guarantee </w:t>
      </w:r>
      <w:r w:rsidR="00461C96" w:rsidRPr="004B2A73">
        <w:rPr>
          <w:rFonts w:ascii="Calibri" w:hAnsi="Calibri"/>
          <w:sz w:val="24"/>
        </w:rPr>
        <w:t>boils down to a floor royalty payment</w:t>
      </w:r>
      <w:r w:rsidR="008B119B" w:rsidRPr="004B2A73">
        <w:rPr>
          <w:rFonts w:ascii="Calibri" w:hAnsi="Calibri"/>
          <w:sz w:val="24"/>
        </w:rPr>
        <w:t>. It w</w:t>
      </w:r>
      <w:r w:rsidR="00461C96" w:rsidRPr="004B2A73">
        <w:rPr>
          <w:rFonts w:ascii="Calibri" w:hAnsi="Calibri"/>
          <w:sz w:val="24"/>
        </w:rPr>
        <w:t xml:space="preserve">ould be better </w:t>
      </w:r>
      <w:r w:rsidR="00CC4019" w:rsidRPr="004B2A73">
        <w:rPr>
          <w:rFonts w:ascii="Calibri" w:hAnsi="Calibri"/>
          <w:sz w:val="24"/>
        </w:rPr>
        <w:t xml:space="preserve">for the conceding authority </w:t>
      </w:r>
      <w:r w:rsidR="00461C96" w:rsidRPr="004B2A73">
        <w:rPr>
          <w:rFonts w:ascii="Calibri" w:hAnsi="Calibri"/>
          <w:sz w:val="24"/>
        </w:rPr>
        <w:t xml:space="preserve">to express it as such and avoid any possible litigation related to </w:t>
      </w:r>
      <w:r w:rsidR="008B119B" w:rsidRPr="004B2A73">
        <w:rPr>
          <w:rFonts w:ascii="Calibri" w:hAnsi="Calibri"/>
          <w:sz w:val="24"/>
        </w:rPr>
        <w:t xml:space="preserve">lower traffic volumes due to </w:t>
      </w:r>
      <w:r w:rsidR="00CC4019" w:rsidRPr="004B2A73">
        <w:rPr>
          <w:rFonts w:ascii="Calibri" w:hAnsi="Calibri"/>
          <w:sz w:val="24"/>
        </w:rPr>
        <w:t xml:space="preserve">extraordinary </w:t>
      </w:r>
      <w:r w:rsidR="008B119B" w:rsidRPr="004B2A73">
        <w:rPr>
          <w:rFonts w:ascii="Calibri" w:hAnsi="Calibri"/>
          <w:sz w:val="24"/>
        </w:rPr>
        <w:t xml:space="preserve">circumstances. </w:t>
      </w:r>
      <w:r w:rsidR="00C51C6D" w:rsidRPr="004B2A73">
        <w:rPr>
          <w:rFonts w:ascii="Calibri" w:hAnsi="Calibri"/>
          <w:sz w:val="24"/>
        </w:rPr>
        <w:t xml:space="preserve"> </w:t>
      </w:r>
      <w:r w:rsidR="00461C96" w:rsidRPr="004B2A73">
        <w:rPr>
          <w:rFonts w:ascii="Calibri" w:hAnsi="Calibri"/>
          <w:sz w:val="24"/>
        </w:rPr>
        <w:t xml:space="preserve"> </w:t>
      </w:r>
    </w:p>
    <w:p w14:paraId="284AD4F4" w14:textId="77777777" w:rsidR="001448D9" w:rsidRPr="004B2A73" w:rsidRDefault="001448D9" w:rsidP="00CA040F">
      <w:pPr>
        <w:pStyle w:val="ListParagraph"/>
        <w:rPr>
          <w:rFonts w:ascii="Calibri" w:hAnsi="Calibri"/>
          <w:b/>
          <w:sz w:val="24"/>
        </w:rPr>
      </w:pPr>
    </w:p>
    <w:p w14:paraId="59D85155" w14:textId="39ABC8FA" w:rsidR="00806B2A" w:rsidRPr="004B2A73" w:rsidRDefault="00B47EB0"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Despite a mélange of stated objectives, </w:t>
      </w:r>
      <w:r w:rsidR="00806B2A" w:rsidRPr="004B2A73">
        <w:rPr>
          <w:rFonts w:ascii="Calibri" w:hAnsi="Calibri"/>
          <w:b/>
          <w:sz w:val="24"/>
        </w:rPr>
        <w:t xml:space="preserve">concession contracts in West Africa </w:t>
      </w:r>
      <w:r w:rsidR="000E227E" w:rsidRPr="004B2A73">
        <w:rPr>
          <w:rFonts w:ascii="Calibri" w:hAnsi="Calibri"/>
          <w:b/>
          <w:sz w:val="24"/>
        </w:rPr>
        <w:t xml:space="preserve">seem to be </w:t>
      </w:r>
      <w:r w:rsidRPr="004B2A73">
        <w:rPr>
          <w:rFonts w:ascii="Calibri" w:hAnsi="Calibri"/>
          <w:b/>
          <w:sz w:val="24"/>
        </w:rPr>
        <w:t xml:space="preserve">awarded </w:t>
      </w:r>
      <w:r w:rsidR="002A476E">
        <w:rPr>
          <w:rFonts w:ascii="Calibri" w:hAnsi="Calibri"/>
          <w:b/>
          <w:sz w:val="24"/>
        </w:rPr>
        <w:t>essentially</w:t>
      </w:r>
      <w:r w:rsidR="002A476E" w:rsidRPr="004B2A73">
        <w:rPr>
          <w:rFonts w:ascii="Calibri" w:hAnsi="Calibri"/>
          <w:b/>
          <w:sz w:val="24"/>
        </w:rPr>
        <w:t xml:space="preserve"> </w:t>
      </w:r>
      <w:r w:rsidRPr="004B2A73">
        <w:rPr>
          <w:rFonts w:ascii="Calibri" w:hAnsi="Calibri"/>
          <w:b/>
          <w:sz w:val="24"/>
        </w:rPr>
        <w:t>on</w:t>
      </w:r>
      <w:r w:rsidR="00806B2A" w:rsidRPr="004B2A73">
        <w:rPr>
          <w:rFonts w:ascii="Calibri" w:hAnsi="Calibri"/>
          <w:b/>
          <w:sz w:val="24"/>
        </w:rPr>
        <w:t xml:space="preserve"> the value of the financial package offered by the bidder. </w:t>
      </w:r>
      <w:r w:rsidR="00806B2A" w:rsidRPr="004B2A73">
        <w:rPr>
          <w:rFonts w:ascii="Calibri" w:hAnsi="Calibri"/>
          <w:sz w:val="24"/>
        </w:rPr>
        <w:t>The</w:t>
      </w:r>
      <w:r w:rsidR="009806A1" w:rsidRPr="004B2A73">
        <w:rPr>
          <w:rFonts w:ascii="Calibri" w:hAnsi="Calibri"/>
          <w:sz w:val="24"/>
        </w:rPr>
        <w:t xml:space="preserve"> invi</w:t>
      </w:r>
      <w:r w:rsidR="00806B2A" w:rsidRPr="004B2A73">
        <w:rPr>
          <w:rFonts w:ascii="Calibri" w:hAnsi="Calibri"/>
          <w:sz w:val="24"/>
        </w:rPr>
        <w:t>tation</w:t>
      </w:r>
      <w:r w:rsidR="00D54309" w:rsidRPr="004B2A73">
        <w:rPr>
          <w:rFonts w:ascii="Calibri" w:hAnsi="Calibri"/>
          <w:sz w:val="24"/>
        </w:rPr>
        <w:t>s</w:t>
      </w:r>
      <w:r w:rsidR="00806B2A" w:rsidRPr="004B2A73">
        <w:rPr>
          <w:rFonts w:ascii="Calibri" w:hAnsi="Calibri"/>
          <w:sz w:val="24"/>
        </w:rPr>
        <w:t xml:space="preserve"> to tender for a terminal concession</w:t>
      </w:r>
      <w:r w:rsidR="00D54309" w:rsidRPr="004B2A73">
        <w:rPr>
          <w:rFonts w:ascii="Calibri" w:hAnsi="Calibri"/>
          <w:sz w:val="24"/>
        </w:rPr>
        <w:t xml:space="preserve"> nearly always dwell on </w:t>
      </w:r>
      <w:r w:rsidR="00806B2A" w:rsidRPr="004B2A73">
        <w:rPr>
          <w:rFonts w:ascii="Calibri" w:hAnsi="Calibri"/>
          <w:sz w:val="24"/>
        </w:rPr>
        <w:t xml:space="preserve">the </w:t>
      </w:r>
      <w:r w:rsidR="00466895" w:rsidRPr="004B2A73">
        <w:rPr>
          <w:rFonts w:ascii="Calibri" w:hAnsi="Calibri"/>
          <w:sz w:val="24"/>
        </w:rPr>
        <w:t xml:space="preserve">government’s </w:t>
      </w:r>
      <w:r w:rsidR="00806B2A" w:rsidRPr="004B2A73">
        <w:rPr>
          <w:rFonts w:ascii="Calibri" w:hAnsi="Calibri"/>
          <w:sz w:val="24"/>
        </w:rPr>
        <w:t xml:space="preserve">desire to implement sector reforms and modernize the country’s gateway port. In nearly all cases, the conceding authority </w:t>
      </w:r>
      <w:r w:rsidR="00EE46FD" w:rsidRPr="004B2A73">
        <w:rPr>
          <w:rFonts w:ascii="Calibri" w:hAnsi="Calibri"/>
          <w:sz w:val="24"/>
        </w:rPr>
        <w:t xml:space="preserve">seeks </w:t>
      </w:r>
      <w:r w:rsidR="00806B2A" w:rsidRPr="004B2A73">
        <w:rPr>
          <w:rFonts w:ascii="Calibri" w:hAnsi="Calibri"/>
          <w:sz w:val="24"/>
        </w:rPr>
        <w:t xml:space="preserve">success through contractually agreed improvements in operational performance </w:t>
      </w:r>
      <w:r w:rsidR="00A35F9B" w:rsidRPr="004B2A73">
        <w:rPr>
          <w:rFonts w:ascii="Calibri" w:hAnsi="Calibri"/>
          <w:sz w:val="24"/>
        </w:rPr>
        <w:t>and t</w:t>
      </w:r>
      <w:r w:rsidR="00806B2A" w:rsidRPr="004B2A73">
        <w:rPr>
          <w:rFonts w:ascii="Calibri" w:hAnsi="Calibri"/>
          <w:sz w:val="24"/>
        </w:rPr>
        <w:t>he technical requirements to deliver improved performance are sometimes part of the qualifications for interested bidders. An associated motiv</w:t>
      </w:r>
      <w:r w:rsidR="00A35F9B" w:rsidRPr="004B2A73">
        <w:rPr>
          <w:rFonts w:ascii="Calibri" w:hAnsi="Calibri"/>
          <w:sz w:val="24"/>
        </w:rPr>
        <w:t>e</w:t>
      </w:r>
      <w:r w:rsidR="00806B2A" w:rsidRPr="004B2A73">
        <w:rPr>
          <w:rFonts w:ascii="Calibri" w:hAnsi="Calibri"/>
          <w:sz w:val="24"/>
        </w:rPr>
        <w:t xml:space="preserve"> for inviting the private sector is to develop the local port as a regional “hub”- throughput targets and agreed investments in capacity enhancements are expected to make the port more attractive to international clients and help fulfil</w:t>
      </w:r>
      <w:r w:rsidR="00804EA8" w:rsidRPr="004B2A73">
        <w:rPr>
          <w:rFonts w:ascii="Calibri" w:hAnsi="Calibri"/>
          <w:sz w:val="24"/>
        </w:rPr>
        <w:t>l</w:t>
      </w:r>
      <w:r w:rsidR="00806B2A" w:rsidRPr="004B2A73">
        <w:rPr>
          <w:rFonts w:ascii="Calibri" w:hAnsi="Calibri"/>
          <w:sz w:val="24"/>
        </w:rPr>
        <w:t xml:space="preserve"> these aspirations. Concerns for the quality of the water and air in the port’s vicinity, and targets for the employment and training of locals are also occasionally mentioned in the contract documents. Irrespective of the specific combination of criteria stipulated in the bid documents, </w:t>
      </w:r>
      <w:r w:rsidR="00806B2A" w:rsidRPr="004B2A73">
        <w:rPr>
          <w:rFonts w:ascii="Calibri" w:hAnsi="Calibri"/>
          <w:sz w:val="24"/>
        </w:rPr>
        <w:lastRenderedPageBreak/>
        <w:t xml:space="preserve">nearly all concessions reviewed have been awarded </w:t>
      </w:r>
      <w:r w:rsidR="002A035F" w:rsidRPr="004B2A73">
        <w:rPr>
          <w:rFonts w:ascii="Calibri" w:hAnsi="Calibri"/>
          <w:sz w:val="24"/>
        </w:rPr>
        <w:t>purely o</w:t>
      </w:r>
      <w:r w:rsidR="00806B2A" w:rsidRPr="004B2A73">
        <w:rPr>
          <w:rFonts w:ascii="Calibri" w:hAnsi="Calibri"/>
          <w:sz w:val="24"/>
        </w:rPr>
        <w:t>n the value of the financial package offered by the bidders. The main concern of the authorities appears to be maximi</w:t>
      </w:r>
      <w:r w:rsidR="004107B6" w:rsidRPr="004B2A73">
        <w:rPr>
          <w:rFonts w:ascii="Calibri" w:hAnsi="Calibri"/>
          <w:sz w:val="24"/>
        </w:rPr>
        <w:t>z</w:t>
      </w:r>
      <w:r w:rsidR="00806B2A" w:rsidRPr="004B2A73">
        <w:rPr>
          <w:rFonts w:ascii="Calibri" w:hAnsi="Calibri"/>
          <w:sz w:val="24"/>
        </w:rPr>
        <w:t xml:space="preserve">ation of the dedicated revenue stream from the concession contract to help meet financial gaps in port and government budgets. </w:t>
      </w:r>
    </w:p>
    <w:p w14:paraId="5AB508A9" w14:textId="77777777" w:rsidR="00AD2E83" w:rsidRPr="004B2A73" w:rsidRDefault="00AD2E83" w:rsidP="00AD2E83">
      <w:pPr>
        <w:pStyle w:val="NoSpacing"/>
        <w:rPr>
          <w:rFonts w:ascii="Calibri" w:hAnsi="Calibri"/>
        </w:rPr>
      </w:pPr>
    </w:p>
    <w:p w14:paraId="6E1A32FA" w14:textId="1077D8F8" w:rsidR="00AD2E83" w:rsidRPr="004B2A73" w:rsidRDefault="00F52A8D" w:rsidP="000A7291">
      <w:pPr>
        <w:pStyle w:val="Numbered"/>
        <w:ind w:left="0" w:firstLine="0"/>
        <w:jc w:val="both"/>
        <w:rPr>
          <w:rFonts w:ascii="Calibri" w:hAnsi="Calibri"/>
        </w:rPr>
      </w:pPr>
      <w:r w:rsidRPr="004B2A73">
        <w:rPr>
          <w:rFonts w:ascii="Calibri" w:hAnsi="Calibri"/>
          <w:b/>
        </w:rPr>
        <w:t>While f</w:t>
      </w:r>
      <w:r w:rsidR="00AD2E83" w:rsidRPr="004B2A73">
        <w:rPr>
          <w:rFonts w:ascii="Calibri" w:hAnsi="Calibri"/>
          <w:b/>
        </w:rPr>
        <w:t xml:space="preserve">inancial terms for concession contracts are </w:t>
      </w:r>
      <w:r w:rsidR="000E227E" w:rsidRPr="004B2A73">
        <w:rPr>
          <w:rFonts w:ascii="Calibri" w:hAnsi="Calibri"/>
          <w:b/>
        </w:rPr>
        <w:t xml:space="preserve">not public documents, </w:t>
      </w:r>
      <w:r w:rsidR="005A362D" w:rsidRPr="004B2A73">
        <w:rPr>
          <w:rFonts w:ascii="Calibri" w:hAnsi="Calibri"/>
          <w:b/>
        </w:rPr>
        <w:t xml:space="preserve">information </w:t>
      </w:r>
      <w:r w:rsidR="00FA22FB" w:rsidRPr="004B2A73">
        <w:rPr>
          <w:rFonts w:ascii="Calibri" w:hAnsi="Calibri"/>
          <w:b/>
        </w:rPr>
        <w:t xml:space="preserve">available </w:t>
      </w:r>
      <w:r w:rsidR="005A362D" w:rsidRPr="004B2A73">
        <w:rPr>
          <w:rFonts w:ascii="Calibri" w:hAnsi="Calibri"/>
          <w:b/>
        </w:rPr>
        <w:t xml:space="preserve">publicly </w:t>
      </w:r>
      <w:r w:rsidR="00FA22FB" w:rsidRPr="004B2A73">
        <w:rPr>
          <w:rFonts w:ascii="Calibri" w:hAnsi="Calibri"/>
          <w:b/>
        </w:rPr>
        <w:t>supports the observation that ma</w:t>
      </w:r>
      <w:r w:rsidR="00AD2E83" w:rsidRPr="004B2A73">
        <w:rPr>
          <w:rFonts w:ascii="Calibri" w:hAnsi="Calibri"/>
          <w:b/>
        </w:rPr>
        <w:t>ximizing Government revenue</w:t>
      </w:r>
      <w:r w:rsidR="00FA22FB" w:rsidRPr="004B2A73">
        <w:rPr>
          <w:rFonts w:ascii="Calibri" w:hAnsi="Calibri"/>
          <w:b/>
        </w:rPr>
        <w:t>s</w:t>
      </w:r>
      <w:r w:rsidR="00AD2E83" w:rsidRPr="004B2A73">
        <w:rPr>
          <w:rFonts w:ascii="Calibri" w:hAnsi="Calibri"/>
          <w:b/>
        </w:rPr>
        <w:t xml:space="preserve"> is the primary criteria</w:t>
      </w:r>
      <w:r w:rsidR="00FA22FB" w:rsidRPr="004B2A73">
        <w:rPr>
          <w:rFonts w:ascii="Calibri" w:hAnsi="Calibri"/>
          <w:b/>
        </w:rPr>
        <w:t xml:space="preserve"> for contract award</w:t>
      </w:r>
      <w:r w:rsidR="00AD2E83" w:rsidRPr="004B2A73">
        <w:rPr>
          <w:rFonts w:ascii="Calibri" w:hAnsi="Calibri"/>
          <w:b/>
        </w:rPr>
        <w:t>.</w:t>
      </w:r>
      <w:r w:rsidR="00AD2E83" w:rsidRPr="004B2A73">
        <w:rPr>
          <w:rFonts w:ascii="Calibri" w:hAnsi="Calibri"/>
        </w:rPr>
        <w:t xml:space="preserve"> </w:t>
      </w:r>
      <w:r w:rsidR="005A362D" w:rsidRPr="004B2A73">
        <w:rPr>
          <w:rFonts w:ascii="Calibri" w:hAnsi="Calibri"/>
        </w:rPr>
        <w:t xml:space="preserve"> </w:t>
      </w:r>
      <w:r w:rsidR="00AD2E83" w:rsidRPr="004B2A73">
        <w:rPr>
          <w:rFonts w:ascii="Calibri" w:hAnsi="Calibri"/>
        </w:rPr>
        <w:t>In Guinea, four TOC</w:t>
      </w:r>
      <w:r w:rsidR="005A362D" w:rsidRPr="004B2A73">
        <w:rPr>
          <w:rFonts w:ascii="Calibri" w:hAnsi="Calibri"/>
        </w:rPr>
        <w:t>s</w:t>
      </w:r>
      <w:r w:rsidR="00AD2E83" w:rsidRPr="004B2A73">
        <w:rPr>
          <w:rFonts w:ascii="Calibri" w:hAnsi="Calibri"/>
        </w:rPr>
        <w:t xml:space="preserve"> submitted proposals for the Conakry container terminal: BAL, APMT, GETMA and TCB</w:t>
      </w:r>
      <w:r w:rsidR="00466914">
        <w:rPr>
          <w:rFonts w:ascii="Calibri" w:hAnsi="Calibri"/>
        </w:rPr>
        <w:t xml:space="preserve"> (Ternimal de contenidors de Barcelona)</w:t>
      </w:r>
      <w:r w:rsidR="00AD2E83" w:rsidRPr="004B2A73">
        <w:rPr>
          <w:rFonts w:ascii="Calibri" w:hAnsi="Calibri"/>
        </w:rPr>
        <w:t>/ Afrimarine. On the technical criteria, the ranking was GETMA, BAL, TCB / Afrimarine and APMT</w:t>
      </w:r>
      <w:r w:rsidR="005A362D" w:rsidRPr="004B2A73">
        <w:rPr>
          <w:rFonts w:ascii="Calibri" w:hAnsi="Calibri"/>
        </w:rPr>
        <w:t>, in that order.</w:t>
      </w:r>
      <w:r w:rsidR="00AD2E83" w:rsidRPr="004B2A73">
        <w:rPr>
          <w:rFonts w:ascii="Calibri" w:hAnsi="Calibri"/>
        </w:rPr>
        <w:t xml:space="preserve"> On the financial criteria, the ranking was GETMA, APMT, BAL and TCB Afrimarine. GETMA </w:t>
      </w:r>
      <w:r w:rsidR="005D3B06" w:rsidRPr="004B2A73">
        <w:rPr>
          <w:rFonts w:ascii="Calibri" w:hAnsi="Calibri"/>
        </w:rPr>
        <w:t>offered t</w:t>
      </w:r>
      <w:r w:rsidR="00AD2E83" w:rsidRPr="004B2A73">
        <w:rPr>
          <w:rFonts w:ascii="Calibri" w:hAnsi="Calibri"/>
        </w:rPr>
        <w:t>he highest entry ticket</w:t>
      </w:r>
      <w:r w:rsidR="005D3B06" w:rsidRPr="004B2A73">
        <w:rPr>
          <w:rFonts w:ascii="Calibri" w:hAnsi="Calibri"/>
        </w:rPr>
        <w:t xml:space="preserve"> at</w:t>
      </w:r>
      <w:r w:rsidR="00AD2E83" w:rsidRPr="004B2A73">
        <w:rPr>
          <w:rFonts w:ascii="Calibri" w:hAnsi="Calibri"/>
        </w:rPr>
        <w:t xml:space="preserve"> €15 million, while APMT, ranked </w:t>
      </w:r>
      <w:r w:rsidR="005D3B06" w:rsidRPr="004B2A73">
        <w:rPr>
          <w:rFonts w:ascii="Calibri" w:hAnsi="Calibri"/>
        </w:rPr>
        <w:t>next</w:t>
      </w:r>
      <w:r w:rsidR="00AD2E83" w:rsidRPr="004B2A73">
        <w:rPr>
          <w:rFonts w:ascii="Calibri" w:hAnsi="Calibri"/>
        </w:rPr>
        <w:t>, propos</w:t>
      </w:r>
      <w:r w:rsidR="005D3B06" w:rsidRPr="004B2A73">
        <w:rPr>
          <w:rFonts w:ascii="Calibri" w:hAnsi="Calibri"/>
        </w:rPr>
        <w:t xml:space="preserve">ed </w:t>
      </w:r>
      <w:r w:rsidR="00AD2E83" w:rsidRPr="004B2A73">
        <w:rPr>
          <w:rFonts w:ascii="Calibri" w:hAnsi="Calibri"/>
        </w:rPr>
        <w:t>€10 million</w:t>
      </w:r>
      <w:r w:rsidR="00AD2E83" w:rsidRPr="004B2A73">
        <w:rPr>
          <w:rStyle w:val="FootnoteReference"/>
          <w:rFonts w:ascii="Calibri" w:hAnsi="Calibri"/>
        </w:rPr>
        <w:footnoteReference w:id="36"/>
      </w:r>
      <w:r w:rsidR="00AD2E83" w:rsidRPr="004B2A73">
        <w:rPr>
          <w:rFonts w:ascii="Calibri" w:hAnsi="Calibri"/>
        </w:rPr>
        <w:t>. In Abidjan</w:t>
      </w:r>
      <w:r w:rsidR="00AD2E83" w:rsidRPr="004B2A73">
        <w:rPr>
          <w:rStyle w:val="FootnoteReference"/>
          <w:rFonts w:ascii="Calibri" w:hAnsi="Calibri"/>
        </w:rPr>
        <w:footnoteReference w:id="37"/>
      </w:r>
      <w:r w:rsidR="00AD2E83" w:rsidRPr="004B2A73">
        <w:rPr>
          <w:rFonts w:ascii="Calibri" w:hAnsi="Calibri"/>
        </w:rPr>
        <w:t xml:space="preserve">, </w:t>
      </w:r>
      <w:r w:rsidR="005D3B06" w:rsidRPr="004B2A73">
        <w:rPr>
          <w:rFonts w:ascii="Calibri" w:hAnsi="Calibri"/>
        </w:rPr>
        <w:t>t</w:t>
      </w:r>
      <w:r w:rsidR="00AD2E83" w:rsidRPr="004B2A73">
        <w:rPr>
          <w:rFonts w:ascii="Calibri" w:hAnsi="Calibri"/>
        </w:rPr>
        <w:t>he BAL APMT consortium proposed an entry ticket of €120 million, and a fixed annual fee of €22 million, higher than</w:t>
      </w:r>
      <w:r w:rsidR="00BA7734" w:rsidRPr="004B2A73">
        <w:rPr>
          <w:rFonts w:ascii="Calibri" w:hAnsi="Calibri"/>
        </w:rPr>
        <w:t>,</w:t>
      </w:r>
      <w:r w:rsidR="00AD2E83" w:rsidRPr="004B2A73">
        <w:rPr>
          <w:rFonts w:ascii="Calibri" w:hAnsi="Calibri"/>
        </w:rPr>
        <w:t xml:space="preserve"> for instance</w:t>
      </w:r>
      <w:r w:rsidR="00BA7734" w:rsidRPr="004B2A73">
        <w:rPr>
          <w:rFonts w:ascii="Calibri" w:hAnsi="Calibri"/>
        </w:rPr>
        <w:t>,</w:t>
      </w:r>
      <w:r w:rsidR="00AD2E83" w:rsidRPr="004B2A73">
        <w:rPr>
          <w:rFonts w:ascii="Calibri" w:hAnsi="Calibri"/>
        </w:rPr>
        <w:t xml:space="preserve"> the MSC-led consortium with respectively €80 million and €8 million (the financial terms for the CMA-CGM led consortium were not reported in the decision of the Public Procurement Authority, but reported in the shipping press</w:t>
      </w:r>
      <w:r w:rsidR="00AD2E83" w:rsidRPr="004B2A73">
        <w:rPr>
          <w:rStyle w:val="FootnoteReference"/>
          <w:rFonts w:ascii="Calibri" w:hAnsi="Calibri"/>
        </w:rPr>
        <w:footnoteReference w:id="38"/>
      </w:r>
      <w:r w:rsidR="00AD2E83" w:rsidRPr="004B2A73">
        <w:rPr>
          <w:rFonts w:ascii="Calibri" w:hAnsi="Calibri"/>
        </w:rPr>
        <w:t xml:space="preserve"> at respectively €76 million and €7.5 million). In Lagos, the concession of the Apapa container terminal granted to APMT was valued at $1.06 billion, far higher than the second bid, at $202 million, by ICTSI. </w:t>
      </w:r>
      <w:r w:rsidR="00BA7734" w:rsidRPr="004B2A73">
        <w:rPr>
          <w:rFonts w:ascii="Calibri" w:hAnsi="Calibri"/>
        </w:rPr>
        <w:t xml:space="preserve">In all cases, the award went to the highest bidder. </w:t>
      </w:r>
      <w:r w:rsidR="00AD2E83" w:rsidRPr="004B2A73">
        <w:rPr>
          <w:rFonts w:ascii="Calibri" w:hAnsi="Calibri"/>
        </w:rPr>
        <w:t xml:space="preserve">The </w:t>
      </w:r>
      <w:r w:rsidR="001C1363" w:rsidRPr="004B2A73">
        <w:rPr>
          <w:rFonts w:ascii="Calibri" w:hAnsi="Calibri"/>
        </w:rPr>
        <w:t xml:space="preserve">governments’ </w:t>
      </w:r>
      <w:r w:rsidR="00AD2E83" w:rsidRPr="004B2A73">
        <w:rPr>
          <w:rFonts w:ascii="Calibri" w:hAnsi="Calibri"/>
        </w:rPr>
        <w:t xml:space="preserve">emphasis on the financial terms </w:t>
      </w:r>
      <w:r w:rsidR="001C1363" w:rsidRPr="004B2A73">
        <w:rPr>
          <w:rFonts w:ascii="Calibri" w:hAnsi="Calibri"/>
        </w:rPr>
        <w:t>rather than tariffs to end users</w:t>
      </w:r>
      <w:r w:rsidR="00F63C94" w:rsidRPr="004B2A73">
        <w:rPr>
          <w:rFonts w:ascii="Calibri" w:hAnsi="Calibri"/>
        </w:rPr>
        <w:t xml:space="preserve"> or operational parameters </w:t>
      </w:r>
      <w:r w:rsidR="001A77A7" w:rsidRPr="004B2A73">
        <w:rPr>
          <w:rFonts w:ascii="Calibri" w:hAnsi="Calibri"/>
        </w:rPr>
        <w:t xml:space="preserve">feeds </w:t>
      </w:r>
      <w:r w:rsidR="001C1363" w:rsidRPr="004B2A73">
        <w:rPr>
          <w:rFonts w:ascii="Calibri" w:hAnsi="Calibri"/>
        </w:rPr>
        <w:t xml:space="preserve">into the </w:t>
      </w:r>
      <w:r w:rsidR="001A77A7" w:rsidRPr="004B2A73">
        <w:rPr>
          <w:rFonts w:ascii="Calibri" w:hAnsi="Calibri"/>
        </w:rPr>
        <w:t xml:space="preserve">continuance </w:t>
      </w:r>
      <w:r w:rsidR="00BA7734" w:rsidRPr="004B2A73">
        <w:rPr>
          <w:rFonts w:ascii="Calibri" w:hAnsi="Calibri"/>
        </w:rPr>
        <w:t>of</w:t>
      </w:r>
      <w:r w:rsidR="00AD2E83" w:rsidRPr="004B2A73">
        <w:rPr>
          <w:rFonts w:ascii="Calibri" w:hAnsi="Calibri"/>
        </w:rPr>
        <w:t xml:space="preserve"> high tariffs</w:t>
      </w:r>
      <w:r w:rsidR="00F63C94" w:rsidRPr="004B2A73">
        <w:rPr>
          <w:rFonts w:ascii="Calibri" w:hAnsi="Calibri"/>
        </w:rPr>
        <w:t xml:space="preserve"> which c</w:t>
      </w:r>
      <w:r w:rsidR="00AD2E83" w:rsidRPr="004B2A73">
        <w:rPr>
          <w:rFonts w:ascii="Calibri" w:hAnsi="Calibri"/>
        </w:rPr>
        <w:t>onsidering that a very large proportion of the container traffic is captive, shippers have little choice but to pay.</w:t>
      </w:r>
    </w:p>
    <w:p w14:paraId="7E229D1F" w14:textId="77777777" w:rsidR="00105611" w:rsidRPr="004B2A73" w:rsidRDefault="00105611" w:rsidP="00105611">
      <w:pPr>
        <w:pStyle w:val="ListParagraph"/>
        <w:spacing w:after="0"/>
        <w:ind w:left="0"/>
        <w:rPr>
          <w:rFonts w:ascii="Calibri" w:hAnsi="Calibri"/>
          <w:sz w:val="24"/>
        </w:rPr>
      </w:pPr>
    </w:p>
    <w:p w14:paraId="10F2BBA8" w14:textId="77777777" w:rsidR="00105611" w:rsidRPr="004B2A73" w:rsidRDefault="00105611"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w:t>
      </w:r>
      <w:r w:rsidR="00831C96" w:rsidRPr="004B2A73">
        <w:rPr>
          <w:rFonts w:ascii="Calibri" w:hAnsi="Calibri"/>
          <w:b/>
          <w:sz w:val="24"/>
        </w:rPr>
        <w:t xml:space="preserve">relative proportion of fixed fees and royalty payments varies </w:t>
      </w:r>
      <w:r w:rsidR="00173092" w:rsidRPr="004B2A73">
        <w:rPr>
          <w:rFonts w:ascii="Calibri" w:hAnsi="Calibri"/>
          <w:b/>
          <w:sz w:val="24"/>
        </w:rPr>
        <w:t xml:space="preserve">by contract </w:t>
      </w:r>
      <w:r w:rsidR="00831C96" w:rsidRPr="004B2A73">
        <w:rPr>
          <w:rFonts w:ascii="Calibri" w:hAnsi="Calibri"/>
          <w:b/>
          <w:sz w:val="24"/>
        </w:rPr>
        <w:t xml:space="preserve">and makes allowances for </w:t>
      </w:r>
      <w:r w:rsidR="00EC346A" w:rsidRPr="004B2A73">
        <w:rPr>
          <w:rFonts w:ascii="Calibri" w:hAnsi="Calibri"/>
          <w:b/>
          <w:sz w:val="24"/>
        </w:rPr>
        <w:t xml:space="preserve">the level of perceived risks. </w:t>
      </w:r>
      <w:r w:rsidRPr="004B2A73">
        <w:rPr>
          <w:rFonts w:ascii="Calibri" w:hAnsi="Calibri"/>
          <w:sz w:val="24"/>
        </w:rPr>
        <w:t>Most of the contracts reviewed</w:t>
      </w:r>
      <w:r w:rsidR="00EC346A" w:rsidRPr="004B2A73">
        <w:rPr>
          <w:rFonts w:ascii="Calibri" w:hAnsi="Calibri"/>
          <w:sz w:val="24"/>
        </w:rPr>
        <w:t xml:space="preserve"> </w:t>
      </w:r>
      <w:r w:rsidRPr="004B2A73">
        <w:rPr>
          <w:rFonts w:ascii="Calibri" w:hAnsi="Calibri"/>
          <w:sz w:val="24"/>
        </w:rPr>
        <w:t xml:space="preserve">include payments composed of (i) an entry fee, ranging from US$1 million to US$150 million; (ii) a relatively high fixed fee, between US$1 million to US$25 million, payable monthly, quarterly, semi-annually or annually to compensate the conceding authority for the use of the concession area, with the charge bearing no relationship to the actual throughput;  (iii) a variable, comparatively modest royalty, ranging from US$16 to US$44 per TEU; and (iv) revenue sharing based on an agreed percentage of the income generated by the terminal (ranging from 19% to 23%). Both fixed and variable fees are typically contractually increased with increases in a pre-specified inflation index. In most cases, the initial fee rates are included </w:t>
      </w:r>
      <w:r w:rsidR="000F5586" w:rsidRPr="004B2A73">
        <w:rPr>
          <w:rFonts w:ascii="Calibri" w:hAnsi="Calibri"/>
          <w:sz w:val="24"/>
        </w:rPr>
        <w:t>as bidding</w:t>
      </w:r>
      <w:r w:rsidRPr="004B2A73">
        <w:rPr>
          <w:rFonts w:ascii="Calibri" w:hAnsi="Calibri"/>
          <w:sz w:val="24"/>
        </w:rPr>
        <w:t xml:space="preserve"> criteria in the financial offer, though in some instances one of the fees is spelled out in the bid documents.  Some connection is observed </w:t>
      </w:r>
      <w:r w:rsidRPr="004B2A73">
        <w:rPr>
          <w:rFonts w:ascii="Calibri" w:hAnsi="Calibri"/>
          <w:sz w:val="24"/>
        </w:rPr>
        <w:lastRenderedPageBreak/>
        <w:t>between the type of terminal and the fee structure: in larger, established container terminals, the emphasis is on maximizing revenues with entry tickets and fixed fees comprising the bulk of the payments. In smaller terminals, in more challenging environments, with higher risks for the operator, variable fees and revenue sharing arrangements dominate.</w:t>
      </w:r>
    </w:p>
    <w:p w14:paraId="4B15C637" w14:textId="77777777" w:rsidR="00583894" w:rsidRPr="004B2A73" w:rsidRDefault="00583894" w:rsidP="00583894">
      <w:pPr>
        <w:pStyle w:val="ListParagraph"/>
        <w:spacing w:after="0"/>
        <w:ind w:left="0"/>
        <w:rPr>
          <w:rFonts w:ascii="Calibri" w:hAnsi="Calibri"/>
          <w:sz w:val="24"/>
        </w:rPr>
      </w:pPr>
    </w:p>
    <w:p w14:paraId="1D620FF0" w14:textId="40A4A3E2" w:rsidR="00A75111" w:rsidRPr="004B2A73" w:rsidRDefault="00583894" w:rsidP="000A7291">
      <w:pPr>
        <w:pStyle w:val="Numbered"/>
        <w:ind w:left="0" w:firstLine="0"/>
        <w:contextualSpacing w:val="0"/>
        <w:jc w:val="both"/>
        <w:rPr>
          <w:rFonts w:ascii="Calibri" w:hAnsi="Calibri"/>
        </w:rPr>
      </w:pPr>
      <w:r w:rsidRPr="002A476E">
        <w:rPr>
          <w:rFonts w:ascii="Calibri" w:hAnsi="Calibri"/>
          <w:b/>
        </w:rPr>
        <w:t>Governments have failed to use concession agreements to reduce the high levels of tariffs in most West African ports</w:t>
      </w:r>
      <w:r w:rsidR="00105611" w:rsidRPr="002A476E">
        <w:rPr>
          <w:rFonts w:ascii="Calibri" w:hAnsi="Calibri"/>
          <w:b/>
        </w:rPr>
        <w:t xml:space="preserve">, </w:t>
      </w:r>
      <w:r w:rsidR="00D55C42" w:rsidRPr="002A476E">
        <w:rPr>
          <w:rFonts w:ascii="Calibri" w:hAnsi="Calibri"/>
          <w:b/>
        </w:rPr>
        <w:t>partly</w:t>
      </w:r>
      <w:r w:rsidR="00105611" w:rsidRPr="002A476E">
        <w:rPr>
          <w:rFonts w:ascii="Calibri" w:hAnsi="Calibri"/>
          <w:b/>
        </w:rPr>
        <w:t xml:space="preserve"> because of their expectations on concession fees</w:t>
      </w:r>
      <w:r w:rsidRPr="002A476E">
        <w:rPr>
          <w:rFonts w:ascii="Calibri" w:hAnsi="Calibri"/>
          <w:b/>
        </w:rPr>
        <w:t>.</w:t>
      </w:r>
      <w:r w:rsidRPr="004B2A73">
        <w:rPr>
          <w:rFonts w:ascii="Calibri" w:hAnsi="Calibri"/>
          <w:b/>
        </w:rPr>
        <w:t xml:space="preserve"> </w:t>
      </w:r>
      <w:r w:rsidR="000C3B14" w:rsidRPr="004B2A73">
        <w:rPr>
          <w:rFonts w:ascii="Calibri" w:hAnsi="Calibri"/>
        </w:rPr>
        <w:t xml:space="preserve">At the same time, </w:t>
      </w:r>
      <w:r w:rsidRPr="004B2A73">
        <w:rPr>
          <w:rFonts w:ascii="Calibri" w:hAnsi="Calibri"/>
          <w:bCs/>
        </w:rPr>
        <w:t>many of the West African concession agreements include maximum tariff rates for each type of service (indexed for inflation)</w:t>
      </w:r>
      <w:r w:rsidR="000C3B14" w:rsidRPr="004B2A73">
        <w:rPr>
          <w:rFonts w:ascii="Calibri" w:hAnsi="Calibri"/>
          <w:bCs/>
        </w:rPr>
        <w:t xml:space="preserve">. </w:t>
      </w:r>
      <w:r w:rsidRPr="004B2A73">
        <w:rPr>
          <w:rFonts w:ascii="Calibri" w:hAnsi="Calibri"/>
          <w:bCs/>
        </w:rPr>
        <w:t>Arrangements for regulating tariffs var</w:t>
      </w:r>
      <w:r w:rsidR="000C3B14" w:rsidRPr="004B2A73">
        <w:rPr>
          <w:rFonts w:ascii="Calibri" w:hAnsi="Calibri"/>
          <w:bCs/>
        </w:rPr>
        <w:t>y</w:t>
      </w:r>
      <w:r w:rsidRPr="004B2A73">
        <w:rPr>
          <w:rFonts w:ascii="Calibri" w:hAnsi="Calibri"/>
          <w:bCs/>
        </w:rPr>
        <w:t xml:space="preserve"> among countries, with some based on rates specified in concession agreements, some relying on proposals from representatives of private firms, and others mandated by the port authority (or proposed by the operator subject to approval by the port authority).  For the most part, tariff rates have remained close to the maximum level allowed, although for some cargoes discounts are provided to attract traffic.  In general, port authorities have made little effort to ensure that tariffs are competitive, for example by undertaking periodic reviews of tariff rates in light of global experience.</w:t>
      </w:r>
      <w:r w:rsidR="00135866" w:rsidRPr="004B2A73">
        <w:rPr>
          <w:rFonts w:ascii="Calibri" w:hAnsi="Calibri"/>
          <w:bCs/>
        </w:rPr>
        <w:t xml:space="preserve">  </w:t>
      </w:r>
      <w:r w:rsidR="00135866" w:rsidRPr="004B2A73">
        <w:rPr>
          <w:rFonts w:ascii="Calibri" w:hAnsi="Calibri"/>
        </w:rPr>
        <w:t xml:space="preserve">One exception is the case </w:t>
      </w:r>
      <w:r w:rsidR="00275069" w:rsidRPr="004B2A73">
        <w:rPr>
          <w:rFonts w:ascii="Calibri" w:hAnsi="Calibri"/>
        </w:rPr>
        <w:t xml:space="preserve">of </w:t>
      </w:r>
      <w:r w:rsidR="00105611" w:rsidRPr="004B2A73">
        <w:rPr>
          <w:rFonts w:ascii="Calibri" w:hAnsi="Calibri"/>
        </w:rPr>
        <w:t>the second container terminal in Abidjan</w:t>
      </w:r>
      <w:r w:rsidR="00204A7F" w:rsidRPr="004B2A73">
        <w:rPr>
          <w:rFonts w:ascii="Calibri" w:hAnsi="Calibri"/>
        </w:rPr>
        <w:t xml:space="preserve"> where </w:t>
      </w:r>
      <w:r w:rsidR="00105611" w:rsidRPr="004B2A73">
        <w:rPr>
          <w:rFonts w:ascii="Calibri" w:hAnsi="Calibri"/>
        </w:rPr>
        <w:t>tariff reduction</w:t>
      </w:r>
      <w:r w:rsidR="00204A7F" w:rsidRPr="004B2A73">
        <w:rPr>
          <w:rFonts w:ascii="Calibri" w:hAnsi="Calibri"/>
        </w:rPr>
        <w:t>s</w:t>
      </w:r>
      <w:r w:rsidR="00105611" w:rsidRPr="004B2A73">
        <w:rPr>
          <w:rFonts w:ascii="Calibri" w:hAnsi="Calibri"/>
        </w:rPr>
        <w:t xml:space="preserve"> were specifically included among the assessment criteria. The winning proposal by BAL and APMT included a commitment to reduce the maximum tariffs by 25%</w:t>
      </w:r>
      <w:r w:rsidR="00204A7F" w:rsidRPr="004B2A73">
        <w:rPr>
          <w:rFonts w:ascii="Calibri" w:hAnsi="Calibri"/>
        </w:rPr>
        <w:t xml:space="preserve"> (essentially reversing the tariff increase </w:t>
      </w:r>
      <w:r w:rsidR="00000FA3">
        <w:rPr>
          <w:rFonts w:ascii="Calibri" w:hAnsi="Calibri"/>
        </w:rPr>
        <w:t>allowed by the regulator for the first terminal operated by the</w:t>
      </w:r>
      <w:r w:rsidR="00204A7F" w:rsidRPr="004B2A73">
        <w:rPr>
          <w:rFonts w:ascii="Calibri" w:hAnsi="Calibri"/>
        </w:rPr>
        <w:t xml:space="preserve"> same consortium) </w:t>
      </w:r>
      <w:r w:rsidR="00215411" w:rsidRPr="004B2A73">
        <w:rPr>
          <w:rFonts w:ascii="Calibri" w:hAnsi="Calibri"/>
        </w:rPr>
        <w:t xml:space="preserve">against the </w:t>
      </w:r>
      <w:r w:rsidR="00105611" w:rsidRPr="004B2A73">
        <w:rPr>
          <w:rFonts w:ascii="Calibri" w:hAnsi="Calibri"/>
        </w:rPr>
        <w:t>22%</w:t>
      </w:r>
      <w:r w:rsidR="00215411" w:rsidRPr="004B2A73">
        <w:rPr>
          <w:rFonts w:ascii="Calibri" w:hAnsi="Calibri"/>
        </w:rPr>
        <w:t xml:space="preserve"> proposed by the TOC ranked second</w:t>
      </w:r>
      <w:r w:rsidR="00105611" w:rsidRPr="004B2A73">
        <w:rPr>
          <w:rFonts w:ascii="Calibri" w:hAnsi="Calibri"/>
        </w:rPr>
        <w:t>. Measuring the margins for tariffs reductions would require information on the accounts of the TOC at terminal level that is not available, in order to take into account the balance between operating costs, concession fees and investment versus revenue. However, the decision to reduce tariffs in Abidjan by 20% taken in 2013 shows that this margin does exist.</w:t>
      </w:r>
    </w:p>
    <w:p w14:paraId="560A2980" w14:textId="77777777" w:rsidR="00A75111" w:rsidRPr="004B2A73" w:rsidRDefault="00A75111" w:rsidP="00A75111">
      <w:pPr>
        <w:pStyle w:val="Numbered"/>
        <w:numPr>
          <w:ilvl w:val="0"/>
          <w:numId w:val="0"/>
        </w:numPr>
        <w:rPr>
          <w:rFonts w:ascii="Calibri" w:hAnsi="Calibri"/>
        </w:rPr>
      </w:pPr>
    </w:p>
    <w:p w14:paraId="5EE6FFFF" w14:textId="77777777" w:rsidR="00A8282B" w:rsidRPr="000A7291" w:rsidRDefault="006F399F"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 characteristics of the port sector and the specificities of the West African context demand adequate public intervention to maximize benefits and minimize risks</w:t>
      </w:r>
      <w:r w:rsidRPr="004B2A73">
        <w:rPr>
          <w:rFonts w:ascii="Calibri" w:hAnsi="Calibri"/>
          <w:sz w:val="24"/>
        </w:rPr>
        <w:t xml:space="preserve">. </w:t>
      </w:r>
      <w:r w:rsidR="00A75111" w:rsidRPr="004B2A73">
        <w:rPr>
          <w:rFonts w:ascii="Calibri" w:hAnsi="Calibri"/>
          <w:sz w:val="24"/>
        </w:rPr>
        <w:t>The impact of inadequate experience and capacity on the transaction process, the quality of the concession contracts, the level of competitive pressure and finally the allocation of benefits between the concessionaire and other stakeholders has been amply documented.</w:t>
      </w:r>
      <w:r w:rsidR="00A75111" w:rsidRPr="004B2A73">
        <w:rPr>
          <w:rFonts w:ascii="Calibri" w:hAnsi="Calibri"/>
          <w:bCs/>
          <w:sz w:val="24"/>
        </w:rPr>
        <w:t xml:space="preserve">  </w:t>
      </w:r>
      <w:r w:rsidR="00A75111" w:rsidRPr="004B2A73">
        <w:rPr>
          <w:rFonts w:ascii="Calibri" w:hAnsi="Calibri"/>
          <w:sz w:val="24"/>
        </w:rPr>
        <w:t xml:space="preserve">Countries likely undertake one or two port concessions every decade or so, and with the exception of a few countries (Nigeria, Cote d’Ivoire and Ghana) the majority are unlikely to have more than one concessionaire in the port sector (not including the dedicated, private ports). </w:t>
      </w:r>
      <w:r w:rsidR="00A02E92" w:rsidRPr="004B2A73">
        <w:rPr>
          <w:rFonts w:ascii="Calibri" w:hAnsi="Calibri"/>
          <w:sz w:val="24"/>
        </w:rPr>
        <w:t xml:space="preserve">A modest but promising endeavor could be to promote the establishment of lean regulatory outfits, ideally bi-national, on the main regional corridors. These are already functioning to some extent for railway operations on bi-country networks, and it would be possible to extend their mandate to freight operations on a given corridor, including port terminals, and give them power to regulate tariffs.  When several of these corridor regulatory bureaus are in place, RECs could collect their data and start monitoring the corridor network on a regional basis. This would not directly address the lack of transparency during </w:t>
      </w:r>
      <w:r w:rsidR="00A02E92" w:rsidRPr="000A7291">
        <w:rPr>
          <w:rFonts w:ascii="Calibri" w:hAnsi="Calibri"/>
          <w:sz w:val="24"/>
        </w:rPr>
        <w:t xml:space="preserve">the concession award process but is likely to start limiting the prospect of </w:t>
      </w:r>
      <w:r w:rsidR="00A02E92" w:rsidRPr="000A7291">
        <w:rPr>
          <w:rFonts w:ascii="Calibri" w:hAnsi="Calibri"/>
          <w:sz w:val="24"/>
        </w:rPr>
        <w:lastRenderedPageBreak/>
        <w:t>abuse. This is an area where IFIs could take the lead and provide a forum for discussion, agreement and support for implementation of the agreed outcome.</w:t>
      </w:r>
    </w:p>
    <w:p w14:paraId="5EF7B413" w14:textId="77777777" w:rsidR="00A8282B" w:rsidRPr="004B2A73" w:rsidRDefault="00A8282B" w:rsidP="00586EFD"/>
    <w:p w14:paraId="5FC41FF5" w14:textId="0E49F73D" w:rsidR="00A8282B" w:rsidRPr="00586EFD" w:rsidRDefault="002049CE" w:rsidP="00E826B9">
      <w:pPr>
        <w:pStyle w:val="ListParagraph"/>
        <w:numPr>
          <w:ilvl w:val="0"/>
          <w:numId w:val="6"/>
        </w:numPr>
        <w:spacing w:after="0"/>
        <w:ind w:left="0" w:firstLine="0"/>
        <w:jc w:val="both"/>
        <w:rPr>
          <w:rFonts w:ascii="Calibri" w:hAnsi="Calibri"/>
          <w:sz w:val="24"/>
        </w:rPr>
      </w:pPr>
      <w:r w:rsidRPr="004B2A73">
        <w:rPr>
          <w:rFonts w:ascii="Calibri" w:hAnsi="Calibri"/>
          <w:b/>
          <w:sz w:val="24"/>
          <w:szCs w:val="24"/>
        </w:rPr>
        <w:t xml:space="preserve">Increasing transparency in the contractual concessioning process is likely to be the most critical starting point to improving outcomes. </w:t>
      </w:r>
      <w:r w:rsidR="000E40DD" w:rsidRPr="004B2A73">
        <w:rPr>
          <w:rFonts w:ascii="Calibri" w:hAnsi="Calibri"/>
          <w:sz w:val="24"/>
          <w:szCs w:val="24"/>
        </w:rPr>
        <w:t>T</w:t>
      </w:r>
      <w:r w:rsidR="00F42498" w:rsidRPr="004B2A73">
        <w:rPr>
          <w:rFonts w:ascii="Calibri" w:hAnsi="Calibri"/>
          <w:sz w:val="24"/>
          <w:szCs w:val="24"/>
        </w:rPr>
        <w:t xml:space="preserve">he growth of container traffic volume projected for the coming decades will make TOCs potentially good partners in adapting supply to demand for port services. In this context, it is critical to strengthen immediately public negotiation and regulation capacity, as well as improve the governance of the port sector, the legal framework and the competition policies, in order to secure economic benefits for West African countries. Steps are required to ensure that future concessions focus on performance and guarantee a fair </w:t>
      </w:r>
      <w:r w:rsidR="00F42498" w:rsidRPr="00586EFD">
        <w:rPr>
          <w:rFonts w:ascii="Calibri" w:hAnsi="Calibri"/>
          <w:sz w:val="24"/>
          <w:szCs w:val="24"/>
        </w:rPr>
        <w:t>distribution of benefits, and that active concessions are adequately regulated to maximize econo</w:t>
      </w:r>
      <w:r w:rsidR="00F243BC" w:rsidRPr="00586EFD">
        <w:rPr>
          <w:rFonts w:ascii="Calibri" w:hAnsi="Calibri"/>
          <w:sz w:val="24"/>
          <w:szCs w:val="24"/>
        </w:rPr>
        <w:t xml:space="preserve">mic benefits for the countries. </w:t>
      </w:r>
    </w:p>
    <w:p w14:paraId="020AD8CB" w14:textId="77777777" w:rsidR="00A8282B" w:rsidRPr="00586EFD" w:rsidRDefault="00A8282B" w:rsidP="00A8282B">
      <w:pPr>
        <w:pStyle w:val="ListParagraph"/>
        <w:spacing w:after="0"/>
        <w:ind w:left="0"/>
        <w:rPr>
          <w:rFonts w:ascii="Calibri" w:hAnsi="Calibri"/>
          <w:sz w:val="24"/>
        </w:rPr>
      </w:pPr>
    </w:p>
    <w:p w14:paraId="752B8E9A" w14:textId="77777777" w:rsidR="00A8282B" w:rsidRPr="00586EFD" w:rsidRDefault="00F42498" w:rsidP="00E826B9">
      <w:pPr>
        <w:pStyle w:val="ListParagraph"/>
        <w:numPr>
          <w:ilvl w:val="0"/>
          <w:numId w:val="6"/>
        </w:numPr>
        <w:spacing w:after="0"/>
        <w:ind w:left="0" w:firstLine="0"/>
        <w:jc w:val="both"/>
        <w:rPr>
          <w:rFonts w:ascii="Calibri" w:hAnsi="Calibri"/>
          <w:sz w:val="24"/>
        </w:rPr>
      </w:pPr>
      <w:r w:rsidRPr="00586EFD">
        <w:rPr>
          <w:rFonts w:ascii="Calibri" w:hAnsi="Calibri"/>
          <w:b/>
          <w:sz w:val="24"/>
          <w:szCs w:val="24"/>
        </w:rPr>
        <w:t xml:space="preserve">Greater mobilization of the demand side and more systematic public information </w:t>
      </w:r>
      <w:r w:rsidRPr="004B2A73">
        <w:rPr>
          <w:rFonts w:ascii="Calibri" w:hAnsi="Calibri"/>
          <w:b/>
          <w:sz w:val="24"/>
          <w:szCs w:val="24"/>
        </w:rPr>
        <w:t>disclosure on performance and costs would go a long way in rebalancing the relationship between TOCs and African shippers</w:t>
      </w:r>
      <w:r w:rsidRPr="004B2A73">
        <w:rPr>
          <w:rFonts w:ascii="Calibri" w:hAnsi="Calibri"/>
          <w:sz w:val="24"/>
          <w:szCs w:val="24"/>
        </w:rPr>
        <w:t xml:space="preserve">.  Since there is an inherent asymmetry of power and negotiating capacity between the ultimate clients of the ports and the TOCs, systematically disclosing operational and cost information to the general public provides an opportunity to bring together the virtual constituency of regional port users.  Generalizing the publication of tariffs and key performance indicators is the first step to improve transparency and facilitate policymaking.  Then one could think of ways to formalize customer feedback loops by including specific provisions to this effect in concession agreements, complemented by mandatory disclosure provisions.  The data collected through these systematic feedback processes at the local port level could then form the basis for a region-wide database that would allow meaningful </w:t>
      </w:r>
      <w:r w:rsidRPr="00586EFD">
        <w:rPr>
          <w:rFonts w:ascii="Calibri" w:hAnsi="Calibri"/>
          <w:sz w:val="24"/>
          <w:szCs w:val="24"/>
        </w:rPr>
        <w:t>comparisons between facilities and also hopefully nurture some emulation between them.  The Regional Economic Communities would at some point become the logical place to host and manage this concessions operational database</w:t>
      </w:r>
      <w:r w:rsidR="00A8282B" w:rsidRPr="00586EFD">
        <w:rPr>
          <w:rFonts w:ascii="Calibri" w:hAnsi="Calibri"/>
          <w:sz w:val="24"/>
          <w:szCs w:val="24"/>
        </w:rPr>
        <w:t>.</w:t>
      </w:r>
    </w:p>
    <w:p w14:paraId="230AA641" w14:textId="77777777" w:rsidR="00A8282B" w:rsidRPr="00586EFD" w:rsidRDefault="00A8282B" w:rsidP="00A8282B">
      <w:pPr>
        <w:pStyle w:val="ListParagraph"/>
        <w:spacing w:after="0"/>
        <w:ind w:left="0"/>
        <w:rPr>
          <w:rFonts w:ascii="Calibri" w:hAnsi="Calibri"/>
          <w:sz w:val="24"/>
        </w:rPr>
      </w:pPr>
    </w:p>
    <w:p w14:paraId="6A98E334" w14:textId="0123B885" w:rsidR="00F42498" w:rsidRPr="00586EFD" w:rsidRDefault="00F42498" w:rsidP="00E826B9">
      <w:pPr>
        <w:pStyle w:val="ListParagraph"/>
        <w:numPr>
          <w:ilvl w:val="0"/>
          <w:numId w:val="6"/>
        </w:numPr>
        <w:spacing w:after="0"/>
        <w:ind w:left="0" w:firstLine="0"/>
        <w:jc w:val="both"/>
        <w:rPr>
          <w:rFonts w:ascii="Calibri" w:hAnsi="Calibri"/>
          <w:sz w:val="24"/>
        </w:rPr>
      </w:pPr>
      <w:r w:rsidRPr="00586EFD">
        <w:rPr>
          <w:rFonts w:ascii="Calibri" w:hAnsi="Calibri"/>
          <w:b/>
          <w:sz w:val="24"/>
        </w:rPr>
        <w:t>Given the regional dynamics of ports in West Africa, there is also a good case for more cooperation between West African countries on port reform, competition and regulation.</w:t>
      </w:r>
      <w:r w:rsidRPr="00586EFD">
        <w:rPr>
          <w:rFonts w:ascii="Calibri" w:hAnsi="Calibri"/>
          <w:sz w:val="24"/>
        </w:rPr>
        <w:t xml:space="preserve"> Strengthening the capacity and mandate of regional institutions such as the ECOWAS Commission on these issues would complement regulatory efforts at the country level and provide a forum to analyze regional issues related to inter-port competition and private sector participation in port management.</w:t>
      </w:r>
      <w:r w:rsidR="00F243BC" w:rsidRPr="00586EFD">
        <w:rPr>
          <w:rFonts w:ascii="Calibri" w:hAnsi="Calibri"/>
          <w:sz w:val="24"/>
        </w:rPr>
        <w:t xml:space="preserve"> </w:t>
      </w:r>
    </w:p>
    <w:p w14:paraId="075F1DA0" w14:textId="77777777" w:rsidR="00586EFD" w:rsidRPr="00586EFD" w:rsidRDefault="00586EFD" w:rsidP="00586EFD">
      <w:pPr>
        <w:spacing w:after="0"/>
        <w:contextualSpacing/>
        <w:rPr>
          <w:rFonts w:ascii="Calibri" w:hAnsi="Calibri"/>
          <w:sz w:val="24"/>
        </w:rPr>
      </w:pPr>
    </w:p>
    <w:p w14:paraId="67004955" w14:textId="265C9F5C" w:rsidR="00586EFD" w:rsidRPr="00586EFD" w:rsidRDefault="00586EFD" w:rsidP="00586EFD">
      <w:pPr>
        <w:keepNext/>
        <w:spacing w:after="0" w:line="240" w:lineRule="auto"/>
        <w:rPr>
          <w:rFonts w:ascii="Calibri" w:hAnsi="Calibri"/>
          <w:bCs/>
          <w:smallCaps/>
          <w:color w:val="44546A" w:themeColor="text2"/>
        </w:rPr>
      </w:pPr>
      <w:bookmarkStart w:id="59" w:name="_Toc472430669"/>
      <w:bookmarkStart w:id="60" w:name="_Toc485377012"/>
      <w:r w:rsidRPr="00586EFD">
        <w:rPr>
          <w:rFonts w:ascii="Calibri" w:hAnsi="Calibri"/>
          <w:bCs/>
          <w:smallCaps/>
          <w:color w:val="44546A" w:themeColor="text2"/>
        </w:rPr>
        <w:t xml:space="preserve">Box </w:t>
      </w:r>
      <w:r w:rsidRPr="00586EFD">
        <w:rPr>
          <w:rFonts w:ascii="Calibri" w:hAnsi="Calibri"/>
          <w:bCs/>
          <w:smallCaps/>
          <w:color w:val="44546A" w:themeColor="text2"/>
        </w:rPr>
        <w:fldChar w:fldCharType="begin"/>
      </w:r>
      <w:r w:rsidRPr="00586EFD">
        <w:rPr>
          <w:rFonts w:ascii="Calibri" w:hAnsi="Calibri"/>
          <w:bCs/>
          <w:smallCaps/>
          <w:color w:val="44546A" w:themeColor="text2"/>
        </w:rPr>
        <w:instrText xml:space="preserve"> SEQ Box \* ARABIC </w:instrText>
      </w:r>
      <w:r w:rsidRPr="00586EFD">
        <w:rPr>
          <w:rFonts w:ascii="Calibri" w:hAnsi="Calibri"/>
          <w:bCs/>
          <w:smallCaps/>
          <w:color w:val="44546A" w:themeColor="text2"/>
        </w:rPr>
        <w:fldChar w:fldCharType="separate"/>
      </w:r>
      <w:r w:rsidR="00212D01">
        <w:rPr>
          <w:rFonts w:ascii="Calibri" w:hAnsi="Calibri"/>
          <w:bCs/>
          <w:smallCaps/>
          <w:noProof/>
          <w:color w:val="44546A" w:themeColor="text2"/>
        </w:rPr>
        <w:t>3</w:t>
      </w:r>
      <w:r w:rsidRPr="00586EFD">
        <w:rPr>
          <w:rFonts w:ascii="Calibri" w:hAnsi="Calibri"/>
          <w:bCs/>
          <w:smallCaps/>
          <w:noProof/>
          <w:color w:val="44546A" w:themeColor="text2"/>
        </w:rPr>
        <w:fldChar w:fldCharType="end"/>
      </w:r>
      <w:r w:rsidRPr="00586EFD">
        <w:rPr>
          <w:rFonts w:ascii="Calibri" w:hAnsi="Calibri"/>
          <w:bCs/>
          <w:smallCaps/>
          <w:color w:val="44546A" w:themeColor="text2"/>
        </w:rPr>
        <w:t>: The concession contract for the Abidjan second container terminal</w:t>
      </w:r>
      <w:bookmarkEnd w:id="59"/>
      <w:bookmarkEnd w:id="60"/>
    </w:p>
    <w:tbl>
      <w:tblPr>
        <w:tblStyle w:val="TableGrid1"/>
        <w:tblW w:w="0" w:type="auto"/>
        <w:tblLook w:val="04A0" w:firstRow="1" w:lastRow="0" w:firstColumn="1" w:lastColumn="0" w:noHBand="0" w:noVBand="1"/>
      </w:tblPr>
      <w:tblGrid>
        <w:gridCol w:w="9350"/>
      </w:tblGrid>
      <w:tr w:rsidR="00586EFD" w:rsidRPr="005D5BDF" w14:paraId="52CDC4EF" w14:textId="77777777" w:rsidTr="006161AC">
        <w:tc>
          <w:tcPr>
            <w:tcW w:w="9350" w:type="dxa"/>
          </w:tcPr>
          <w:p w14:paraId="110A234A" w14:textId="77777777" w:rsidR="00586EFD" w:rsidRPr="005D5BDF" w:rsidRDefault="00586EFD" w:rsidP="00586EFD">
            <w:pPr>
              <w:contextualSpacing/>
              <w:rPr>
                <w:rFonts w:ascii="Calibri" w:hAnsi="Calibri"/>
              </w:rPr>
            </w:pPr>
            <w:r w:rsidRPr="005D5BDF">
              <w:rPr>
                <w:rFonts w:ascii="Calibri" w:hAnsi="Calibri"/>
              </w:rPr>
              <w:t>The concession of the second container terminal of Abidjan is an interesting example of public disclosure, as it is the only public contract for the West Africa concessions: it has been published in the Cote d’Ivoire official gazette (JO No9 dated February 27, 2014).</w:t>
            </w:r>
          </w:p>
          <w:p w14:paraId="4CF88674" w14:textId="77777777" w:rsidR="00586EFD" w:rsidRPr="005D5BDF" w:rsidRDefault="00586EFD" w:rsidP="00586EFD">
            <w:pPr>
              <w:contextualSpacing/>
              <w:rPr>
                <w:rFonts w:ascii="Calibri" w:hAnsi="Calibri"/>
              </w:rPr>
            </w:pPr>
            <w:r w:rsidRPr="005D5BDF">
              <w:rPr>
                <w:rFonts w:ascii="Calibri" w:hAnsi="Calibri"/>
              </w:rPr>
              <w:t>The contract and its annexes provide some examples of good practices that could be replicated in second generation concession contracts:</w:t>
            </w:r>
          </w:p>
          <w:p w14:paraId="754AEF4C" w14:textId="77777777" w:rsidR="00586EFD" w:rsidRPr="005D5BDF" w:rsidRDefault="00586EFD" w:rsidP="00E826B9">
            <w:pPr>
              <w:numPr>
                <w:ilvl w:val="0"/>
                <w:numId w:val="5"/>
              </w:numPr>
              <w:contextualSpacing/>
              <w:rPr>
                <w:rFonts w:ascii="Calibri" w:hAnsi="Calibri"/>
              </w:rPr>
            </w:pPr>
            <w:r w:rsidRPr="005D5BDF">
              <w:rPr>
                <w:rFonts w:ascii="Calibri" w:hAnsi="Calibri"/>
              </w:rPr>
              <w:lastRenderedPageBreak/>
              <w:t>The respective obligations of the port authority and the concessionaire are clearly spelt out. The port authority commits to the infrastructure developments required for the second container terminal (enlarging and deepening the access channel and turning basin, building the quay wall and reclaiming the yard area) in order to enable access for a 110,000 tons vessel (350 meters long, 43 meters wide, 16 meters draft, 65 meters above sea level). The concessionaire commits to finishing the yard area and the quay front for the STS rail, connecting the terminal to the railway network and investing in handling equipment;</w:t>
            </w:r>
          </w:p>
          <w:p w14:paraId="56CB2AAC" w14:textId="77777777" w:rsidR="00586EFD" w:rsidRPr="005D5BDF" w:rsidRDefault="00586EFD" w:rsidP="00E826B9">
            <w:pPr>
              <w:numPr>
                <w:ilvl w:val="0"/>
                <w:numId w:val="5"/>
              </w:numPr>
              <w:contextualSpacing/>
              <w:rPr>
                <w:rFonts w:ascii="Calibri" w:hAnsi="Calibri"/>
              </w:rPr>
            </w:pPr>
            <w:r w:rsidRPr="005D5BDF">
              <w:rPr>
                <w:rFonts w:ascii="Calibri" w:hAnsi="Calibri"/>
              </w:rPr>
              <w:t>The investment program is defined in two tranches, one fixed corresponding to the minimum equipment of the terminal at its opening (6 over-panamax STS and 13 RTGs) and defines conditions (based on throughput) for additional handling equipment (STS and supporting yard equipment)</w:t>
            </w:r>
          </w:p>
          <w:p w14:paraId="4B30F042" w14:textId="77777777" w:rsidR="00586EFD" w:rsidRPr="005D5BDF" w:rsidRDefault="00586EFD" w:rsidP="00E826B9">
            <w:pPr>
              <w:numPr>
                <w:ilvl w:val="0"/>
                <w:numId w:val="5"/>
              </w:numPr>
              <w:contextualSpacing/>
              <w:rPr>
                <w:rFonts w:ascii="Calibri" w:hAnsi="Calibri"/>
              </w:rPr>
            </w:pPr>
            <w:r w:rsidRPr="005D5BDF">
              <w:rPr>
                <w:rFonts w:ascii="Calibri" w:hAnsi="Calibri"/>
              </w:rPr>
              <w:t>The performance indicators and the targets are defined: crane productivity, equipment availability, and truck turnaround time.</w:t>
            </w:r>
          </w:p>
          <w:p w14:paraId="2F7E03C5" w14:textId="77777777" w:rsidR="00586EFD" w:rsidRPr="005D5BDF" w:rsidRDefault="00586EFD" w:rsidP="00E826B9">
            <w:pPr>
              <w:numPr>
                <w:ilvl w:val="0"/>
                <w:numId w:val="5"/>
              </w:numPr>
              <w:contextualSpacing/>
              <w:rPr>
                <w:rFonts w:ascii="Calibri" w:hAnsi="Calibri"/>
              </w:rPr>
            </w:pPr>
            <w:r w:rsidRPr="005D5BDF">
              <w:rPr>
                <w:rFonts w:ascii="Calibri" w:hAnsi="Calibri"/>
              </w:rPr>
              <w:t>Customer feedback mechanism and control by the port authority on how the complaints are handled by the concessionaire</w:t>
            </w:r>
          </w:p>
          <w:p w14:paraId="106376B5" w14:textId="77777777" w:rsidR="00586EFD" w:rsidRPr="005D5BDF" w:rsidRDefault="00586EFD" w:rsidP="00586EFD">
            <w:pPr>
              <w:contextualSpacing/>
              <w:rPr>
                <w:rFonts w:ascii="Calibri" w:hAnsi="Calibri"/>
              </w:rPr>
            </w:pPr>
            <w:r w:rsidRPr="005D5BDF">
              <w:rPr>
                <w:rFonts w:ascii="Calibri" w:hAnsi="Calibri"/>
              </w:rPr>
              <w:t>IT data exchange with community systems</w:t>
            </w:r>
          </w:p>
        </w:tc>
      </w:tr>
    </w:tbl>
    <w:p w14:paraId="3B08F418" w14:textId="77777777" w:rsidR="00586EFD" w:rsidRPr="00586EFD" w:rsidRDefault="00586EFD" w:rsidP="00586EFD">
      <w:pPr>
        <w:spacing w:after="0"/>
        <w:contextualSpacing/>
        <w:rPr>
          <w:rFonts w:ascii="Calibri" w:hAnsi="Calibri"/>
          <w:sz w:val="24"/>
        </w:rPr>
      </w:pPr>
    </w:p>
    <w:p w14:paraId="0B1866DA" w14:textId="77777777" w:rsidR="005D5593" w:rsidRPr="004B2A73" w:rsidRDefault="005D5593" w:rsidP="00B73C6E">
      <w:pPr>
        <w:pStyle w:val="ListParagraph"/>
        <w:spacing w:after="0"/>
        <w:ind w:left="0"/>
        <w:rPr>
          <w:rFonts w:ascii="Calibri" w:hAnsi="Calibri"/>
          <w:sz w:val="24"/>
        </w:rPr>
      </w:pPr>
    </w:p>
    <w:p w14:paraId="7292F03B" w14:textId="77777777" w:rsidR="005C770B" w:rsidRPr="004B2A73" w:rsidRDefault="005C770B">
      <w:pPr>
        <w:rPr>
          <w:rFonts w:ascii="Calibri" w:hAnsi="Calibri"/>
          <w:sz w:val="24"/>
        </w:rPr>
      </w:pPr>
      <w:r w:rsidRPr="004B2A73">
        <w:rPr>
          <w:rFonts w:ascii="Calibri" w:hAnsi="Calibri"/>
          <w:sz w:val="24"/>
        </w:rPr>
        <w:br w:type="page"/>
      </w:r>
    </w:p>
    <w:p w14:paraId="2D20117B" w14:textId="02B69D8E" w:rsidR="00104E65" w:rsidRPr="00B04B93" w:rsidRDefault="00036EDD" w:rsidP="006161AC">
      <w:pPr>
        <w:pStyle w:val="Heading1"/>
        <w:rPr>
          <w:rFonts w:asciiTheme="minorHAnsi" w:hAnsiTheme="minorHAnsi" w:cstheme="minorHAnsi"/>
          <w:sz w:val="32"/>
          <w:szCs w:val="32"/>
        </w:rPr>
      </w:pPr>
      <w:bookmarkStart w:id="61" w:name="_Toc485381995"/>
      <w:r w:rsidRPr="00B04B93">
        <w:rPr>
          <w:rFonts w:asciiTheme="minorHAnsi" w:hAnsiTheme="minorHAnsi" w:cstheme="minorHAnsi"/>
          <w:sz w:val="32"/>
          <w:szCs w:val="32"/>
        </w:rPr>
        <w:lastRenderedPageBreak/>
        <w:t xml:space="preserve">Have the </w:t>
      </w:r>
      <w:r w:rsidR="006638E7" w:rsidRPr="00B04B93">
        <w:rPr>
          <w:rFonts w:asciiTheme="minorHAnsi" w:hAnsiTheme="minorHAnsi" w:cstheme="minorHAnsi"/>
          <w:sz w:val="32"/>
          <w:szCs w:val="32"/>
        </w:rPr>
        <w:t xml:space="preserve">Container Terminal </w:t>
      </w:r>
      <w:r w:rsidR="001C7C5A" w:rsidRPr="00B04B93">
        <w:rPr>
          <w:rFonts w:asciiTheme="minorHAnsi" w:hAnsiTheme="minorHAnsi" w:cstheme="minorHAnsi"/>
          <w:sz w:val="32"/>
          <w:szCs w:val="32"/>
        </w:rPr>
        <w:t>Concessions in West Africa</w:t>
      </w:r>
      <w:r w:rsidRPr="00B04B93">
        <w:rPr>
          <w:rFonts w:asciiTheme="minorHAnsi" w:hAnsiTheme="minorHAnsi" w:cstheme="minorHAnsi"/>
          <w:sz w:val="32"/>
          <w:szCs w:val="32"/>
        </w:rPr>
        <w:t xml:space="preserve"> Delivered?</w:t>
      </w:r>
      <w:bookmarkEnd w:id="61"/>
    </w:p>
    <w:p w14:paraId="424B79F2" w14:textId="77777777" w:rsidR="00B65D4F" w:rsidRPr="004B2A73" w:rsidRDefault="00B65D4F" w:rsidP="00B65D4F">
      <w:pPr>
        <w:pStyle w:val="ListParagraph"/>
        <w:spacing w:after="0"/>
        <w:ind w:left="0"/>
        <w:rPr>
          <w:rFonts w:ascii="Calibri" w:hAnsi="Calibri"/>
          <w:sz w:val="24"/>
        </w:rPr>
      </w:pPr>
    </w:p>
    <w:p w14:paraId="6491FFB8" w14:textId="27D2EA26" w:rsidR="003874ED" w:rsidRPr="004B2A73" w:rsidRDefault="00A25310"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main driver </w:t>
      </w:r>
      <w:r w:rsidR="00F71E28" w:rsidRPr="004B2A73">
        <w:rPr>
          <w:rFonts w:ascii="Calibri" w:hAnsi="Calibri"/>
          <w:b/>
          <w:sz w:val="24"/>
        </w:rPr>
        <w:t>of</w:t>
      </w:r>
      <w:r w:rsidRPr="004B2A73">
        <w:rPr>
          <w:rFonts w:ascii="Calibri" w:hAnsi="Calibri"/>
          <w:b/>
          <w:sz w:val="24"/>
        </w:rPr>
        <w:t xml:space="preserve"> the concession of container terminals in West Africa was the need to address the capacity constraint </w:t>
      </w:r>
      <w:r w:rsidR="00F13C35" w:rsidRPr="004B2A73">
        <w:rPr>
          <w:rFonts w:ascii="Calibri" w:hAnsi="Calibri"/>
          <w:b/>
          <w:sz w:val="24"/>
        </w:rPr>
        <w:t>resulting from</w:t>
      </w:r>
      <w:r w:rsidRPr="004B2A73">
        <w:rPr>
          <w:rFonts w:ascii="Calibri" w:hAnsi="Calibri"/>
          <w:b/>
          <w:sz w:val="24"/>
        </w:rPr>
        <w:t xml:space="preserve"> poor performance and outdated terminal characteristics. </w:t>
      </w:r>
      <w:r w:rsidR="00EB0BBA" w:rsidRPr="004B2A73">
        <w:rPr>
          <w:rFonts w:ascii="Calibri" w:hAnsi="Calibri"/>
          <w:sz w:val="24"/>
        </w:rPr>
        <w:t>Few West Africa</w:t>
      </w:r>
      <w:r w:rsidR="005E1D06" w:rsidRPr="004B2A73">
        <w:rPr>
          <w:rFonts w:ascii="Calibri" w:hAnsi="Calibri"/>
          <w:sz w:val="24"/>
        </w:rPr>
        <w:t>n</w:t>
      </w:r>
      <w:r w:rsidR="00EB0BBA" w:rsidRPr="004B2A73">
        <w:rPr>
          <w:rFonts w:ascii="Calibri" w:hAnsi="Calibri"/>
          <w:sz w:val="24"/>
        </w:rPr>
        <w:t xml:space="preserve"> ports were equipped with gantry cranes, and handling in most ports </w:t>
      </w:r>
      <w:r w:rsidR="00F13C35" w:rsidRPr="004B2A73">
        <w:rPr>
          <w:rFonts w:ascii="Calibri" w:hAnsi="Calibri"/>
          <w:sz w:val="24"/>
        </w:rPr>
        <w:t xml:space="preserve">relied </w:t>
      </w:r>
      <w:r w:rsidR="00EB0BBA" w:rsidRPr="004B2A73">
        <w:rPr>
          <w:rFonts w:ascii="Calibri" w:hAnsi="Calibri"/>
          <w:sz w:val="24"/>
        </w:rPr>
        <w:t>on ship’s gear</w:t>
      </w:r>
      <w:r w:rsidR="00F73BDB" w:rsidRPr="004B2A73">
        <w:rPr>
          <w:rFonts w:ascii="Calibri" w:hAnsi="Calibri"/>
          <w:sz w:val="24"/>
        </w:rPr>
        <w:t xml:space="preserve">.  Low </w:t>
      </w:r>
      <w:r w:rsidR="00EB0BBA" w:rsidRPr="004B2A73">
        <w:rPr>
          <w:rFonts w:ascii="Calibri" w:hAnsi="Calibri"/>
          <w:sz w:val="24"/>
        </w:rPr>
        <w:t>prod</w:t>
      </w:r>
      <w:r w:rsidR="00E2765E" w:rsidRPr="004B2A73">
        <w:rPr>
          <w:rFonts w:ascii="Calibri" w:hAnsi="Calibri"/>
          <w:sz w:val="24"/>
        </w:rPr>
        <w:t>uctivity</w:t>
      </w:r>
      <w:r w:rsidR="00F73BDB" w:rsidRPr="004B2A73">
        <w:rPr>
          <w:rFonts w:ascii="Calibri" w:hAnsi="Calibri"/>
          <w:sz w:val="24"/>
        </w:rPr>
        <w:t xml:space="preserve"> levels lead</w:t>
      </w:r>
      <w:r w:rsidR="00E2765E" w:rsidRPr="004B2A73">
        <w:rPr>
          <w:rFonts w:ascii="Calibri" w:hAnsi="Calibri"/>
          <w:sz w:val="24"/>
        </w:rPr>
        <w:t xml:space="preserve"> to congestion, and penalties</w:t>
      </w:r>
      <w:r w:rsidR="00F21E53" w:rsidRPr="004B2A73">
        <w:rPr>
          <w:rFonts w:ascii="Calibri" w:hAnsi="Calibri"/>
          <w:sz w:val="24"/>
        </w:rPr>
        <w:t xml:space="preserve"> for shippers</w:t>
      </w:r>
      <w:r w:rsidR="00E2765E" w:rsidRPr="004B2A73">
        <w:rPr>
          <w:rFonts w:ascii="Calibri" w:hAnsi="Calibri"/>
          <w:sz w:val="24"/>
        </w:rPr>
        <w:t xml:space="preserve"> by shipping lines </w:t>
      </w:r>
      <w:r w:rsidR="005E1D06" w:rsidRPr="004B2A73">
        <w:rPr>
          <w:rFonts w:ascii="Calibri" w:hAnsi="Calibri"/>
          <w:sz w:val="24"/>
        </w:rPr>
        <w:t>in</w:t>
      </w:r>
      <w:r w:rsidR="00E2765E" w:rsidRPr="004B2A73">
        <w:rPr>
          <w:rFonts w:ascii="Calibri" w:hAnsi="Calibri"/>
          <w:sz w:val="24"/>
        </w:rPr>
        <w:t xml:space="preserve"> the form of congestion surcharges. Port authorities did not have the resources to modernize their container facilities, and concessions of container berths to terminal operators w</w:t>
      </w:r>
      <w:r w:rsidR="00F73BDB" w:rsidRPr="004B2A73">
        <w:rPr>
          <w:rFonts w:ascii="Calibri" w:hAnsi="Calibri"/>
          <w:sz w:val="24"/>
        </w:rPr>
        <w:t>ere</w:t>
      </w:r>
      <w:r w:rsidR="00E2765E" w:rsidRPr="004B2A73">
        <w:rPr>
          <w:rFonts w:ascii="Calibri" w:hAnsi="Calibri"/>
          <w:sz w:val="24"/>
        </w:rPr>
        <w:t xml:space="preserve"> widely seen as the silver bullet to the capacity crisis.</w:t>
      </w:r>
      <w:r w:rsidR="00F21E53" w:rsidRPr="004B2A73">
        <w:rPr>
          <w:rFonts w:ascii="Calibri" w:hAnsi="Calibri"/>
          <w:sz w:val="24"/>
        </w:rPr>
        <w:t xml:space="preserve"> The arrival of TOC</w:t>
      </w:r>
      <w:r w:rsidR="00A57078" w:rsidRPr="004B2A73">
        <w:rPr>
          <w:rFonts w:ascii="Calibri" w:hAnsi="Calibri"/>
          <w:sz w:val="24"/>
        </w:rPr>
        <w:t>s</w:t>
      </w:r>
      <w:r w:rsidR="00F21E53" w:rsidRPr="004B2A73">
        <w:rPr>
          <w:rFonts w:ascii="Calibri" w:hAnsi="Calibri"/>
          <w:sz w:val="24"/>
        </w:rPr>
        <w:t xml:space="preserve"> in the West Africa port landscape has consequences for both the short term, with a focus on capacity management (or how to increase the output measured in TEUs with constrained input, defined as terminal physical characteristics), and for the long term, when the traffic growth will require developing new container terminal capacity (increased output through expansion of the input). Chapter 4 is focusing on the </w:t>
      </w:r>
      <w:r w:rsidR="00F800D4" w:rsidRPr="004B2A73">
        <w:rPr>
          <w:rFonts w:ascii="Calibri" w:hAnsi="Calibri"/>
          <w:sz w:val="24"/>
        </w:rPr>
        <w:t>short-term</w:t>
      </w:r>
      <w:r w:rsidR="00F21E53" w:rsidRPr="004B2A73">
        <w:rPr>
          <w:rFonts w:ascii="Calibri" w:hAnsi="Calibri"/>
          <w:sz w:val="24"/>
        </w:rPr>
        <w:t xml:space="preserve"> aspects, </w:t>
      </w:r>
      <w:r w:rsidR="00F73BDB" w:rsidRPr="004B2A73">
        <w:rPr>
          <w:rFonts w:ascii="Calibri" w:hAnsi="Calibri"/>
          <w:sz w:val="24"/>
        </w:rPr>
        <w:t>the impact of port terminal concessions on capacity, port efficiency, and prices</w:t>
      </w:r>
      <w:r w:rsidR="00F21E53" w:rsidRPr="004B2A73">
        <w:rPr>
          <w:rFonts w:ascii="Calibri" w:hAnsi="Calibri"/>
          <w:sz w:val="24"/>
        </w:rPr>
        <w:t>, while the next Chapter focuses on the long term adequacy between container traffic and capacity.</w:t>
      </w:r>
      <w:r w:rsidR="00F73BDB" w:rsidRPr="004B2A73">
        <w:rPr>
          <w:rFonts w:ascii="Calibri" w:hAnsi="Calibri"/>
          <w:sz w:val="24"/>
        </w:rPr>
        <w:t xml:space="preserve">  </w:t>
      </w:r>
    </w:p>
    <w:p w14:paraId="500C28A2" w14:textId="77777777" w:rsidR="00D643D0" w:rsidRPr="004B2A73" w:rsidRDefault="00D643D0" w:rsidP="00D643D0">
      <w:pPr>
        <w:pStyle w:val="ListParagraph"/>
        <w:spacing w:after="0"/>
        <w:ind w:left="0"/>
        <w:rPr>
          <w:rFonts w:ascii="Calibri" w:hAnsi="Calibri"/>
          <w:sz w:val="24"/>
        </w:rPr>
      </w:pPr>
    </w:p>
    <w:p w14:paraId="7D7FB32D" w14:textId="5D7BF5C5" w:rsidR="00FD5501" w:rsidRPr="009A36E4" w:rsidRDefault="00FD5501" w:rsidP="00981E58">
      <w:pPr>
        <w:pStyle w:val="Heading2"/>
        <w:ind w:hanging="90"/>
        <w:rPr>
          <w:color w:val="auto"/>
          <w:sz w:val="28"/>
          <w:szCs w:val="28"/>
        </w:rPr>
      </w:pPr>
      <w:bookmarkStart w:id="62" w:name="_Toc485381996"/>
      <w:r w:rsidRPr="009A36E4">
        <w:rPr>
          <w:color w:val="auto"/>
          <w:sz w:val="28"/>
          <w:szCs w:val="28"/>
        </w:rPr>
        <w:t xml:space="preserve">Impact of </w:t>
      </w:r>
      <w:r w:rsidR="00F71E28" w:rsidRPr="009A36E4">
        <w:rPr>
          <w:color w:val="auto"/>
          <w:sz w:val="28"/>
          <w:szCs w:val="28"/>
        </w:rPr>
        <w:t>c</w:t>
      </w:r>
      <w:r w:rsidR="006638E7" w:rsidRPr="009A36E4">
        <w:rPr>
          <w:color w:val="auto"/>
          <w:sz w:val="28"/>
          <w:szCs w:val="28"/>
        </w:rPr>
        <w:t xml:space="preserve">ontainer </w:t>
      </w:r>
      <w:r w:rsidR="00F71E28" w:rsidRPr="009A36E4">
        <w:rPr>
          <w:color w:val="auto"/>
          <w:sz w:val="28"/>
          <w:szCs w:val="28"/>
        </w:rPr>
        <w:t>t</w:t>
      </w:r>
      <w:r w:rsidR="006638E7" w:rsidRPr="009A36E4">
        <w:rPr>
          <w:color w:val="auto"/>
          <w:sz w:val="28"/>
          <w:szCs w:val="28"/>
        </w:rPr>
        <w:t xml:space="preserve">erminal </w:t>
      </w:r>
      <w:r w:rsidR="00F71E28" w:rsidRPr="009A36E4">
        <w:rPr>
          <w:color w:val="auto"/>
          <w:sz w:val="28"/>
          <w:szCs w:val="28"/>
        </w:rPr>
        <w:t>c</w:t>
      </w:r>
      <w:r w:rsidR="006638E7" w:rsidRPr="009A36E4">
        <w:rPr>
          <w:color w:val="auto"/>
          <w:sz w:val="28"/>
          <w:szCs w:val="28"/>
        </w:rPr>
        <w:t xml:space="preserve">oncessions </w:t>
      </w:r>
      <w:r w:rsidRPr="009A36E4">
        <w:rPr>
          <w:color w:val="auto"/>
          <w:sz w:val="28"/>
          <w:szCs w:val="28"/>
        </w:rPr>
        <w:t xml:space="preserve">on </w:t>
      </w:r>
      <w:r w:rsidR="00F71E28" w:rsidRPr="009A36E4">
        <w:rPr>
          <w:color w:val="auto"/>
          <w:sz w:val="28"/>
          <w:szCs w:val="28"/>
        </w:rPr>
        <w:t>c</w:t>
      </w:r>
      <w:r w:rsidRPr="009A36E4">
        <w:rPr>
          <w:color w:val="auto"/>
          <w:sz w:val="28"/>
          <w:szCs w:val="28"/>
        </w:rPr>
        <w:t>apacity</w:t>
      </w:r>
      <w:bookmarkEnd w:id="62"/>
    </w:p>
    <w:p w14:paraId="2709CDDE" w14:textId="77777777" w:rsidR="00B65D4F" w:rsidRPr="004B2A73" w:rsidRDefault="00B65D4F" w:rsidP="00B65D4F">
      <w:pPr>
        <w:pStyle w:val="ListParagraph"/>
        <w:spacing w:after="0"/>
        <w:ind w:left="0"/>
        <w:rPr>
          <w:rFonts w:ascii="Calibri" w:hAnsi="Calibri"/>
          <w:sz w:val="24"/>
        </w:rPr>
      </w:pPr>
    </w:p>
    <w:p w14:paraId="3E2B95B1" w14:textId="2EEBFAFD" w:rsidR="00FD5501" w:rsidRPr="004B2A73" w:rsidRDefault="00FD5501"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annual capacity of </w:t>
      </w:r>
      <w:r w:rsidR="00F71E28" w:rsidRPr="004B2A73">
        <w:rPr>
          <w:rFonts w:ascii="Calibri" w:hAnsi="Calibri"/>
          <w:b/>
          <w:sz w:val="24"/>
        </w:rPr>
        <w:t xml:space="preserve">a </w:t>
      </w:r>
      <w:r w:rsidRPr="004B2A73">
        <w:rPr>
          <w:rFonts w:ascii="Calibri" w:hAnsi="Calibri"/>
          <w:b/>
          <w:sz w:val="24"/>
        </w:rPr>
        <w:t xml:space="preserve">container terminal </w:t>
      </w:r>
      <w:r w:rsidR="0099613A" w:rsidRPr="004B2A73">
        <w:rPr>
          <w:rFonts w:ascii="Calibri" w:hAnsi="Calibri"/>
          <w:b/>
          <w:sz w:val="24"/>
        </w:rPr>
        <w:t>is a function of its physical characteristics</w:t>
      </w:r>
      <w:r w:rsidR="00135B3F" w:rsidRPr="004B2A73">
        <w:rPr>
          <w:rFonts w:ascii="Calibri" w:hAnsi="Calibri"/>
          <w:sz w:val="24"/>
        </w:rPr>
        <w:t xml:space="preserve">. These </w:t>
      </w:r>
      <w:r w:rsidRPr="004B2A73">
        <w:rPr>
          <w:rFonts w:ascii="Calibri" w:hAnsi="Calibri"/>
          <w:sz w:val="24"/>
        </w:rPr>
        <w:t xml:space="preserve">were first formalized by UNCTAD in </w:t>
      </w:r>
      <w:r w:rsidR="001F5FCC" w:rsidRPr="004B2A73">
        <w:rPr>
          <w:rFonts w:ascii="Calibri" w:hAnsi="Calibri"/>
          <w:sz w:val="24"/>
        </w:rPr>
        <w:t xml:space="preserve">its </w:t>
      </w:r>
      <w:r w:rsidRPr="004B2A73">
        <w:rPr>
          <w:rFonts w:ascii="Calibri" w:hAnsi="Calibri"/>
          <w:sz w:val="24"/>
        </w:rPr>
        <w:t>1985 Port Development Handbook as the minimum throughput of each main terminal function</w:t>
      </w:r>
      <w:r w:rsidR="00BD13CA" w:rsidRPr="004B2A73">
        <w:rPr>
          <w:rFonts w:ascii="Calibri" w:hAnsi="Calibri"/>
          <w:sz w:val="24"/>
        </w:rPr>
        <w:t xml:space="preserve">, as illustrated in </w:t>
      </w:r>
      <w:r w:rsidR="003E1BFC" w:rsidRPr="004B2A73">
        <w:rPr>
          <w:rFonts w:ascii="Calibri" w:hAnsi="Calibri"/>
        </w:rPr>
        <w:fldChar w:fldCharType="begin"/>
      </w:r>
      <w:r w:rsidR="003E1BFC" w:rsidRPr="004B2A73">
        <w:rPr>
          <w:rFonts w:ascii="Calibri" w:hAnsi="Calibri"/>
        </w:rPr>
        <w:instrText xml:space="preserve"> REF _Ref432607346 \h  \* MERGEFORMAT </w:instrText>
      </w:r>
      <w:r w:rsidR="003E1BFC" w:rsidRPr="004B2A73">
        <w:rPr>
          <w:rFonts w:ascii="Calibri" w:hAnsi="Calibri"/>
        </w:rPr>
      </w:r>
      <w:r w:rsidR="003E1BFC" w:rsidRPr="004B2A73">
        <w:rPr>
          <w:rFonts w:ascii="Calibri" w:hAnsi="Calibri"/>
        </w:rPr>
        <w:fldChar w:fldCharType="separate"/>
      </w:r>
      <w:r w:rsidR="00212D01" w:rsidRPr="00212D01">
        <w:rPr>
          <w:rFonts w:ascii="Calibri" w:hAnsi="Calibri"/>
          <w:sz w:val="24"/>
        </w:rPr>
        <w:t xml:space="preserve">Figure </w:t>
      </w:r>
      <w:r w:rsidR="00212D01" w:rsidRPr="00212D01">
        <w:rPr>
          <w:rFonts w:ascii="Calibri" w:hAnsi="Calibri"/>
          <w:noProof/>
          <w:sz w:val="24"/>
        </w:rPr>
        <w:t>10</w:t>
      </w:r>
      <w:r w:rsidR="003E1BFC" w:rsidRPr="004B2A73">
        <w:rPr>
          <w:rFonts w:ascii="Calibri" w:hAnsi="Calibri"/>
        </w:rPr>
        <w:fldChar w:fldCharType="end"/>
      </w:r>
      <w:r w:rsidRPr="004B2A73">
        <w:rPr>
          <w:rFonts w:ascii="Calibri" w:hAnsi="Calibri"/>
          <w:sz w:val="24"/>
        </w:rPr>
        <w:t xml:space="preserve">: berth transfer between ship and quay, transfer between quay and yard, yard </w:t>
      </w:r>
      <w:r w:rsidR="00BD13CA" w:rsidRPr="004B2A73">
        <w:rPr>
          <w:rFonts w:ascii="Calibri" w:hAnsi="Calibri"/>
          <w:sz w:val="24"/>
        </w:rPr>
        <w:t>storage</w:t>
      </w:r>
      <w:r w:rsidRPr="004B2A73">
        <w:rPr>
          <w:rFonts w:ascii="Calibri" w:hAnsi="Calibri"/>
          <w:sz w:val="24"/>
        </w:rPr>
        <w:t xml:space="preserve">, and gate transfer. Over time, the formula was refined to take into account possible variations </w:t>
      </w:r>
      <w:r w:rsidR="001F5FCC" w:rsidRPr="004B2A73">
        <w:rPr>
          <w:rFonts w:ascii="Calibri" w:hAnsi="Calibri"/>
          <w:sz w:val="24"/>
        </w:rPr>
        <w:t>in</w:t>
      </w:r>
      <w:r w:rsidRPr="004B2A73">
        <w:rPr>
          <w:rFonts w:ascii="Calibri" w:hAnsi="Calibri"/>
          <w:sz w:val="24"/>
        </w:rPr>
        <w:t xml:space="preserve"> terminal characteristics, so there may be </w:t>
      </w:r>
      <w:r w:rsidR="00F73BDB" w:rsidRPr="004B2A73">
        <w:rPr>
          <w:rFonts w:ascii="Calibri" w:hAnsi="Calibri"/>
          <w:sz w:val="24"/>
        </w:rPr>
        <w:t xml:space="preserve">a </w:t>
      </w:r>
      <w:r w:rsidRPr="004B2A73">
        <w:rPr>
          <w:rFonts w:ascii="Calibri" w:hAnsi="Calibri"/>
          <w:sz w:val="24"/>
        </w:rPr>
        <w:t xml:space="preserve">wide variance in the reported capacity </w:t>
      </w:r>
      <w:r w:rsidR="00F73BDB" w:rsidRPr="004B2A73">
        <w:rPr>
          <w:rFonts w:ascii="Calibri" w:hAnsi="Calibri"/>
          <w:sz w:val="24"/>
        </w:rPr>
        <w:t>of</w:t>
      </w:r>
      <w:r w:rsidRPr="004B2A73">
        <w:rPr>
          <w:rFonts w:ascii="Calibri" w:hAnsi="Calibri"/>
          <w:sz w:val="24"/>
        </w:rPr>
        <w:t xml:space="preserve"> the container terminal, </w:t>
      </w:r>
      <w:r w:rsidR="00F73BDB" w:rsidRPr="004B2A73">
        <w:rPr>
          <w:rFonts w:ascii="Calibri" w:hAnsi="Calibri"/>
          <w:sz w:val="24"/>
        </w:rPr>
        <w:t xml:space="preserve">depending on </w:t>
      </w:r>
      <w:r w:rsidRPr="004B2A73">
        <w:rPr>
          <w:rFonts w:ascii="Calibri" w:hAnsi="Calibri"/>
          <w:sz w:val="24"/>
        </w:rPr>
        <w:t>method and hypothesis used in the calculation.</w:t>
      </w:r>
    </w:p>
    <w:p w14:paraId="291A6B30" w14:textId="77777777" w:rsidR="0099613A" w:rsidRPr="004B2A73" w:rsidRDefault="0099613A" w:rsidP="0099613A">
      <w:pPr>
        <w:pStyle w:val="NoSpacing"/>
        <w:rPr>
          <w:rFonts w:ascii="Calibri" w:hAnsi="Calibri"/>
        </w:rPr>
      </w:pPr>
    </w:p>
    <w:p w14:paraId="758ED9A4" w14:textId="77777777" w:rsidR="00D66ADA" w:rsidRPr="004B2A73" w:rsidRDefault="00D66AD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Poor performances exacerbate capacity constraints.</w:t>
      </w:r>
      <w:r w:rsidRPr="004B2A73">
        <w:rPr>
          <w:rFonts w:ascii="Calibri" w:hAnsi="Calibri"/>
          <w:sz w:val="24"/>
        </w:rPr>
        <w:t xml:space="preserve"> Low productivity at berth lengthens the time needed at berth to handle a given volume of containers on board of a ship, and beyond a certain level of berth occupancy, waiting delays escalate. Shipping lines are very sensitive to the time spent in ports, whether outside the port waiting for an available berth, or at berth, delayed by low productivity.</w:t>
      </w:r>
      <w:r w:rsidR="007A7DCD" w:rsidRPr="004B2A73">
        <w:rPr>
          <w:rFonts w:ascii="Calibri" w:hAnsi="Calibri"/>
          <w:sz w:val="24"/>
        </w:rPr>
        <w:t xml:space="preserve"> From a shipping line perspective, ample capacity reserves are good, but from a port authority or TOC perspective, that means over-investing or over-anticipating the growth of the demand. The challenge is therefore to strike the correct balance between performance, investment and anticipation of growth.</w:t>
      </w:r>
      <w:r w:rsidRPr="004B2A73">
        <w:rPr>
          <w:rFonts w:ascii="Calibri" w:hAnsi="Calibri"/>
          <w:sz w:val="24"/>
        </w:rPr>
        <w:t xml:space="preserve"> </w:t>
      </w:r>
    </w:p>
    <w:p w14:paraId="0440542E" w14:textId="37267C80" w:rsidR="00BD13CA" w:rsidRPr="004B2A73" w:rsidRDefault="00BD13CA" w:rsidP="00AF33A5">
      <w:pPr>
        <w:pStyle w:val="Caption"/>
        <w:rPr>
          <w:rFonts w:ascii="Calibri" w:hAnsi="Calibri"/>
        </w:rPr>
      </w:pPr>
      <w:bookmarkStart w:id="63" w:name="_Ref432607346"/>
      <w:bookmarkStart w:id="64" w:name="_Toc485377045"/>
      <w:r w:rsidRPr="004B2A73">
        <w:rPr>
          <w:rFonts w:ascii="Calibri" w:hAnsi="Calibri"/>
        </w:rPr>
        <w:lastRenderedPageBreak/>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10</w:t>
      </w:r>
      <w:r w:rsidR="00520B46" w:rsidRPr="004B2A73">
        <w:rPr>
          <w:rFonts w:ascii="Calibri" w:hAnsi="Calibri"/>
        </w:rPr>
        <w:fldChar w:fldCharType="end"/>
      </w:r>
      <w:bookmarkEnd w:id="63"/>
      <w:r w:rsidRPr="004B2A73">
        <w:rPr>
          <w:rFonts w:ascii="Calibri" w:hAnsi="Calibri"/>
        </w:rPr>
        <w:t>: Factors in the calculation of the container terminal capacity</w:t>
      </w:r>
      <w:bookmarkEnd w:id="64"/>
    </w:p>
    <w:p w14:paraId="32EA15E5" w14:textId="77777777" w:rsidR="00FD5501" w:rsidRDefault="00FD5501" w:rsidP="00586EFD">
      <w:pPr>
        <w:rPr>
          <w:rFonts w:ascii="Calibri" w:hAnsi="Calibri"/>
          <w:sz w:val="24"/>
          <w:szCs w:val="24"/>
        </w:rPr>
      </w:pPr>
      <w:r w:rsidRPr="004B2A73">
        <w:rPr>
          <w:rFonts w:ascii="Calibri" w:hAnsi="Calibri"/>
          <w:noProof/>
          <w:sz w:val="24"/>
          <w:szCs w:val="24"/>
        </w:rPr>
        <w:drawing>
          <wp:inline distT="0" distB="0" distL="0" distR="0" wp14:anchorId="53598864" wp14:editId="35EC41EB">
            <wp:extent cx="5743575" cy="1552575"/>
            <wp:effectExtent l="38100" t="0" r="9525"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3A99988" w14:textId="77777777" w:rsidR="00586EFD" w:rsidRPr="004B2A73" w:rsidRDefault="00586EFD" w:rsidP="00586EFD">
      <w:pPr>
        <w:rPr>
          <w:rFonts w:ascii="Calibri" w:hAnsi="Calibri"/>
          <w:sz w:val="24"/>
          <w:szCs w:val="24"/>
        </w:rPr>
      </w:pPr>
    </w:p>
    <w:p w14:paraId="5956B9F9" w14:textId="77777777" w:rsidR="00440D5D" w:rsidRPr="009A36E4" w:rsidRDefault="00440D5D" w:rsidP="002D643F">
      <w:pPr>
        <w:pStyle w:val="Heading2"/>
        <w:ind w:hanging="90"/>
        <w:rPr>
          <w:color w:val="auto"/>
          <w:sz w:val="28"/>
          <w:szCs w:val="28"/>
        </w:rPr>
      </w:pPr>
      <w:bookmarkStart w:id="65" w:name="_Toc485381997"/>
      <w:r w:rsidRPr="009A36E4">
        <w:rPr>
          <w:color w:val="auto"/>
          <w:sz w:val="28"/>
          <w:szCs w:val="28"/>
        </w:rPr>
        <w:t>The transformation of the container terminals in West Africa</w:t>
      </w:r>
      <w:bookmarkEnd w:id="65"/>
    </w:p>
    <w:p w14:paraId="6F295FBE" w14:textId="77777777" w:rsidR="005C770B" w:rsidRPr="004B2A73" w:rsidRDefault="005C770B" w:rsidP="0025767C">
      <w:pPr>
        <w:rPr>
          <w:rFonts w:ascii="Calibri" w:hAnsi="Calibri"/>
        </w:rPr>
      </w:pPr>
    </w:p>
    <w:p w14:paraId="214AF782" w14:textId="77777777" w:rsidR="00047F52" w:rsidRPr="004B2A73" w:rsidRDefault="00047F5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Before the first wave of container terminal concessions, </w:t>
      </w:r>
      <w:r w:rsidR="009825AB" w:rsidRPr="004B2A73">
        <w:rPr>
          <w:rFonts w:ascii="Calibri" w:hAnsi="Calibri"/>
          <w:b/>
          <w:sz w:val="24"/>
        </w:rPr>
        <w:t xml:space="preserve">only a handful of </w:t>
      </w:r>
      <w:r w:rsidRPr="004B2A73">
        <w:rPr>
          <w:rFonts w:ascii="Calibri" w:hAnsi="Calibri"/>
          <w:b/>
          <w:sz w:val="24"/>
        </w:rPr>
        <w:t xml:space="preserve">West Africa ports </w:t>
      </w:r>
      <w:r w:rsidR="009825AB" w:rsidRPr="004B2A73">
        <w:rPr>
          <w:rFonts w:ascii="Calibri" w:hAnsi="Calibri"/>
          <w:b/>
          <w:sz w:val="24"/>
        </w:rPr>
        <w:t xml:space="preserve">were </w:t>
      </w:r>
      <w:r w:rsidRPr="004B2A73">
        <w:rPr>
          <w:rFonts w:ascii="Calibri" w:hAnsi="Calibri"/>
          <w:b/>
          <w:sz w:val="24"/>
        </w:rPr>
        <w:t>equipped with STS cranes for containers</w:t>
      </w:r>
      <w:r w:rsidRPr="004B2A73">
        <w:rPr>
          <w:rFonts w:ascii="Calibri" w:hAnsi="Calibri"/>
          <w:sz w:val="24"/>
        </w:rPr>
        <w:t xml:space="preserve">, and most shipping lines had to deploy geared vessels on the West Africa trades. Handling productivity with ship’s gear is low, generally below 10 moves </w:t>
      </w:r>
      <w:r w:rsidR="00D66ADA" w:rsidRPr="004B2A73">
        <w:rPr>
          <w:rFonts w:ascii="Calibri" w:hAnsi="Calibri"/>
          <w:sz w:val="24"/>
        </w:rPr>
        <w:t xml:space="preserve">per crane </w:t>
      </w:r>
      <w:r w:rsidRPr="004B2A73">
        <w:rPr>
          <w:rFonts w:ascii="Calibri" w:hAnsi="Calibri"/>
          <w:sz w:val="24"/>
        </w:rPr>
        <w:t>per hour</w:t>
      </w:r>
      <w:r w:rsidR="009825AB" w:rsidRPr="004B2A73">
        <w:rPr>
          <w:rFonts w:ascii="Calibri" w:hAnsi="Calibri"/>
          <w:sz w:val="24"/>
        </w:rPr>
        <w:t>.  Moreover,</w:t>
      </w:r>
      <w:r w:rsidRPr="004B2A73">
        <w:rPr>
          <w:rFonts w:ascii="Calibri" w:hAnsi="Calibri"/>
          <w:sz w:val="24"/>
        </w:rPr>
        <w:t xml:space="preserve"> geared vessels are of limited capacity, a maximum of 2,500 TEUs</w:t>
      </w:r>
      <w:r w:rsidR="009825AB" w:rsidRPr="004B2A73">
        <w:rPr>
          <w:rFonts w:ascii="Calibri" w:hAnsi="Calibri"/>
          <w:sz w:val="24"/>
        </w:rPr>
        <w:t>,</w:t>
      </w:r>
      <w:r w:rsidRPr="004B2A73">
        <w:rPr>
          <w:rFonts w:ascii="Calibri" w:hAnsi="Calibri"/>
          <w:sz w:val="24"/>
        </w:rPr>
        <w:t xml:space="preserve"> with therefore a higher unit cost per TEU than </w:t>
      </w:r>
      <w:r w:rsidR="007E2642" w:rsidRPr="004B2A73">
        <w:rPr>
          <w:rFonts w:ascii="Calibri" w:hAnsi="Calibri"/>
          <w:sz w:val="24"/>
        </w:rPr>
        <w:t xml:space="preserve">the </w:t>
      </w:r>
      <w:r w:rsidR="009825AB" w:rsidRPr="004B2A73">
        <w:rPr>
          <w:rFonts w:ascii="Calibri" w:hAnsi="Calibri"/>
          <w:sz w:val="24"/>
        </w:rPr>
        <w:t xml:space="preserve">vessels of </w:t>
      </w:r>
      <w:r w:rsidRPr="004B2A73">
        <w:rPr>
          <w:rFonts w:ascii="Calibri" w:hAnsi="Calibri"/>
          <w:sz w:val="24"/>
        </w:rPr>
        <w:t xml:space="preserve">4,000 TEU </w:t>
      </w:r>
      <w:r w:rsidR="007E2642" w:rsidRPr="004B2A73">
        <w:rPr>
          <w:rFonts w:ascii="Calibri" w:hAnsi="Calibri"/>
          <w:sz w:val="24"/>
        </w:rPr>
        <w:t>or</w:t>
      </w:r>
      <w:r w:rsidRPr="004B2A73">
        <w:rPr>
          <w:rFonts w:ascii="Calibri" w:hAnsi="Calibri"/>
          <w:sz w:val="24"/>
        </w:rPr>
        <w:t xml:space="preserve"> more tha</w:t>
      </w:r>
      <w:r w:rsidR="007E2642" w:rsidRPr="004B2A73">
        <w:rPr>
          <w:rFonts w:ascii="Calibri" w:hAnsi="Calibri"/>
          <w:sz w:val="24"/>
        </w:rPr>
        <w:t>t</w:t>
      </w:r>
      <w:r w:rsidRPr="004B2A73">
        <w:rPr>
          <w:rFonts w:ascii="Calibri" w:hAnsi="Calibri"/>
          <w:sz w:val="24"/>
        </w:rPr>
        <w:t xml:space="preserve"> have become common on West Africa trades. Yard handling equipment was also outdated,</w:t>
      </w:r>
      <w:r w:rsidR="007E2642" w:rsidRPr="004B2A73">
        <w:rPr>
          <w:rFonts w:ascii="Calibri" w:hAnsi="Calibri"/>
          <w:sz w:val="24"/>
        </w:rPr>
        <w:t xml:space="preserve"> as</w:t>
      </w:r>
      <w:r w:rsidRPr="004B2A73">
        <w:rPr>
          <w:rFonts w:ascii="Calibri" w:hAnsi="Calibri"/>
          <w:sz w:val="24"/>
        </w:rPr>
        <w:t xml:space="preserve"> most operations rel</w:t>
      </w:r>
      <w:r w:rsidR="007E2642" w:rsidRPr="004B2A73">
        <w:rPr>
          <w:rFonts w:ascii="Calibri" w:hAnsi="Calibri"/>
          <w:sz w:val="24"/>
        </w:rPr>
        <w:t>ied</w:t>
      </w:r>
      <w:r w:rsidRPr="004B2A73">
        <w:rPr>
          <w:rFonts w:ascii="Calibri" w:hAnsi="Calibri"/>
          <w:sz w:val="24"/>
        </w:rPr>
        <w:t xml:space="preserve"> on reach stackers and </w:t>
      </w:r>
      <w:r w:rsidR="00D66ADA" w:rsidRPr="004B2A73">
        <w:rPr>
          <w:rFonts w:ascii="Calibri" w:hAnsi="Calibri"/>
          <w:sz w:val="24"/>
        </w:rPr>
        <w:t xml:space="preserve">therefore </w:t>
      </w:r>
      <w:r w:rsidRPr="004B2A73">
        <w:rPr>
          <w:rFonts w:ascii="Calibri" w:hAnsi="Calibri"/>
          <w:sz w:val="24"/>
        </w:rPr>
        <w:t>low density yards</w:t>
      </w:r>
      <w:r w:rsidR="00D66ADA" w:rsidRPr="004B2A73">
        <w:rPr>
          <w:rFonts w:ascii="Calibri" w:hAnsi="Calibri"/>
          <w:sz w:val="24"/>
        </w:rPr>
        <w:t>, which in turn limited the capacity of the terminals</w:t>
      </w:r>
      <w:r w:rsidRPr="004B2A73">
        <w:rPr>
          <w:rFonts w:ascii="Calibri" w:hAnsi="Calibri"/>
          <w:sz w:val="24"/>
        </w:rPr>
        <w:t>.</w:t>
      </w:r>
    </w:p>
    <w:p w14:paraId="5405F6E4" w14:textId="77777777" w:rsidR="00B65D4F" w:rsidRPr="004B2A73" w:rsidRDefault="00B65D4F" w:rsidP="00B65D4F">
      <w:pPr>
        <w:pStyle w:val="ListParagraph"/>
        <w:spacing w:after="0"/>
        <w:ind w:left="0"/>
        <w:rPr>
          <w:rFonts w:ascii="Calibri" w:hAnsi="Calibri"/>
          <w:sz w:val="24"/>
        </w:rPr>
      </w:pPr>
    </w:p>
    <w:p w14:paraId="03DD594E" w14:textId="1EE70B35" w:rsidR="00047F52" w:rsidRPr="004B2A73" w:rsidRDefault="00047F5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With the transfer of container activities to terminal operators, very often the first investment was to </w:t>
      </w:r>
      <w:r w:rsidR="007A7DCD" w:rsidRPr="004B2A73">
        <w:rPr>
          <w:rFonts w:ascii="Calibri" w:hAnsi="Calibri"/>
          <w:b/>
          <w:sz w:val="24"/>
        </w:rPr>
        <w:t xml:space="preserve">modernize </w:t>
      </w:r>
      <w:r w:rsidRPr="004B2A73">
        <w:rPr>
          <w:rFonts w:ascii="Calibri" w:hAnsi="Calibri"/>
          <w:b/>
          <w:sz w:val="24"/>
        </w:rPr>
        <w:t>the handling equipment</w:t>
      </w:r>
      <w:r w:rsidRPr="004B2A73">
        <w:rPr>
          <w:rFonts w:ascii="Calibri" w:hAnsi="Calibri"/>
          <w:sz w:val="24"/>
        </w:rPr>
        <w:t xml:space="preserve">. For instance, in Lagos Apapa, where congestion was acute, the container terminal had only 2 STS cranes and 2 </w:t>
      </w:r>
      <w:r w:rsidR="007E2642" w:rsidRPr="004B2A73">
        <w:rPr>
          <w:rFonts w:ascii="Calibri" w:hAnsi="Calibri"/>
          <w:sz w:val="24"/>
        </w:rPr>
        <w:t>mobile harbor cranes (MHCs)</w:t>
      </w:r>
      <w:r w:rsidRPr="004B2A73">
        <w:rPr>
          <w:rFonts w:ascii="Calibri" w:hAnsi="Calibri"/>
          <w:sz w:val="24"/>
        </w:rPr>
        <w:t>. APM Terminal added 4 STS in 2008, 3 MHC</w:t>
      </w:r>
      <w:r w:rsidR="00285214" w:rsidRPr="004B2A73">
        <w:rPr>
          <w:rFonts w:ascii="Calibri" w:hAnsi="Calibri"/>
          <w:sz w:val="24"/>
        </w:rPr>
        <w:t>s</w:t>
      </w:r>
      <w:r w:rsidRPr="004B2A73">
        <w:rPr>
          <w:rFonts w:ascii="Calibri" w:hAnsi="Calibri"/>
          <w:sz w:val="24"/>
        </w:rPr>
        <w:t xml:space="preserve"> in 2011, and another 3 MHC</w:t>
      </w:r>
      <w:r w:rsidR="00285214" w:rsidRPr="004B2A73">
        <w:rPr>
          <w:rFonts w:ascii="Calibri" w:hAnsi="Calibri"/>
          <w:sz w:val="24"/>
        </w:rPr>
        <w:t>s</w:t>
      </w:r>
      <w:r w:rsidRPr="004B2A73">
        <w:rPr>
          <w:rFonts w:ascii="Calibri" w:hAnsi="Calibri"/>
          <w:sz w:val="24"/>
        </w:rPr>
        <w:t xml:space="preserve"> in 2012. For the yard equipment, APM Terminals </w:t>
      </w:r>
      <w:r w:rsidR="009825AB" w:rsidRPr="004B2A73">
        <w:rPr>
          <w:rFonts w:ascii="Calibri" w:hAnsi="Calibri"/>
          <w:sz w:val="24"/>
        </w:rPr>
        <w:t xml:space="preserve">had 8 rubber-tyred gantry (RTG) </w:t>
      </w:r>
      <w:r w:rsidR="000F5586" w:rsidRPr="004B2A73">
        <w:rPr>
          <w:rFonts w:ascii="Calibri" w:hAnsi="Calibri"/>
          <w:sz w:val="24"/>
        </w:rPr>
        <w:t>cranes in</w:t>
      </w:r>
      <w:r w:rsidR="009825AB" w:rsidRPr="004B2A73">
        <w:rPr>
          <w:rFonts w:ascii="Calibri" w:hAnsi="Calibri"/>
          <w:sz w:val="24"/>
        </w:rPr>
        <w:t xml:space="preserve"> operation </w:t>
      </w:r>
      <w:r w:rsidRPr="004B2A73">
        <w:rPr>
          <w:rFonts w:ascii="Calibri" w:hAnsi="Calibri"/>
          <w:sz w:val="24"/>
        </w:rPr>
        <w:t xml:space="preserve">by 2009. Five more were added in 2011 (one </w:t>
      </w:r>
      <w:r w:rsidR="009825AB" w:rsidRPr="004B2A73">
        <w:rPr>
          <w:rFonts w:ascii="Calibri" w:hAnsi="Calibri"/>
          <w:sz w:val="24"/>
        </w:rPr>
        <w:t xml:space="preserve">was </w:t>
      </w:r>
      <w:r w:rsidRPr="004B2A73">
        <w:rPr>
          <w:rFonts w:ascii="Calibri" w:hAnsi="Calibri"/>
          <w:sz w:val="24"/>
        </w:rPr>
        <w:t xml:space="preserve">retired), and 4 more were ordered early </w:t>
      </w:r>
      <w:r w:rsidR="009825AB" w:rsidRPr="004B2A73">
        <w:rPr>
          <w:rFonts w:ascii="Calibri" w:hAnsi="Calibri"/>
          <w:sz w:val="24"/>
        </w:rPr>
        <w:t xml:space="preserve">in </w:t>
      </w:r>
      <w:r w:rsidRPr="004B2A73">
        <w:rPr>
          <w:rFonts w:ascii="Calibri" w:hAnsi="Calibri"/>
          <w:sz w:val="24"/>
        </w:rPr>
        <w:t xml:space="preserve">2015. </w:t>
      </w:r>
      <w:r w:rsidR="00F027DA" w:rsidRPr="004B2A73">
        <w:rPr>
          <w:rFonts w:ascii="Calibri" w:hAnsi="Calibri"/>
          <w:sz w:val="24"/>
        </w:rPr>
        <w:t>Once those last four delivered, t</w:t>
      </w:r>
      <w:r w:rsidR="009825AB" w:rsidRPr="004B2A73">
        <w:rPr>
          <w:rFonts w:ascii="Calibri" w:hAnsi="Calibri"/>
          <w:sz w:val="24"/>
        </w:rPr>
        <w:t>he t</w:t>
      </w:r>
      <w:r w:rsidRPr="004B2A73">
        <w:rPr>
          <w:rFonts w:ascii="Calibri" w:hAnsi="Calibri"/>
          <w:sz w:val="24"/>
        </w:rPr>
        <w:t xml:space="preserve">otal operational fleet will be 12 </w:t>
      </w:r>
      <w:r w:rsidR="00F027DA" w:rsidRPr="004B2A73">
        <w:rPr>
          <w:rFonts w:ascii="Calibri" w:hAnsi="Calibri"/>
          <w:sz w:val="24"/>
        </w:rPr>
        <w:t xml:space="preserve">RTGs </w:t>
      </w:r>
      <w:r w:rsidRPr="004B2A73">
        <w:rPr>
          <w:rFonts w:ascii="Calibri" w:hAnsi="Calibri"/>
          <w:sz w:val="24"/>
        </w:rPr>
        <w:t xml:space="preserve">(with some older equipment retired). </w:t>
      </w:r>
      <w:r w:rsidR="00C06459" w:rsidRPr="00C06459">
        <w:rPr>
          <w:rFonts w:ascii="Calibri" w:hAnsi="Calibri"/>
          <w:sz w:val="24"/>
        </w:rPr>
        <w:t xml:space="preserve">In the Abidjan Container Terminal, the handling equipment taken over by the TOC at the start of the concession included three STS and one crane, and the yard was operated with </w:t>
      </w:r>
      <w:r w:rsidR="009E4E5A" w:rsidRPr="00C06459">
        <w:rPr>
          <w:rFonts w:ascii="Calibri" w:hAnsi="Calibri"/>
          <w:sz w:val="24"/>
        </w:rPr>
        <w:t>reach stackers</w:t>
      </w:r>
      <w:r w:rsidR="00C06459" w:rsidRPr="00C06459">
        <w:rPr>
          <w:rFonts w:ascii="Calibri" w:hAnsi="Calibri"/>
          <w:sz w:val="24"/>
        </w:rPr>
        <w:t>. A fourth STS was added in 2009, followed by two more in 2011, and two again were ordered in 2016. In addition to the initial crane, one was added in 2012, and a third one in 2014. The yard operation was converted to RTG, with an initial batch of 8 at the end of 2007, following by 8 more in 2009, and four in 2015.</w:t>
      </w:r>
      <w:r w:rsidR="00C06459">
        <w:rPr>
          <w:rFonts w:ascii="Calibri" w:hAnsi="Calibri"/>
          <w:sz w:val="24"/>
        </w:rPr>
        <w:t xml:space="preserve"> </w:t>
      </w:r>
      <w:r w:rsidR="00C06459" w:rsidRPr="00C06459">
        <w:rPr>
          <w:rFonts w:ascii="Calibri" w:hAnsi="Calibri"/>
          <w:sz w:val="24"/>
        </w:rPr>
        <w:t>In Tema, MPS acquired from GPHA three STS and 4 RTG that were delivered in 2005. Two mobile cranes were acquired in 2010, followed by a third one in 2012. In 2013, 9 RTG and 2 STS were added.</w:t>
      </w:r>
      <w:r w:rsidR="00C06459">
        <w:rPr>
          <w:rFonts w:ascii="Calibri" w:hAnsi="Calibri"/>
          <w:sz w:val="24"/>
        </w:rPr>
        <w:t xml:space="preserve"> Those are not isolated case: s</w:t>
      </w:r>
      <w:r w:rsidRPr="004B2A73">
        <w:rPr>
          <w:rFonts w:ascii="Calibri" w:hAnsi="Calibri"/>
          <w:sz w:val="24"/>
        </w:rPr>
        <w:t xml:space="preserve">imilar phased investments in handling equipment were made in </w:t>
      </w:r>
      <w:r w:rsidR="00C06459">
        <w:rPr>
          <w:rFonts w:ascii="Calibri" w:hAnsi="Calibri"/>
          <w:sz w:val="24"/>
        </w:rPr>
        <w:t xml:space="preserve">all West Africa </w:t>
      </w:r>
      <w:r w:rsidRPr="004B2A73">
        <w:rPr>
          <w:rFonts w:ascii="Calibri" w:hAnsi="Calibri"/>
          <w:sz w:val="24"/>
        </w:rPr>
        <w:t>ports</w:t>
      </w:r>
      <w:r w:rsidR="007A7DCD" w:rsidRPr="004B2A73">
        <w:rPr>
          <w:rFonts w:ascii="Calibri" w:hAnsi="Calibri"/>
          <w:sz w:val="24"/>
        </w:rPr>
        <w:t xml:space="preserve"> after TOC took over the management of the terminals</w:t>
      </w:r>
      <w:r w:rsidRPr="004B2A73">
        <w:rPr>
          <w:rFonts w:ascii="Calibri" w:hAnsi="Calibri"/>
          <w:sz w:val="24"/>
        </w:rPr>
        <w:t>.</w:t>
      </w:r>
    </w:p>
    <w:p w14:paraId="5DB7BBF5" w14:textId="77777777" w:rsidR="00B65D4F" w:rsidRPr="004B2A73" w:rsidRDefault="00B65D4F" w:rsidP="00B65D4F">
      <w:pPr>
        <w:pStyle w:val="ListParagraph"/>
        <w:spacing w:after="0"/>
        <w:ind w:left="0"/>
        <w:rPr>
          <w:rFonts w:ascii="Calibri" w:hAnsi="Calibri"/>
          <w:sz w:val="24"/>
        </w:rPr>
      </w:pPr>
    </w:p>
    <w:p w14:paraId="6CB28FCD" w14:textId="75A6C2C4" w:rsidR="00047F52" w:rsidRPr="004B2A73" w:rsidRDefault="00047F5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lastRenderedPageBreak/>
        <w:t>In numerous cases, quay length and yard area w</w:t>
      </w:r>
      <w:r w:rsidR="00285214" w:rsidRPr="004B2A73">
        <w:rPr>
          <w:rFonts w:ascii="Calibri" w:hAnsi="Calibri"/>
          <w:b/>
          <w:sz w:val="24"/>
        </w:rPr>
        <w:t>ere</w:t>
      </w:r>
      <w:r w:rsidRPr="004B2A73">
        <w:rPr>
          <w:rFonts w:ascii="Calibri" w:hAnsi="Calibri"/>
          <w:b/>
          <w:sz w:val="24"/>
        </w:rPr>
        <w:t xml:space="preserve"> also expanded</w:t>
      </w:r>
      <w:r w:rsidRPr="004B2A73">
        <w:rPr>
          <w:rFonts w:ascii="Calibri" w:hAnsi="Calibri"/>
          <w:sz w:val="24"/>
        </w:rPr>
        <w:t>: in Conakry, BAL extended the quay wall by 340</w:t>
      </w:r>
      <w:r w:rsidR="009825AB" w:rsidRPr="004B2A73">
        <w:rPr>
          <w:rFonts w:ascii="Calibri" w:hAnsi="Calibri"/>
          <w:sz w:val="24"/>
        </w:rPr>
        <w:t xml:space="preserve"> meters</w:t>
      </w:r>
      <w:r w:rsidRPr="004B2A73">
        <w:rPr>
          <w:rFonts w:ascii="Calibri" w:hAnsi="Calibri"/>
          <w:sz w:val="24"/>
        </w:rPr>
        <w:t>, more than doubling its length, and added 6 h</w:t>
      </w:r>
      <w:r w:rsidR="009825AB" w:rsidRPr="004B2A73">
        <w:rPr>
          <w:rFonts w:ascii="Calibri" w:hAnsi="Calibri"/>
          <w:sz w:val="24"/>
        </w:rPr>
        <w:t>ect</w:t>
      </w:r>
      <w:r w:rsidRPr="004B2A73">
        <w:rPr>
          <w:rFonts w:ascii="Calibri" w:hAnsi="Calibri"/>
          <w:sz w:val="24"/>
        </w:rPr>
        <w:t>a</w:t>
      </w:r>
      <w:r w:rsidR="009825AB" w:rsidRPr="004B2A73">
        <w:rPr>
          <w:rFonts w:ascii="Calibri" w:hAnsi="Calibri"/>
          <w:sz w:val="24"/>
        </w:rPr>
        <w:t>res</w:t>
      </w:r>
      <w:r w:rsidRPr="004B2A73">
        <w:rPr>
          <w:rFonts w:ascii="Calibri" w:hAnsi="Calibri"/>
          <w:sz w:val="24"/>
        </w:rPr>
        <w:t xml:space="preserve"> of yard</w:t>
      </w:r>
      <w:r w:rsidR="00D544A9" w:rsidRPr="004B2A73">
        <w:rPr>
          <w:rFonts w:ascii="Calibri" w:hAnsi="Calibri"/>
          <w:sz w:val="24"/>
        </w:rPr>
        <w:t>;</w:t>
      </w:r>
      <w:r w:rsidRPr="004B2A73">
        <w:rPr>
          <w:rFonts w:ascii="Calibri" w:hAnsi="Calibri"/>
          <w:sz w:val="24"/>
        </w:rPr>
        <w:t xml:space="preserve"> in </w:t>
      </w:r>
      <w:r w:rsidR="00131772" w:rsidRPr="004B2A73">
        <w:rPr>
          <w:rFonts w:ascii="Calibri" w:hAnsi="Calibri"/>
          <w:sz w:val="24"/>
        </w:rPr>
        <w:t>Lomé</w:t>
      </w:r>
      <w:r w:rsidRPr="004B2A73">
        <w:rPr>
          <w:rFonts w:ascii="Calibri" w:hAnsi="Calibri"/>
          <w:sz w:val="24"/>
        </w:rPr>
        <w:t>, BAL extended the quay length in its terminal by 450</w:t>
      </w:r>
      <w:r w:rsidR="00D544A9" w:rsidRPr="004B2A73">
        <w:rPr>
          <w:rFonts w:ascii="Calibri" w:hAnsi="Calibri"/>
          <w:sz w:val="24"/>
        </w:rPr>
        <w:t xml:space="preserve"> </w:t>
      </w:r>
      <w:r w:rsidRPr="004B2A73">
        <w:rPr>
          <w:rFonts w:ascii="Calibri" w:hAnsi="Calibri"/>
          <w:sz w:val="24"/>
        </w:rPr>
        <w:t>m</w:t>
      </w:r>
      <w:r w:rsidR="00D544A9" w:rsidRPr="004B2A73">
        <w:rPr>
          <w:rFonts w:ascii="Calibri" w:hAnsi="Calibri"/>
          <w:sz w:val="24"/>
        </w:rPr>
        <w:t>eters;</w:t>
      </w:r>
      <w:r w:rsidRPr="004B2A73">
        <w:rPr>
          <w:rFonts w:ascii="Calibri" w:hAnsi="Calibri"/>
          <w:sz w:val="24"/>
        </w:rPr>
        <w:t xml:space="preserve"> </w:t>
      </w:r>
      <w:r w:rsidR="00D544A9" w:rsidRPr="004B2A73">
        <w:rPr>
          <w:rFonts w:ascii="Calibri" w:hAnsi="Calibri"/>
          <w:sz w:val="24"/>
        </w:rPr>
        <w:t>in</w:t>
      </w:r>
      <w:r w:rsidRPr="004B2A73">
        <w:rPr>
          <w:rFonts w:ascii="Calibri" w:hAnsi="Calibri"/>
          <w:sz w:val="24"/>
        </w:rPr>
        <w:t xml:space="preserve"> Abidjan, the terminal operator strengthened the existing quay to enable it to accommodate STS cranes</w:t>
      </w:r>
      <w:r w:rsidR="00D544A9" w:rsidRPr="004B2A73">
        <w:rPr>
          <w:rFonts w:ascii="Calibri" w:hAnsi="Calibri"/>
          <w:sz w:val="24"/>
        </w:rPr>
        <w:t>; and i</w:t>
      </w:r>
      <w:r w:rsidRPr="004B2A73">
        <w:rPr>
          <w:rFonts w:ascii="Calibri" w:hAnsi="Calibri"/>
          <w:sz w:val="24"/>
        </w:rPr>
        <w:t>n Lagos Apapa terminal, APMT dredged all four berths to a draft of 13.5</w:t>
      </w:r>
      <w:r w:rsidR="00D544A9" w:rsidRPr="004B2A73">
        <w:rPr>
          <w:rFonts w:ascii="Calibri" w:hAnsi="Calibri"/>
          <w:sz w:val="24"/>
        </w:rPr>
        <w:t xml:space="preserve"> </w:t>
      </w:r>
      <w:r w:rsidRPr="004B2A73">
        <w:rPr>
          <w:rFonts w:ascii="Calibri" w:hAnsi="Calibri"/>
          <w:sz w:val="24"/>
        </w:rPr>
        <w:t>m</w:t>
      </w:r>
      <w:r w:rsidR="00D544A9" w:rsidRPr="004B2A73">
        <w:rPr>
          <w:rFonts w:ascii="Calibri" w:hAnsi="Calibri"/>
          <w:sz w:val="24"/>
        </w:rPr>
        <w:t>eters</w:t>
      </w:r>
      <w:r w:rsidRPr="004B2A73">
        <w:rPr>
          <w:rFonts w:ascii="Calibri" w:hAnsi="Calibri"/>
          <w:sz w:val="24"/>
        </w:rPr>
        <w:t>.</w:t>
      </w:r>
    </w:p>
    <w:p w14:paraId="19439799" w14:textId="77777777" w:rsidR="00563A4E" w:rsidRPr="004B2A73" w:rsidRDefault="00563A4E" w:rsidP="007A7DCD">
      <w:pPr>
        <w:pStyle w:val="NoSpacing"/>
        <w:rPr>
          <w:rFonts w:ascii="Calibri" w:hAnsi="Calibri"/>
        </w:rPr>
      </w:pPr>
    </w:p>
    <w:p w14:paraId="511B8041" w14:textId="1E12EFF5" w:rsidR="00047F52" w:rsidRPr="004B2A73" w:rsidRDefault="00047F5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In Tema and Cotonou, the concession </w:t>
      </w:r>
      <w:r w:rsidR="009B260C" w:rsidRPr="004B2A73">
        <w:rPr>
          <w:rFonts w:ascii="Calibri" w:hAnsi="Calibri"/>
          <w:b/>
          <w:sz w:val="24"/>
        </w:rPr>
        <w:t>provided</w:t>
      </w:r>
      <w:r w:rsidRPr="004B2A73">
        <w:rPr>
          <w:rFonts w:ascii="Calibri" w:hAnsi="Calibri"/>
          <w:b/>
          <w:sz w:val="24"/>
        </w:rPr>
        <w:t xml:space="preserve"> the opportunity to create a dedicated container terminal</w:t>
      </w:r>
      <w:r w:rsidRPr="004B2A73">
        <w:rPr>
          <w:rFonts w:ascii="Calibri" w:hAnsi="Calibri"/>
          <w:sz w:val="24"/>
        </w:rPr>
        <w:t xml:space="preserve">. In Cotonou, as detailed </w:t>
      </w:r>
      <w:r w:rsidR="00A07462" w:rsidRPr="004B2A73">
        <w:rPr>
          <w:rFonts w:ascii="Calibri" w:hAnsi="Calibri"/>
          <w:sz w:val="24"/>
        </w:rPr>
        <w:t>earlier</w:t>
      </w:r>
      <w:r w:rsidRPr="004B2A73">
        <w:rPr>
          <w:rFonts w:ascii="Calibri" w:hAnsi="Calibri"/>
          <w:sz w:val="24"/>
        </w:rPr>
        <w:t>, the creation of the terminal preceded the concession, but in Tema, the terminal operator reconfigured the multipurpose berths into a container terminal. Existing shed</w:t>
      </w:r>
      <w:r w:rsidR="009B260C" w:rsidRPr="004B2A73">
        <w:rPr>
          <w:rFonts w:ascii="Calibri" w:hAnsi="Calibri"/>
          <w:sz w:val="24"/>
        </w:rPr>
        <w:t>s</w:t>
      </w:r>
      <w:r w:rsidRPr="004B2A73">
        <w:rPr>
          <w:rFonts w:ascii="Calibri" w:hAnsi="Calibri"/>
          <w:sz w:val="24"/>
        </w:rPr>
        <w:t xml:space="preserve"> in Tema were demolished to make room for </w:t>
      </w:r>
      <w:r w:rsidR="009B260C" w:rsidRPr="004B2A73">
        <w:rPr>
          <w:rFonts w:ascii="Calibri" w:hAnsi="Calibri"/>
          <w:sz w:val="24"/>
        </w:rPr>
        <w:t xml:space="preserve">a </w:t>
      </w:r>
      <w:r w:rsidRPr="004B2A73">
        <w:rPr>
          <w:rFonts w:ascii="Calibri" w:hAnsi="Calibri"/>
          <w:sz w:val="24"/>
        </w:rPr>
        <w:t xml:space="preserve">container yard, and the quays </w:t>
      </w:r>
      <w:r w:rsidR="009B260C" w:rsidRPr="004B2A73">
        <w:rPr>
          <w:rFonts w:ascii="Calibri" w:hAnsi="Calibri"/>
          <w:sz w:val="24"/>
        </w:rPr>
        <w:t xml:space="preserve">were </w:t>
      </w:r>
      <w:r w:rsidRPr="004B2A73">
        <w:rPr>
          <w:rFonts w:ascii="Calibri" w:hAnsi="Calibri"/>
          <w:sz w:val="24"/>
        </w:rPr>
        <w:t>strengthened. The terminal entered in</w:t>
      </w:r>
      <w:r w:rsidR="009B260C" w:rsidRPr="004B2A73">
        <w:rPr>
          <w:rFonts w:ascii="Calibri" w:hAnsi="Calibri"/>
          <w:sz w:val="24"/>
        </w:rPr>
        <w:t>to</w:t>
      </w:r>
      <w:r w:rsidRPr="004B2A73">
        <w:rPr>
          <w:rFonts w:ascii="Calibri" w:hAnsi="Calibri"/>
          <w:sz w:val="24"/>
        </w:rPr>
        <w:t xml:space="preserve"> partial operation in 2007, and full operation in 2008.</w:t>
      </w:r>
    </w:p>
    <w:p w14:paraId="271415E1" w14:textId="77777777" w:rsidR="00B65D4F" w:rsidRPr="004B2A73" w:rsidRDefault="00B65D4F" w:rsidP="00B65D4F">
      <w:pPr>
        <w:pStyle w:val="ListParagraph"/>
        <w:spacing w:after="0"/>
        <w:ind w:left="0"/>
        <w:rPr>
          <w:rFonts w:ascii="Calibri" w:hAnsi="Calibri"/>
          <w:b/>
          <w:sz w:val="24"/>
        </w:rPr>
      </w:pPr>
    </w:p>
    <w:p w14:paraId="48983187" w14:textId="796F2D3A" w:rsidR="00047F52" w:rsidRPr="00C06459" w:rsidRDefault="009B260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These investments boosted </w:t>
      </w:r>
      <w:r w:rsidR="00047F52" w:rsidRPr="004B2A73">
        <w:rPr>
          <w:rFonts w:ascii="Calibri" w:hAnsi="Calibri"/>
          <w:b/>
          <w:sz w:val="24"/>
        </w:rPr>
        <w:t>handling productivity.</w:t>
      </w:r>
      <w:r w:rsidR="00047F52" w:rsidRPr="004B2A73">
        <w:rPr>
          <w:rFonts w:ascii="Calibri" w:hAnsi="Calibri"/>
          <w:sz w:val="24"/>
        </w:rPr>
        <w:t xml:space="preserve"> APMT reported an increase from an average of 6 moves per hour prior to the concession, when ship’s gear was predominantly used, to 24 moves per hours at the end of 2012, reducing congestion and pre-berthing delays. BAL reported</w:t>
      </w:r>
      <w:r w:rsidR="00285214" w:rsidRPr="004B2A73">
        <w:rPr>
          <w:rFonts w:ascii="Calibri" w:hAnsi="Calibri"/>
          <w:sz w:val="24"/>
        </w:rPr>
        <w:t xml:space="preserve"> an increase at its Conakry terminal from 19</w:t>
      </w:r>
      <w:r w:rsidRPr="004B2A73">
        <w:rPr>
          <w:rFonts w:ascii="Calibri" w:hAnsi="Calibri"/>
          <w:sz w:val="24"/>
        </w:rPr>
        <w:t xml:space="preserve"> container movements per hour </w:t>
      </w:r>
      <w:r w:rsidR="00047F52" w:rsidRPr="004B2A73">
        <w:rPr>
          <w:rFonts w:ascii="Calibri" w:hAnsi="Calibri"/>
          <w:sz w:val="24"/>
        </w:rPr>
        <w:t>in 2011 to 35 in 2014. Data published by MPS in Tema show that crane productivity averaged 20 moves per hour in 2012, and ship productivity fluctuat</w:t>
      </w:r>
      <w:r w:rsidRPr="004B2A73">
        <w:rPr>
          <w:rFonts w:ascii="Calibri" w:hAnsi="Calibri"/>
          <w:sz w:val="24"/>
        </w:rPr>
        <w:t>ed</w:t>
      </w:r>
      <w:r w:rsidR="00047F52" w:rsidRPr="004B2A73">
        <w:rPr>
          <w:rFonts w:ascii="Calibri" w:hAnsi="Calibri"/>
          <w:sz w:val="24"/>
        </w:rPr>
        <w:t xml:space="preserve"> between 35 and 45 moves per hours</w:t>
      </w:r>
      <w:r w:rsidR="007A7DCD" w:rsidRPr="004B2A73">
        <w:rPr>
          <w:rFonts w:ascii="Calibri" w:hAnsi="Calibri"/>
          <w:sz w:val="24"/>
        </w:rPr>
        <w:t>. However, it is difficult</w:t>
      </w:r>
      <w:r w:rsidRPr="004B2A73">
        <w:rPr>
          <w:rFonts w:ascii="Calibri" w:hAnsi="Calibri"/>
          <w:sz w:val="24"/>
        </w:rPr>
        <w:t xml:space="preserve"> to compare productivity levels between ports, because</w:t>
      </w:r>
      <w:r w:rsidR="00047F52" w:rsidRPr="004B2A73">
        <w:rPr>
          <w:rFonts w:ascii="Calibri" w:hAnsi="Calibri"/>
          <w:sz w:val="24"/>
        </w:rPr>
        <w:t xml:space="preserve"> </w:t>
      </w:r>
      <w:r w:rsidR="007A7DCD" w:rsidRPr="004B2A73">
        <w:rPr>
          <w:rFonts w:ascii="Calibri" w:hAnsi="Calibri"/>
          <w:sz w:val="24"/>
        </w:rPr>
        <w:t xml:space="preserve">frequently the reported performance indicators differ (for instance, some ports report </w:t>
      </w:r>
      <w:r w:rsidR="00047F52" w:rsidRPr="004B2A73">
        <w:rPr>
          <w:rFonts w:ascii="Calibri" w:hAnsi="Calibri"/>
          <w:sz w:val="24"/>
        </w:rPr>
        <w:t>crane productivity while ship productivity</w:t>
      </w:r>
      <w:r w:rsidRPr="004B2A73">
        <w:rPr>
          <w:rFonts w:ascii="Calibri" w:hAnsi="Calibri"/>
          <w:sz w:val="24"/>
        </w:rPr>
        <w:t xml:space="preserve"> is used</w:t>
      </w:r>
      <w:r w:rsidR="007A7DCD" w:rsidRPr="004B2A73">
        <w:rPr>
          <w:rFonts w:ascii="Calibri" w:hAnsi="Calibri"/>
          <w:sz w:val="24"/>
        </w:rPr>
        <w:t xml:space="preserve"> by other). Moreover,</w:t>
      </w:r>
      <w:r w:rsidRPr="004B2A73">
        <w:rPr>
          <w:rFonts w:ascii="Calibri" w:hAnsi="Calibri"/>
          <w:sz w:val="24"/>
        </w:rPr>
        <w:t xml:space="preserve"> </w:t>
      </w:r>
      <w:r w:rsidR="00047F52" w:rsidRPr="004B2A73">
        <w:rPr>
          <w:rFonts w:ascii="Calibri" w:hAnsi="Calibri"/>
          <w:sz w:val="24"/>
        </w:rPr>
        <w:t>call conditions</w:t>
      </w:r>
      <w:r w:rsidR="00F027DA" w:rsidRPr="004B2A73">
        <w:rPr>
          <w:rFonts w:ascii="Calibri" w:hAnsi="Calibri"/>
          <w:sz w:val="24"/>
        </w:rPr>
        <w:t xml:space="preserve"> (such as total call volume to handle, location of the containers on board, etc.)</w:t>
      </w:r>
      <w:r w:rsidRPr="004B2A73">
        <w:rPr>
          <w:rFonts w:ascii="Calibri" w:hAnsi="Calibri"/>
          <w:sz w:val="24"/>
        </w:rPr>
        <w:t xml:space="preserve"> </w:t>
      </w:r>
      <w:r w:rsidR="007A7DCD" w:rsidRPr="004B2A73">
        <w:rPr>
          <w:rFonts w:ascii="Calibri" w:hAnsi="Calibri"/>
          <w:sz w:val="24"/>
        </w:rPr>
        <w:t xml:space="preserve">affect productivity and conditions </w:t>
      </w:r>
      <w:r w:rsidR="00047F52" w:rsidRPr="004B2A73">
        <w:rPr>
          <w:rFonts w:ascii="Calibri" w:hAnsi="Calibri"/>
          <w:sz w:val="24"/>
        </w:rPr>
        <w:t>differ</w:t>
      </w:r>
      <w:r w:rsidR="007A7DCD" w:rsidRPr="004B2A73">
        <w:rPr>
          <w:rFonts w:ascii="Calibri" w:hAnsi="Calibri"/>
          <w:sz w:val="24"/>
        </w:rPr>
        <w:t xml:space="preserve"> from one port to another, and even within a port, from one line to another</w:t>
      </w:r>
      <w:r w:rsidR="00047F52" w:rsidRPr="004B2A73">
        <w:rPr>
          <w:rFonts w:ascii="Calibri" w:hAnsi="Calibri"/>
          <w:sz w:val="24"/>
        </w:rPr>
        <w:t>.</w:t>
      </w:r>
      <w:r w:rsidR="00D14B06">
        <w:rPr>
          <w:rFonts w:ascii="Calibri" w:hAnsi="Calibri"/>
          <w:sz w:val="24"/>
        </w:rPr>
        <w:t xml:space="preserve"> However, available data confirms that productivity increased shortly after the TOC took over the operations.</w:t>
      </w:r>
    </w:p>
    <w:p w14:paraId="47F8D320" w14:textId="77777777" w:rsidR="00C06459" w:rsidRPr="00C06459" w:rsidRDefault="00C06459" w:rsidP="00C06459"/>
    <w:p w14:paraId="49E447B2" w14:textId="18F1ABA6" w:rsidR="00D14B06" w:rsidRDefault="00D14B06" w:rsidP="00D14B06">
      <w:pPr>
        <w:pStyle w:val="Caption"/>
        <w:jc w:val="both"/>
      </w:pPr>
      <w:bookmarkStart w:id="66" w:name="_Toc485377046"/>
      <w:r>
        <w:t xml:space="preserve">Figure </w:t>
      </w:r>
      <w:fldSimple w:instr=" SEQ Figure \* ARABIC ">
        <w:r w:rsidR="00212D01">
          <w:rPr>
            <w:noProof/>
          </w:rPr>
          <w:t>11</w:t>
        </w:r>
      </w:fldSimple>
      <w:r>
        <w:t>: Ship productivity in Abidjan and Tema (source: BAL)</w:t>
      </w:r>
      <w:bookmarkEnd w:id="66"/>
    </w:p>
    <w:p w14:paraId="01DE4B3B" w14:textId="0E8908C6" w:rsidR="00C06459" w:rsidRPr="00C06459" w:rsidRDefault="00D14B06" w:rsidP="00C06459">
      <w:pPr>
        <w:spacing w:after="0"/>
        <w:jc w:val="both"/>
      </w:pPr>
      <w:r>
        <w:rPr>
          <w:noProof/>
        </w:rPr>
        <w:drawing>
          <wp:inline distT="0" distB="0" distL="0" distR="0" wp14:anchorId="3A225FAF" wp14:editId="71FF8B1F">
            <wp:extent cx="5486400" cy="24288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B0EB40" w14:textId="77777777" w:rsidR="00B65D4F" w:rsidRPr="004B2A73" w:rsidRDefault="00B65D4F" w:rsidP="00B65D4F">
      <w:pPr>
        <w:pStyle w:val="ListParagraph"/>
        <w:spacing w:after="0"/>
        <w:ind w:left="0"/>
        <w:rPr>
          <w:rFonts w:ascii="Calibri" w:hAnsi="Calibri"/>
          <w:b/>
          <w:sz w:val="24"/>
        </w:rPr>
      </w:pPr>
    </w:p>
    <w:p w14:paraId="00AAC514" w14:textId="5C73C2FB" w:rsidR="004669E3" w:rsidRPr="00886D48" w:rsidRDefault="004669E3" w:rsidP="00E826B9">
      <w:pPr>
        <w:pStyle w:val="ListParagraph"/>
        <w:numPr>
          <w:ilvl w:val="0"/>
          <w:numId w:val="6"/>
        </w:numPr>
        <w:spacing w:after="0"/>
        <w:ind w:left="0" w:firstLine="0"/>
        <w:jc w:val="both"/>
        <w:rPr>
          <w:rFonts w:ascii="Calibri" w:hAnsi="Calibri"/>
          <w:b/>
          <w:sz w:val="24"/>
        </w:rPr>
      </w:pPr>
      <w:r w:rsidRPr="00886D48">
        <w:rPr>
          <w:rFonts w:ascii="Calibri" w:hAnsi="Calibri"/>
          <w:b/>
          <w:sz w:val="24"/>
        </w:rPr>
        <w:lastRenderedPageBreak/>
        <w:t xml:space="preserve">Terminal operators have made investments to modernize West African container terminals, </w:t>
      </w:r>
      <w:r w:rsidRPr="006E17D4">
        <w:rPr>
          <w:rFonts w:ascii="Calibri" w:hAnsi="Calibri"/>
          <w:b/>
          <w:sz w:val="24"/>
        </w:rPr>
        <w:t xml:space="preserve">and </w:t>
      </w:r>
      <w:r w:rsidRPr="00886D48">
        <w:rPr>
          <w:rFonts w:ascii="Calibri" w:hAnsi="Calibri"/>
          <w:b/>
          <w:sz w:val="24"/>
        </w:rPr>
        <w:t>after only a few years of operation many are well advanced in fulfilling the commitments made at the time of the signature of the concession.</w:t>
      </w:r>
      <w:r w:rsidRPr="00886D48">
        <w:rPr>
          <w:rFonts w:ascii="Calibri" w:hAnsi="Calibri"/>
          <w:sz w:val="24"/>
        </w:rPr>
        <w:t xml:space="preserve"> For instance, APMT in Monrovia committed to a US$120 million upgrade and modernization program for the port. So far, the firm has completed a US$50 million, 600 meter quay wall reconstruction, and a further US$34.5 million has been invested in rehabilitating and upgrading the container yard</w:t>
      </w:r>
      <w:r w:rsidRPr="00886D48">
        <w:rPr>
          <w:rFonts w:ascii="Calibri" w:hAnsi="Calibri"/>
          <w:b/>
          <w:sz w:val="24"/>
        </w:rPr>
        <w:t>,</w:t>
      </w:r>
      <w:r w:rsidRPr="00886D48">
        <w:rPr>
          <w:rFonts w:ascii="Calibri" w:hAnsi="Calibri"/>
          <w:sz w:val="24"/>
        </w:rPr>
        <w:t xml:space="preserve"> offices, terminal gates and IT, after five years in 25 years concession. In Lagos Apapa, APMT has invested US$220 million in a comprehensive terminal upgrade, and recently initiated a further US$135 million investment to expand capacity to 1.2 million TEUs. After investing US$37 million in the rehabilitation of the port in Freetown, compared to an initial commitment of US$20 million for the first three years, BAL announced the development of a 750,000 TEU terminal (eight times the existing capacity) in October 2015, which will require an investment of US$120 million. In Cotonou, after investing in handling equipment, BAL has announced a €50 million extension of the yard area (partly gained on the sea) and connection to the railways</w:t>
      </w:r>
      <w:r w:rsidRPr="00313A40">
        <w:rPr>
          <w:rStyle w:val="FootnoteReference"/>
          <w:rFonts w:ascii="Calibri" w:hAnsi="Calibri"/>
          <w:sz w:val="24"/>
        </w:rPr>
        <w:footnoteReference w:id="39"/>
      </w:r>
      <w:r w:rsidRPr="00886D48">
        <w:rPr>
          <w:rFonts w:ascii="Calibri" w:hAnsi="Calibri"/>
          <w:sz w:val="24"/>
        </w:rPr>
        <w:t>. The total will represent over 80% of the committed investment for the ent</w:t>
      </w:r>
      <w:r w:rsidRPr="006E17D4">
        <w:rPr>
          <w:rFonts w:ascii="Calibri" w:hAnsi="Calibri"/>
          <w:sz w:val="24"/>
        </w:rPr>
        <w:t>ire duration of the concession</w:t>
      </w:r>
      <w:r w:rsidR="00586EFD">
        <w:rPr>
          <w:rFonts w:ascii="Calibri" w:hAnsi="Calibri"/>
          <w:sz w:val="24"/>
        </w:rPr>
        <w:t>.</w:t>
      </w:r>
      <w:r w:rsidRPr="00886D48">
        <w:rPr>
          <w:rFonts w:eastAsiaTheme="minorHAnsi"/>
        </w:rPr>
        <w:t xml:space="preserve"> </w:t>
      </w:r>
      <w:r w:rsidRPr="00886D48">
        <w:rPr>
          <w:rFonts w:ascii="Calibri" w:hAnsi="Calibri"/>
          <w:sz w:val="24"/>
        </w:rPr>
        <w:t>Since the concession in 2004, investment in the Abidjan terminal has been as follows: (i) initial program (defined in the concession contract) for an amount of 27 billion FCFA, for the period 2004-08, (ii) second program, for the period 2009-14 for an amount of 30 billion FCFA, and (iii) the current program, for the period 2015-19, for an amount of 39 billion FCFA. In total, up to end 2016, total invested amounted to €160 million, beyond the contractual commitment of €147 million.</w:t>
      </w:r>
    </w:p>
    <w:p w14:paraId="1A7975A8" w14:textId="77777777" w:rsidR="00CD5514" w:rsidRPr="004B2A73" w:rsidRDefault="00CD5514" w:rsidP="00CD5514">
      <w:pPr>
        <w:pStyle w:val="ListParagraph"/>
        <w:spacing w:after="0"/>
        <w:ind w:left="0"/>
        <w:rPr>
          <w:rFonts w:ascii="Calibri" w:hAnsi="Calibri"/>
          <w:b/>
          <w:sz w:val="24"/>
          <w:highlight w:val="yellow"/>
        </w:rPr>
      </w:pPr>
    </w:p>
    <w:p w14:paraId="40A35E5C" w14:textId="0CED5A0E" w:rsidR="00047F52" w:rsidRPr="004B2A73" w:rsidRDefault="00607DB9" w:rsidP="00AF33A5">
      <w:pPr>
        <w:pStyle w:val="Caption"/>
        <w:rPr>
          <w:rFonts w:ascii="Calibri" w:hAnsi="Calibri"/>
        </w:rPr>
      </w:pPr>
      <w:bookmarkStart w:id="67" w:name="_Toc485381919"/>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8</w:t>
      </w:r>
      <w:r w:rsidR="00811885" w:rsidRPr="004B2A73">
        <w:rPr>
          <w:rFonts w:ascii="Calibri" w:hAnsi="Calibri"/>
          <w:noProof/>
        </w:rPr>
        <w:fldChar w:fldCharType="end"/>
      </w:r>
      <w:r w:rsidRPr="004B2A73">
        <w:rPr>
          <w:rFonts w:ascii="Calibri" w:hAnsi="Calibri"/>
        </w:rPr>
        <w:t>: Investment in selected terminal concessions in West Africa ports</w:t>
      </w:r>
      <w:bookmarkEnd w:id="67"/>
    </w:p>
    <w:tbl>
      <w:tblPr>
        <w:tblStyle w:val="ListTable6Colorful-Accent11"/>
        <w:tblW w:w="0" w:type="auto"/>
        <w:tblLook w:val="04A0" w:firstRow="1" w:lastRow="0" w:firstColumn="1" w:lastColumn="0" w:noHBand="0" w:noVBand="1"/>
      </w:tblPr>
      <w:tblGrid>
        <w:gridCol w:w="1744"/>
        <w:gridCol w:w="3576"/>
        <w:gridCol w:w="250"/>
        <w:gridCol w:w="1727"/>
        <w:gridCol w:w="2063"/>
      </w:tblGrid>
      <w:tr w:rsidR="00047F52" w:rsidRPr="005D5BDF" w14:paraId="292C8AA0" w14:textId="77777777" w:rsidTr="00520223">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800" w:type="dxa"/>
            <w:vMerge w:val="restart"/>
          </w:tcPr>
          <w:p w14:paraId="5667CF54" w14:textId="77777777" w:rsidR="00047F52" w:rsidRPr="005D5BDF" w:rsidRDefault="00047F52" w:rsidP="00047F52">
            <w:pPr>
              <w:pStyle w:val="NoSpacing"/>
              <w:rPr>
                <w:rFonts w:ascii="Calibri" w:hAnsi="Calibri" w:cs="Times New Roman"/>
                <w:szCs w:val="24"/>
              </w:rPr>
            </w:pPr>
            <w:r w:rsidRPr="005D5BDF">
              <w:rPr>
                <w:rFonts w:ascii="Calibri" w:hAnsi="Calibri" w:cs="Times New Roman"/>
                <w:szCs w:val="24"/>
              </w:rPr>
              <w:t>Port</w:t>
            </w:r>
          </w:p>
        </w:tc>
        <w:tc>
          <w:tcPr>
            <w:tcW w:w="7560" w:type="dxa"/>
            <w:gridSpan w:val="4"/>
          </w:tcPr>
          <w:p w14:paraId="6789B689" w14:textId="3B0B1EC0" w:rsidR="00047F52" w:rsidRPr="005D5BDF" w:rsidRDefault="00047F52" w:rsidP="00886D48">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Investments</w:t>
            </w:r>
          </w:p>
        </w:tc>
      </w:tr>
      <w:tr w:rsidR="00586EFD" w:rsidRPr="005D5BDF" w14:paraId="140513AD" w14:textId="77777777" w:rsidTr="00520223">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800" w:type="dxa"/>
            <w:vMerge/>
          </w:tcPr>
          <w:p w14:paraId="2CCEE256" w14:textId="77777777" w:rsidR="00586EFD" w:rsidRPr="005D5BDF" w:rsidRDefault="00586EFD" w:rsidP="00586EFD">
            <w:pPr>
              <w:pStyle w:val="NoSpacing"/>
              <w:rPr>
                <w:rFonts w:ascii="Calibri" w:hAnsi="Calibri" w:cs="Times New Roman"/>
                <w:szCs w:val="24"/>
              </w:rPr>
            </w:pPr>
          </w:p>
        </w:tc>
        <w:tc>
          <w:tcPr>
            <w:tcW w:w="3780" w:type="dxa"/>
          </w:tcPr>
          <w:p w14:paraId="17CDB84A" w14:textId="6388BFC1" w:rsidR="00586EFD" w:rsidRPr="005D5BDF" w:rsidRDefault="00586EFD" w:rsidP="00586EFD">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Committed over total duration of the concession</w:t>
            </w:r>
          </w:p>
        </w:tc>
        <w:tc>
          <w:tcPr>
            <w:tcW w:w="2065" w:type="dxa"/>
            <w:gridSpan w:val="2"/>
          </w:tcPr>
          <w:p w14:paraId="4A23A774" w14:textId="023C8975" w:rsidR="00586EFD" w:rsidRPr="005D5BDF" w:rsidRDefault="00586EFD" w:rsidP="00586EFD">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Realized as of 2015</w:t>
            </w:r>
            <w:r w:rsidR="00520223">
              <w:rPr>
                <w:rFonts w:ascii="Calibri" w:hAnsi="Calibri" w:cs="Times New Roman"/>
                <w:szCs w:val="24"/>
              </w:rPr>
              <w:t xml:space="preserve"> (%)</w:t>
            </w:r>
          </w:p>
        </w:tc>
        <w:tc>
          <w:tcPr>
            <w:tcW w:w="0" w:type="auto"/>
          </w:tcPr>
          <w:p w14:paraId="54DBEC4C" w14:textId="49F41F31" w:rsidR="00586EFD" w:rsidRPr="005D5BDF" w:rsidRDefault="00586EFD" w:rsidP="00586EFD">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Planned beyond 2015</w:t>
            </w:r>
          </w:p>
        </w:tc>
      </w:tr>
      <w:tr w:rsidR="00047F52" w:rsidRPr="005D5BDF" w14:paraId="4820D1B9" w14:textId="77777777" w:rsidTr="00520223">
        <w:trPr>
          <w:trHeight w:val="85"/>
        </w:trPr>
        <w:tc>
          <w:tcPr>
            <w:cnfStyle w:val="001000000000" w:firstRow="0" w:lastRow="0" w:firstColumn="1" w:lastColumn="0" w:oddVBand="0" w:evenVBand="0" w:oddHBand="0" w:evenHBand="0" w:firstRowFirstColumn="0" w:firstRowLastColumn="0" w:lastRowFirstColumn="0" w:lastRowLastColumn="0"/>
            <w:tcW w:w="1800" w:type="dxa"/>
          </w:tcPr>
          <w:p w14:paraId="21D09530" w14:textId="77777777" w:rsidR="00047F52" w:rsidRPr="005D5BDF" w:rsidRDefault="00047F52" w:rsidP="00047F52">
            <w:pPr>
              <w:pStyle w:val="NoSpacing"/>
              <w:rPr>
                <w:rFonts w:ascii="Calibri" w:hAnsi="Calibri" w:cs="Times New Roman"/>
                <w:szCs w:val="24"/>
              </w:rPr>
            </w:pPr>
            <w:r w:rsidRPr="005D5BDF">
              <w:rPr>
                <w:rFonts w:ascii="Calibri" w:hAnsi="Calibri" w:cs="Times New Roman"/>
                <w:szCs w:val="24"/>
              </w:rPr>
              <w:t>Freetown</w:t>
            </w:r>
          </w:p>
        </w:tc>
        <w:tc>
          <w:tcPr>
            <w:tcW w:w="4050" w:type="dxa"/>
            <w:gridSpan w:val="2"/>
          </w:tcPr>
          <w:p w14:paraId="59F814E6" w14:textId="381979C3" w:rsidR="00047F52" w:rsidRPr="005D5BDF" w:rsidRDefault="00886D48" w:rsidP="00047F52">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F027DA" w:rsidRPr="005D5BDF">
              <w:rPr>
                <w:rFonts w:ascii="Calibri" w:hAnsi="Calibri" w:cs="Times New Roman"/>
                <w:szCs w:val="24"/>
              </w:rPr>
              <w:t>20</w:t>
            </w:r>
            <w:r w:rsidRPr="005D5BDF">
              <w:rPr>
                <w:rFonts w:ascii="Calibri" w:hAnsi="Calibri" w:cs="Times New Roman"/>
                <w:szCs w:val="24"/>
              </w:rPr>
              <w:t xml:space="preserve"> M</w:t>
            </w:r>
            <w:r w:rsidR="00F027DA" w:rsidRPr="005D5BDF">
              <w:rPr>
                <w:rFonts w:ascii="Calibri" w:hAnsi="Calibri" w:cs="Times New Roman"/>
                <w:szCs w:val="24"/>
              </w:rPr>
              <w:t xml:space="preserve"> in phase 1</w:t>
            </w:r>
          </w:p>
        </w:tc>
        <w:tc>
          <w:tcPr>
            <w:tcW w:w="0" w:type="auto"/>
          </w:tcPr>
          <w:p w14:paraId="1D4699D1" w14:textId="2C356494" w:rsidR="00047F52" w:rsidRPr="005D5BDF" w:rsidRDefault="00886D48" w:rsidP="00047F52">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047F52" w:rsidRPr="005D5BDF">
              <w:rPr>
                <w:rFonts w:ascii="Calibri" w:hAnsi="Calibri" w:cs="Times New Roman"/>
                <w:szCs w:val="24"/>
              </w:rPr>
              <w:t>37</w:t>
            </w:r>
            <w:r w:rsidRPr="005D5BDF">
              <w:rPr>
                <w:rFonts w:ascii="Calibri" w:hAnsi="Calibri" w:cs="Times New Roman"/>
                <w:szCs w:val="24"/>
              </w:rPr>
              <w:t xml:space="preserve"> M</w:t>
            </w:r>
            <w:r w:rsidR="00520223">
              <w:rPr>
                <w:rFonts w:ascii="Calibri" w:hAnsi="Calibri" w:cs="Times New Roman"/>
                <w:szCs w:val="24"/>
              </w:rPr>
              <w:t xml:space="preserve"> (100%)</w:t>
            </w:r>
          </w:p>
        </w:tc>
        <w:tc>
          <w:tcPr>
            <w:tcW w:w="0" w:type="auto"/>
          </w:tcPr>
          <w:p w14:paraId="3887ADBC" w14:textId="3370D6CB" w:rsidR="00047F52" w:rsidRPr="005D5BDF" w:rsidRDefault="00886D48" w:rsidP="00047F52">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047F52" w:rsidRPr="005D5BDF">
              <w:rPr>
                <w:rFonts w:ascii="Calibri" w:hAnsi="Calibri" w:cs="Times New Roman"/>
                <w:szCs w:val="24"/>
              </w:rPr>
              <w:t>120</w:t>
            </w:r>
            <w:r w:rsidRPr="005D5BDF">
              <w:rPr>
                <w:rFonts w:ascii="Calibri" w:hAnsi="Calibri" w:cs="Times New Roman"/>
                <w:szCs w:val="24"/>
              </w:rPr>
              <w:t xml:space="preserve"> M</w:t>
            </w:r>
          </w:p>
        </w:tc>
      </w:tr>
      <w:tr w:rsidR="00047F52" w:rsidRPr="005D5BDF" w14:paraId="34F17428" w14:textId="77777777" w:rsidTr="0052022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00" w:type="dxa"/>
          </w:tcPr>
          <w:p w14:paraId="2E1A8A8A" w14:textId="77777777" w:rsidR="00047F52" w:rsidRPr="005D5BDF" w:rsidRDefault="00047F52" w:rsidP="00047F52">
            <w:pPr>
              <w:pStyle w:val="NoSpacing"/>
              <w:rPr>
                <w:rFonts w:ascii="Calibri" w:hAnsi="Calibri" w:cs="Times New Roman"/>
                <w:szCs w:val="24"/>
              </w:rPr>
            </w:pPr>
            <w:r w:rsidRPr="005D5BDF">
              <w:rPr>
                <w:rFonts w:ascii="Calibri" w:hAnsi="Calibri" w:cs="Times New Roman"/>
                <w:szCs w:val="24"/>
              </w:rPr>
              <w:t>Monrovia</w:t>
            </w:r>
          </w:p>
        </w:tc>
        <w:tc>
          <w:tcPr>
            <w:tcW w:w="4050" w:type="dxa"/>
            <w:gridSpan w:val="2"/>
          </w:tcPr>
          <w:p w14:paraId="4B418BED" w14:textId="3E7393E9" w:rsidR="00047F52" w:rsidRPr="005D5BDF" w:rsidRDefault="00886D48" w:rsidP="00047F52">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047F52" w:rsidRPr="005D5BDF">
              <w:rPr>
                <w:rFonts w:ascii="Calibri" w:hAnsi="Calibri" w:cs="Times New Roman"/>
                <w:szCs w:val="24"/>
              </w:rPr>
              <w:t>120</w:t>
            </w:r>
            <w:r w:rsidRPr="005D5BDF">
              <w:rPr>
                <w:rFonts w:ascii="Calibri" w:hAnsi="Calibri" w:cs="Times New Roman"/>
                <w:szCs w:val="24"/>
              </w:rPr>
              <w:t xml:space="preserve">M </w:t>
            </w:r>
          </w:p>
        </w:tc>
        <w:tc>
          <w:tcPr>
            <w:tcW w:w="0" w:type="auto"/>
          </w:tcPr>
          <w:p w14:paraId="2CA1DAFD" w14:textId="60628630" w:rsidR="00047F52" w:rsidRPr="005D5BDF" w:rsidRDefault="00886D48" w:rsidP="00047F52">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047F52" w:rsidRPr="005D5BDF">
              <w:rPr>
                <w:rFonts w:ascii="Calibri" w:hAnsi="Calibri" w:cs="Times New Roman"/>
                <w:szCs w:val="24"/>
              </w:rPr>
              <w:t>85</w:t>
            </w:r>
            <w:r w:rsidRPr="005D5BDF">
              <w:rPr>
                <w:rFonts w:ascii="Calibri" w:hAnsi="Calibri" w:cs="Times New Roman"/>
                <w:szCs w:val="24"/>
              </w:rPr>
              <w:t xml:space="preserve"> M</w:t>
            </w:r>
            <w:r w:rsidR="00520223">
              <w:rPr>
                <w:rFonts w:ascii="Calibri" w:hAnsi="Calibri" w:cs="Times New Roman"/>
                <w:szCs w:val="24"/>
              </w:rPr>
              <w:t xml:space="preserve"> (70%) </w:t>
            </w:r>
          </w:p>
        </w:tc>
        <w:tc>
          <w:tcPr>
            <w:tcW w:w="0" w:type="auto"/>
          </w:tcPr>
          <w:p w14:paraId="585AF838" w14:textId="77777777" w:rsidR="00047F52" w:rsidRPr="005D5BDF" w:rsidRDefault="00047F52" w:rsidP="00047F52">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p>
        </w:tc>
      </w:tr>
      <w:tr w:rsidR="00047F52" w:rsidRPr="005D5BDF" w14:paraId="3ECDCD18" w14:textId="77777777" w:rsidTr="00520223">
        <w:trPr>
          <w:trHeight w:val="85"/>
        </w:trPr>
        <w:tc>
          <w:tcPr>
            <w:cnfStyle w:val="001000000000" w:firstRow="0" w:lastRow="0" w:firstColumn="1" w:lastColumn="0" w:oddVBand="0" w:evenVBand="0" w:oddHBand="0" w:evenHBand="0" w:firstRowFirstColumn="0" w:firstRowLastColumn="0" w:lastRowFirstColumn="0" w:lastRowLastColumn="0"/>
            <w:tcW w:w="1800" w:type="dxa"/>
          </w:tcPr>
          <w:p w14:paraId="2E01E704" w14:textId="77777777" w:rsidR="00047F52" w:rsidRPr="005D5BDF" w:rsidRDefault="00047F52" w:rsidP="00047F52">
            <w:pPr>
              <w:pStyle w:val="NoSpacing"/>
              <w:rPr>
                <w:rFonts w:ascii="Calibri" w:hAnsi="Calibri" w:cs="Times New Roman"/>
                <w:szCs w:val="24"/>
              </w:rPr>
            </w:pPr>
            <w:r w:rsidRPr="005D5BDF">
              <w:rPr>
                <w:rFonts w:ascii="Calibri" w:hAnsi="Calibri" w:cs="Times New Roman"/>
                <w:szCs w:val="24"/>
              </w:rPr>
              <w:t>Cotonou - Bénin Terminal</w:t>
            </w:r>
          </w:p>
        </w:tc>
        <w:tc>
          <w:tcPr>
            <w:tcW w:w="4050" w:type="dxa"/>
            <w:gridSpan w:val="2"/>
          </w:tcPr>
          <w:p w14:paraId="1A085F0B" w14:textId="44FC2F95" w:rsidR="00047F52" w:rsidRPr="005D5BDF" w:rsidRDefault="00886D48" w:rsidP="00047F52">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F027DA" w:rsidRPr="005D5BDF">
              <w:rPr>
                <w:rFonts w:ascii="Calibri" w:hAnsi="Calibri" w:cs="Times New Roman"/>
                <w:szCs w:val="24"/>
              </w:rPr>
              <w:t>256</w:t>
            </w:r>
            <w:r w:rsidRPr="005D5BDF">
              <w:rPr>
                <w:rFonts w:ascii="Calibri" w:hAnsi="Calibri" w:cs="Times New Roman"/>
                <w:szCs w:val="24"/>
              </w:rPr>
              <w:t xml:space="preserve"> M</w:t>
            </w:r>
          </w:p>
        </w:tc>
        <w:tc>
          <w:tcPr>
            <w:tcW w:w="0" w:type="auto"/>
          </w:tcPr>
          <w:p w14:paraId="4E32F3A0" w14:textId="47B05362" w:rsidR="00047F52" w:rsidRPr="005D5BDF" w:rsidRDefault="00886D48" w:rsidP="00047F52">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047F52" w:rsidRPr="005D5BDF">
              <w:rPr>
                <w:rFonts w:ascii="Calibri" w:hAnsi="Calibri" w:cs="Times New Roman"/>
                <w:szCs w:val="24"/>
              </w:rPr>
              <w:t>150</w:t>
            </w:r>
            <w:r w:rsidRPr="005D5BDF">
              <w:rPr>
                <w:rFonts w:ascii="Calibri" w:hAnsi="Calibri" w:cs="Times New Roman"/>
                <w:szCs w:val="24"/>
              </w:rPr>
              <w:t xml:space="preserve"> M</w:t>
            </w:r>
            <w:r w:rsidR="00520223">
              <w:rPr>
                <w:rFonts w:ascii="Calibri" w:hAnsi="Calibri" w:cs="Times New Roman"/>
                <w:szCs w:val="24"/>
              </w:rPr>
              <w:t xml:space="preserve"> (60%) </w:t>
            </w:r>
          </w:p>
        </w:tc>
        <w:tc>
          <w:tcPr>
            <w:tcW w:w="0" w:type="auto"/>
          </w:tcPr>
          <w:p w14:paraId="13B917AC" w14:textId="3CCB2413" w:rsidR="00047F52" w:rsidRPr="005D5BDF" w:rsidRDefault="00886D48" w:rsidP="00047F52">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047F52" w:rsidRPr="005D5BDF">
              <w:rPr>
                <w:rFonts w:ascii="Calibri" w:hAnsi="Calibri" w:cs="Times New Roman"/>
                <w:szCs w:val="24"/>
              </w:rPr>
              <w:t>60</w:t>
            </w:r>
            <w:r w:rsidRPr="005D5BDF">
              <w:rPr>
                <w:rFonts w:ascii="Calibri" w:hAnsi="Calibri" w:cs="Times New Roman"/>
                <w:szCs w:val="24"/>
              </w:rPr>
              <w:t xml:space="preserve"> M</w:t>
            </w:r>
          </w:p>
        </w:tc>
      </w:tr>
      <w:tr w:rsidR="00047F52" w:rsidRPr="005D5BDF" w14:paraId="2D915392" w14:textId="77777777" w:rsidTr="0052022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00" w:type="dxa"/>
          </w:tcPr>
          <w:p w14:paraId="7841E09D" w14:textId="77777777" w:rsidR="00047F52" w:rsidRPr="005D5BDF" w:rsidRDefault="00047F52" w:rsidP="00047F52">
            <w:pPr>
              <w:pStyle w:val="NoSpacing"/>
              <w:rPr>
                <w:rFonts w:ascii="Calibri" w:hAnsi="Calibri" w:cs="Times New Roman"/>
                <w:szCs w:val="24"/>
              </w:rPr>
            </w:pPr>
            <w:r w:rsidRPr="005D5BDF">
              <w:rPr>
                <w:rFonts w:ascii="Calibri" w:hAnsi="Calibri" w:cs="Times New Roman"/>
                <w:szCs w:val="24"/>
              </w:rPr>
              <w:t>Lagos – Apapa</w:t>
            </w:r>
          </w:p>
        </w:tc>
        <w:tc>
          <w:tcPr>
            <w:tcW w:w="4050" w:type="dxa"/>
            <w:gridSpan w:val="2"/>
          </w:tcPr>
          <w:p w14:paraId="1252F181" w14:textId="77777777" w:rsidR="00047F52" w:rsidRPr="005D5BDF" w:rsidRDefault="00047F52" w:rsidP="00047F52">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p>
        </w:tc>
        <w:tc>
          <w:tcPr>
            <w:tcW w:w="0" w:type="auto"/>
          </w:tcPr>
          <w:p w14:paraId="1307AF1E" w14:textId="56B2494E" w:rsidR="00047F52" w:rsidRPr="005D5BDF" w:rsidRDefault="00886D48" w:rsidP="00047F52">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047F52" w:rsidRPr="005D5BDF">
              <w:rPr>
                <w:rFonts w:ascii="Calibri" w:hAnsi="Calibri" w:cs="Times New Roman"/>
                <w:szCs w:val="24"/>
              </w:rPr>
              <w:t>220</w:t>
            </w:r>
            <w:r w:rsidRPr="005D5BDF">
              <w:rPr>
                <w:rFonts w:ascii="Calibri" w:hAnsi="Calibri" w:cs="Times New Roman"/>
                <w:szCs w:val="24"/>
              </w:rPr>
              <w:t xml:space="preserve"> M</w:t>
            </w:r>
          </w:p>
        </w:tc>
        <w:tc>
          <w:tcPr>
            <w:tcW w:w="0" w:type="auto"/>
          </w:tcPr>
          <w:p w14:paraId="28D5CFCA" w14:textId="4187D571" w:rsidR="00047F52" w:rsidRPr="005D5BDF" w:rsidRDefault="00886D48" w:rsidP="00047F52">
            <w:pPr>
              <w:pStyle w:val="NoSpacing"/>
              <w:jc w:val="right"/>
              <w:cnfStyle w:val="000000100000" w:firstRow="0" w:lastRow="0" w:firstColumn="0" w:lastColumn="0" w:oddVBand="0" w:evenVBand="0" w:oddHBand="1" w:evenHBand="0" w:firstRowFirstColumn="0" w:firstRowLastColumn="0" w:lastRowFirstColumn="0" w:lastRowLastColumn="0"/>
              <w:rPr>
                <w:rFonts w:ascii="Calibri" w:hAnsi="Calibri" w:cs="Times New Roman"/>
                <w:szCs w:val="24"/>
              </w:rPr>
            </w:pPr>
            <w:r w:rsidRPr="005D5BDF">
              <w:rPr>
                <w:rFonts w:ascii="Calibri" w:hAnsi="Calibri" w:cs="Times New Roman"/>
                <w:szCs w:val="24"/>
              </w:rPr>
              <w:t>$</w:t>
            </w:r>
            <w:r w:rsidR="00047F52" w:rsidRPr="005D5BDF">
              <w:rPr>
                <w:rFonts w:ascii="Calibri" w:hAnsi="Calibri" w:cs="Times New Roman"/>
                <w:szCs w:val="24"/>
              </w:rPr>
              <w:t>135</w:t>
            </w:r>
            <w:r w:rsidRPr="005D5BDF">
              <w:rPr>
                <w:rFonts w:ascii="Calibri" w:hAnsi="Calibri" w:cs="Times New Roman"/>
                <w:szCs w:val="24"/>
              </w:rPr>
              <w:t xml:space="preserve"> M</w:t>
            </w:r>
          </w:p>
        </w:tc>
      </w:tr>
      <w:tr w:rsidR="00886D48" w:rsidRPr="005D5BDF" w14:paraId="0EAC22B3" w14:textId="77777777" w:rsidTr="00520223">
        <w:trPr>
          <w:trHeight w:val="332"/>
        </w:trPr>
        <w:tc>
          <w:tcPr>
            <w:cnfStyle w:val="001000000000" w:firstRow="0" w:lastRow="0" w:firstColumn="1" w:lastColumn="0" w:oddVBand="0" w:evenVBand="0" w:oddHBand="0" w:evenHBand="0" w:firstRowFirstColumn="0" w:firstRowLastColumn="0" w:lastRowFirstColumn="0" w:lastRowLastColumn="0"/>
            <w:tcW w:w="1800" w:type="dxa"/>
          </w:tcPr>
          <w:p w14:paraId="2664BC97" w14:textId="7CBBE37F" w:rsidR="00886D48" w:rsidRPr="005D5BDF" w:rsidRDefault="00886D48" w:rsidP="00047F52">
            <w:pPr>
              <w:pStyle w:val="NoSpacing"/>
              <w:rPr>
                <w:rFonts w:ascii="Calibri" w:hAnsi="Calibri" w:cs="Times New Roman"/>
                <w:szCs w:val="24"/>
              </w:rPr>
            </w:pPr>
            <w:r w:rsidRPr="005D5BDF">
              <w:rPr>
                <w:rFonts w:ascii="Calibri" w:hAnsi="Calibri" w:cs="Times New Roman"/>
                <w:szCs w:val="24"/>
              </w:rPr>
              <w:t>Abidjan</w:t>
            </w:r>
          </w:p>
        </w:tc>
        <w:tc>
          <w:tcPr>
            <w:tcW w:w="4050" w:type="dxa"/>
            <w:gridSpan w:val="2"/>
          </w:tcPr>
          <w:p w14:paraId="01A3C487" w14:textId="375263CA" w:rsidR="00886D48" w:rsidRPr="005D5BDF" w:rsidRDefault="00520223" w:rsidP="00886D48">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Pr>
                <w:rFonts w:ascii="Calibri" w:hAnsi="Calibri"/>
              </w:rPr>
              <w:t>$181</w:t>
            </w:r>
            <w:r w:rsidR="00886D48" w:rsidRPr="005D5BDF">
              <w:rPr>
                <w:rFonts w:ascii="Calibri" w:hAnsi="Calibri"/>
              </w:rPr>
              <w:t xml:space="preserve"> M</w:t>
            </w:r>
          </w:p>
        </w:tc>
        <w:tc>
          <w:tcPr>
            <w:tcW w:w="0" w:type="auto"/>
          </w:tcPr>
          <w:p w14:paraId="02B71017" w14:textId="757A21A3" w:rsidR="00886D48" w:rsidRPr="005D5BDF" w:rsidRDefault="00520223" w:rsidP="00047F52">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Pr>
                <w:rFonts w:ascii="Calibri" w:hAnsi="Calibri"/>
              </w:rPr>
              <w:t>$176</w:t>
            </w:r>
            <w:r w:rsidR="00886D48" w:rsidRPr="005D5BDF">
              <w:rPr>
                <w:rFonts w:ascii="Calibri" w:hAnsi="Calibri"/>
              </w:rPr>
              <w:t xml:space="preserve"> M</w:t>
            </w:r>
            <w:r>
              <w:rPr>
                <w:rFonts w:ascii="Calibri" w:hAnsi="Calibri"/>
              </w:rPr>
              <w:t xml:space="preserve"> (97%)</w:t>
            </w:r>
          </w:p>
        </w:tc>
        <w:tc>
          <w:tcPr>
            <w:tcW w:w="0" w:type="auto"/>
          </w:tcPr>
          <w:p w14:paraId="43F0F9CE" w14:textId="615B6BD2" w:rsidR="00886D48" w:rsidRPr="005D5BDF" w:rsidRDefault="00520223" w:rsidP="00886D48">
            <w:pPr>
              <w:pStyle w:val="NoSpacing"/>
              <w:jc w:val="right"/>
              <w:cnfStyle w:val="000000000000" w:firstRow="0" w:lastRow="0" w:firstColumn="0" w:lastColumn="0" w:oddVBand="0" w:evenVBand="0" w:oddHBand="0" w:evenHBand="0" w:firstRowFirstColumn="0" w:firstRowLastColumn="0" w:lastRowFirstColumn="0" w:lastRowLastColumn="0"/>
              <w:rPr>
                <w:rFonts w:ascii="Calibri" w:hAnsi="Calibri" w:cs="Times New Roman"/>
                <w:szCs w:val="24"/>
              </w:rPr>
            </w:pPr>
            <w:r>
              <w:rPr>
                <w:rFonts w:ascii="Calibri" w:hAnsi="Calibri"/>
              </w:rPr>
              <w:t>$44</w:t>
            </w:r>
            <w:r w:rsidR="00886D48" w:rsidRPr="005D5BDF">
              <w:rPr>
                <w:rFonts w:ascii="Calibri" w:hAnsi="Calibri"/>
              </w:rPr>
              <w:t xml:space="preserve"> M</w:t>
            </w:r>
          </w:p>
        </w:tc>
      </w:tr>
    </w:tbl>
    <w:p w14:paraId="3B3FE40D" w14:textId="77777777" w:rsidR="00B65D4F" w:rsidRPr="004B2A73" w:rsidRDefault="00B65D4F" w:rsidP="00B65D4F">
      <w:pPr>
        <w:pStyle w:val="ListParagraph"/>
        <w:spacing w:after="0"/>
        <w:ind w:left="0"/>
        <w:rPr>
          <w:rFonts w:ascii="Calibri" w:hAnsi="Calibri"/>
          <w:sz w:val="24"/>
        </w:rPr>
      </w:pPr>
    </w:p>
    <w:p w14:paraId="7CE7C289" w14:textId="77777777" w:rsidR="000E4FC0" w:rsidRPr="004B2A73" w:rsidRDefault="00235F5B" w:rsidP="006161AC">
      <w:pPr>
        <w:pStyle w:val="Heading3"/>
      </w:pPr>
      <w:r w:rsidRPr="004B2A73">
        <w:t xml:space="preserve">Reaching the </w:t>
      </w:r>
      <w:r w:rsidR="00A72BB5" w:rsidRPr="004B2A73">
        <w:t>limits of c</w:t>
      </w:r>
      <w:r w:rsidR="000E4FC0" w:rsidRPr="004B2A73">
        <w:t xml:space="preserve">apacity </w:t>
      </w:r>
      <w:r w:rsidR="005D20DE" w:rsidRPr="004B2A73">
        <w:t>m</w:t>
      </w:r>
      <w:r w:rsidR="009D2C91" w:rsidRPr="004B2A73">
        <w:t>anagement</w:t>
      </w:r>
      <w:r w:rsidRPr="004B2A73">
        <w:t>?</w:t>
      </w:r>
    </w:p>
    <w:p w14:paraId="621EF575" w14:textId="77777777" w:rsidR="00B65D4F" w:rsidRPr="004B2A73" w:rsidRDefault="00B65D4F" w:rsidP="00B65D4F">
      <w:pPr>
        <w:pStyle w:val="ListParagraph"/>
        <w:spacing w:after="0"/>
        <w:ind w:left="0"/>
        <w:rPr>
          <w:rFonts w:ascii="Calibri" w:hAnsi="Calibri"/>
          <w:sz w:val="24"/>
        </w:rPr>
      </w:pPr>
    </w:p>
    <w:p w14:paraId="4E27A685" w14:textId="77777777" w:rsidR="005D5BDF" w:rsidRPr="00386E32" w:rsidRDefault="005D5BDF" w:rsidP="00E826B9">
      <w:pPr>
        <w:pStyle w:val="ListParagraph"/>
        <w:numPr>
          <w:ilvl w:val="0"/>
          <w:numId w:val="6"/>
        </w:numPr>
        <w:spacing w:after="0"/>
        <w:ind w:left="0" w:firstLine="0"/>
        <w:jc w:val="both"/>
        <w:rPr>
          <w:rFonts w:ascii="Calibri" w:hAnsi="Calibri"/>
          <w:b/>
          <w:sz w:val="24"/>
        </w:rPr>
      </w:pPr>
      <w:r>
        <w:rPr>
          <w:rFonts w:ascii="Calibri" w:hAnsi="Calibri"/>
          <w:b/>
          <w:sz w:val="24"/>
        </w:rPr>
        <w:t xml:space="preserve">Investment in modern quay and yard handling equipment by the </w:t>
      </w:r>
      <w:r w:rsidRPr="00386E32">
        <w:rPr>
          <w:rFonts w:ascii="Calibri" w:hAnsi="Calibri"/>
          <w:b/>
          <w:sz w:val="24"/>
        </w:rPr>
        <w:t xml:space="preserve">TOCs </w:t>
      </w:r>
      <w:r>
        <w:rPr>
          <w:rFonts w:ascii="Calibri" w:hAnsi="Calibri"/>
          <w:b/>
          <w:sz w:val="24"/>
        </w:rPr>
        <w:t>enabled terminal capacity to keep up with traffic growth, but some terminals are reaching their limits.</w:t>
      </w:r>
      <w:r>
        <w:rPr>
          <w:rFonts w:ascii="Calibri" w:hAnsi="Calibri"/>
          <w:sz w:val="24"/>
        </w:rPr>
        <w:t xml:space="preserve"> In Tema for instance, MPS handled 50% more TEUs in 2015 than at the beginning of its operations in 2008, and two-thirds more in Abidjan in 2015 compared to 2004. Accommodating such growth through handling equipment only has its limits, and there is a point when new infrastructure becomes </w:t>
      </w:r>
      <w:r>
        <w:rPr>
          <w:rFonts w:ascii="Calibri" w:hAnsi="Calibri"/>
          <w:sz w:val="24"/>
        </w:rPr>
        <w:lastRenderedPageBreak/>
        <w:t>necessary. It is therefore not surprising that both ports launched major infrastructure developments to further increase container capacity.</w:t>
      </w:r>
    </w:p>
    <w:p w14:paraId="622C0F09" w14:textId="77777777" w:rsidR="005D5BDF" w:rsidRPr="004B2A73" w:rsidRDefault="005D5BDF" w:rsidP="005D5BDF">
      <w:pPr>
        <w:pStyle w:val="ListParagraph"/>
        <w:spacing w:after="0"/>
        <w:ind w:left="0"/>
        <w:rPr>
          <w:rFonts w:ascii="Calibri" w:hAnsi="Calibri"/>
          <w:sz w:val="24"/>
        </w:rPr>
      </w:pPr>
    </w:p>
    <w:p w14:paraId="58BB74BA" w14:textId="3F7C4F39" w:rsidR="00FD5501" w:rsidRPr="004B2A73" w:rsidRDefault="00CD5514" w:rsidP="00E826B9">
      <w:pPr>
        <w:pStyle w:val="ListParagraph"/>
        <w:numPr>
          <w:ilvl w:val="0"/>
          <w:numId w:val="6"/>
        </w:numPr>
        <w:spacing w:after="0"/>
        <w:ind w:left="0" w:firstLine="0"/>
        <w:jc w:val="both"/>
        <w:rPr>
          <w:rFonts w:ascii="Calibri" w:hAnsi="Calibri"/>
          <w:sz w:val="24"/>
        </w:rPr>
      </w:pPr>
      <w:r w:rsidRPr="0068481F">
        <w:rPr>
          <w:rFonts w:ascii="Calibri" w:hAnsi="Calibri"/>
          <w:b/>
          <w:sz w:val="24"/>
        </w:rPr>
        <w:t>Despite improvements</w:t>
      </w:r>
      <w:r w:rsidR="00AF33A5" w:rsidRPr="0068481F">
        <w:rPr>
          <w:rFonts w:ascii="Calibri" w:hAnsi="Calibri"/>
          <w:b/>
          <w:sz w:val="24"/>
        </w:rPr>
        <w:t xml:space="preserve"> </w:t>
      </w:r>
      <w:r w:rsidR="00115E66" w:rsidRPr="0068481F">
        <w:rPr>
          <w:rFonts w:ascii="Calibri" w:hAnsi="Calibri"/>
          <w:b/>
          <w:sz w:val="24"/>
        </w:rPr>
        <w:t>introduced</w:t>
      </w:r>
      <w:r w:rsidR="00235F5B" w:rsidRPr="0068481F">
        <w:rPr>
          <w:rFonts w:ascii="Calibri" w:hAnsi="Calibri"/>
          <w:b/>
          <w:sz w:val="24"/>
        </w:rPr>
        <w:t xml:space="preserve"> by TOC</w:t>
      </w:r>
      <w:r w:rsidR="00115E66" w:rsidRPr="0068481F">
        <w:rPr>
          <w:rFonts w:ascii="Calibri" w:hAnsi="Calibri"/>
          <w:b/>
          <w:sz w:val="24"/>
        </w:rPr>
        <w:t>s</w:t>
      </w:r>
      <w:r w:rsidR="00235F5B" w:rsidRPr="0068481F">
        <w:rPr>
          <w:rFonts w:ascii="Calibri" w:hAnsi="Calibri"/>
          <w:b/>
          <w:sz w:val="24"/>
        </w:rPr>
        <w:t xml:space="preserve"> in terms of better handling equipment and terminal management techniques, performance </w:t>
      </w:r>
      <w:r w:rsidR="00520223">
        <w:rPr>
          <w:rFonts w:ascii="Calibri" w:hAnsi="Calibri"/>
          <w:b/>
          <w:sz w:val="24"/>
        </w:rPr>
        <w:t xml:space="preserve">– expressed in moves per hour - </w:t>
      </w:r>
      <w:r w:rsidR="00235F5B" w:rsidRPr="0068481F">
        <w:rPr>
          <w:rFonts w:ascii="Calibri" w:hAnsi="Calibri"/>
          <w:b/>
          <w:sz w:val="24"/>
        </w:rPr>
        <w:t>in West Africa remain</w:t>
      </w:r>
      <w:r w:rsidR="00115E66" w:rsidRPr="0068481F">
        <w:rPr>
          <w:rFonts w:ascii="Calibri" w:hAnsi="Calibri"/>
          <w:b/>
          <w:sz w:val="24"/>
        </w:rPr>
        <w:t>s</w:t>
      </w:r>
      <w:r w:rsidR="00235F5B" w:rsidRPr="0068481F">
        <w:rPr>
          <w:rFonts w:ascii="Calibri" w:hAnsi="Calibri"/>
          <w:b/>
          <w:sz w:val="24"/>
        </w:rPr>
        <w:t xml:space="preserve"> low compared to international benchmarks.</w:t>
      </w:r>
      <w:r w:rsidR="00FD5501" w:rsidRPr="0068481F">
        <w:rPr>
          <w:rFonts w:ascii="Calibri" w:hAnsi="Calibri"/>
          <w:sz w:val="24"/>
        </w:rPr>
        <w:t xml:space="preserve"> </w:t>
      </w:r>
      <w:r w:rsidR="00235F5B" w:rsidRPr="004B2A73">
        <w:rPr>
          <w:rFonts w:ascii="Calibri" w:hAnsi="Calibri"/>
          <w:sz w:val="24"/>
        </w:rPr>
        <w:t>The most significant efficiency gain</w:t>
      </w:r>
      <w:r w:rsidR="00E01B60">
        <w:rPr>
          <w:rFonts w:ascii="Calibri" w:hAnsi="Calibri"/>
          <w:sz w:val="24"/>
        </w:rPr>
        <w:t xml:space="preserve"> </w:t>
      </w:r>
      <w:r w:rsidR="00235F5B" w:rsidRPr="004B2A73">
        <w:rPr>
          <w:rFonts w:ascii="Calibri" w:hAnsi="Calibri"/>
          <w:sz w:val="24"/>
        </w:rPr>
        <w:t xml:space="preserve">which helped </w:t>
      </w:r>
      <w:r w:rsidR="00DA1713" w:rsidRPr="004B2A73">
        <w:rPr>
          <w:rFonts w:ascii="Calibri" w:hAnsi="Calibri"/>
          <w:sz w:val="24"/>
        </w:rPr>
        <w:t>unlock ‘frozen</w:t>
      </w:r>
      <w:r w:rsidR="00235F5B" w:rsidRPr="004B2A73">
        <w:rPr>
          <w:rFonts w:ascii="Calibri" w:hAnsi="Calibri"/>
          <w:sz w:val="24"/>
        </w:rPr>
        <w:t>’ capacity, w</w:t>
      </w:r>
      <w:r w:rsidR="006E2294" w:rsidRPr="004B2A73">
        <w:rPr>
          <w:rFonts w:ascii="Calibri" w:hAnsi="Calibri"/>
          <w:sz w:val="24"/>
        </w:rPr>
        <w:t>as</w:t>
      </w:r>
      <w:r w:rsidR="00235F5B" w:rsidRPr="004B2A73">
        <w:rPr>
          <w:rFonts w:ascii="Calibri" w:hAnsi="Calibri"/>
          <w:sz w:val="24"/>
        </w:rPr>
        <w:t xml:space="preserve"> </w:t>
      </w:r>
      <w:r w:rsidR="006E2294" w:rsidRPr="004B2A73">
        <w:rPr>
          <w:rFonts w:ascii="Calibri" w:hAnsi="Calibri"/>
          <w:sz w:val="24"/>
        </w:rPr>
        <w:t>a</w:t>
      </w:r>
      <w:r w:rsidR="001D2DB8" w:rsidRPr="004B2A73">
        <w:rPr>
          <w:rFonts w:ascii="Calibri" w:hAnsi="Calibri"/>
          <w:sz w:val="24"/>
        </w:rPr>
        <w:t>ch</w:t>
      </w:r>
      <w:r w:rsidR="006E2294" w:rsidRPr="004B2A73">
        <w:rPr>
          <w:rFonts w:ascii="Calibri" w:hAnsi="Calibri"/>
          <w:sz w:val="24"/>
        </w:rPr>
        <w:t>i</w:t>
      </w:r>
      <w:r w:rsidR="001D2DB8" w:rsidRPr="004B2A73">
        <w:rPr>
          <w:rFonts w:ascii="Calibri" w:hAnsi="Calibri"/>
          <w:sz w:val="24"/>
        </w:rPr>
        <w:t>e</w:t>
      </w:r>
      <w:r w:rsidR="006E2294" w:rsidRPr="004B2A73">
        <w:rPr>
          <w:rFonts w:ascii="Calibri" w:hAnsi="Calibri"/>
          <w:sz w:val="24"/>
        </w:rPr>
        <w:t>ved</w:t>
      </w:r>
      <w:r w:rsidR="00FD5501" w:rsidRPr="004B2A73">
        <w:rPr>
          <w:rFonts w:ascii="Calibri" w:hAnsi="Calibri"/>
          <w:sz w:val="24"/>
        </w:rPr>
        <w:t xml:space="preserve"> through additional or more productive quay handling equipment, and densification of the yard</w:t>
      </w:r>
      <w:r w:rsidR="00A946AC" w:rsidRPr="004B2A73">
        <w:rPr>
          <w:rStyle w:val="FootnoteReference"/>
          <w:rFonts w:ascii="Calibri" w:hAnsi="Calibri"/>
          <w:sz w:val="24"/>
        </w:rPr>
        <w:footnoteReference w:id="40"/>
      </w:r>
      <w:r w:rsidR="00FD5501" w:rsidRPr="004B2A73">
        <w:rPr>
          <w:rFonts w:ascii="Calibri" w:hAnsi="Calibri"/>
          <w:sz w:val="24"/>
        </w:rPr>
        <w:t>. To a large extent</w:t>
      </w:r>
      <w:r w:rsidR="007E1152" w:rsidRPr="004B2A73">
        <w:rPr>
          <w:rFonts w:ascii="Calibri" w:hAnsi="Calibri"/>
          <w:sz w:val="24"/>
        </w:rPr>
        <w:t xml:space="preserve"> (as discussed above)</w:t>
      </w:r>
      <w:r w:rsidR="00FD5501" w:rsidRPr="004B2A73">
        <w:rPr>
          <w:rFonts w:ascii="Calibri" w:hAnsi="Calibri"/>
          <w:sz w:val="24"/>
        </w:rPr>
        <w:t>, the initial investment</w:t>
      </w:r>
      <w:r w:rsidR="009B410B" w:rsidRPr="004B2A73">
        <w:rPr>
          <w:rFonts w:ascii="Calibri" w:hAnsi="Calibri"/>
          <w:sz w:val="24"/>
        </w:rPr>
        <w:t>s</w:t>
      </w:r>
      <w:r w:rsidR="00FD5501" w:rsidRPr="004B2A73">
        <w:rPr>
          <w:rFonts w:ascii="Calibri" w:hAnsi="Calibri"/>
          <w:sz w:val="24"/>
        </w:rPr>
        <w:t xml:space="preserve"> of the terminal operators </w:t>
      </w:r>
      <w:r w:rsidR="00235F5B" w:rsidRPr="004B2A73">
        <w:rPr>
          <w:rFonts w:ascii="Calibri" w:hAnsi="Calibri"/>
          <w:sz w:val="24"/>
        </w:rPr>
        <w:t xml:space="preserve">focused on </w:t>
      </w:r>
      <w:r w:rsidR="00FD5501" w:rsidRPr="004B2A73">
        <w:rPr>
          <w:rFonts w:ascii="Calibri" w:hAnsi="Calibri"/>
          <w:sz w:val="24"/>
        </w:rPr>
        <w:t>rationalizing and upgrading handling equipment, with investment in Ship-to-Shore cranes and yard gantries</w:t>
      </w:r>
      <w:r w:rsidR="00235F5B" w:rsidRPr="004B2A73">
        <w:rPr>
          <w:rFonts w:ascii="Calibri" w:hAnsi="Calibri"/>
          <w:sz w:val="24"/>
        </w:rPr>
        <w:t>, rather than expanding infrastructure</w:t>
      </w:r>
      <w:r w:rsidR="00285214" w:rsidRPr="004B2A73">
        <w:rPr>
          <w:rFonts w:ascii="Calibri" w:hAnsi="Calibri"/>
          <w:sz w:val="24"/>
        </w:rPr>
        <w:t>, in particular</w:t>
      </w:r>
      <w:r w:rsidR="00185AFB" w:rsidRPr="004B2A73">
        <w:rPr>
          <w:rFonts w:ascii="Calibri" w:hAnsi="Calibri"/>
          <w:sz w:val="24"/>
        </w:rPr>
        <w:t>,</w:t>
      </w:r>
      <w:r w:rsidR="00285214" w:rsidRPr="004B2A73">
        <w:rPr>
          <w:rFonts w:ascii="Calibri" w:hAnsi="Calibri"/>
          <w:sz w:val="24"/>
        </w:rPr>
        <w:t xml:space="preserve"> new quays and </w:t>
      </w:r>
      <w:r w:rsidR="00235F5B" w:rsidRPr="004B2A73">
        <w:rPr>
          <w:rFonts w:ascii="Calibri" w:hAnsi="Calibri"/>
          <w:sz w:val="24"/>
        </w:rPr>
        <w:t xml:space="preserve">larger </w:t>
      </w:r>
      <w:r w:rsidR="00285214" w:rsidRPr="004B2A73">
        <w:rPr>
          <w:rFonts w:ascii="Calibri" w:hAnsi="Calibri"/>
          <w:sz w:val="24"/>
        </w:rPr>
        <w:t xml:space="preserve">yard areas. </w:t>
      </w:r>
      <w:r w:rsidR="007E1152" w:rsidRPr="004B2A73">
        <w:rPr>
          <w:rFonts w:ascii="Calibri" w:hAnsi="Calibri"/>
          <w:sz w:val="24"/>
        </w:rPr>
        <w:t xml:space="preserve">Annex </w:t>
      </w:r>
      <w:r w:rsidR="00285214" w:rsidRPr="004B2A73">
        <w:rPr>
          <w:rFonts w:ascii="Calibri" w:hAnsi="Calibri"/>
          <w:sz w:val="24"/>
        </w:rPr>
        <w:t>4</w:t>
      </w:r>
      <w:r w:rsidR="007E1152" w:rsidRPr="004B2A73">
        <w:rPr>
          <w:rFonts w:ascii="Calibri" w:hAnsi="Calibri"/>
          <w:sz w:val="24"/>
        </w:rPr>
        <w:t xml:space="preserve"> presents an overview of the terminal characteristics and equipment as of October 2015, compiled from various sources (terminal operator websites, press release and articles in specialized shipping press).</w:t>
      </w:r>
      <w:r w:rsidR="0078092D" w:rsidRPr="004B2A73">
        <w:rPr>
          <w:rFonts w:ascii="Calibri" w:hAnsi="Calibri"/>
          <w:sz w:val="24"/>
        </w:rPr>
        <w:t xml:space="preserve"> A</w:t>
      </w:r>
      <w:r w:rsidR="0028494F" w:rsidRPr="004B2A73">
        <w:rPr>
          <w:rFonts w:ascii="Calibri" w:hAnsi="Calibri"/>
          <w:sz w:val="24"/>
        </w:rPr>
        <w:t>lthough TOC</w:t>
      </w:r>
      <w:r w:rsidR="00185AFB" w:rsidRPr="004B2A73">
        <w:rPr>
          <w:rFonts w:ascii="Calibri" w:hAnsi="Calibri"/>
          <w:sz w:val="24"/>
        </w:rPr>
        <w:t>s</w:t>
      </w:r>
      <w:r w:rsidR="0028494F" w:rsidRPr="004B2A73">
        <w:rPr>
          <w:rFonts w:ascii="Calibri" w:hAnsi="Calibri"/>
          <w:sz w:val="24"/>
        </w:rPr>
        <w:t>, port authorities and shipping lines agree that performance ha</w:t>
      </w:r>
      <w:r w:rsidR="00185AFB" w:rsidRPr="004B2A73">
        <w:rPr>
          <w:rFonts w:ascii="Calibri" w:hAnsi="Calibri"/>
          <w:sz w:val="24"/>
        </w:rPr>
        <w:t>s</w:t>
      </w:r>
      <w:r w:rsidR="0028494F" w:rsidRPr="004B2A73">
        <w:rPr>
          <w:rFonts w:ascii="Calibri" w:hAnsi="Calibri"/>
          <w:sz w:val="24"/>
        </w:rPr>
        <w:t xml:space="preserve"> improved, the</w:t>
      </w:r>
      <w:r w:rsidR="005F37E1" w:rsidRPr="004B2A73">
        <w:rPr>
          <w:rFonts w:ascii="Calibri" w:hAnsi="Calibri"/>
          <w:sz w:val="24"/>
        </w:rPr>
        <w:t>se</w:t>
      </w:r>
      <w:r w:rsidR="0028494F" w:rsidRPr="004B2A73">
        <w:rPr>
          <w:rFonts w:ascii="Calibri" w:hAnsi="Calibri"/>
          <w:sz w:val="24"/>
        </w:rPr>
        <w:t xml:space="preserve"> pale in comparison </w:t>
      </w:r>
      <w:r w:rsidR="005F37E1" w:rsidRPr="004B2A73">
        <w:rPr>
          <w:rFonts w:ascii="Calibri" w:hAnsi="Calibri"/>
          <w:sz w:val="24"/>
        </w:rPr>
        <w:t>to</w:t>
      </w:r>
      <w:r w:rsidR="0028494F" w:rsidRPr="004B2A73">
        <w:rPr>
          <w:rFonts w:ascii="Calibri" w:hAnsi="Calibri"/>
          <w:sz w:val="24"/>
        </w:rPr>
        <w:t xml:space="preserve"> international figures: for instance, switching from ships gear to STS cranes boosted the number of container moves per hours from below 10 to above 20, still behind the 30 and plus moves per hours that is considered the norm elsewhere.</w:t>
      </w:r>
      <w:r w:rsidR="0078092D" w:rsidRPr="004B2A73">
        <w:rPr>
          <w:rFonts w:ascii="Calibri" w:hAnsi="Calibri"/>
          <w:sz w:val="24"/>
        </w:rPr>
        <w:t xml:space="preserve"> A more comprehensive development o</w:t>
      </w:r>
      <w:r w:rsidR="005F37E1" w:rsidRPr="004B2A73">
        <w:rPr>
          <w:rFonts w:ascii="Calibri" w:hAnsi="Calibri"/>
          <w:sz w:val="24"/>
        </w:rPr>
        <w:t>f</w:t>
      </w:r>
      <w:r w:rsidR="0078092D" w:rsidRPr="004B2A73">
        <w:rPr>
          <w:rFonts w:ascii="Calibri" w:hAnsi="Calibri"/>
          <w:sz w:val="24"/>
        </w:rPr>
        <w:t xml:space="preserve"> port performance indicators features in the next section</w:t>
      </w:r>
      <w:r w:rsidR="00A65A12" w:rsidRPr="004B2A73">
        <w:rPr>
          <w:rFonts w:ascii="Calibri" w:hAnsi="Calibri"/>
          <w:sz w:val="24"/>
        </w:rPr>
        <w:t xml:space="preserve"> while elements of benchmarking are detailed in </w:t>
      </w:r>
      <w:r w:rsidR="00A65A12" w:rsidRPr="005D5BDF">
        <w:rPr>
          <w:rFonts w:ascii="Calibri" w:hAnsi="Calibri"/>
          <w:sz w:val="24"/>
          <w:szCs w:val="24"/>
        </w:rPr>
        <w:fldChar w:fldCharType="begin"/>
      </w:r>
      <w:r w:rsidR="00A65A12" w:rsidRPr="005D5BDF">
        <w:rPr>
          <w:rFonts w:ascii="Calibri" w:hAnsi="Calibri"/>
          <w:sz w:val="24"/>
          <w:szCs w:val="24"/>
        </w:rPr>
        <w:instrText xml:space="preserve"> REF _Ref451245066 \h </w:instrText>
      </w:r>
      <w:r w:rsidR="004B2A73" w:rsidRPr="005D5BDF">
        <w:rPr>
          <w:rFonts w:ascii="Calibri" w:hAnsi="Calibri"/>
          <w:sz w:val="24"/>
          <w:szCs w:val="24"/>
        </w:rPr>
        <w:instrText xml:space="preserve"> \* MERGEFORMAT </w:instrText>
      </w:r>
      <w:r w:rsidR="00A65A12" w:rsidRPr="005D5BDF">
        <w:rPr>
          <w:rFonts w:ascii="Calibri" w:hAnsi="Calibri"/>
          <w:sz w:val="24"/>
          <w:szCs w:val="24"/>
        </w:rPr>
      </w:r>
      <w:r w:rsidR="00A65A12" w:rsidRPr="005D5BDF">
        <w:rPr>
          <w:rFonts w:ascii="Calibri" w:hAnsi="Calibri"/>
          <w:sz w:val="24"/>
          <w:szCs w:val="24"/>
        </w:rPr>
        <w:fldChar w:fldCharType="separate"/>
      </w:r>
      <w:r w:rsidR="00212D01" w:rsidRPr="00212D01">
        <w:rPr>
          <w:rFonts w:ascii="Calibri" w:hAnsi="Calibri"/>
          <w:sz w:val="24"/>
          <w:szCs w:val="24"/>
        </w:rPr>
        <w:t xml:space="preserve">Box </w:t>
      </w:r>
      <w:r w:rsidR="00212D01" w:rsidRPr="00212D01">
        <w:rPr>
          <w:rFonts w:ascii="Calibri" w:hAnsi="Calibri"/>
          <w:noProof/>
          <w:sz w:val="24"/>
          <w:szCs w:val="24"/>
        </w:rPr>
        <w:t>4</w:t>
      </w:r>
      <w:r w:rsidR="00A65A12" w:rsidRPr="005D5BDF">
        <w:rPr>
          <w:rFonts w:ascii="Calibri" w:hAnsi="Calibri"/>
          <w:sz w:val="24"/>
          <w:szCs w:val="24"/>
        </w:rPr>
        <w:fldChar w:fldCharType="end"/>
      </w:r>
      <w:r w:rsidR="0078092D" w:rsidRPr="004B2A73">
        <w:rPr>
          <w:rFonts w:ascii="Calibri" w:hAnsi="Calibri"/>
          <w:sz w:val="24"/>
        </w:rPr>
        <w:t>.</w:t>
      </w:r>
    </w:p>
    <w:p w14:paraId="2A79DAA3" w14:textId="77777777" w:rsidR="00B65D4F" w:rsidRPr="004B2A73" w:rsidRDefault="00B65D4F" w:rsidP="00B65D4F">
      <w:pPr>
        <w:pStyle w:val="ListParagraph"/>
        <w:spacing w:after="0"/>
        <w:ind w:left="0"/>
        <w:rPr>
          <w:rFonts w:ascii="Calibri" w:hAnsi="Calibri"/>
          <w:sz w:val="24"/>
        </w:rPr>
      </w:pPr>
    </w:p>
    <w:p w14:paraId="1FC57B9B" w14:textId="6F401DB3" w:rsidR="00A65A12" w:rsidRPr="004B2A73" w:rsidRDefault="00A65A12" w:rsidP="00A65A12">
      <w:pPr>
        <w:pStyle w:val="Caption"/>
        <w:rPr>
          <w:rFonts w:ascii="Calibri" w:hAnsi="Calibri"/>
        </w:rPr>
      </w:pPr>
      <w:bookmarkStart w:id="68" w:name="_Ref451245066"/>
      <w:bookmarkStart w:id="69" w:name="_Toc485377013"/>
      <w:r w:rsidRPr="004B2A73">
        <w:rPr>
          <w:rFonts w:ascii="Calibri" w:hAnsi="Calibri"/>
        </w:rPr>
        <w:t xml:space="preserve">Box </w:t>
      </w:r>
      <w:r w:rsidRPr="004B2A73">
        <w:rPr>
          <w:rFonts w:ascii="Calibri" w:hAnsi="Calibri"/>
        </w:rPr>
        <w:fldChar w:fldCharType="begin"/>
      </w:r>
      <w:r w:rsidRPr="004B2A73">
        <w:rPr>
          <w:rFonts w:ascii="Calibri" w:hAnsi="Calibri"/>
        </w:rPr>
        <w:instrText xml:space="preserve"> SEQ Box \* ARABIC </w:instrText>
      </w:r>
      <w:r w:rsidRPr="004B2A73">
        <w:rPr>
          <w:rFonts w:ascii="Calibri" w:hAnsi="Calibri"/>
        </w:rPr>
        <w:fldChar w:fldCharType="separate"/>
      </w:r>
      <w:r w:rsidR="00212D01">
        <w:rPr>
          <w:rFonts w:ascii="Calibri" w:hAnsi="Calibri"/>
          <w:noProof/>
        </w:rPr>
        <w:t>4</w:t>
      </w:r>
      <w:r w:rsidRPr="004B2A73">
        <w:rPr>
          <w:rFonts w:ascii="Calibri" w:hAnsi="Calibri"/>
        </w:rPr>
        <w:fldChar w:fldCharType="end"/>
      </w:r>
      <w:bookmarkEnd w:id="68"/>
      <w:r w:rsidRPr="004B2A73">
        <w:rPr>
          <w:rFonts w:ascii="Calibri" w:hAnsi="Calibri"/>
        </w:rPr>
        <w:t>: Benchmarking Container Terminal and Port Productivity</w:t>
      </w:r>
      <w:bookmarkEnd w:id="69"/>
    </w:p>
    <w:tbl>
      <w:tblPr>
        <w:tblStyle w:val="TableGrid"/>
        <w:tblW w:w="0" w:type="auto"/>
        <w:tblInd w:w="108" w:type="dxa"/>
        <w:tblLook w:val="04A0" w:firstRow="1" w:lastRow="0" w:firstColumn="1" w:lastColumn="0" w:noHBand="0" w:noVBand="1"/>
      </w:tblPr>
      <w:tblGrid>
        <w:gridCol w:w="9242"/>
      </w:tblGrid>
      <w:tr w:rsidR="00A65A12" w:rsidRPr="005D5BDF" w14:paraId="2249C32B" w14:textId="77777777" w:rsidTr="00131772">
        <w:tc>
          <w:tcPr>
            <w:tcW w:w="9378" w:type="dxa"/>
          </w:tcPr>
          <w:p w14:paraId="76239B5C" w14:textId="6977C09A" w:rsidR="00A65A12" w:rsidRPr="005D5BDF" w:rsidRDefault="00A65A12" w:rsidP="00DA1713">
            <w:pPr>
              <w:jc w:val="both"/>
              <w:rPr>
                <w:rFonts w:ascii="Calibri" w:hAnsi="Calibri"/>
              </w:rPr>
            </w:pPr>
            <w:r w:rsidRPr="005D5BDF">
              <w:rPr>
                <w:rFonts w:ascii="Calibri" w:hAnsi="Calibri"/>
                <w:b/>
              </w:rPr>
              <w:t>From a shipping line perspective, time in port is critical.</w:t>
            </w:r>
            <w:r w:rsidRPr="005D5BDF">
              <w:rPr>
                <w:rFonts w:ascii="Calibri" w:hAnsi="Calibri"/>
              </w:rPr>
              <w:t xml:space="preserve"> With only one port of call in West Africa – </w:t>
            </w:r>
            <w:r w:rsidR="00C922CA" w:rsidRPr="005D5BDF">
              <w:rPr>
                <w:rFonts w:ascii="Calibri" w:hAnsi="Calibri"/>
              </w:rPr>
              <w:t>Lomé</w:t>
            </w:r>
            <w:r w:rsidRPr="005D5BDF">
              <w:rPr>
                <w:rFonts w:ascii="Calibri" w:hAnsi="Calibri"/>
              </w:rPr>
              <w:t xml:space="preserve"> – MSC launched its Asia West Africa weekly service with 10 vessels only, i.e. a loop of 70 days, while in comparison, most of the competing services operated by CMA CGM and Maersk require 12 or 13 vessels, for loops of 84 and 91 days respectively to be able to serve up to 5 or 6 ports in West Africa. The number of moves per port hours is therefore the critical performance indicator that shipping lines take into consideration, as time savings enable expanding the geographic coverage of ports while keeping a loop which is a multiple of seven.</w:t>
            </w:r>
          </w:p>
          <w:p w14:paraId="4F0BFF26" w14:textId="77777777" w:rsidR="00A65A12" w:rsidRPr="005D5BDF" w:rsidRDefault="00A65A12" w:rsidP="00FD0E13">
            <w:pPr>
              <w:rPr>
                <w:rFonts w:ascii="Calibri" w:hAnsi="Calibri"/>
              </w:rPr>
            </w:pPr>
          </w:p>
          <w:p w14:paraId="1A482FD8" w14:textId="77777777" w:rsidR="00A65A12" w:rsidRPr="005D5BDF" w:rsidRDefault="00A65A12" w:rsidP="00DA1713">
            <w:pPr>
              <w:jc w:val="both"/>
              <w:rPr>
                <w:rFonts w:ascii="Calibri" w:hAnsi="Calibri"/>
              </w:rPr>
            </w:pPr>
            <w:r w:rsidRPr="005D5BDF">
              <w:rPr>
                <w:rFonts w:ascii="Calibri" w:hAnsi="Calibri"/>
                <w:b/>
              </w:rPr>
              <w:t>Performances are influenced by the size of vessels and volume of the call: high volume routes allow for higher performances, putting Africa at a disadvantage in international comparisons.</w:t>
            </w:r>
            <w:r w:rsidRPr="005D5BDF">
              <w:rPr>
                <w:rFonts w:ascii="Calibri" w:hAnsi="Calibri"/>
              </w:rPr>
              <w:t xml:space="preserve"> On the major East-West trade lanes, large container vessels over 12,000 TEUs are the norm, and their size enable TOCs to use much more gantry cranes along their side than for the smaller vessels – 4,500 TEUs – that are deployed in West Africa. Comparing performances is therefore not in favor of West Africa ports. The Journal of Commerce published its Port Productivity White Paper in July 2014 and is maintaining a database on port productivity. 2013 regional average reached 90 moves per hour in Asia, hovered just above 60 moves per hour for America and almost reached 70 moves per hour for Europe. The regional difference also translate differences in vessel size and call volumes.</w:t>
            </w:r>
          </w:p>
          <w:p w14:paraId="5E603F8B" w14:textId="77777777" w:rsidR="00A65A12" w:rsidRPr="005D5BDF" w:rsidRDefault="00A65A12" w:rsidP="00FD0E13">
            <w:pPr>
              <w:rPr>
                <w:rFonts w:ascii="Calibri" w:hAnsi="Calibri"/>
              </w:rPr>
            </w:pPr>
          </w:p>
          <w:p w14:paraId="2D729BAD" w14:textId="269A4F8F" w:rsidR="00A65A12" w:rsidRPr="005D5BDF" w:rsidRDefault="00A65A12" w:rsidP="00A80E3D">
            <w:pPr>
              <w:pStyle w:val="Caption"/>
              <w:rPr>
                <w:rFonts w:ascii="Calibri" w:hAnsi="Calibri"/>
              </w:rPr>
            </w:pPr>
            <w:bookmarkStart w:id="70" w:name="_Toc485381920"/>
            <w:r w:rsidRPr="005D5BDF">
              <w:rPr>
                <w:rFonts w:ascii="Calibri" w:hAnsi="Calibri"/>
              </w:rPr>
              <w:t xml:space="preserve">Table </w:t>
            </w:r>
            <w:r w:rsidRPr="005D5BDF">
              <w:rPr>
                <w:rFonts w:ascii="Calibri" w:hAnsi="Calibri"/>
              </w:rPr>
              <w:fldChar w:fldCharType="begin"/>
            </w:r>
            <w:r w:rsidRPr="005D5BDF">
              <w:rPr>
                <w:rFonts w:ascii="Calibri" w:hAnsi="Calibri"/>
              </w:rPr>
              <w:instrText xml:space="preserve"> SEQ Table \* ARABIC </w:instrText>
            </w:r>
            <w:r w:rsidRPr="005D5BDF">
              <w:rPr>
                <w:rFonts w:ascii="Calibri" w:hAnsi="Calibri"/>
              </w:rPr>
              <w:fldChar w:fldCharType="separate"/>
            </w:r>
            <w:r w:rsidR="00212D01">
              <w:rPr>
                <w:rFonts w:ascii="Calibri" w:hAnsi="Calibri"/>
                <w:noProof/>
              </w:rPr>
              <w:t>9</w:t>
            </w:r>
            <w:r w:rsidRPr="005D5BDF">
              <w:rPr>
                <w:rFonts w:ascii="Calibri" w:hAnsi="Calibri"/>
              </w:rPr>
              <w:fldChar w:fldCharType="end"/>
            </w:r>
            <w:r w:rsidRPr="005D5BDF">
              <w:rPr>
                <w:rFonts w:ascii="Calibri" w:hAnsi="Calibri"/>
              </w:rPr>
              <w:t>: Regional average for ship productivity according to vessel size</w:t>
            </w:r>
            <w:bookmarkEnd w:id="70"/>
          </w:p>
          <w:tbl>
            <w:tblPr>
              <w:tblStyle w:val="TableGrid"/>
              <w:tblW w:w="0" w:type="auto"/>
              <w:tblLook w:val="04A0" w:firstRow="1" w:lastRow="0" w:firstColumn="1" w:lastColumn="0" w:noHBand="0" w:noVBand="1"/>
            </w:tblPr>
            <w:tblGrid>
              <w:gridCol w:w="2255"/>
              <w:gridCol w:w="2253"/>
              <w:gridCol w:w="2254"/>
              <w:gridCol w:w="2254"/>
            </w:tblGrid>
            <w:tr w:rsidR="00A65A12" w:rsidRPr="005D5BDF" w14:paraId="38BBBAB6" w14:textId="77777777" w:rsidTr="00FD0E13">
              <w:tc>
                <w:tcPr>
                  <w:tcW w:w="2268" w:type="dxa"/>
                </w:tcPr>
                <w:p w14:paraId="20CB1012" w14:textId="77777777" w:rsidR="00A65A12" w:rsidRPr="005D5BDF" w:rsidRDefault="00A65A12" w:rsidP="00FD0E13">
                  <w:pPr>
                    <w:rPr>
                      <w:rFonts w:ascii="Calibri" w:hAnsi="Calibri"/>
                    </w:rPr>
                  </w:pPr>
                  <w:r w:rsidRPr="005D5BDF">
                    <w:rPr>
                      <w:rFonts w:ascii="Calibri" w:hAnsi="Calibri"/>
                    </w:rPr>
                    <w:t>Region</w:t>
                  </w:r>
                </w:p>
              </w:tc>
              <w:tc>
                <w:tcPr>
                  <w:tcW w:w="2268" w:type="dxa"/>
                </w:tcPr>
                <w:p w14:paraId="29343C4F" w14:textId="77777777" w:rsidR="00A65A12" w:rsidRPr="005D5BDF" w:rsidRDefault="00A65A12" w:rsidP="00FD0E13">
                  <w:pPr>
                    <w:rPr>
                      <w:rFonts w:ascii="Calibri" w:hAnsi="Calibri"/>
                    </w:rPr>
                  </w:pPr>
                  <w:r w:rsidRPr="005D5BDF">
                    <w:rPr>
                      <w:rFonts w:ascii="Calibri" w:hAnsi="Calibri"/>
                    </w:rPr>
                    <w:t>Less than 2,500 TEUs</w:t>
                  </w:r>
                </w:p>
              </w:tc>
              <w:tc>
                <w:tcPr>
                  <w:tcW w:w="2268" w:type="dxa"/>
                </w:tcPr>
                <w:p w14:paraId="53FA7E43" w14:textId="77777777" w:rsidR="00A65A12" w:rsidRPr="005D5BDF" w:rsidRDefault="00A65A12" w:rsidP="00FD0E13">
                  <w:pPr>
                    <w:rPr>
                      <w:rFonts w:ascii="Calibri" w:hAnsi="Calibri"/>
                    </w:rPr>
                  </w:pPr>
                  <w:r w:rsidRPr="005D5BDF">
                    <w:rPr>
                      <w:rFonts w:ascii="Calibri" w:hAnsi="Calibri"/>
                    </w:rPr>
                    <w:t>7,500 – 10,000 TEUs</w:t>
                  </w:r>
                </w:p>
              </w:tc>
              <w:tc>
                <w:tcPr>
                  <w:tcW w:w="2268" w:type="dxa"/>
                </w:tcPr>
                <w:p w14:paraId="4BCAA8D4" w14:textId="77777777" w:rsidR="00A65A12" w:rsidRPr="005D5BDF" w:rsidRDefault="00A65A12" w:rsidP="00FD0E13">
                  <w:pPr>
                    <w:rPr>
                      <w:rFonts w:ascii="Calibri" w:hAnsi="Calibri"/>
                    </w:rPr>
                  </w:pPr>
                  <w:r w:rsidRPr="005D5BDF">
                    <w:rPr>
                      <w:rFonts w:ascii="Calibri" w:hAnsi="Calibri"/>
                    </w:rPr>
                    <w:t>10,000 TEUs and more</w:t>
                  </w:r>
                </w:p>
              </w:tc>
            </w:tr>
            <w:tr w:rsidR="00A65A12" w:rsidRPr="005D5BDF" w14:paraId="1F089547" w14:textId="77777777" w:rsidTr="00FD0E13">
              <w:tc>
                <w:tcPr>
                  <w:tcW w:w="2268" w:type="dxa"/>
                </w:tcPr>
                <w:p w14:paraId="14F6AEF6" w14:textId="77777777" w:rsidR="00A65A12" w:rsidRPr="005D5BDF" w:rsidRDefault="00A65A12" w:rsidP="00FD0E13">
                  <w:pPr>
                    <w:rPr>
                      <w:rFonts w:ascii="Calibri" w:hAnsi="Calibri"/>
                    </w:rPr>
                  </w:pPr>
                  <w:r w:rsidRPr="005D5BDF">
                    <w:rPr>
                      <w:rFonts w:ascii="Calibri" w:hAnsi="Calibri"/>
                    </w:rPr>
                    <w:lastRenderedPageBreak/>
                    <w:t>America</w:t>
                  </w:r>
                </w:p>
              </w:tc>
              <w:tc>
                <w:tcPr>
                  <w:tcW w:w="2268" w:type="dxa"/>
                </w:tcPr>
                <w:p w14:paraId="56A2DAD9" w14:textId="77777777" w:rsidR="00A65A12" w:rsidRPr="005D5BDF" w:rsidRDefault="00A65A12" w:rsidP="00FD0E13">
                  <w:pPr>
                    <w:rPr>
                      <w:rFonts w:ascii="Calibri" w:hAnsi="Calibri"/>
                    </w:rPr>
                  </w:pPr>
                  <w:r w:rsidRPr="005D5BDF">
                    <w:rPr>
                      <w:rFonts w:ascii="Calibri" w:hAnsi="Calibri"/>
                    </w:rPr>
                    <w:t>Below 40</w:t>
                  </w:r>
                </w:p>
              </w:tc>
              <w:tc>
                <w:tcPr>
                  <w:tcW w:w="4536" w:type="dxa"/>
                  <w:gridSpan w:val="2"/>
                </w:tcPr>
                <w:p w14:paraId="40B29B9C" w14:textId="77777777" w:rsidR="00A65A12" w:rsidRPr="005D5BDF" w:rsidRDefault="00A65A12" w:rsidP="00FD0E13">
                  <w:pPr>
                    <w:rPr>
                      <w:rFonts w:ascii="Calibri" w:hAnsi="Calibri"/>
                    </w:rPr>
                  </w:pPr>
                  <w:r w:rsidRPr="005D5BDF">
                    <w:rPr>
                      <w:rFonts w:ascii="Calibri" w:hAnsi="Calibri"/>
                    </w:rPr>
                    <w:t>Above 80</w:t>
                  </w:r>
                </w:p>
              </w:tc>
            </w:tr>
            <w:tr w:rsidR="00A65A12" w:rsidRPr="005D5BDF" w14:paraId="7E007F97" w14:textId="77777777" w:rsidTr="00FD0E13">
              <w:tc>
                <w:tcPr>
                  <w:tcW w:w="2268" w:type="dxa"/>
                </w:tcPr>
                <w:p w14:paraId="275383F6" w14:textId="77777777" w:rsidR="00A65A12" w:rsidRPr="005D5BDF" w:rsidRDefault="00A65A12" w:rsidP="00FD0E13">
                  <w:pPr>
                    <w:rPr>
                      <w:rFonts w:ascii="Calibri" w:hAnsi="Calibri"/>
                    </w:rPr>
                  </w:pPr>
                  <w:r w:rsidRPr="005D5BDF">
                    <w:rPr>
                      <w:rFonts w:ascii="Calibri" w:hAnsi="Calibri"/>
                    </w:rPr>
                    <w:t>Asia – Pacific</w:t>
                  </w:r>
                </w:p>
              </w:tc>
              <w:tc>
                <w:tcPr>
                  <w:tcW w:w="2268" w:type="dxa"/>
                </w:tcPr>
                <w:p w14:paraId="49FA2C90" w14:textId="77777777" w:rsidR="00A65A12" w:rsidRPr="005D5BDF" w:rsidRDefault="00A65A12" w:rsidP="00FD0E13">
                  <w:pPr>
                    <w:rPr>
                      <w:rFonts w:ascii="Calibri" w:hAnsi="Calibri"/>
                    </w:rPr>
                  </w:pPr>
                  <w:r w:rsidRPr="005D5BDF">
                    <w:rPr>
                      <w:rFonts w:ascii="Calibri" w:hAnsi="Calibri"/>
                    </w:rPr>
                    <w:t>50</w:t>
                  </w:r>
                </w:p>
              </w:tc>
              <w:tc>
                <w:tcPr>
                  <w:tcW w:w="2268" w:type="dxa"/>
                </w:tcPr>
                <w:p w14:paraId="1D8C72FF" w14:textId="77777777" w:rsidR="00A65A12" w:rsidRPr="005D5BDF" w:rsidRDefault="00A65A12" w:rsidP="00FD0E13">
                  <w:pPr>
                    <w:rPr>
                      <w:rFonts w:ascii="Calibri" w:hAnsi="Calibri"/>
                    </w:rPr>
                  </w:pPr>
                  <w:r w:rsidRPr="005D5BDF">
                    <w:rPr>
                      <w:rFonts w:ascii="Calibri" w:hAnsi="Calibri"/>
                    </w:rPr>
                    <w:t>Above 100</w:t>
                  </w:r>
                </w:p>
              </w:tc>
              <w:tc>
                <w:tcPr>
                  <w:tcW w:w="2268" w:type="dxa"/>
                </w:tcPr>
                <w:p w14:paraId="30245C95" w14:textId="77777777" w:rsidR="00A65A12" w:rsidRPr="005D5BDF" w:rsidRDefault="00A65A12" w:rsidP="00FD0E13">
                  <w:pPr>
                    <w:rPr>
                      <w:rFonts w:ascii="Calibri" w:hAnsi="Calibri"/>
                    </w:rPr>
                  </w:pPr>
                  <w:r w:rsidRPr="005D5BDF">
                    <w:rPr>
                      <w:rFonts w:ascii="Calibri" w:hAnsi="Calibri"/>
                    </w:rPr>
                    <w:t>Above 120</w:t>
                  </w:r>
                </w:p>
              </w:tc>
            </w:tr>
            <w:tr w:rsidR="00A65A12" w:rsidRPr="005D5BDF" w14:paraId="772C5BEE" w14:textId="77777777" w:rsidTr="00FD0E13">
              <w:tc>
                <w:tcPr>
                  <w:tcW w:w="2268" w:type="dxa"/>
                </w:tcPr>
                <w:p w14:paraId="742BBE49" w14:textId="77777777" w:rsidR="00A65A12" w:rsidRPr="005D5BDF" w:rsidRDefault="00A65A12" w:rsidP="00FD0E13">
                  <w:pPr>
                    <w:rPr>
                      <w:rFonts w:ascii="Calibri" w:hAnsi="Calibri"/>
                    </w:rPr>
                  </w:pPr>
                  <w:r w:rsidRPr="005D5BDF">
                    <w:rPr>
                      <w:rFonts w:ascii="Calibri" w:hAnsi="Calibri"/>
                    </w:rPr>
                    <w:t>Europe and Mid-East</w:t>
                  </w:r>
                </w:p>
              </w:tc>
              <w:tc>
                <w:tcPr>
                  <w:tcW w:w="2268" w:type="dxa"/>
                </w:tcPr>
                <w:p w14:paraId="4D2FEF3B" w14:textId="77777777" w:rsidR="00A65A12" w:rsidRPr="005D5BDF" w:rsidRDefault="00A65A12" w:rsidP="00FD0E13">
                  <w:pPr>
                    <w:rPr>
                      <w:rFonts w:ascii="Calibri" w:hAnsi="Calibri"/>
                    </w:rPr>
                  </w:pPr>
                  <w:r w:rsidRPr="005D5BDF">
                    <w:rPr>
                      <w:rFonts w:ascii="Calibri" w:hAnsi="Calibri"/>
                    </w:rPr>
                    <w:t>Below 40</w:t>
                  </w:r>
                </w:p>
              </w:tc>
              <w:tc>
                <w:tcPr>
                  <w:tcW w:w="4536" w:type="dxa"/>
                  <w:gridSpan w:val="2"/>
                </w:tcPr>
                <w:p w14:paraId="42F975E3" w14:textId="77777777" w:rsidR="00A65A12" w:rsidRPr="005D5BDF" w:rsidRDefault="00A65A12" w:rsidP="00FD0E13">
                  <w:pPr>
                    <w:rPr>
                      <w:rFonts w:ascii="Calibri" w:hAnsi="Calibri"/>
                    </w:rPr>
                  </w:pPr>
                  <w:r w:rsidRPr="005D5BDF">
                    <w:rPr>
                      <w:rFonts w:ascii="Calibri" w:hAnsi="Calibri"/>
                    </w:rPr>
                    <w:t>Above 90</w:t>
                  </w:r>
                </w:p>
              </w:tc>
            </w:tr>
          </w:tbl>
          <w:p w14:paraId="7BCFAAD3" w14:textId="77777777" w:rsidR="00A65A12" w:rsidRPr="005D5BDF" w:rsidRDefault="00A65A12" w:rsidP="00FD0E13">
            <w:pPr>
              <w:rPr>
                <w:rFonts w:ascii="Calibri" w:hAnsi="Calibri"/>
                <w:szCs w:val="20"/>
              </w:rPr>
            </w:pPr>
            <w:r w:rsidRPr="005D5BDF">
              <w:rPr>
                <w:rFonts w:ascii="Calibri" w:hAnsi="Calibri"/>
                <w:szCs w:val="20"/>
              </w:rPr>
              <w:t>Source: JOC White Paper on Port Productivity, July 2014</w:t>
            </w:r>
          </w:p>
          <w:p w14:paraId="68D95A1C" w14:textId="77777777" w:rsidR="00A65A12" w:rsidRPr="005D5BDF" w:rsidRDefault="00A65A12" w:rsidP="00FD0E13">
            <w:pPr>
              <w:rPr>
                <w:rFonts w:ascii="Calibri" w:hAnsi="Calibri"/>
              </w:rPr>
            </w:pPr>
          </w:p>
          <w:p w14:paraId="7562CEF1" w14:textId="5BE335D4" w:rsidR="00A65A12" w:rsidRPr="005D5BDF" w:rsidRDefault="00A65A12" w:rsidP="00724C76">
            <w:pPr>
              <w:pStyle w:val="Caption"/>
              <w:rPr>
                <w:rFonts w:ascii="Calibri" w:hAnsi="Calibri"/>
              </w:rPr>
            </w:pPr>
            <w:bookmarkStart w:id="71" w:name="_Toc485377047"/>
            <w:r w:rsidRPr="005D5BDF">
              <w:rPr>
                <w:rFonts w:ascii="Calibri" w:hAnsi="Calibri"/>
              </w:rPr>
              <w:t xml:space="preserve">Figure </w:t>
            </w:r>
            <w:r w:rsidRPr="005D5BDF">
              <w:rPr>
                <w:rFonts w:ascii="Calibri" w:hAnsi="Calibri"/>
              </w:rPr>
              <w:fldChar w:fldCharType="begin"/>
            </w:r>
            <w:r w:rsidRPr="005D5BDF">
              <w:rPr>
                <w:rFonts w:ascii="Calibri" w:hAnsi="Calibri"/>
              </w:rPr>
              <w:instrText xml:space="preserve"> SEQ Figure \* ARABIC </w:instrText>
            </w:r>
            <w:r w:rsidRPr="005D5BDF">
              <w:rPr>
                <w:rFonts w:ascii="Calibri" w:hAnsi="Calibri"/>
              </w:rPr>
              <w:fldChar w:fldCharType="separate"/>
            </w:r>
            <w:r w:rsidR="00212D01">
              <w:rPr>
                <w:rFonts w:ascii="Calibri" w:hAnsi="Calibri"/>
                <w:noProof/>
              </w:rPr>
              <w:t>12</w:t>
            </w:r>
            <w:r w:rsidRPr="005D5BDF">
              <w:rPr>
                <w:rFonts w:ascii="Calibri" w:hAnsi="Calibri"/>
              </w:rPr>
              <w:fldChar w:fldCharType="end"/>
            </w:r>
            <w:r w:rsidRPr="005D5BDF">
              <w:rPr>
                <w:rFonts w:ascii="Calibri" w:hAnsi="Calibri"/>
              </w:rPr>
              <w:t>: Benchmarking Africa ports 2014 performances</w:t>
            </w:r>
            <w:bookmarkEnd w:id="71"/>
          </w:p>
          <w:p w14:paraId="6AA9ED88" w14:textId="77777777" w:rsidR="00A65A12" w:rsidRPr="005D5BDF" w:rsidRDefault="00A65A12" w:rsidP="00FD0E13">
            <w:pPr>
              <w:rPr>
                <w:rFonts w:ascii="Calibri" w:hAnsi="Calibri"/>
              </w:rPr>
            </w:pPr>
            <w:r w:rsidRPr="005D5BDF">
              <w:rPr>
                <w:rFonts w:ascii="Calibri" w:hAnsi="Calibri"/>
                <w:noProof/>
              </w:rPr>
              <w:drawing>
                <wp:inline distT="0" distB="0" distL="0" distR="0" wp14:anchorId="569A142C" wp14:editId="7004BE83">
                  <wp:extent cx="588645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0A6F86" w14:textId="77777777" w:rsidR="00A65A12" w:rsidRPr="005D5BDF" w:rsidRDefault="00A65A12" w:rsidP="00FD0E13">
            <w:pPr>
              <w:rPr>
                <w:rFonts w:ascii="Calibri" w:hAnsi="Calibri"/>
              </w:rPr>
            </w:pPr>
            <w:r w:rsidRPr="005D5BDF">
              <w:rPr>
                <w:rFonts w:ascii="Calibri" w:hAnsi="Calibri"/>
              </w:rPr>
              <w:t>Source: Port Regulator of South Africa, Benchmarking report 2015, using JOC Productivity database quoted by UNCTAD Review of Maritime Transport 2015</w:t>
            </w:r>
          </w:p>
          <w:p w14:paraId="6F65177B" w14:textId="77777777" w:rsidR="00A65A12" w:rsidRPr="005D5BDF" w:rsidRDefault="00A65A12" w:rsidP="00FD0E13">
            <w:pPr>
              <w:rPr>
                <w:rFonts w:ascii="Calibri" w:hAnsi="Calibri"/>
              </w:rPr>
            </w:pPr>
          </w:p>
          <w:p w14:paraId="1442C58B" w14:textId="77777777" w:rsidR="00A65A12" w:rsidRPr="005D5BDF" w:rsidRDefault="00A65A12" w:rsidP="00DA1713">
            <w:pPr>
              <w:jc w:val="both"/>
              <w:rPr>
                <w:rFonts w:ascii="Calibri" w:hAnsi="Calibri"/>
              </w:rPr>
            </w:pPr>
            <w:r w:rsidRPr="005D5BDF">
              <w:rPr>
                <w:rFonts w:ascii="Calibri" w:hAnsi="Calibri"/>
                <w:b/>
              </w:rPr>
              <w:t xml:space="preserve">The huge differences in port productivity are amplified by differences in vessels size. </w:t>
            </w:r>
            <w:r w:rsidRPr="005D5BDF">
              <w:rPr>
                <w:rFonts w:ascii="Calibri" w:hAnsi="Calibri"/>
              </w:rPr>
              <w:t>Crane productivity is typically an average of 20 moves per crane per hours in West Africa, 25 to 30 for South Africa, and 35 to 40 for Asia. Comparing crane productivity with ship productivity shows that in Tema for instance, a ship uses on average one crane and a half, whereas in Durban, that ratio is just above two, is close to three for Los Angeles, and four to five for the top performing terminals in Asia (for instance 180 moves per ship hour for the Yokohama APM Terminal), highlighting the role and importance of vessels size and call volumes.</w:t>
            </w:r>
          </w:p>
          <w:p w14:paraId="60A122B6" w14:textId="77777777" w:rsidR="00A65A12" w:rsidRPr="005D5BDF" w:rsidRDefault="00A65A12" w:rsidP="00DA1713">
            <w:pPr>
              <w:jc w:val="both"/>
              <w:rPr>
                <w:rFonts w:ascii="Calibri" w:hAnsi="Calibri"/>
              </w:rPr>
            </w:pPr>
          </w:p>
          <w:p w14:paraId="20BD8952" w14:textId="5C0A702C" w:rsidR="00A65A12" w:rsidRPr="005D5BDF" w:rsidRDefault="00A65A12" w:rsidP="00DA1713">
            <w:pPr>
              <w:jc w:val="both"/>
              <w:rPr>
                <w:rFonts w:ascii="Calibri" w:hAnsi="Calibri"/>
              </w:rPr>
            </w:pPr>
            <w:r w:rsidRPr="005D5BDF">
              <w:rPr>
                <w:rFonts w:ascii="Calibri" w:hAnsi="Calibri"/>
                <w:b/>
              </w:rPr>
              <w:t>However, performances should align with international benchmark with the arrival of larger vessels on the West Africa trades</w:t>
            </w:r>
            <w:r w:rsidRPr="005D5BDF">
              <w:rPr>
                <w:rFonts w:ascii="Calibri" w:hAnsi="Calibri"/>
              </w:rPr>
              <w:t xml:space="preserve">. Maersk first with its 4,500 TEUs wafmax vessels introduced in June 2011, then MSC with its 6,000 TEUs and more on its Asia West Africa </w:t>
            </w:r>
            <w:r w:rsidR="00DA1713" w:rsidRPr="005D5BDF">
              <w:rPr>
                <w:rFonts w:ascii="Calibri" w:hAnsi="Calibri"/>
              </w:rPr>
              <w:t>service</w:t>
            </w:r>
            <w:r w:rsidRPr="005D5BDF">
              <w:rPr>
                <w:rFonts w:ascii="Calibri" w:hAnsi="Calibri"/>
              </w:rPr>
              <w:t xml:space="preserve"> vastly increased the average size of container ships on the West Africa trades. Larger vessels handling larger volumes of containers per call should enable TOC to show performances comparable to other regions, now that trade related differences decrease. Monitoring the performances of the TOCs in the coming years will help determine if the performance gap was actually due to the characteristics of the calls or not.</w:t>
            </w:r>
          </w:p>
        </w:tc>
      </w:tr>
    </w:tbl>
    <w:p w14:paraId="26333EF4" w14:textId="77777777" w:rsidR="00A65A12" w:rsidRPr="004B2A73" w:rsidRDefault="00A65A12" w:rsidP="00B65D4F">
      <w:pPr>
        <w:pStyle w:val="ListParagraph"/>
        <w:spacing w:after="0"/>
        <w:ind w:left="0"/>
        <w:rPr>
          <w:rFonts w:ascii="Calibri" w:hAnsi="Calibri"/>
          <w:sz w:val="24"/>
        </w:rPr>
      </w:pPr>
    </w:p>
    <w:p w14:paraId="1702E95E" w14:textId="30FC6529" w:rsidR="00FD5501" w:rsidRPr="004B2A73" w:rsidRDefault="00E42EAB" w:rsidP="00E826B9">
      <w:pPr>
        <w:pStyle w:val="ListParagraph"/>
        <w:numPr>
          <w:ilvl w:val="0"/>
          <w:numId w:val="6"/>
        </w:numPr>
        <w:spacing w:after="0"/>
        <w:ind w:left="0" w:firstLine="0"/>
        <w:jc w:val="both"/>
        <w:rPr>
          <w:rFonts w:ascii="Calibri" w:hAnsi="Calibri"/>
          <w:sz w:val="24"/>
        </w:rPr>
      </w:pPr>
      <w:r>
        <w:rPr>
          <w:rFonts w:ascii="Calibri" w:hAnsi="Calibri"/>
          <w:b/>
          <w:sz w:val="24"/>
        </w:rPr>
        <w:t>However, it is important to note that the</w:t>
      </w:r>
      <w:r w:rsidRPr="004B2A73">
        <w:rPr>
          <w:rFonts w:ascii="Calibri" w:hAnsi="Calibri"/>
          <w:b/>
          <w:sz w:val="24"/>
        </w:rPr>
        <w:t xml:space="preserve"> </w:t>
      </w:r>
      <w:r w:rsidR="0078092D" w:rsidRPr="004B2A73">
        <w:rPr>
          <w:rFonts w:ascii="Calibri" w:hAnsi="Calibri"/>
          <w:b/>
          <w:sz w:val="24"/>
        </w:rPr>
        <w:t>comparatively low performances preventing TOC to fully unlock capacity reserves are largely due to circumstances beyond their control</w:t>
      </w:r>
      <w:r w:rsidR="00FD5501" w:rsidRPr="004B2A73">
        <w:rPr>
          <w:rFonts w:ascii="Calibri" w:hAnsi="Calibri"/>
          <w:b/>
          <w:sz w:val="24"/>
        </w:rPr>
        <w:t>.</w:t>
      </w:r>
      <w:r w:rsidR="00FD5501" w:rsidRPr="004B2A73">
        <w:rPr>
          <w:rFonts w:ascii="Calibri" w:hAnsi="Calibri"/>
          <w:sz w:val="24"/>
        </w:rPr>
        <w:t xml:space="preserve"> </w:t>
      </w:r>
      <w:r w:rsidR="0099613A" w:rsidRPr="004B2A73">
        <w:rPr>
          <w:rFonts w:ascii="Calibri" w:hAnsi="Calibri"/>
          <w:sz w:val="24"/>
        </w:rPr>
        <w:t xml:space="preserve">In the function determining theoretical capacity, the </w:t>
      </w:r>
      <w:r w:rsidR="00FD5501" w:rsidRPr="004B2A73">
        <w:rPr>
          <w:rFonts w:ascii="Calibri" w:hAnsi="Calibri"/>
          <w:sz w:val="24"/>
        </w:rPr>
        <w:t xml:space="preserve">two main binding constraints are usually quay </w:t>
      </w:r>
      <w:r w:rsidR="0099613A" w:rsidRPr="004B2A73">
        <w:rPr>
          <w:rFonts w:ascii="Calibri" w:hAnsi="Calibri"/>
          <w:sz w:val="24"/>
        </w:rPr>
        <w:lastRenderedPageBreak/>
        <w:t xml:space="preserve">transfer </w:t>
      </w:r>
      <w:r w:rsidR="00FD5501" w:rsidRPr="004B2A73">
        <w:rPr>
          <w:rFonts w:ascii="Calibri" w:hAnsi="Calibri"/>
          <w:sz w:val="24"/>
        </w:rPr>
        <w:t>capacity and yard capacity</w:t>
      </w:r>
      <w:r w:rsidR="00B54553" w:rsidRPr="004B2A73">
        <w:rPr>
          <w:rFonts w:ascii="Calibri" w:hAnsi="Calibri"/>
          <w:sz w:val="24"/>
        </w:rPr>
        <w:t xml:space="preserve"> (cf</w:t>
      </w:r>
      <w:r w:rsidR="00B54553" w:rsidRPr="004B2A73">
        <w:rPr>
          <w:rFonts w:ascii="Calibri" w:hAnsi="Calibri"/>
          <w:sz w:val="24"/>
          <w:szCs w:val="24"/>
        </w:rPr>
        <w:t xml:space="preserve">. </w:t>
      </w:r>
      <w:r w:rsidR="0078092D" w:rsidRPr="004B2A73">
        <w:rPr>
          <w:rFonts w:ascii="Calibri" w:hAnsi="Calibri"/>
          <w:sz w:val="24"/>
          <w:szCs w:val="24"/>
        </w:rPr>
        <w:fldChar w:fldCharType="begin"/>
      </w:r>
      <w:r w:rsidR="0078092D" w:rsidRPr="004B2A73">
        <w:rPr>
          <w:rFonts w:ascii="Calibri" w:hAnsi="Calibri"/>
          <w:sz w:val="24"/>
          <w:szCs w:val="24"/>
        </w:rPr>
        <w:instrText xml:space="preserve"> REF _Ref432607346 \h  \* MERGEFORMAT </w:instrText>
      </w:r>
      <w:r w:rsidR="0078092D" w:rsidRPr="004B2A73">
        <w:rPr>
          <w:rFonts w:ascii="Calibri" w:hAnsi="Calibri"/>
          <w:sz w:val="24"/>
          <w:szCs w:val="24"/>
        </w:rPr>
      </w:r>
      <w:r w:rsidR="0078092D" w:rsidRPr="004B2A73">
        <w:rPr>
          <w:rFonts w:ascii="Calibri" w:hAnsi="Calibri"/>
          <w:sz w:val="24"/>
          <w:szCs w:val="24"/>
        </w:rPr>
        <w:fldChar w:fldCharType="separate"/>
      </w:r>
      <w:r w:rsidR="00212D01" w:rsidRPr="00212D01">
        <w:rPr>
          <w:rFonts w:ascii="Calibri" w:hAnsi="Calibri"/>
          <w:sz w:val="24"/>
          <w:szCs w:val="24"/>
        </w:rPr>
        <w:t>Figure 10</w:t>
      </w:r>
      <w:r w:rsidR="0078092D" w:rsidRPr="004B2A73">
        <w:rPr>
          <w:rFonts w:ascii="Calibri" w:hAnsi="Calibri"/>
          <w:sz w:val="24"/>
          <w:szCs w:val="24"/>
        </w:rPr>
        <w:fldChar w:fldCharType="end"/>
      </w:r>
      <w:r w:rsidR="0099613A" w:rsidRPr="004B2A73">
        <w:rPr>
          <w:rFonts w:ascii="Calibri" w:hAnsi="Calibri"/>
          <w:sz w:val="24"/>
        </w:rPr>
        <w:t>)</w:t>
      </w:r>
      <w:r w:rsidR="00FD5501" w:rsidRPr="004B2A73">
        <w:rPr>
          <w:rFonts w:ascii="Calibri" w:hAnsi="Calibri"/>
          <w:sz w:val="24"/>
        </w:rPr>
        <w:t xml:space="preserve">. Quay capacity is primarily a function of </w:t>
      </w:r>
      <w:r w:rsidR="00FB6F86" w:rsidRPr="004B2A73">
        <w:rPr>
          <w:rFonts w:ascii="Calibri" w:hAnsi="Calibri"/>
          <w:sz w:val="24"/>
        </w:rPr>
        <w:t xml:space="preserve">berth productivity, for which </w:t>
      </w:r>
      <w:r w:rsidR="00FD5501" w:rsidRPr="004B2A73">
        <w:rPr>
          <w:rFonts w:ascii="Calibri" w:hAnsi="Calibri"/>
          <w:sz w:val="24"/>
        </w:rPr>
        <w:t>crane productivity</w:t>
      </w:r>
      <w:r w:rsidR="00FB6F86" w:rsidRPr="004B2A73">
        <w:rPr>
          <w:rFonts w:ascii="Calibri" w:hAnsi="Calibri"/>
          <w:sz w:val="24"/>
        </w:rPr>
        <w:t xml:space="preserve"> is an important input, but not necessarily the dominant one. </w:t>
      </w:r>
      <w:r w:rsidR="00FB6F86" w:rsidRPr="004B2A73">
        <w:rPr>
          <w:rFonts w:ascii="Calibri" w:hAnsi="Calibri"/>
          <w:sz w:val="24"/>
          <w:lang w:val="en-GB"/>
        </w:rPr>
        <w:t>Berth and port productivity</w:t>
      </w:r>
      <w:r w:rsidR="00FB6F86" w:rsidRPr="004B2A73">
        <w:rPr>
          <w:rStyle w:val="FootnoteReference"/>
          <w:rFonts w:ascii="Calibri" w:hAnsi="Calibri"/>
          <w:sz w:val="24"/>
          <w:lang w:val="en-GB"/>
        </w:rPr>
        <w:footnoteReference w:id="41"/>
      </w:r>
      <w:r w:rsidR="00FB6F86" w:rsidRPr="004B2A73">
        <w:rPr>
          <w:rFonts w:ascii="Calibri" w:hAnsi="Calibri"/>
          <w:sz w:val="24"/>
          <w:lang w:val="en-GB"/>
        </w:rPr>
        <w:t xml:space="preserve"> measure the total number of movements during a ship’s call, and crane productivity measures the number of movements per crane. Both the ship and the call characteristics have a significant influence on the level of performance (larger ships with larger call volumes can achieve higher productivity), and the nature of the liner services in West Africa changed so much over the last decade that comparisons over time would shed little light on the impact of the TOCs. For instance, it is common to find references to over 35 moves per crane hour as the standard benchmark for crane productivity, but this performance is usually achieved for large call volumes, which is still rarely the case in West Africa. Berth productivity depends on the number of cranes that can operate a ship, and it is obvious that a 2,500 TEU ship cannot accommodate the same number of cranes along its side as a </w:t>
      </w:r>
      <w:r w:rsidR="0037150D" w:rsidRPr="004B2A73">
        <w:rPr>
          <w:rFonts w:ascii="Calibri" w:hAnsi="Calibri"/>
          <w:sz w:val="24"/>
          <w:lang w:val="en-GB"/>
        </w:rPr>
        <w:t>8</w:t>
      </w:r>
      <w:r w:rsidR="00FB6F86" w:rsidRPr="004B2A73">
        <w:rPr>
          <w:rFonts w:ascii="Calibri" w:hAnsi="Calibri"/>
          <w:sz w:val="24"/>
          <w:lang w:val="en-GB"/>
        </w:rPr>
        <w:t>,000</w:t>
      </w:r>
      <w:r w:rsidR="0037150D" w:rsidRPr="004B2A73">
        <w:rPr>
          <w:rFonts w:ascii="Calibri" w:hAnsi="Calibri"/>
          <w:sz w:val="24"/>
          <w:lang w:val="en-GB"/>
        </w:rPr>
        <w:t>+</w:t>
      </w:r>
      <w:r w:rsidR="00FB6F86" w:rsidRPr="004B2A73">
        <w:rPr>
          <w:rFonts w:ascii="Calibri" w:hAnsi="Calibri"/>
          <w:sz w:val="24"/>
          <w:lang w:val="en-GB"/>
        </w:rPr>
        <w:t xml:space="preserve"> TEU ship.</w:t>
      </w:r>
      <w:r w:rsidR="007A730A">
        <w:rPr>
          <w:rFonts w:ascii="Calibri" w:hAnsi="Calibri"/>
          <w:sz w:val="24"/>
          <w:lang w:val="en-GB"/>
        </w:rPr>
        <w:t xml:space="preserve"> </w:t>
      </w:r>
      <w:r w:rsidR="00FD5501" w:rsidRPr="004B2A73">
        <w:rPr>
          <w:rFonts w:ascii="Calibri" w:hAnsi="Calibri"/>
          <w:sz w:val="24"/>
        </w:rPr>
        <w:t>Yard capacity is essentially a function of dwell time</w:t>
      </w:r>
      <w:r w:rsidR="00A61E25" w:rsidRPr="004B2A73">
        <w:rPr>
          <w:rFonts w:ascii="Calibri" w:hAnsi="Calibri"/>
          <w:sz w:val="24"/>
        </w:rPr>
        <w:t xml:space="preserve">: the maximum number of containers that </w:t>
      </w:r>
      <w:r w:rsidR="00FD5501" w:rsidRPr="004B2A73">
        <w:rPr>
          <w:rFonts w:ascii="Calibri" w:hAnsi="Calibri"/>
          <w:sz w:val="24"/>
        </w:rPr>
        <w:t xml:space="preserve">each available yard slot </w:t>
      </w:r>
      <w:r w:rsidR="00A61E25" w:rsidRPr="004B2A73">
        <w:rPr>
          <w:rFonts w:ascii="Calibri" w:hAnsi="Calibri"/>
          <w:sz w:val="24"/>
        </w:rPr>
        <w:t>can handle each year equals</w:t>
      </w:r>
      <w:r w:rsidR="00FD5501" w:rsidRPr="004B2A73">
        <w:rPr>
          <w:rFonts w:ascii="Calibri" w:hAnsi="Calibri"/>
          <w:sz w:val="24"/>
        </w:rPr>
        <w:t xml:space="preserve"> the total number of days per year divided by the average dwell time. With dwell time routinely longer than half a month, when ideally it should be well below a week, improvements in port procedure have the potential to unfreeze yard capacity</w:t>
      </w:r>
      <w:r w:rsidR="00FB6F86" w:rsidRPr="004B2A73">
        <w:rPr>
          <w:rFonts w:ascii="Calibri" w:hAnsi="Calibri"/>
          <w:sz w:val="24"/>
        </w:rPr>
        <w:t xml:space="preserve">, but this depends largely </w:t>
      </w:r>
      <w:r w:rsidR="002061E4" w:rsidRPr="004B2A73">
        <w:rPr>
          <w:rFonts w:ascii="Calibri" w:hAnsi="Calibri"/>
          <w:sz w:val="24"/>
        </w:rPr>
        <w:t xml:space="preserve">from border management agencies, </w:t>
      </w:r>
      <w:r w:rsidR="00FB6F86" w:rsidRPr="004B2A73">
        <w:rPr>
          <w:rFonts w:ascii="Calibri" w:hAnsi="Calibri"/>
          <w:sz w:val="24"/>
        </w:rPr>
        <w:t>clearing and forwarding agents</w:t>
      </w:r>
      <w:r w:rsidR="002061E4" w:rsidRPr="004B2A73">
        <w:rPr>
          <w:rFonts w:ascii="Calibri" w:hAnsi="Calibri"/>
          <w:sz w:val="24"/>
        </w:rPr>
        <w:t xml:space="preserve"> and shippers</w:t>
      </w:r>
      <w:r w:rsidR="002061E4" w:rsidRPr="004B2A73">
        <w:rPr>
          <w:rStyle w:val="FootnoteReference"/>
          <w:rFonts w:ascii="Calibri" w:hAnsi="Calibri"/>
          <w:sz w:val="24"/>
        </w:rPr>
        <w:footnoteReference w:id="42"/>
      </w:r>
      <w:r w:rsidR="00FB6F86" w:rsidRPr="004B2A73">
        <w:rPr>
          <w:rFonts w:ascii="Calibri" w:hAnsi="Calibri"/>
          <w:sz w:val="24"/>
        </w:rPr>
        <w:t>, and not from TOC</w:t>
      </w:r>
      <w:r w:rsidR="00FD5501" w:rsidRPr="004B2A73">
        <w:rPr>
          <w:rFonts w:ascii="Calibri" w:hAnsi="Calibri"/>
          <w:sz w:val="24"/>
        </w:rPr>
        <w:t xml:space="preserve">. </w:t>
      </w:r>
    </w:p>
    <w:p w14:paraId="7CC45921" w14:textId="52545D8B" w:rsidR="00F8387E" w:rsidRPr="004B2A73" w:rsidRDefault="00F8387E" w:rsidP="00B73C6E">
      <w:pPr>
        <w:pStyle w:val="ListParagraph"/>
        <w:spacing w:after="0"/>
        <w:ind w:left="0"/>
        <w:rPr>
          <w:rFonts w:ascii="Calibri" w:hAnsi="Calibri"/>
          <w:sz w:val="24"/>
        </w:rPr>
      </w:pPr>
    </w:p>
    <w:p w14:paraId="139C3F2D" w14:textId="700428B6" w:rsidR="007E3E54" w:rsidRPr="009A36E4" w:rsidRDefault="00965801" w:rsidP="002D643F">
      <w:pPr>
        <w:pStyle w:val="Heading2"/>
        <w:ind w:hanging="90"/>
        <w:rPr>
          <w:color w:val="auto"/>
          <w:sz w:val="28"/>
          <w:szCs w:val="28"/>
        </w:rPr>
      </w:pPr>
      <w:bookmarkStart w:id="72" w:name="_Toc485381998"/>
      <w:r w:rsidRPr="009A36E4">
        <w:rPr>
          <w:color w:val="auto"/>
          <w:sz w:val="28"/>
          <w:szCs w:val="28"/>
        </w:rPr>
        <w:t>E</w:t>
      </w:r>
      <w:r w:rsidR="00235F5B" w:rsidRPr="009A36E4">
        <w:rPr>
          <w:color w:val="auto"/>
          <w:sz w:val="28"/>
          <w:szCs w:val="28"/>
        </w:rPr>
        <w:t xml:space="preserve">fficiency </w:t>
      </w:r>
      <w:r w:rsidRPr="009A36E4">
        <w:rPr>
          <w:color w:val="auto"/>
          <w:sz w:val="28"/>
          <w:szCs w:val="28"/>
        </w:rPr>
        <w:t>gains from terminal concessions</w:t>
      </w:r>
      <w:bookmarkEnd w:id="72"/>
    </w:p>
    <w:p w14:paraId="6C30624F" w14:textId="77777777" w:rsidR="00B65D4F" w:rsidRPr="004B2A73" w:rsidRDefault="00B65D4F" w:rsidP="00B65D4F">
      <w:pPr>
        <w:pStyle w:val="ListParagraph"/>
        <w:spacing w:after="0"/>
        <w:ind w:left="0"/>
        <w:rPr>
          <w:rFonts w:ascii="Calibri" w:hAnsi="Calibri"/>
          <w:sz w:val="24"/>
          <w:lang w:val="en-GB"/>
        </w:rPr>
      </w:pPr>
    </w:p>
    <w:p w14:paraId="3311B8DB" w14:textId="0FF75AAF" w:rsidR="00161D7A" w:rsidRPr="004B2A73" w:rsidRDefault="00965801" w:rsidP="00E826B9">
      <w:pPr>
        <w:pStyle w:val="ListParagraph"/>
        <w:numPr>
          <w:ilvl w:val="0"/>
          <w:numId w:val="6"/>
        </w:numPr>
        <w:spacing w:after="0"/>
        <w:ind w:left="0" w:firstLine="0"/>
        <w:jc w:val="both"/>
        <w:rPr>
          <w:rFonts w:ascii="Calibri" w:hAnsi="Calibri"/>
          <w:sz w:val="24"/>
        </w:rPr>
      </w:pPr>
      <w:r>
        <w:rPr>
          <w:rFonts w:ascii="Calibri" w:hAnsi="Calibri"/>
          <w:b/>
          <w:sz w:val="24"/>
          <w:lang w:val="en-GB"/>
        </w:rPr>
        <w:t>An</w:t>
      </w:r>
      <w:r w:rsidRPr="004B2A73">
        <w:rPr>
          <w:rFonts w:ascii="Calibri" w:hAnsi="Calibri"/>
          <w:b/>
          <w:sz w:val="24"/>
          <w:lang w:val="en-GB"/>
        </w:rPr>
        <w:t xml:space="preserve"> analysis </w:t>
      </w:r>
      <w:r>
        <w:rPr>
          <w:rFonts w:ascii="Calibri" w:hAnsi="Calibri"/>
          <w:b/>
          <w:sz w:val="24"/>
          <w:lang w:val="en-GB"/>
        </w:rPr>
        <w:t>of</w:t>
      </w:r>
      <w:r w:rsidRPr="004B2A73">
        <w:rPr>
          <w:rFonts w:ascii="Calibri" w:hAnsi="Calibri"/>
          <w:b/>
          <w:sz w:val="24"/>
          <w:lang w:val="en-GB"/>
        </w:rPr>
        <w:t xml:space="preserve"> 13 container terminals of the West Africa range between Dakar and Lagos, for a period of 10 years from 2004 to 2013</w:t>
      </w:r>
      <w:r>
        <w:rPr>
          <w:rFonts w:ascii="Calibri" w:hAnsi="Calibri"/>
          <w:b/>
          <w:sz w:val="24"/>
          <w:lang w:val="en-GB"/>
        </w:rPr>
        <w:t xml:space="preserve">, </w:t>
      </w:r>
      <w:r w:rsidR="00E86286">
        <w:rPr>
          <w:rFonts w:ascii="Calibri" w:hAnsi="Calibri"/>
          <w:b/>
          <w:sz w:val="24"/>
        </w:rPr>
        <w:t>shows that i</w:t>
      </w:r>
      <w:r w:rsidR="00F464CD" w:rsidRPr="004B2A73">
        <w:rPr>
          <w:rFonts w:ascii="Calibri" w:hAnsi="Calibri"/>
          <w:b/>
          <w:sz w:val="24"/>
        </w:rPr>
        <w:t xml:space="preserve">mprovements in efficiency are found where the </w:t>
      </w:r>
      <w:r w:rsidR="00E119E1" w:rsidRPr="004B2A73">
        <w:rPr>
          <w:rFonts w:ascii="Calibri" w:hAnsi="Calibri"/>
          <w:b/>
          <w:sz w:val="24"/>
        </w:rPr>
        <w:t>TOC</w:t>
      </w:r>
      <w:r w:rsidR="00F464CD" w:rsidRPr="004B2A73">
        <w:rPr>
          <w:rFonts w:ascii="Calibri" w:hAnsi="Calibri"/>
          <w:b/>
          <w:sz w:val="24"/>
        </w:rPr>
        <w:t xml:space="preserve"> took over from public service p</w:t>
      </w:r>
      <w:r w:rsidR="00F758E1" w:rsidRPr="004B2A73">
        <w:rPr>
          <w:rFonts w:ascii="Calibri" w:hAnsi="Calibri"/>
          <w:b/>
          <w:sz w:val="24"/>
        </w:rPr>
        <w:t>orts</w:t>
      </w:r>
      <w:r w:rsidR="00F464CD" w:rsidRPr="004B2A73">
        <w:rPr>
          <w:rFonts w:ascii="Calibri" w:hAnsi="Calibri"/>
          <w:b/>
          <w:sz w:val="24"/>
        </w:rPr>
        <w:t xml:space="preserve"> in Tema and Lagos Apapa</w:t>
      </w:r>
      <w:r w:rsidR="00E86286">
        <w:rPr>
          <w:rFonts w:ascii="Calibri" w:hAnsi="Calibri"/>
          <w:sz w:val="24"/>
        </w:rPr>
        <w:t xml:space="preserve"> (see annex 2)</w:t>
      </w:r>
      <w:r w:rsidR="00F464CD" w:rsidRPr="004B2A73">
        <w:rPr>
          <w:rFonts w:ascii="Calibri" w:hAnsi="Calibri"/>
          <w:b/>
          <w:sz w:val="24"/>
        </w:rPr>
        <w:t xml:space="preserve">.  </w:t>
      </w:r>
      <w:r w:rsidR="008603E5" w:rsidRPr="004B2A73">
        <w:rPr>
          <w:rFonts w:ascii="Calibri" w:hAnsi="Calibri"/>
          <w:sz w:val="24"/>
        </w:rPr>
        <w:t xml:space="preserve">By contrast, </w:t>
      </w:r>
      <w:r w:rsidR="00F464CD" w:rsidRPr="004B2A73">
        <w:rPr>
          <w:rFonts w:ascii="Calibri" w:hAnsi="Calibri"/>
          <w:sz w:val="24"/>
        </w:rPr>
        <w:t>no improvement in efficienc</w:t>
      </w:r>
      <w:r w:rsidR="00161D7A" w:rsidRPr="004B2A73">
        <w:rPr>
          <w:rFonts w:ascii="Calibri" w:hAnsi="Calibri"/>
          <w:sz w:val="24"/>
        </w:rPr>
        <w:t>y is found with the transfer of</w:t>
      </w:r>
      <w:r w:rsidR="00500800">
        <w:rPr>
          <w:rFonts w:ascii="Calibri" w:hAnsi="Calibri"/>
          <w:sz w:val="24"/>
        </w:rPr>
        <w:t xml:space="preserve"> </w:t>
      </w:r>
      <w:r w:rsidR="00F464CD" w:rsidRPr="004B2A73">
        <w:rPr>
          <w:rFonts w:ascii="Calibri" w:hAnsi="Calibri"/>
          <w:sz w:val="24"/>
        </w:rPr>
        <w:t xml:space="preserve">responsibility from </w:t>
      </w:r>
      <w:r w:rsidR="007E3E54" w:rsidRPr="004B2A73">
        <w:rPr>
          <w:rFonts w:ascii="Calibri" w:hAnsi="Calibri"/>
          <w:sz w:val="24"/>
        </w:rPr>
        <w:t>licensed stevedoring companies</w:t>
      </w:r>
      <w:r w:rsidR="00F758E1" w:rsidRPr="004B2A73">
        <w:rPr>
          <w:rFonts w:ascii="Calibri" w:hAnsi="Calibri"/>
          <w:sz w:val="24"/>
        </w:rPr>
        <w:t xml:space="preserve"> </w:t>
      </w:r>
      <w:r w:rsidR="00F464CD" w:rsidRPr="004B2A73">
        <w:rPr>
          <w:rFonts w:ascii="Calibri" w:hAnsi="Calibri"/>
          <w:sz w:val="24"/>
        </w:rPr>
        <w:t>to</w:t>
      </w:r>
      <w:r w:rsidR="00500800">
        <w:rPr>
          <w:rFonts w:ascii="Calibri" w:hAnsi="Calibri"/>
          <w:sz w:val="24"/>
        </w:rPr>
        <w:t xml:space="preserve"> </w:t>
      </w:r>
      <w:r w:rsidR="00F464CD" w:rsidRPr="004B2A73">
        <w:rPr>
          <w:rFonts w:ascii="Calibri" w:hAnsi="Calibri"/>
          <w:sz w:val="24"/>
        </w:rPr>
        <w:t xml:space="preserve">TOCs. </w:t>
      </w:r>
      <w:r w:rsidR="00161D7A" w:rsidRPr="004B2A73">
        <w:rPr>
          <w:rFonts w:ascii="Calibri" w:hAnsi="Calibri"/>
          <w:sz w:val="24"/>
        </w:rPr>
        <w:t xml:space="preserve"> </w:t>
      </w:r>
      <w:r w:rsidR="007E3E54" w:rsidRPr="004B2A73">
        <w:rPr>
          <w:rFonts w:ascii="Calibri" w:hAnsi="Calibri"/>
          <w:sz w:val="24"/>
        </w:rPr>
        <w:t xml:space="preserve">The change was therefore </w:t>
      </w:r>
      <w:r w:rsidR="00FC7E40" w:rsidRPr="004B2A73">
        <w:rPr>
          <w:rFonts w:ascii="Calibri" w:hAnsi="Calibri"/>
          <w:sz w:val="24"/>
        </w:rPr>
        <w:t>gradual for the tool ports</w:t>
      </w:r>
      <w:r w:rsidR="007E3E54" w:rsidRPr="004B2A73">
        <w:rPr>
          <w:rFonts w:ascii="Calibri" w:hAnsi="Calibri"/>
          <w:sz w:val="24"/>
        </w:rPr>
        <w:t xml:space="preserve">, with an </w:t>
      </w:r>
      <w:r w:rsidR="00FC7E40" w:rsidRPr="004B2A73">
        <w:rPr>
          <w:rFonts w:ascii="Calibri" w:hAnsi="Calibri"/>
          <w:sz w:val="24"/>
        </w:rPr>
        <w:t xml:space="preserve">upgrade </w:t>
      </w:r>
      <w:r w:rsidR="007E3E54" w:rsidRPr="004B2A73">
        <w:rPr>
          <w:rFonts w:ascii="Calibri" w:hAnsi="Calibri"/>
          <w:sz w:val="24"/>
        </w:rPr>
        <w:t xml:space="preserve">of the cargo handling equipment, </w:t>
      </w:r>
      <w:r w:rsidR="00FC7E40" w:rsidRPr="004B2A73">
        <w:rPr>
          <w:rFonts w:ascii="Calibri" w:hAnsi="Calibri"/>
          <w:sz w:val="24"/>
        </w:rPr>
        <w:t>but more abrupt</w:t>
      </w:r>
      <w:r w:rsidR="007E3E54" w:rsidRPr="004B2A73">
        <w:rPr>
          <w:rFonts w:ascii="Calibri" w:hAnsi="Calibri"/>
          <w:sz w:val="24"/>
        </w:rPr>
        <w:t xml:space="preserve">, with new business models, </w:t>
      </w:r>
      <w:r w:rsidR="00FC7E40" w:rsidRPr="004B2A73">
        <w:rPr>
          <w:rFonts w:ascii="Calibri" w:hAnsi="Calibri"/>
          <w:sz w:val="24"/>
        </w:rPr>
        <w:t>for</w:t>
      </w:r>
      <w:r w:rsidR="007E3E54" w:rsidRPr="004B2A73">
        <w:rPr>
          <w:rFonts w:ascii="Calibri" w:hAnsi="Calibri"/>
          <w:sz w:val="24"/>
        </w:rPr>
        <w:t xml:space="preserve"> the two public service ports. The situation of </w:t>
      </w:r>
      <w:r w:rsidR="00C922CA">
        <w:rPr>
          <w:rFonts w:ascii="Calibri" w:hAnsi="Calibri"/>
          <w:sz w:val="24"/>
        </w:rPr>
        <w:t>Lomé</w:t>
      </w:r>
      <w:r w:rsidR="007E3E54" w:rsidRPr="004B2A73">
        <w:rPr>
          <w:rFonts w:ascii="Calibri" w:hAnsi="Calibri"/>
          <w:sz w:val="24"/>
        </w:rPr>
        <w:t xml:space="preserve"> is atypical, because</w:t>
      </w:r>
      <w:r w:rsidR="007E56F9" w:rsidRPr="004B2A73">
        <w:rPr>
          <w:rFonts w:ascii="Calibri" w:hAnsi="Calibri"/>
          <w:sz w:val="24"/>
        </w:rPr>
        <w:t xml:space="preserve"> licensed private stevedores before the concession already performed cargo handling</w:t>
      </w:r>
      <w:r w:rsidR="007E3E54" w:rsidRPr="004B2A73">
        <w:rPr>
          <w:rFonts w:ascii="Calibri" w:hAnsi="Calibri"/>
          <w:sz w:val="24"/>
        </w:rPr>
        <w:t xml:space="preserve">, but efficiency </w:t>
      </w:r>
      <w:r w:rsidR="00363B2D" w:rsidRPr="004B2A73">
        <w:rPr>
          <w:rFonts w:ascii="Calibri" w:hAnsi="Calibri"/>
          <w:sz w:val="24"/>
        </w:rPr>
        <w:t>show</w:t>
      </w:r>
      <w:r w:rsidR="007E3E54" w:rsidRPr="004B2A73">
        <w:rPr>
          <w:rFonts w:ascii="Calibri" w:hAnsi="Calibri"/>
          <w:sz w:val="24"/>
        </w:rPr>
        <w:t xml:space="preserve">s </w:t>
      </w:r>
      <w:r w:rsidR="00FC7E40" w:rsidRPr="004B2A73">
        <w:rPr>
          <w:rFonts w:ascii="Calibri" w:hAnsi="Calibri"/>
          <w:sz w:val="24"/>
        </w:rPr>
        <w:t xml:space="preserve">a </w:t>
      </w:r>
      <w:r w:rsidR="007E3E54" w:rsidRPr="004B2A73">
        <w:rPr>
          <w:rFonts w:ascii="Calibri" w:hAnsi="Calibri"/>
          <w:sz w:val="24"/>
        </w:rPr>
        <w:t>significant improvement with the start of the upgrade of the container terminal</w:t>
      </w:r>
      <w:r w:rsidR="00FC7E40" w:rsidRPr="004B2A73">
        <w:rPr>
          <w:rFonts w:ascii="Calibri" w:hAnsi="Calibri"/>
          <w:sz w:val="24"/>
        </w:rPr>
        <w:t xml:space="preserve"> infrastructure</w:t>
      </w:r>
      <w:r w:rsidR="00500800">
        <w:rPr>
          <w:rFonts w:ascii="Calibri" w:hAnsi="Calibri"/>
          <w:sz w:val="24"/>
        </w:rPr>
        <w:t>.</w:t>
      </w:r>
    </w:p>
    <w:p w14:paraId="49ED7CA7" w14:textId="77777777" w:rsidR="00863A6B" w:rsidRPr="004B2A73" w:rsidRDefault="00863A6B" w:rsidP="00863A6B">
      <w:pPr>
        <w:pStyle w:val="ListParagraph"/>
        <w:spacing w:after="0"/>
        <w:ind w:left="0"/>
        <w:rPr>
          <w:rFonts w:ascii="Calibri" w:hAnsi="Calibri"/>
          <w:sz w:val="24"/>
        </w:rPr>
      </w:pPr>
    </w:p>
    <w:p w14:paraId="36D3FD5E" w14:textId="77777777" w:rsidR="00E128BE" w:rsidRPr="004B2A73" w:rsidRDefault="007E3E54"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Major </w:t>
      </w:r>
      <w:r w:rsidR="00FC7E40" w:rsidRPr="004B2A73">
        <w:rPr>
          <w:rFonts w:ascii="Calibri" w:hAnsi="Calibri"/>
          <w:b/>
          <w:sz w:val="24"/>
        </w:rPr>
        <w:t>modifications of</w:t>
      </w:r>
      <w:r w:rsidRPr="004B2A73">
        <w:rPr>
          <w:rFonts w:ascii="Calibri" w:hAnsi="Calibri"/>
          <w:b/>
          <w:sz w:val="24"/>
        </w:rPr>
        <w:t xml:space="preserve"> the container terminal characteristics </w:t>
      </w:r>
      <w:r w:rsidR="00363B2D" w:rsidRPr="004B2A73">
        <w:rPr>
          <w:rFonts w:ascii="Calibri" w:hAnsi="Calibri"/>
          <w:b/>
          <w:sz w:val="24"/>
        </w:rPr>
        <w:t xml:space="preserve">also affect the </w:t>
      </w:r>
      <w:r w:rsidRPr="004B2A73">
        <w:rPr>
          <w:rFonts w:ascii="Calibri" w:hAnsi="Calibri"/>
          <w:b/>
          <w:sz w:val="24"/>
        </w:rPr>
        <w:t xml:space="preserve">efficiency </w:t>
      </w:r>
      <w:r w:rsidR="00FC7E40" w:rsidRPr="004B2A73">
        <w:rPr>
          <w:rFonts w:ascii="Calibri" w:hAnsi="Calibri"/>
          <w:b/>
          <w:sz w:val="24"/>
        </w:rPr>
        <w:t>scores</w:t>
      </w:r>
      <w:r w:rsidRPr="004B2A73">
        <w:rPr>
          <w:rFonts w:ascii="Calibri" w:hAnsi="Calibri"/>
          <w:sz w:val="24"/>
        </w:rPr>
        <w:t>. In Dakar and Abidjan, reconfigurations of the container terminal</w:t>
      </w:r>
      <w:r w:rsidR="00FC7E40" w:rsidRPr="004B2A73">
        <w:rPr>
          <w:rFonts w:ascii="Calibri" w:hAnsi="Calibri"/>
          <w:sz w:val="24"/>
        </w:rPr>
        <w:t>s</w:t>
      </w:r>
      <w:r w:rsidRPr="004B2A73">
        <w:rPr>
          <w:rFonts w:ascii="Calibri" w:hAnsi="Calibri"/>
          <w:sz w:val="24"/>
        </w:rPr>
        <w:t xml:space="preserve"> seem to be the </w:t>
      </w:r>
      <w:r w:rsidR="00FC7E40" w:rsidRPr="004B2A73">
        <w:rPr>
          <w:rFonts w:ascii="Calibri" w:hAnsi="Calibri"/>
          <w:sz w:val="24"/>
        </w:rPr>
        <w:t>reason for</w:t>
      </w:r>
      <w:r w:rsidRPr="004B2A73">
        <w:rPr>
          <w:rFonts w:ascii="Calibri" w:hAnsi="Calibri"/>
          <w:sz w:val="24"/>
        </w:rPr>
        <w:t xml:space="preserve"> changes in efficiency, once the effect of </w:t>
      </w:r>
      <w:r w:rsidR="00FC7E40" w:rsidRPr="004B2A73">
        <w:rPr>
          <w:rFonts w:ascii="Calibri" w:hAnsi="Calibri"/>
          <w:sz w:val="24"/>
        </w:rPr>
        <w:t xml:space="preserve">throughput </w:t>
      </w:r>
      <w:r w:rsidRPr="004B2A73">
        <w:rPr>
          <w:rFonts w:ascii="Calibri" w:hAnsi="Calibri"/>
          <w:sz w:val="24"/>
        </w:rPr>
        <w:t xml:space="preserve">is eliminated: </w:t>
      </w:r>
      <w:r w:rsidR="00F5623A" w:rsidRPr="004B2A73">
        <w:rPr>
          <w:rFonts w:ascii="Calibri" w:hAnsi="Calibri"/>
          <w:sz w:val="24"/>
        </w:rPr>
        <w:t>an</w:t>
      </w:r>
      <w:r w:rsidRPr="004B2A73">
        <w:rPr>
          <w:rFonts w:ascii="Calibri" w:hAnsi="Calibri"/>
          <w:sz w:val="24"/>
        </w:rPr>
        <w:t xml:space="preserve"> expansion of the Dakar container terminal </w:t>
      </w:r>
      <w:r w:rsidR="00F5623A" w:rsidRPr="004B2A73">
        <w:rPr>
          <w:rFonts w:ascii="Calibri" w:hAnsi="Calibri"/>
          <w:sz w:val="24"/>
        </w:rPr>
        <w:t xml:space="preserve">completed </w:t>
      </w:r>
      <w:r w:rsidRPr="004B2A73">
        <w:rPr>
          <w:rFonts w:ascii="Calibri" w:hAnsi="Calibri"/>
          <w:sz w:val="24"/>
        </w:rPr>
        <w:t xml:space="preserve">in 2011 </w:t>
      </w:r>
      <w:r w:rsidR="00F5623A" w:rsidRPr="004B2A73">
        <w:rPr>
          <w:rFonts w:ascii="Calibri" w:hAnsi="Calibri"/>
          <w:sz w:val="24"/>
        </w:rPr>
        <w:t xml:space="preserve">modified </w:t>
      </w:r>
      <w:r w:rsidRPr="004B2A73">
        <w:rPr>
          <w:rFonts w:ascii="Calibri" w:hAnsi="Calibri"/>
          <w:sz w:val="24"/>
        </w:rPr>
        <w:t>the inputs</w:t>
      </w:r>
      <w:r w:rsidR="00F5623A" w:rsidRPr="004B2A73">
        <w:rPr>
          <w:rFonts w:ascii="Calibri" w:hAnsi="Calibri"/>
          <w:sz w:val="24"/>
        </w:rPr>
        <w:t>, but</w:t>
      </w:r>
      <w:r w:rsidRPr="004B2A73">
        <w:rPr>
          <w:rFonts w:ascii="Calibri" w:hAnsi="Calibri"/>
          <w:sz w:val="24"/>
        </w:rPr>
        <w:t xml:space="preserve"> throughput</w:t>
      </w:r>
      <w:r w:rsidR="00F5623A" w:rsidRPr="004B2A73">
        <w:rPr>
          <w:rFonts w:ascii="Calibri" w:hAnsi="Calibri"/>
          <w:sz w:val="24"/>
        </w:rPr>
        <w:t xml:space="preserve"> continued to grow at </w:t>
      </w:r>
      <w:r w:rsidR="00F5623A" w:rsidRPr="004B2A73">
        <w:rPr>
          <w:rFonts w:ascii="Calibri" w:hAnsi="Calibri"/>
          <w:sz w:val="24"/>
        </w:rPr>
        <w:lastRenderedPageBreak/>
        <w:t>its steady pace</w:t>
      </w:r>
      <w:r w:rsidRPr="004B2A73">
        <w:rPr>
          <w:rFonts w:ascii="Calibri" w:hAnsi="Calibri"/>
          <w:sz w:val="24"/>
        </w:rPr>
        <w:t>, negating the improvement in efficiency that marked the first two years (2008/09) under the concession</w:t>
      </w:r>
      <w:r w:rsidR="00F758E1" w:rsidRPr="004B2A73">
        <w:rPr>
          <w:rFonts w:ascii="Calibri" w:hAnsi="Calibri"/>
          <w:sz w:val="24"/>
        </w:rPr>
        <w:t>.</w:t>
      </w:r>
      <w:r w:rsidRPr="004B2A73">
        <w:rPr>
          <w:rFonts w:ascii="Calibri" w:hAnsi="Calibri"/>
          <w:sz w:val="24"/>
        </w:rPr>
        <w:t xml:space="preserve"> </w:t>
      </w:r>
      <w:r w:rsidR="00F758E1" w:rsidRPr="004B2A73">
        <w:rPr>
          <w:rFonts w:ascii="Calibri" w:hAnsi="Calibri"/>
          <w:sz w:val="24"/>
        </w:rPr>
        <w:t>I</w:t>
      </w:r>
      <w:r w:rsidRPr="004B2A73">
        <w:rPr>
          <w:rFonts w:ascii="Calibri" w:hAnsi="Calibri"/>
          <w:sz w:val="24"/>
        </w:rPr>
        <w:t>n Abidjan,</w:t>
      </w:r>
      <w:r w:rsidR="00F5623A" w:rsidRPr="004B2A73">
        <w:rPr>
          <w:rFonts w:ascii="Calibri" w:hAnsi="Calibri"/>
          <w:sz w:val="24"/>
        </w:rPr>
        <w:t xml:space="preserve"> similar modifications of the input</w:t>
      </w:r>
      <w:r w:rsidR="002B5328" w:rsidRPr="004B2A73">
        <w:rPr>
          <w:rFonts w:ascii="Calibri" w:hAnsi="Calibri"/>
          <w:sz w:val="24"/>
        </w:rPr>
        <w:t>s</w:t>
      </w:r>
      <w:r w:rsidR="00F5623A" w:rsidRPr="004B2A73">
        <w:rPr>
          <w:rFonts w:ascii="Calibri" w:hAnsi="Calibri"/>
          <w:sz w:val="24"/>
        </w:rPr>
        <w:t xml:space="preserve"> with</w:t>
      </w:r>
      <w:r w:rsidRPr="004B2A73">
        <w:rPr>
          <w:rFonts w:ascii="Calibri" w:hAnsi="Calibri"/>
          <w:sz w:val="24"/>
        </w:rPr>
        <w:t xml:space="preserve"> the </w:t>
      </w:r>
      <w:r w:rsidR="00F5623A" w:rsidRPr="004B2A73">
        <w:rPr>
          <w:rFonts w:ascii="Calibri" w:hAnsi="Calibri"/>
          <w:sz w:val="24"/>
        </w:rPr>
        <w:t xml:space="preserve">program of </w:t>
      </w:r>
      <w:r w:rsidRPr="004B2A73">
        <w:rPr>
          <w:rFonts w:ascii="Calibri" w:hAnsi="Calibri"/>
          <w:sz w:val="24"/>
        </w:rPr>
        <w:t>modernization of the handling equipment launched in 2008</w:t>
      </w:r>
      <w:r w:rsidR="00F5623A" w:rsidRPr="004B2A73">
        <w:rPr>
          <w:rStyle w:val="FootnoteReference"/>
          <w:rFonts w:ascii="Calibri" w:hAnsi="Calibri"/>
          <w:sz w:val="24"/>
        </w:rPr>
        <w:footnoteReference w:id="43"/>
      </w:r>
      <w:r w:rsidRPr="004B2A73">
        <w:rPr>
          <w:rFonts w:ascii="Calibri" w:hAnsi="Calibri"/>
          <w:sz w:val="24"/>
        </w:rPr>
        <w:t xml:space="preserve">, </w:t>
      </w:r>
      <w:r w:rsidR="00F5623A" w:rsidRPr="004B2A73">
        <w:rPr>
          <w:rFonts w:ascii="Calibri" w:hAnsi="Calibri"/>
          <w:sz w:val="24"/>
        </w:rPr>
        <w:t>combined with erratic movements in the throughput</w:t>
      </w:r>
      <w:r w:rsidR="002B5328" w:rsidRPr="004B2A73">
        <w:rPr>
          <w:rFonts w:ascii="Calibri" w:hAnsi="Calibri"/>
          <w:sz w:val="24"/>
        </w:rPr>
        <w:t>,</w:t>
      </w:r>
      <w:r w:rsidR="00F5623A" w:rsidRPr="004B2A73">
        <w:rPr>
          <w:rFonts w:ascii="Calibri" w:hAnsi="Calibri"/>
          <w:sz w:val="24"/>
        </w:rPr>
        <w:t xml:space="preserve"> resulted in </w:t>
      </w:r>
      <w:r w:rsidR="00E128BE" w:rsidRPr="004B2A73">
        <w:rPr>
          <w:rFonts w:ascii="Calibri" w:hAnsi="Calibri"/>
          <w:sz w:val="24"/>
        </w:rPr>
        <w:t>erratic</w:t>
      </w:r>
      <w:r w:rsidR="00F5623A" w:rsidRPr="004B2A73">
        <w:rPr>
          <w:rFonts w:ascii="Calibri" w:hAnsi="Calibri"/>
          <w:sz w:val="24"/>
        </w:rPr>
        <w:t xml:space="preserve"> efficiency scores</w:t>
      </w:r>
      <w:r w:rsidRPr="004B2A73">
        <w:rPr>
          <w:rFonts w:ascii="Calibri" w:hAnsi="Calibri"/>
          <w:sz w:val="24"/>
        </w:rPr>
        <w:t>.</w:t>
      </w:r>
    </w:p>
    <w:p w14:paraId="7DABCBCC" w14:textId="77777777" w:rsidR="00863A6B" w:rsidRPr="004B2A73" w:rsidRDefault="00863A6B" w:rsidP="00863A6B">
      <w:pPr>
        <w:pStyle w:val="ListParagraph"/>
        <w:spacing w:after="0"/>
        <w:ind w:left="0"/>
        <w:rPr>
          <w:rFonts w:ascii="Calibri" w:hAnsi="Calibri"/>
          <w:sz w:val="24"/>
        </w:rPr>
      </w:pPr>
    </w:p>
    <w:p w14:paraId="42B64A58" w14:textId="77777777" w:rsidR="007E3E54" w:rsidRPr="004B2A73" w:rsidRDefault="006F203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However, all terminals under concession show better efficiency scores than could be expected from their volume of activity, </w:t>
      </w:r>
      <w:r w:rsidR="00E147DB" w:rsidRPr="004B2A73">
        <w:rPr>
          <w:rFonts w:ascii="Calibri" w:hAnsi="Calibri"/>
          <w:b/>
          <w:sz w:val="24"/>
        </w:rPr>
        <w:t xml:space="preserve">hinting at a positive impact of TOC </w:t>
      </w:r>
      <w:r w:rsidR="00AC5D8A" w:rsidRPr="004B2A73">
        <w:rPr>
          <w:rFonts w:ascii="Calibri" w:hAnsi="Calibri"/>
          <w:b/>
          <w:sz w:val="24"/>
        </w:rPr>
        <w:t>involvement through the upgrade of the container facilities</w:t>
      </w:r>
      <w:r w:rsidR="00E147DB" w:rsidRPr="004B2A73">
        <w:rPr>
          <w:rFonts w:ascii="Calibri" w:hAnsi="Calibri"/>
          <w:b/>
          <w:sz w:val="24"/>
        </w:rPr>
        <w:t>.</w:t>
      </w:r>
      <w:r w:rsidR="00E147DB" w:rsidRPr="004B2A73">
        <w:rPr>
          <w:rFonts w:ascii="Calibri" w:hAnsi="Calibri"/>
          <w:sz w:val="24"/>
        </w:rPr>
        <w:t xml:space="preserve"> The nature of the input-output function used to measure efficiency is such that </w:t>
      </w:r>
      <w:r w:rsidR="002B5328" w:rsidRPr="004B2A73">
        <w:rPr>
          <w:rFonts w:ascii="Calibri" w:hAnsi="Calibri"/>
          <w:sz w:val="24"/>
        </w:rPr>
        <w:t xml:space="preserve">a </w:t>
      </w:r>
      <w:r w:rsidR="00E147DB" w:rsidRPr="004B2A73">
        <w:rPr>
          <w:rFonts w:ascii="Calibri" w:hAnsi="Calibri"/>
          <w:sz w:val="24"/>
        </w:rPr>
        <w:t>high efficiency score translate</w:t>
      </w:r>
      <w:r w:rsidR="002B5328" w:rsidRPr="004B2A73">
        <w:rPr>
          <w:rFonts w:ascii="Calibri" w:hAnsi="Calibri"/>
          <w:sz w:val="24"/>
        </w:rPr>
        <w:t>s into</w:t>
      </w:r>
      <w:r w:rsidR="00E147DB" w:rsidRPr="004B2A73">
        <w:rPr>
          <w:rFonts w:ascii="Calibri" w:hAnsi="Calibri"/>
          <w:sz w:val="24"/>
        </w:rPr>
        <w:t xml:space="preserve"> a better </w:t>
      </w:r>
      <w:r w:rsidR="00F04C7D" w:rsidRPr="004B2A73">
        <w:rPr>
          <w:rFonts w:ascii="Calibri" w:hAnsi="Calibri"/>
          <w:sz w:val="24"/>
        </w:rPr>
        <w:t>match</w:t>
      </w:r>
      <w:r w:rsidR="00E147DB" w:rsidRPr="004B2A73">
        <w:rPr>
          <w:rFonts w:ascii="Calibri" w:hAnsi="Calibri"/>
          <w:sz w:val="24"/>
        </w:rPr>
        <w:t xml:space="preserve"> between the </w:t>
      </w:r>
      <w:r w:rsidR="00F04C7D" w:rsidRPr="004B2A73">
        <w:rPr>
          <w:rFonts w:ascii="Calibri" w:hAnsi="Calibri"/>
          <w:sz w:val="24"/>
        </w:rPr>
        <w:t xml:space="preserve">volumes being handled </w:t>
      </w:r>
      <w:r w:rsidR="00E147DB" w:rsidRPr="004B2A73">
        <w:rPr>
          <w:rFonts w:ascii="Calibri" w:hAnsi="Calibri"/>
          <w:sz w:val="24"/>
        </w:rPr>
        <w:t xml:space="preserve">and the infrastructure and superstructure of the container terminal. </w:t>
      </w:r>
      <w:r w:rsidR="007E3E54" w:rsidRPr="004B2A73">
        <w:rPr>
          <w:rFonts w:ascii="Calibri" w:hAnsi="Calibri"/>
          <w:sz w:val="24"/>
        </w:rPr>
        <w:t>The fact that the main container terminal concession</w:t>
      </w:r>
      <w:r w:rsidR="002B5328" w:rsidRPr="004B2A73">
        <w:rPr>
          <w:rFonts w:ascii="Calibri" w:hAnsi="Calibri"/>
          <w:sz w:val="24"/>
        </w:rPr>
        <w:t>s</w:t>
      </w:r>
      <w:r w:rsidR="007E3E54" w:rsidRPr="004B2A73">
        <w:rPr>
          <w:rFonts w:ascii="Calibri" w:hAnsi="Calibri"/>
          <w:sz w:val="24"/>
        </w:rPr>
        <w:t xml:space="preserve"> improve their efficiency over time </w:t>
      </w:r>
      <w:r w:rsidR="00E147DB" w:rsidRPr="004B2A73">
        <w:rPr>
          <w:rFonts w:ascii="Calibri" w:hAnsi="Calibri"/>
          <w:sz w:val="24"/>
        </w:rPr>
        <w:t xml:space="preserve">implies </w:t>
      </w:r>
      <w:r w:rsidR="007E3E54" w:rsidRPr="004B2A73">
        <w:rPr>
          <w:rFonts w:ascii="Calibri" w:hAnsi="Calibri"/>
          <w:sz w:val="24"/>
        </w:rPr>
        <w:t xml:space="preserve">that </w:t>
      </w:r>
      <w:r w:rsidR="002B5328" w:rsidRPr="004B2A73">
        <w:rPr>
          <w:rFonts w:ascii="Calibri" w:hAnsi="Calibri"/>
          <w:sz w:val="24"/>
        </w:rPr>
        <w:t xml:space="preserve">the </w:t>
      </w:r>
      <w:r w:rsidR="00E128BE" w:rsidRPr="004B2A73">
        <w:rPr>
          <w:rFonts w:ascii="Calibri" w:hAnsi="Calibri"/>
          <w:sz w:val="24"/>
        </w:rPr>
        <w:t>TOC</w:t>
      </w:r>
      <w:r w:rsidR="002B5328" w:rsidRPr="004B2A73">
        <w:rPr>
          <w:rFonts w:ascii="Calibri" w:hAnsi="Calibri"/>
          <w:sz w:val="24"/>
        </w:rPr>
        <w:t>s</w:t>
      </w:r>
      <w:r w:rsidR="007E3E54" w:rsidRPr="004B2A73">
        <w:rPr>
          <w:rFonts w:ascii="Calibri" w:hAnsi="Calibri"/>
          <w:sz w:val="24"/>
        </w:rPr>
        <w:t xml:space="preserve"> are better </w:t>
      </w:r>
      <w:r w:rsidR="00E147DB" w:rsidRPr="004B2A73">
        <w:rPr>
          <w:rFonts w:ascii="Calibri" w:hAnsi="Calibri"/>
          <w:sz w:val="24"/>
        </w:rPr>
        <w:t xml:space="preserve">than public authorities </w:t>
      </w:r>
      <w:r w:rsidR="007E3E54" w:rsidRPr="004B2A73">
        <w:rPr>
          <w:rFonts w:ascii="Calibri" w:hAnsi="Calibri"/>
          <w:sz w:val="24"/>
        </w:rPr>
        <w:t xml:space="preserve">at </w:t>
      </w:r>
      <w:r w:rsidR="00E147DB" w:rsidRPr="004B2A73">
        <w:rPr>
          <w:rFonts w:ascii="Calibri" w:hAnsi="Calibri"/>
          <w:sz w:val="24"/>
        </w:rPr>
        <w:t xml:space="preserve">fine tuning </w:t>
      </w:r>
      <w:r w:rsidR="007E3E54" w:rsidRPr="004B2A73">
        <w:rPr>
          <w:rFonts w:ascii="Calibri" w:hAnsi="Calibri"/>
          <w:sz w:val="24"/>
        </w:rPr>
        <w:t xml:space="preserve">the terminal characteristics to </w:t>
      </w:r>
      <w:r w:rsidR="00E147DB" w:rsidRPr="004B2A73">
        <w:rPr>
          <w:rFonts w:ascii="Calibri" w:hAnsi="Calibri"/>
          <w:sz w:val="24"/>
        </w:rPr>
        <w:t xml:space="preserve">adjust to the growing </w:t>
      </w:r>
      <w:r w:rsidR="007E3E54" w:rsidRPr="004B2A73">
        <w:rPr>
          <w:rFonts w:ascii="Calibri" w:hAnsi="Calibri"/>
          <w:sz w:val="24"/>
        </w:rPr>
        <w:t xml:space="preserve">demand, which would </w:t>
      </w:r>
      <w:r w:rsidR="00E147DB" w:rsidRPr="004B2A73">
        <w:rPr>
          <w:rFonts w:ascii="Calibri" w:hAnsi="Calibri"/>
          <w:sz w:val="24"/>
        </w:rPr>
        <w:t xml:space="preserve">in turn </w:t>
      </w:r>
      <w:r w:rsidR="007E3E54" w:rsidRPr="004B2A73">
        <w:rPr>
          <w:rFonts w:ascii="Calibri" w:hAnsi="Calibri"/>
          <w:sz w:val="24"/>
        </w:rPr>
        <w:t xml:space="preserve">imply that investments in new facilities and new handling equipment are </w:t>
      </w:r>
      <w:r w:rsidR="00E147DB" w:rsidRPr="004B2A73">
        <w:rPr>
          <w:rFonts w:ascii="Calibri" w:hAnsi="Calibri"/>
          <w:sz w:val="24"/>
        </w:rPr>
        <w:t>more closely triggered by evolutions of the traffic.</w:t>
      </w:r>
    </w:p>
    <w:p w14:paraId="664EE7E9" w14:textId="77777777" w:rsidR="00863A6B" w:rsidRPr="004B2A73" w:rsidRDefault="00863A6B" w:rsidP="00863A6B">
      <w:pPr>
        <w:pStyle w:val="ListParagraph"/>
        <w:spacing w:after="0"/>
        <w:ind w:left="0"/>
        <w:rPr>
          <w:rFonts w:ascii="Calibri" w:hAnsi="Calibri"/>
          <w:sz w:val="24"/>
        </w:rPr>
      </w:pPr>
    </w:p>
    <w:p w14:paraId="7C23BC98" w14:textId="57AC12DF" w:rsidR="007E3E54" w:rsidRPr="00525F08" w:rsidRDefault="00965801" w:rsidP="00E826B9">
      <w:pPr>
        <w:pStyle w:val="ListParagraph"/>
        <w:numPr>
          <w:ilvl w:val="0"/>
          <w:numId w:val="6"/>
        </w:numPr>
        <w:spacing w:after="0"/>
        <w:ind w:left="0" w:firstLine="0"/>
        <w:jc w:val="both"/>
        <w:rPr>
          <w:rFonts w:ascii="Calibri" w:hAnsi="Calibri"/>
          <w:sz w:val="24"/>
          <w:szCs w:val="24"/>
        </w:rPr>
      </w:pPr>
      <w:r>
        <w:rPr>
          <w:rFonts w:ascii="Calibri" w:hAnsi="Calibri"/>
          <w:b/>
          <w:sz w:val="24"/>
        </w:rPr>
        <w:t>T</w:t>
      </w:r>
      <w:r w:rsidR="007E3E54" w:rsidRPr="004B2A73">
        <w:rPr>
          <w:rFonts w:ascii="Calibri" w:hAnsi="Calibri"/>
          <w:b/>
          <w:sz w:val="24"/>
        </w:rPr>
        <w:t xml:space="preserve">he Malmquist Productivity Index (MPI), </w:t>
      </w:r>
      <w:r w:rsidR="00E147DB" w:rsidRPr="004B2A73">
        <w:rPr>
          <w:rFonts w:ascii="Calibri" w:hAnsi="Calibri"/>
          <w:b/>
          <w:sz w:val="24"/>
        </w:rPr>
        <w:t>can</w:t>
      </w:r>
      <w:r w:rsidR="007E3E54" w:rsidRPr="004B2A73">
        <w:rPr>
          <w:rFonts w:ascii="Calibri" w:hAnsi="Calibri"/>
          <w:b/>
          <w:sz w:val="24"/>
        </w:rPr>
        <w:t xml:space="preserve"> determine whether terminal efficiency gains recorded in the West Africa</w:t>
      </w:r>
      <w:r w:rsidR="002B5328" w:rsidRPr="004B2A73">
        <w:rPr>
          <w:rFonts w:ascii="Calibri" w:hAnsi="Calibri"/>
          <w:b/>
          <w:sz w:val="24"/>
        </w:rPr>
        <w:t>n</w:t>
      </w:r>
      <w:r w:rsidR="007E3E54" w:rsidRPr="004B2A73">
        <w:rPr>
          <w:rFonts w:ascii="Calibri" w:hAnsi="Calibri"/>
          <w:b/>
          <w:sz w:val="24"/>
        </w:rPr>
        <w:t xml:space="preserve"> ports are solely attributable to traffic growth and only marginally to </w:t>
      </w:r>
      <w:r w:rsidR="000D5A46" w:rsidRPr="004B2A73">
        <w:rPr>
          <w:rFonts w:ascii="Calibri" w:hAnsi="Calibri"/>
          <w:b/>
          <w:sz w:val="24"/>
        </w:rPr>
        <w:t>TOC</w:t>
      </w:r>
      <w:r w:rsidR="007E3E54" w:rsidRPr="004B2A73">
        <w:rPr>
          <w:rFonts w:ascii="Calibri" w:hAnsi="Calibri"/>
          <w:b/>
          <w:sz w:val="24"/>
        </w:rPr>
        <w:t xml:space="preserve"> management of the terminal facilities.</w:t>
      </w:r>
      <w:r w:rsidR="007E3E54" w:rsidRPr="004B2A73">
        <w:rPr>
          <w:rFonts w:ascii="Calibri" w:hAnsi="Calibri"/>
          <w:sz w:val="24"/>
        </w:rPr>
        <w:t xml:space="preserve"> The MPI can be decomposed into three components: (i) the pure technical efficiency change effect (PEC), (ii) the scale efficiency change effect (SEC) and (iii) the technological change effect (TC). The results </w:t>
      </w:r>
      <w:r w:rsidR="000D5A46" w:rsidRPr="004B2A73">
        <w:rPr>
          <w:rFonts w:ascii="Calibri" w:hAnsi="Calibri"/>
          <w:sz w:val="24"/>
        </w:rPr>
        <w:t xml:space="preserve">for the set of West Africa container terminals already analyzed through the DEA analysis </w:t>
      </w:r>
      <w:r w:rsidR="007E3E54" w:rsidRPr="004B2A73">
        <w:rPr>
          <w:rFonts w:ascii="Calibri" w:hAnsi="Calibri"/>
          <w:sz w:val="24"/>
        </w:rPr>
        <w:t xml:space="preserve">are </w:t>
      </w:r>
      <w:r w:rsidR="007E3E54" w:rsidRPr="00525F08">
        <w:rPr>
          <w:rFonts w:ascii="Calibri" w:hAnsi="Calibri"/>
          <w:sz w:val="24"/>
          <w:szCs w:val="24"/>
        </w:rPr>
        <w:t xml:space="preserve">illustrated in </w:t>
      </w:r>
      <w:r w:rsidR="003E1BFC" w:rsidRPr="00525F08">
        <w:rPr>
          <w:rFonts w:ascii="Calibri" w:hAnsi="Calibri"/>
          <w:sz w:val="24"/>
          <w:szCs w:val="24"/>
        </w:rPr>
        <w:fldChar w:fldCharType="begin"/>
      </w:r>
      <w:r w:rsidR="003E1BFC" w:rsidRPr="00525F08">
        <w:rPr>
          <w:rFonts w:ascii="Calibri" w:hAnsi="Calibri"/>
          <w:sz w:val="24"/>
          <w:szCs w:val="24"/>
        </w:rPr>
        <w:instrText xml:space="preserve"> REF _Ref432673937 \h  \* MERGEFORMAT </w:instrText>
      </w:r>
      <w:r w:rsidR="003E1BFC" w:rsidRPr="00525F08">
        <w:rPr>
          <w:rFonts w:ascii="Calibri" w:hAnsi="Calibri"/>
          <w:sz w:val="24"/>
          <w:szCs w:val="24"/>
        </w:rPr>
      </w:r>
      <w:r w:rsidR="003E1BFC" w:rsidRPr="00525F08">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13</w:t>
      </w:r>
      <w:r w:rsidR="003E1BFC" w:rsidRPr="00525F08">
        <w:rPr>
          <w:rFonts w:ascii="Calibri" w:hAnsi="Calibri"/>
          <w:sz w:val="24"/>
          <w:szCs w:val="24"/>
        </w:rPr>
        <w:fldChar w:fldCharType="end"/>
      </w:r>
      <w:r w:rsidR="007E3E54" w:rsidRPr="00525F08">
        <w:rPr>
          <w:rFonts w:ascii="Calibri" w:hAnsi="Calibri"/>
          <w:sz w:val="24"/>
          <w:szCs w:val="24"/>
        </w:rPr>
        <w:t>:</w:t>
      </w:r>
    </w:p>
    <w:p w14:paraId="02070317" w14:textId="77777777" w:rsidR="007E3E54" w:rsidRPr="004B2A73" w:rsidRDefault="007E3E54" w:rsidP="00E826B9">
      <w:pPr>
        <w:pStyle w:val="ListParagraph"/>
        <w:numPr>
          <w:ilvl w:val="0"/>
          <w:numId w:val="3"/>
        </w:numPr>
        <w:rPr>
          <w:rFonts w:ascii="Calibri" w:hAnsi="Calibri"/>
          <w:sz w:val="24"/>
          <w:lang w:val="en-GB"/>
        </w:rPr>
      </w:pPr>
      <w:r w:rsidRPr="004B2A73">
        <w:rPr>
          <w:rFonts w:ascii="Calibri" w:hAnsi="Calibri"/>
          <w:sz w:val="24"/>
          <w:lang w:val="en-GB"/>
        </w:rPr>
        <w:t>Total factor productivity (TFP) change shows an upward trend in the past decade, with two regressions in 2005-2006 and 2009-2010. Those results are consistent with those of the DEA analysis;</w:t>
      </w:r>
    </w:p>
    <w:p w14:paraId="620E442C" w14:textId="77777777" w:rsidR="007E3E54" w:rsidRPr="004B2A73" w:rsidRDefault="007E3E54" w:rsidP="00E826B9">
      <w:pPr>
        <w:pStyle w:val="ListParagraph"/>
        <w:numPr>
          <w:ilvl w:val="0"/>
          <w:numId w:val="3"/>
        </w:numPr>
        <w:rPr>
          <w:rFonts w:ascii="Calibri" w:hAnsi="Calibri"/>
          <w:sz w:val="24"/>
          <w:lang w:val="en-GB"/>
        </w:rPr>
      </w:pPr>
      <w:r w:rsidRPr="004B2A73">
        <w:rPr>
          <w:rFonts w:ascii="Calibri" w:hAnsi="Calibri"/>
          <w:sz w:val="24"/>
          <w:lang w:val="en-GB"/>
        </w:rPr>
        <w:t>Scale efficiency change (SEC) follows a similar upward trend</w:t>
      </w:r>
      <w:r w:rsidR="002B5328" w:rsidRPr="004B2A73">
        <w:rPr>
          <w:rFonts w:ascii="Calibri" w:hAnsi="Calibri"/>
          <w:sz w:val="24"/>
          <w:lang w:val="en-GB"/>
        </w:rPr>
        <w:t>, and experiences</w:t>
      </w:r>
      <w:r w:rsidRPr="004B2A73">
        <w:rPr>
          <w:rFonts w:ascii="Calibri" w:hAnsi="Calibri"/>
          <w:sz w:val="24"/>
          <w:lang w:val="en-GB"/>
        </w:rPr>
        <w:t xml:space="preserve"> the biggest jump </w:t>
      </w:r>
      <w:r w:rsidR="00363B2D" w:rsidRPr="004B2A73">
        <w:rPr>
          <w:rFonts w:ascii="Calibri" w:hAnsi="Calibri"/>
          <w:sz w:val="24"/>
          <w:lang w:val="en-GB"/>
        </w:rPr>
        <w:t xml:space="preserve">from 2010 to 2013, </w:t>
      </w:r>
      <w:r w:rsidRPr="004B2A73">
        <w:rPr>
          <w:rFonts w:ascii="Calibri" w:hAnsi="Calibri"/>
          <w:sz w:val="24"/>
          <w:lang w:val="en-GB"/>
        </w:rPr>
        <w:t>reflecting new terminal capacity;</w:t>
      </w:r>
    </w:p>
    <w:p w14:paraId="585A3C61" w14:textId="77777777" w:rsidR="007E3E54" w:rsidRPr="004B2A73" w:rsidRDefault="007E3E54" w:rsidP="00E826B9">
      <w:pPr>
        <w:pStyle w:val="ListParagraph"/>
        <w:numPr>
          <w:ilvl w:val="0"/>
          <w:numId w:val="3"/>
        </w:numPr>
        <w:rPr>
          <w:rFonts w:ascii="Calibri" w:hAnsi="Calibri"/>
          <w:sz w:val="24"/>
          <w:lang w:val="en-GB"/>
        </w:rPr>
      </w:pPr>
      <w:r w:rsidRPr="004B2A73">
        <w:rPr>
          <w:rFonts w:ascii="Calibri" w:hAnsi="Calibri"/>
          <w:sz w:val="24"/>
          <w:lang w:val="en-GB"/>
        </w:rPr>
        <w:t>Technological change (TC) ha</w:t>
      </w:r>
      <w:r w:rsidR="002B5328" w:rsidRPr="004B2A73">
        <w:rPr>
          <w:rFonts w:ascii="Calibri" w:hAnsi="Calibri"/>
          <w:sz w:val="24"/>
          <w:lang w:val="en-GB"/>
        </w:rPr>
        <w:t>s</w:t>
      </w:r>
      <w:r w:rsidRPr="004B2A73">
        <w:rPr>
          <w:rFonts w:ascii="Calibri" w:hAnsi="Calibri"/>
          <w:sz w:val="24"/>
          <w:lang w:val="en-GB"/>
        </w:rPr>
        <w:t xml:space="preserve"> its biggest increase between 2006 and 2008, which is the period in which most terminals were transferred to </w:t>
      </w:r>
      <w:r w:rsidR="000D5A46" w:rsidRPr="004B2A73">
        <w:rPr>
          <w:rFonts w:ascii="Calibri" w:hAnsi="Calibri"/>
          <w:sz w:val="24"/>
          <w:lang w:val="en-GB"/>
        </w:rPr>
        <w:t>TOC</w:t>
      </w:r>
      <w:r w:rsidR="002B5328" w:rsidRPr="004B2A73">
        <w:rPr>
          <w:rFonts w:ascii="Calibri" w:hAnsi="Calibri"/>
          <w:sz w:val="24"/>
          <w:lang w:val="en-GB"/>
        </w:rPr>
        <w:t>s</w:t>
      </w:r>
      <w:r w:rsidRPr="004B2A73">
        <w:rPr>
          <w:rFonts w:ascii="Calibri" w:hAnsi="Calibri"/>
          <w:sz w:val="24"/>
          <w:lang w:val="en-GB"/>
        </w:rPr>
        <w:t xml:space="preserve">; </w:t>
      </w:r>
      <w:r w:rsidR="00363B2D" w:rsidRPr="004B2A73">
        <w:rPr>
          <w:rFonts w:ascii="Calibri" w:hAnsi="Calibri"/>
          <w:sz w:val="24"/>
          <w:lang w:val="en-GB"/>
        </w:rPr>
        <w:t xml:space="preserve">and </w:t>
      </w:r>
    </w:p>
    <w:p w14:paraId="18CB3167" w14:textId="77777777" w:rsidR="007E3E54" w:rsidRPr="004B2A73" w:rsidRDefault="007E3E54" w:rsidP="00E826B9">
      <w:pPr>
        <w:pStyle w:val="ListParagraph"/>
        <w:numPr>
          <w:ilvl w:val="0"/>
          <w:numId w:val="3"/>
        </w:numPr>
        <w:rPr>
          <w:rFonts w:ascii="Calibri" w:hAnsi="Calibri"/>
          <w:sz w:val="24"/>
          <w:lang w:val="en-GB"/>
        </w:rPr>
      </w:pPr>
      <w:r w:rsidRPr="004B2A73">
        <w:rPr>
          <w:rFonts w:ascii="Calibri" w:hAnsi="Calibri"/>
          <w:sz w:val="24"/>
          <w:lang w:val="en-GB"/>
        </w:rPr>
        <w:t xml:space="preserve">Pure efficiency change (PEC) improved starting from 2007-08, which is also the time when most terminal concessions </w:t>
      </w:r>
      <w:r w:rsidR="00363B2D" w:rsidRPr="004B2A73">
        <w:rPr>
          <w:rFonts w:ascii="Calibri" w:hAnsi="Calibri"/>
          <w:sz w:val="24"/>
          <w:lang w:val="en-GB"/>
        </w:rPr>
        <w:t>took</w:t>
      </w:r>
      <w:r w:rsidRPr="004B2A73">
        <w:rPr>
          <w:rFonts w:ascii="Calibri" w:hAnsi="Calibri"/>
          <w:sz w:val="24"/>
          <w:lang w:val="en-GB"/>
        </w:rPr>
        <w:t xml:space="preserve"> place.</w:t>
      </w:r>
    </w:p>
    <w:p w14:paraId="4632FFEE" w14:textId="1BE67ACF" w:rsidR="000D5A46" w:rsidRPr="004B2A73" w:rsidRDefault="000D5A46" w:rsidP="00AF33A5">
      <w:pPr>
        <w:pStyle w:val="Caption"/>
        <w:rPr>
          <w:rFonts w:ascii="Calibri" w:hAnsi="Calibri"/>
        </w:rPr>
      </w:pPr>
      <w:bookmarkStart w:id="73" w:name="_Ref432673937"/>
      <w:bookmarkStart w:id="74" w:name="_Toc485377048"/>
      <w:r w:rsidRPr="004B2A73">
        <w:rPr>
          <w:rFonts w:ascii="Calibri" w:hAnsi="Calibri"/>
        </w:rPr>
        <w:lastRenderedPageBreak/>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13</w:t>
      </w:r>
      <w:r w:rsidR="00520B46" w:rsidRPr="004B2A73">
        <w:rPr>
          <w:rFonts w:ascii="Calibri" w:hAnsi="Calibri"/>
          <w:noProof/>
        </w:rPr>
        <w:fldChar w:fldCharType="end"/>
      </w:r>
      <w:bookmarkEnd w:id="73"/>
      <w:r w:rsidRPr="004B2A73">
        <w:rPr>
          <w:rFonts w:ascii="Calibri" w:hAnsi="Calibri"/>
        </w:rPr>
        <w:t>: MPI analysis of terminal efficiency</w:t>
      </w:r>
      <w:bookmarkEnd w:id="74"/>
    </w:p>
    <w:p w14:paraId="2D911A30" w14:textId="77777777" w:rsidR="007E3E54" w:rsidRPr="004B2A73" w:rsidRDefault="007E3E54" w:rsidP="003A7F8E">
      <w:pPr>
        <w:rPr>
          <w:rFonts w:ascii="Calibri" w:hAnsi="Calibri"/>
          <w:sz w:val="24"/>
          <w:szCs w:val="24"/>
          <w:lang w:val="en-GB"/>
        </w:rPr>
      </w:pPr>
      <w:r w:rsidRPr="004B2A73">
        <w:rPr>
          <w:rFonts w:ascii="Calibri" w:hAnsi="Calibri"/>
          <w:noProof/>
          <w:sz w:val="24"/>
          <w:szCs w:val="24"/>
        </w:rPr>
        <w:drawing>
          <wp:inline distT="0" distB="0" distL="0" distR="0" wp14:anchorId="4C85D922" wp14:editId="081ECF5C">
            <wp:extent cx="5943600" cy="18573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A67D47" w14:textId="242C592E" w:rsidR="007E3E54" w:rsidRPr="004B2A73" w:rsidRDefault="00AC36EF" w:rsidP="00E826B9">
      <w:pPr>
        <w:pStyle w:val="ListParagraph"/>
        <w:numPr>
          <w:ilvl w:val="0"/>
          <w:numId w:val="6"/>
        </w:numPr>
        <w:spacing w:after="0"/>
        <w:ind w:left="0" w:firstLine="0"/>
        <w:jc w:val="both"/>
        <w:rPr>
          <w:rFonts w:ascii="Calibri" w:hAnsi="Calibri"/>
          <w:b/>
          <w:sz w:val="24"/>
          <w:lang w:val="en-GB"/>
        </w:rPr>
      </w:pPr>
      <w:r w:rsidRPr="004B2A73">
        <w:rPr>
          <w:rFonts w:ascii="Calibri" w:hAnsi="Calibri"/>
          <w:b/>
          <w:sz w:val="24"/>
          <w:lang w:val="en-GB"/>
        </w:rPr>
        <w:t>The MPI analysis confirms the findings of the DEA analysis</w:t>
      </w:r>
      <w:r w:rsidR="00AC5D8A" w:rsidRPr="004B2A73">
        <w:rPr>
          <w:rFonts w:ascii="Calibri" w:hAnsi="Calibri"/>
          <w:b/>
          <w:sz w:val="24"/>
          <w:lang w:val="en-GB"/>
        </w:rPr>
        <w:t>, i.e. the main sources of efficiency gains are firstly volume, enabling economies of scale, and secondly technological progress, reflecting the upgrade of the terminal facilities.</w:t>
      </w:r>
      <w:r w:rsidR="00AC5D8A" w:rsidRPr="004B2A73">
        <w:rPr>
          <w:rFonts w:ascii="Calibri" w:hAnsi="Calibri"/>
          <w:sz w:val="24"/>
          <w:lang w:val="en-GB"/>
        </w:rPr>
        <w:t xml:space="preserve"> </w:t>
      </w:r>
      <w:r w:rsidR="007E3E54" w:rsidRPr="004B2A73">
        <w:rPr>
          <w:rFonts w:ascii="Calibri" w:hAnsi="Calibri"/>
          <w:sz w:val="24"/>
          <w:lang w:val="en-GB"/>
        </w:rPr>
        <w:t xml:space="preserve">The important conclusion that can be drawn is that where productivity gains were made, the sources of those gains seem to derive from either scale </w:t>
      </w:r>
      <w:r w:rsidR="00E12F57" w:rsidRPr="004B2A73">
        <w:rPr>
          <w:rFonts w:ascii="Calibri" w:hAnsi="Calibri"/>
          <w:sz w:val="24"/>
          <w:lang w:val="en-GB"/>
        </w:rPr>
        <w:t>efficiency</w:t>
      </w:r>
      <w:r w:rsidR="007E3E54" w:rsidRPr="004B2A73">
        <w:rPr>
          <w:rFonts w:ascii="Calibri" w:hAnsi="Calibri"/>
          <w:sz w:val="24"/>
          <w:lang w:val="en-GB"/>
        </w:rPr>
        <w:t xml:space="preserve"> (due to increases in supply capacity) and/or technological progress (due to upgrades or purchase of new equipment, streamline of working processes, reduction in procedural bottlenecks).</w:t>
      </w:r>
    </w:p>
    <w:p w14:paraId="32C013D0" w14:textId="77777777" w:rsidR="00D30B29" w:rsidRPr="00562AD8" w:rsidRDefault="00D30B29" w:rsidP="00562AD8">
      <w:pPr>
        <w:spacing w:after="0"/>
        <w:rPr>
          <w:rFonts w:ascii="Calibri" w:hAnsi="Calibri"/>
          <w:sz w:val="24"/>
        </w:rPr>
      </w:pPr>
    </w:p>
    <w:p w14:paraId="0DC4D421" w14:textId="43D39CEA" w:rsidR="007E3E54" w:rsidRPr="00B04B93" w:rsidRDefault="009C664D" w:rsidP="00B04B93">
      <w:pPr>
        <w:pStyle w:val="Heading2"/>
        <w:rPr>
          <w:b/>
          <w:color w:val="auto"/>
          <w:sz w:val="28"/>
          <w:szCs w:val="28"/>
        </w:rPr>
      </w:pPr>
      <w:bookmarkStart w:id="75" w:name="_Toc485381999"/>
      <w:r w:rsidRPr="00B04B93">
        <w:rPr>
          <w:b/>
          <w:color w:val="auto"/>
          <w:sz w:val="28"/>
          <w:szCs w:val="28"/>
        </w:rPr>
        <w:t xml:space="preserve">Impact of Concessions on </w:t>
      </w:r>
      <w:r w:rsidR="00505751" w:rsidRPr="00B04B93">
        <w:rPr>
          <w:b/>
          <w:color w:val="auto"/>
          <w:sz w:val="28"/>
          <w:szCs w:val="28"/>
        </w:rPr>
        <w:t>container</w:t>
      </w:r>
      <w:r w:rsidR="0037150D" w:rsidRPr="00B04B93">
        <w:rPr>
          <w:b/>
          <w:color w:val="auto"/>
          <w:sz w:val="28"/>
          <w:szCs w:val="28"/>
        </w:rPr>
        <w:t xml:space="preserve"> </w:t>
      </w:r>
      <w:r w:rsidR="00572489" w:rsidRPr="00B04B93">
        <w:rPr>
          <w:b/>
          <w:color w:val="auto"/>
          <w:sz w:val="28"/>
          <w:szCs w:val="28"/>
        </w:rPr>
        <w:t>t</w:t>
      </w:r>
      <w:r w:rsidR="00FC05E3" w:rsidRPr="00B04B93">
        <w:rPr>
          <w:b/>
          <w:color w:val="auto"/>
          <w:sz w:val="28"/>
          <w:szCs w:val="28"/>
        </w:rPr>
        <w:t xml:space="preserve">erminal </w:t>
      </w:r>
      <w:r w:rsidR="00572489" w:rsidRPr="00B04B93">
        <w:rPr>
          <w:b/>
          <w:color w:val="auto"/>
          <w:sz w:val="28"/>
          <w:szCs w:val="28"/>
        </w:rPr>
        <w:t>p</w:t>
      </w:r>
      <w:r w:rsidR="00FC05E3" w:rsidRPr="00B04B93">
        <w:rPr>
          <w:b/>
          <w:color w:val="auto"/>
          <w:sz w:val="28"/>
          <w:szCs w:val="28"/>
        </w:rPr>
        <w:t xml:space="preserve">rices and </w:t>
      </w:r>
      <w:r w:rsidR="00572489" w:rsidRPr="00B04B93">
        <w:rPr>
          <w:b/>
          <w:color w:val="auto"/>
          <w:sz w:val="28"/>
          <w:szCs w:val="28"/>
        </w:rPr>
        <w:t>c</w:t>
      </w:r>
      <w:r w:rsidR="00FC05E3" w:rsidRPr="00B04B93">
        <w:rPr>
          <w:b/>
          <w:color w:val="auto"/>
          <w:sz w:val="28"/>
          <w:szCs w:val="28"/>
        </w:rPr>
        <w:t>osts</w:t>
      </w:r>
      <w:bookmarkEnd w:id="75"/>
    </w:p>
    <w:p w14:paraId="530AA6FE" w14:textId="77777777" w:rsidR="00D643D0" w:rsidRPr="004B2A73" w:rsidRDefault="00D643D0" w:rsidP="00D643D0">
      <w:pPr>
        <w:pStyle w:val="ListParagraph"/>
        <w:spacing w:after="0"/>
        <w:ind w:left="0"/>
        <w:rPr>
          <w:rFonts w:ascii="Calibri" w:hAnsi="Calibri"/>
          <w:sz w:val="24"/>
        </w:rPr>
      </w:pPr>
    </w:p>
    <w:p w14:paraId="5AB5302B" w14:textId="49FAA8AF" w:rsidR="00282365" w:rsidRPr="004B2A73" w:rsidRDefault="00282365"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Cargo handling tariffs in West Africa ports are normally approved and published by the port authorities, but they are not widely disseminated.</w:t>
      </w:r>
      <w:r w:rsidRPr="004B2A73">
        <w:rPr>
          <w:rFonts w:ascii="Calibri" w:hAnsi="Calibri"/>
          <w:sz w:val="24"/>
        </w:rPr>
        <w:t xml:space="preserve"> Information on the West Africa ports is not always available or updated: several West Africa port authorities do not have a website, even those who do have one do not update its content regularly, and tariff information is almost never published</w:t>
      </w:r>
      <w:r w:rsidR="0068481F">
        <w:rPr>
          <w:rFonts w:ascii="Calibri" w:hAnsi="Calibri"/>
          <w:sz w:val="24"/>
        </w:rPr>
        <w:t xml:space="preserve"> beyond the immediate port community</w:t>
      </w:r>
      <w:r w:rsidRPr="004B2A73">
        <w:rPr>
          <w:rFonts w:ascii="Calibri" w:hAnsi="Calibri"/>
          <w:sz w:val="24"/>
        </w:rPr>
        <w:t xml:space="preserve"> (the only notable exception is the port of </w:t>
      </w:r>
      <w:r w:rsidR="00C922CA">
        <w:rPr>
          <w:rFonts w:ascii="Calibri" w:hAnsi="Calibri"/>
          <w:sz w:val="24"/>
        </w:rPr>
        <w:t>Lomé</w:t>
      </w:r>
      <w:r w:rsidRPr="004B2A73">
        <w:rPr>
          <w:rFonts w:ascii="Calibri" w:hAnsi="Calibri"/>
          <w:sz w:val="24"/>
        </w:rPr>
        <w:t xml:space="preserve">). </w:t>
      </w:r>
      <w:r w:rsidR="00680FF4" w:rsidRPr="004B2A73">
        <w:rPr>
          <w:rFonts w:ascii="Calibri" w:hAnsi="Calibri"/>
          <w:sz w:val="24"/>
        </w:rPr>
        <w:t>Data on t</w:t>
      </w:r>
      <w:r w:rsidRPr="004B2A73">
        <w:rPr>
          <w:rFonts w:ascii="Calibri" w:hAnsi="Calibri"/>
          <w:sz w:val="24"/>
        </w:rPr>
        <w:t xml:space="preserve">ariffs, </w:t>
      </w:r>
      <w:r w:rsidR="00680FF4" w:rsidRPr="004B2A73">
        <w:rPr>
          <w:rFonts w:ascii="Calibri" w:hAnsi="Calibri"/>
          <w:sz w:val="24"/>
        </w:rPr>
        <w:t>in some cases in time series,</w:t>
      </w:r>
      <w:r w:rsidRPr="004B2A73">
        <w:rPr>
          <w:rFonts w:ascii="Calibri" w:hAnsi="Calibri"/>
          <w:sz w:val="24"/>
        </w:rPr>
        <w:t xml:space="preserve"> have been collected through a wide range of sources for the port of Dakar (through the association of port stevedoring companies), Abidjan (through the Cote d’Ivoire maritime federation), Tema (through shipping agents), </w:t>
      </w:r>
      <w:r w:rsidR="00C922CA">
        <w:rPr>
          <w:rFonts w:ascii="Calibri" w:hAnsi="Calibri"/>
          <w:sz w:val="24"/>
        </w:rPr>
        <w:t>Lomé</w:t>
      </w:r>
      <w:r w:rsidRPr="004B2A73">
        <w:rPr>
          <w:rFonts w:ascii="Calibri" w:hAnsi="Calibri"/>
          <w:sz w:val="24"/>
        </w:rPr>
        <w:t xml:space="preserve"> (through the port website), and Cotonou (through the Abidjan Lagos Corridor Authority).</w:t>
      </w:r>
    </w:p>
    <w:p w14:paraId="7405CFEA" w14:textId="77777777" w:rsidR="00863A6B" w:rsidRPr="004B2A73" w:rsidRDefault="00863A6B" w:rsidP="00863A6B">
      <w:pPr>
        <w:pStyle w:val="ListParagraph"/>
        <w:spacing w:after="0"/>
        <w:ind w:left="0"/>
        <w:rPr>
          <w:rFonts w:ascii="Calibri" w:hAnsi="Calibri"/>
          <w:sz w:val="24"/>
        </w:rPr>
      </w:pPr>
    </w:p>
    <w:p w14:paraId="1E062C3C" w14:textId="18774475" w:rsidR="00282365" w:rsidRDefault="00282365"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Cargo handling tariffs in West Africa ports are revised </w:t>
      </w:r>
      <w:r w:rsidR="00630EFE" w:rsidRPr="004B2A73">
        <w:rPr>
          <w:rFonts w:ascii="Calibri" w:hAnsi="Calibri"/>
          <w:b/>
          <w:sz w:val="24"/>
        </w:rPr>
        <w:t>in</w:t>
      </w:r>
      <w:r w:rsidRPr="004B2A73">
        <w:rPr>
          <w:rFonts w:ascii="Calibri" w:hAnsi="Calibri"/>
          <w:b/>
          <w:sz w:val="24"/>
        </w:rPr>
        <w:t>frequently.</w:t>
      </w:r>
      <w:r w:rsidRPr="004B2A73">
        <w:rPr>
          <w:rFonts w:ascii="Calibri" w:hAnsi="Calibri"/>
          <w:sz w:val="24"/>
        </w:rPr>
        <w:t xml:space="preserve"> Tariffs tend to remain unchanged for long periods of time: in Dakar, the tariff applicable in 2002 was only revised in 2015</w:t>
      </w:r>
      <w:r w:rsidR="00680FF4" w:rsidRPr="004B2A73">
        <w:rPr>
          <w:rFonts w:ascii="Calibri" w:hAnsi="Calibri"/>
          <w:sz w:val="24"/>
        </w:rPr>
        <w:t>;</w:t>
      </w:r>
      <w:r w:rsidRPr="004B2A73">
        <w:rPr>
          <w:rFonts w:ascii="Calibri" w:hAnsi="Calibri"/>
          <w:sz w:val="24"/>
        </w:rPr>
        <w:t xml:space="preserve"> in Abidjan, the tariff remained unchanged between 2002 and 2010</w:t>
      </w:r>
      <w:r w:rsidR="00680FF4" w:rsidRPr="004B2A73">
        <w:rPr>
          <w:rFonts w:ascii="Calibri" w:hAnsi="Calibri"/>
          <w:sz w:val="24"/>
        </w:rPr>
        <w:t>;</w:t>
      </w:r>
      <w:r w:rsidRPr="004B2A73">
        <w:rPr>
          <w:rFonts w:ascii="Calibri" w:hAnsi="Calibri"/>
          <w:sz w:val="24"/>
        </w:rPr>
        <w:t xml:space="preserve"> in </w:t>
      </w:r>
      <w:r w:rsidR="00C922CA">
        <w:rPr>
          <w:rFonts w:ascii="Calibri" w:hAnsi="Calibri"/>
          <w:sz w:val="24"/>
        </w:rPr>
        <w:t>Lomé</w:t>
      </w:r>
      <w:r w:rsidRPr="004B2A73">
        <w:rPr>
          <w:rFonts w:ascii="Calibri" w:hAnsi="Calibri"/>
          <w:sz w:val="24"/>
        </w:rPr>
        <w:t>, the tariff for container handling was adopted in 2008 and is still valid</w:t>
      </w:r>
      <w:r w:rsidR="00680FF4" w:rsidRPr="004B2A73">
        <w:rPr>
          <w:rFonts w:ascii="Calibri" w:hAnsi="Calibri"/>
          <w:sz w:val="24"/>
        </w:rPr>
        <w:t>;</w:t>
      </w:r>
      <w:r w:rsidRPr="004B2A73">
        <w:rPr>
          <w:rFonts w:ascii="Calibri" w:hAnsi="Calibri"/>
          <w:sz w:val="24"/>
        </w:rPr>
        <w:t xml:space="preserve"> and in Cotonou, the</w:t>
      </w:r>
      <w:r w:rsidR="00622ECB" w:rsidRPr="004B2A73">
        <w:rPr>
          <w:rFonts w:ascii="Calibri" w:hAnsi="Calibri"/>
          <w:sz w:val="24"/>
        </w:rPr>
        <w:t xml:space="preserve"> tariff adopted in 2010 was</w:t>
      </w:r>
      <w:r w:rsidRPr="004B2A73">
        <w:rPr>
          <w:rFonts w:ascii="Calibri" w:hAnsi="Calibri"/>
          <w:sz w:val="24"/>
        </w:rPr>
        <w:t xml:space="preserve"> modified in 2015. There are however exceptions</w:t>
      </w:r>
      <w:r w:rsidR="00572489" w:rsidRPr="004B2A73">
        <w:rPr>
          <w:rFonts w:ascii="Calibri" w:hAnsi="Calibri"/>
          <w:sz w:val="24"/>
        </w:rPr>
        <w:t>;</w:t>
      </w:r>
      <w:r w:rsidRPr="004B2A73">
        <w:rPr>
          <w:rFonts w:ascii="Calibri" w:hAnsi="Calibri"/>
          <w:sz w:val="24"/>
        </w:rPr>
        <w:t xml:space="preserve"> for instance, Ghana has been updating port tariffs annually over the past few years.</w:t>
      </w:r>
      <w:r w:rsidR="00AB74A8" w:rsidRPr="004B2A73">
        <w:rPr>
          <w:rFonts w:ascii="Calibri" w:hAnsi="Calibri"/>
          <w:sz w:val="24"/>
        </w:rPr>
        <w:t xml:space="preserve">  </w:t>
      </w:r>
      <w:r w:rsidR="00FC1EC2" w:rsidRPr="004B2A73">
        <w:rPr>
          <w:rFonts w:ascii="Calibri" w:hAnsi="Calibri"/>
          <w:sz w:val="24"/>
        </w:rPr>
        <w:t>When tariffs are modified after a long period of stability, calculating the increase is not simple, because often the structure of the tariffs has changed.</w:t>
      </w:r>
      <w:r w:rsidRPr="004B2A73">
        <w:rPr>
          <w:rFonts w:ascii="Calibri" w:hAnsi="Calibri"/>
          <w:sz w:val="24"/>
        </w:rPr>
        <w:t xml:space="preserve"> </w:t>
      </w:r>
      <w:r w:rsidR="00AB74A8" w:rsidRPr="004B2A73">
        <w:rPr>
          <w:rFonts w:ascii="Calibri" w:hAnsi="Calibri"/>
          <w:sz w:val="24"/>
        </w:rPr>
        <w:t>For example, a</w:t>
      </w:r>
      <w:r w:rsidRPr="004B2A73">
        <w:rPr>
          <w:rFonts w:ascii="Calibri" w:hAnsi="Calibri"/>
          <w:sz w:val="24"/>
        </w:rPr>
        <w:t xml:space="preserve"> comparison</w:t>
      </w:r>
      <w:r w:rsidR="00AB74A8" w:rsidRPr="004B2A73">
        <w:rPr>
          <w:rFonts w:ascii="Calibri" w:hAnsi="Calibri"/>
          <w:sz w:val="24"/>
        </w:rPr>
        <w:t xml:space="preserve"> between the tariffs in Dakar in</w:t>
      </w:r>
      <w:r w:rsidRPr="004B2A73">
        <w:rPr>
          <w:rFonts w:ascii="Calibri" w:hAnsi="Calibri"/>
          <w:sz w:val="24"/>
        </w:rPr>
        <w:t xml:space="preserve"> 2002 and 2015 is not possible due to the change in the structure, from mixed tariffs mostly based on tonnage to rates per TEUs. When updates of the tariffs are more frequent, it becomes possible to calculate </w:t>
      </w:r>
      <w:r w:rsidRPr="004B2A73">
        <w:rPr>
          <w:rFonts w:ascii="Calibri" w:hAnsi="Calibri"/>
          <w:sz w:val="24"/>
        </w:rPr>
        <w:lastRenderedPageBreak/>
        <w:t>percentages of increases as the tariff structure remains unchanged. For instance, in Cotonou, the 2010</w:t>
      </w:r>
      <w:r w:rsidR="007E56F9" w:rsidRPr="004B2A73">
        <w:rPr>
          <w:rFonts w:ascii="Calibri" w:hAnsi="Calibri"/>
          <w:sz w:val="24"/>
        </w:rPr>
        <w:t xml:space="preserve"> tariff</w:t>
      </w:r>
      <w:r w:rsidRPr="004B2A73">
        <w:rPr>
          <w:rFonts w:ascii="Calibri" w:hAnsi="Calibri"/>
          <w:sz w:val="24"/>
        </w:rPr>
        <w:t xml:space="preserve"> was increased by a flat 26</w:t>
      </w:r>
      <w:r w:rsidR="007E56F9" w:rsidRPr="004B2A73">
        <w:rPr>
          <w:rFonts w:ascii="Calibri" w:hAnsi="Calibri"/>
          <w:sz w:val="24"/>
        </w:rPr>
        <w:t xml:space="preserve"> percent</w:t>
      </w:r>
      <w:r w:rsidRPr="004B2A73">
        <w:rPr>
          <w:rFonts w:ascii="Calibri" w:hAnsi="Calibri"/>
          <w:sz w:val="24"/>
        </w:rPr>
        <w:t xml:space="preserve"> in 2015 for all categories of rates</w:t>
      </w:r>
      <w:r w:rsidR="00161D7A" w:rsidRPr="004B2A73">
        <w:rPr>
          <w:rFonts w:ascii="Calibri" w:hAnsi="Calibri"/>
          <w:sz w:val="24"/>
        </w:rPr>
        <w:t xml:space="preserve"> (</w:t>
      </w:r>
      <w:r w:rsidR="00594F15" w:rsidRPr="00594F15">
        <w:rPr>
          <w:rFonts w:ascii="Calibri" w:hAnsi="Calibri"/>
          <w:sz w:val="24"/>
          <w:szCs w:val="24"/>
        </w:rPr>
        <w:fldChar w:fldCharType="begin"/>
      </w:r>
      <w:r w:rsidR="00594F15" w:rsidRPr="00594F15">
        <w:rPr>
          <w:rFonts w:ascii="Calibri" w:hAnsi="Calibri"/>
          <w:sz w:val="24"/>
          <w:szCs w:val="24"/>
        </w:rPr>
        <w:instrText xml:space="preserve"> REF _Ref473105983 \h </w:instrText>
      </w:r>
      <w:r w:rsidR="00594F15">
        <w:rPr>
          <w:rFonts w:ascii="Calibri" w:hAnsi="Calibri"/>
          <w:sz w:val="24"/>
          <w:szCs w:val="24"/>
        </w:rPr>
        <w:instrText xml:space="preserve"> \* MERGEFORMAT </w:instrText>
      </w:r>
      <w:r w:rsidR="00594F15" w:rsidRPr="00594F15">
        <w:rPr>
          <w:rFonts w:ascii="Calibri" w:hAnsi="Calibri"/>
          <w:sz w:val="24"/>
          <w:szCs w:val="24"/>
        </w:rPr>
      </w:r>
      <w:r w:rsidR="00594F15" w:rsidRPr="00594F15">
        <w:rPr>
          <w:rFonts w:ascii="Calibri" w:hAnsi="Calibri"/>
          <w:sz w:val="24"/>
          <w:szCs w:val="24"/>
        </w:rPr>
        <w:fldChar w:fldCharType="separate"/>
      </w:r>
      <w:r w:rsidR="00212D01" w:rsidRPr="00212D01">
        <w:rPr>
          <w:rFonts w:ascii="Calibri" w:hAnsi="Calibri"/>
          <w:sz w:val="24"/>
          <w:szCs w:val="24"/>
        </w:rPr>
        <w:t xml:space="preserve">Table </w:t>
      </w:r>
      <w:r w:rsidR="00212D01" w:rsidRPr="00212D01">
        <w:rPr>
          <w:rFonts w:ascii="Calibri" w:hAnsi="Calibri"/>
          <w:noProof/>
          <w:sz w:val="24"/>
          <w:szCs w:val="24"/>
        </w:rPr>
        <w:t>10</w:t>
      </w:r>
      <w:r w:rsidR="00594F15" w:rsidRPr="00594F15">
        <w:rPr>
          <w:rFonts w:ascii="Calibri" w:hAnsi="Calibri"/>
          <w:sz w:val="24"/>
          <w:szCs w:val="24"/>
        </w:rPr>
        <w:fldChar w:fldCharType="end"/>
      </w:r>
      <w:r w:rsidR="00161D7A" w:rsidRPr="004B2A73">
        <w:rPr>
          <w:rFonts w:ascii="Calibri" w:hAnsi="Calibri"/>
          <w:sz w:val="24"/>
        </w:rPr>
        <w:t>)</w:t>
      </w:r>
      <w:r w:rsidR="00421D5B" w:rsidRPr="004B2A73">
        <w:rPr>
          <w:rFonts w:ascii="Calibri" w:hAnsi="Calibri"/>
          <w:sz w:val="24"/>
        </w:rPr>
        <w:t>, although, in dollars, the increase was l</w:t>
      </w:r>
      <w:r w:rsidR="009C664D" w:rsidRPr="004B2A73">
        <w:rPr>
          <w:rFonts w:ascii="Calibri" w:hAnsi="Calibri"/>
          <w:sz w:val="24"/>
        </w:rPr>
        <w:t>ower</w:t>
      </w:r>
      <w:r w:rsidR="0068481F">
        <w:rPr>
          <w:rFonts w:ascii="Calibri" w:hAnsi="Calibri"/>
          <w:sz w:val="24"/>
        </w:rPr>
        <w:t xml:space="preserve"> </w:t>
      </w:r>
      <w:r w:rsidR="009C664D" w:rsidRPr="004B2A73">
        <w:rPr>
          <w:rFonts w:ascii="Calibri" w:hAnsi="Calibri"/>
          <w:sz w:val="24"/>
        </w:rPr>
        <w:t>at</w:t>
      </w:r>
      <w:r w:rsidR="00421D5B" w:rsidRPr="004B2A73">
        <w:rPr>
          <w:rFonts w:ascii="Calibri" w:hAnsi="Calibri"/>
          <w:sz w:val="24"/>
        </w:rPr>
        <w:t xml:space="preserve"> 7% due to the change of parity between Euro and </w:t>
      </w:r>
      <w:r w:rsidR="005D07B2">
        <w:rPr>
          <w:rFonts w:ascii="Calibri" w:hAnsi="Calibri"/>
          <w:sz w:val="24"/>
        </w:rPr>
        <w:t>D</w:t>
      </w:r>
      <w:r w:rsidR="00421D5B" w:rsidRPr="004B2A73">
        <w:rPr>
          <w:rFonts w:ascii="Calibri" w:hAnsi="Calibri"/>
          <w:sz w:val="24"/>
        </w:rPr>
        <w:t>ollar</w:t>
      </w:r>
      <w:r w:rsidRPr="004B2A73">
        <w:rPr>
          <w:rFonts w:ascii="Calibri" w:hAnsi="Calibri"/>
          <w:sz w:val="24"/>
        </w:rPr>
        <w:t>. In Ghana, during the same period, the stevedoring charges were increased by 32%, after a long period of quasi-stability.</w:t>
      </w:r>
    </w:p>
    <w:p w14:paraId="6DDBC6BF" w14:textId="77777777" w:rsidR="00542838" w:rsidRPr="004B2A73" w:rsidRDefault="00542838" w:rsidP="00542838">
      <w:pPr>
        <w:pStyle w:val="ListParagraph"/>
        <w:spacing w:after="0"/>
        <w:ind w:left="0"/>
        <w:jc w:val="both"/>
        <w:rPr>
          <w:rFonts w:ascii="Calibri" w:hAnsi="Calibri"/>
          <w:sz w:val="24"/>
        </w:rPr>
      </w:pPr>
    </w:p>
    <w:p w14:paraId="23647C22" w14:textId="2FF5BB99" w:rsidR="00282365" w:rsidRPr="004B2A73" w:rsidRDefault="00282365" w:rsidP="00AF33A5">
      <w:pPr>
        <w:pStyle w:val="Caption"/>
        <w:rPr>
          <w:rFonts w:ascii="Calibri" w:hAnsi="Calibri"/>
        </w:rPr>
      </w:pPr>
      <w:bookmarkStart w:id="76" w:name="_Toc485377049"/>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14</w:t>
      </w:r>
      <w:r w:rsidR="00520B46" w:rsidRPr="004B2A73">
        <w:rPr>
          <w:rFonts w:ascii="Calibri" w:hAnsi="Calibri"/>
          <w:noProof/>
        </w:rPr>
        <w:fldChar w:fldCharType="end"/>
      </w:r>
      <w:r w:rsidRPr="004B2A73">
        <w:rPr>
          <w:rFonts w:ascii="Calibri" w:hAnsi="Calibri"/>
        </w:rPr>
        <w:t>: Evolution of stevedoring (ship handling only) rates in Tema</w:t>
      </w:r>
      <w:bookmarkEnd w:id="76"/>
    </w:p>
    <w:p w14:paraId="60FAE9CF" w14:textId="77777777" w:rsidR="00282365" w:rsidRDefault="00282365" w:rsidP="00594F15">
      <w:pPr>
        <w:rPr>
          <w:rFonts w:ascii="Calibri" w:hAnsi="Calibri"/>
          <w:sz w:val="24"/>
          <w:szCs w:val="24"/>
        </w:rPr>
      </w:pPr>
      <w:r w:rsidRPr="004B2A73">
        <w:rPr>
          <w:rFonts w:ascii="Calibri" w:hAnsi="Calibri"/>
          <w:noProof/>
          <w:sz w:val="24"/>
          <w:szCs w:val="24"/>
        </w:rPr>
        <w:drawing>
          <wp:inline distT="0" distB="0" distL="0" distR="0" wp14:anchorId="6910861E" wp14:editId="7BDFD7E4">
            <wp:extent cx="5076825" cy="16859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4ECC16" w14:textId="77777777" w:rsidR="00D30B29" w:rsidRPr="004B2A73" w:rsidRDefault="00D30B29" w:rsidP="00426430"/>
    <w:p w14:paraId="1EF84368" w14:textId="1C342B8E" w:rsidR="00282365" w:rsidRPr="004B2A73" w:rsidRDefault="00975C05" w:rsidP="00AF33A5">
      <w:pPr>
        <w:pStyle w:val="Caption"/>
        <w:rPr>
          <w:rFonts w:ascii="Calibri" w:hAnsi="Calibri"/>
        </w:rPr>
      </w:pPr>
      <w:bookmarkStart w:id="77" w:name="_Ref473105983"/>
      <w:bookmarkStart w:id="78" w:name="_Ref433192398"/>
      <w:bookmarkStart w:id="79" w:name="_Toc485381921"/>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10</w:t>
      </w:r>
      <w:r w:rsidR="00811885" w:rsidRPr="004B2A73">
        <w:rPr>
          <w:rFonts w:ascii="Calibri" w:hAnsi="Calibri"/>
          <w:noProof/>
        </w:rPr>
        <w:fldChar w:fldCharType="end"/>
      </w:r>
      <w:bookmarkEnd w:id="77"/>
      <w:r w:rsidRPr="004B2A73">
        <w:rPr>
          <w:rFonts w:ascii="Calibri" w:hAnsi="Calibri"/>
        </w:rPr>
        <w:t>: Comparison 2010 - 2015 of the container handling tariffs in Cotonou</w:t>
      </w:r>
      <w:bookmarkEnd w:id="78"/>
      <w:bookmarkEnd w:id="79"/>
    </w:p>
    <w:tbl>
      <w:tblPr>
        <w:tblStyle w:val="ListTable3-Accent31"/>
        <w:tblW w:w="0" w:type="auto"/>
        <w:tblLook w:val="04A0" w:firstRow="1" w:lastRow="0" w:firstColumn="1" w:lastColumn="0" w:noHBand="0" w:noVBand="1"/>
      </w:tblPr>
      <w:tblGrid>
        <w:gridCol w:w="4000"/>
        <w:gridCol w:w="954"/>
        <w:gridCol w:w="966"/>
        <w:gridCol w:w="1220"/>
        <w:gridCol w:w="1220"/>
      </w:tblGrid>
      <w:tr w:rsidR="00282365" w:rsidRPr="00594F15" w14:paraId="73D06B57" w14:textId="77777777" w:rsidTr="00594F1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00" w:type="dxa"/>
            <w:noWrap/>
            <w:hideMark/>
          </w:tcPr>
          <w:p w14:paraId="353EB756" w14:textId="77777777" w:rsidR="00282365" w:rsidRPr="00594F15" w:rsidRDefault="00282365" w:rsidP="00DF7415">
            <w:pPr>
              <w:rPr>
                <w:rFonts w:ascii="Calibri" w:hAnsi="Calibri"/>
              </w:rPr>
            </w:pPr>
          </w:p>
        </w:tc>
        <w:tc>
          <w:tcPr>
            <w:tcW w:w="1920" w:type="dxa"/>
            <w:gridSpan w:val="2"/>
            <w:noWrap/>
            <w:vAlign w:val="center"/>
            <w:hideMark/>
          </w:tcPr>
          <w:p w14:paraId="420C2DD1" w14:textId="77777777" w:rsidR="00282365" w:rsidRPr="00594F15" w:rsidRDefault="00282365" w:rsidP="00DF7415">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September 2010</w:t>
            </w:r>
          </w:p>
        </w:tc>
        <w:tc>
          <w:tcPr>
            <w:tcW w:w="2440" w:type="dxa"/>
            <w:gridSpan w:val="2"/>
            <w:noWrap/>
            <w:vAlign w:val="center"/>
            <w:hideMark/>
          </w:tcPr>
          <w:p w14:paraId="68468104" w14:textId="77777777" w:rsidR="00282365" w:rsidRPr="00594F15" w:rsidRDefault="00282365" w:rsidP="00DF7415">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May 2015</w:t>
            </w:r>
          </w:p>
        </w:tc>
      </w:tr>
      <w:tr w:rsidR="00282365" w:rsidRPr="00594F15" w14:paraId="2ACF72A1" w14:textId="77777777" w:rsidTr="00594F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14:paraId="1DB2D03C" w14:textId="77777777" w:rsidR="00282365" w:rsidRPr="00594F15" w:rsidRDefault="00DF7415" w:rsidP="00DF7415">
            <w:pPr>
              <w:rPr>
                <w:rFonts w:ascii="Calibri" w:hAnsi="Calibri"/>
              </w:rPr>
            </w:pPr>
            <w:r w:rsidRPr="00594F15">
              <w:rPr>
                <w:rFonts w:ascii="Calibri" w:hAnsi="Calibri"/>
              </w:rPr>
              <w:t>Container handling in F</w:t>
            </w:r>
            <w:r w:rsidR="00282365" w:rsidRPr="00594F15">
              <w:rPr>
                <w:rFonts w:ascii="Calibri" w:hAnsi="Calibri"/>
              </w:rPr>
              <w:t>CFA</w:t>
            </w:r>
          </w:p>
        </w:tc>
        <w:tc>
          <w:tcPr>
            <w:tcW w:w="954" w:type="dxa"/>
            <w:noWrap/>
            <w:vAlign w:val="center"/>
            <w:hideMark/>
          </w:tcPr>
          <w:p w14:paraId="6FEB495D" w14:textId="77777777" w:rsidR="00282365" w:rsidRPr="00594F15" w:rsidRDefault="00282365" w:rsidP="00DF741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4F15">
              <w:rPr>
                <w:rFonts w:ascii="Calibri" w:hAnsi="Calibri"/>
              </w:rPr>
              <w:t>20'</w:t>
            </w:r>
          </w:p>
        </w:tc>
        <w:tc>
          <w:tcPr>
            <w:tcW w:w="966" w:type="dxa"/>
            <w:noWrap/>
            <w:vAlign w:val="center"/>
            <w:hideMark/>
          </w:tcPr>
          <w:p w14:paraId="306A5E23" w14:textId="77777777" w:rsidR="00282365" w:rsidRPr="00594F15" w:rsidRDefault="00282365" w:rsidP="00DF741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4F15">
              <w:rPr>
                <w:rFonts w:ascii="Calibri" w:hAnsi="Calibri"/>
              </w:rPr>
              <w:t>40'</w:t>
            </w:r>
          </w:p>
        </w:tc>
        <w:tc>
          <w:tcPr>
            <w:tcW w:w="1220" w:type="dxa"/>
            <w:noWrap/>
            <w:vAlign w:val="center"/>
            <w:hideMark/>
          </w:tcPr>
          <w:p w14:paraId="7BAA272C" w14:textId="77777777" w:rsidR="00282365" w:rsidRPr="00594F15" w:rsidRDefault="00282365" w:rsidP="00DF741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4F15">
              <w:rPr>
                <w:rFonts w:ascii="Calibri" w:hAnsi="Calibri"/>
              </w:rPr>
              <w:t>20'</w:t>
            </w:r>
          </w:p>
        </w:tc>
        <w:tc>
          <w:tcPr>
            <w:tcW w:w="1220" w:type="dxa"/>
            <w:noWrap/>
            <w:vAlign w:val="center"/>
            <w:hideMark/>
          </w:tcPr>
          <w:p w14:paraId="49ADC79B" w14:textId="77777777" w:rsidR="00282365" w:rsidRPr="00594F15" w:rsidRDefault="00282365" w:rsidP="00DF741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94F15">
              <w:rPr>
                <w:rFonts w:ascii="Calibri" w:hAnsi="Calibri"/>
              </w:rPr>
              <w:t>40'</w:t>
            </w:r>
          </w:p>
        </w:tc>
      </w:tr>
      <w:tr w:rsidR="00282365" w:rsidRPr="00594F15" w14:paraId="127FAB52" w14:textId="77777777" w:rsidTr="00594F15">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14:paraId="736D64D9" w14:textId="77777777" w:rsidR="00282365" w:rsidRPr="00594F15" w:rsidRDefault="00282365" w:rsidP="00DF7415">
            <w:pPr>
              <w:rPr>
                <w:rFonts w:ascii="Calibri" w:hAnsi="Calibri"/>
              </w:rPr>
            </w:pPr>
            <w:r w:rsidRPr="00594F15">
              <w:rPr>
                <w:rFonts w:ascii="Calibri" w:hAnsi="Calibri"/>
              </w:rPr>
              <w:t>Import container delivered full on truck</w:t>
            </w:r>
          </w:p>
        </w:tc>
        <w:tc>
          <w:tcPr>
            <w:tcW w:w="954" w:type="dxa"/>
            <w:noWrap/>
            <w:hideMark/>
          </w:tcPr>
          <w:p w14:paraId="46C2DB48" w14:textId="77777777" w:rsidR="00282365" w:rsidRPr="00594F15" w:rsidRDefault="00282365"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 xml:space="preserve">82,500 </w:t>
            </w:r>
          </w:p>
        </w:tc>
        <w:tc>
          <w:tcPr>
            <w:tcW w:w="966" w:type="dxa"/>
            <w:noWrap/>
            <w:hideMark/>
          </w:tcPr>
          <w:p w14:paraId="3C633C23" w14:textId="77777777" w:rsidR="00282365" w:rsidRPr="00594F15" w:rsidRDefault="00282365"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 xml:space="preserve">136,400 </w:t>
            </w:r>
          </w:p>
        </w:tc>
        <w:tc>
          <w:tcPr>
            <w:tcW w:w="1220" w:type="dxa"/>
            <w:noWrap/>
            <w:hideMark/>
          </w:tcPr>
          <w:p w14:paraId="4606E288" w14:textId="77777777" w:rsidR="00282365" w:rsidRPr="00594F15" w:rsidRDefault="00282365"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 xml:space="preserve">103,950 </w:t>
            </w:r>
          </w:p>
        </w:tc>
        <w:tc>
          <w:tcPr>
            <w:tcW w:w="1220" w:type="dxa"/>
            <w:noWrap/>
            <w:hideMark/>
          </w:tcPr>
          <w:p w14:paraId="112D50C1" w14:textId="77777777" w:rsidR="00282365" w:rsidRPr="00594F15" w:rsidRDefault="00282365"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 xml:space="preserve">171,864 </w:t>
            </w:r>
          </w:p>
        </w:tc>
      </w:tr>
      <w:tr w:rsidR="00282365" w:rsidRPr="00594F15" w14:paraId="5ECA1530" w14:textId="77777777" w:rsidTr="00594F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14:paraId="46DC2CE6" w14:textId="77777777" w:rsidR="00282365" w:rsidRPr="00594F15" w:rsidRDefault="00282365" w:rsidP="00DF7415">
            <w:pPr>
              <w:rPr>
                <w:rFonts w:ascii="Calibri" w:hAnsi="Calibri"/>
              </w:rPr>
            </w:pPr>
            <w:r w:rsidRPr="00594F15">
              <w:rPr>
                <w:rFonts w:ascii="Calibri" w:hAnsi="Calibri"/>
              </w:rPr>
              <w:t>Import container positioned for stripping</w:t>
            </w:r>
          </w:p>
        </w:tc>
        <w:tc>
          <w:tcPr>
            <w:tcW w:w="954" w:type="dxa"/>
            <w:noWrap/>
            <w:hideMark/>
          </w:tcPr>
          <w:p w14:paraId="07B351AB" w14:textId="77777777" w:rsidR="00282365" w:rsidRPr="00594F15" w:rsidRDefault="00282365"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594F15">
              <w:rPr>
                <w:rFonts w:ascii="Calibri" w:hAnsi="Calibri"/>
              </w:rPr>
              <w:t xml:space="preserve">93,750 </w:t>
            </w:r>
          </w:p>
        </w:tc>
        <w:tc>
          <w:tcPr>
            <w:tcW w:w="966" w:type="dxa"/>
            <w:noWrap/>
            <w:hideMark/>
          </w:tcPr>
          <w:p w14:paraId="0550C5FF" w14:textId="77777777" w:rsidR="00282365" w:rsidRPr="00594F15" w:rsidRDefault="00282365"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594F15">
              <w:rPr>
                <w:rFonts w:ascii="Calibri" w:hAnsi="Calibri"/>
              </w:rPr>
              <w:t xml:space="preserve">155,000 </w:t>
            </w:r>
          </w:p>
        </w:tc>
        <w:tc>
          <w:tcPr>
            <w:tcW w:w="1220" w:type="dxa"/>
            <w:noWrap/>
            <w:hideMark/>
          </w:tcPr>
          <w:p w14:paraId="06C875F2" w14:textId="77777777" w:rsidR="00282365" w:rsidRPr="00594F15" w:rsidRDefault="00282365"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594F15">
              <w:rPr>
                <w:rFonts w:ascii="Calibri" w:hAnsi="Calibri"/>
              </w:rPr>
              <w:t xml:space="preserve">118,125 </w:t>
            </w:r>
          </w:p>
        </w:tc>
        <w:tc>
          <w:tcPr>
            <w:tcW w:w="1220" w:type="dxa"/>
            <w:noWrap/>
            <w:hideMark/>
          </w:tcPr>
          <w:p w14:paraId="53618221" w14:textId="77777777" w:rsidR="00282365" w:rsidRPr="00594F15" w:rsidRDefault="00282365"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594F15">
              <w:rPr>
                <w:rFonts w:ascii="Calibri" w:hAnsi="Calibri"/>
              </w:rPr>
              <w:t xml:space="preserve">195,300 </w:t>
            </w:r>
          </w:p>
        </w:tc>
      </w:tr>
      <w:tr w:rsidR="00282365" w:rsidRPr="00594F15" w14:paraId="190BB99D" w14:textId="77777777" w:rsidTr="00594F15">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14:paraId="099BAD2E" w14:textId="77777777" w:rsidR="00282365" w:rsidRPr="00594F15" w:rsidRDefault="00282365" w:rsidP="00DF7415">
            <w:pPr>
              <w:rPr>
                <w:rFonts w:ascii="Calibri" w:hAnsi="Calibri"/>
              </w:rPr>
            </w:pPr>
            <w:r w:rsidRPr="00594F15">
              <w:rPr>
                <w:rFonts w:ascii="Calibri" w:hAnsi="Calibri"/>
              </w:rPr>
              <w:t>Export container</w:t>
            </w:r>
          </w:p>
        </w:tc>
        <w:tc>
          <w:tcPr>
            <w:tcW w:w="954" w:type="dxa"/>
            <w:noWrap/>
            <w:hideMark/>
          </w:tcPr>
          <w:p w14:paraId="344F6FEA" w14:textId="77777777" w:rsidR="00282365" w:rsidRPr="00594F15" w:rsidRDefault="00282365"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 xml:space="preserve">41,684 </w:t>
            </w:r>
          </w:p>
        </w:tc>
        <w:tc>
          <w:tcPr>
            <w:tcW w:w="966" w:type="dxa"/>
            <w:noWrap/>
            <w:hideMark/>
          </w:tcPr>
          <w:p w14:paraId="6685324E" w14:textId="77777777" w:rsidR="00282365" w:rsidRPr="00594F15" w:rsidRDefault="00282365"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 xml:space="preserve">73,560 </w:t>
            </w:r>
          </w:p>
        </w:tc>
        <w:tc>
          <w:tcPr>
            <w:tcW w:w="1220" w:type="dxa"/>
            <w:noWrap/>
            <w:hideMark/>
          </w:tcPr>
          <w:p w14:paraId="1EE7D36C" w14:textId="77777777" w:rsidR="00282365" w:rsidRPr="00594F15" w:rsidRDefault="00282365"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 xml:space="preserve">52,522 </w:t>
            </w:r>
          </w:p>
        </w:tc>
        <w:tc>
          <w:tcPr>
            <w:tcW w:w="1220" w:type="dxa"/>
            <w:noWrap/>
            <w:hideMark/>
          </w:tcPr>
          <w:p w14:paraId="3EA69E17" w14:textId="77777777" w:rsidR="00282365" w:rsidRPr="00594F15" w:rsidRDefault="00282365"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594F15">
              <w:rPr>
                <w:rFonts w:ascii="Calibri" w:hAnsi="Calibri"/>
              </w:rPr>
              <w:t xml:space="preserve">92,686 </w:t>
            </w:r>
          </w:p>
        </w:tc>
      </w:tr>
    </w:tbl>
    <w:p w14:paraId="71DC8D08" w14:textId="77777777" w:rsidR="00863A6B" w:rsidRPr="004B2A73" w:rsidRDefault="00863A6B" w:rsidP="00863A6B">
      <w:pPr>
        <w:pStyle w:val="ListParagraph"/>
        <w:spacing w:after="0"/>
        <w:ind w:left="0"/>
        <w:rPr>
          <w:rFonts w:ascii="Calibri" w:hAnsi="Calibri"/>
          <w:sz w:val="24"/>
        </w:rPr>
      </w:pPr>
    </w:p>
    <w:p w14:paraId="351B534F" w14:textId="77777777" w:rsidR="00282365" w:rsidRPr="004B2A73" w:rsidRDefault="00282365"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Tariff revisions are sometimes opposed by the shippers, with varying degrees of success.</w:t>
      </w:r>
      <w:r w:rsidRPr="004B2A73">
        <w:rPr>
          <w:rFonts w:ascii="Calibri" w:hAnsi="Calibri"/>
          <w:sz w:val="24"/>
        </w:rPr>
        <w:t xml:space="preserve"> The latest increase in Ghana, around 4</w:t>
      </w:r>
      <w:r w:rsidR="007E56F9" w:rsidRPr="004B2A73">
        <w:rPr>
          <w:rFonts w:ascii="Calibri" w:hAnsi="Calibri"/>
          <w:sz w:val="24"/>
        </w:rPr>
        <w:t xml:space="preserve"> percent</w:t>
      </w:r>
      <w:r w:rsidRPr="004B2A73">
        <w:rPr>
          <w:rFonts w:ascii="Calibri" w:hAnsi="Calibri"/>
          <w:sz w:val="24"/>
        </w:rPr>
        <w:t xml:space="preserve"> for stevedoring but up to 20</w:t>
      </w:r>
      <w:r w:rsidR="007E56F9" w:rsidRPr="004B2A73">
        <w:rPr>
          <w:rFonts w:ascii="Calibri" w:hAnsi="Calibri"/>
          <w:sz w:val="24"/>
        </w:rPr>
        <w:t xml:space="preserve"> percent</w:t>
      </w:r>
      <w:r w:rsidRPr="004B2A73">
        <w:rPr>
          <w:rFonts w:ascii="Calibri" w:hAnsi="Calibri"/>
          <w:sz w:val="24"/>
        </w:rPr>
        <w:t xml:space="preserve"> for other container movements, was supposed to be effective in July 2015, but protests by shippers postponed its effectiveness to October 2015, although the level </w:t>
      </w:r>
      <w:r w:rsidR="00161D7A" w:rsidRPr="004B2A73">
        <w:rPr>
          <w:rFonts w:ascii="Calibri" w:hAnsi="Calibri"/>
          <w:sz w:val="24"/>
        </w:rPr>
        <w:t xml:space="preserve">ultimately </w:t>
      </w:r>
      <w:r w:rsidRPr="004B2A73">
        <w:rPr>
          <w:rFonts w:ascii="Calibri" w:hAnsi="Calibri"/>
          <w:sz w:val="24"/>
        </w:rPr>
        <w:t>remained unchanged. In Abidjan, operators</w:t>
      </w:r>
      <w:r w:rsidR="0073342A" w:rsidRPr="004B2A73">
        <w:rPr>
          <w:rFonts w:ascii="Calibri" w:hAnsi="Calibri"/>
          <w:sz w:val="24"/>
        </w:rPr>
        <w:t xml:space="preserve"> </w:t>
      </w:r>
      <w:r w:rsidRPr="004B2A73">
        <w:rPr>
          <w:rFonts w:ascii="Calibri" w:hAnsi="Calibri"/>
          <w:sz w:val="24"/>
        </w:rPr>
        <w:t>complain</w:t>
      </w:r>
      <w:r w:rsidR="0073342A" w:rsidRPr="004B2A73">
        <w:rPr>
          <w:rFonts w:ascii="Calibri" w:hAnsi="Calibri"/>
          <w:sz w:val="24"/>
        </w:rPr>
        <w:t>ed</w:t>
      </w:r>
      <w:r w:rsidRPr="004B2A73">
        <w:rPr>
          <w:rFonts w:ascii="Calibri" w:hAnsi="Calibri"/>
          <w:sz w:val="24"/>
        </w:rPr>
        <w:t xml:space="preserve"> about the high prices for port stevedoring, and the Government included provisions for the reduction of tariffs in the amendment to the concession agreement signed in 2012, leading </w:t>
      </w:r>
      <w:r w:rsidR="00572489" w:rsidRPr="004B2A73">
        <w:rPr>
          <w:rFonts w:ascii="Calibri" w:hAnsi="Calibri"/>
          <w:sz w:val="24"/>
        </w:rPr>
        <w:t xml:space="preserve">in 2013 </w:t>
      </w:r>
      <w:r w:rsidRPr="004B2A73">
        <w:rPr>
          <w:rFonts w:ascii="Calibri" w:hAnsi="Calibri"/>
          <w:sz w:val="24"/>
        </w:rPr>
        <w:t xml:space="preserve">to </w:t>
      </w:r>
      <w:r w:rsidR="007E56F9" w:rsidRPr="004B2A73">
        <w:rPr>
          <w:rFonts w:ascii="Calibri" w:hAnsi="Calibri"/>
          <w:sz w:val="24"/>
        </w:rPr>
        <w:t>a</w:t>
      </w:r>
      <w:r w:rsidR="0038043A" w:rsidRPr="004B2A73">
        <w:rPr>
          <w:rFonts w:ascii="Calibri" w:hAnsi="Calibri"/>
          <w:sz w:val="24"/>
        </w:rPr>
        <w:t xml:space="preserve"> </w:t>
      </w:r>
      <w:r w:rsidR="00F61035" w:rsidRPr="004B2A73">
        <w:rPr>
          <w:rFonts w:ascii="Calibri" w:hAnsi="Calibri"/>
          <w:sz w:val="24"/>
        </w:rPr>
        <w:t>reversal of the 18 percent increase in 2010</w:t>
      </w:r>
      <w:r w:rsidRPr="004B2A73">
        <w:rPr>
          <w:rFonts w:ascii="Calibri" w:hAnsi="Calibri"/>
          <w:sz w:val="24"/>
        </w:rPr>
        <w:t>.</w:t>
      </w:r>
    </w:p>
    <w:p w14:paraId="7457CAA6" w14:textId="77777777" w:rsidR="00863A6B" w:rsidRPr="004B2A73" w:rsidRDefault="00863A6B" w:rsidP="00863A6B">
      <w:pPr>
        <w:pStyle w:val="ListParagraph"/>
        <w:spacing w:after="0"/>
        <w:ind w:left="0"/>
        <w:rPr>
          <w:rFonts w:ascii="Calibri" w:hAnsi="Calibri"/>
          <w:sz w:val="24"/>
        </w:rPr>
      </w:pPr>
    </w:p>
    <w:p w14:paraId="6706310C" w14:textId="687D0CD1" w:rsidR="00282365" w:rsidRPr="004B2A73" w:rsidRDefault="001A331F"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w:t>
      </w:r>
      <w:r w:rsidR="00403E25" w:rsidRPr="004B2A73">
        <w:rPr>
          <w:rFonts w:ascii="Calibri" w:hAnsi="Calibri"/>
          <w:b/>
          <w:sz w:val="24"/>
        </w:rPr>
        <w:t>ariff</w:t>
      </w:r>
      <w:r w:rsidR="00282365" w:rsidRPr="004B2A73">
        <w:rPr>
          <w:rFonts w:ascii="Calibri" w:hAnsi="Calibri"/>
          <w:b/>
          <w:sz w:val="24"/>
        </w:rPr>
        <w:t xml:space="preserve"> revisions do</w:t>
      </w:r>
      <w:r w:rsidR="00F61035" w:rsidRPr="004B2A73">
        <w:rPr>
          <w:rFonts w:ascii="Calibri" w:hAnsi="Calibri"/>
          <w:b/>
          <w:sz w:val="24"/>
        </w:rPr>
        <w:t xml:space="preserve"> </w:t>
      </w:r>
      <w:r w:rsidR="00282365" w:rsidRPr="004B2A73">
        <w:rPr>
          <w:rFonts w:ascii="Calibri" w:hAnsi="Calibri"/>
          <w:b/>
          <w:sz w:val="24"/>
        </w:rPr>
        <w:t xml:space="preserve">not </w:t>
      </w:r>
      <w:r w:rsidRPr="004B2A73">
        <w:rPr>
          <w:rFonts w:ascii="Calibri" w:hAnsi="Calibri"/>
          <w:b/>
          <w:sz w:val="24"/>
        </w:rPr>
        <w:t>always coincide with the timing of the</w:t>
      </w:r>
      <w:r w:rsidR="00282365" w:rsidRPr="004B2A73">
        <w:rPr>
          <w:rFonts w:ascii="Calibri" w:hAnsi="Calibri"/>
          <w:b/>
          <w:sz w:val="24"/>
        </w:rPr>
        <w:t xml:space="preserve"> container terminal concession</w:t>
      </w:r>
      <w:r w:rsidR="00572489" w:rsidRPr="004B2A73">
        <w:rPr>
          <w:rFonts w:ascii="Calibri" w:hAnsi="Calibri"/>
          <w:b/>
          <w:sz w:val="24"/>
        </w:rPr>
        <w:t>,</w:t>
      </w:r>
      <w:r w:rsidR="00F61035" w:rsidRPr="004B2A73">
        <w:rPr>
          <w:rFonts w:ascii="Calibri" w:hAnsi="Calibri"/>
          <w:b/>
          <w:sz w:val="24"/>
        </w:rPr>
        <w:t xml:space="preserve"> and the terminal operator </w:t>
      </w:r>
      <w:r w:rsidR="005F59DF" w:rsidRPr="004B2A73">
        <w:rPr>
          <w:rFonts w:ascii="Calibri" w:hAnsi="Calibri"/>
          <w:b/>
          <w:bCs/>
          <w:sz w:val="24"/>
        </w:rPr>
        <w:t>inherits</w:t>
      </w:r>
      <w:r w:rsidR="00282365" w:rsidRPr="004B2A73">
        <w:rPr>
          <w:rFonts w:ascii="Calibri" w:hAnsi="Calibri"/>
          <w:b/>
          <w:bCs/>
          <w:sz w:val="24"/>
        </w:rPr>
        <w:t xml:space="preserve"> the tariff structure and</w:t>
      </w:r>
      <w:r w:rsidR="00282365" w:rsidRPr="004B2A73">
        <w:rPr>
          <w:rFonts w:ascii="Calibri" w:hAnsi="Calibri"/>
          <w:sz w:val="24"/>
        </w:rPr>
        <w:t xml:space="preserve"> </w:t>
      </w:r>
      <w:r w:rsidR="00282365" w:rsidRPr="004B2A73">
        <w:rPr>
          <w:rFonts w:ascii="Calibri" w:hAnsi="Calibri"/>
          <w:b/>
          <w:bCs/>
          <w:sz w:val="24"/>
        </w:rPr>
        <w:t>level</w:t>
      </w:r>
      <w:r w:rsidR="00282365" w:rsidRPr="004B2A73">
        <w:rPr>
          <w:rFonts w:ascii="Calibri" w:hAnsi="Calibri"/>
          <w:sz w:val="24"/>
        </w:rPr>
        <w:t xml:space="preserve">. </w:t>
      </w:r>
      <w:r w:rsidRPr="004B2A73">
        <w:rPr>
          <w:rFonts w:ascii="Calibri" w:hAnsi="Calibri"/>
          <w:sz w:val="24"/>
        </w:rPr>
        <w:t xml:space="preserve">In the case of Dakar, tariffs were revised </w:t>
      </w:r>
      <w:r w:rsidR="00122A69" w:rsidRPr="004B2A73">
        <w:rPr>
          <w:rFonts w:ascii="Calibri" w:hAnsi="Calibri"/>
          <w:sz w:val="24"/>
        </w:rPr>
        <w:t xml:space="preserve">eight years after the concession </w:t>
      </w:r>
      <w:r w:rsidRPr="004B2A73">
        <w:rPr>
          <w:rFonts w:ascii="Calibri" w:hAnsi="Calibri"/>
          <w:sz w:val="24"/>
        </w:rPr>
        <w:t>was signed</w:t>
      </w:r>
      <w:r w:rsidR="00122A69" w:rsidRPr="004B2A73">
        <w:rPr>
          <w:rFonts w:ascii="Calibri" w:hAnsi="Calibri"/>
          <w:sz w:val="24"/>
        </w:rPr>
        <w:t xml:space="preserve"> (concession in 2007 and tariff revision in 2015) and six years </w:t>
      </w:r>
      <w:r w:rsidRPr="004B2A73">
        <w:rPr>
          <w:rFonts w:ascii="Calibri" w:hAnsi="Calibri"/>
          <w:sz w:val="24"/>
        </w:rPr>
        <w:t xml:space="preserve">later </w:t>
      </w:r>
      <w:r w:rsidR="00122A69" w:rsidRPr="004B2A73">
        <w:rPr>
          <w:rFonts w:ascii="Calibri" w:hAnsi="Calibri"/>
          <w:sz w:val="24"/>
        </w:rPr>
        <w:t xml:space="preserve">in </w:t>
      </w:r>
      <w:r w:rsidRPr="004B2A73">
        <w:rPr>
          <w:rFonts w:ascii="Calibri" w:hAnsi="Calibri"/>
          <w:sz w:val="24"/>
        </w:rPr>
        <w:t xml:space="preserve">the case of </w:t>
      </w:r>
      <w:r w:rsidR="00122A69" w:rsidRPr="004B2A73">
        <w:rPr>
          <w:rFonts w:ascii="Calibri" w:hAnsi="Calibri"/>
          <w:sz w:val="24"/>
        </w:rPr>
        <w:t>Abidjan</w:t>
      </w:r>
      <w:r w:rsidR="00282365" w:rsidRPr="004B2A73">
        <w:rPr>
          <w:rFonts w:ascii="Calibri" w:hAnsi="Calibri"/>
          <w:sz w:val="24"/>
        </w:rPr>
        <w:t xml:space="preserve"> (concession in 2004 and revision in 2010). In </w:t>
      </w:r>
      <w:r w:rsidR="00C922CA">
        <w:rPr>
          <w:rFonts w:ascii="Calibri" w:hAnsi="Calibri"/>
          <w:sz w:val="24"/>
        </w:rPr>
        <w:t>Lomé</w:t>
      </w:r>
      <w:r w:rsidR="00282365" w:rsidRPr="004B2A73">
        <w:rPr>
          <w:rFonts w:ascii="Calibri" w:hAnsi="Calibri"/>
          <w:sz w:val="24"/>
        </w:rPr>
        <w:t>, the tariff applied by SE2M and GETMA</w:t>
      </w:r>
      <w:r w:rsidR="00282365" w:rsidRPr="004B2A73">
        <w:rPr>
          <w:rFonts w:ascii="Calibri" w:hAnsi="Calibri"/>
          <w:sz w:val="24"/>
          <w:vertAlign w:val="superscript"/>
        </w:rPr>
        <w:footnoteReference w:id="44"/>
      </w:r>
      <w:r w:rsidR="00282365" w:rsidRPr="004B2A73">
        <w:rPr>
          <w:rFonts w:ascii="Calibri" w:hAnsi="Calibri"/>
          <w:sz w:val="24"/>
        </w:rPr>
        <w:t xml:space="preserve"> in 2008 is still applicable, after the concessions of LCT and Togo Terminal </w:t>
      </w:r>
      <w:r w:rsidR="00122A69" w:rsidRPr="004B2A73">
        <w:rPr>
          <w:rFonts w:ascii="Calibri" w:hAnsi="Calibri"/>
          <w:sz w:val="24"/>
        </w:rPr>
        <w:t xml:space="preserve">respectively at the </w:t>
      </w:r>
      <w:r w:rsidR="00282365" w:rsidRPr="004B2A73">
        <w:rPr>
          <w:rFonts w:ascii="Calibri" w:hAnsi="Calibri"/>
          <w:sz w:val="24"/>
        </w:rPr>
        <w:t xml:space="preserve">end of 2008 (but the terminal only </w:t>
      </w:r>
      <w:r w:rsidR="00282365" w:rsidRPr="004B2A73">
        <w:rPr>
          <w:rFonts w:ascii="Calibri" w:hAnsi="Calibri"/>
          <w:sz w:val="24"/>
        </w:rPr>
        <w:lastRenderedPageBreak/>
        <w:t>opened</w:t>
      </w:r>
      <w:r w:rsidR="00161D7A" w:rsidRPr="004B2A73">
        <w:rPr>
          <w:rFonts w:ascii="Calibri" w:hAnsi="Calibri"/>
          <w:sz w:val="24"/>
        </w:rPr>
        <w:t xml:space="preserve"> at the</w:t>
      </w:r>
      <w:r w:rsidR="00282365" w:rsidRPr="004B2A73">
        <w:rPr>
          <w:rFonts w:ascii="Calibri" w:hAnsi="Calibri"/>
          <w:sz w:val="24"/>
        </w:rPr>
        <w:t xml:space="preserve"> end of 2014) and 2010. In Cotonou, the concession was signed in 2009, before the update of the tariff, but the terminal opened only early 2013, while the next revision of the port tariffs took only place in 2015.</w:t>
      </w:r>
      <w:r w:rsidR="00EE0BC1" w:rsidRPr="004B2A73">
        <w:rPr>
          <w:rFonts w:ascii="Calibri" w:hAnsi="Calibri"/>
          <w:sz w:val="24"/>
        </w:rPr>
        <w:t xml:space="preserve">  In almost no case were operational efficiency improvements reflected in a decrease in tariffs to shippers. </w:t>
      </w:r>
    </w:p>
    <w:p w14:paraId="7394852E" w14:textId="77777777" w:rsidR="00863A6B" w:rsidRPr="004B2A73" w:rsidRDefault="00863A6B" w:rsidP="00863A6B">
      <w:pPr>
        <w:pStyle w:val="ListParagraph"/>
        <w:spacing w:after="0"/>
        <w:ind w:left="0"/>
        <w:rPr>
          <w:rFonts w:ascii="Calibri" w:hAnsi="Calibri"/>
          <w:sz w:val="24"/>
        </w:rPr>
      </w:pPr>
    </w:p>
    <w:p w14:paraId="23C61E2A" w14:textId="4E1E80A2" w:rsidR="00282365" w:rsidRDefault="00282365"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w:t>
      </w:r>
      <w:r w:rsidR="001A331F" w:rsidRPr="004B2A73">
        <w:rPr>
          <w:rFonts w:ascii="Calibri" w:hAnsi="Calibri"/>
          <w:b/>
          <w:sz w:val="24"/>
        </w:rPr>
        <w:t xml:space="preserve">he disconnect </w:t>
      </w:r>
      <w:r w:rsidRPr="004B2A73">
        <w:rPr>
          <w:rFonts w:ascii="Calibri" w:hAnsi="Calibri"/>
          <w:b/>
          <w:sz w:val="24"/>
        </w:rPr>
        <w:t>between costs and prices in container handling</w:t>
      </w:r>
      <w:r w:rsidR="007E56F9" w:rsidRPr="004B2A73">
        <w:rPr>
          <w:rFonts w:ascii="Calibri" w:hAnsi="Calibri"/>
          <w:b/>
          <w:sz w:val="24"/>
        </w:rPr>
        <w:t xml:space="preserve"> </w:t>
      </w:r>
      <w:r w:rsidRPr="004B2A73">
        <w:rPr>
          <w:rFonts w:ascii="Calibri" w:hAnsi="Calibri"/>
          <w:b/>
          <w:sz w:val="24"/>
        </w:rPr>
        <w:t xml:space="preserve">enables most </w:t>
      </w:r>
      <w:r w:rsidR="00897059" w:rsidRPr="004B2A73">
        <w:rPr>
          <w:rFonts w:ascii="Calibri" w:hAnsi="Calibri"/>
          <w:b/>
          <w:sz w:val="24"/>
        </w:rPr>
        <w:t>TOCs</w:t>
      </w:r>
      <w:r w:rsidRPr="004B2A73">
        <w:rPr>
          <w:rFonts w:ascii="Calibri" w:hAnsi="Calibri"/>
          <w:b/>
          <w:sz w:val="24"/>
        </w:rPr>
        <w:t xml:space="preserve"> to </w:t>
      </w:r>
      <w:r w:rsidR="0037150D" w:rsidRPr="004B2A73">
        <w:rPr>
          <w:rFonts w:ascii="Calibri" w:hAnsi="Calibri"/>
          <w:b/>
          <w:sz w:val="24"/>
        </w:rPr>
        <w:t xml:space="preserve">maintain </w:t>
      </w:r>
      <w:r w:rsidR="008D408F" w:rsidRPr="004B2A73">
        <w:rPr>
          <w:rFonts w:ascii="Calibri" w:hAnsi="Calibri"/>
          <w:b/>
          <w:sz w:val="24"/>
        </w:rPr>
        <w:t>special</w:t>
      </w:r>
      <w:r w:rsidR="00282DAE" w:rsidRPr="004B2A73">
        <w:rPr>
          <w:rFonts w:ascii="Calibri" w:hAnsi="Calibri"/>
          <w:b/>
          <w:sz w:val="24"/>
        </w:rPr>
        <w:t xml:space="preserve"> tariffs for </w:t>
      </w:r>
      <w:r w:rsidR="008D408F" w:rsidRPr="004B2A73">
        <w:rPr>
          <w:rFonts w:ascii="Calibri" w:hAnsi="Calibri"/>
          <w:b/>
          <w:sz w:val="24"/>
        </w:rPr>
        <w:t>special</w:t>
      </w:r>
      <w:r w:rsidR="0037150D" w:rsidRPr="004B2A73">
        <w:rPr>
          <w:rFonts w:ascii="Calibri" w:hAnsi="Calibri"/>
          <w:b/>
          <w:sz w:val="24"/>
        </w:rPr>
        <w:t xml:space="preserve"> types </w:t>
      </w:r>
      <w:r w:rsidR="00282DAE" w:rsidRPr="004B2A73">
        <w:rPr>
          <w:rFonts w:ascii="Calibri" w:hAnsi="Calibri"/>
          <w:b/>
          <w:sz w:val="24"/>
        </w:rPr>
        <w:t xml:space="preserve">of </w:t>
      </w:r>
      <w:r w:rsidRPr="004B2A73">
        <w:rPr>
          <w:rFonts w:ascii="Calibri" w:hAnsi="Calibri"/>
          <w:b/>
          <w:sz w:val="24"/>
        </w:rPr>
        <w:t>traffic</w:t>
      </w:r>
      <w:r w:rsidR="0037150D" w:rsidRPr="004B2A73">
        <w:rPr>
          <w:rFonts w:ascii="Calibri" w:hAnsi="Calibri"/>
          <w:b/>
          <w:sz w:val="24"/>
        </w:rPr>
        <w:t xml:space="preserve"> put in place by the public authorities</w:t>
      </w:r>
      <w:r w:rsidR="0037150D" w:rsidRPr="004B2A73">
        <w:rPr>
          <w:rFonts w:ascii="Calibri" w:hAnsi="Calibri"/>
          <w:sz w:val="24"/>
        </w:rPr>
        <w:t>.</w:t>
      </w:r>
      <w:r w:rsidRPr="004B2A73">
        <w:rPr>
          <w:rFonts w:ascii="Calibri" w:hAnsi="Calibri"/>
          <w:sz w:val="24"/>
        </w:rPr>
        <w:t xml:space="preserve"> </w:t>
      </w:r>
      <w:r w:rsidR="0037150D" w:rsidRPr="004B2A73">
        <w:rPr>
          <w:rFonts w:ascii="Calibri" w:hAnsi="Calibri"/>
          <w:sz w:val="24"/>
        </w:rPr>
        <w:t>Tariff differentiation serve</w:t>
      </w:r>
      <w:r w:rsidR="004922FC" w:rsidRPr="004B2A73">
        <w:rPr>
          <w:rFonts w:ascii="Calibri" w:hAnsi="Calibri"/>
          <w:sz w:val="24"/>
        </w:rPr>
        <w:t>s</w:t>
      </w:r>
      <w:r w:rsidR="0037150D" w:rsidRPr="004B2A73">
        <w:rPr>
          <w:rFonts w:ascii="Calibri" w:hAnsi="Calibri"/>
          <w:sz w:val="24"/>
        </w:rPr>
        <w:t xml:space="preserve"> several purposes: </w:t>
      </w:r>
      <w:r w:rsidRPr="004B2A73">
        <w:rPr>
          <w:rFonts w:ascii="Calibri" w:hAnsi="Calibri"/>
          <w:sz w:val="24"/>
        </w:rPr>
        <w:t xml:space="preserve">a strategic purpose (for instance, export containers are charged less than import containers to promote exports, which is also the case for </w:t>
      </w:r>
      <w:r w:rsidR="00161D7A" w:rsidRPr="004B2A73">
        <w:rPr>
          <w:rFonts w:ascii="Calibri" w:hAnsi="Calibri"/>
          <w:sz w:val="24"/>
        </w:rPr>
        <w:t xml:space="preserve">free </w:t>
      </w:r>
      <w:r w:rsidRPr="004B2A73">
        <w:rPr>
          <w:rFonts w:ascii="Calibri" w:hAnsi="Calibri"/>
          <w:sz w:val="24"/>
        </w:rPr>
        <w:t xml:space="preserve">zone containers in </w:t>
      </w:r>
      <w:r w:rsidR="00C922CA">
        <w:rPr>
          <w:rFonts w:ascii="Calibri" w:hAnsi="Calibri"/>
          <w:sz w:val="24"/>
        </w:rPr>
        <w:t>Lomé</w:t>
      </w:r>
      <w:r w:rsidRPr="004B2A73">
        <w:rPr>
          <w:rFonts w:ascii="Calibri" w:hAnsi="Calibri"/>
          <w:sz w:val="24"/>
        </w:rPr>
        <w:t>), a social purpose (certain commodities, such as rice or pharmaceuticals</w:t>
      </w:r>
      <w:r w:rsidR="00572489" w:rsidRPr="004B2A73">
        <w:rPr>
          <w:rFonts w:ascii="Calibri" w:hAnsi="Calibri"/>
          <w:sz w:val="24"/>
        </w:rPr>
        <w:t>, benefit from lower rates</w:t>
      </w:r>
      <w:r w:rsidRPr="004B2A73">
        <w:rPr>
          <w:rFonts w:ascii="Calibri" w:hAnsi="Calibri"/>
          <w:sz w:val="24"/>
        </w:rPr>
        <w:t xml:space="preserve">), </w:t>
      </w:r>
      <w:r w:rsidR="0037150D" w:rsidRPr="004B2A73">
        <w:rPr>
          <w:rFonts w:ascii="Calibri" w:hAnsi="Calibri"/>
          <w:sz w:val="24"/>
        </w:rPr>
        <w:t xml:space="preserve">and </w:t>
      </w:r>
      <w:r w:rsidRPr="004B2A73">
        <w:rPr>
          <w:rFonts w:ascii="Calibri" w:hAnsi="Calibri"/>
          <w:sz w:val="24"/>
        </w:rPr>
        <w:t>a marketing purpose (transit traffic with the landlocked countries</w:t>
      </w:r>
      <w:r w:rsidR="00282DAE" w:rsidRPr="004B2A73">
        <w:rPr>
          <w:rFonts w:ascii="Calibri" w:hAnsi="Calibri"/>
          <w:sz w:val="24"/>
        </w:rPr>
        <w:t xml:space="preserve"> is given discounted rates)</w:t>
      </w:r>
      <w:r w:rsidRPr="004B2A73">
        <w:rPr>
          <w:rFonts w:ascii="Calibri" w:hAnsi="Calibri"/>
          <w:sz w:val="24"/>
        </w:rPr>
        <w:t>. In the four ports</w:t>
      </w:r>
      <w:r w:rsidRPr="004B2A73">
        <w:rPr>
          <w:rFonts w:ascii="Calibri" w:hAnsi="Calibri"/>
          <w:sz w:val="24"/>
          <w:vertAlign w:val="superscript"/>
        </w:rPr>
        <w:footnoteReference w:id="45"/>
      </w:r>
      <w:r w:rsidRPr="004B2A73">
        <w:rPr>
          <w:rFonts w:ascii="Calibri" w:hAnsi="Calibri"/>
          <w:sz w:val="24"/>
        </w:rPr>
        <w:t xml:space="preserve"> illustrated in </w:t>
      </w:r>
      <w:r w:rsidR="003E1BFC" w:rsidRPr="004B2A73">
        <w:rPr>
          <w:rFonts w:ascii="Calibri" w:hAnsi="Calibri"/>
        </w:rPr>
        <w:fldChar w:fldCharType="begin"/>
      </w:r>
      <w:r w:rsidR="003E1BFC" w:rsidRPr="004B2A73">
        <w:rPr>
          <w:rFonts w:ascii="Calibri" w:hAnsi="Calibri"/>
        </w:rPr>
        <w:instrText xml:space="preserve"> REF _Ref433121150 \h  \* MERGEFORMAT </w:instrText>
      </w:r>
      <w:r w:rsidR="003E1BFC" w:rsidRPr="004B2A73">
        <w:rPr>
          <w:rFonts w:ascii="Calibri" w:hAnsi="Calibri"/>
        </w:rPr>
      </w:r>
      <w:r w:rsidR="003E1BFC" w:rsidRPr="004B2A73">
        <w:rPr>
          <w:rFonts w:ascii="Calibri" w:hAnsi="Calibri"/>
        </w:rPr>
        <w:fldChar w:fldCharType="separate"/>
      </w:r>
      <w:r w:rsidR="00212D01" w:rsidRPr="00212D01">
        <w:rPr>
          <w:rFonts w:ascii="Calibri" w:hAnsi="Calibri"/>
          <w:sz w:val="24"/>
        </w:rPr>
        <w:t xml:space="preserve">Figure </w:t>
      </w:r>
      <w:r w:rsidR="00212D01" w:rsidRPr="00212D01">
        <w:rPr>
          <w:rFonts w:ascii="Calibri" w:hAnsi="Calibri"/>
          <w:noProof/>
          <w:sz w:val="24"/>
        </w:rPr>
        <w:t>15</w:t>
      </w:r>
      <w:r w:rsidR="003E1BFC" w:rsidRPr="004B2A73">
        <w:rPr>
          <w:rFonts w:ascii="Calibri" w:hAnsi="Calibri"/>
        </w:rPr>
        <w:fldChar w:fldCharType="end"/>
      </w:r>
      <w:r w:rsidRPr="004B2A73">
        <w:rPr>
          <w:rFonts w:ascii="Calibri" w:hAnsi="Calibri"/>
          <w:sz w:val="24"/>
        </w:rPr>
        <w:t xml:space="preserve">, Abidjan and </w:t>
      </w:r>
      <w:r w:rsidR="00C922CA">
        <w:rPr>
          <w:rFonts w:ascii="Calibri" w:hAnsi="Calibri"/>
          <w:sz w:val="24"/>
        </w:rPr>
        <w:t>Lomé</w:t>
      </w:r>
      <w:r w:rsidRPr="004B2A73">
        <w:rPr>
          <w:rFonts w:ascii="Calibri" w:hAnsi="Calibri"/>
          <w:sz w:val="24"/>
        </w:rPr>
        <w:t xml:space="preserve"> have the widest range of special rates, with respectively 5 and 6 different rates, while Cotonou only discriminates between import and export containers</w:t>
      </w:r>
      <w:r w:rsidR="008D408F" w:rsidRPr="004B2A73">
        <w:rPr>
          <w:rFonts w:ascii="Calibri" w:hAnsi="Calibri"/>
          <w:sz w:val="24"/>
        </w:rPr>
        <w:t xml:space="preserve"> (the CFA rates have been converted into UD dollars at the prevailing rate of 590 F CFA per US$)</w:t>
      </w:r>
      <w:r w:rsidRPr="004B2A73">
        <w:rPr>
          <w:rFonts w:ascii="Calibri" w:hAnsi="Calibri"/>
          <w:sz w:val="24"/>
        </w:rPr>
        <w:t>. The level of concession rates var</w:t>
      </w:r>
      <w:r w:rsidR="005F59DF" w:rsidRPr="004B2A73">
        <w:rPr>
          <w:rFonts w:ascii="Calibri" w:hAnsi="Calibri"/>
          <w:sz w:val="24"/>
        </w:rPr>
        <w:t>ies</w:t>
      </w:r>
      <w:r w:rsidRPr="004B2A73">
        <w:rPr>
          <w:rFonts w:ascii="Calibri" w:hAnsi="Calibri"/>
          <w:sz w:val="24"/>
        </w:rPr>
        <w:t xml:space="preserve"> from one port to another, as illustrated in </w:t>
      </w:r>
      <w:r w:rsidR="003E1BFC" w:rsidRPr="004B2A73">
        <w:rPr>
          <w:rFonts w:ascii="Calibri" w:hAnsi="Calibri"/>
        </w:rPr>
        <w:fldChar w:fldCharType="begin"/>
      </w:r>
      <w:r w:rsidR="003E1BFC" w:rsidRPr="004B2A73">
        <w:rPr>
          <w:rFonts w:ascii="Calibri" w:hAnsi="Calibri"/>
        </w:rPr>
        <w:instrText xml:space="preserve"> REF _Ref433121949 \h  \* MERGEFORMAT </w:instrText>
      </w:r>
      <w:r w:rsidR="003E1BFC" w:rsidRPr="004B2A73">
        <w:rPr>
          <w:rFonts w:ascii="Calibri" w:hAnsi="Calibri"/>
        </w:rPr>
      </w:r>
      <w:r w:rsidR="003E1BFC" w:rsidRPr="004B2A73">
        <w:rPr>
          <w:rFonts w:ascii="Calibri" w:hAnsi="Calibri"/>
        </w:rPr>
        <w:fldChar w:fldCharType="separate"/>
      </w:r>
      <w:r w:rsidR="00212D01" w:rsidRPr="00212D01">
        <w:rPr>
          <w:rFonts w:ascii="Calibri" w:hAnsi="Calibri"/>
          <w:sz w:val="24"/>
        </w:rPr>
        <w:t xml:space="preserve">Figure </w:t>
      </w:r>
      <w:r w:rsidR="00212D01" w:rsidRPr="00212D01">
        <w:rPr>
          <w:rFonts w:ascii="Calibri" w:hAnsi="Calibri"/>
          <w:noProof/>
          <w:sz w:val="24"/>
        </w:rPr>
        <w:t>16</w:t>
      </w:r>
      <w:r w:rsidR="003E1BFC" w:rsidRPr="004B2A73">
        <w:rPr>
          <w:rFonts w:ascii="Calibri" w:hAnsi="Calibri"/>
        </w:rPr>
        <w:fldChar w:fldCharType="end"/>
      </w:r>
      <w:r w:rsidRPr="004B2A73">
        <w:rPr>
          <w:rFonts w:ascii="Calibri" w:hAnsi="Calibri"/>
          <w:sz w:val="24"/>
        </w:rPr>
        <w:t xml:space="preserve">. Abidjan has the most nuanced pricing, with concession rates for transit and special commodities, followed by </w:t>
      </w:r>
      <w:r w:rsidR="00C922CA">
        <w:rPr>
          <w:rFonts w:ascii="Calibri" w:hAnsi="Calibri"/>
          <w:sz w:val="24"/>
        </w:rPr>
        <w:t>Lomé</w:t>
      </w:r>
      <w:r w:rsidRPr="004B2A73">
        <w:rPr>
          <w:rFonts w:ascii="Calibri" w:hAnsi="Calibri"/>
          <w:sz w:val="24"/>
        </w:rPr>
        <w:t xml:space="preserve">. Cotonou and Dakar, on the other hand, focus their tariff concession rates respectively on export and special commodities. Although the </w:t>
      </w:r>
      <w:r w:rsidR="00572489" w:rsidRPr="004B2A73">
        <w:rPr>
          <w:rFonts w:ascii="Calibri" w:hAnsi="Calibri"/>
          <w:sz w:val="24"/>
        </w:rPr>
        <w:t xml:space="preserve">data </w:t>
      </w:r>
      <w:r w:rsidRPr="004B2A73">
        <w:rPr>
          <w:rFonts w:ascii="Calibri" w:hAnsi="Calibri"/>
          <w:sz w:val="24"/>
        </w:rPr>
        <w:t>in Dakar seem</w:t>
      </w:r>
      <w:r w:rsidR="00897059" w:rsidRPr="004B2A73">
        <w:rPr>
          <w:rFonts w:ascii="Calibri" w:hAnsi="Calibri"/>
          <w:sz w:val="24"/>
        </w:rPr>
        <w:t>s</w:t>
      </w:r>
      <w:r w:rsidRPr="004B2A73">
        <w:rPr>
          <w:rFonts w:ascii="Calibri" w:hAnsi="Calibri"/>
          <w:sz w:val="24"/>
        </w:rPr>
        <w:t xml:space="preserve"> to indicate that transit does not benefit from special rates, in practice it does because cotton benefits from the special export rate (even coming from Mali) and this is the main, if not only, transit export commodity. </w:t>
      </w:r>
    </w:p>
    <w:p w14:paraId="027FECD4" w14:textId="77777777" w:rsidR="00142615" w:rsidRPr="004B2A73" w:rsidRDefault="00142615" w:rsidP="00142615">
      <w:pPr>
        <w:pStyle w:val="ListParagraph"/>
        <w:spacing w:after="0"/>
        <w:ind w:left="0"/>
        <w:rPr>
          <w:rFonts w:ascii="Calibri" w:hAnsi="Calibri"/>
          <w:sz w:val="24"/>
        </w:rPr>
      </w:pPr>
    </w:p>
    <w:p w14:paraId="00AD4401" w14:textId="25B779D4" w:rsidR="00282365" w:rsidRPr="004B2A73" w:rsidRDefault="00282365" w:rsidP="00AF33A5">
      <w:pPr>
        <w:pStyle w:val="Caption"/>
        <w:rPr>
          <w:rFonts w:ascii="Calibri" w:hAnsi="Calibri"/>
        </w:rPr>
      </w:pPr>
      <w:bookmarkStart w:id="80" w:name="_Ref433121150"/>
      <w:bookmarkStart w:id="81" w:name="_Toc485377050"/>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15</w:t>
      </w:r>
      <w:r w:rsidR="00520B46" w:rsidRPr="004B2A73">
        <w:rPr>
          <w:rFonts w:ascii="Calibri" w:hAnsi="Calibri"/>
          <w:noProof/>
        </w:rPr>
        <w:fldChar w:fldCharType="end"/>
      </w:r>
      <w:bookmarkEnd w:id="80"/>
      <w:r w:rsidRPr="004B2A73">
        <w:rPr>
          <w:rFonts w:ascii="Calibri" w:hAnsi="Calibri"/>
        </w:rPr>
        <w:t xml:space="preserve">: Container handling in selected West Africa ports, in </w:t>
      </w:r>
      <w:r w:rsidR="0088652B">
        <w:rPr>
          <w:rFonts w:ascii="Calibri" w:hAnsi="Calibri"/>
        </w:rPr>
        <w:t>US$</w:t>
      </w:r>
      <w:bookmarkEnd w:id="81"/>
    </w:p>
    <w:p w14:paraId="12169CAE" w14:textId="77777777" w:rsidR="00282365" w:rsidRPr="004B2A73" w:rsidRDefault="00282365" w:rsidP="00966FA7">
      <w:pPr>
        <w:rPr>
          <w:rFonts w:ascii="Calibri" w:hAnsi="Calibri"/>
          <w:sz w:val="24"/>
          <w:szCs w:val="24"/>
        </w:rPr>
      </w:pPr>
      <w:r w:rsidRPr="004B2A73">
        <w:rPr>
          <w:rFonts w:ascii="Calibri" w:hAnsi="Calibri"/>
          <w:noProof/>
          <w:sz w:val="24"/>
          <w:szCs w:val="24"/>
        </w:rPr>
        <w:drawing>
          <wp:inline distT="0" distB="0" distL="0" distR="0" wp14:anchorId="2ECC2E11" wp14:editId="6A1006A8">
            <wp:extent cx="5791200" cy="14382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85802C" w14:textId="7D8DAE2A" w:rsidR="00282365" w:rsidRPr="004B2A73" w:rsidRDefault="00282365" w:rsidP="00AF33A5">
      <w:pPr>
        <w:pStyle w:val="Caption"/>
        <w:rPr>
          <w:rFonts w:ascii="Calibri" w:hAnsi="Calibri"/>
        </w:rPr>
      </w:pPr>
      <w:bookmarkStart w:id="82" w:name="_Ref433121949"/>
      <w:bookmarkStart w:id="83" w:name="_Toc485377051"/>
      <w:r w:rsidRPr="004B2A73">
        <w:rPr>
          <w:rFonts w:ascii="Calibri" w:hAnsi="Calibri"/>
        </w:rPr>
        <w:lastRenderedPageBreak/>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16</w:t>
      </w:r>
      <w:r w:rsidR="00520B46" w:rsidRPr="004B2A73">
        <w:rPr>
          <w:rFonts w:ascii="Calibri" w:hAnsi="Calibri"/>
          <w:noProof/>
        </w:rPr>
        <w:fldChar w:fldCharType="end"/>
      </w:r>
      <w:bookmarkEnd w:id="82"/>
      <w:r w:rsidRPr="004B2A73">
        <w:rPr>
          <w:rFonts w:ascii="Calibri" w:hAnsi="Calibri"/>
        </w:rPr>
        <w:t xml:space="preserve">: </w:t>
      </w:r>
      <w:r w:rsidR="00966FA7">
        <w:rPr>
          <w:rFonts w:ascii="Calibri" w:hAnsi="Calibri"/>
        </w:rPr>
        <w:t>Ratio for</w:t>
      </w:r>
      <w:r w:rsidRPr="004B2A73">
        <w:rPr>
          <w:rFonts w:ascii="Calibri" w:hAnsi="Calibri"/>
        </w:rPr>
        <w:t xml:space="preserve"> container </w:t>
      </w:r>
      <w:r w:rsidR="00966FA7">
        <w:rPr>
          <w:rFonts w:ascii="Calibri" w:hAnsi="Calibri"/>
        </w:rPr>
        <w:t xml:space="preserve">handling </w:t>
      </w:r>
      <w:r w:rsidRPr="004B2A73">
        <w:rPr>
          <w:rFonts w:ascii="Calibri" w:hAnsi="Calibri"/>
        </w:rPr>
        <w:t>concession</w:t>
      </w:r>
      <w:r w:rsidR="00966FA7">
        <w:rPr>
          <w:rFonts w:ascii="Calibri" w:hAnsi="Calibri"/>
        </w:rPr>
        <w:t>al</w:t>
      </w:r>
      <w:r w:rsidRPr="004B2A73">
        <w:rPr>
          <w:rFonts w:ascii="Calibri" w:hAnsi="Calibri"/>
        </w:rPr>
        <w:t xml:space="preserve"> rates in selected </w:t>
      </w:r>
      <w:r w:rsidR="00672679" w:rsidRPr="004B2A73">
        <w:rPr>
          <w:rFonts w:ascii="Calibri" w:hAnsi="Calibri"/>
        </w:rPr>
        <w:t>West Africa</w:t>
      </w:r>
      <w:r w:rsidRPr="004B2A73">
        <w:rPr>
          <w:rFonts w:ascii="Calibri" w:hAnsi="Calibri"/>
        </w:rPr>
        <w:t xml:space="preserve"> ports</w:t>
      </w:r>
      <w:bookmarkEnd w:id="83"/>
    </w:p>
    <w:p w14:paraId="0492CAD9" w14:textId="77777777" w:rsidR="00282365" w:rsidRPr="004B2A73" w:rsidRDefault="00282365" w:rsidP="002C2ECD">
      <w:pPr>
        <w:jc w:val="center"/>
        <w:rPr>
          <w:rFonts w:ascii="Calibri" w:hAnsi="Calibri"/>
          <w:sz w:val="24"/>
          <w:szCs w:val="24"/>
        </w:rPr>
      </w:pPr>
      <w:r w:rsidRPr="004B2A73">
        <w:rPr>
          <w:rFonts w:ascii="Calibri" w:hAnsi="Calibri"/>
          <w:noProof/>
          <w:sz w:val="24"/>
          <w:szCs w:val="24"/>
        </w:rPr>
        <w:drawing>
          <wp:inline distT="0" distB="0" distL="0" distR="0" wp14:anchorId="03DC5BFD" wp14:editId="6872DA75">
            <wp:extent cx="5667375" cy="1600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7C889C" w14:textId="77777777" w:rsidR="00863A6B" w:rsidRPr="004B2A73" w:rsidRDefault="00863A6B" w:rsidP="00142615">
      <w:pPr>
        <w:pStyle w:val="ListParagraph"/>
        <w:spacing w:after="0" w:line="240" w:lineRule="auto"/>
        <w:ind w:left="0"/>
        <w:contextualSpacing w:val="0"/>
        <w:rPr>
          <w:rFonts w:ascii="Calibri" w:hAnsi="Calibri"/>
          <w:sz w:val="24"/>
        </w:rPr>
      </w:pPr>
    </w:p>
    <w:p w14:paraId="5A9180EC" w14:textId="77777777" w:rsidR="00D23EC8" w:rsidRPr="004B2A73" w:rsidRDefault="00D23EC8" w:rsidP="00500800">
      <w:pPr>
        <w:pStyle w:val="Numbered"/>
        <w:spacing w:line="240" w:lineRule="auto"/>
        <w:ind w:left="0" w:firstLine="0"/>
        <w:contextualSpacing w:val="0"/>
        <w:jc w:val="both"/>
        <w:rPr>
          <w:rFonts w:ascii="Calibri" w:hAnsi="Calibri"/>
        </w:rPr>
      </w:pPr>
      <w:r w:rsidRPr="004B2A73">
        <w:rPr>
          <w:rFonts w:ascii="Calibri" w:hAnsi="Calibri"/>
          <w:b/>
        </w:rPr>
        <w:t xml:space="preserve">Tariffs levels and </w:t>
      </w:r>
      <w:r w:rsidR="00C47DD2" w:rsidRPr="004B2A73">
        <w:rPr>
          <w:rFonts w:ascii="Calibri" w:hAnsi="Calibri"/>
          <w:b/>
        </w:rPr>
        <w:t xml:space="preserve">throughput </w:t>
      </w:r>
      <w:r w:rsidRPr="004B2A73">
        <w:rPr>
          <w:rFonts w:ascii="Calibri" w:hAnsi="Calibri"/>
          <w:b/>
        </w:rPr>
        <w:t xml:space="preserve">volumes determine </w:t>
      </w:r>
      <w:r w:rsidR="00C47DD2" w:rsidRPr="004B2A73">
        <w:rPr>
          <w:rFonts w:ascii="Calibri" w:hAnsi="Calibri"/>
          <w:b/>
        </w:rPr>
        <w:t xml:space="preserve">cash flows available </w:t>
      </w:r>
      <w:r w:rsidR="006B5567" w:rsidRPr="004B2A73">
        <w:rPr>
          <w:rFonts w:ascii="Calibri" w:hAnsi="Calibri"/>
          <w:b/>
        </w:rPr>
        <w:t xml:space="preserve">to </w:t>
      </w:r>
      <w:r w:rsidR="00BE2A5B" w:rsidRPr="004B2A73">
        <w:rPr>
          <w:rFonts w:ascii="Calibri" w:hAnsi="Calibri"/>
          <w:b/>
        </w:rPr>
        <w:t xml:space="preserve">finance investments </w:t>
      </w:r>
      <w:r w:rsidR="00104EE9" w:rsidRPr="004B2A73">
        <w:rPr>
          <w:rFonts w:ascii="Calibri" w:hAnsi="Calibri"/>
          <w:b/>
        </w:rPr>
        <w:t>in the terminal</w:t>
      </w:r>
      <w:r w:rsidRPr="004B2A73">
        <w:rPr>
          <w:rFonts w:ascii="Calibri" w:hAnsi="Calibri"/>
          <w:b/>
        </w:rPr>
        <w:t xml:space="preserve">. </w:t>
      </w:r>
      <w:r w:rsidRPr="004B2A73">
        <w:rPr>
          <w:rFonts w:ascii="Calibri" w:hAnsi="Calibri"/>
        </w:rPr>
        <w:t>TOC</w:t>
      </w:r>
      <w:r w:rsidR="00572489" w:rsidRPr="004B2A73">
        <w:rPr>
          <w:rFonts w:ascii="Calibri" w:hAnsi="Calibri"/>
        </w:rPr>
        <w:t>s</w:t>
      </w:r>
      <w:r w:rsidRPr="004B2A73">
        <w:rPr>
          <w:rFonts w:ascii="Calibri" w:hAnsi="Calibri"/>
        </w:rPr>
        <w:t xml:space="preserve"> </w:t>
      </w:r>
      <w:r w:rsidR="00B76C14" w:rsidRPr="004B2A73">
        <w:rPr>
          <w:rFonts w:ascii="Calibri" w:hAnsi="Calibri"/>
        </w:rPr>
        <w:t>earn</w:t>
      </w:r>
      <w:r w:rsidRPr="004B2A73">
        <w:rPr>
          <w:rFonts w:ascii="Calibri" w:hAnsi="Calibri"/>
        </w:rPr>
        <w:t xml:space="preserve"> revenue</w:t>
      </w:r>
      <w:r w:rsidR="00B76C14" w:rsidRPr="004B2A73">
        <w:rPr>
          <w:rFonts w:ascii="Calibri" w:hAnsi="Calibri"/>
        </w:rPr>
        <w:t>s from</w:t>
      </w:r>
      <w:r w:rsidRPr="004B2A73">
        <w:rPr>
          <w:rFonts w:ascii="Calibri" w:hAnsi="Calibri"/>
        </w:rPr>
        <w:t xml:space="preserve"> shipping lines and shippers</w:t>
      </w:r>
      <w:r w:rsidR="00B76C14" w:rsidRPr="004B2A73">
        <w:rPr>
          <w:rFonts w:ascii="Calibri" w:hAnsi="Calibri"/>
        </w:rPr>
        <w:t xml:space="preserve"> by providing varied services</w:t>
      </w:r>
      <w:r w:rsidRPr="004B2A73">
        <w:rPr>
          <w:rFonts w:ascii="Calibri" w:hAnsi="Calibri"/>
        </w:rPr>
        <w:t xml:space="preserve">: for cargo handling and storage paid by the shipping lines (movements required to access the containers, the portion of cargo handling borne by the shipping line for loaded container, the handling of empty containers, and empty container storage), </w:t>
      </w:r>
      <w:r w:rsidR="00572489" w:rsidRPr="004B2A73">
        <w:rPr>
          <w:rFonts w:ascii="Calibri" w:hAnsi="Calibri"/>
        </w:rPr>
        <w:t xml:space="preserve">and </w:t>
      </w:r>
      <w:r w:rsidRPr="004B2A73">
        <w:rPr>
          <w:rFonts w:ascii="Calibri" w:hAnsi="Calibri"/>
        </w:rPr>
        <w:t>for cargo handling paid by the shippers (between ship and yard, between yard and vehicle or stripping area, and storage beyond grace period for loaded containers). A fuller picture, which include</w:t>
      </w:r>
      <w:r w:rsidR="007E063E" w:rsidRPr="004B2A73">
        <w:rPr>
          <w:rFonts w:ascii="Calibri" w:hAnsi="Calibri"/>
        </w:rPr>
        <w:t>s</w:t>
      </w:r>
      <w:r w:rsidRPr="004B2A73">
        <w:rPr>
          <w:rFonts w:ascii="Calibri" w:hAnsi="Calibri"/>
        </w:rPr>
        <w:t xml:space="preserve"> expenditure items for capital investment and operations of TOC</w:t>
      </w:r>
      <w:r w:rsidR="00572489" w:rsidRPr="004B2A73">
        <w:rPr>
          <w:rFonts w:ascii="Calibri" w:hAnsi="Calibri"/>
        </w:rPr>
        <w:t>s</w:t>
      </w:r>
      <w:r w:rsidRPr="004B2A73">
        <w:rPr>
          <w:rFonts w:ascii="Calibri" w:hAnsi="Calibri"/>
        </w:rPr>
        <w:t xml:space="preserve"> is illustrated in the table below.</w:t>
      </w:r>
    </w:p>
    <w:p w14:paraId="1B0BCF3C" w14:textId="77777777" w:rsidR="00D23EC8" w:rsidRPr="004B2A73" w:rsidRDefault="00D23EC8" w:rsidP="00D23EC8">
      <w:pPr>
        <w:pStyle w:val="Numbered"/>
        <w:numPr>
          <w:ilvl w:val="0"/>
          <w:numId w:val="0"/>
        </w:numPr>
        <w:rPr>
          <w:rFonts w:ascii="Calibri" w:hAnsi="Calibri"/>
        </w:rPr>
      </w:pPr>
    </w:p>
    <w:p w14:paraId="2F19F342" w14:textId="7C635080" w:rsidR="006856D7" w:rsidRPr="004B2A73" w:rsidRDefault="00975C05" w:rsidP="00AF33A5">
      <w:pPr>
        <w:pStyle w:val="Caption"/>
        <w:rPr>
          <w:rFonts w:ascii="Calibri" w:hAnsi="Calibri"/>
        </w:rPr>
      </w:pPr>
      <w:bookmarkStart w:id="84" w:name="_Toc485381922"/>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11</w:t>
      </w:r>
      <w:r w:rsidR="00811885" w:rsidRPr="004B2A73">
        <w:rPr>
          <w:rFonts w:ascii="Calibri" w:hAnsi="Calibri"/>
          <w:noProof/>
        </w:rPr>
        <w:fldChar w:fldCharType="end"/>
      </w:r>
      <w:r w:rsidRPr="004B2A73">
        <w:rPr>
          <w:rFonts w:ascii="Calibri" w:hAnsi="Calibri"/>
        </w:rPr>
        <w:t>: Expenditure and Revenue items for TOCs</w:t>
      </w:r>
      <w:bookmarkEnd w:id="84"/>
    </w:p>
    <w:tbl>
      <w:tblPr>
        <w:tblStyle w:val="ListTable4-Accent11"/>
        <w:tblW w:w="0" w:type="auto"/>
        <w:tblLook w:val="0220" w:firstRow="1" w:lastRow="0" w:firstColumn="0" w:lastColumn="0" w:noHBand="1" w:noVBand="0"/>
      </w:tblPr>
      <w:tblGrid>
        <w:gridCol w:w="2339"/>
        <w:gridCol w:w="1706"/>
        <w:gridCol w:w="2974"/>
        <w:gridCol w:w="2331"/>
      </w:tblGrid>
      <w:tr w:rsidR="006856D7" w:rsidRPr="004B2A73" w14:paraId="7D560984" w14:textId="77777777" w:rsidTr="00D30B2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45" w:type="dxa"/>
            <w:gridSpan w:val="2"/>
          </w:tcPr>
          <w:p w14:paraId="1196093D" w14:textId="77777777" w:rsidR="00D23EC8" w:rsidRPr="004B2A73" w:rsidRDefault="00D23EC8" w:rsidP="00672679">
            <w:pPr>
              <w:spacing w:before="100" w:beforeAutospacing="1" w:after="100" w:afterAutospacing="1"/>
              <w:jc w:val="center"/>
              <w:rPr>
                <w:rFonts w:ascii="Calibri" w:hAnsi="Calibri"/>
              </w:rPr>
            </w:pPr>
            <w:r w:rsidRPr="004B2A73">
              <w:rPr>
                <w:rFonts w:ascii="Calibri" w:hAnsi="Calibri"/>
              </w:rPr>
              <w:t>Revenue</w:t>
            </w:r>
          </w:p>
        </w:tc>
        <w:tc>
          <w:tcPr>
            <w:tcW w:w="5305" w:type="dxa"/>
            <w:gridSpan w:val="2"/>
          </w:tcPr>
          <w:p w14:paraId="43ED2FF8" w14:textId="77777777" w:rsidR="00D23EC8" w:rsidRPr="004B2A73" w:rsidRDefault="00D23EC8" w:rsidP="0067267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Expenditure</w:t>
            </w:r>
          </w:p>
        </w:tc>
      </w:tr>
      <w:tr w:rsidR="00672679" w:rsidRPr="004B2A73" w14:paraId="193EB9E0" w14:textId="77777777" w:rsidTr="00D30B29">
        <w:tc>
          <w:tcPr>
            <w:cnfStyle w:val="000010000000" w:firstRow="0" w:lastRow="0" w:firstColumn="0" w:lastColumn="0" w:oddVBand="1" w:evenVBand="0" w:oddHBand="0" w:evenHBand="0" w:firstRowFirstColumn="0" w:firstRowLastColumn="0" w:lastRowFirstColumn="0" w:lastRowLastColumn="0"/>
            <w:tcW w:w="2339" w:type="dxa"/>
            <w:vAlign w:val="center"/>
          </w:tcPr>
          <w:p w14:paraId="68B817A5" w14:textId="77777777" w:rsidR="00672679" w:rsidRPr="004B2A73" w:rsidRDefault="00672679" w:rsidP="00672679">
            <w:pPr>
              <w:spacing w:before="100" w:beforeAutospacing="1" w:after="100" w:afterAutospacing="1"/>
              <w:rPr>
                <w:rFonts w:ascii="Calibri" w:hAnsi="Calibri"/>
              </w:rPr>
            </w:pPr>
            <w:r w:rsidRPr="004B2A73">
              <w:rPr>
                <w:rFonts w:ascii="Calibri" w:hAnsi="Calibri"/>
              </w:rPr>
              <w:t>From shipping lines for handling and management of empty containers</w:t>
            </w:r>
          </w:p>
        </w:tc>
        <w:tc>
          <w:tcPr>
            <w:tcW w:w="1706" w:type="dxa"/>
            <w:vAlign w:val="center"/>
          </w:tcPr>
          <w:p w14:paraId="796FF72B" w14:textId="77777777" w:rsidR="00672679" w:rsidRPr="004B2A73" w:rsidRDefault="00672679" w:rsidP="0067267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From shippers for handling and storage</w:t>
            </w:r>
          </w:p>
        </w:tc>
        <w:tc>
          <w:tcPr>
            <w:cnfStyle w:val="000010000000" w:firstRow="0" w:lastRow="0" w:firstColumn="0" w:lastColumn="0" w:oddVBand="1" w:evenVBand="0" w:oddHBand="0" w:evenHBand="0" w:firstRowFirstColumn="0" w:firstRowLastColumn="0" w:lastRowFirstColumn="0" w:lastRowLastColumn="0"/>
            <w:tcW w:w="2974" w:type="dxa"/>
            <w:vAlign w:val="center"/>
          </w:tcPr>
          <w:p w14:paraId="576A31D8" w14:textId="77777777" w:rsidR="00672679" w:rsidRPr="004B2A73" w:rsidRDefault="00672679" w:rsidP="00D23EC8">
            <w:pPr>
              <w:spacing w:before="100" w:beforeAutospacing="1" w:after="100" w:afterAutospacing="1"/>
              <w:rPr>
                <w:rFonts w:ascii="Calibri" w:hAnsi="Calibri"/>
              </w:rPr>
            </w:pPr>
            <w:r w:rsidRPr="004B2A73">
              <w:rPr>
                <w:rFonts w:ascii="Calibri" w:hAnsi="Calibri"/>
              </w:rPr>
              <w:t>Capital:</w:t>
            </w:r>
          </w:p>
          <w:p w14:paraId="200703D0" w14:textId="77777777" w:rsidR="00672679" w:rsidRPr="004B2A73" w:rsidRDefault="00672679" w:rsidP="00E826B9">
            <w:pPr>
              <w:pStyle w:val="ListParagraph"/>
              <w:numPr>
                <w:ilvl w:val="0"/>
                <w:numId w:val="3"/>
              </w:numPr>
              <w:spacing w:before="100" w:beforeAutospacing="1" w:after="100" w:afterAutospacing="1"/>
              <w:rPr>
                <w:rFonts w:ascii="Calibri" w:hAnsi="Calibri"/>
              </w:rPr>
            </w:pPr>
            <w:r w:rsidRPr="004B2A73">
              <w:rPr>
                <w:rFonts w:ascii="Calibri" w:hAnsi="Calibri"/>
              </w:rPr>
              <w:t>Concession entry fees</w:t>
            </w:r>
          </w:p>
          <w:p w14:paraId="4829FBF5" w14:textId="77777777" w:rsidR="00672679" w:rsidRPr="004B2A73" w:rsidRDefault="00672679" w:rsidP="00E826B9">
            <w:pPr>
              <w:pStyle w:val="ListParagraph"/>
              <w:numPr>
                <w:ilvl w:val="0"/>
                <w:numId w:val="3"/>
              </w:numPr>
              <w:spacing w:before="100" w:beforeAutospacing="1" w:after="100" w:afterAutospacing="1"/>
              <w:rPr>
                <w:rFonts w:ascii="Calibri" w:hAnsi="Calibri"/>
              </w:rPr>
            </w:pPr>
            <w:r w:rsidRPr="004B2A73">
              <w:rPr>
                <w:rFonts w:ascii="Calibri" w:hAnsi="Calibri"/>
              </w:rPr>
              <w:t>Infrastructure</w:t>
            </w:r>
          </w:p>
          <w:p w14:paraId="0DB3C517" w14:textId="77777777" w:rsidR="00672679" w:rsidRPr="004B2A73" w:rsidRDefault="00672679" w:rsidP="00E826B9">
            <w:pPr>
              <w:pStyle w:val="ListParagraph"/>
              <w:numPr>
                <w:ilvl w:val="0"/>
                <w:numId w:val="3"/>
              </w:numPr>
              <w:spacing w:before="100" w:beforeAutospacing="1" w:after="100" w:afterAutospacing="1"/>
              <w:rPr>
                <w:rFonts w:ascii="Calibri" w:hAnsi="Calibri"/>
              </w:rPr>
            </w:pPr>
            <w:r w:rsidRPr="004B2A73">
              <w:rPr>
                <w:rFonts w:ascii="Calibri" w:hAnsi="Calibri"/>
              </w:rPr>
              <w:t>Handling equipment (STS, RTGs, etc.)</w:t>
            </w:r>
          </w:p>
        </w:tc>
        <w:tc>
          <w:tcPr>
            <w:tcW w:w="2331" w:type="dxa"/>
            <w:vAlign w:val="center"/>
          </w:tcPr>
          <w:p w14:paraId="449CCA16" w14:textId="77777777" w:rsidR="00672679" w:rsidRPr="004B2A73" w:rsidRDefault="00672679" w:rsidP="00D23E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Operational:</w:t>
            </w:r>
          </w:p>
          <w:p w14:paraId="4E0199D0" w14:textId="77777777" w:rsidR="00672679" w:rsidRPr="00D30B29" w:rsidRDefault="00672679" w:rsidP="00D30B2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rPr>
            </w:pPr>
            <w:r w:rsidRPr="00D30B29">
              <w:rPr>
                <w:rFonts w:ascii="Calibri" w:hAnsi="Calibri"/>
              </w:rPr>
              <w:t>Concession fees (variable and fixed)</w:t>
            </w:r>
          </w:p>
          <w:p w14:paraId="2E76A904" w14:textId="77777777" w:rsidR="00672679" w:rsidRPr="004B2A73" w:rsidRDefault="00672679" w:rsidP="0067267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Labor, power, maintenance, etc.</w:t>
            </w:r>
          </w:p>
        </w:tc>
      </w:tr>
    </w:tbl>
    <w:p w14:paraId="166D7B6D" w14:textId="77777777" w:rsidR="00D23EC8" w:rsidRPr="004B2A73" w:rsidRDefault="00D23EC8" w:rsidP="00D23EC8">
      <w:pPr>
        <w:rPr>
          <w:rFonts w:ascii="Calibri" w:hAnsi="Calibri"/>
        </w:rPr>
      </w:pPr>
    </w:p>
    <w:p w14:paraId="0124CF28" w14:textId="77777777" w:rsidR="00D23EC8" w:rsidRPr="004B2A73" w:rsidRDefault="00D23EC8" w:rsidP="00500800">
      <w:pPr>
        <w:pStyle w:val="Numbered"/>
        <w:spacing w:line="240" w:lineRule="auto"/>
        <w:ind w:left="0" w:firstLine="0"/>
        <w:contextualSpacing w:val="0"/>
        <w:jc w:val="both"/>
        <w:rPr>
          <w:rFonts w:ascii="Calibri" w:hAnsi="Calibri"/>
        </w:rPr>
      </w:pPr>
      <w:r w:rsidRPr="004B2A73">
        <w:rPr>
          <w:rFonts w:ascii="Calibri" w:hAnsi="Calibri"/>
          <w:b/>
        </w:rPr>
        <w:t xml:space="preserve">A very basic estimate of the total revenue of a typical TOC can be obtained by multiplying throughput by tariffs. </w:t>
      </w:r>
      <w:r w:rsidRPr="004B2A73">
        <w:rPr>
          <w:rFonts w:ascii="Calibri" w:hAnsi="Calibri"/>
        </w:rPr>
        <w:t>For the Abidjan container terminal</w:t>
      </w:r>
      <w:r w:rsidRPr="004B2A73">
        <w:rPr>
          <w:rStyle w:val="FootnoteReference"/>
          <w:rFonts w:ascii="Calibri" w:hAnsi="Calibri"/>
        </w:rPr>
        <w:footnoteReference w:id="46"/>
      </w:r>
      <w:r w:rsidRPr="004B2A73">
        <w:rPr>
          <w:rFonts w:ascii="Calibri" w:hAnsi="Calibri"/>
        </w:rPr>
        <w:t xml:space="preserve"> attempts to reconstruct the revenue derived from the container throughput, assuming no income from storage beyond the grace period. The reference year for the throughput and the tariffs is 2013, after the decrease of 20% accepted by the TOC on cargo handling tariffs. Tariffs in FCFA and Euros have been converted into dollars at the rate applicable then, i.e. $1 = FCFA 500 and €1 = $1.15. Handling tariffs differ according to nature of the cargo, weight of the container, and destination (transit or domestic)</w:t>
      </w:r>
      <w:r w:rsidR="00F81921" w:rsidRPr="004B2A73">
        <w:rPr>
          <w:rFonts w:ascii="Calibri" w:hAnsi="Calibri"/>
        </w:rPr>
        <w:t>; here</w:t>
      </w:r>
      <w:r w:rsidRPr="004B2A73">
        <w:rPr>
          <w:rFonts w:ascii="Calibri" w:hAnsi="Calibri"/>
        </w:rPr>
        <w:t xml:space="preserve"> the standard</w:t>
      </w:r>
      <w:r w:rsidR="00F81921" w:rsidRPr="004B2A73">
        <w:rPr>
          <w:rFonts w:ascii="Calibri" w:hAnsi="Calibri"/>
        </w:rPr>
        <w:t xml:space="preserve"> rate for a</w:t>
      </w:r>
      <w:r w:rsidRPr="004B2A73">
        <w:rPr>
          <w:rFonts w:ascii="Calibri" w:hAnsi="Calibri"/>
        </w:rPr>
        <w:t xml:space="preserve"> 20</w:t>
      </w:r>
      <w:r w:rsidR="00B14087" w:rsidRPr="004B2A73">
        <w:rPr>
          <w:rFonts w:ascii="Calibri" w:hAnsi="Calibri"/>
        </w:rPr>
        <w:t xml:space="preserve"> foot </w:t>
      </w:r>
      <w:r w:rsidR="00DA1A07" w:rsidRPr="004B2A73">
        <w:rPr>
          <w:rFonts w:ascii="Calibri" w:hAnsi="Calibri"/>
        </w:rPr>
        <w:t>c</w:t>
      </w:r>
      <w:r w:rsidRPr="004B2A73">
        <w:rPr>
          <w:rFonts w:ascii="Calibri" w:hAnsi="Calibri"/>
        </w:rPr>
        <w:t xml:space="preserve">ontainer has been </w:t>
      </w:r>
      <w:r w:rsidR="00F81921" w:rsidRPr="004B2A73">
        <w:rPr>
          <w:rFonts w:ascii="Calibri" w:hAnsi="Calibri"/>
        </w:rPr>
        <w:t xml:space="preserve">applied </w:t>
      </w:r>
      <w:r w:rsidRPr="004B2A73">
        <w:rPr>
          <w:rFonts w:ascii="Calibri" w:hAnsi="Calibri"/>
        </w:rPr>
        <w:t xml:space="preserve">(simulations using actual tariffs </w:t>
      </w:r>
      <w:r w:rsidR="00DA1A07" w:rsidRPr="004B2A73">
        <w:rPr>
          <w:rFonts w:ascii="Calibri" w:hAnsi="Calibri"/>
        </w:rPr>
        <w:t>when</w:t>
      </w:r>
      <w:r w:rsidRPr="004B2A73">
        <w:rPr>
          <w:rFonts w:ascii="Calibri" w:hAnsi="Calibri"/>
        </w:rPr>
        <w:t xml:space="preserve"> consignment level data was available show that using the standard rate actually provides a lower </w:t>
      </w:r>
      <w:r w:rsidR="00672679" w:rsidRPr="004B2A73">
        <w:rPr>
          <w:rFonts w:ascii="Calibri" w:hAnsi="Calibri"/>
        </w:rPr>
        <w:t xml:space="preserve">bracket </w:t>
      </w:r>
      <w:r w:rsidRPr="004B2A73">
        <w:rPr>
          <w:rFonts w:ascii="Calibri" w:hAnsi="Calibri"/>
        </w:rPr>
        <w:t>estimate of the revenue</w:t>
      </w:r>
      <w:r w:rsidR="00572489" w:rsidRPr="004B2A73">
        <w:rPr>
          <w:rFonts w:ascii="Calibri" w:hAnsi="Calibri"/>
        </w:rPr>
        <w:t>)</w:t>
      </w:r>
      <w:r w:rsidRPr="004B2A73">
        <w:rPr>
          <w:rFonts w:ascii="Calibri" w:hAnsi="Calibri"/>
        </w:rPr>
        <w:t>.</w:t>
      </w:r>
    </w:p>
    <w:p w14:paraId="7C2BDABD" w14:textId="77777777" w:rsidR="00D23EC8" w:rsidRPr="004B2A73" w:rsidRDefault="00D23EC8" w:rsidP="00D23EC8">
      <w:pPr>
        <w:pStyle w:val="Numbered"/>
        <w:numPr>
          <w:ilvl w:val="0"/>
          <w:numId w:val="0"/>
        </w:numPr>
        <w:rPr>
          <w:rFonts w:ascii="Calibri" w:hAnsi="Calibri"/>
        </w:rPr>
      </w:pPr>
    </w:p>
    <w:p w14:paraId="3973811E" w14:textId="03DD1374" w:rsidR="006856D7" w:rsidRPr="004B2A73" w:rsidRDefault="00975C05" w:rsidP="00AF33A5">
      <w:pPr>
        <w:pStyle w:val="Caption"/>
        <w:rPr>
          <w:rFonts w:ascii="Calibri" w:hAnsi="Calibri"/>
        </w:rPr>
      </w:pPr>
      <w:bookmarkStart w:id="85" w:name="_Ref448931615"/>
      <w:bookmarkStart w:id="86" w:name="_Toc485381923"/>
      <w:r w:rsidRPr="004B2A73">
        <w:rPr>
          <w:rFonts w:ascii="Calibri" w:hAnsi="Calibri"/>
        </w:rPr>
        <w:lastRenderedPageBreak/>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12</w:t>
      </w:r>
      <w:r w:rsidR="00811885" w:rsidRPr="004B2A73">
        <w:rPr>
          <w:rFonts w:ascii="Calibri" w:hAnsi="Calibri"/>
          <w:noProof/>
        </w:rPr>
        <w:fldChar w:fldCharType="end"/>
      </w:r>
      <w:bookmarkEnd w:id="85"/>
      <w:r w:rsidRPr="004B2A73">
        <w:rPr>
          <w:rFonts w:ascii="Calibri" w:hAnsi="Calibri"/>
        </w:rPr>
        <w:t>: Tentative estimate of the revenue for Abidjan Terminal</w:t>
      </w:r>
      <w:r w:rsidR="00672679" w:rsidRPr="004B2A73">
        <w:rPr>
          <w:rFonts w:ascii="Calibri" w:hAnsi="Calibri"/>
        </w:rPr>
        <w:t xml:space="preserve"> for the year 2013</w:t>
      </w:r>
      <w:r w:rsidRPr="004B2A73">
        <w:rPr>
          <w:rFonts w:ascii="Calibri" w:hAnsi="Calibri"/>
        </w:rPr>
        <w:t xml:space="preserve"> (USD)</w:t>
      </w:r>
      <w:bookmarkEnd w:id="86"/>
    </w:p>
    <w:tbl>
      <w:tblPr>
        <w:tblStyle w:val="GridTable5Dark-Accent11"/>
        <w:tblW w:w="9360" w:type="dxa"/>
        <w:tblLayout w:type="fixed"/>
        <w:tblLook w:val="04A0" w:firstRow="1" w:lastRow="0" w:firstColumn="1" w:lastColumn="0" w:noHBand="0" w:noVBand="1"/>
      </w:tblPr>
      <w:tblGrid>
        <w:gridCol w:w="1584"/>
        <w:gridCol w:w="1296"/>
        <w:gridCol w:w="1296"/>
        <w:gridCol w:w="1296"/>
        <w:gridCol w:w="1296"/>
        <w:gridCol w:w="1296"/>
        <w:gridCol w:w="1296"/>
      </w:tblGrid>
      <w:tr w:rsidR="00D23EC8" w:rsidRPr="004B2A73" w14:paraId="1A40067F" w14:textId="77777777" w:rsidTr="00D23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noWrap/>
            <w:hideMark/>
          </w:tcPr>
          <w:p w14:paraId="1F2D360A" w14:textId="77777777" w:rsidR="00D23EC8" w:rsidRPr="004B2A73" w:rsidRDefault="00D23EC8" w:rsidP="00D23EC8">
            <w:pPr>
              <w:spacing w:before="100" w:beforeAutospacing="1" w:after="100" w:afterAutospacing="1"/>
              <w:rPr>
                <w:rFonts w:ascii="Calibri" w:hAnsi="Calibri"/>
                <w:sz w:val="18"/>
                <w:szCs w:val="16"/>
              </w:rPr>
            </w:pPr>
          </w:p>
        </w:tc>
        <w:tc>
          <w:tcPr>
            <w:tcW w:w="1296" w:type="dxa"/>
            <w:noWrap/>
            <w:hideMark/>
          </w:tcPr>
          <w:p w14:paraId="247EE4D1" w14:textId="77777777" w:rsidR="00D23EC8" w:rsidRPr="004B2A73" w:rsidRDefault="00D23EC8" w:rsidP="00D23EC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TEUs 2013</w:t>
            </w:r>
          </w:p>
        </w:tc>
        <w:tc>
          <w:tcPr>
            <w:tcW w:w="1296" w:type="dxa"/>
            <w:noWrap/>
            <w:hideMark/>
          </w:tcPr>
          <w:p w14:paraId="331CEED5" w14:textId="77777777" w:rsidR="00D23EC8" w:rsidRPr="004B2A73" w:rsidRDefault="00D23EC8" w:rsidP="00D23EC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Paid by Ship per TEU</w:t>
            </w:r>
          </w:p>
        </w:tc>
        <w:tc>
          <w:tcPr>
            <w:tcW w:w="1296" w:type="dxa"/>
            <w:noWrap/>
            <w:hideMark/>
          </w:tcPr>
          <w:p w14:paraId="78033119" w14:textId="77777777" w:rsidR="00D23EC8" w:rsidRPr="004B2A73" w:rsidRDefault="00D23EC8" w:rsidP="00D23EC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Paid by shipper per TEU</w:t>
            </w:r>
          </w:p>
        </w:tc>
        <w:tc>
          <w:tcPr>
            <w:tcW w:w="1296" w:type="dxa"/>
            <w:noWrap/>
            <w:hideMark/>
          </w:tcPr>
          <w:p w14:paraId="2D7F967A" w14:textId="77777777" w:rsidR="00D23EC8" w:rsidRPr="004B2A73" w:rsidRDefault="00D23EC8" w:rsidP="00D23EC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Total paid by Ship</w:t>
            </w:r>
          </w:p>
        </w:tc>
        <w:tc>
          <w:tcPr>
            <w:tcW w:w="1296" w:type="dxa"/>
            <w:noWrap/>
            <w:hideMark/>
          </w:tcPr>
          <w:p w14:paraId="12BC8CAE" w14:textId="77777777" w:rsidR="00D23EC8" w:rsidRPr="004B2A73" w:rsidRDefault="00D23EC8" w:rsidP="00D23EC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Total paid by Shipper</w:t>
            </w:r>
          </w:p>
        </w:tc>
        <w:tc>
          <w:tcPr>
            <w:tcW w:w="1296" w:type="dxa"/>
            <w:noWrap/>
            <w:hideMark/>
          </w:tcPr>
          <w:p w14:paraId="666DB830" w14:textId="77777777" w:rsidR="00D23EC8" w:rsidRPr="004B2A73" w:rsidRDefault="00D23EC8" w:rsidP="00D23EC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Total revenue</w:t>
            </w:r>
          </w:p>
        </w:tc>
      </w:tr>
      <w:tr w:rsidR="00D23EC8" w:rsidRPr="004B2A73" w14:paraId="3285E843" w14:textId="77777777" w:rsidTr="00D23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noWrap/>
          </w:tcPr>
          <w:p w14:paraId="2545EFAF"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Inbound</w:t>
            </w:r>
          </w:p>
        </w:tc>
        <w:tc>
          <w:tcPr>
            <w:tcW w:w="1296" w:type="dxa"/>
            <w:noWrap/>
          </w:tcPr>
          <w:p w14:paraId="0708D33C"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tcPr>
          <w:p w14:paraId="789C6349"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tcPr>
          <w:p w14:paraId="2299D418"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tcPr>
          <w:p w14:paraId="026A57D7"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tcPr>
          <w:p w14:paraId="44B892A5"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tcPr>
          <w:p w14:paraId="77DE9EFB"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r>
      <w:tr w:rsidR="00D23EC8" w:rsidRPr="004B2A73" w14:paraId="4FECFF2A" w14:textId="77777777" w:rsidTr="00D23EC8">
        <w:tc>
          <w:tcPr>
            <w:cnfStyle w:val="001000000000" w:firstRow="0" w:lastRow="0" w:firstColumn="1" w:lastColumn="0" w:oddVBand="0" w:evenVBand="0" w:oddHBand="0" w:evenHBand="0" w:firstRowFirstColumn="0" w:firstRowLastColumn="0" w:lastRowFirstColumn="0" w:lastRowLastColumn="0"/>
            <w:tcW w:w="1584" w:type="dxa"/>
            <w:noWrap/>
            <w:hideMark/>
          </w:tcPr>
          <w:p w14:paraId="562C2D87"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Empty</w:t>
            </w:r>
          </w:p>
        </w:tc>
        <w:tc>
          <w:tcPr>
            <w:tcW w:w="1296" w:type="dxa"/>
            <w:noWrap/>
            <w:hideMark/>
          </w:tcPr>
          <w:p w14:paraId="77DB700D" w14:textId="3A1E21A0"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100,600</w:t>
            </w:r>
          </w:p>
        </w:tc>
        <w:tc>
          <w:tcPr>
            <w:tcW w:w="1296" w:type="dxa"/>
            <w:noWrap/>
            <w:hideMark/>
          </w:tcPr>
          <w:p w14:paraId="3866A506" w14:textId="7DB3D065"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$30</w:t>
            </w:r>
            <w:r w:rsidR="00D23EC8" w:rsidRPr="004B2A73">
              <w:rPr>
                <w:rFonts w:ascii="Calibri" w:hAnsi="Calibri"/>
                <w:sz w:val="18"/>
                <w:szCs w:val="16"/>
              </w:rPr>
              <w:t xml:space="preserve"> </w:t>
            </w:r>
          </w:p>
        </w:tc>
        <w:tc>
          <w:tcPr>
            <w:tcW w:w="1296" w:type="dxa"/>
            <w:noWrap/>
            <w:hideMark/>
          </w:tcPr>
          <w:p w14:paraId="54D5AC39" w14:textId="5D99D5AE"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$0</w:t>
            </w:r>
            <w:r w:rsidR="00D23EC8" w:rsidRPr="004B2A73">
              <w:rPr>
                <w:rFonts w:ascii="Calibri" w:hAnsi="Calibri"/>
                <w:sz w:val="18"/>
                <w:szCs w:val="16"/>
              </w:rPr>
              <w:t xml:space="preserve"> </w:t>
            </w:r>
          </w:p>
        </w:tc>
        <w:tc>
          <w:tcPr>
            <w:tcW w:w="1296" w:type="dxa"/>
            <w:noWrap/>
            <w:hideMark/>
          </w:tcPr>
          <w:p w14:paraId="243CE6C4" w14:textId="6A2DA3D4"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$3,018,000</w:t>
            </w:r>
            <w:r w:rsidR="00D23EC8" w:rsidRPr="004B2A73">
              <w:rPr>
                <w:rFonts w:ascii="Calibri" w:hAnsi="Calibri"/>
                <w:sz w:val="18"/>
                <w:szCs w:val="16"/>
              </w:rPr>
              <w:t xml:space="preserve"> </w:t>
            </w:r>
          </w:p>
        </w:tc>
        <w:tc>
          <w:tcPr>
            <w:tcW w:w="1296" w:type="dxa"/>
            <w:noWrap/>
            <w:hideMark/>
          </w:tcPr>
          <w:p w14:paraId="4F6DC1CC" w14:textId="77777777" w:rsidR="00D23EC8" w:rsidRPr="004B2A73" w:rsidRDefault="00D23EC8"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 xml:space="preserve">$0 </w:t>
            </w:r>
          </w:p>
        </w:tc>
        <w:tc>
          <w:tcPr>
            <w:tcW w:w="1296" w:type="dxa"/>
            <w:noWrap/>
            <w:hideMark/>
          </w:tcPr>
          <w:p w14:paraId="40B08BB9" w14:textId="59E36B20"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Pr>
                <w:rFonts w:ascii="Calibri" w:hAnsi="Calibri"/>
                <w:color w:val="000000"/>
                <w:sz w:val="18"/>
                <w:szCs w:val="16"/>
              </w:rPr>
              <w:t>$3,018,000</w:t>
            </w:r>
            <w:r w:rsidR="00D23EC8" w:rsidRPr="004B2A73">
              <w:rPr>
                <w:rFonts w:ascii="Calibri" w:hAnsi="Calibri"/>
                <w:color w:val="000000"/>
                <w:sz w:val="18"/>
                <w:szCs w:val="16"/>
              </w:rPr>
              <w:t xml:space="preserve"> </w:t>
            </w:r>
          </w:p>
        </w:tc>
      </w:tr>
      <w:tr w:rsidR="00D23EC8" w:rsidRPr="004B2A73" w14:paraId="78171461" w14:textId="77777777" w:rsidTr="00D23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noWrap/>
            <w:hideMark/>
          </w:tcPr>
          <w:p w14:paraId="5205C89F"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Full</w:t>
            </w:r>
          </w:p>
        </w:tc>
        <w:tc>
          <w:tcPr>
            <w:tcW w:w="1296" w:type="dxa"/>
            <w:noWrap/>
            <w:hideMark/>
          </w:tcPr>
          <w:p w14:paraId="42EE57D9" w14:textId="5AD50CB9"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169,800</w:t>
            </w:r>
          </w:p>
        </w:tc>
        <w:tc>
          <w:tcPr>
            <w:tcW w:w="1296" w:type="dxa"/>
            <w:noWrap/>
            <w:hideMark/>
          </w:tcPr>
          <w:p w14:paraId="4CAD02BD" w14:textId="68087CA5"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$60</w:t>
            </w:r>
            <w:r w:rsidR="00D23EC8" w:rsidRPr="004B2A73">
              <w:rPr>
                <w:rFonts w:ascii="Calibri" w:hAnsi="Calibri"/>
                <w:sz w:val="18"/>
                <w:szCs w:val="16"/>
              </w:rPr>
              <w:t xml:space="preserve"> </w:t>
            </w:r>
          </w:p>
        </w:tc>
        <w:tc>
          <w:tcPr>
            <w:tcW w:w="1296" w:type="dxa"/>
            <w:noWrap/>
            <w:hideMark/>
          </w:tcPr>
          <w:p w14:paraId="244EDD83" w14:textId="0E551EB9"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$341</w:t>
            </w:r>
            <w:r w:rsidR="00D23EC8" w:rsidRPr="004B2A73">
              <w:rPr>
                <w:rFonts w:ascii="Calibri" w:hAnsi="Calibri"/>
                <w:sz w:val="18"/>
                <w:szCs w:val="16"/>
              </w:rPr>
              <w:t xml:space="preserve"> </w:t>
            </w:r>
          </w:p>
        </w:tc>
        <w:tc>
          <w:tcPr>
            <w:tcW w:w="1296" w:type="dxa"/>
            <w:noWrap/>
            <w:hideMark/>
          </w:tcPr>
          <w:p w14:paraId="00949DB2" w14:textId="56259138"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$10,190,000</w:t>
            </w:r>
            <w:r w:rsidR="00D23EC8" w:rsidRPr="004B2A73">
              <w:rPr>
                <w:rFonts w:ascii="Calibri" w:hAnsi="Calibri"/>
                <w:sz w:val="18"/>
                <w:szCs w:val="16"/>
              </w:rPr>
              <w:t xml:space="preserve"> </w:t>
            </w:r>
          </w:p>
        </w:tc>
        <w:tc>
          <w:tcPr>
            <w:tcW w:w="1296" w:type="dxa"/>
            <w:noWrap/>
            <w:hideMark/>
          </w:tcPr>
          <w:p w14:paraId="6072647E" w14:textId="2A2B3004"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$57,877,000</w:t>
            </w:r>
            <w:r w:rsidR="00D23EC8" w:rsidRPr="004B2A73">
              <w:rPr>
                <w:rFonts w:ascii="Calibri" w:hAnsi="Calibri"/>
                <w:sz w:val="18"/>
                <w:szCs w:val="16"/>
              </w:rPr>
              <w:t xml:space="preserve"> </w:t>
            </w:r>
          </w:p>
        </w:tc>
        <w:tc>
          <w:tcPr>
            <w:tcW w:w="1296" w:type="dxa"/>
            <w:noWrap/>
            <w:hideMark/>
          </w:tcPr>
          <w:p w14:paraId="1F8623C6" w14:textId="35686FF2"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6"/>
              </w:rPr>
            </w:pPr>
            <w:r>
              <w:rPr>
                <w:rFonts w:ascii="Calibri" w:hAnsi="Calibri"/>
                <w:color w:val="000000"/>
                <w:sz w:val="18"/>
                <w:szCs w:val="16"/>
              </w:rPr>
              <w:t>$68,067,000</w:t>
            </w:r>
            <w:r w:rsidR="00D23EC8" w:rsidRPr="004B2A73">
              <w:rPr>
                <w:rFonts w:ascii="Calibri" w:hAnsi="Calibri"/>
                <w:color w:val="000000"/>
                <w:sz w:val="18"/>
                <w:szCs w:val="16"/>
              </w:rPr>
              <w:t xml:space="preserve"> </w:t>
            </w:r>
          </w:p>
        </w:tc>
      </w:tr>
      <w:tr w:rsidR="00D23EC8" w:rsidRPr="004B2A73" w14:paraId="3AE83672" w14:textId="77777777" w:rsidTr="00D23EC8">
        <w:tc>
          <w:tcPr>
            <w:cnfStyle w:val="001000000000" w:firstRow="0" w:lastRow="0" w:firstColumn="1" w:lastColumn="0" w:oddVBand="0" w:evenVBand="0" w:oddHBand="0" w:evenHBand="0" w:firstRowFirstColumn="0" w:firstRowLastColumn="0" w:lastRowFirstColumn="0" w:lastRowLastColumn="0"/>
            <w:tcW w:w="1584" w:type="dxa"/>
            <w:noWrap/>
            <w:hideMark/>
          </w:tcPr>
          <w:p w14:paraId="2875C8F2"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Transshipment</w:t>
            </w:r>
          </w:p>
        </w:tc>
        <w:tc>
          <w:tcPr>
            <w:tcW w:w="1296" w:type="dxa"/>
            <w:noWrap/>
            <w:hideMark/>
          </w:tcPr>
          <w:p w14:paraId="49AAC18F" w14:textId="4FB320E7"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57,700</w:t>
            </w:r>
          </w:p>
        </w:tc>
        <w:tc>
          <w:tcPr>
            <w:tcW w:w="1296" w:type="dxa"/>
            <w:noWrap/>
            <w:hideMark/>
          </w:tcPr>
          <w:p w14:paraId="36D05607" w14:textId="5F90F868"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$42</w:t>
            </w:r>
            <w:r w:rsidR="00D23EC8" w:rsidRPr="004B2A73">
              <w:rPr>
                <w:rFonts w:ascii="Calibri" w:hAnsi="Calibri"/>
                <w:sz w:val="18"/>
                <w:szCs w:val="16"/>
              </w:rPr>
              <w:t xml:space="preserve"> </w:t>
            </w:r>
          </w:p>
        </w:tc>
        <w:tc>
          <w:tcPr>
            <w:tcW w:w="1296" w:type="dxa"/>
            <w:noWrap/>
            <w:hideMark/>
          </w:tcPr>
          <w:p w14:paraId="71812487" w14:textId="552DEA69"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$183</w:t>
            </w:r>
            <w:r w:rsidR="00D23EC8" w:rsidRPr="004B2A73">
              <w:rPr>
                <w:rFonts w:ascii="Calibri" w:hAnsi="Calibri"/>
                <w:sz w:val="18"/>
                <w:szCs w:val="16"/>
              </w:rPr>
              <w:t xml:space="preserve"> </w:t>
            </w:r>
          </w:p>
        </w:tc>
        <w:tc>
          <w:tcPr>
            <w:tcW w:w="1296" w:type="dxa"/>
            <w:noWrap/>
            <w:hideMark/>
          </w:tcPr>
          <w:p w14:paraId="02635505" w14:textId="4FAFC60C"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$2,423,000</w:t>
            </w:r>
            <w:r w:rsidR="00D23EC8" w:rsidRPr="004B2A73">
              <w:rPr>
                <w:rFonts w:ascii="Calibri" w:hAnsi="Calibri"/>
                <w:sz w:val="18"/>
                <w:szCs w:val="16"/>
              </w:rPr>
              <w:t xml:space="preserve"> </w:t>
            </w:r>
          </w:p>
        </w:tc>
        <w:tc>
          <w:tcPr>
            <w:tcW w:w="1296" w:type="dxa"/>
            <w:noWrap/>
            <w:hideMark/>
          </w:tcPr>
          <w:p w14:paraId="37C14B9A" w14:textId="6DB63106"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$10,533,000</w:t>
            </w:r>
            <w:r w:rsidR="00D23EC8" w:rsidRPr="004B2A73">
              <w:rPr>
                <w:rFonts w:ascii="Calibri" w:hAnsi="Calibri"/>
                <w:sz w:val="18"/>
                <w:szCs w:val="16"/>
              </w:rPr>
              <w:t xml:space="preserve"> </w:t>
            </w:r>
          </w:p>
        </w:tc>
        <w:tc>
          <w:tcPr>
            <w:tcW w:w="1296" w:type="dxa"/>
            <w:noWrap/>
            <w:hideMark/>
          </w:tcPr>
          <w:p w14:paraId="0D7E21ED" w14:textId="60B5AA8A"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Pr>
                <w:rFonts w:ascii="Calibri" w:hAnsi="Calibri"/>
                <w:color w:val="000000"/>
                <w:sz w:val="18"/>
                <w:szCs w:val="16"/>
              </w:rPr>
              <w:t>$12,956,000</w:t>
            </w:r>
            <w:r w:rsidR="00D23EC8" w:rsidRPr="004B2A73">
              <w:rPr>
                <w:rFonts w:ascii="Calibri" w:hAnsi="Calibri"/>
                <w:color w:val="000000"/>
                <w:sz w:val="18"/>
                <w:szCs w:val="16"/>
              </w:rPr>
              <w:t xml:space="preserve"> </w:t>
            </w:r>
          </w:p>
        </w:tc>
      </w:tr>
      <w:tr w:rsidR="00D23EC8" w:rsidRPr="004B2A73" w14:paraId="6148DDED" w14:textId="77777777" w:rsidTr="00D23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noWrap/>
            <w:hideMark/>
          </w:tcPr>
          <w:p w14:paraId="797D99D6"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Out</w:t>
            </w:r>
          </w:p>
        </w:tc>
        <w:tc>
          <w:tcPr>
            <w:tcW w:w="1296" w:type="dxa"/>
            <w:noWrap/>
            <w:hideMark/>
          </w:tcPr>
          <w:p w14:paraId="6283B28E"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7165EFB0"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6EA927AC"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6A63F1AF"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173BBEB0"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6A0F1FEE"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6"/>
              </w:rPr>
            </w:pPr>
          </w:p>
        </w:tc>
      </w:tr>
      <w:tr w:rsidR="00D23EC8" w:rsidRPr="004B2A73" w14:paraId="5F552ACB" w14:textId="77777777" w:rsidTr="00D23EC8">
        <w:tc>
          <w:tcPr>
            <w:cnfStyle w:val="001000000000" w:firstRow="0" w:lastRow="0" w:firstColumn="1" w:lastColumn="0" w:oddVBand="0" w:evenVBand="0" w:oddHBand="0" w:evenHBand="0" w:firstRowFirstColumn="0" w:firstRowLastColumn="0" w:lastRowFirstColumn="0" w:lastRowLastColumn="0"/>
            <w:tcW w:w="1584" w:type="dxa"/>
            <w:noWrap/>
            <w:hideMark/>
          </w:tcPr>
          <w:p w14:paraId="4376BF97"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Empty</w:t>
            </w:r>
          </w:p>
        </w:tc>
        <w:tc>
          <w:tcPr>
            <w:tcW w:w="1296" w:type="dxa"/>
            <w:noWrap/>
            <w:hideMark/>
          </w:tcPr>
          <w:p w14:paraId="3DA0CC50" w14:textId="049F2D09"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80,700</w:t>
            </w:r>
          </w:p>
        </w:tc>
        <w:tc>
          <w:tcPr>
            <w:tcW w:w="1296" w:type="dxa"/>
            <w:noWrap/>
            <w:hideMark/>
          </w:tcPr>
          <w:p w14:paraId="5CCAE557" w14:textId="18E0105E"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$30</w:t>
            </w:r>
            <w:r w:rsidR="00D23EC8" w:rsidRPr="004B2A73">
              <w:rPr>
                <w:rFonts w:ascii="Calibri" w:hAnsi="Calibri"/>
                <w:sz w:val="18"/>
                <w:szCs w:val="16"/>
              </w:rPr>
              <w:t xml:space="preserve"> </w:t>
            </w:r>
          </w:p>
        </w:tc>
        <w:tc>
          <w:tcPr>
            <w:tcW w:w="1296" w:type="dxa"/>
            <w:noWrap/>
            <w:hideMark/>
          </w:tcPr>
          <w:p w14:paraId="6ECD10FF" w14:textId="0F9C6DD4"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$0</w:t>
            </w:r>
            <w:r w:rsidR="00D23EC8" w:rsidRPr="004B2A73">
              <w:rPr>
                <w:rFonts w:ascii="Calibri" w:hAnsi="Calibri"/>
                <w:sz w:val="18"/>
                <w:szCs w:val="16"/>
              </w:rPr>
              <w:t xml:space="preserve"> </w:t>
            </w:r>
          </w:p>
        </w:tc>
        <w:tc>
          <w:tcPr>
            <w:tcW w:w="1296" w:type="dxa"/>
            <w:noWrap/>
            <w:hideMark/>
          </w:tcPr>
          <w:p w14:paraId="4C11F109" w14:textId="04BDC677"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$2,421,000</w:t>
            </w:r>
            <w:r w:rsidR="00D23EC8" w:rsidRPr="004B2A73">
              <w:rPr>
                <w:rFonts w:ascii="Calibri" w:hAnsi="Calibri"/>
                <w:sz w:val="18"/>
                <w:szCs w:val="16"/>
              </w:rPr>
              <w:t xml:space="preserve"> </w:t>
            </w:r>
          </w:p>
        </w:tc>
        <w:tc>
          <w:tcPr>
            <w:tcW w:w="1296" w:type="dxa"/>
            <w:noWrap/>
            <w:hideMark/>
          </w:tcPr>
          <w:p w14:paraId="6758BD69" w14:textId="77777777" w:rsidR="00D23EC8" w:rsidRPr="004B2A73" w:rsidRDefault="00D23EC8"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 xml:space="preserve">$0 </w:t>
            </w:r>
          </w:p>
        </w:tc>
        <w:tc>
          <w:tcPr>
            <w:tcW w:w="1296" w:type="dxa"/>
            <w:noWrap/>
            <w:hideMark/>
          </w:tcPr>
          <w:p w14:paraId="52674880" w14:textId="049A9313"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Pr>
                <w:rFonts w:ascii="Calibri" w:hAnsi="Calibri"/>
                <w:color w:val="000000"/>
                <w:sz w:val="18"/>
                <w:szCs w:val="16"/>
              </w:rPr>
              <w:t>$2,421,000</w:t>
            </w:r>
            <w:r w:rsidR="00D23EC8" w:rsidRPr="004B2A73">
              <w:rPr>
                <w:rFonts w:ascii="Calibri" w:hAnsi="Calibri"/>
                <w:color w:val="000000"/>
                <w:sz w:val="18"/>
                <w:szCs w:val="16"/>
              </w:rPr>
              <w:t xml:space="preserve"> </w:t>
            </w:r>
          </w:p>
        </w:tc>
      </w:tr>
      <w:tr w:rsidR="00D23EC8" w:rsidRPr="004B2A73" w14:paraId="1D0DD4D7" w14:textId="77777777" w:rsidTr="00D23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noWrap/>
            <w:hideMark/>
          </w:tcPr>
          <w:p w14:paraId="615794D9"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Full</w:t>
            </w:r>
          </w:p>
        </w:tc>
        <w:tc>
          <w:tcPr>
            <w:tcW w:w="1296" w:type="dxa"/>
            <w:noWrap/>
            <w:hideMark/>
          </w:tcPr>
          <w:p w14:paraId="77F62045" w14:textId="0930CE00"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181,400</w:t>
            </w:r>
          </w:p>
        </w:tc>
        <w:tc>
          <w:tcPr>
            <w:tcW w:w="1296" w:type="dxa"/>
            <w:noWrap/>
            <w:hideMark/>
          </w:tcPr>
          <w:p w14:paraId="3840F64C" w14:textId="0C09003E"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$60</w:t>
            </w:r>
            <w:r w:rsidR="00D23EC8" w:rsidRPr="004B2A73">
              <w:rPr>
                <w:rFonts w:ascii="Calibri" w:hAnsi="Calibri"/>
                <w:sz w:val="18"/>
                <w:szCs w:val="16"/>
              </w:rPr>
              <w:t xml:space="preserve"> </w:t>
            </w:r>
          </w:p>
        </w:tc>
        <w:tc>
          <w:tcPr>
            <w:tcW w:w="1296" w:type="dxa"/>
            <w:noWrap/>
            <w:hideMark/>
          </w:tcPr>
          <w:p w14:paraId="2F358592" w14:textId="32D42956"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$253</w:t>
            </w:r>
            <w:r w:rsidR="00D23EC8" w:rsidRPr="004B2A73">
              <w:rPr>
                <w:rFonts w:ascii="Calibri" w:hAnsi="Calibri"/>
                <w:sz w:val="18"/>
                <w:szCs w:val="16"/>
              </w:rPr>
              <w:t xml:space="preserve"> </w:t>
            </w:r>
          </w:p>
        </w:tc>
        <w:tc>
          <w:tcPr>
            <w:tcW w:w="1296" w:type="dxa"/>
            <w:noWrap/>
            <w:hideMark/>
          </w:tcPr>
          <w:p w14:paraId="33520237" w14:textId="29D408EB"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$10,886,000</w:t>
            </w:r>
            <w:r w:rsidR="00D23EC8" w:rsidRPr="004B2A73">
              <w:rPr>
                <w:rFonts w:ascii="Calibri" w:hAnsi="Calibri"/>
                <w:sz w:val="18"/>
                <w:szCs w:val="16"/>
              </w:rPr>
              <w:t xml:space="preserve"> </w:t>
            </w:r>
          </w:p>
        </w:tc>
        <w:tc>
          <w:tcPr>
            <w:tcW w:w="1296" w:type="dxa"/>
            <w:noWrap/>
            <w:hideMark/>
          </w:tcPr>
          <w:p w14:paraId="6C2BB917" w14:textId="7A096BBD"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$45,904,000</w:t>
            </w:r>
            <w:r w:rsidR="00D23EC8" w:rsidRPr="004B2A73">
              <w:rPr>
                <w:rFonts w:ascii="Calibri" w:hAnsi="Calibri"/>
                <w:sz w:val="18"/>
                <w:szCs w:val="16"/>
              </w:rPr>
              <w:t xml:space="preserve"> </w:t>
            </w:r>
          </w:p>
        </w:tc>
        <w:tc>
          <w:tcPr>
            <w:tcW w:w="1296" w:type="dxa"/>
            <w:noWrap/>
            <w:hideMark/>
          </w:tcPr>
          <w:p w14:paraId="6468A1A3" w14:textId="11A67042" w:rsidR="00D23EC8" w:rsidRPr="004B2A73" w:rsidRDefault="0021434A"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6"/>
              </w:rPr>
            </w:pPr>
            <w:r>
              <w:rPr>
                <w:rFonts w:ascii="Calibri" w:hAnsi="Calibri"/>
                <w:color w:val="000000"/>
                <w:sz w:val="18"/>
                <w:szCs w:val="16"/>
              </w:rPr>
              <w:t>$56,791,000</w:t>
            </w:r>
            <w:r w:rsidR="00D23EC8" w:rsidRPr="004B2A73">
              <w:rPr>
                <w:rFonts w:ascii="Calibri" w:hAnsi="Calibri"/>
                <w:color w:val="000000"/>
                <w:sz w:val="18"/>
                <w:szCs w:val="16"/>
              </w:rPr>
              <w:t xml:space="preserve"> </w:t>
            </w:r>
          </w:p>
        </w:tc>
      </w:tr>
      <w:tr w:rsidR="00D23EC8" w:rsidRPr="004B2A73" w14:paraId="7D45F3F0" w14:textId="77777777" w:rsidTr="00D23EC8">
        <w:tc>
          <w:tcPr>
            <w:cnfStyle w:val="001000000000" w:firstRow="0" w:lastRow="0" w:firstColumn="1" w:lastColumn="0" w:oddVBand="0" w:evenVBand="0" w:oddHBand="0" w:evenHBand="0" w:firstRowFirstColumn="0" w:firstRowLastColumn="0" w:lastRowFirstColumn="0" w:lastRowLastColumn="0"/>
            <w:tcW w:w="1584" w:type="dxa"/>
            <w:noWrap/>
            <w:hideMark/>
          </w:tcPr>
          <w:p w14:paraId="36AB01CA"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Transshipment</w:t>
            </w:r>
          </w:p>
        </w:tc>
        <w:tc>
          <w:tcPr>
            <w:tcW w:w="1296" w:type="dxa"/>
            <w:noWrap/>
            <w:hideMark/>
          </w:tcPr>
          <w:p w14:paraId="59707960" w14:textId="2A1B5B56"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Cs/>
                <w:sz w:val="18"/>
                <w:szCs w:val="16"/>
              </w:rPr>
            </w:pPr>
            <w:r>
              <w:rPr>
                <w:rFonts w:ascii="Calibri" w:hAnsi="Calibri"/>
                <w:iCs/>
                <w:sz w:val="18"/>
                <w:szCs w:val="16"/>
              </w:rPr>
              <w:t>59,600</w:t>
            </w:r>
          </w:p>
        </w:tc>
        <w:tc>
          <w:tcPr>
            <w:tcW w:w="1296" w:type="dxa"/>
            <w:noWrap/>
            <w:hideMark/>
          </w:tcPr>
          <w:p w14:paraId="4AED2D4B" w14:textId="30E9F0A6"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$42</w:t>
            </w:r>
            <w:r w:rsidR="00D23EC8" w:rsidRPr="004B2A73">
              <w:rPr>
                <w:rFonts w:ascii="Calibri" w:hAnsi="Calibri"/>
                <w:sz w:val="18"/>
                <w:szCs w:val="16"/>
              </w:rPr>
              <w:t xml:space="preserve"> </w:t>
            </w:r>
          </w:p>
        </w:tc>
        <w:tc>
          <w:tcPr>
            <w:tcW w:w="1296" w:type="dxa"/>
            <w:noWrap/>
            <w:hideMark/>
          </w:tcPr>
          <w:p w14:paraId="07EF72C9" w14:textId="44B7FE90"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$135</w:t>
            </w:r>
            <w:r w:rsidR="00D23EC8" w:rsidRPr="004B2A73">
              <w:rPr>
                <w:rFonts w:ascii="Calibri" w:hAnsi="Calibri"/>
                <w:sz w:val="18"/>
                <w:szCs w:val="16"/>
              </w:rPr>
              <w:t xml:space="preserve"> </w:t>
            </w:r>
          </w:p>
        </w:tc>
        <w:tc>
          <w:tcPr>
            <w:tcW w:w="1296" w:type="dxa"/>
            <w:noWrap/>
            <w:hideMark/>
          </w:tcPr>
          <w:p w14:paraId="08134903" w14:textId="6A71C87A"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$2,503,000</w:t>
            </w:r>
            <w:r w:rsidR="00D23EC8" w:rsidRPr="004B2A73">
              <w:rPr>
                <w:rFonts w:ascii="Calibri" w:hAnsi="Calibri"/>
                <w:sz w:val="18"/>
                <w:szCs w:val="16"/>
              </w:rPr>
              <w:t xml:space="preserve"> </w:t>
            </w:r>
          </w:p>
        </w:tc>
        <w:tc>
          <w:tcPr>
            <w:tcW w:w="1296" w:type="dxa"/>
            <w:noWrap/>
            <w:hideMark/>
          </w:tcPr>
          <w:p w14:paraId="66E4B036" w14:textId="1A4EB9A5" w:rsidR="00D23EC8" w:rsidRPr="004B2A73" w:rsidRDefault="00D23EC8"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4B2A73">
              <w:rPr>
                <w:rFonts w:ascii="Calibri" w:hAnsi="Calibri"/>
                <w:sz w:val="18"/>
                <w:szCs w:val="16"/>
              </w:rPr>
              <w:t>$8,05</w:t>
            </w:r>
            <w:r w:rsidR="0021434A">
              <w:rPr>
                <w:rFonts w:ascii="Calibri" w:hAnsi="Calibri"/>
                <w:sz w:val="18"/>
                <w:szCs w:val="16"/>
              </w:rPr>
              <w:t>0,000</w:t>
            </w:r>
            <w:r w:rsidRPr="004B2A73">
              <w:rPr>
                <w:rFonts w:ascii="Calibri" w:hAnsi="Calibri"/>
                <w:sz w:val="18"/>
                <w:szCs w:val="16"/>
              </w:rPr>
              <w:t xml:space="preserve"> </w:t>
            </w:r>
          </w:p>
        </w:tc>
        <w:tc>
          <w:tcPr>
            <w:tcW w:w="1296" w:type="dxa"/>
            <w:noWrap/>
            <w:hideMark/>
          </w:tcPr>
          <w:p w14:paraId="6E48E354" w14:textId="29B5CC4C"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Pr>
                <w:rFonts w:ascii="Calibri" w:hAnsi="Calibri"/>
                <w:color w:val="000000"/>
                <w:sz w:val="18"/>
                <w:szCs w:val="16"/>
              </w:rPr>
              <w:t>$10,553,000</w:t>
            </w:r>
            <w:r w:rsidR="00D23EC8" w:rsidRPr="004B2A73">
              <w:rPr>
                <w:rFonts w:ascii="Calibri" w:hAnsi="Calibri"/>
                <w:color w:val="000000"/>
                <w:sz w:val="18"/>
                <w:szCs w:val="16"/>
              </w:rPr>
              <w:t xml:space="preserve"> </w:t>
            </w:r>
          </w:p>
        </w:tc>
      </w:tr>
      <w:tr w:rsidR="00D23EC8" w:rsidRPr="004B2A73" w14:paraId="2639ABF8" w14:textId="77777777" w:rsidTr="00D23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noWrap/>
            <w:hideMark/>
          </w:tcPr>
          <w:p w14:paraId="7FAC4A13"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Total</w:t>
            </w:r>
          </w:p>
        </w:tc>
        <w:tc>
          <w:tcPr>
            <w:tcW w:w="1296" w:type="dxa"/>
            <w:noWrap/>
            <w:hideMark/>
          </w:tcPr>
          <w:p w14:paraId="0FA2BFE7"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71A8C447"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727EBCF2"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03237226"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01DED461"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1296" w:type="dxa"/>
            <w:noWrap/>
            <w:hideMark/>
          </w:tcPr>
          <w:p w14:paraId="5C864609" w14:textId="77777777" w:rsidR="00D23EC8" w:rsidRPr="004B2A73" w:rsidRDefault="00D23EC8" w:rsidP="00D23EC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6"/>
              </w:rPr>
            </w:pPr>
          </w:p>
        </w:tc>
      </w:tr>
      <w:tr w:rsidR="00D23EC8" w:rsidRPr="004B2A73" w14:paraId="43FA20EF" w14:textId="77777777" w:rsidTr="00D23EC8">
        <w:tc>
          <w:tcPr>
            <w:cnfStyle w:val="001000000000" w:firstRow="0" w:lastRow="0" w:firstColumn="1" w:lastColumn="0" w:oddVBand="0" w:evenVBand="0" w:oddHBand="0" w:evenHBand="0" w:firstRowFirstColumn="0" w:firstRowLastColumn="0" w:lastRowFirstColumn="0" w:lastRowLastColumn="0"/>
            <w:tcW w:w="1584" w:type="dxa"/>
            <w:noWrap/>
            <w:hideMark/>
          </w:tcPr>
          <w:p w14:paraId="0D872017" w14:textId="77777777" w:rsidR="00D23EC8" w:rsidRPr="004B2A73" w:rsidRDefault="00D23EC8" w:rsidP="00D23EC8">
            <w:pPr>
              <w:spacing w:before="100" w:beforeAutospacing="1" w:after="100" w:afterAutospacing="1"/>
              <w:rPr>
                <w:rFonts w:ascii="Calibri" w:hAnsi="Calibri"/>
                <w:sz w:val="18"/>
                <w:szCs w:val="16"/>
              </w:rPr>
            </w:pPr>
            <w:r w:rsidRPr="004B2A73">
              <w:rPr>
                <w:rFonts w:ascii="Calibri" w:hAnsi="Calibri"/>
                <w:sz w:val="18"/>
                <w:szCs w:val="16"/>
              </w:rPr>
              <w:t>All</w:t>
            </w:r>
          </w:p>
        </w:tc>
        <w:tc>
          <w:tcPr>
            <w:tcW w:w="1296" w:type="dxa"/>
            <w:noWrap/>
            <w:hideMark/>
          </w:tcPr>
          <w:p w14:paraId="13E6C16A" w14:textId="0431157B"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b/>
                <w:sz w:val="18"/>
                <w:szCs w:val="16"/>
              </w:rPr>
            </w:pPr>
            <w:r>
              <w:rPr>
                <w:rFonts w:ascii="Calibri" w:hAnsi="Calibri"/>
                <w:b/>
                <w:sz w:val="18"/>
                <w:szCs w:val="16"/>
              </w:rPr>
              <w:t>649,800</w:t>
            </w:r>
          </w:p>
        </w:tc>
        <w:tc>
          <w:tcPr>
            <w:tcW w:w="1296" w:type="dxa"/>
            <w:noWrap/>
            <w:hideMark/>
          </w:tcPr>
          <w:p w14:paraId="1696B5AF" w14:textId="77777777" w:rsidR="00D23EC8" w:rsidRPr="004B2A73" w:rsidRDefault="00D23EC8"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b/>
                <w:sz w:val="18"/>
                <w:szCs w:val="16"/>
              </w:rPr>
            </w:pPr>
          </w:p>
        </w:tc>
        <w:tc>
          <w:tcPr>
            <w:tcW w:w="1296" w:type="dxa"/>
            <w:noWrap/>
            <w:hideMark/>
          </w:tcPr>
          <w:p w14:paraId="2EC4BA90" w14:textId="77777777" w:rsidR="00D23EC8" w:rsidRPr="004B2A73" w:rsidRDefault="00D23EC8"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b/>
                <w:sz w:val="18"/>
                <w:szCs w:val="16"/>
              </w:rPr>
            </w:pPr>
          </w:p>
        </w:tc>
        <w:tc>
          <w:tcPr>
            <w:tcW w:w="1296" w:type="dxa"/>
            <w:noWrap/>
            <w:hideMark/>
          </w:tcPr>
          <w:p w14:paraId="4C3604CC" w14:textId="3FBD6C56"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b/>
                <w:sz w:val="18"/>
                <w:szCs w:val="16"/>
              </w:rPr>
            </w:pPr>
            <w:r>
              <w:rPr>
                <w:rFonts w:ascii="Calibri" w:hAnsi="Calibri"/>
                <w:b/>
                <w:sz w:val="18"/>
                <w:szCs w:val="16"/>
              </w:rPr>
              <w:t>$31,441,000</w:t>
            </w:r>
            <w:r w:rsidR="00D23EC8" w:rsidRPr="004B2A73">
              <w:rPr>
                <w:rFonts w:ascii="Calibri" w:hAnsi="Calibri"/>
                <w:b/>
                <w:sz w:val="18"/>
                <w:szCs w:val="16"/>
              </w:rPr>
              <w:t xml:space="preserve"> </w:t>
            </w:r>
          </w:p>
        </w:tc>
        <w:tc>
          <w:tcPr>
            <w:tcW w:w="1296" w:type="dxa"/>
            <w:noWrap/>
            <w:hideMark/>
          </w:tcPr>
          <w:p w14:paraId="4F62E1D2" w14:textId="6D27180E"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b/>
                <w:sz w:val="18"/>
                <w:szCs w:val="16"/>
              </w:rPr>
            </w:pPr>
            <w:r>
              <w:rPr>
                <w:rFonts w:ascii="Calibri" w:hAnsi="Calibri"/>
                <w:b/>
                <w:sz w:val="18"/>
                <w:szCs w:val="16"/>
              </w:rPr>
              <w:t>$122,364,000</w:t>
            </w:r>
            <w:r w:rsidR="00D23EC8" w:rsidRPr="004B2A73">
              <w:rPr>
                <w:rFonts w:ascii="Calibri" w:hAnsi="Calibri"/>
                <w:b/>
                <w:sz w:val="18"/>
                <w:szCs w:val="16"/>
              </w:rPr>
              <w:t xml:space="preserve"> </w:t>
            </w:r>
          </w:p>
        </w:tc>
        <w:tc>
          <w:tcPr>
            <w:tcW w:w="1296" w:type="dxa"/>
            <w:noWrap/>
            <w:hideMark/>
          </w:tcPr>
          <w:p w14:paraId="1F7E1BB8" w14:textId="50050693" w:rsidR="00D23EC8" w:rsidRPr="004B2A73" w:rsidRDefault="0021434A" w:rsidP="00D23EC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Pr>
                <w:rFonts w:ascii="Calibri" w:hAnsi="Calibri"/>
                <w:b/>
                <w:color w:val="000000"/>
                <w:sz w:val="18"/>
                <w:szCs w:val="16"/>
              </w:rPr>
              <w:t>$153,806,000</w:t>
            </w:r>
            <w:r w:rsidR="00D23EC8" w:rsidRPr="004B2A73">
              <w:rPr>
                <w:rFonts w:ascii="Calibri" w:hAnsi="Calibri"/>
                <w:b/>
                <w:color w:val="000000"/>
                <w:sz w:val="18"/>
                <w:szCs w:val="16"/>
              </w:rPr>
              <w:t xml:space="preserve"> </w:t>
            </w:r>
          </w:p>
        </w:tc>
      </w:tr>
    </w:tbl>
    <w:p w14:paraId="6DCE486A" w14:textId="77777777" w:rsidR="00D23EC8" w:rsidRPr="004B2A73" w:rsidRDefault="00D23EC8" w:rsidP="00D23EC8">
      <w:pPr>
        <w:rPr>
          <w:rFonts w:ascii="Calibri" w:hAnsi="Calibri"/>
        </w:rPr>
      </w:pPr>
      <w:r w:rsidRPr="004B2A73">
        <w:rPr>
          <w:rFonts w:ascii="Calibri" w:hAnsi="Calibri"/>
        </w:rPr>
        <w:t>Source: Port Authority of Abidjan for throughput 2013, FEDERMAR tariffs, authors’ calculations</w:t>
      </w:r>
    </w:p>
    <w:p w14:paraId="1DBCF150" w14:textId="77777777" w:rsidR="00D23EC8" w:rsidRDefault="00D23EC8" w:rsidP="00500800">
      <w:pPr>
        <w:pStyle w:val="Numbered"/>
        <w:spacing w:line="240" w:lineRule="auto"/>
        <w:ind w:left="0" w:firstLine="0"/>
        <w:contextualSpacing w:val="0"/>
        <w:jc w:val="both"/>
        <w:rPr>
          <w:rFonts w:ascii="Calibri" w:hAnsi="Calibri"/>
        </w:rPr>
      </w:pPr>
      <w:r w:rsidRPr="004B2A73">
        <w:rPr>
          <w:rFonts w:ascii="Calibri" w:hAnsi="Calibri"/>
          <w:b/>
        </w:rPr>
        <w:t xml:space="preserve">The expenditure part is far more difficult to assess. </w:t>
      </w:r>
      <w:r w:rsidRPr="004B2A73">
        <w:rPr>
          <w:rFonts w:ascii="Calibri" w:hAnsi="Calibri"/>
        </w:rPr>
        <w:t>To set an order of magnitude for the capital investments, a standard STS costs around $7 million, and a typical RTG around $2 million. In terms of operational expenditure, information on the concession fees (fixed and variable) for Abidjan is also public</w:t>
      </w:r>
      <w:r w:rsidR="00572489" w:rsidRPr="004B2A73">
        <w:rPr>
          <w:rFonts w:ascii="Calibri" w:hAnsi="Calibri"/>
        </w:rPr>
        <w:t>:</w:t>
      </w:r>
      <w:r w:rsidRPr="004B2A73">
        <w:rPr>
          <w:rFonts w:ascii="Calibri" w:hAnsi="Calibri"/>
        </w:rPr>
        <w:t xml:space="preserve"> €12 per loaded TEU and €4 per transshipment TEU. In addition to the variable concession fee, a fixed annual lease of €22 per sq. m is applicable, i.e. $860,000 for a 34ha yard. The calculations are in the table below. The figures for the other operational expenses are unknown. </w:t>
      </w:r>
    </w:p>
    <w:p w14:paraId="748245A1" w14:textId="77777777" w:rsidR="00142615" w:rsidRPr="004B2A73" w:rsidRDefault="00142615" w:rsidP="00142615">
      <w:pPr>
        <w:pStyle w:val="Numbered"/>
        <w:numPr>
          <w:ilvl w:val="0"/>
          <w:numId w:val="0"/>
        </w:numPr>
        <w:spacing w:line="240" w:lineRule="auto"/>
        <w:contextualSpacing w:val="0"/>
        <w:rPr>
          <w:rFonts w:ascii="Calibri" w:hAnsi="Calibri"/>
        </w:rPr>
      </w:pPr>
    </w:p>
    <w:p w14:paraId="44B61AD6" w14:textId="77BD4147" w:rsidR="007E4EB3" w:rsidRPr="004B2A73" w:rsidRDefault="00975C05" w:rsidP="00AF33A5">
      <w:pPr>
        <w:pStyle w:val="Caption"/>
        <w:rPr>
          <w:rFonts w:ascii="Calibri" w:hAnsi="Calibri"/>
        </w:rPr>
      </w:pPr>
      <w:bookmarkStart w:id="87" w:name="_Toc485381924"/>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13</w:t>
      </w:r>
      <w:r w:rsidR="00811885" w:rsidRPr="004B2A73">
        <w:rPr>
          <w:rFonts w:ascii="Calibri" w:hAnsi="Calibri"/>
          <w:noProof/>
        </w:rPr>
        <w:fldChar w:fldCharType="end"/>
      </w:r>
      <w:r w:rsidRPr="004B2A73">
        <w:rPr>
          <w:rFonts w:ascii="Calibri" w:hAnsi="Calibri"/>
        </w:rPr>
        <w:t>: Estimated concession fee (variable) for Abidjan Terminal</w:t>
      </w:r>
      <w:bookmarkEnd w:id="87"/>
    </w:p>
    <w:tbl>
      <w:tblPr>
        <w:tblStyle w:val="GridTable5Dark-Accent11"/>
        <w:tblW w:w="0" w:type="auto"/>
        <w:tblLook w:val="04A0" w:firstRow="1" w:lastRow="0" w:firstColumn="1" w:lastColumn="0" w:noHBand="0" w:noVBand="1"/>
      </w:tblPr>
      <w:tblGrid>
        <w:gridCol w:w="1456"/>
        <w:gridCol w:w="1074"/>
        <w:gridCol w:w="1206"/>
        <w:gridCol w:w="1255"/>
      </w:tblGrid>
      <w:tr w:rsidR="00D23EC8" w:rsidRPr="004B2A73" w14:paraId="4942CA03" w14:textId="77777777" w:rsidTr="001F4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306C92" w14:textId="77777777" w:rsidR="00D23EC8" w:rsidRPr="004B2A73" w:rsidRDefault="00D23EC8" w:rsidP="00B805F9">
            <w:pPr>
              <w:spacing w:before="100" w:beforeAutospacing="1" w:after="100" w:afterAutospacing="1"/>
              <w:jc w:val="center"/>
              <w:rPr>
                <w:rFonts w:ascii="Calibri" w:hAnsi="Calibri"/>
                <w:sz w:val="20"/>
                <w:szCs w:val="20"/>
              </w:rPr>
            </w:pPr>
          </w:p>
        </w:tc>
        <w:tc>
          <w:tcPr>
            <w:tcW w:w="0" w:type="auto"/>
          </w:tcPr>
          <w:p w14:paraId="71C1D4EF" w14:textId="77777777" w:rsidR="00D23EC8" w:rsidRPr="004B2A73" w:rsidRDefault="00D23EC8" w:rsidP="00B805F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TEUs 2013</w:t>
            </w:r>
          </w:p>
        </w:tc>
        <w:tc>
          <w:tcPr>
            <w:tcW w:w="0" w:type="auto"/>
          </w:tcPr>
          <w:p w14:paraId="3412C1FF" w14:textId="77777777" w:rsidR="00D23EC8" w:rsidRPr="004B2A73" w:rsidRDefault="003F2F61" w:rsidP="00AA09F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Fee per TEU</w:t>
            </w:r>
          </w:p>
        </w:tc>
        <w:tc>
          <w:tcPr>
            <w:tcW w:w="0" w:type="auto"/>
          </w:tcPr>
          <w:p w14:paraId="4EA92023" w14:textId="77777777" w:rsidR="00D23EC8" w:rsidRPr="004B2A73" w:rsidRDefault="003F2F61" w:rsidP="003F2F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 xml:space="preserve">Total Fee </w:t>
            </w:r>
          </w:p>
        </w:tc>
      </w:tr>
      <w:tr w:rsidR="00D23EC8" w:rsidRPr="004B2A73" w14:paraId="1342DD8A" w14:textId="77777777" w:rsidTr="001F4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4CB321"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Inbound</w:t>
            </w:r>
          </w:p>
        </w:tc>
        <w:tc>
          <w:tcPr>
            <w:tcW w:w="0" w:type="auto"/>
          </w:tcPr>
          <w:p w14:paraId="7380AAE3"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0" w:type="auto"/>
          </w:tcPr>
          <w:p w14:paraId="2A28C59F"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0" w:type="auto"/>
          </w:tcPr>
          <w:p w14:paraId="793221AD"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D23EC8" w:rsidRPr="004B2A73" w14:paraId="7D5089A9" w14:textId="77777777" w:rsidTr="001F43E7">
        <w:tc>
          <w:tcPr>
            <w:cnfStyle w:val="001000000000" w:firstRow="0" w:lastRow="0" w:firstColumn="1" w:lastColumn="0" w:oddVBand="0" w:evenVBand="0" w:oddHBand="0" w:evenHBand="0" w:firstRowFirstColumn="0" w:firstRowLastColumn="0" w:lastRowFirstColumn="0" w:lastRowLastColumn="0"/>
            <w:tcW w:w="0" w:type="auto"/>
          </w:tcPr>
          <w:p w14:paraId="0739BBFF"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Empty</w:t>
            </w:r>
          </w:p>
        </w:tc>
        <w:tc>
          <w:tcPr>
            <w:tcW w:w="0" w:type="auto"/>
          </w:tcPr>
          <w:p w14:paraId="4CEDD657" w14:textId="726BDB18" w:rsidR="00D23EC8" w:rsidRPr="004B2A73" w:rsidRDefault="0021434A"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100,600</w:t>
            </w:r>
          </w:p>
        </w:tc>
        <w:tc>
          <w:tcPr>
            <w:tcW w:w="0" w:type="auto"/>
          </w:tcPr>
          <w:p w14:paraId="5B44A3FE" w14:textId="77777777" w:rsidR="00D23EC8" w:rsidRPr="004B2A73" w:rsidRDefault="00D23EC8"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$0.00</w:t>
            </w:r>
          </w:p>
        </w:tc>
        <w:tc>
          <w:tcPr>
            <w:tcW w:w="0" w:type="auto"/>
          </w:tcPr>
          <w:p w14:paraId="73541FB0" w14:textId="77777777" w:rsidR="00D23EC8" w:rsidRPr="004B2A73" w:rsidRDefault="00D23EC8"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$0</w:t>
            </w:r>
          </w:p>
        </w:tc>
      </w:tr>
      <w:tr w:rsidR="00D23EC8" w:rsidRPr="004B2A73" w14:paraId="0165B8CB" w14:textId="77777777" w:rsidTr="001F4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BE19CC"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Full</w:t>
            </w:r>
          </w:p>
        </w:tc>
        <w:tc>
          <w:tcPr>
            <w:tcW w:w="0" w:type="auto"/>
          </w:tcPr>
          <w:p w14:paraId="38F07543" w14:textId="588573CA" w:rsidR="00D23EC8" w:rsidRPr="004B2A73" w:rsidRDefault="0021434A"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169,800</w:t>
            </w:r>
          </w:p>
        </w:tc>
        <w:tc>
          <w:tcPr>
            <w:tcW w:w="0" w:type="auto"/>
          </w:tcPr>
          <w:p w14:paraId="7BCF501F"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($13.80)</w:t>
            </w:r>
          </w:p>
        </w:tc>
        <w:tc>
          <w:tcPr>
            <w:tcW w:w="0" w:type="auto"/>
          </w:tcPr>
          <w:p w14:paraId="5B41ABB9" w14:textId="43EA9B4D" w:rsidR="00D23EC8" w:rsidRPr="004B2A73" w:rsidRDefault="0021434A"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($2,344,000</w:t>
            </w:r>
            <w:r w:rsidR="00D23EC8" w:rsidRPr="004B2A73">
              <w:rPr>
                <w:rFonts w:ascii="Calibri" w:hAnsi="Calibri"/>
                <w:sz w:val="20"/>
                <w:szCs w:val="20"/>
              </w:rPr>
              <w:t>)</w:t>
            </w:r>
          </w:p>
        </w:tc>
      </w:tr>
      <w:tr w:rsidR="00D23EC8" w:rsidRPr="004B2A73" w14:paraId="437368F7" w14:textId="77777777" w:rsidTr="001F43E7">
        <w:tc>
          <w:tcPr>
            <w:cnfStyle w:val="001000000000" w:firstRow="0" w:lastRow="0" w:firstColumn="1" w:lastColumn="0" w:oddVBand="0" w:evenVBand="0" w:oddHBand="0" w:evenHBand="0" w:firstRowFirstColumn="0" w:firstRowLastColumn="0" w:lastRowFirstColumn="0" w:lastRowLastColumn="0"/>
            <w:tcW w:w="0" w:type="auto"/>
          </w:tcPr>
          <w:p w14:paraId="366EFC65"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Transshipment</w:t>
            </w:r>
          </w:p>
        </w:tc>
        <w:tc>
          <w:tcPr>
            <w:tcW w:w="0" w:type="auto"/>
          </w:tcPr>
          <w:p w14:paraId="5AD56E75" w14:textId="40F0D970" w:rsidR="00D23EC8" w:rsidRPr="004B2A73" w:rsidRDefault="0021434A"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57,700</w:t>
            </w:r>
          </w:p>
        </w:tc>
        <w:tc>
          <w:tcPr>
            <w:tcW w:w="0" w:type="auto"/>
          </w:tcPr>
          <w:p w14:paraId="48FB538C" w14:textId="77777777" w:rsidR="00D23EC8" w:rsidRPr="004B2A73" w:rsidRDefault="00D23EC8"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($4.60)</w:t>
            </w:r>
          </w:p>
        </w:tc>
        <w:tc>
          <w:tcPr>
            <w:tcW w:w="0" w:type="auto"/>
          </w:tcPr>
          <w:p w14:paraId="6CC101EA" w14:textId="505D505C" w:rsidR="00D23EC8" w:rsidRPr="004B2A73" w:rsidRDefault="0021434A"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($265,000</w:t>
            </w:r>
            <w:r w:rsidR="00D23EC8" w:rsidRPr="004B2A73">
              <w:rPr>
                <w:rFonts w:ascii="Calibri" w:hAnsi="Calibri"/>
                <w:sz w:val="20"/>
                <w:szCs w:val="20"/>
              </w:rPr>
              <w:t>)</w:t>
            </w:r>
          </w:p>
        </w:tc>
      </w:tr>
      <w:tr w:rsidR="00D23EC8" w:rsidRPr="004B2A73" w14:paraId="6D8730EA" w14:textId="77777777" w:rsidTr="001F4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EA86B"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Out</w:t>
            </w:r>
          </w:p>
        </w:tc>
        <w:tc>
          <w:tcPr>
            <w:tcW w:w="0" w:type="auto"/>
          </w:tcPr>
          <w:p w14:paraId="24DFDECC"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0" w:type="auto"/>
          </w:tcPr>
          <w:p w14:paraId="3B730E5A"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0" w:type="auto"/>
          </w:tcPr>
          <w:p w14:paraId="47FA6F28"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D23EC8" w:rsidRPr="004B2A73" w14:paraId="7CC0A0EB" w14:textId="77777777" w:rsidTr="00B805F9">
        <w:trPr>
          <w:trHeight w:val="170"/>
        </w:trPr>
        <w:tc>
          <w:tcPr>
            <w:cnfStyle w:val="001000000000" w:firstRow="0" w:lastRow="0" w:firstColumn="1" w:lastColumn="0" w:oddVBand="0" w:evenVBand="0" w:oddHBand="0" w:evenHBand="0" w:firstRowFirstColumn="0" w:firstRowLastColumn="0" w:lastRowFirstColumn="0" w:lastRowLastColumn="0"/>
            <w:tcW w:w="0" w:type="auto"/>
          </w:tcPr>
          <w:p w14:paraId="766C639C"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Empty</w:t>
            </w:r>
          </w:p>
        </w:tc>
        <w:tc>
          <w:tcPr>
            <w:tcW w:w="0" w:type="auto"/>
          </w:tcPr>
          <w:p w14:paraId="37365960" w14:textId="7F50DA33" w:rsidR="00D23EC8" w:rsidRPr="004B2A73" w:rsidRDefault="0021434A"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80,700</w:t>
            </w:r>
          </w:p>
        </w:tc>
        <w:tc>
          <w:tcPr>
            <w:tcW w:w="0" w:type="auto"/>
          </w:tcPr>
          <w:p w14:paraId="3B0F7B89" w14:textId="77777777" w:rsidR="00D23EC8" w:rsidRPr="004B2A73" w:rsidRDefault="00D23EC8"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$0.00</w:t>
            </w:r>
          </w:p>
        </w:tc>
        <w:tc>
          <w:tcPr>
            <w:tcW w:w="0" w:type="auto"/>
          </w:tcPr>
          <w:p w14:paraId="5C03116E" w14:textId="77777777" w:rsidR="00D23EC8" w:rsidRPr="004B2A73" w:rsidRDefault="00D23EC8"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$0</w:t>
            </w:r>
          </w:p>
        </w:tc>
      </w:tr>
      <w:tr w:rsidR="00D23EC8" w:rsidRPr="004B2A73" w14:paraId="608EA92D" w14:textId="77777777" w:rsidTr="001F4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EA5029"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Full</w:t>
            </w:r>
          </w:p>
        </w:tc>
        <w:tc>
          <w:tcPr>
            <w:tcW w:w="0" w:type="auto"/>
          </w:tcPr>
          <w:p w14:paraId="2C11E0E1" w14:textId="4E126B0D" w:rsidR="00D23EC8" w:rsidRPr="004B2A73" w:rsidRDefault="0021434A"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181,400</w:t>
            </w:r>
          </w:p>
        </w:tc>
        <w:tc>
          <w:tcPr>
            <w:tcW w:w="0" w:type="auto"/>
          </w:tcPr>
          <w:p w14:paraId="44ECE31E"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B2A73">
              <w:rPr>
                <w:rFonts w:ascii="Calibri" w:hAnsi="Calibri"/>
                <w:sz w:val="20"/>
                <w:szCs w:val="20"/>
              </w:rPr>
              <w:t>($13.80)</w:t>
            </w:r>
          </w:p>
        </w:tc>
        <w:tc>
          <w:tcPr>
            <w:tcW w:w="0" w:type="auto"/>
          </w:tcPr>
          <w:p w14:paraId="4ED1C566" w14:textId="3339CE83" w:rsidR="00D23EC8" w:rsidRPr="004B2A73" w:rsidRDefault="0021434A"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($2,504,000</w:t>
            </w:r>
            <w:r w:rsidR="00D23EC8" w:rsidRPr="004B2A73">
              <w:rPr>
                <w:rFonts w:ascii="Calibri" w:hAnsi="Calibri"/>
                <w:sz w:val="20"/>
                <w:szCs w:val="20"/>
              </w:rPr>
              <w:t>)</w:t>
            </w:r>
          </w:p>
        </w:tc>
      </w:tr>
      <w:tr w:rsidR="00D23EC8" w:rsidRPr="004B2A73" w14:paraId="071B4C64" w14:textId="77777777" w:rsidTr="001F43E7">
        <w:tc>
          <w:tcPr>
            <w:cnfStyle w:val="001000000000" w:firstRow="0" w:lastRow="0" w:firstColumn="1" w:lastColumn="0" w:oddVBand="0" w:evenVBand="0" w:oddHBand="0" w:evenHBand="0" w:firstRowFirstColumn="0" w:firstRowLastColumn="0" w:lastRowFirstColumn="0" w:lastRowLastColumn="0"/>
            <w:tcW w:w="0" w:type="auto"/>
          </w:tcPr>
          <w:p w14:paraId="5BFD1C5B"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Transshipment</w:t>
            </w:r>
          </w:p>
        </w:tc>
        <w:tc>
          <w:tcPr>
            <w:tcW w:w="0" w:type="auto"/>
          </w:tcPr>
          <w:p w14:paraId="1835B650" w14:textId="25C45C5A" w:rsidR="00D23EC8" w:rsidRPr="004B2A73" w:rsidRDefault="0021434A"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iCs/>
                <w:sz w:val="20"/>
                <w:szCs w:val="20"/>
              </w:rPr>
            </w:pPr>
            <w:r>
              <w:rPr>
                <w:rFonts w:ascii="Calibri" w:hAnsi="Calibri"/>
                <w:iCs/>
                <w:sz w:val="20"/>
                <w:szCs w:val="20"/>
              </w:rPr>
              <w:t>59,600</w:t>
            </w:r>
          </w:p>
        </w:tc>
        <w:tc>
          <w:tcPr>
            <w:tcW w:w="0" w:type="auto"/>
          </w:tcPr>
          <w:p w14:paraId="5F9FDA13" w14:textId="77777777" w:rsidR="00D23EC8" w:rsidRPr="004B2A73" w:rsidRDefault="00D23EC8"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$0.00</w:t>
            </w:r>
          </w:p>
        </w:tc>
        <w:tc>
          <w:tcPr>
            <w:tcW w:w="0" w:type="auto"/>
          </w:tcPr>
          <w:p w14:paraId="127E01E4" w14:textId="77777777" w:rsidR="00D23EC8" w:rsidRPr="004B2A73" w:rsidRDefault="00D23EC8"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4B2A73">
              <w:rPr>
                <w:rFonts w:ascii="Calibri" w:hAnsi="Calibri"/>
                <w:sz w:val="20"/>
                <w:szCs w:val="20"/>
              </w:rPr>
              <w:t>$0</w:t>
            </w:r>
          </w:p>
        </w:tc>
      </w:tr>
      <w:tr w:rsidR="00D23EC8" w:rsidRPr="004B2A73" w14:paraId="0936C65A" w14:textId="77777777" w:rsidTr="001F4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4E5386"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Total</w:t>
            </w:r>
          </w:p>
        </w:tc>
        <w:tc>
          <w:tcPr>
            <w:tcW w:w="0" w:type="auto"/>
          </w:tcPr>
          <w:p w14:paraId="00E70231"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0" w:type="auto"/>
          </w:tcPr>
          <w:p w14:paraId="394BC25B"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0" w:type="auto"/>
          </w:tcPr>
          <w:p w14:paraId="2A6BEB83" w14:textId="77777777" w:rsidR="00D23EC8" w:rsidRPr="004B2A73" w:rsidRDefault="00D23EC8" w:rsidP="00B805F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D23EC8" w:rsidRPr="004B2A73" w14:paraId="4742E9EA" w14:textId="77777777" w:rsidTr="001F43E7">
        <w:tc>
          <w:tcPr>
            <w:cnfStyle w:val="001000000000" w:firstRow="0" w:lastRow="0" w:firstColumn="1" w:lastColumn="0" w:oddVBand="0" w:evenVBand="0" w:oddHBand="0" w:evenHBand="0" w:firstRowFirstColumn="0" w:firstRowLastColumn="0" w:lastRowFirstColumn="0" w:lastRowLastColumn="0"/>
            <w:tcW w:w="0" w:type="auto"/>
          </w:tcPr>
          <w:p w14:paraId="1564224C" w14:textId="77777777" w:rsidR="00D23EC8" w:rsidRPr="004B2A73" w:rsidRDefault="00D23EC8" w:rsidP="00B805F9">
            <w:pPr>
              <w:spacing w:before="100" w:beforeAutospacing="1" w:after="100" w:afterAutospacing="1"/>
              <w:jc w:val="center"/>
              <w:rPr>
                <w:rFonts w:ascii="Calibri" w:hAnsi="Calibri"/>
                <w:sz w:val="20"/>
                <w:szCs w:val="20"/>
              </w:rPr>
            </w:pPr>
            <w:r w:rsidRPr="004B2A73">
              <w:rPr>
                <w:rFonts w:ascii="Calibri" w:hAnsi="Calibri"/>
                <w:sz w:val="20"/>
                <w:szCs w:val="20"/>
              </w:rPr>
              <w:t>All</w:t>
            </w:r>
          </w:p>
        </w:tc>
        <w:tc>
          <w:tcPr>
            <w:tcW w:w="0" w:type="auto"/>
          </w:tcPr>
          <w:p w14:paraId="3D84688B" w14:textId="176DAF77" w:rsidR="00D23EC8" w:rsidRPr="004B2A73" w:rsidRDefault="0021434A"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Pr>
                <w:rFonts w:ascii="Calibri" w:hAnsi="Calibri"/>
                <w:b/>
                <w:sz w:val="20"/>
                <w:szCs w:val="20"/>
              </w:rPr>
              <w:t>649,800</w:t>
            </w:r>
          </w:p>
        </w:tc>
        <w:tc>
          <w:tcPr>
            <w:tcW w:w="0" w:type="auto"/>
          </w:tcPr>
          <w:p w14:paraId="1BAB7969" w14:textId="77777777" w:rsidR="00D23EC8" w:rsidRPr="004B2A73" w:rsidRDefault="00D23EC8"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p>
        </w:tc>
        <w:tc>
          <w:tcPr>
            <w:tcW w:w="0" w:type="auto"/>
          </w:tcPr>
          <w:p w14:paraId="1C5D6D9D" w14:textId="06BAFD66" w:rsidR="00D23EC8" w:rsidRPr="004B2A73" w:rsidRDefault="0021434A" w:rsidP="00B805F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Pr>
                <w:rFonts w:ascii="Calibri" w:hAnsi="Calibri"/>
                <w:b/>
                <w:sz w:val="20"/>
                <w:szCs w:val="20"/>
              </w:rPr>
              <w:t>($5,113,000</w:t>
            </w:r>
            <w:r w:rsidR="00D23EC8" w:rsidRPr="004B2A73">
              <w:rPr>
                <w:rFonts w:ascii="Calibri" w:hAnsi="Calibri"/>
                <w:b/>
                <w:sz w:val="20"/>
                <w:szCs w:val="20"/>
              </w:rPr>
              <w:t>)</w:t>
            </w:r>
          </w:p>
        </w:tc>
      </w:tr>
    </w:tbl>
    <w:p w14:paraId="6D149397" w14:textId="77777777" w:rsidR="00D23EC8" w:rsidRPr="004B2A73" w:rsidRDefault="00EB23AA" w:rsidP="00B805F9">
      <w:pPr>
        <w:rPr>
          <w:rFonts w:ascii="Calibri" w:hAnsi="Calibri"/>
        </w:rPr>
      </w:pPr>
      <w:r w:rsidRPr="004B2A73">
        <w:rPr>
          <w:rFonts w:ascii="Calibri" w:hAnsi="Calibri"/>
        </w:rPr>
        <w:t>Source: Port Authority of Abidjan for throughput 2013, authors’ calculations</w:t>
      </w:r>
    </w:p>
    <w:p w14:paraId="496F030A" w14:textId="77777777" w:rsidR="00626F3C" w:rsidRPr="004B2A73" w:rsidRDefault="00165A8A" w:rsidP="00500800">
      <w:pPr>
        <w:pStyle w:val="Numbered"/>
        <w:spacing w:line="240" w:lineRule="auto"/>
        <w:ind w:left="0" w:firstLine="0"/>
        <w:contextualSpacing w:val="0"/>
        <w:jc w:val="both"/>
        <w:rPr>
          <w:rFonts w:ascii="Calibri" w:hAnsi="Calibri"/>
        </w:rPr>
      </w:pPr>
      <w:r w:rsidRPr="004B2A73">
        <w:rPr>
          <w:rFonts w:ascii="Calibri" w:hAnsi="Calibri"/>
          <w:b/>
        </w:rPr>
        <w:t xml:space="preserve">Growing throughput, </w:t>
      </w:r>
      <w:r w:rsidR="00D23EC8" w:rsidRPr="004B2A73">
        <w:rPr>
          <w:rFonts w:ascii="Calibri" w:hAnsi="Calibri"/>
          <w:b/>
        </w:rPr>
        <w:t xml:space="preserve">combined </w:t>
      </w:r>
      <w:r w:rsidR="00D23EC8" w:rsidRPr="006D3964">
        <w:rPr>
          <w:rFonts w:ascii="Calibri" w:hAnsi="Calibri"/>
          <w:b/>
        </w:rPr>
        <w:t>with traditionally high legacy handling tariffs</w:t>
      </w:r>
      <w:r w:rsidR="00D23EC8" w:rsidRPr="004B2A73">
        <w:rPr>
          <w:rFonts w:ascii="Calibri" w:hAnsi="Calibri"/>
          <w:b/>
        </w:rPr>
        <w:t xml:space="preserve">, </w:t>
      </w:r>
      <w:r w:rsidR="001F78EF" w:rsidRPr="004B2A73">
        <w:rPr>
          <w:rFonts w:ascii="Calibri" w:hAnsi="Calibri"/>
          <w:b/>
        </w:rPr>
        <w:t xml:space="preserve">seem to </w:t>
      </w:r>
      <w:r w:rsidR="00D23EC8" w:rsidRPr="004B2A73">
        <w:rPr>
          <w:rFonts w:ascii="Calibri" w:hAnsi="Calibri"/>
          <w:b/>
        </w:rPr>
        <w:t xml:space="preserve">generate </w:t>
      </w:r>
      <w:r w:rsidRPr="004B2A73">
        <w:rPr>
          <w:rFonts w:ascii="Calibri" w:hAnsi="Calibri"/>
          <w:b/>
        </w:rPr>
        <w:t xml:space="preserve">very high returns on investment </w:t>
      </w:r>
      <w:r w:rsidR="00F50A54" w:rsidRPr="004B2A73">
        <w:rPr>
          <w:rFonts w:ascii="Calibri" w:hAnsi="Calibri"/>
          <w:b/>
        </w:rPr>
        <w:t>on any</w:t>
      </w:r>
      <w:r w:rsidR="00D23EC8" w:rsidRPr="004B2A73">
        <w:rPr>
          <w:rFonts w:ascii="Calibri" w:hAnsi="Calibri"/>
          <w:b/>
        </w:rPr>
        <w:t xml:space="preserve"> upgrade of brownfield terminals</w:t>
      </w:r>
      <w:r w:rsidR="00D23EC8" w:rsidRPr="004B2A73">
        <w:rPr>
          <w:rFonts w:ascii="Calibri" w:hAnsi="Calibri"/>
        </w:rPr>
        <w:t xml:space="preserve">. </w:t>
      </w:r>
      <w:r w:rsidR="00F50A54" w:rsidRPr="004B2A73">
        <w:rPr>
          <w:rFonts w:ascii="Calibri" w:hAnsi="Calibri"/>
        </w:rPr>
        <w:t xml:space="preserve"> </w:t>
      </w:r>
      <w:r w:rsidR="00D23EC8" w:rsidRPr="004B2A73">
        <w:rPr>
          <w:rFonts w:ascii="Calibri" w:hAnsi="Calibri"/>
        </w:rPr>
        <w:t>The estimate for Abidjan is consistent with the high level of EBITDA reported for some global TOC (</w:t>
      </w:r>
      <w:r w:rsidR="006B23D5" w:rsidRPr="004B2A73">
        <w:rPr>
          <w:rFonts w:ascii="Calibri" w:hAnsi="Calibri"/>
        </w:rPr>
        <w:t xml:space="preserve">both </w:t>
      </w:r>
      <w:r w:rsidR="00D23EC8" w:rsidRPr="004B2A73">
        <w:rPr>
          <w:rFonts w:ascii="Calibri" w:hAnsi="Calibri"/>
        </w:rPr>
        <w:t>APM Terminals and DP World</w:t>
      </w:r>
      <w:r w:rsidR="006B23D5" w:rsidRPr="004B2A73">
        <w:rPr>
          <w:rFonts w:ascii="Calibri" w:hAnsi="Calibri"/>
        </w:rPr>
        <w:t xml:space="preserve"> for instance publish their global consolidated financial results</w:t>
      </w:r>
      <w:r w:rsidR="00D23EC8" w:rsidRPr="004B2A73">
        <w:rPr>
          <w:rFonts w:ascii="Calibri" w:hAnsi="Calibri"/>
        </w:rPr>
        <w:t>). It is important to note however that for greenfield development, the magnitude of the investment in the infrastructure</w:t>
      </w:r>
      <w:r w:rsidR="00F50A54" w:rsidRPr="004B2A73">
        <w:rPr>
          <w:rFonts w:ascii="Calibri" w:hAnsi="Calibri"/>
        </w:rPr>
        <w:t xml:space="preserve"> is higher as are the </w:t>
      </w:r>
      <w:r w:rsidR="00D23EC8" w:rsidRPr="004B2A73">
        <w:rPr>
          <w:rFonts w:ascii="Calibri" w:hAnsi="Calibri"/>
        </w:rPr>
        <w:t>uncertainties on the development of the throughput</w:t>
      </w:r>
      <w:r w:rsidR="00F50A54" w:rsidRPr="004B2A73">
        <w:rPr>
          <w:rFonts w:ascii="Calibri" w:hAnsi="Calibri"/>
        </w:rPr>
        <w:t>. Further</w:t>
      </w:r>
      <w:r w:rsidR="00D23EC8" w:rsidRPr="004B2A73">
        <w:rPr>
          <w:rFonts w:ascii="Calibri" w:hAnsi="Calibri"/>
        </w:rPr>
        <w:t xml:space="preserve">, large sums are tied </w:t>
      </w:r>
      <w:r w:rsidR="00EC7703" w:rsidRPr="004B2A73">
        <w:rPr>
          <w:rFonts w:ascii="Calibri" w:hAnsi="Calibri"/>
        </w:rPr>
        <w:t xml:space="preserve">up </w:t>
      </w:r>
      <w:r w:rsidR="00D23EC8" w:rsidRPr="004B2A73">
        <w:rPr>
          <w:rFonts w:ascii="Calibri" w:hAnsi="Calibri"/>
        </w:rPr>
        <w:t>in the development of the facility before it can generate sufficient revenue to recoup the initial investment.</w:t>
      </w:r>
      <w:r w:rsidR="00FA3E87" w:rsidRPr="004B2A73">
        <w:rPr>
          <w:rFonts w:ascii="Calibri" w:hAnsi="Calibri"/>
        </w:rPr>
        <w:t xml:space="preserve">  It will be critical in the next phase of greenfield investments for governments to ensure not only competitive processes </w:t>
      </w:r>
      <w:r w:rsidR="00D047A7" w:rsidRPr="004B2A73">
        <w:rPr>
          <w:rFonts w:ascii="Calibri" w:hAnsi="Calibri"/>
        </w:rPr>
        <w:t xml:space="preserve">when auctioning the development rights for these projects </w:t>
      </w:r>
      <w:r w:rsidR="00FA3E87" w:rsidRPr="004B2A73">
        <w:rPr>
          <w:rFonts w:ascii="Calibri" w:hAnsi="Calibri"/>
        </w:rPr>
        <w:t xml:space="preserve">but </w:t>
      </w:r>
      <w:r w:rsidR="00D047A7" w:rsidRPr="004B2A73">
        <w:rPr>
          <w:rFonts w:ascii="Calibri" w:hAnsi="Calibri"/>
        </w:rPr>
        <w:t xml:space="preserve">to actively </w:t>
      </w:r>
      <w:r w:rsidR="00FA3E87" w:rsidRPr="004B2A73">
        <w:rPr>
          <w:rFonts w:ascii="Calibri" w:hAnsi="Calibri"/>
        </w:rPr>
        <w:t xml:space="preserve">seek to bring in new players </w:t>
      </w:r>
      <w:r w:rsidR="001F78EF" w:rsidRPr="004B2A73">
        <w:rPr>
          <w:rFonts w:ascii="Calibri" w:hAnsi="Calibri"/>
        </w:rPr>
        <w:t>into the market.</w:t>
      </w:r>
      <w:r w:rsidR="00672679" w:rsidRPr="004B2A73">
        <w:rPr>
          <w:rFonts w:ascii="Calibri" w:hAnsi="Calibri"/>
        </w:rPr>
        <w:t xml:space="preserve"> In short, it is very likely that brownfield concessions operate fully with positive </w:t>
      </w:r>
      <w:r w:rsidR="00672679" w:rsidRPr="004B2A73">
        <w:rPr>
          <w:rFonts w:ascii="Calibri" w:hAnsi="Calibri"/>
        </w:rPr>
        <w:lastRenderedPageBreak/>
        <w:t xml:space="preserve">cash-flow, with investments in terminal upgrade made mostly from the revenue of the concession, </w:t>
      </w:r>
      <w:r w:rsidR="006B23D5" w:rsidRPr="004B2A73">
        <w:rPr>
          <w:rFonts w:ascii="Calibri" w:hAnsi="Calibri"/>
        </w:rPr>
        <w:t>while</w:t>
      </w:r>
      <w:r w:rsidR="00672679" w:rsidRPr="004B2A73">
        <w:rPr>
          <w:rFonts w:ascii="Calibri" w:hAnsi="Calibri"/>
        </w:rPr>
        <w:t xml:space="preserve"> </w:t>
      </w:r>
      <w:r w:rsidR="006B23D5" w:rsidRPr="004B2A73">
        <w:rPr>
          <w:rFonts w:ascii="Calibri" w:hAnsi="Calibri"/>
        </w:rPr>
        <w:t>on the contrary, greenfield concessions (BOT) require upfront financing of the terminal to develop.</w:t>
      </w:r>
    </w:p>
    <w:p w14:paraId="42D461C9" w14:textId="77777777" w:rsidR="00626F3C" w:rsidRPr="004B2A73" w:rsidRDefault="00626F3C">
      <w:pPr>
        <w:rPr>
          <w:rFonts w:ascii="Calibri" w:hAnsi="Calibri"/>
          <w:sz w:val="24"/>
          <w:szCs w:val="24"/>
        </w:rPr>
      </w:pPr>
      <w:r w:rsidRPr="004B2A73">
        <w:rPr>
          <w:rFonts w:ascii="Calibri" w:hAnsi="Calibri"/>
        </w:rPr>
        <w:br w:type="page"/>
      </w:r>
    </w:p>
    <w:p w14:paraId="68B83CF9" w14:textId="0DD3AC10" w:rsidR="00AC65CD" w:rsidRPr="00981E58" w:rsidRDefault="006B23D5" w:rsidP="00981E58">
      <w:pPr>
        <w:pStyle w:val="Heading1"/>
        <w:ind w:hanging="180"/>
        <w:rPr>
          <w:rFonts w:asciiTheme="minorHAnsi" w:hAnsiTheme="minorHAnsi" w:cstheme="minorHAnsi"/>
          <w:sz w:val="32"/>
          <w:szCs w:val="32"/>
        </w:rPr>
      </w:pPr>
      <w:bookmarkStart w:id="88" w:name="_Toc485382000"/>
      <w:r w:rsidRPr="00981E58">
        <w:rPr>
          <w:rFonts w:asciiTheme="minorHAnsi" w:hAnsiTheme="minorHAnsi" w:cstheme="minorHAnsi"/>
          <w:sz w:val="32"/>
          <w:szCs w:val="32"/>
        </w:rPr>
        <w:lastRenderedPageBreak/>
        <w:t>How to keep up with container traffic</w:t>
      </w:r>
      <w:r w:rsidR="008D408F" w:rsidRPr="00981E58">
        <w:rPr>
          <w:rFonts w:asciiTheme="minorHAnsi" w:hAnsiTheme="minorHAnsi" w:cstheme="minorHAnsi"/>
          <w:sz w:val="32"/>
          <w:szCs w:val="32"/>
        </w:rPr>
        <w:t xml:space="preserve"> growth</w:t>
      </w:r>
      <w:r w:rsidRPr="00981E58">
        <w:rPr>
          <w:rFonts w:asciiTheme="minorHAnsi" w:hAnsiTheme="minorHAnsi" w:cstheme="minorHAnsi"/>
          <w:sz w:val="32"/>
          <w:szCs w:val="32"/>
        </w:rPr>
        <w:t>?</w:t>
      </w:r>
      <w:bookmarkEnd w:id="88"/>
      <w:r w:rsidR="00AC65CD" w:rsidRPr="00981E58">
        <w:rPr>
          <w:rFonts w:asciiTheme="minorHAnsi" w:hAnsiTheme="minorHAnsi" w:cstheme="minorHAnsi"/>
          <w:sz w:val="32"/>
          <w:szCs w:val="32"/>
        </w:rPr>
        <w:t xml:space="preserve"> </w:t>
      </w:r>
    </w:p>
    <w:p w14:paraId="7F081E4E" w14:textId="77777777" w:rsidR="00626F3C" w:rsidRPr="004B2A73" w:rsidRDefault="00626F3C" w:rsidP="004D08BF"/>
    <w:p w14:paraId="757F8E38" w14:textId="1E46FDE7" w:rsidR="00626F3C" w:rsidRPr="00DB7AE7" w:rsidRDefault="00626F3C" w:rsidP="006161AC">
      <w:pPr>
        <w:pStyle w:val="Heading2"/>
        <w:rPr>
          <w:rFonts w:asciiTheme="minorHAnsi" w:hAnsiTheme="minorHAnsi" w:cstheme="minorHAnsi"/>
          <w:color w:val="auto"/>
          <w:sz w:val="28"/>
          <w:szCs w:val="28"/>
        </w:rPr>
      </w:pPr>
      <w:bookmarkStart w:id="89" w:name="_Toc485382001"/>
      <w:r w:rsidRPr="00DB7AE7">
        <w:rPr>
          <w:rFonts w:asciiTheme="minorHAnsi" w:hAnsiTheme="minorHAnsi" w:cstheme="minorHAnsi"/>
          <w:color w:val="auto"/>
          <w:sz w:val="28"/>
          <w:szCs w:val="28"/>
        </w:rPr>
        <w:t>Future demand for container trade</w:t>
      </w:r>
      <w:bookmarkEnd w:id="89"/>
    </w:p>
    <w:p w14:paraId="397FEC29" w14:textId="77777777" w:rsidR="00626F3C" w:rsidRPr="004B2A73" w:rsidRDefault="00626F3C" w:rsidP="00626F3C">
      <w:pPr>
        <w:pStyle w:val="ListParagraph"/>
        <w:spacing w:after="0"/>
        <w:ind w:left="0"/>
        <w:rPr>
          <w:rFonts w:ascii="Calibri" w:hAnsi="Calibri"/>
          <w:sz w:val="24"/>
        </w:rPr>
      </w:pPr>
    </w:p>
    <w:p w14:paraId="7B93B76F" w14:textId="0FC51029" w:rsidR="00626F3C" w:rsidRPr="004B2A73" w:rsidRDefault="00626F3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future throughput of West African ports </w:t>
      </w:r>
      <w:r w:rsidR="002744E2" w:rsidRPr="004B2A73">
        <w:rPr>
          <w:rFonts w:ascii="Calibri" w:hAnsi="Calibri"/>
          <w:b/>
          <w:sz w:val="24"/>
        </w:rPr>
        <w:t>will be composed of</w:t>
      </w:r>
      <w:r w:rsidR="00774324">
        <w:rPr>
          <w:rFonts w:ascii="Calibri" w:hAnsi="Calibri"/>
          <w:b/>
          <w:sz w:val="24"/>
        </w:rPr>
        <w:t xml:space="preserve"> </w:t>
      </w:r>
      <w:r w:rsidRPr="004B2A73">
        <w:rPr>
          <w:rFonts w:ascii="Calibri" w:hAnsi="Calibri"/>
          <w:b/>
          <w:sz w:val="24"/>
        </w:rPr>
        <w:t>containerized trade generated by coastal and landlocked countries, and additional port movements generated by transshipment in regional hub(s).</w:t>
      </w:r>
      <w:r w:rsidRPr="004B2A73">
        <w:rPr>
          <w:rFonts w:ascii="Calibri" w:hAnsi="Calibri"/>
          <w:sz w:val="24"/>
        </w:rPr>
        <w:t xml:space="preserve"> </w:t>
      </w:r>
      <w:r w:rsidR="004D08BF" w:rsidRPr="004D08BF">
        <w:rPr>
          <w:rFonts w:ascii="Calibri" w:hAnsi="Calibri"/>
          <w:sz w:val="24"/>
          <w:szCs w:val="24"/>
        </w:rPr>
        <w:fldChar w:fldCharType="begin"/>
      </w:r>
      <w:r w:rsidR="004D08BF" w:rsidRPr="004D08BF">
        <w:rPr>
          <w:rFonts w:ascii="Calibri" w:hAnsi="Calibri"/>
          <w:sz w:val="24"/>
          <w:szCs w:val="24"/>
        </w:rPr>
        <w:instrText xml:space="preserve"> REF _Ref472423484 \h </w:instrText>
      </w:r>
      <w:r w:rsidR="004D08BF">
        <w:rPr>
          <w:rFonts w:ascii="Calibri" w:hAnsi="Calibri"/>
          <w:sz w:val="24"/>
          <w:szCs w:val="24"/>
        </w:rPr>
        <w:instrText xml:space="preserve"> \* MERGEFORMAT </w:instrText>
      </w:r>
      <w:r w:rsidR="004D08BF" w:rsidRPr="004D08BF">
        <w:rPr>
          <w:rFonts w:ascii="Calibri" w:hAnsi="Calibri"/>
          <w:sz w:val="24"/>
          <w:szCs w:val="24"/>
        </w:rPr>
      </w:r>
      <w:r w:rsidR="004D08BF" w:rsidRPr="004D08BF">
        <w:rPr>
          <w:rFonts w:ascii="Calibri" w:hAnsi="Calibri"/>
          <w:sz w:val="24"/>
          <w:szCs w:val="24"/>
        </w:rPr>
        <w:fldChar w:fldCharType="separate"/>
      </w:r>
      <w:r w:rsidR="00212D01" w:rsidRPr="00212D01">
        <w:rPr>
          <w:rFonts w:ascii="Calibri" w:hAnsi="Calibri"/>
          <w:bCs/>
          <w:smallCaps/>
          <w:color w:val="44546A" w:themeColor="text2"/>
          <w:sz w:val="24"/>
          <w:szCs w:val="24"/>
        </w:rPr>
        <w:t xml:space="preserve">Figure </w:t>
      </w:r>
      <w:r w:rsidR="00212D01" w:rsidRPr="00212D01">
        <w:rPr>
          <w:rFonts w:ascii="Calibri" w:hAnsi="Calibri"/>
          <w:bCs/>
          <w:smallCaps/>
          <w:noProof/>
          <w:color w:val="44546A" w:themeColor="text2"/>
          <w:sz w:val="24"/>
          <w:szCs w:val="24"/>
        </w:rPr>
        <w:t>17</w:t>
      </w:r>
      <w:r w:rsidR="004D08BF" w:rsidRPr="004D08BF">
        <w:rPr>
          <w:rFonts w:ascii="Calibri" w:hAnsi="Calibri"/>
          <w:sz w:val="24"/>
          <w:szCs w:val="24"/>
        </w:rPr>
        <w:fldChar w:fldCharType="end"/>
      </w:r>
      <w:r w:rsidR="004D08BF">
        <w:rPr>
          <w:rFonts w:ascii="Calibri" w:hAnsi="Calibri"/>
          <w:sz w:val="24"/>
          <w:szCs w:val="24"/>
        </w:rPr>
        <w:t xml:space="preserve"> </w:t>
      </w:r>
      <w:r w:rsidRPr="004B2A73">
        <w:rPr>
          <w:rFonts w:ascii="Calibri" w:hAnsi="Calibri"/>
          <w:sz w:val="24"/>
        </w:rPr>
        <w:t xml:space="preserve">illustrates the method used to project each component of future demand. Trade-related demand is forecast based on the historical elasticity of container trade with respect to GDP in the region and a projection for GDP growth.  The allocation of container traffic across countries assumes that domestic ports are handling domestic traffic for coastal countries, a situation that is simplified by the fact that most countries have only one major container port.  For landlocked countries, the allocation is based on </w:t>
      </w:r>
      <w:r w:rsidR="005619D5" w:rsidRPr="004B2A73">
        <w:rPr>
          <w:rFonts w:ascii="Calibri" w:hAnsi="Calibri"/>
          <w:sz w:val="24"/>
        </w:rPr>
        <w:t xml:space="preserve">current </w:t>
      </w:r>
      <w:r w:rsidRPr="004B2A73">
        <w:rPr>
          <w:rFonts w:ascii="Calibri" w:hAnsi="Calibri"/>
          <w:sz w:val="24"/>
        </w:rPr>
        <w:t xml:space="preserve">corridor efficiency. </w:t>
      </w:r>
      <w:r w:rsidR="005619D5" w:rsidRPr="004B2A73">
        <w:rPr>
          <w:rFonts w:ascii="Calibri" w:hAnsi="Calibri"/>
          <w:sz w:val="24"/>
        </w:rPr>
        <w:t xml:space="preserve">Overall, this </w:t>
      </w:r>
      <w:r w:rsidRPr="004B2A73">
        <w:rPr>
          <w:rFonts w:ascii="Calibri" w:hAnsi="Calibri"/>
          <w:sz w:val="24"/>
        </w:rPr>
        <w:t>method is rather crude, for instance it does not differentiate between loaded and empty containers, but is straightforward to implement, and gives sufficient indication on the magnitude of expected traffic growth</w:t>
      </w:r>
      <w:r w:rsidR="005619D5" w:rsidRPr="004B2A73">
        <w:rPr>
          <w:rFonts w:ascii="Calibri" w:hAnsi="Calibri"/>
          <w:sz w:val="24"/>
        </w:rPr>
        <w:t xml:space="preserve"> for purpose</w:t>
      </w:r>
      <w:r w:rsidR="00B13B4A" w:rsidRPr="004B2A73">
        <w:rPr>
          <w:rFonts w:ascii="Calibri" w:hAnsi="Calibri"/>
          <w:sz w:val="24"/>
        </w:rPr>
        <w:t>s</w:t>
      </w:r>
      <w:r w:rsidR="005619D5" w:rsidRPr="004B2A73">
        <w:rPr>
          <w:rFonts w:ascii="Calibri" w:hAnsi="Calibri"/>
          <w:sz w:val="24"/>
        </w:rPr>
        <w:t xml:space="preserve"> of th</w:t>
      </w:r>
      <w:r w:rsidR="002744E2" w:rsidRPr="004B2A73">
        <w:rPr>
          <w:rFonts w:ascii="Calibri" w:hAnsi="Calibri"/>
          <w:sz w:val="24"/>
        </w:rPr>
        <w:t>is</w:t>
      </w:r>
      <w:r w:rsidR="005619D5" w:rsidRPr="004B2A73">
        <w:rPr>
          <w:rFonts w:ascii="Calibri" w:hAnsi="Calibri"/>
          <w:sz w:val="24"/>
        </w:rPr>
        <w:t xml:space="preserve"> study</w:t>
      </w:r>
      <w:r w:rsidRPr="004B2A73">
        <w:rPr>
          <w:rFonts w:ascii="Calibri" w:hAnsi="Calibri"/>
          <w:sz w:val="24"/>
        </w:rPr>
        <w:t>.</w:t>
      </w:r>
    </w:p>
    <w:p w14:paraId="6CF115A8" w14:textId="77777777" w:rsidR="000D2D8F" w:rsidRPr="004B2A73" w:rsidRDefault="000D2D8F" w:rsidP="00650472"/>
    <w:p w14:paraId="509C2BB7" w14:textId="631769FC" w:rsidR="004D08BF" w:rsidRPr="004D08BF" w:rsidRDefault="004D08BF" w:rsidP="004D08BF">
      <w:pPr>
        <w:keepNext/>
        <w:spacing w:after="0" w:line="240" w:lineRule="auto"/>
        <w:rPr>
          <w:rFonts w:ascii="Calibri" w:hAnsi="Calibri"/>
          <w:bCs/>
          <w:smallCaps/>
          <w:color w:val="44546A" w:themeColor="text2"/>
        </w:rPr>
      </w:pPr>
      <w:bookmarkStart w:id="90" w:name="_Ref472423484"/>
      <w:bookmarkStart w:id="91" w:name="_Toc472430653"/>
      <w:bookmarkStart w:id="92" w:name="_Toc485377052"/>
      <w:r w:rsidRPr="004D08BF">
        <w:rPr>
          <w:rFonts w:ascii="Calibri" w:hAnsi="Calibri"/>
          <w:bCs/>
          <w:smallCaps/>
          <w:color w:val="44546A" w:themeColor="text2"/>
        </w:rPr>
        <w:t xml:space="preserve">Figure </w:t>
      </w:r>
      <w:r w:rsidRPr="004D08BF">
        <w:rPr>
          <w:rFonts w:ascii="Calibri" w:hAnsi="Calibri"/>
          <w:bCs/>
          <w:smallCaps/>
          <w:color w:val="44546A" w:themeColor="text2"/>
        </w:rPr>
        <w:fldChar w:fldCharType="begin"/>
      </w:r>
      <w:r w:rsidRPr="004D08BF">
        <w:rPr>
          <w:rFonts w:ascii="Calibri" w:hAnsi="Calibri"/>
          <w:bCs/>
          <w:smallCaps/>
          <w:color w:val="44546A" w:themeColor="text2"/>
        </w:rPr>
        <w:instrText xml:space="preserve"> SEQ Figure \* ARABIC </w:instrText>
      </w:r>
      <w:r w:rsidRPr="004D08BF">
        <w:rPr>
          <w:rFonts w:ascii="Calibri" w:hAnsi="Calibri"/>
          <w:bCs/>
          <w:smallCaps/>
          <w:color w:val="44546A" w:themeColor="text2"/>
        </w:rPr>
        <w:fldChar w:fldCharType="separate"/>
      </w:r>
      <w:r w:rsidR="00212D01">
        <w:rPr>
          <w:rFonts w:ascii="Calibri" w:hAnsi="Calibri"/>
          <w:bCs/>
          <w:smallCaps/>
          <w:noProof/>
          <w:color w:val="44546A" w:themeColor="text2"/>
        </w:rPr>
        <w:t>17</w:t>
      </w:r>
      <w:r w:rsidRPr="004D08BF">
        <w:rPr>
          <w:rFonts w:ascii="Calibri" w:hAnsi="Calibri"/>
          <w:bCs/>
          <w:smallCaps/>
          <w:noProof/>
          <w:color w:val="44546A" w:themeColor="text2"/>
        </w:rPr>
        <w:fldChar w:fldCharType="end"/>
      </w:r>
      <w:bookmarkEnd w:id="90"/>
      <w:r w:rsidRPr="004D08BF">
        <w:rPr>
          <w:rFonts w:ascii="Calibri" w:hAnsi="Calibri"/>
          <w:bCs/>
          <w:smallCaps/>
          <w:color w:val="44546A" w:themeColor="text2"/>
        </w:rPr>
        <w:t>: Future container demand forecasting methodology</w:t>
      </w:r>
      <w:bookmarkEnd w:id="91"/>
      <w:bookmarkEnd w:id="92"/>
    </w:p>
    <w:p w14:paraId="51CEB82A" w14:textId="77777777" w:rsidR="00626F3C" w:rsidRPr="004B2A73" w:rsidRDefault="00626F3C" w:rsidP="00626F3C">
      <w:pPr>
        <w:rPr>
          <w:rFonts w:ascii="Calibri" w:hAnsi="Calibri"/>
          <w:sz w:val="24"/>
          <w:szCs w:val="24"/>
        </w:rPr>
      </w:pPr>
      <w:r w:rsidRPr="004B2A73">
        <w:rPr>
          <w:rFonts w:ascii="Calibri" w:hAnsi="Calibri"/>
          <w:noProof/>
          <w:sz w:val="24"/>
          <w:szCs w:val="24"/>
        </w:rPr>
        <w:drawing>
          <wp:inline distT="0" distB="0" distL="0" distR="0" wp14:anchorId="19B79DE4" wp14:editId="1B3B4D40">
            <wp:extent cx="5819775" cy="1866900"/>
            <wp:effectExtent l="0" t="3810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27C15AD" w14:textId="77777777" w:rsidR="00626F3C" w:rsidRPr="004B2A73" w:rsidRDefault="00626F3C" w:rsidP="00626F3C">
      <w:pPr>
        <w:pStyle w:val="ListParagraph"/>
        <w:spacing w:after="0"/>
        <w:ind w:left="0"/>
        <w:rPr>
          <w:rFonts w:ascii="Calibri" w:hAnsi="Calibri"/>
          <w:sz w:val="24"/>
        </w:rPr>
      </w:pPr>
    </w:p>
    <w:p w14:paraId="47F63957" w14:textId="7D630613" w:rsidR="006D528A" w:rsidRPr="004B2A73" w:rsidRDefault="006D528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The rapid growth in container traffic in West Africa has been fueled by strong economic growth, with an average GDP growth of 7.0 percent for the period 1996 to 2011. </w:t>
      </w:r>
      <w:r w:rsidRPr="002E4233">
        <w:rPr>
          <w:rFonts w:ascii="Calibri" w:hAnsi="Calibri"/>
          <w:b/>
          <w:sz w:val="24"/>
        </w:rPr>
        <w:t>This trend</w:t>
      </w:r>
      <w:r>
        <w:rPr>
          <w:rFonts w:ascii="Calibri" w:hAnsi="Calibri"/>
          <w:b/>
          <w:sz w:val="24"/>
        </w:rPr>
        <w:t>, however,</w:t>
      </w:r>
      <w:r w:rsidRPr="002E4233">
        <w:rPr>
          <w:rFonts w:ascii="Calibri" w:hAnsi="Calibri"/>
          <w:b/>
          <w:sz w:val="24"/>
        </w:rPr>
        <w:t xml:space="preserve"> is </w:t>
      </w:r>
      <w:r>
        <w:rPr>
          <w:rFonts w:ascii="Calibri" w:hAnsi="Calibri"/>
          <w:b/>
          <w:sz w:val="24"/>
        </w:rPr>
        <w:t xml:space="preserve">not </w:t>
      </w:r>
      <w:r w:rsidRPr="002E4233">
        <w:rPr>
          <w:rFonts w:ascii="Calibri" w:hAnsi="Calibri"/>
          <w:b/>
          <w:sz w:val="24"/>
        </w:rPr>
        <w:t>expected to continue</w:t>
      </w:r>
      <w:r w:rsidRPr="004B2A73">
        <w:rPr>
          <w:rFonts w:ascii="Calibri" w:hAnsi="Calibri"/>
          <w:b/>
          <w:sz w:val="24"/>
        </w:rPr>
        <w:t xml:space="preserve">, </w:t>
      </w:r>
      <w:r>
        <w:rPr>
          <w:rFonts w:ascii="Calibri" w:hAnsi="Calibri"/>
          <w:b/>
          <w:sz w:val="24"/>
        </w:rPr>
        <w:t>as</w:t>
      </w:r>
      <w:r w:rsidRPr="004B2A73">
        <w:rPr>
          <w:rFonts w:ascii="Calibri" w:hAnsi="Calibri"/>
          <w:b/>
          <w:sz w:val="24"/>
        </w:rPr>
        <w:t xml:space="preserve"> recent forecast revised downwards the prospects of growth</w:t>
      </w:r>
      <w:r w:rsidR="0021434A">
        <w:rPr>
          <w:rFonts w:ascii="Calibri" w:hAnsi="Calibri"/>
          <w:b/>
          <w:sz w:val="24"/>
        </w:rPr>
        <w:t xml:space="preserve"> to about 6%</w:t>
      </w:r>
      <w:r w:rsidRPr="004B2A73">
        <w:rPr>
          <w:rFonts w:ascii="Calibri" w:hAnsi="Calibri"/>
          <w:b/>
          <w:sz w:val="24"/>
        </w:rPr>
        <w:t>.</w:t>
      </w:r>
      <w:r w:rsidRPr="004B2A73">
        <w:rPr>
          <w:rFonts w:ascii="Calibri" w:hAnsi="Calibri"/>
          <w:sz w:val="24"/>
        </w:rPr>
        <w:t xml:space="preserve"> This growth rate was associated with an average annual increase in container traffic in West Africa ports of 10.4 percent for the period 1996 to 2011 (</w:t>
      </w:r>
      <w:r w:rsidR="004D08BF" w:rsidRPr="00AE72D0">
        <w:rPr>
          <w:rFonts w:ascii="Calibri" w:hAnsi="Calibri"/>
          <w:sz w:val="24"/>
          <w:szCs w:val="24"/>
        </w:rPr>
        <w:fldChar w:fldCharType="begin"/>
      </w:r>
      <w:r w:rsidR="004D08BF" w:rsidRPr="00AE72D0">
        <w:rPr>
          <w:rFonts w:ascii="Calibri" w:hAnsi="Calibri"/>
          <w:sz w:val="24"/>
          <w:szCs w:val="24"/>
        </w:rPr>
        <w:instrText xml:space="preserve"> REF _Ref473107875 \h </w:instrText>
      </w:r>
      <w:r w:rsidR="004D08BF">
        <w:rPr>
          <w:rFonts w:ascii="Calibri" w:hAnsi="Calibri"/>
          <w:sz w:val="24"/>
          <w:szCs w:val="24"/>
        </w:rPr>
        <w:instrText xml:space="preserve"> \* MERGEFORMAT </w:instrText>
      </w:r>
      <w:r w:rsidR="004D08BF" w:rsidRPr="00AE72D0">
        <w:rPr>
          <w:rFonts w:ascii="Calibri" w:hAnsi="Calibri"/>
          <w:sz w:val="24"/>
          <w:szCs w:val="24"/>
        </w:rPr>
      </w:r>
      <w:r w:rsidR="004D08BF" w:rsidRPr="00AE72D0">
        <w:rPr>
          <w:rFonts w:ascii="Calibri" w:hAnsi="Calibri"/>
          <w:sz w:val="24"/>
          <w:szCs w:val="24"/>
        </w:rPr>
        <w:fldChar w:fldCharType="separate"/>
      </w:r>
      <w:r w:rsidR="00212D01" w:rsidRPr="00212D01">
        <w:rPr>
          <w:rFonts w:ascii="Calibri" w:hAnsi="Calibri"/>
          <w:bCs/>
          <w:smallCaps/>
          <w:color w:val="44546A" w:themeColor="text2"/>
          <w:sz w:val="24"/>
          <w:szCs w:val="24"/>
        </w:rPr>
        <w:t xml:space="preserve">Figure </w:t>
      </w:r>
      <w:r w:rsidR="00212D01" w:rsidRPr="00212D01">
        <w:rPr>
          <w:rFonts w:ascii="Calibri" w:hAnsi="Calibri"/>
          <w:bCs/>
          <w:smallCaps/>
          <w:noProof/>
          <w:color w:val="44546A" w:themeColor="text2"/>
          <w:sz w:val="24"/>
          <w:szCs w:val="24"/>
        </w:rPr>
        <w:t>18</w:t>
      </w:r>
      <w:r w:rsidR="004D08BF" w:rsidRPr="00AE72D0">
        <w:rPr>
          <w:rFonts w:ascii="Calibri" w:hAnsi="Calibri"/>
          <w:sz w:val="24"/>
          <w:szCs w:val="24"/>
        </w:rPr>
        <w:fldChar w:fldCharType="end"/>
      </w:r>
      <w:r w:rsidRPr="004B2A73">
        <w:rPr>
          <w:rFonts w:ascii="Calibri" w:hAnsi="Calibri"/>
          <w:sz w:val="24"/>
        </w:rPr>
        <w:t>). Forecasts for GDP growth for West Africa (</w:t>
      </w:r>
      <w:r>
        <w:rPr>
          <w:rFonts w:ascii="Calibri" w:hAnsi="Calibri"/>
          <w:sz w:val="24"/>
          <w:szCs w:val="24"/>
        </w:rPr>
        <w:t>Table 20</w:t>
      </w:r>
      <w:r w:rsidRPr="004B2A73">
        <w:rPr>
          <w:rFonts w:ascii="Calibri" w:hAnsi="Calibri"/>
          <w:sz w:val="24"/>
        </w:rPr>
        <w:t xml:space="preserve"> in Annex</w:t>
      </w:r>
      <w:r w:rsidR="0021434A">
        <w:rPr>
          <w:rFonts w:ascii="Calibri" w:hAnsi="Calibri"/>
          <w:sz w:val="24"/>
        </w:rPr>
        <w:t xml:space="preserve"> 6</w:t>
      </w:r>
      <w:r w:rsidRPr="004B2A73">
        <w:rPr>
          <w:rFonts w:ascii="Calibri" w:hAnsi="Calibri"/>
          <w:sz w:val="24"/>
        </w:rPr>
        <w:t xml:space="preserve">) by international institutions (IMF World Economic Outlook database) expect this trend to </w:t>
      </w:r>
      <w:r>
        <w:rPr>
          <w:rFonts w:ascii="Calibri" w:hAnsi="Calibri"/>
          <w:sz w:val="24"/>
        </w:rPr>
        <w:t xml:space="preserve">slow down at 6.3% in the foreseeable future </w:t>
      </w:r>
      <w:r w:rsidRPr="004B2A73">
        <w:rPr>
          <w:rFonts w:ascii="Calibri" w:hAnsi="Calibri"/>
          <w:sz w:val="24"/>
        </w:rPr>
        <w:t>(</w:t>
      </w:r>
      <w:r>
        <w:rPr>
          <w:rFonts w:ascii="Calibri" w:hAnsi="Calibri"/>
          <w:sz w:val="24"/>
        </w:rPr>
        <w:t>IMF Regional Outlook October 2016, total growth for the period 2017-2020</w:t>
      </w:r>
      <w:r w:rsidRPr="004B2A73">
        <w:rPr>
          <w:rFonts w:ascii="Calibri" w:hAnsi="Calibri"/>
          <w:sz w:val="24"/>
        </w:rPr>
        <w:t>). Nigeria, sub-Saharan Africa’s largest economy and oil exporter, has been hit hard by the oil price shock leading the authorities to cut capital spending and adjust monetary and exchange rate policies to relieve pressures on public finances</w:t>
      </w:r>
      <w:r>
        <w:rPr>
          <w:rFonts w:ascii="Calibri" w:hAnsi="Calibri"/>
          <w:sz w:val="24"/>
        </w:rPr>
        <w:t xml:space="preserve">. The forecast for the GDP of Nigeria were extremely volatile with </w:t>
      </w:r>
      <w:r>
        <w:rPr>
          <w:rFonts w:ascii="Calibri" w:hAnsi="Calibri"/>
          <w:sz w:val="24"/>
        </w:rPr>
        <w:lastRenderedPageBreak/>
        <w:t xml:space="preserve">the unfolding of the commodity crisis: </w:t>
      </w:r>
      <w:r>
        <w:rPr>
          <w:rFonts w:ascii="Calibri" w:hAnsi="Calibri"/>
          <w:sz w:val="24"/>
          <w:szCs w:val="24"/>
        </w:rPr>
        <w:t>Figure 25</w:t>
      </w:r>
      <w:r>
        <w:rPr>
          <w:rFonts w:ascii="Calibri" w:hAnsi="Calibri"/>
          <w:sz w:val="24"/>
        </w:rPr>
        <w:t xml:space="preserve"> shows the rapidly deteriorating prospects for the Nigeria economy with each revision of the IMF WEO database, between October 2014 and the latest dataset available, October 2016. As the GDP growth projections are based on an evolving economic situation in some countries, an update of the traffic projections would be warranted as the steady state growth rates become available. In this section, the latest available dataset, October 2016, was retained as basis for the traffic forecast.</w:t>
      </w:r>
    </w:p>
    <w:p w14:paraId="6FE866A4" w14:textId="77777777" w:rsidR="00626F3C" w:rsidRPr="004B2A73" w:rsidRDefault="00626F3C" w:rsidP="001B2423">
      <w:pPr>
        <w:pStyle w:val="ListParagraph"/>
        <w:spacing w:after="0"/>
        <w:ind w:left="0"/>
        <w:rPr>
          <w:rFonts w:ascii="Calibri" w:hAnsi="Calibri"/>
          <w:sz w:val="24"/>
        </w:rPr>
      </w:pPr>
    </w:p>
    <w:p w14:paraId="304CDCD1" w14:textId="07EEB69B" w:rsidR="004D08BF" w:rsidRPr="004D08BF" w:rsidRDefault="004D08BF" w:rsidP="004D08BF">
      <w:pPr>
        <w:keepNext/>
        <w:spacing w:after="0" w:line="240" w:lineRule="auto"/>
        <w:rPr>
          <w:rFonts w:ascii="Calibri" w:hAnsi="Calibri"/>
          <w:bCs/>
          <w:smallCaps/>
          <w:color w:val="44546A" w:themeColor="text2"/>
        </w:rPr>
      </w:pPr>
      <w:bookmarkStart w:id="93" w:name="_Ref473107875"/>
      <w:bookmarkStart w:id="94" w:name="_Toc472430654"/>
      <w:bookmarkStart w:id="95" w:name="_Toc485377053"/>
      <w:bookmarkStart w:id="96" w:name="_Ref448915394"/>
      <w:bookmarkStart w:id="97" w:name="_Ref448915387"/>
      <w:r w:rsidRPr="004D08BF">
        <w:rPr>
          <w:rFonts w:ascii="Calibri" w:hAnsi="Calibri"/>
          <w:bCs/>
          <w:smallCaps/>
          <w:color w:val="44546A" w:themeColor="text2"/>
        </w:rPr>
        <w:t xml:space="preserve">Figure </w:t>
      </w:r>
      <w:r w:rsidRPr="004D08BF">
        <w:rPr>
          <w:rFonts w:ascii="Calibri" w:hAnsi="Calibri"/>
          <w:bCs/>
          <w:smallCaps/>
          <w:color w:val="44546A" w:themeColor="text2"/>
        </w:rPr>
        <w:fldChar w:fldCharType="begin"/>
      </w:r>
      <w:r w:rsidRPr="004D08BF">
        <w:rPr>
          <w:rFonts w:ascii="Calibri" w:hAnsi="Calibri"/>
          <w:bCs/>
          <w:smallCaps/>
          <w:color w:val="44546A" w:themeColor="text2"/>
        </w:rPr>
        <w:instrText xml:space="preserve"> SEQ Figure \* ARABIC </w:instrText>
      </w:r>
      <w:r w:rsidRPr="004D08BF">
        <w:rPr>
          <w:rFonts w:ascii="Calibri" w:hAnsi="Calibri"/>
          <w:bCs/>
          <w:smallCaps/>
          <w:color w:val="44546A" w:themeColor="text2"/>
        </w:rPr>
        <w:fldChar w:fldCharType="separate"/>
      </w:r>
      <w:r w:rsidR="00212D01">
        <w:rPr>
          <w:rFonts w:ascii="Calibri" w:hAnsi="Calibri"/>
          <w:bCs/>
          <w:smallCaps/>
          <w:noProof/>
          <w:color w:val="44546A" w:themeColor="text2"/>
        </w:rPr>
        <w:t>18</w:t>
      </w:r>
      <w:r w:rsidRPr="004D08BF">
        <w:rPr>
          <w:rFonts w:ascii="Calibri" w:hAnsi="Calibri"/>
          <w:bCs/>
          <w:smallCaps/>
          <w:noProof/>
          <w:color w:val="44546A" w:themeColor="text2"/>
        </w:rPr>
        <w:fldChar w:fldCharType="end"/>
      </w:r>
      <w:bookmarkEnd w:id="93"/>
      <w:r w:rsidRPr="004D08BF">
        <w:rPr>
          <w:rFonts w:ascii="Calibri" w:hAnsi="Calibri"/>
          <w:bCs/>
          <w:smallCaps/>
          <w:color w:val="44546A" w:themeColor="text2"/>
        </w:rPr>
        <w:t>: Evolution of GDP and container traffic in West Africa</w:t>
      </w:r>
      <w:bookmarkEnd w:id="94"/>
      <w:bookmarkEnd w:id="95"/>
    </w:p>
    <w:bookmarkEnd w:id="96"/>
    <w:bookmarkEnd w:id="97"/>
    <w:p w14:paraId="13896883" w14:textId="77777777" w:rsidR="00626F3C" w:rsidRPr="004B2A73" w:rsidRDefault="00D37062" w:rsidP="00626F3C">
      <w:pPr>
        <w:rPr>
          <w:rFonts w:ascii="Calibri" w:hAnsi="Calibri"/>
          <w:sz w:val="24"/>
          <w:szCs w:val="24"/>
        </w:rPr>
      </w:pPr>
      <w:r w:rsidRPr="004B2A73">
        <w:rPr>
          <w:rFonts w:ascii="Calibri" w:hAnsi="Calibri"/>
          <w:noProof/>
        </w:rPr>
        <w:drawing>
          <wp:inline distT="0" distB="0" distL="0" distR="0" wp14:anchorId="57B8585F" wp14:editId="5623189D">
            <wp:extent cx="5153025" cy="21431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793554" w14:textId="4F10E91E" w:rsidR="004D08BF" w:rsidRPr="004D08BF" w:rsidRDefault="004D08BF" w:rsidP="004D08BF">
      <w:pPr>
        <w:keepNext/>
        <w:spacing w:after="0" w:line="240" w:lineRule="auto"/>
        <w:rPr>
          <w:rFonts w:ascii="Calibri" w:hAnsi="Calibri"/>
          <w:bCs/>
          <w:smallCaps/>
          <w:color w:val="44546A" w:themeColor="text2"/>
        </w:rPr>
      </w:pPr>
      <w:bookmarkStart w:id="98" w:name="_Toc485377054"/>
      <w:bookmarkStart w:id="99" w:name="_Ref472003952"/>
      <w:bookmarkStart w:id="100" w:name="_Toc472430655"/>
      <w:r w:rsidRPr="004D08BF">
        <w:rPr>
          <w:rFonts w:ascii="Calibri" w:hAnsi="Calibri"/>
          <w:bCs/>
          <w:smallCaps/>
          <w:color w:val="44546A" w:themeColor="text2"/>
        </w:rPr>
        <w:t xml:space="preserve">Figure </w:t>
      </w:r>
      <w:r w:rsidRPr="004D08BF">
        <w:rPr>
          <w:rFonts w:ascii="Calibri" w:hAnsi="Calibri"/>
          <w:bCs/>
          <w:smallCaps/>
          <w:color w:val="44546A" w:themeColor="text2"/>
        </w:rPr>
        <w:fldChar w:fldCharType="begin"/>
      </w:r>
      <w:r w:rsidRPr="004D08BF">
        <w:rPr>
          <w:rFonts w:ascii="Calibri" w:hAnsi="Calibri"/>
          <w:bCs/>
          <w:smallCaps/>
          <w:color w:val="44546A" w:themeColor="text2"/>
        </w:rPr>
        <w:instrText xml:space="preserve"> SEQ Figure \* ARABIC </w:instrText>
      </w:r>
      <w:r w:rsidRPr="004D08BF">
        <w:rPr>
          <w:rFonts w:ascii="Calibri" w:hAnsi="Calibri"/>
          <w:bCs/>
          <w:smallCaps/>
          <w:color w:val="44546A" w:themeColor="text2"/>
        </w:rPr>
        <w:fldChar w:fldCharType="separate"/>
      </w:r>
      <w:r w:rsidR="00212D01">
        <w:rPr>
          <w:rFonts w:ascii="Calibri" w:hAnsi="Calibri"/>
          <w:bCs/>
          <w:smallCaps/>
          <w:noProof/>
          <w:color w:val="44546A" w:themeColor="text2"/>
        </w:rPr>
        <w:t>19</w:t>
      </w:r>
      <w:r w:rsidRPr="004D08BF">
        <w:rPr>
          <w:rFonts w:ascii="Calibri" w:hAnsi="Calibri"/>
          <w:bCs/>
          <w:smallCaps/>
          <w:noProof/>
          <w:color w:val="44546A" w:themeColor="text2"/>
        </w:rPr>
        <w:fldChar w:fldCharType="end"/>
      </w:r>
      <w:r w:rsidRPr="004D08BF">
        <w:rPr>
          <w:rFonts w:ascii="Calibri" w:hAnsi="Calibri"/>
          <w:bCs/>
          <w:smallCaps/>
          <w:color w:val="44546A" w:themeColor="text2"/>
        </w:rPr>
        <w:t>: Evolution of the IMF WEO forecast for Nigeria GDP</w:t>
      </w:r>
      <w:bookmarkEnd w:id="98"/>
    </w:p>
    <w:bookmarkEnd w:id="99"/>
    <w:bookmarkEnd w:id="100"/>
    <w:p w14:paraId="197B36C5" w14:textId="765076D3" w:rsidR="00626F3C" w:rsidRDefault="006D528A" w:rsidP="00626F3C">
      <w:pPr>
        <w:pStyle w:val="ListParagraph"/>
        <w:spacing w:after="0"/>
        <w:ind w:left="0"/>
        <w:rPr>
          <w:rFonts w:ascii="Calibri" w:hAnsi="Calibri"/>
          <w:sz w:val="24"/>
          <w:lang w:val="en-GB"/>
        </w:rPr>
      </w:pPr>
      <w:r>
        <w:rPr>
          <w:noProof/>
        </w:rPr>
        <w:drawing>
          <wp:inline distT="0" distB="0" distL="0" distR="0" wp14:anchorId="07EB810E" wp14:editId="70C2A80F">
            <wp:extent cx="5838825" cy="23241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808911" w14:textId="77777777" w:rsidR="006D528A" w:rsidRPr="004B2A73" w:rsidRDefault="006D528A" w:rsidP="00626F3C">
      <w:pPr>
        <w:pStyle w:val="ListParagraph"/>
        <w:spacing w:after="0"/>
        <w:ind w:left="0"/>
        <w:rPr>
          <w:rFonts w:ascii="Calibri" w:hAnsi="Calibri"/>
          <w:sz w:val="24"/>
          <w:lang w:val="en-GB"/>
        </w:rPr>
      </w:pPr>
    </w:p>
    <w:p w14:paraId="16102D96" w14:textId="275E4A27" w:rsidR="00B4787E" w:rsidRPr="00AE72D0" w:rsidRDefault="00B4787E" w:rsidP="00E826B9">
      <w:pPr>
        <w:pStyle w:val="ListParagraph"/>
        <w:numPr>
          <w:ilvl w:val="0"/>
          <w:numId w:val="6"/>
        </w:numPr>
        <w:spacing w:after="0"/>
        <w:ind w:left="0" w:firstLine="0"/>
        <w:jc w:val="both"/>
        <w:rPr>
          <w:rFonts w:ascii="Calibri" w:hAnsi="Calibri"/>
          <w:sz w:val="24"/>
          <w:szCs w:val="24"/>
          <w:lang w:val="en-GB"/>
        </w:rPr>
      </w:pPr>
      <w:r w:rsidRPr="004B2A73">
        <w:rPr>
          <w:rFonts w:ascii="Calibri" w:hAnsi="Calibri"/>
          <w:b/>
          <w:sz w:val="24"/>
          <w:lang w:val="en-GB"/>
        </w:rPr>
        <w:t>Different assumptions for the elasticity between GDP growth and TEU growth can lead to widely divergent forecast for future container traffic, and the data for West Africa shows large variations across countries and years which do not allow for a simple choice</w:t>
      </w:r>
      <w:r w:rsidRPr="004B2A73">
        <w:rPr>
          <w:rFonts w:ascii="Calibri" w:hAnsi="Calibri"/>
          <w:sz w:val="24"/>
          <w:lang w:val="en-GB"/>
        </w:rPr>
        <w:t>. For the period 1996-2011, the container growth elasticity with respect to GDP growth for the entire coastline is 1.65 (</w:t>
      </w:r>
      <w:r w:rsidRPr="004B2A73">
        <w:rPr>
          <w:rFonts w:ascii="Calibri" w:hAnsi="Calibri"/>
          <w:sz w:val="24"/>
          <w:szCs w:val="24"/>
          <w:lang w:val="en-GB"/>
        </w:rPr>
        <w:fldChar w:fldCharType="begin"/>
      </w:r>
      <w:r w:rsidRPr="004B2A73">
        <w:rPr>
          <w:rFonts w:ascii="Calibri" w:hAnsi="Calibri"/>
          <w:sz w:val="24"/>
          <w:szCs w:val="24"/>
          <w:lang w:val="en-GB"/>
        </w:rPr>
        <w:instrText xml:space="preserve"> REF _Ref448937294 \h  \* MERGEFORMAT </w:instrText>
      </w:r>
      <w:r w:rsidRPr="004B2A73">
        <w:rPr>
          <w:rFonts w:ascii="Calibri" w:hAnsi="Calibri"/>
          <w:sz w:val="24"/>
          <w:szCs w:val="24"/>
          <w:lang w:val="en-GB"/>
        </w:rPr>
      </w:r>
      <w:r w:rsidRPr="004B2A73">
        <w:rPr>
          <w:rFonts w:ascii="Calibri" w:hAnsi="Calibri"/>
          <w:sz w:val="24"/>
          <w:szCs w:val="24"/>
          <w:lang w:val="en-GB"/>
        </w:rPr>
        <w:fldChar w:fldCharType="separate"/>
      </w:r>
      <w:r w:rsidR="00212D01" w:rsidRPr="00212D01">
        <w:rPr>
          <w:rFonts w:ascii="Calibri" w:hAnsi="Calibri"/>
          <w:sz w:val="24"/>
          <w:szCs w:val="24"/>
        </w:rPr>
        <w:t xml:space="preserve">Table </w:t>
      </w:r>
      <w:r w:rsidR="00212D01" w:rsidRPr="00212D01">
        <w:rPr>
          <w:rFonts w:ascii="Calibri" w:hAnsi="Calibri"/>
          <w:noProof/>
          <w:sz w:val="24"/>
          <w:szCs w:val="24"/>
        </w:rPr>
        <w:t>21</w:t>
      </w:r>
      <w:r w:rsidRPr="004B2A73">
        <w:rPr>
          <w:rFonts w:ascii="Calibri" w:hAnsi="Calibri"/>
          <w:sz w:val="24"/>
          <w:szCs w:val="24"/>
          <w:lang w:val="en-GB"/>
        </w:rPr>
        <w:fldChar w:fldCharType="end"/>
      </w:r>
      <w:r w:rsidRPr="004B2A73">
        <w:rPr>
          <w:rFonts w:ascii="Calibri" w:hAnsi="Calibri"/>
          <w:sz w:val="24"/>
          <w:lang w:val="en-GB"/>
        </w:rPr>
        <w:t xml:space="preserve"> in Annex), with two different periods, before 2006 at 2.55, in a period of modest GDP growth but sustained container growth, and after 2006 at 0.72, in a period when the strong GDP growth was mostly driven by the commodities boom (and despite the international crisis) </w:t>
      </w:r>
      <w:r>
        <w:rPr>
          <w:rFonts w:ascii="Calibri" w:hAnsi="Calibri"/>
          <w:sz w:val="24"/>
          <w:lang w:val="en-GB"/>
        </w:rPr>
        <w:t xml:space="preserve">and more importantly by the massive adjustment in the GDP of Nigeria in </w:t>
      </w:r>
      <w:r>
        <w:rPr>
          <w:rFonts w:ascii="Calibri" w:hAnsi="Calibri"/>
          <w:sz w:val="24"/>
          <w:lang w:val="en-GB"/>
        </w:rPr>
        <w:lastRenderedPageBreak/>
        <w:t>2013</w:t>
      </w:r>
      <w:r>
        <w:rPr>
          <w:rStyle w:val="FootnoteReference"/>
          <w:rFonts w:ascii="Calibri" w:hAnsi="Calibri"/>
          <w:sz w:val="24"/>
          <w:lang w:val="en-GB"/>
        </w:rPr>
        <w:footnoteReference w:id="47"/>
      </w:r>
      <w:r>
        <w:rPr>
          <w:rFonts w:ascii="Calibri" w:hAnsi="Calibri"/>
          <w:sz w:val="24"/>
          <w:lang w:val="en-GB"/>
        </w:rPr>
        <w:t>, and the recalculation for the preceding period, while</w:t>
      </w:r>
      <w:r w:rsidRPr="004B2A73">
        <w:rPr>
          <w:rFonts w:ascii="Calibri" w:hAnsi="Calibri"/>
          <w:sz w:val="24"/>
          <w:lang w:val="en-GB"/>
        </w:rPr>
        <w:t xml:space="preserve"> container growth maintained its steady rate. As the decomposition of container throughput into transit and </w:t>
      </w:r>
      <w:r w:rsidRPr="004B2A73">
        <w:rPr>
          <w:rFonts w:ascii="Calibri" w:hAnsi="Calibri"/>
          <w:sz w:val="24"/>
        </w:rPr>
        <w:t>transshipment</w:t>
      </w:r>
      <w:r w:rsidRPr="004B2A73">
        <w:rPr>
          <w:rFonts w:ascii="Calibri" w:hAnsi="Calibri"/>
          <w:sz w:val="24"/>
          <w:lang w:val="en-GB"/>
        </w:rPr>
        <w:t xml:space="preserve"> was not available for 1996 data, this elasticity includes transit and </w:t>
      </w:r>
      <w:r w:rsidRPr="004B2A73">
        <w:rPr>
          <w:rFonts w:ascii="Calibri" w:hAnsi="Calibri"/>
          <w:sz w:val="24"/>
        </w:rPr>
        <w:t>transshipment</w:t>
      </w:r>
      <w:r w:rsidRPr="004B2A73">
        <w:rPr>
          <w:rFonts w:ascii="Calibri" w:hAnsi="Calibri"/>
          <w:sz w:val="24"/>
          <w:lang w:val="en-GB"/>
        </w:rPr>
        <w:t xml:space="preserve"> containers for this year (transit was modest, and transhipment negligible) but excludes both for the 2006 and 2011 data. For the West Africa region, the GDP growth was calculated on all 15 ECOWAS countries, and port throughput including transit but excluding transhipment. There is a large heterogeneity among the values of that traffic to GDP elasticity across the different West Africa ports, and even </w:t>
      </w:r>
      <w:r w:rsidRPr="00AE72D0">
        <w:rPr>
          <w:rFonts w:ascii="Calibri" w:hAnsi="Calibri"/>
          <w:sz w:val="24"/>
          <w:szCs w:val="24"/>
          <w:lang w:val="en-GB"/>
        </w:rPr>
        <w:t xml:space="preserve">across the years, at regional level, as illustrated in </w:t>
      </w:r>
      <w:r w:rsidRPr="00AE72D0">
        <w:rPr>
          <w:rFonts w:ascii="Calibri" w:hAnsi="Calibri"/>
          <w:sz w:val="24"/>
          <w:szCs w:val="24"/>
          <w:lang w:val="en-GB"/>
        </w:rPr>
        <w:fldChar w:fldCharType="begin"/>
      </w:r>
      <w:r w:rsidRPr="00AE72D0">
        <w:rPr>
          <w:rFonts w:ascii="Calibri" w:hAnsi="Calibri"/>
          <w:sz w:val="24"/>
          <w:szCs w:val="24"/>
          <w:lang w:val="en-GB"/>
        </w:rPr>
        <w:instrText xml:space="preserve"> REF _Ref449446784 \h  \* MERGEFORMAT </w:instrText>
      </w:r>
      <w:r w:rsidRPr="00AE72D0">
        <w:rPr>
          <w:rFonts w:ascii="Calibri" w:hAnsi="Calibri"/>
          <w:sz w:val="24"/>
          <w:szCs w:val="24"/>
          <w:lang w:val="en-GB"/>
        </w:rPr>
      </w:r>
      <w:r w:rsidRPr="00AE72D0">
        <w:rPr>
          <w:rFonts w:ascii="Calibri" w:hAnsi="Calibri"/>
          <w:sz w:val="24"/>
          <w:szCs w:val="24"/>
          <w:lang w:val="en-GB"/>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20</w:t>
      </w:r>
      <w:r w:rsidRPr="00AE72D0">
        <w:rPr>
          <w:rFonts w:ascii="Calibri" w:hAnsi="Calibri"/>
          <w:sz w:val="24"/>
          <w:szCs w:val="24"/>
          <w:lang w:val="en-GB"/>
        </w:rPr>
        <w:fldChar w:fldCharType="end"/>
      </w:r>
      <w:r w:rsidRPr="00AE72D0">
        <w:rPr>
          <w:rFonts w:ascii="Calibri" w:hAnsi="Calibri"/>
          <w:sz w:val="24"/>
          <w:szCs w:val="24"/>
          <w:lang w:val="en-GB"/>
        </w:rPr>
        <w:t>.</w:t>
      </w:r>
    </w:p>
    <w:p w14:paraId="00FACCB9" w14:textId="77777777" w:rsidR="0068265C" w:rsidRPr="004B2A73" w:rsidRDefault="0068265C" w:rsidP="0068265C">
      <w:pPr>
        <w:pStyle w:val="ListParagraph"/>
        <w:spacing w:after="0"/>
        <w:ind w:left="0"/>
        <w:rPr>
          <w:rFonts w:ascii="Calibri" w:hAnsi="Calibri"/>
          <w:sz w:val="24"/>
          <w:lang w:val="en-GB"/>
        </w:rPr>
      </w:pPr>
    </w:p>
    <w:p w14:paraId="308C8A7B" w14:textId="5916F9C3" w:rsidR="0068265C" w:rsidRPr="004B2A73" w:rsidRDefault="0068265C" w:rsidP="0068265C">
      <w:pPr>
        <w:pStyle w:val="Caption"/>
        <w:rPr>
          <w:rFonts w:ascii="Calibri" w:hAnsi="Calibri"/>
        </w:rPr>
      </w:pPr>
      <w:bookmarkStart w:id="101" w:name="_Ref449446784"/>
      <w:bookmarkStart w:id="102" w:name="_Toc485377055"/>
      <w:r w:rsidRPr="004B2A73">
        <w:rPr>
          <w:rFonts w:ascii="Calibri" w:hAnsi="Calibri"/>
        </w:rPr>
        <w:t xml:space="preserve">Figure </w:t>
      </w:r>
      <w:r w:rsidR="00811885" w:rsidRPr="004B2A73">
        <w:rPr>
          <w:rFonts w:ascii="Calibri" w:hAnsi="Calibri"/>
        </w:rPr>
        <w:fldChar w:fldCharType="begin"/>
      </w:r>
      <w:r w:rsidR="00811885" w:rsidRPr="004B2A73">
        <w:rPr>
          <w:rFonts w:ascii="Calibri" w:hAnsi="Calibri"/>
        </w:rPr>
        <w:instrText xml:space="preserve"> SEQ Figure \* ARABIC </w:instrText>
      </w:r>
      <w:r w:rsidR="00811885" w:rsidRPr="004B2A73">
        <w:rPr>
          <w:rFonts w:ascii="Calibri" w:hAnsi="Calibri"/>
        </w:rPr>
        <w:fldChar w:fldCharType="separate"/>
      </w:r>
      <w:r w:rsidR="00212D01">
        <w:rPr>
          <w:rFonts w:ascii="Calibri" w:hAnsi="Calibri"/>
          <w:noProof/>
        </w:rPr>
        <w:t>20</w:t>
      </w:r>
      <w:r w:rsidR="00811885" w:rsidRPr="004B2A73">
        <w:rPr>
          <w:rFonts w:ascii="Calibri" w:hAnsi="Calibri"/>
          <w:noProof/>
        </w:rPr>
        <w:fldChar w:fldCharType="end"/>
      </w:r>
      <w:bookmarkEnd w:id="101"/>
      <w:r w:rsidRPr="004B2A73">
        <w:rPr>
          <w:rFonts w:ascii="Calibri" w:hAnsi="Calibri"/>
        </w:rPr>
        <w:t>: TEU growth versus GDP growth for 2004 - 2014</w:t>
      </w:r>
      <w:bookmarkEnd w:id="102"/>
    </w:p>
    <w:p w14:paraId="1AA97025" w14:textId="77777777" w:rsidR="00626F3C" w:rsidRPr="004B2A73" w:rsidRDefault="0068265C" w:rsidP="00626F3C">
      <w:pPr>
        <w:pStyle w:val="ListParagraph"/>
        <w:spacing w:after="0"/>
        <w:ind w:left="0"/>
        <w:rPr>
          <w:rFonts w:ascii="Calibri" w:hAnsi="Calibri"/>
          <w:sz w:val="24"/>
        </w:rPr>
      </w:pPr>
      <w:r w:rsidRPr="004B2A73">
        <w:rPr>
          <w:rFonts w:ascii="Calibri" w:hAnsi="Calibri"/>
          <w:noProof/>
        </w:rPr>
        <w:drawing>
          <wp:inline distT="0" distB="0" distL="0" distR="0" wp14:anchorId="1B7432A7" wp14:editId="53C7EE8F">
            <wp:extent cx="4572000" cy="208597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F87E8F6" w14:textId="210D8679" w:rsidR="00536863" w:rsidRPr="004B2A73" w:rsidRDefault="00536863"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In comparison with other regions of the world, the calculated elasticity values are low</w:t>
      </w:r>
      <w:r w:rsidRPr="004B2A73">
        <w:rPr>
          <w:rFonts w:ascii="Calibri" w:hAnsi="Calibri"/>
          <w:sz w:val="24"/>
        </w:rPr>
        <w:t xml:space="preserve">. For the two periods 1990 to 2000 and then 2000 to 2010, the elasticity of container trade with respect to GDP for Europe remained at 3.2, increased from 1.9 to 2.4 for North America, and fell from 2.3 to 1.6 in </w:t>
      </w:r>
      <w:r w:rsidRPr="00AE72D0">
        <w:rPr>
          <w:rFonts w:ascii="Calibri" w:hAnsi="Calibri"/>
          <w:sz w:val="24"/>
          <w:lang w:val="en-GB"/>
        </w:rPr>
        <w:t>Asia. In principle, container trade is growing faster than GDP, but there is no consistent trend,</w:t>
      </w:r>
      <w:r w:rsidRPr="004B2A73">
        <w:rPr>
          <w:rFonts w:ascii="Calibri" w:hAnsi="Calibri"/>
          <w:sz w:val="24"/>
        </w:rPr>
        <w:t xml:space="preserve"> and the average multiplier has been declining over time</w:t>
      </w:r>
      <w:r w:rsidRPr="004B2A73">
        <w:rPr>
          <w:rStyle w:val="FootnoteReference"/>
          <w:rFonts w:ascii="Calibri" w:hAnsi="Calibri"/>
          <w:sz w:val="24"/>
        </w:rPr>
        <w:footnoteReference w:id="48"/>
      </w:r>
      <w:r w:rsidRPr="004B2A73">
        <w:rPr>
          <w:rFonts w:ascii="Calibri" w:hAnsi="Calibri"/>
          <w:sz w:val="24"/>
        </w:rPr>
        <w:t xml:space="preserve">. </w:t>
      </w:r>
      <w:r w:rsidRPr="004B2A73">
        <w:rPr>
          <w:rFonts w:ascii="Calibri" w:hAnsi="Calibri"/>
          <w:sz w:val="24"/>
          <w:lang w:val="en-GB"/>
        </w:rPr>
        <w:t xml:space="preserve">Unlike Europe, North America and Asia, the West African economies are just starting to open up to the world markets. A rising share of trade in GDP would imply using a high elasticity for the traffic forecast for the period 2011 to 2025, but </w:t>
      </w:r>
      <w:r>
        <w:rPr>
          <w:rFonts w:ascii="Calibri" w:hAnsi="Calibri"/>
          <w:sz w:val="24"/>
          <w:lang w:val="en-GB"/>
        </w:rPr>
        <w:t>three</w:t>
      </w:r>
      <w:r w:rsidRPr="004B2A73">
        <w:rPr>
          <w:rFonts w:ascii="Calibri" w:hAnsi="Calibri"/>
          <w:sz w:val="24"/>
          <w:lang w:val="en-GB"/>
        </w:rPr>
        <w:t xml:space="preserve"> points advocate for more conservative values. First, in the very recent years, the trade intensity of growth worldwide seemed to have decreased, and this phenomenon will also affect West Africa. The second is that for the West Africa countries, a large part of the GDP growth is driven by commodities, which are largely independent from container trade. </w:t>
      </w:r>
      <w:r>
        <w:rPr>
          <w:rFonts w:ascii="Calibri" w:hAnsi="Calibri"/>
          <w:sz w:val="24"/>
          <w:lang w:val="en-GB"/>
        </w:rPr>
        <w:t>The third is that</w:t>
      </w:r>
      <w:r w:rsidRPr="004B2A73">
        <w:rPr>
          <w:rFonts w:ascii="Calibri" w:hAnsi="Calibri"/>
          <w:sz w:val="24"/>
          <w:lang w:val="en-GB"/>
        </w:rPr>
        <w:t xml:space="preserve">, over the last decade, GDP and container trade paths are closely aligned, as illustrated in </w:t>
      </w:r>
      <w:r w:rsidRPr="004B2A73">
        <w:rPr>
          <w:rFonts w:ascii="Calibri" w:hAnsi="Calibri"/>
          <w:sz w:val="24"/>
          <w:szCs w:val="24"/>
          <w:lang w:val="en-GB"/>
        </w:rPr>
        <w:fldChar w:fldCharType="begin"/>
      </w:r>
      <w:r w:rsidRPr="004B2A73">
        <w:rPr>
          <w:rFonts w:ascii="Calibri" w:hAnsi="Calibri"/>
          <w:sz w:val="24"/>
          <w:szCs w:val="24"/>
          <w:lang w:val="en-GB"/>
        </w:rPr>
        <w:instrText xml:space="preserve"> REF _Ref449447771 \h  \* MERGEFORMAT </w:instrText>
      </w:r>
      <w:r w:rsidRPr="004B2A73">
        <w:rPr>
          <w:rFonts w:ascii="Calibri" w:hAnsi="Calibri"/>
          <w:sz w:val="24"/>
          <w:szCs w:val="24"/>
          <w:lang w:val="en-GB"/>
        </w:rPr>
      </w:r>
      <w:r w:rsidRPr="004B2A73">
        <w:rPr>
          <w:rFonts w:ascii="Calibri" w:hAnsi="Calibri"/>
          <w:sz w:val="24"/>
          <w:szCs w:val="24"/>
          <w:lang w:val="en-GB"/>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21</w:t>
      </w:r>
      <w:r w:rsidRPr="004B2A73">
        <w:rPr>
          <w:rFonts w:ascii="Calibri" w:hAnsi="Calibri"/>
          <w:sz w:val="24"/>
          <w:szCs w:val="24"/>
          <w:lang w:val="en-GB"/>
        </w:rPr>
        <w:fldChar w:fldCharType="end"/>
      </w:r>
      <w:r w:rsidRPr="004B2A73">
        <w:rPr>
          <w:rFonts w:ascii="Calibri" w:hAnsi="Calibri"/>
          <w:sz w:val="24"/>
          <w:szCs w:val="24"/>
          <w:lang w:val="en-GB"/>
        </w:rPr>
        <w:t>.</w:t>
      </w:r>
      <w:r>
        <w:rPr>
          <w:rFonts w:ascii="Calibri" w:hAnsi="Calibri"/>
          <w:sz w:val="24"/>
          <w:szCs w:val="24"/>
          <w:lang w:val="en-GB"/>
        </w:rPr>
        <w:t xml:space="preserve"> A conservative elasticity of 1 has therefore been retained for the forecast of the container traffic growth, but optimistic forecast with the long term regional elasticity of 1.65 have also been included for comparison.</w:t>
      </w:r>
    </w:p>
    <w:p w14:paraId="40D26009" w14:textId="77777777" w:rsidR="00626F3C" w:rsidRPr="004B2A73" w:rsidRDefault="00626F3C" w:rsidP="00626F3C">
      <w:pPr>
        <w:pStyle w:val="ListParagraph"/>
        <w:spacing w:after="0"/>
        <w:ind w:left="0"/>
        <w:rPr>
          <w:rFonts w:ascii="Calibri" w:hAnsi="Calibri"/>
          <w:sz w:val="24"/>
        </w:rPr>
      </w:pPr>
    </w:p>
    <w:p w14:paraId="61BAFDAD" w14:textId="0A6FE77A" w:rsidR="001C14B1" w:rsidRPr="004B2A73" w:rsidRDefault="001C14B1" w:rsidP="001C14B1">
      <w:pPr>
        <w:pStyle w:val="Caption"/>
        <w:rPr>
          <w:rFonts w:ascii="Calibri" w:hAnsi="Calibri"/>
        </w:rPr>
      </w:pPr>
      <w:bookmarkStart w:id="103" w:name="_Ref449447771"/>
      <w:bookmarkStart w:id="104" w:name="_Toc485377056"/>
      <w:r w:rsidRPr="004B2A73">
        <w:rPr>
          <w:rFonts w:ascii="Calibri" w:hAnsi="Calibri"/>
        </w:rPr>
        <w:lastRenderedPageBreak/>
        <w:t xml:space="preserve">Figure </w:t>
      </w:r>
      <w:r w:rsidR="00811885" w:rsidRPr="004B2A73">
        <w:rPr>
          <w:rFonts w:ascii="Calibri" w:hAnsi="Calibri"/>
        </w:rPr>
        <w:fldChar w:fldCharType="begin"/>
      </w:r>
      <w:r w:rsidR="00811885" w:rsidRPr="004B2A73">
        <w:rPr>
          <w:rFonts w:ascii="Calibri" w:hAnsi="Calibri"/>
        </w:rPr>
        <w:instrText xml:space="preserve"> SEQ Figure \* ARABIC </w:instrText>
      </w:r>
      <w:r w:rsidR="00811885" w:rsidRPr="004B2A73">
        <w:rPr>
          <w:rFonts w:ascii="Calibri" w:hAnsi="Calibri"/>
        </w:rPr>
        <w:fldChar w:fldCharType="separate"/>
      </w:r>
      <w:r w:rsidR="00212D01">
        <w:rPr>
          <w:rFonts w:ascii="Calibri" w:hAnsi="Calibri"/>
          <w:noProof/>
        </w:rPr>
        <w:t>21</w:t>
      </w:r>
      <w:r w:rsidR="00811885" w:rsidRPr="004B2A73">
        <w:rPr>
          <w:rFonts w:ascii="Calibri" w:hAnsi="Calibri"/>
          <w:noProof/>
        </w:rPr>
        <w:fldChar w:fldCharType="end"/>
      </w:r>
      <w:bookmarkEnd w:id="103"/>
      <w:r w:rsidRPr="004B2A73">
        <w:rPr>
          <w:rFonts w:ascii="Calibri" w:hAnsi="Calibri"/>
        </w:rPr>
        <w:t>: Relation between GDP and container traffic in West Africa</w:t>
      </w:r>
      <w:bookmarkEnd w:id="104"/>
    </w:p>
    <w:p w14:paraId="5DA2CFD4" w14:textId="77777777" w:rsidR="001C14B1" w:rsidRPr="004B2A73" w:rsidRDefault="001C14B1" w:rsidP="00626F3C">
      <w:pPr>
        <w:pStyle w:val="ListParagraph"/>
        <w:spacing w:after="0"/>
        <w:ind w:left="0"/>
        <w:rPr>
          <w:rFonts w:ascii="Calibri" w:hAnsi="Calibri"/>
          <w:sz w:val="24"/>
        </w:rPr>
      </w:pPr>
      <w:r w:rsidRPr="004B2A73">
        <w:rPr>
          <w:rFonts w:ascii="Calibri" w:hAnsi="Calibri"/>
          <w:noProof/>
        </w:rPr>
        <w:drawing>
          <wp:inline distT="0" distB="0" distL="0" distR="0" wp14:anchorId="3817BF23" wp14:editId="020C7DBB">
            <wp:extent cx="4572000" cy="20764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0BED21" w14:textId="77777777" w:rsidR="001C14B1" w:rsidRPr="004B2A73" w:rsidRDefault="001C14B1" w:rsidP="00626F3C">
      <w:pPr>
        <w:pStyle w:val="ListParagraph"/>
        <w:spacing w:after="0"/>
        <w:ind w:left="0"/>
        <w:rPr>
          <w:rFonts w:ascii="Calibri" w:hAnsi="Calibri"/>
          <w:sz w:val="24"/>
        </w:rPr>
      </w:pPr>
    </w:p>
    <w:p w14:paraId="0415C9E4" w14:textId="00576B85" w:rsidR="00536863" w:rsidRPr="004B2A73" w:rsidRDefault="00536863" w:rsidP="00E826B9">
      <w:pPr>
        <w:pStyle w:val="ListParagraph"/>
        <w:numPr>
          <w:ilvl w:val="0"/>
          <w:numId w:val="6"/>
        </w:numPr>
        <w:spacing w:after="0"/>
        <w:ind w:left="0" w:firstLine="0"/>
        <w:jc w:val="both"/>
        <w:rPr>
          <w:rFonts w:ascii="Calibri" w:hAnsi="Calibri"/>
          <w:sz w:val="24"/>
        </w:rPr>
      </w:pPr>
      <w:r w:rsidRPr="005E06F3">
        <w:rPr>
          <w:rFonts w:ascii="Calibri" w:hAnsi="Calibri"/>
          <w:b/>
          <w:sz w:val="24"/>
        </w:rPr>
        <w:t xml:space="preserve">Based on </w:t>
      </w:r>
      <w:r>
        <w:rPr>
          <w:rFonts w:ascii="Calibri" w:hAnsi="Calibri"/>
          <w:b/>
          <w:sz w:val="24"/>
        </w:rPr>
        <w:t>a</w:t>
      </w:r>
      <w:r w:rsidRPr="005E06F3">
        <w:rPr>
          <w:rFonts w:ascii="Calibri" w:hAnsi="Calibri"/>
          <w:b/>
          <w:sz w:val="24"/>
        </w:rPr>
        <w:t xml:space="preserve"> value </w:t>
      </w:r>
      <w:r>
        <w:rPr>
          <w:rFonts w:ascii="Calibri" w:hAnsi="Calibri"/>
          <w:b/>
          <w:sz w:val="24"/>
        </w:rPr>
        <w:t xml:space="preserve">of 1 </w:t>
      </w:r>
      <w:r w:rsidRPr="005E06F3">
        <w:rPr>
          <w:rFonts w:ascii="Calibri" w:hAnsi="Calibri"/>
          <w:b/>
          <w:sz w:val="24"/>
        </w:rPr>
        <w:t>for the TEU to GDP elasticity</w:t>
      </w:r>
      <w:r w:rsidRPr="004B2A73">
        <w:rPr>
          <w:rFonts w:ascii="Calibri" w:hAnsi="Calibri"/>
          <w:b/>
          <w:sz w:val="24"/>
        </w:rPr>
        <w:t xml:space="preserve">, container traffic for the coastal countries (excluding transit to landlocked countries) is projected to increase from 3.8 million TEUs in 2011 to </w:t>
      </w:r>
      <w:r>
        <w:rPr>
          <w:rFonts w:ascii="Calibri" w:hAnsi="Calibri"/>
          <w:b/>
          <w:sz w:val="24"/>
        </w:rPr>
        <w:t>5.5</w:t>
      </w:r>
      <w:r w:rsidRPr="004B2A73">
        <w:rPr>
          <w:rFonts w:ascii="Calibri" w:hAnsi="Calibri"/>
          <w:b/>
          <w:sz w:val="24"/>
        </w:rPr>
        <w:t xml:space="preserve"> million TEUs in 2020 and </w:t>
      </w:r>
      <w:r>
        <w:rPr>
          <w:rFonts w:ascii="Calibri" w:hAnsi="Calibri"/>
          <w:b/>
          <w:sz w:val="24"/>
        </w:rPr>
        <w:t>8.0</w:t>
      </w:r>
      <w:r w:rsidRPr="004B2A73">
        <w:rPr>
          <w:rFonts w:ascii="Calibri" w:hAnsi="Calibri"/>
          <w:b/>
          <w:sz w:val="24"/>
        </w:rPr>
        <w:t xml:space="preserve"> million TEUs in 2025</w:t>
      </w:r>
      <w:r>
        <w:rPr>
          <w:rFonts w:ascii="Calibri" w:hAnsi="Calibri"/>
          <w:b/>
          <w:sz w:val="24"/>
        </w:rPr>
        <w:t xml:space="preserve"> </w:t>
      </w:r>
      <w:r w:rsidRPr="004B2A73">
        <w:rPr>
          <w:rFonts w:ascii="Calibri" w:hAnsi="Calibri"/>
          <w:b/>
          <w:sz w:val="24"/>
        </w:rPr>
        <w:t>(</w:t>
      </w:r>
      <w:r w:rsidRPr="004B2A73">
        <w:rPr>
          <w:rFonts w:ascii="Calibri" w:hAnsi="Calibri"/>
          <w:b/>
          <w:sz w:val="24"/>
          <w:szCs w:val="24"/>
        </w:rPr>
        <w:fldChar w:fldCharType="begin"/>
      </w:r>
      <w:r w:rsidRPr="004B2A73">
        <w:rPr>
          <w:rFonts w:ascii="Calibri" w:hAnsi="Calibri"/>
          <w:b/>
          <w:sz w:val="24"/>
          <w:szCs w:val="24"/>
        </w:rPr>
        <w:instrText xml:space="preserve"> REF _Ref448940231 \h  \* MERGEFORMAT </w:instrText>
      </w:r>
      <w:r w:rsidRPr="004B2A73">
        <w:rPr>
          <w:rFonts w:ascii="Calibri" w:hAnsi="Calibri"/>
          <w:b/>
          <w:sz w:val="24"/>
          <w:szCs w:val="24"/>
        </w:rPr>
      </w:r>
      <w:r w:rsidRPr="004B2A73">
        <w:rPr>
          <w:rFonts w:ascii="Calibri" w:hAnsi="Calibri"/>
          <w:b/>
          <w:sz w:val="24"/>
          <w:szCs w:val="24"/>
        </w:rPr>
        <w:fldChar w:fldCharType="separate"/>
      </w:r>
      <w:r w:rsidR="00212D01" w:rsidRPr="00212D01">
        <w:rPr>
          <w:rFonts w:ascii="Calibri" w:hAnsi="Calibri"/>
          <w:b/>
          <w:sz w:val="24"/>
          <w:szCs w:val="24"/>
        </w:rPr>
        <w:t xml:space="preserve">Figure </w:t>
      </w:r>
      <w:r w:rsidR="00212D01" w:rsidRPr="00212D01">
        <w:rPr>
          <w:rFonts w:ascii="Calibri" w:hAnsi="Calibri"/>
          <w:b/>
          <w:noProof/>
          <w:sz w:val="24"/>
          <w:szCs w:val="24"/>
        </w:rPr>
        <w:t>22</w:t>
      </w:r>
      <w:r w:rsidRPr="004B2A73">
        <w:rPr>
          <w:rFonts w:ascii="Calibri" w:hAnsi="Calibri"/>
          <w:b/>
          <w:sz w:val="24"/>
          <w:szCs w:val="24"/>
        </w:rPr>
        <w:fldChar w:fldCharType="end"/>
      </w:r>
      <w:r w:rsidRPr="004B2A73">
        <w:rPr>
          <w:rFonts w:ascii="Calibri" w:hAnsi="Calibri"/>
          <w:b/>
          <w:sz w:val="24"/>
        </w:rPr>
        <w:t>).</w:t>
      </w:r>
      <w:r w:rsidRPr="004B2A73">
        <w:rPr>
          <w:rFonts w:ascii="Calibri" w:hAnsi="Calibri"/>
          <w:sz w:val="24"/>
        </w:rPr>
        <w:t xml:space="preserve"> This traffic forecast is highly sensitive to the assumption for the elasticity. For instance, applying the </w:t>
      </w:r>
      <w:r>
        <w:rPr>
          <w:rFonts w:ascii="Calibri" w:hAnsi="Calibri"/>
          <w:sz w:val="24"/>
        </w:rPr>
        <w:t>long term regional</w:t>
      </w:r>
      <w:r w:rsidRPr="004B2A73">
        <w:rPr>
          <w:rFonts w:ascii="Calibri" w:hAnsi="Calibri"/>
          <w:sz w:val="24"/>
        </w:rPr>
        <w:t xml:space="preserve"> elasticity of </w:t>
      </w:r>
      <w:r>
        <w:rPr>
          <w:rFonts w:ascii="Calibri" w:hAnsi="Calibri"/>
          <w:sz w:val="24"/>
        </w:rPr>
        <w:t>1.65</w:t>
      </w:r>
      <w:r w:rsidRPr="004B2A73">
        <w:rPr>
          <w:rFonts w:ascii="Calibri" w:hAnsi="Calibri"/>
          <w:sz w:val="24"/>
        </w:rPr>
        <w:t xml:space="preserve"> (calculated for the period </w:t>
      </w:r>
      <w:r>
        <w:rPr>
          <w:rFonts w:ascii="Calibri" w:hAnsi="Calibri"/>
          <w:sz w:val="24"/>
        </w:rPr>
        <w:t>1996 to 2011</w:t>
      </w:r>
      <w:r w:rsidRPr="004B2A73">
        <w:rPr>
          <w:rFonts w:ascii="Calibri" w:hAnsi="Calibri"/>
          <w:sz w:val="24"/>
        </w:rPr>
        <w:t xml:space="preserve">) to the forecast period would result in total container traffic of </w:t>
      </w:r>
      <w:r>
        <w:rPr>
          <w:rFonts w:ascii="Calibri" w:hAnsi="Calibri"/>
          <w:sz w:val="24"/>
        </w:rPr>
        <w:t>13.3</w:t>
      </w:r>
      <w:r w:rsidRPr="004B2A73">
        <w:rPr>
          <w:rFonts w:ascii="Calibri" w:hAnsi="Calibri"/>
          <w:sz w:val="24"/>
        </w:rPr>
        <w:t xml:space="preserve"> million TEUs in 2025. The result with the long-term elasticity of 1.65 is more in line with the observed growth rate for container throughput over the period 1996 to 2011, which is averaging 9.9% per year. Using the long term elasticity is resulting in a high volume scenario for the West Africa ports, but it is important to note that the current forecast is being made in a depressed scenario in which all GDP growth forecast have been revised downwards due to the drop in commodity prices.</w:t>
      </w:r>
    </w:p>
    <w:p w14:paraId="588E9106" w14:textId="77777777" w:rsidR="00B62776" w:rsidRPr="004B2A73" w:rsidRDefault="00B62776" w:rsidP="00B62776">
      <w:pPr>
        <w:spacing w:after="0"/>
        <w:rPr>
          <w:rFonts w:ascii="Calibri" w:hAnsi="Calibri"/>
          <w:sz w:val="24"/>
        </w:rPr>
      </w:pPr>
    </w:p>
    <w:p w14:paraId="705E76AF" w14:textId="08D02FF7" w:rsidR="00626F3C" w:rsidRPr="004B2A73" w:rsidRDefault="00626F3C" w:rsidP="00AF33A5">
      <w:pPr>
        <w:pStyle w:val="Caption"/>
        <w:rPr>
          <w:rFonts w:ascii="Calibri" w:hAnsi="Calibri"/>
        </w:rPr>
      </w:pPr>
      <w:bookmarkStart w:id="105" w:name="_Ref448940231"/>
      <w:bookmarkStart w:id="106" w:name="_Toc485377057"/>
      <w:r w:rsidRPr="004B2A73">
        <w:rPr>
          <w:rFonts w:ascii="Calibri" w:hAnsi="Calibri"/>
        </w:rPr>
        <w:t xml:space="preserve">Figure </w:t>
      </w:r>
      <w:r w:rsidR="00811885" w:rsidRPr="004B2A73">
        <w:rPr>
          <w:rFonts w:ascii="Calibri" w:hAnsi="Calibri"/>
        </w:rPr>
        <w:fldChar w:fldCharType="begin"/>
      </w:r>
      <w:r w:rsidR="00811885" w:rsidRPr="004B2A73">
        <w:rPr>
          <w:rFonts w:ascii="Calibri" w:hAnsi="Calibri"/>
        </w:rPr>
        <w:instrText xml:space="preserve"> SEQ Figure \* ARABIC </w:instrText>
      </w:r>
      <w:r w:rsidR="00811885" w:rsidRPr="004B2A73">
        <w:rPr>
          <w:rFonts w:ascii="Calibri" w:hAnsi="Calibri"/>
        </w:rPr>
        <w:fldChar w:fldCharType="separate"/>
      </w:r>
      <w:r w:rsidR="00212D01">
        <w:rPr>
          <w:rFonts w:ascii="Calibri" w:hAnsi="Calibri"/>
          <w:noProof/>
        </w:rPr>
        <w:t>22</w:t>
      </w:r>
      <w:r w:rsidR="00811885" w:rsidRPr="004B2A73">
        <w:rPr>
          <w:rFonts w:ascii="Calibri" w:hAnsi="Calibri"/>
          <w:noProof/>
        </w:rPr>
        <w:fldChar w:fldCharType="end"/>
      </w:r>
      <w:bookmarkEnd w:id="105"/>
      <w:r w:rsidRPr="004B2A73">
        <w:rPr>
          <w:rFonts w:ascii="Calibri" w:hAnsi="Calibri"/>
        </w:rPr>
        <w:t>: Actual and forecast trade related container traffic for coastal countries (excluding transit) (Million TEUs)</w:t>
      </w:r>
      <w:r w:rsidR="003A24C5" w:rsidRPr="004B2A73">
        <w:rPr>
          <w:rFonts w:ascii="Calibri" w:hAnsi="Calibri"/>
        </w:rPr>
        <w:t>, according to elasticity selected</w:t>
      </w:r>
      <w:bookmarkEnd w:id="106"/>
    </w:p>
    <w:p w14:paraId="72FBF9CD" w14:textId="4592B9C1" w:rsidR="003A24C5" w:rsidRPr="004B2A73" w:rsidRDefault="00536863" w:rsidP="003A24C5">
      <w:pPr>
        <w:rPr>
          <w:rFonts w:ascii="Calibri" w:hAnsi="Calibri"/>
        </w:rPr>
      </w:pPr>
      <w:r>
        <w:rPr>
          <w:noProof/>
        </w:rPr>
        <w:drawing>
          <wp:inline distT="0" distB="0" distL="0" distR="0" wp14:anchorId="28ED090A" wp14:editId="28809C00">
            <wp:extent cx="5005388" cy="1719263"/>
            <wp:effectExtent l="0" t="0" r="508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BE2324" w14:textId="36EACF27" w:rsidR="00626F3C" w:rsidRPr="004B2A73" w:rsidRDefault="00626F3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The transit traffic for landlocked countries is estimated in two steps.  First, the total container volume is estimated</w:t>
      </w:r>
      <w:r w:rsidR="002F5B27" w:rsidRPr="004B2A73">
        <w:rPr>
          <w:rFonts w:ascii="Calibri" w:hAnsi="Calibri"/>
          <w:b/>
          <w:sz w:val="24"/>
        </w:rPr>
        <w:t xml:space="preserve"> for the landlocked countries using the TEU to GDP growth elasticity</w:t>
      </w:r>
      <w:r w:rsidRPr="004B2A73">
        <w:rPr>
          <w:rFonts w:ascii="Calibri" w:hAnsi="Calibri"/>
          <w:b/>
          <w:sz w:val="24"/>
        </w:rPr>
        <w:t xml:space="preserve">, and then </w:t>
      </w:r>
      <w:r w:rsidR="002F5B27" w:rsidRPr="004B2A73">
        <w:rPr>
          <w:rFonts w:ascii="Calibri" w:hAnsi="Calibri"/>
          <w:b/>
          <w:sz w:val="24"/>
        </w:rPr>
        <w:t xml:space="preserve">that </w:t>
      </w:r>
      <w:r w:rsidRPr="004B2A73">
        <w:rPr>
          <w:rFonts w:ascii="Calibri" w:hAnsi="Calibri"/>
          <w:b/>
          <w:sz w:val="24"/>
        </w:rPr>
        <w:t>total volume is allocated among the coastal gateway ports</w:t>
      </w:r>
      <w:r w:rsidRPr="004B2A73">
        <w:rPr>
          <w:rFonts w:ascii="Calibri" w:hAnsi="Calibri"/>
          <w:sz w:val="24"/>
        </w:rPr>
        <w:t>. A minor difficulty for the first step is that transit traffic with the West Africa landlocked countries is only available in tonnage, and very rarely in TEUs</w:t>
      </w:r>
      <w:r w:rsidR="002F5B27" w:rsidRPr="004B2A73">
        <w:rPr>
          <w:rFonts w:ascii="Calibri" w:hAnsi="Calibri"/>
          <w:sz w:val="24"/>
        </w:rPr>
        <w:t xml:space="preserve"> (most containers are stripped at the ports)</w:t>
      </w:r>
      <w:r w:rsidRPr="004B2A73">
        <w:rPr>
          <w:rFonts w:ascii="Calibri" w:hAnsi="Calibri"/>
          <w:sz w:val="24"/>
        </w:rPr>
        <w:t xml:space="preserve">. A </w:t>
      </w:r>
      <w:r w:rsidRPr="004B2A73">
        <w:rPr>
          <w:rFonts w:ascii="Calibri" w:hAnsi="Calibri"/>
          <w:sz w:val="24"/>
        </w:rPr>
        <w:lastRenderedPageBreak/>
        <w:t>conversion factor, tons to TEU, will therefore be applied first</w:t>
      </w:r>
      <w:r w:rsidR="002F5B27" w:rsidRPr="004B2A73">
        <w:rPr>
          <w:rFonts w:ascii="Calibri" w:hAnsi="Calibri"/>
          <w:sz w:val="24"/>
        </w:rPr>
        <w:t xml:space="preserve"> to enable forecast of the total container traffic linked to GDP growth</w:t>
      </w:r>
      <w:r w:rsidRPr="004B2A73">
        <w:rPr>
          <w:rFonts w:ascii="Calibri" w:hAnsi="Calibri"/>
          <w:sz w:val="24"/>
        </w:rPr>
        <w:t xml:space="preserve">.  The allocation of transit </w:t>
      </w:r>
      <w:r w:rsidR="002F5B27" w:rsidRPr="004B2A73">
        <w:rPr>
          <w:rFonts w:ascii="Calibri" w:hAnsi="Calibri"/>
          <w:sz w:val="24"/>
        </w:rPr>
        <w:t xml:space="preserve">traffic </w:t>
      </w:r>
      <w:r w:rsidRPr="004B2A73">
        <w:rPr>
          <w:rFonts w:ascii="Calibri" w:hAnsi="Calibri"/>
          <w:sz w:val="24"/>
        </w:rPr>
        <w:t>to each port depends more on the respective competitiveness of the entire corridor than just the individual port</w:t>
      </w:r>
      <w:r w:rsidR="002F5B27" w:rsidRPr="004B2A73">
        <w:rPr>
          <w:rFonts w:ascii="Calibri" w:hAnsi="Calibri"/>
          <w:sz w:val="24"/>
        </w:rPr>
        <w:t xml:space="preserve"> in which it originates or end</w:t>
      </w:r>
      <w:r w:rsidRPr="004B2A73">
        <w:rPr>
          <w:rFonts w:ascii="Calibri" w:hAnsi="Calibri"/>
          <w:sz w:val="24"/>
        </w:rPr>
        <w:t>. In a study for the World Bank</w:t>
      </w:r>
      <w:r w:rsidRPr="004B2A73">
        <w:rPr>
          <w:rStyle w:val="FootnoteReference"/>
          <w:rFonts w:ascii="Calibri" w:hAnsi="Calibri"/>
          <w:sz w:val="24"/>
        </w:rPr>
        <w:footnoteReference w:id="49"/>
      </w:r>
      <w:r w:rsidRPr="004B2A73">
        <w:rPr>
          <w:rFonts w:ascii="Calibri" w:hAnsi="Calibri"/>
          <w:sz w:val="24"/>
        </w:rPr>
        <w:t xml:space="preserve">, Nathan (2013) analyzed the competitiveness of the main West Africa corridors in terms of price to the shipper and delays. The parameters of that analysis were factored into a model for the selection of the corridor, and hence the coastal gateway. The model used the following variables: (i) distance as a proxy for transport costs, (ii) the number of border crossings as a proxy for hidden costs and transit time, (iii) the UNCTAD Liner Shipping Connectivity Index (LSCI) as a proxy for maritime costs and quality of service, and (iv) the natural log of the container throughput as a proxy for Mohring (or </w:t>
      </w:r>
      <w:r w:rsidR="00EA214B" w:rsidRPr="004B2A73">
        <w:rPr>
          <w:rFonts w:ascii="Calibri" w:hAnsi="Calibri"/>
          <w:sz w:val="24"/>
        </w:rPr>
        <w:t>agg</w:t>
      </w:r>
      <w:r w:rsidR="00EA214B">
        <w:rPr>
          <w:rFonts w:ascii="Calibri" w:hAnsi="Calibri"/>
          <w:sz w:val="24"/>
        </w:rPr>
        <w:t>lome</w:t>
      </w:r>
      <w:r w:rsidR="00EA214B" w:rsidRPr="004B2A73">
        <w:rPr>
          <w:rFonts w:ascii="Calibri" w:hAnsi="Calibri"/>
          <w:sz w:val="24"/>
        </w:rPr>
        <w:t>ration</w:t>
      </w:r>
      <w:r w:rsidRPr="004B2A73">
        <w:rPr>
          <w:rFonts w:ascii="Calibri" w:hAnsi="Calibri"/>
          <w:sz w:val="24"/>
        </w:rPr>
        <w:t xml:space="preserve">) effects. </w:t>
      </w:r>
      <w:r w:rsidR="002F5B27" w:rsidRPr="004B2A73">
        <w:rPr>
          <w:rFonts w:ascii="Calibri" w:hAnsi="Calibri"/>
          <w:sz w:val="24"/>
        </w:rPr>
        <w:t xml:space="preserve">However, based </w:t>
      </w:r>
      <w:r w:rsidRPr="004B2A73">
        <w:rPr>
          <w:rFonts w:ascii="Calibri" w:hAnsi="Calibri"/>
          <w:sz w:val="24"/>
        </w:rPr>
        <w:t xml:space="preserve">on the transit traffic reported by ports, the calibration of the model on the four variables showed that the only significant variable was distance.  </w:t>
      </w:r>
    </w:p>
    <w:p w14:paraId="0856FFA9" w14:textId="77777777" w:rsidR="00626F3C" w:rsidRPr="004B2A73" w:rsidRDefault="00626F3C" w:rsidP="00626F3C">
      <w:pPr>
        <w:pStyle w:val="ListParagraph"/>
        <w:spacing w:after="0"/>
        <w:ind w:left="0"/>
        <w:rPr>
          <w:rFonts w:ascii="Calibri" w:hAnsi="Calibri"/>
          <w:b/>
          <w:sz w:val="24"/>
        </w:rPr>
      </w:pPr>
    </w:p>
    <w:p w14:paraId="0C9AB93C" w14:textId="11518D9E" w:rsidR="00626F3C" w:rsidRPr="004B2A73" w:rsidRDefault="00626F3C" w:rsidP="00E826B9">
      <w:pPr>
        <w:pStyle w:val="ListParagraph"/>
        <w:numPr>
          <w:ilvl w:val="0"/>
          <w:numId w:val="6"/>
        </w:numPr>
        <w:spacing w:after="0"/>
        <w:ind w:left="0" w:firstLine="0"/>
        <w:jc w:val="both"/>
        <w:rPr>
          <w:rFonts w:ascii="Calibri" w:hAnsi="Calibri"/>
          <w:b/>
          <w:sz w:val="24"/>
        </w:rPr>
      </w:pPr>
      <w:r w:rsidRPr="004B2A73">
        <w:rPr>
          <w:rFonts w:ascii="Calibri" w:hAnsi="Calibri"/>
          <w:b/>
          <w:sz w:val="24"/>
        </w:rPr>
        <w:t xml:space="preserve">The difficulty in relying on this model is that political considerations, and the condition of the inland transport network, are often more important than efficiency considerations when selecting a </w:t>
      </w:r>
      <w:r w:rsidR="0085355B" w:rsidRPr="004B2A73">
        <w:rPr>
          <w:rFonts w:ascii="Calibri" w:hAnsi="Calibri"/>
          <w:b/>
          <w:sz w:val="24"/>
        </w:rPr>
        <w:t>given corridor</w:t>
      </w:r>
      <w:r w:rsidRPr="004B2A73">
        <w:rPr>
          <w:rFonts w:ascii="Calibri" w:hAnsi="Calibri"/>
          <w:b/>
          <w:sz w:val="24"/>
        </w:rPr>
        <w:t>.</w:t>
      </w:r>
      <w:r w:rsidRPr="004B2A73">
        <w:rPr>
          <w:rFonts w:ascii="Calibri" w:hAnsi="Calibri"/>
          <w:sz w:val="24"/>
        </w:rPr>
        <w:t xml:space="preserve">  For example, the share of Abidjan, Tema and </w:t>
      </w:r>
      <w:r w:rsidR="00C922CA">
        <w:rPr>
          <w:rFonts w:ascii="Calibri" w:hAnsi="Calibri"/>
          <w:sz w:val="24"/>
        </w:rPr>
        <w:t>Lomé</w:t>
      </w:r>
      <w:r w:rsidRPr="004B2A73">
        <w:rPr>
          <w:rFonts w:ascii="Calibri" w:hAnsi="Calibri"/>
          <w:sz w:val="24"/>
        </w:rPr>
        <w:t xml:space="preserve"> </w:t>
      </w:r>
      <w:r w:rsidR="0085355B" w:rsidRPr="004B2A73">
        <w:rPr>
          <w:rFonts w:ascii="Calibri" w:hAnsi="Calibri"/>
          <w:sz w:val="24"/>
        </w:rPr>
        <w:t xml:space="preserve">for </w:t>
      </w:r>
      <w:r w:rsidRPr="004B2A73">
        <w:rPr>
          <w:rFonts w:ascii="Calibri" w:hAnsi="Calibri"/>
          <w:sz w:val="24"/>
        </w:rPr>
        <w:t>transit goods to Burkina Faso fluctuated greatly during the 1998 to 2013 period (</w:t>
      </w:r>
      <w:r w:rsidR="00AE72D0" w:rsidRPr="00AE72D0">
        <w:rPr>
          <w:rFonts w:ascii="Calibri" w:hAnsi="Calibri"/>
          <w:sz w:val="24"/>
          <w:szCs w:val="24"/>
        </w:rPr>
        <w:fldChar w:fldCharType="begin"/>
      </w:r>
      <w:r w:rsidR="00AE72D0" w:rsidRPr="00AE72D0">
        <w:rPr>
          <w:rFonts w:ascii="Calibri" w:hAnsi="Calibri"/>
          <w:sz w:val="24"/>
          <w:szCs w:val="24"/>
        </w:rPr>
        <w:instrText xml:space="preserve"> REF _Ref473108452 \h </w:instrText>
      </w:r>
      <w:r w:rsidR="00AE72D0">
        <w:rPr>
          <w:rFonts w:ascii="Calibri" w:hAnsi="Calibri"/>
          <w:sz w:val="24"/>
          <w:szCs w:val="24"/>
        </w:rPr>
        <w:instrText xml:space="preserve"> \* MERGEFORMAT </w:instrText>
      </w:r>
      <w:r w:rsidR="00AE72D0" w:rsidRPr="00AE72D0">
        <w:rPr>
          <w:rFonts w:ascii="Calibri" w:hAnsi="Calibri"/>
          <w:sz w:val="24"/>
          <w:szCs w:val="24"/>
        </w:rPr>
      </w:r>
      <w:r w:rsidR="00AE72D0" w:rsidRPr="00AE72D0">
        <w:rPr>
          <w:rFonts w:ascii="Calibri" w:hAnsi="Calibri"/>
          <w:sz w:val="24"/>
          <w:szCs w:val="24"/>
        </w:rPr>
        <w:fldChar w:fldCharType="separate"/>
      </w:r>
      <w:r w:rsidR="00212D01" w:rsidRPr="00212D01">
        <w:rPr>
          <w:sz w:val="24"/>
          <w:szCs w:val="24"/>
        </w:rPr>
        <w:t xml:space="preserve">Figure </w:t>
      </w:r>
      <w:r w:rsidR="00212D01" w:rsidRPr="00212D01">
        <w:rPr>
          <w:noProof/>
          <w:sz w:val="24"/>
          <w:szCs w:val="24"/>
        </w:rPr>
        <w:t>23</w:t>
      </w:r>
      <w:r w:rsidR="00AE72D0" w:rsidRPr="00AE72D0">
        <w:rPr>
          <w:rFonts w:ascii="Calibri" w:hAnsi="Calibri"/>
          <w:sz w:val="24"/>
          <w:szCs w:val="24"/>
        </w:rPr>
        <w:fldChar w:fldCharType="end"/>
      </w:r>
      <w:r w:rsidRPr="004B2A73">
        <w:rPr>
          <w:rFonts w:ascii="Calibri" w:hAnsi="Calibri"/>
          <w:sz w:val="24"/>
        </w:rPr>
        <w:t xml:space="preserve">) in response to developments in the Ivoirian crisis, as well as the enforcement of axle load limits in Ghana, road damage in Togo, major changes in customs procedures in Benin, and the global recession which reduced traffic volumes across corridors. By contrast, a model based on distance, and including the other variables initially tested, would have resulted in a more stable allocation. However, none of these events can easily be used to estimate the determinants of the choice of port for transit traffic, and even if they could, the future value of such variables could not reliably be forecast. </w:t>
      </w:r>
    </w:p>
    <w:p w14:paraId="7C81B0D8" w14:textId="77777777" w:rsidR="00AE72D0" w:rsidRPr="004B2A73" w:rsidRDefault="00AE72D0" w:rsidP="00AE72D0">
      <w:pPr>
        <w:rPr>
          <w:rFonts w:ascii="Calibri" w:hAnsi="Calibri"/>
          <w:sz w:val="24"/>
          <w:szCs w:val="24"/>
        </w:rPr>
      </w:pPr>
    </w:p>
    <w:p w14:paraId="166A3B91" w14:textId="26BC70FC" w:rsidR="00AE72D0" w:rsidRPr="004B2A73" w:rsidRDefault="00AE72D0" w:rsidP="00AE72D0">
      <w:pPr>
        <w:pStyle w:val="Caption"/>
      </w:pPr>
      <w:bookmarkStart w:id="107" w:name="_Ref473108452"/>
      <w:bookmarkStart w:id="108" w:name="_Toc472430659"/>
      <w:bookmarkStart w:id="109" w:name="_Toc485377058"/>
      <w:r w:rsidRPr="004B2A73">
        <w:t xml:space="preserve">Figure </w:t>
      </w:r>
      <w:fldSimple w:instr=" SEQ Figure \* ARABIC ">
        <w:r w:rsidR="00212D01">
          <w:rPr>
            <w:noProof/>
          </w:rPr>
          <w:t>23</w:t>
        </w:r>
      </w:fldSimple>
      <w:bookmarkEnd w:id="107"/>
      <w:r w:rsidRPr="004B2A73">
        <w:t>: Evolution of the routing of the Burkina Faso maritime transit trade</w:t>
      </w:r>
      <w:bookmarkEnd w:id="108"/>
      <w:bookmarkEnd w:id="109"/>
    </w:p>
    <w:p w14:paraId="047BEF23" w14:textId="77777777" w:rsidR="00AE72D0" w:rsidRPr="00EA214B" w:rsidRDefault="00AE72D0" w:rsidP="00AE72D0">
      <w:pPr>
        <w:rPr>
          <w:rFonts w:ascii="Calibri" w:hAnsi="Calibri"/>
          <w:sz w:val="24"/>
          <w:szCs w:val="24"/>
        </w:rPr>
      </w:pPr>
      <w:r w:rsidRPr="004B2A73">
        <w:rPr>
          <w:rFonts w:ascii="Calibri" w:hAnsi="Calibri"/>
          <w:noProof/>
          <w:sz w:val="24"/>
          <w:szCs w:val="24"/>
        </w:rPr>
        <w:drawing>
          <wp:inline distT="0" distB="0" distL="0" distR="0" wp14:anchorId="2191D3CE" wp14:editId="0CA31D94">
            <wp:extent cx="5762625" cy="223837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F74D3E9" w14:textId="2375AABD" w:rsidR="00536863" w:rsidRDefault="00536863"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lastRenderedPageBreak/>
        <w:t xml:space="preserve">Maritime transit traffic is forecast to rise strongly over the next 10 years, flowing through the established regional gateways. </w:t>
      </w:r>
      <w:r w:rsidRPr="004B2A73">
        <w:rPr>
          <w:rFonts w:ascii="Calibri" w:hAnsi="Calibri"/>
          <w:sz w:val="24"/>
        </w:rPr>
        <w:t xml:space="preserve">Using the same assumptions on the container elasticity with respect to GDP and the GDP growth forecast applied to the past container traffic for the landlocked countries, maritime transit is expected to grow from 0.4 million TEUs in 2011 to 0.8 million TEUs in 2020, and 1.6 million TEUs in 2025 under the long term elasticity </w:t>
      </w:r>
      <w:r w:rsidRPr="004B2A73">
        <w:rPr>
          <w:rFonts w:ascii="Calibri" w:hAnsi="Calibri"/>
          <w:sz w:val="24"/>
          <w:szCs w:val="24"/>
        </w:rPr>
        <w:t>(</w:t>
      </w:r>
      <w:r w:rsidRPr="004B2A73">
        <w:rPr>
          <w:rFonts w:ascii="Calibri" w:hAnsi="Calibri"/>
          <w:sz w:val="24"/>
          <w:szCs w:val="24"/>
        </w:rPr>
        <w:fldChar w:fldCharType="begin"/>
      </w:r>
      <w:r w:rsidRPr="004B2A73">
        <w:rPr>
          <w:rFonts w:ascii="Calibri" w:hAnsi="Calibri"/>
          <w:sz w:val="24"/>
          <w:szCs w:val="24"/>
        </w:rPr>
        <w:instrText xml:space="preserve"> REF _Ref449451787 \h  \* MERGEFORMAT </w:instrText>
      </w:r>
      <w:r w:rsidRPr="004B2A73">
        <w:rPr>
          <w:rFonts w:ascii="Calibri" w:hAnsi="Calibri"/>
          <w:sz w:val="24"/>
          <w:szCs w:val="24"/>
        </w:rPr>
      </w:r>
      <w:r w:rsidRPr="004B2A73">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24</w:t>
      </w:r>
      <w:r w:rsidRPr="004B2A73">
        <w:rPr>
          <w:rFonts w:ascii="Calibri" w:hAnsi="Calibri"/>
          <w:sz w:val="24"/>
          <w:szCs w:val="24"/>
        </w:rPr>
        <w:fldChar w:fldCharType="end"/>
      </w:r>
      <w:r w:rsidRPr="004B2A73">
        <w:rPr>
          <w:rFonts w:ascii="Calibri" w:hAnsi="Calibri"/>
          <w:sz w:val="24"/>
          <w:szCs w:val="24"/>
        </w:rPr>
        <w:t>)</w:t>
      </w:r>
      <w:r w:rsidRPr="004B2A73">
        <w:rPr>
          <w:rFonts w:ascii="Calibri" w:hAnsi="Calibri"/>
          <w:sz w:val="24"/>
        </w:rPr>
        <w:t xml:space="preserve">. This compares to </w:t>
      </w:r>
      <w:r>
        <w:rPr>
          <w:rFonts w:ascii="Calibri" w:hAnsi="Calibri"/>
          <w:sz w:val="24"/>
        </w:rPr>
        <w:t>1.0</w:t>
      </w:r>
      <w:r w:rsidRPr="004B2A73">
        <w:rPr>
          <w:rFonts w:ascii="Calibri" w:hAnsi="Calibri"/>
          <w:sz w:val="24"/>
        </w:rPr>
        <w:t xml:space="preserve"> million TEUs in 2025 using </w:t>
      </w:r>
      <w:r>
        <w:rPr>
          <w:rFonts w:ascii="Calibri" w:hAnsi="Calibri"/>
          <w:sz w:val="24"/>
        </w:rPr>
        <w:t>an elasticity of 1</w:t>
      </w:r>
      <w:r w:rsidRPr="004B2A73">
        <w:rPr>
          <w:rFonts w:ascii="Calibri" w:hAnsi="Calibri"/>
          <w:sz w:val="24"/>
        </w:rPr>
        <w:t xml:space="preserve">. Considering the limitations of the corridor choice model for the allocation of the traffic to the respective maritime gateways, the maritime transit of the landlocked countries is allocated according to the recent market shares, corresponding to a more stable period (post Ivorian crisis): Mali predominantly relies on Dakar (60%), and to a lesser extent Abidjan (40%); Burkina Faso predominantly relies on </w:t>
      </w:r>
      <w:r>
        <w:rPr>
          <w:rFonts w:ascii="Calibri" w:hAnsi="Calibri"/>
          <w:sz w:val="24"/>
        </w:rPr>
        <w:t>Lomé</w:t>
      </w:r>
      <w:r w:rsidRPr="004B2A73">
        <w:rPr>
          <w:rFonts w:ascii="Calibri" w:hAnsi="Calibri"/>
          <w:sz w:val="24"/>
        </w:rPr>
        <w:t xml:space="preserve"> (50%), followed by Tema (30%) and then Abidjan (20%); and Niger predominantly relies on Cotonou (80%), and to a much lesser extent </w:t>
      </w:r>
      <w:r>
        <w:rPr>
          <w:rFonts w:ascii="Calibri" w:hAnsi="Calibri"/>
          <w:sz w:val="24"/>
        </w:rPr>
        <w:t>Lomé</w:t>
      </w:r>
      <w:r w:rsidRPr="004B2A73">
        <w:rPr>
          <w:rFonts w:ascii="Calibri" w:hAnsi="Calibri"/>
          <w:sz w:val="24"/>
        </w:rPr>
        <w:t xml:space="preserve"> (20%).</w:t>
      </w:r>
    </w:p>
    <w:p w14:paraId="611C6815" w14:textId="77777777" w:rsidR="00EA214B" w:rsidRPr="00EA214B" w:rsidRDefault="00EA214B" w:rsidP="00EA214B">
      <w:pPr>
        <w:pStyle w:val="ListParagraph"/>
        <w:spacing w:after="0"/>
        <w:ind w:left="0"/>
        <w:jc w:val="both"/>
        <w:rPr>
          <w:rFonts w:ascii="Calibri" w:hAnsi="Calibri"/>
          <w:sz w:val="18"/>
        </w:rPr>
      </w:pPr>
    </w:p>
    <w:p w14:paraId="5F1966EF" w14:textId="4673D8B3" w:rsidR="00626F3C" w:rsidRPr="004B2A73" w:rsidRDefault="00626F3C" w:rsidP="00AF33A5">
      <w:pPr>
        <w:pStyle w:val="Caption"/>
        <w:rPr>
          <w:rFonts w:ascii="Calibri" w:hAnsi="Calibri"/>
        </w:rPr>
      </w:pPr>
      <w:bookmarkStart w:id="110" w:name="_Ref449451787"/>
      <w:bookmarkStart w:id="111" w:name="_Toc485377059"/>
      <w:r w:rsidRPr="004B2A73">
        <w:rPr>
          <w:rFonts w:ascii="Calibri" w:hAnsi="Calibri"/>
        </w:rPr>
        <w:t xml:space="preserve">Figure </w:t>
      </w:r>
      <w:r w:rsidR="00811885" w:rsidRPr="004B2A73">
        <w:rPr>
          <w:rFonts w:ascii="Calibri" w:hAnsi="Calibri"/>
        </w:rPr>
        <w:fldChar w:fldCharType="begin"/>
      </w:r>
      <w:r w:rsidR="00811885" w:rsidRPr="004B2A73">
        <w:rPr>
          <w:rFonts w:ascii="Calibri" w:hAnsi="Calibri"/>
        </w:rPr>
        <w:instrText xml:space="preserve"> SEQ Figure \* ARABIC </w:instrText>
      </w:r>
      <w:r w:rsidR="00811885" w:rsidRPr="004B2A73">
        <w:rPr>
          <w:rFonts w:ascii="Calibri" w:hAnsi="Calibri"/>
        </w:rPr>
        <w:fldChar w:fldCharType="separate"/>
      </w:r>
      <w:r w:rsidR="00212D01">
        <w:rPr>
          <w:rFonts w:ascii="Calibri" w:hAnsi="Calibri"/>
          <w:noProof/>
        </w:rPr>
        <w:t>24</w:t>
      </w:r>
      <w:r w:rsidR="00811885" w:rsidRPr="004B2A73">
        <w:rPr>
          <w:rFonts w:ascii="Calibri" w:hAnsi="Calibri"/>
          <w:noProof/>
        </w:rPr>
        <w:fldChar w:fldCharType="end"/>
      </w:r>
      <w:bookmarkEnd w:id="110"/>
      <w:r w:rsidRPr="004B2A73">
        <w:rPr>
          <w:rFonts w:ascii="Calibri" w:hAnsi="Calibri"/>
        </w:rPr>
        <w:t>: Traffic forecast for landlocked countries</w:t>
      </w:r>
      <w:bookmarkEnd w:id="111"/>
    </w:p>
    <w:p w14:paraId="3C576C06" w14:textId="6DC5D7ED" w:rsidR="00593128" w:rsidRDefault="004D5753" w:rsidP="00EA214B">
      <w:pPr>
        <w:rPr>
          <w:rFonts w:ascii="Calibri" w:hAnsi="Calibri"/>
          <w:color w:val="FFFFFF" w:themeColor="background1"/>
          <w:sz w:val="24"/>
          <w:szCs w:val="24"/>
        </w:rPr>
      </w:pPr>
      <w:r>
        <w:rPr>
          <w:noProof/>
        </w:rPr>
        <w:drawing>
          <wp:inline distT="0" distB="0" distL="0" distR="0" wp14:anchorId="0420B5C4" wp14:editId="7F4FAB30">
            <wp:extent cx="5305425" cy="1385570"/>
            <wp:effectExtent l="0" t="0" r="0" b="508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E4563F" w14:textId="77777777" w:rsidR="004D5753" w:rsidRPr="00EA214B" w:rsidRDefault="004D5753" w:rsidP="004D5753"/>
    <w:p w14:paraId="24A25FD7" w14:textId="4B1338C0" w:rsidR="003D54B8" w:rsidRPr="004B2A73" w:rsidRDefault="003D54B8"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Combining the trade-related container growth for coastal and landlocked countries</w:t>
      </w:r>
      <w:r>
        <w:rPr>
          <w:rFonts w:ascii="Calibri" w:hAnsi="Calibri"/>
          <w:b/>
          <w:sz w:val="24"/>
        </w:rPr>
        <w:t xml:space="preserve"> (worst case scenario)</w:t>
      </w:r>
      <w:r w:rsidRPr="004B2A73">
        <w:rPr>
          <w:rFonts w:ascii="Calibri" w:hAnsi="Calibri"/>
          <w:b/>
          <w:sz w:val="24"/>
        </w:rPr>
        <w:t xml:space="preserve">, the </w:t>
      </w:r>
      <w:r w:rsidRPr="00EA214B">
        <w:rPr>
          <w:rFonts w:ascii="Calibri" w:hAnsi="Calibri"/>
          <w:b/>
          <w:sz w:val="24"/>
        </w:rPr>
        <w:t xml:space="preserve">traffic for West Africa is projected to reach almost </w:t>
      </w:r>
      <w:r>
        <w:rPr>
          <w:rFonts w:ascii="Calibri" w:hAnsi="Calibri"/>
          <w:b/>
          <w:sz w:val="24"/>
        </w:rPr>
        <w:t>6.2</w:t>
      </w:r>
      <w:r w:rsidRPr="00EA214B">
        <w:rPr>
          <w:rFonts w:ascii="Calibri" w:hAnsi="Calibri"/>
          <w:b/>
          <w:sz w:val="24"/>
        </w:rPr>
        <w:t xml:space="preserve"> million TEUs in 2020</w:t>
      </w:r>
      <w:r w:rsidRPr="004B2A73">
        <w:rPr>
          <w:rFonts w:ascii="Calibri" w:hAnsi="Calibri"/>
          <w:b/>
          <w:sz w:val="24"/>
        </w:rPr>
        <w:t xml:space="preserve"> and </w:t>
      </w:r>
      <w:r>
        <w:rPr>
          <w:rFonts w:ascii="Calibri" w:hAnsi="Calibri"/>
          <w:b/>
          <w:sz w:val="24"/>
        </w:rPr>
        <w:t>9.0</w:t>
      </w:r>
      <w:r w:rsidRPr="004B2A73">
        <w:rPr>
          <w:rFonts w:ascii="Calibri" w:hAnsi="Calibri"/>
          <w:b/>
          <w:sz w:val="24"/>
        </w:rPr>
        <w:t xml:space="preserve"> million TEUs in 2025, or </w:t>
      </w:r>
      <w:r>
        <w:rPr>
          <w:rFonts w:ascii="Calibri" w:hAnsi="Calibri"/>
          <w:b/>
          <w:sz w:val="24"/>
        </w:rPr>
        <w:t>a little more than two</w:t>
      </w:r>
      <w:r w:rsidRPr="004B2A73">
        <w:rPr>
          <w:rFonts w:ascii="Calibri" w:hAnsi="Calibri"/>
          <w:b/>
          <w:sz w:val="24"/>
        </w:rPr>
        <w:t xml:space="preserve"> times its level in 2011 (</w:t>
      </w:r>
      <w:r w:rsidRPr="004B2A73">
        <w:rPr>
          <w:rFonts w:ascii="Calibri" w:hAnsi="Calibri"/>
          <w:b/>
          <w:sz w:val="24"/>
          <w:szCs w:val="24"/>
        </w:rPr>
        <w:fldChar w:fldCharType="begin"/>
      </w:r>
      <w:r w:rsidRPr="004B2A73">
        <w:rPr>
          <w:rFonts w:ascii="Calibri" w:hAnsi="Calibri"/>
          <w:b/>
          <w:sz w:val="24"/>
          <w:szCs w:val="24"/>
        </w:rPr>
        <w:instrText xml:space="preserve"> REF _Ref449452065 \h  \* MERGEFORMAT </w:instrText>
      </w:r>
      <w:r w:rsidRPr="004B2A73">
        <w:rPr>
          <w:rFonts w:ascii="Calibri" w:hAnsi="Calibri"/>
          <w:b/>
          <w:sz w:val="24"/>
          <w:szCs w:val="24"/>
        </w:rPr>
      </w:r>
      <w:r w:rsidRPr="004B2A73">
        <w:rPr>
          <w:rFonts w:ascii="Calibri" w:hAnsi="Calibri"/>
          <w:b/>
          <w:sz w:val="24"/>
          <w:szCs w:val="24"/>
        </w:rPr>
        <w:fldChar w:fldCharType="separate"/>
      </w:r>
      <w:r w:rsidR="00212D01" w:rsidRPr="00212D01">
        <w:rPr>
          <w:rFonts w:ascii="Calibri" w:hAnsi="Calibri"/>
          <w:b/>
          <w:sz w:val="24"/>
          <w:szCs w:val="24"/>
        </w:rPr>
        <w:t xml:space="preserve">Figure </w:t>
      </w:r>
      <w:r w:rsidR="00212D01" w:rsidRPr="00212D01">
        <w:rPr>
          <w:rFonts w:ascii="Calibri" w:hAnsi="Calibri"/>
          <w:b/>
          <w:noProof/>
          <w:sz w:val="24"/>
          <w:szCs w:val="24"/>
        </w:rPr>
        <w:t>25</w:t>
      </w:r>
      <w:r w:rsidRPr="004B2A73">
        <w:rPr>
          <w:rFonts w:ascii="Calibri" w:hAnsi="Calibri"/>
          <w:b/>
          <w:sz w:val="24"/>
          <w:szCs w:val="24"/>
        </w:rPr>
        <w:fldChar w:fldCharType="end"/>
      </w:r>
      <w:r w:rsidRPr="004B2A73">
        <w:rPr>
          <w:rFonts w:ascii="Calibri" w:hAnsi="Calibri"/>
          <w:b/>
          <w:sz w:val="24"/>
        </w:rPr>
        <w:t>)</w:t>
      </w:r>
      <w:r w:rsidRPr="004B2A73">
        <w:rPr>
          <w:rFonts w:ascii="Calibri" w:hAnsi="Calibri"/>
          <w:sz w:val="24"/>
        </w:rPr>
        <w:t>. This total still excludes transshipment, which needs to be estimated through a different method. As pointed out, the uncertainty on the elasticity results in widely different scenarios, but all confirm a growth in traffic that largely exceeds current container capacity.</w:t>
      </w:r>
    </w:p>
    <w:p w14:paraId="76513B7D" w14:textId="77777777" w:rsidR="00593128" w:rsidRPr="004B2A73" w:rsidRDefault="00593128" w:rsidP="00650472"/>
    <w:p w14:paraId="2564272B" w14:textId="5B429E62" w:rsidR="00FC6CFD" w:rsidRPr="004B2A73" w:rsidRDefault="00FC6CFD" w:rsidP="00FC6CFD">
      <w:pPr>
        <w:pStyle w:val="Caption"/>
        <w:rPr>
          <w:rFonts w:ascii="Calibri" w:hAnsi="Calibri"/>
        </w:rPr>
      </w:pPr>
      <w:bookmarkStart w:id="112" w:name="_Ref449452065"/>
      <w:bookmarkStart w:id="113" w:name="_Toc485377060"/>
      <w:r w:rsidRPr="004B2A73">
        <w:rPr>
          <w:rFonts w:ascii="Calibri" w:hAnsi="Calibri"/>
        </w:rPr>
        <w:t xml:space="preserve">Figure </w:t>
      </w:r>
      <w:r w:rsidR="00811885" w:rsidRPr="004B2A73">
        <w:rPr>
          <w:rFonts w:ascii="Calibri" w:hAnsi="Calibri"/>
        </w:rPr>
        <w:fldChar w:fldCharType="begin"/>
      </w:r>
      <w:r w:rsidR="00811885" w:rsidRPr="004B2A73">
        <w:rPr>
          <w:rFonts w:ascii="Calibri" w:hAnsi="Calibri"/>
        </w:rPr>
        <w:instrText xml:space="preserve"> SEQ Figure \* ARABIC </w:instrText>
      </w:r>
      <w:r w:rsidR="00811885" w:rsidRPr="004B2A73">
        <w:rPr>
          <w:rFonts w:ascii="Calibri" w:hAnsi="Calibri"/>
        </w:rPr>
        <w:fldChar w:fldCharType="separate"/>
      </w:r>
      <w:r w:rsidR="00212D01">
        <w:rPr>
          <w:rFonts w:ascii="Calibri" w:hAnsi="Calibri"/>
          <w:noProof/>
        </w:rPr>
        <w:t>25</w:t>
      </w:r>
      <w:r w:rsidR="00811885" w:rsidRPr="004B2A73">
        <w:rPr>
          <w:rFonts w:ascii="Calibri" w:hAnsi="Calibri"/>
          <w:noProof/>
        </w:rPr>
        <w:fldChar w:fldCharType="end"/>
      </w:r>
      <w:bookmarkEnd w:id="112"/>
      <w:r w:rsidRPr="004B2A73">
        <w:rPr>
          <w:rFonts w:ascii="Calibri" w:hAnsi="Calibri"/>
        </w:rPr>
        <w:t>: Projected Coastal and Landlocked container traffic</w:t>
      </w:r>
      <w:bookmarkEnd w:id="113"/>
    </w:p>
    <w:p w14:paraId="0E3F6C46" w14:textId="713A5B73" w:rsidR="00593128" w:rsidRPr="004B2A73" w:rsidRDefault="003D54B8" w:rsidP="00AF33A5">
      <w:pPr>
        <w:pStyle w:val="Caption"/>
        <w:rPr>
          <w:rFonts w:ascii="Calibri" w:hAnsi="Calibri"/>
        </w:rPr>
      </w:pPr>
      <w:r>
        <w:rPr>
          <w:noProof/>
        </w:rPr>
        <w:drawing>
          <wp:inline distT="0" distB="0" distL="0" distR="0" wp14:anchorId="66D3419D" wp14:editId="5189012C">
            <wp:extent cx="5200650" cy="17145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297021" w14:textId="77777777" w:rsidR="00626F3C" w:rsidRPr="004B2A73" w:rsidRDefault="00626F3C" w:rsidP="00626F3C">
      <w:pPr>
        <w:pStyle w:val="ListParagraph"/>
        <w:spacing w:after="0"/>
        <w:ind w:left="0"/>
        <w:rPr>
          <w:rFonts w:ascii="Calibri" w:hAnsi="Calibri"/>
          <w:sz w:val="24"/>
        </w:rPr>
      </w:pPr>
    </w:p>
    <w:p w14:paraId="7ABF6C64" w14:textId="516DE24D" w:rsidR="00626F3C" w:rsidRPr="004B2A73" w:rsidRDefault="00626F3C"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lastRenderedPageBreak/>
        <w:t xml:space="preserve">Forecasting transshipment volumes is </w:t>
      </w:r>
      <w:r w:rsidR="004F78E1" w:rsidRPr="004B2A73">
        <w:rPr>
          <w:rFonts w:ascii="Calibri" w:hAnsi="Calibri"/>
          <w:b/>
          <w:sz w:val="24"/>
        </w:rPr>
        <w:t>even more dependent on the scenarios</w:t>
      </w:r>
      <w:r w:rsidRPr="004B2A73">
        <w:rPr>
          <w:rFonts w:ascii="Calibri" w:hAnsi="Calibri"/>
          <w:b/>
          <w:sz w:val="24"/>
        </w:rPr>
        <w:t>.</w:t>
      </w:r>
      <w:r w:rsidRPr="004B2A73">
        <w:rPr>
          <w:rFonts w:ascii="Calibri" w:hAnsi="Calibri"/>
          <w:sz w:val="24"/>
        </w:rPr>
        <w:t xml:space="preserve"> Shipping lines’ strategies drives transshipment. Under the pressure of costs, shipping lines have transformed the manner in which trade lanes are served, with ever-larger vessels and networking of services between trunk lines and feeder services (a hub and spokes network). Along the main East-West trade lanes, a number of hubs emerged where containers were transshipped on regional services, taking advantage of the economies of scale brought by</w:t>
      </w:r>
      <w:r w:rsidR="007D7FDA" w:rsidRPr="004B2A73">
        <w:rPr>
          <w:rFonts w:ascii="Calibri" w:hAnsi="Calibri"/>
          <w:sz w:val="24"/>
        </w:rPr>
        <w:t xml:space="preserve"> much</w:t>
      </w:r>
      <w:r w:rsidRPr="004B2A73">
        <w:rPr>
          <w:rFonts w:ascii="Calibri" w:hAnsi="Calibri"/>
          <w:sz w:val="24"/>
        </w:rPr>
        <w:t xml:space="preserve"> larger vessels on the deep-sea haul. However, the shift towards a hub and spokes network has never been integral, and most trade lanes are still served by a combination of end-to-end service, limited to connecting two ranges of ports, and transshipment services. Moreover, the situation has never been static, and volume growth on the various trade lanes dictates the balance between end-to-end and transshipment services.</w:t>
      </w:r>
      <w:r w:rsidRPr="004B2A73">
        <w:rPr>
          <w:rFonts w:ascii="Calibri" w:hAnsi="Calibri"/>
          <w:sz w:val="24"/>
          <w:lang w:val="en-GB"/>
        </w:rPr>
        <w:t xml:space="preserve"> To maintain their profitability, liner operators are in a constant process of adapting to changes in market conditions.</w:t>
      </w:r>
      <w:r w:rsidR="00543E8D">
        <w:rPr>
          <w:rFonts w:ascii="Calibri" w:hAnsi="Calibri"/>
          <w:sz w:val="24"/>
          <w:lang w:val="en-GB"/>
        </w:rPr>
        <w:t xml:space="preserve"> </w:t>
      </w:r>
      <w:r w:rsidR="007D7FDA" w:rsidRPr="004B2A73">
        <w:rPr>
          <w:rFonts w:ascii="Calibri" w:hAnsi="Calibri"/>
          <w:sz w:val="24"/>
          <w:lang w:val="en-GB"/>
        </w:rPr>
        <w:t>In West Africa, w</w:t>
      </w:r>
      <w:r w:rsidR="007D7FDA" w:rsidRPr="004B2A73">
        <w:rPr>
          <w:rFonts w:ascii="Calibri" w:hAnsi="Calibri"/>
          <w:sz w:val="24"/>
        </w:rPr>
        <w:t xml:space="preserve">hat was not economically sensible before the transformation of the container terminals when port access limitations were limiting the economies of scales of transshipment (see Palsson 1998) is now becoming a reality, notably with the emergence of </w:t>
      </w:r>
      <w:r w:rsidR="00C922CA">
        <w:rPr>
          <w:rFonts w:ascii="Calibri" w:hAnsi="Calibri"/>
          <w:sz w:val="24"/>
        </w:rPr>
        <w:t>Lomé</w:t>
      </w:r>
      <w:r w:rsidR="007D7FDA" w:rsidRPr="004B2A73">
        <w:rPr>
          <w:rFonts w:ascii="Calibri" w:hAnsi="Calibri"/>
          <w:sz w:val="24"/>
        </w:rPr>
        <w:t xml:space="preserve"> as the transshipment hub for MSC on the Asia West Africa trade.</w:t>
      </w:r>
    </w:p>
    <w:p w14:paraId="1CAE2055" w14:textId="77777777" w:rsidR="00626F3C" w:rsidRPr="004B2A73" w:rsidRDefault="00626F3C" w:rsidP="00626F3C">
      <w:pPr>
        <w:pStyle w:val="ListParagraph"/>
        <w:spacing w:after="0"/>
        <w:ind w:left="0"/>
        <w:rPr>
          <w:rFonts w:ascii="Calibri" w:hAnsi="Calibri"/>
          <w:sz w:val="24"/>
          <w:lang w:val="en-GB"/>
        </w:rPr>
      </w:pPr>
    </w:p>
    <w:p w14:paraId="70A257FB" w14:textId="77777777" w:rsidR="00690736" w:rsidRPr="004B2A73" w:rsidRDefault="00690736" w:rsidP="00E826B9">
      <w:pPr>
        <w:pStyle w:val="ListParagraph"/>
        <w:numPr>
          <w:ilvl w:val="0"/>
          <w:numId w:val="6"/>
        </w:numPr>
        <w:spacing w:after="0"/>
        <w:ind w:left="0" w:firstLine="0"/>
        <w:jc w:val="both"/>
        <w:rPr>
          <w:rFonts w:ascii="Calibri" w:hAnsi="Calibri"/>
          <w:sz w:val="24"/>
          <w:lang w:val="en-GB"/>
        </w:rPr>
      </w:pPr>
      <w:r w:rsidRPr="004B2A73">
        <w:rPr>
          <w:rFonts w:ascii="Calibri" w:hAnsi="Calibri"/>
          <w:b/>
          <w:sz w:val="24"/>
          <w:lang w:val="en-GB"/>
        </w:rPr>
        <w:t xml:space="preserve">Transshipment volumes are likely to rise, but by how much? </w:t>
      </w:r>
      <w:r w:rsidRPr="004B2A73">
        <w:rPr>
          <w:rFonts w:ascii="Calibri" w:hAnsi="Calibri"/>
          <w:sz w:val="24"/>
          <w:lang w:val="en-GB"/>
        </w:rPr>
        <w:t xml:space="preserve">Increasing transshipment by West African ports would have a significant impact on measured maritime trade volumes: when the </w:t>
      </w:r>
      <w:r w:rsidRPr="004B2A73">
        <w:rPr>
          <w:rFonts w:ascii="Calibri" w:hAnsi="Calibri"/>
          <w:sz w:val="24"/>
        </w:rPr>
        <w:t>transshipment</w:t>
      </w:r>
      <w:r w:rsidRPr="004B2A73">
        <w:rPr>
          <w:rFonts w:ascii="Calibri" w:hAnsi="Calibri"/>
          <w:sz w:val="24"/>
          <w:lang w:val="en-GB"/>
        </w:rPr>
        <w:t xml:space="preserve"> hub is outside of West Africa, each container trip generates only </w:t>
      </w:r>
      <w:r w:rsidRPr="004B2A73">
        <w:rPr>
          <w:rFonts w:ascii="Calibri" w:hAnsi="Calibri"/>
          <w:sz w:val="24"/>
          <w:u w:val="single"/>
          <w:lang w:val="en-GB"/>
        </w:rPr>
        <w:t>one</w:t>
      </w:r>
      <w:r w:rsidRPr="004B2A73">
        <w:rPr>
          <w:rFonts w:ascii="Calibri" w:hAnsi="Calibri"/>
          <w:sz w:val="24"/>
          <w:lang w:val="en-GB"/>
        </w:rPr>
        <w:t xml:space="preserve"> full movement in </w:t>
      </w:r>
      <w:r w:rsidRPr="004B2A73">
        <w:rPr>
          <w:rFonts w:ascii="Calibri" w:hAnsi="Calibri"/>
          <w:sz w:val="24"/>
          <w:u w:val="single"/>
          <w:lang w:val="en-GB"/>
        </w:rPr>
        <w:t>one</w:t>
      </w:r>
      <w:r w:rsidRPr="004B2A73">
        <w:rPr>
          <w:rFonts w:ascii="Calibri" w:hAnsi="Calibri"/>
          <w:sz w:val="24"/>
          <w:lang w:val="en-GB"/>
        </w:rPr>
        <w:t xml:space="preserve"> of the West Africa ports. When </w:t>
      </w:r>
      <w:r w:rsidRPr="004B2A73">
        <w:rPr>
          <w:rFonts w:ascii="Calibri" w:hAnsi="Calibri"/>
          <w:sz w:val="24"/>
        </w:rPr>
        <w:t>transshipment</w:t>
      </w:r>
      <w:r w:rsidRPr="004B2A73">
        <w:rPr>
          <w:rFonts w:ascii="Calibri" w:hAnsi="Calibri"/>
          <w:sz w:val="24"/>
          <w:lang w:val="en-GB"/>
        </w:rPr>
        <w:t xml:space="preserve"> takes place in West Africa, the final trip still generates </w:t>
      </w:r>
      <w:r w:rsidRPr="004B2A73">
        <w:rPr>
          <w:rFonts w:ascii="Calibri" w:hAnsi="Calibri"/>
          <w:sz w:val="24"/>
          <w:u w:val="single"/>
          <w:lang w:val="en-GB"/>
        </w:rPr>
        <w:t>one</w:t>
      </w:r>
      <w:r w:rsidRPr="004B2A73">
        <w:rPr>
          <w:rFonts w:ascii="Calibri" w:hAnsi="Calibri"/>
          <w:sz w:val="24"/>
          <w:lang w:val="en-GB"/>
        </w:rPr>
        <w:t xml:space="preserve"> full </w:t>
      </w:r>
      <w:r w:rsidRPr="004B2A73">
        <w:rPr>
          <w:rFonts w:ascii="Calibri" w:hAnsi="Calibri"/>
          <w:sz w:val="24"/>
        </w:rPr>
        <w:t>movement</w:t>
      </w:r>
      <w:r w:rsidRPr="004B2A73">
        <w:rPr>
          <w:rFonts w:ascii="Calibri" w:hAnsi="Calibri"/>
          <w:sz w:val="24"/>
          <w:lang w:val="en-GB"/>
        </w:rPr>
        <w:t xml:space="preserve"> in </w:t>
      </w:r>
      <w:r w:rsidRPr="004B2A73">
        <w:rPr>
          <w:rFonts w:ascii="Calibri" w:hAnsi="Calibri"/>
          <w:sz w:val="24"/>
          <w:u w:val="single"/>
          <w:lang w:val="en-GB"/>
        </w:rPr>
        <w:t>one</w:t>
      </w:r>
      <w:r w:rsidRPr="004B2A73">
        <w:rPr>
          <w:rFonts w:ascii="Calibri" w:hAnsi="Calibri"/>
          <w:sz w:val="24"/>
          <w:lang w:val="en-GB"/>
        </w:rPr>
        <w:t xml:space="preserve"> port, but also </w:t>
      </w:r>
      <w:r w:rsidRPr="004B2A73">
        <w:rPr>
          <w:rFonts w:ascii="Calibri" w:hAnsi="Calibri"/>
          <w:sz w:val="24"/>
          <w:u w:val="single"/>
          <w:lang w:val="en-GB"/>
        </w:rPr>
        <w:t>two</w:t>
      </w:r>
      <w:r w:rsidRPr="004B2A73">
        <w:rPr>
          <w:rFonts w:ascii="Calibri" w:hAnsi="Calibri"/>
          <w:sz w:val="24"/>
          <w:lang w:val="en-GB"/>
        </w:rPr>
        <w:t xml:space="preserve"> full movements in </w:t>
      </w:r>
      <w:r w:rsidRPr="004B2A73">
        <w:rPr>
          <w:rFonts w:ascii="Calibri" w:hAnsi="Calibri"/>
          <w:sz w:val="24"/>
          <w:u w:val="single"/>
          <w:lang w:val="en-GB"/>
        </w:rPr>
        <w:t>one</w:t>
      </w:r>
      <w:r w:rsidRPr="004B2A73">
        <w:rPr>
          <w:rFonts w:ascii="Calibri" w:hAnsi="Calibri"/>
          <w:sz w:val="24"/>
          <w:lang w:val="en-GB"/>
        </w:rPr>
        <w:t xml:space="preserve"> hub, or </w:t>
      </w:r>
      <w:r w:rsidRPr="004B2A73">
        <w:rPr>
          <w:rFonts w:ascii="Calibri" w:hAnsi="Calibri"/>
          <w:sz w:val="24"/>
          <w:u w:val="single"/>
          <w:lang w:val="en-GB"/>
        </w:rPr>
        <w:t>three</w:t>
      </w:r>
      <w:r w:rsidRPr="004B2A73">
        <w:rPr>
          <w:rFonts w:ascii="Calibri" w:hAnsi="Calibri"/>
          <w:sz w:val="24"/>
          <w:lang w:val="en-GB"/>
        </w:rPr>
        <w:t xml:space="preserve"> movements in total for each trade-related container movement. In the past, </w:t>
      </w:r>
      <w:r w:rsidRPr="004B2A73">
        <w:rPr>
          <w:rFonts w:ascii="Calibri" w:hAnsi="Calibri"/>
          <w:sz w:val="24"/>
        </w:rPr>
        <w:t>transshipment</w:t>
      </w:r>
      <w:r w:rsidRPr="004B2A73">
        <w:rPr>
          <w:rFonts w:ascii="Calibri" w:hAnsi="Calibri"/>
          <w:sz w:val="24"/>
          <w:lang w:val="en-GB"/>
        </w:rPr>
        <w:t xml:space="preserve"> volumes in West Africa were limited, 83,000 TEUs in 2006 and 372,000 TEUs in 2011, respectively 3.3 percent and 9.2 percent of the trade-related traffic in the region (coastal and transit containers included). With the changes in the liner shipping patterns discussed above, this share will increase.  Regions located along the main East-West shipping lanes display a high ratio of transshipment to total traffic: in 2013, this ratio reached 45% for Mediterranean ports, 52% in Central America and the Caribbean, 46% for Arab Gulf ports, and 50% for South East Asia. In more isolated areas, however, this ratio is low: 10% in the Scandinavia / Baltic Sea area, and 10% in South America. West Africa lacks the advantage of proximity to the main shipping lanes, so the ratio of transhipment to total traffic is likely to remain lower than in the more transhipment-intensive regions.  A conservative estimate is that the transhipment level could rise to 25% by the year 2025 (a level of 20% was used for 2017 and 22% for 2020). This represents a jump compared to past levels, but in the </w:t>
      </w:r>
      <w:r>
        <w:rPr>
          <w:rFonts w:ascii="Calibri" w:hAnsi="Calibri"/>
          <w:sz w:val="24"/>
          <w:lang w:val="en-GB"/>
        </w:rPr>
        <w:t>year</w:t>
      </w:r>
      <w:r w:rsidRPr="004B2A73">
        <w:rPr>
          <w:rFonts w:ascii="Calibri" w:hAnsi="Calibri"/>
          <w:sz w:val="24"/>
          <w:lang w:val="en-GB"/>
        </w:rPr>
        <w:t xml:space="preserve"> 2015, transshipment in the port of </w:t>
      </w:r>
      <w:r>
        <w:rPr>
          <w:rFonts w:ascii="Calibri" w:hAnsi="Calibri"/>
          <w:sz w:val="24"/>
          <w:lang w:val="en-GB"/>
        </w:rPr>
        <w:t>Lomé</w:t>
      </w:r>
      <w:r w:rsidRPr="004B2A73">
        <w:rPr>
          <w:rFonts w:ascii="Calibri" w:hAnsi="Calibri"/>
          <w:sz w:val="24"/>
          <w:lang w:val="en-GB"/>
        </w:rPr>
        <w:t xml:space="preserve"> reached </w:t>
      </w:r>
      <w:r>
        <w:rPr>
          <w:rFonts w:ascii="Calibri" w:hAnsi="Calibri"/>
          <w:sz w:val="24"/>
          <w:lang w:val="en-GB"/>
        </w:rPr>
        <w:t>650</w:t>
      </w:r>
      <w:r w:rsidRPr="004B2A73">
        <w:rPr>
          <w:rFonts w:ascii="Calibri" w:hAnsi="Calibri"/>
          <w:sz w:val="24"/>
          <w:lang w:val="en-GB"/>
        </w:rPr>
        <w:t>,000 TEUs</w:t>
      </w:r>
      <w:r>
        <w:rPr>
          <w:rFonts w:ascii="Calibri" w:hAnsi="Calibri"/>
          <w:sz w:val="24"/>
          <w:lang w:val="en-GB"/>
        </w:rPr>
        <w:t xml:space="preserve"> and 124,000 TEUs in San Pedro (the two ports where most of the transhipment is taking place in West Africa)</w:t>
      </w:r>
      <w:r w:rsidRPr="004B2A73">
        <w:rPr>
          <w:rFonts w:ascii="Calibri" w:hAnsi="Calibri"/>
          <w:sz w:val="24"/>
          <w:lang w:val="en-GB"/>
        </w:rPr>
        <w:t>, compared to the 372,000 TEUs for all ports for the full year 2011. Considering that shipping lines tend to follow innovations from first movers, and that planned greenfield terminal development rely heavily on transhipment, the level of 25% seems realistic. However, different scenarios could be tested.</w:t>
      </w:r>
    </w:p>
    <w:p w14:paraId="1F161EB0" w14:textId="77777777" w:rsidR="00690736" w:rsidRDefault="00690736" w:rsidP="004D5753"/>
    <w:p w14:paraId="14BC84CB" w14:textId="00F7C43A" w:rsidR="00690736" w:rsidRPr="001675C6" w:rsidRDefault="00690736" w:rsidP="001675C6">
      <w:pPr>
        <w:pStyle w:val="Caption"/>
      </w:pPr>
      <w:bookmarkStart w:id="114" w:name="_Ref472424262"/>
      <w:bookmarkStart w:id="115" w:name="_Toc472430662"/>
      <w:bookmarkStart w:id="116" w:name="_Toc485377061"/>
      <w:r w:rsidRPr="001675C6">
        <w:lastRenderedPageBreak/>
        <w:t xml:space="preserve">Figure </w:t>
      </w:r>
      <w:fldSimple w:instr=" SEQ Figure \* ARABIC ">
        <w:r w:rsidR="00212D01">
          <w:rPr>
            <w:noProof/>
          </w:rPr>
          <w:t>26</w:t>
        </w:r>
      </w:fldSimple>
      <w:bookmarkEnd w:id="114"/>
      <w:r w:rsidRPr="001675C6">
        <w:t>: Container traffic forecasts (coastal, landlocked, and transshipment)</w:t>
      </w:r>
      <w:bookmarkEnd w:id="115"/>
      <w:bookmarkEnd w:id="116"/>
    </w:p>
    <w:p w14:paraId="508D64C3" w14:textId="3EBB0228" w:rsidR="008541B7" w:rsidRDefault="00690736" w:rsidP="0078295D">
      <w:pPr>
        <w:rPr>
          <w:rFonts w:ascii="Calibri" w:hAnsi="Calibri"/>
        </w:rPr>
      </w:pPr>
      <w:r>
        <w:rPr>
          <w:noProof/>
        </w:rPr>
        <w:drawing>
          <wp:inline distT="0" distB="0" distL="0" distR="0" wp14:anchorId="274E7EAA" wp14:editId="095E1A33">
            <wp:extent cx="5762625" cy="196215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E9892B" w14:textId="77777777" w:rsidR="004D5753" w:rsidRPr="004B2A73" w:rsidRDefault="004D5753" w:rsidP="0078295D">
      <w:pPr>
        <w:rPr>
          <w:rFonts w:ascii="Calibri" w:hAnsi="Calibri"/>
        </w:rPr>
      </w:pPr>
    </w:p>
    <w:p w14:paraId="1D0A7A91" w14:textId="0F49A545" w:rsidR="00690736" w:rsidRPr="004B2A73" w:rsidRDefault="00690736"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In summary, projected growth of the container throughput in West Africa shows that compared to 2011 levels, activity will likely be </w:t>
      </w:r>
      <w:r w:rsidRPr="00C624FF">
        <w:rPr>
          <w:rFonts w:ascii="Calibri" w:hAnsi="Calibri"/>
          <w:b/>
          <w:sz w:val="24"/>
        </w:rPr>
        <w:t xml:space="preserve">multiplied by </w:t>
      </w:r>
      <w:r>
        <w:rPr>
          <w:rFonts w:ascii="Calibri" w:hAnsi="Calibri"/>
          <w:b/>
          <w:sz w:val="24"/>
        </w:rPr>
        <w:t>almost th</w:t>
      </w:r>
      <w:r w:rsidR="006A1F49">
        <w:rPr>
          <w:rFonts w:ascii="Calibri" w:hAnsi="Calibri"/>
          <w:b/>
          <w:sz w:val="24"/>
        </w:rPr>
        <w:t>r</w:t>
      </w:r>
      <w:r>
        <w:rPr>
          <w:rFonts w:ascii="Calibri" w:hAnsi="Calibri"/>
          <w:b/>
          <w:sz w:val="24"/>
        </w:rPr>
        <w:t>ee</w:t>
      </w:r>
      <w:r w:rsidRPr="00C624FF">
        <w:rPr>
          <w:rFonts w:ascii="Calibri" w:hAnsi="Calibri"/>
          <w:b/>
          <w:sz w:val="24"/>
        </w:rPr>
        <w:t xml:space="preserve"> by 2025</w:t>
      </w:r>
      <w:r>
        <w:rPr>
          <w:rFonts w:ascii="Calibri" w:hAnsi="Calibri"/>
          <w:b/>
          <w:sz w:val="24"/>
        </w:rPr>
        <w:t xml:space="preserve"> – in the worst case scenario --</w:t>
      </w:r>
      <w:r w:rsidRPr="004B2A73">
        <w:rPr>
          <w:rFonts w:ascii="Calibri" w:hAnsi="Calibri"/>
          <w:b/>
          <w:sz w:val="24"/>
        </w:rPr>
        <w:t>, providing the justification for new investment in port terminals</w:t>
      </w:r>
      <w:r>
        <w:rPr>
          <w:rFonts w:ascii="Calibri" w:hAnsi="Calibri"/>
          <w:b/>
          <w:sz w:val="24"/>
        </w:rPr>
        <w:t xml:space="preserve"> (</w:t>
      </w:r>
      <w:r w:rsidR="004D5753" w:rsidRPr="004D5753">
        <w:rPr>
          <w:rFonts w:ascii="Calibri" w:hAnsi="Calibri"/>
          <w:b/>
          <w:sz w:val="24"/>
          <w:szCs w:val="24"/>
        </w:rPr>
        <w:fldChar w:fldCharType="begin"/>
      </w:r>
      <w:r w:rsidR="004D5753" w:rsidRPr="004D5753">
        <w:rPr>
          <w:rFonts w:ascii="Calibri" w:hAnsi="Calibri"/>
          <w:b/>
          <w:sz w:val="24"/>
          <w:szCs w:val="24"/>
        </w:rPr>
        <w:instrText xml:space="preserve"> REF _Ref472424262 \h  \* MERGEFORMAT </w:instrText>
      </w:r>
      <w:r w:rsidR="004D5753" w:rsidRPr="004D5753">
        <w:rPr>
          <w:rFonts w:ascii="Calibri" w:hAnsi="Calibri"/>
          <w:b/>
          <w:sz w:val="24"/>
          <w:szCs w:val="24"/>
        </w:rPr>
      </w:r>
      <w:r w:rsidR="004D5753" w:rsidRPr="004D5753">
        <w:rPr>
          <w:rFonts w:ascii="Calibri" w:hAnsi="Calibri"/>
          <w:b/>
          <w:sz w:val="24"/>
          <w:szCs w:val="24"/>
        </w:rPr>
        <w:fldChar w:fldCharType="separate"/>
      </w:r>
      <w:r w:rsidR="00212D01" w:rsidRPr="00212D01">
        <w:rPr>
          <w:b/>
          <w:sz w:val="24"/>
          <w:szCs w:val="24"/>
        </w:rPr>
        <w:t xml:space="preserve">Figure </w:t>
      </w:r>
      <w:r w:rsidR="00212D01" w:rsidRPr="00212D01">
        <w:rPr>
          <w:b/>
          <w:noProof/>
          <w:sz w:val="24"/>
          <w:szCs w:val="24"/>
        </w:rPr>
        <w:t>26</w:t>
      </w:r>
      <w:r w:rsidR="004D5753" w:rsidRPr="004D5753">
        <w:rPr>
          <w:rFonts w:ascii="Calibri" w:hAnsi="Calibri"/>
          <w:b/>
          <w:sz w:val="24"/>
          <w:szCs w:val="24"/>
        </w:rPr>
        <w:fldChar w:fldCharType="end"/>
      </w:r>
      <w:r>
        <w:rPr>
          <w:rFonts w:ascii="Calibri" w:hAnsi="Calibri"/>
          <w:b/>
          <w:sz w:val="24"/>
        </w:rPr>
        <w:t>)</w:t>
      </w:r>
      <w:r w:rsidRPr="004B2A73">
        <w:rPr>
          <w:rFonts w:ascii="Calibri" w:hAnsi="Calibri"/>
          <w:b/>
          <w:sz w:val="24"/>
        </w:rPr>
        <w:t>.</w:t>
      </w:r>
      <w:r w:rsidRPr="004B2A73">
        <w:rPr>
          <w:rFonts w:ascii="Calibri" w:hAnsi="Calibri"/>
          <w:sz w:val="24"/>
        </w:rPr>
        <w:t xml:space="preserve"> Such growth will put a strain on existing capacities, and even though productivity is low by international standards, capacity reserves that could be unlocked by improved performances would not be sufficient to accommodate a growth of that magnitude. This will require expanding terminal capacity in existing ports, and also develop new ports, justifying the pipeline of port projects already announced by port authorities and terminal operating companies, just to keep up with traffic growth.</w:t>
      </w:r>
    </w:p>
    <w:p w14:paraId="7793C021" w14:textId="77777777" w:rsidR="0078295D" w:rsidRPr="004B2A73" w:rsidRDefault="0078295D" w:rsidP="0078295D">
      <w:pPr>
        <w:spacing w:after="0"/>
        <w:rPr>
          <w:rFonts w:ascii="Calibri" w:hAnsi="Calibri"/>
          <w:sz w:val="24"/>
        </w:rPr>
      </w:pPr>
    </w:p>
    <w:p w14:paraId="7A3E9BA2" w14:textId="77777777" w:rsidR="00EE2A02" w:rsidRPr="00DB7AE7" w:rsidRDefault="00EE2A02" w:rsidP="00DB7AE7">
      <w:pPr>
        <w:pStyle w:val="Heading2"/>
        <w:rPr>
          <w:rFonts w:asciiTheme="minorHAnsi" w:hAnsiTheme="minorHAnsi" w:cstheme="minorHAnsi"/>
          <w:color w:val="auto"/>
          <w:sz w:val="28"/>
          <w:szCs w:val="28"/>
        </w:rPr>
      </w:pPr>
      <w:bookmarkStart w:id="117" w:name="_Toc485382002"/>
      <w:r w:rsidRPr="00DB7AE7">
        <w:rPr>
          <w:rFonts w:asciiTheme="minorHAnsi" w:hAnsiTheme="minorHAnsi" w:cstheme="minorHAnsi"/>
          <w:color w:val="auto"/>
          <w:sz w:val="28"/>
          <w:szCs w:val="28"/>
        </w:rPr>
        <w:t>Capacity development</w:t>
      </w:r>
      <w:r w:rsidR="0078295D" w:rsidRPr="00DB7AE7">
        <w:rPr>
          <w:rFonts w:asciiTheme="minorHAnsi" w:hAnsiTheme="minorHAnsi" w:cstheme="minorHAnsi"/>
          <w:color w:val="auto"/>
          <w:sz w:val="28"/>
          <w:szCs w:val="28"/>
        </w:rPr>
        <w:t xml:space="preserve"> plans by TOCs</w:t>
      </w:r>
      <w:bookmarkEnd w:id="117"/>
    </w:p>
    <w:p w14:paraId="4EE59A8D" w14:textId="77777777" w:rsidR="00EE2A02" w:rsidRPr="004B2A73" w:rsidRDefault="00EE2A02" w:rsidP="00EE2A02">
      <w:pPr>
        <w:pStyle w:val="ListParagraph"/>
        <w:spacing w:after="0"/>
        <w:ind w:left="0"/>
        <w:rPr>
          <w:rFonts w:ascii="Calibri" w:hAnsi="Calibri"/>
          <w:sz w:val="24"/>
        </w:rPr>
      </w:pPr>
    </w:p>
    <w:p w14:paraId="5966E112" w14:textId="431554BD" w:rsidR="00142615" w:rsidRDefault="00EE2A0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In the longer term, capacity development is essential to meet expected traffic growth.</w:t>
      </w:r>
      <w:r w:rsidRPr="004B2A73">
        <w:rPr>
          <w:rFonts w:ascii="Calibri" w:hAnsi="Calibri"/>
          <w:sz w:val="24"/>
        </w:rPr>
        <w:t xml:space="preserve"> Terminal operators and Government already have laid out ambitious plans to develop new container facilities, in both existing and new ports (cf. also Map 1).  The main difference with the investments during the first phase of terminal concessions is that the ambition is to develop new terminals, and not simply modify and upgrade existing terminals. The magnitude of the investments and the capacity created are therefore of a different order, several hundreds of million US dollars in investments and increases in capacity to levels measured in millions of TEUs per year, as illustrated </w:t>
      </w:r>
      <w:r w:rsidRPr="004B2A73">
        <w:rPr>
          <w:rFonts w:ascii="Calibri" w:hAnsi="Calibri"/>
          <w:sz w:val="24"/>
          <w:szCs w:val="24"/>
        </w:rPr>
        <w:t>in</w:t>
      </w:r>
      <w:r w:rsidR="00CF56F9" w:rsidRPr="004B2A73">
        <w:rPr>
          <w:rFonts w:ascii="Calibri" w:hAnsi="Calibri"/>
          <w:sz w:val="24"/>
          <w:szCs w:val="24"/>
        </w:rPr>
        <w:t xml:space="preserve"> </w:t>
      </w:r>
      <w:r w:rsidR="00CF56F9" w:rsidRPr="004B2A73">
        <w:rPr>
          <w:rFonts w:ascii="Calibri" w:hAnsi="Calibri"/>
          <w:sz w:val="24"/>
          <w:szCs w:val="24"/>
        </w:rPr>
        <w:fldChar w:fldCharType="begin"/>
      </w:r>
      <w:r w:rsidR="00CF56F9" w:rsidRPr="004B2A73">
        <w:rPr>
          <w:rFonts w:ascii="Calibri" w:hAnsi="Calibri"/>
          <w:sz w:val="24"/>
          <w:szCs w:val="24"/>
        </w:rPr>
        <w:instrText xml:space="preserve"> REF _Ref448930388 \h  \* MERGEFORMAT </w:instrText>
      </w:r>
      <w:r w:rsidR="00CF56F9" w:rsidRPr="004B2A73">
        <w:rPr>
          <w:rFonts w:ascii="Calibri" w:hAnsi="Calibri"/>
          <w:sz w:val="24"/>
          <w:szCs w:val="24"/>
        </w:rPr>
      </w:r>
      <w:r w:rsidR="00CF56F9" w:rsidRPr="004B2A73">
        <w:rPr>
          <w:rFonts w:ascii="Calibri" w:hAnsi="Calibri"/>
          <w:sz w:val="24"/>
          <w:szCs w:val="24"/>
        </w:rPr>
        <w:fldChar w:fldCharType="separate"/>
      </w:r>
      <w:r w:rsidR="00212D01" w:rsidRPr="00212D01">
        <w:rPr>
          <w:rFonts w:ascii="Calibri" w:hAnsi="Calibri"/>
          <w:sz w:val="24"/>
          <w:szCs w:val="24"/>
        </w:rPr>
        <w:t xml:space="preserve">Table </w:t>
      </w:r>
      <w:r w:rsidR="00212D01" w:rsidRPr="00212D01">
        <w:rPr>
          <w:rFonts w:ascii="Calibri" w:hAnsi="Calibri"/>
          <w:noProof/>
          <w:sz w:val="24"/>
          <w:szCs w:val="24"/>
        </w:rPr>
        <w:t>14</w:t>
      </w:r>
      <w:r w:rsidR="00CF56F9" w:rsidRPr="004B2A73">
        <w:rPr>
          <w:rFonts w:ascii="Calibri" w:hAnsi="Calibri"/>
          <w:sz w:val="24"/>
          <w:szCs w:val="24"/>
        </w:rPr>
        <w:fldChar w:fldCharType="end"/>
      </w:r>
      <w:r w:rsidRPr="004B2A73">
        <w:rPr>
          <w:rFonts w:ascii="Calibri" w:hAnsi="Calibri"/>
          <w:sz w:val="24"/>
        </w:rPr>
        <w:t xml:space="preserve">. These projects are at very different development stages: some are already operational, such as LCT in </w:t>
      </w:r>
      <w:r w:rsidR="00C922CA">
        <w:rPr>
          <w:rFonts w:ascii="Calibri" w:hAnsi="Calibri"/>
          <w:sz w:val="24"/>
        </w:rPr>
        <w:t>Lomé</w:t>
      </w:r>
      <w:r w:rsidRPr="004B2A73">
        <w:rPr>
          <w:rFonts w:ascii="Calibri" w:hAnsi="Calibri"/>
          <w:sz w:val="24"/>
        </w:rPr>
        <w:t>; others have already signed MoUs clarifying the time frame and the scope of the projects; and others are still at the planning stage.</w:t>
      </w:r>
    </w:p>
    <w:p w14:paraId="5AD5652D" w14:textId="77777777" w:rsidR="00543E8D" w:rsidRPr="00142615" w:rsidRDefault="00543E8D" w:rsidP="00543E8D">
      <w:pPr>
        <w:pStyle w:val="ListParagraph"/>
        <w:spacing w:after="0"/>
        <w:ind w:left="0"/>
        <w:jc w:val="both"/>
        <w:rPr>
          <w:rFonts w:ascii="Calibri" w:hAnsi="Calibri"/>
          <w:sz w:val="24"/>
        </w:rPr>
      </w:pPr>
    </w:p>
    <w:p w14:paraId="47974FEE" w14:textId="6A687616" w:rsidR="00EE2A02" w:rsidRPr="004B2A73" w:rsidRDefault="00EE2A02" w:rsidP="00AF33A5">
      <w:pPr>
        <w:pStyle w:val="Caption"/>
        <w:rPr>
          <w:rFonts w:ascii="Calibri" w:hAnsi="Calibri"/>
        </w:rPr>
      </w:pPr>
      <w:bookmarkStart w:id="118" w:name="_Ref448930388"/>
      <w:bookmarkStart w:id="119" w:name="_Toc485381925"/>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14</w:t>
      </w:r>
      <w:r w:rsidR="00811885" w:rsidRPr="004B2A73">
        <w:rPr>
          <w:rFonts w:ascii="Calibri" w:hAnsi="Calibri"/>
          <w:noProof/>
        </w:rPr>
        <w:fldChar w:fldCharType="end"/>
      </w:r>
      <w:bookmarkEnd w:id="118"/>
      <w:r w:rsidRPr="004B2A73">
        <w:rPr>
          <w:rFonts w:ascii="Calibri" w:hAnsi="Calibri"/>
        </w:rPr>
        <w:t>: Selected examples of large capacity development projects</w:t>
      </w:r>
      <w:bookmarkEnd w:id="119"/>
    </w:p>
    <w:tbl>
      <w:tblPr>
        <w:tblStyle w:val="ListTable1Light-Accent11"/>
        <w:tblW w:w="0" w:type="auto"/>
        <w:tblLook w:val="04A0" w:firstRow="1" w:lastRow="0" w:firstColumn="1" w:lastColumn="0" w:noHBand="0" w:noVBand="1"/>
      </w:tblPr>
      <w:tblGrid>
        <w:gridCol w:w="1890"/>
        <w:gridCol w:w="5040"/>
        <w:gridCol w:w="2420"/>
      </w:tblGrid>
      <w:tr w:rsidR="00EE2A02" w:rsidRPr="004B2A73" w14:paraId="03D51619" w14:textId="77777777" w:rsidTr="00E82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2E23C79" w14:textId="77777777" w:rsidR="00EE2A02" w:rsidRPr="004B2A73" w:rsidRDefault="00EE2A02" w:rsidP="00E82719">
            <w:pPr>
              <w:rPr>
                <w:rFonts w:ascii="Calibri" w:hAnsi="Calibri"/>
              </w:rPr>
            </w:pPr>
            <w:r w:rsidRPr="004B2A73">
              <w:rPr>
                <w:rFonts w:ascii="Calibri" w:hAnsi="Calibri"/>
              </w:rPr>
              <w:t>Port and terminal</w:t>
            </w:r>
          </w:p>
        </w:tc>
        <w:tc>
          <w:tcPr>
            <w:tcW w:w="5040" w:type="dxa"/>
          </w:tcPr>
          <w:p w14:paraId="0C36ADB9" w14:textId="77777777" w:rsidR="00EE2A02" w:rsidRPr="004B2A73" w:rsidRDefault="00EE2A02" w:rsidP="00E82719">
            <w:pP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Announced investment</w:t>
            </w:r>
          </w:p>
        </w:tc>
        <w:tc>
          <w:tcPr>
            <w:tcW w:w="2420" w:type="dxa"/>
          </w:tcPr>
          <w:p w14:paraId="28B35BCA" w14:textId="77777777" w:rsidR="00EE2A02" w:rsidRPr="004B2A73" w:rsidRDefault="00EE2A02" w:rsidP="00E82719">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Future capacity</w:t>
            </w:r>
          </w:p>
        </w:tc>
      </w:tr>
      <w:tr w:rsidR="00EE2A02" w:rsidRPr="004B2A73" w14:paraId="6C49156A" w14:textId="77777777" w:rsidTr="00E8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0BD7C06" w14:textId="2E741C8C" w:rsidR="00EE2A02" w:rsidRPr="004B2A73" w:rsidRDefault="00C922CA" w:rsidP="00E82719">
            <w:pPr>
              <w:rPr>
                <w:rFonts w:ascii="Calibri" w:hAnsi="Calibri"/>
              </w:rPr>
            </w:pPr>
            <w:r>
              <w:rPr>
                <w:rFonts w:ascii="Calibri" w:hAnsi="Calibri"/>
              </w:rPr>
              <w:t>Lomé</w:t>
            </w:r>
            <w:r w:rsidR="00EE2A02" w:rsidRPr="004B2A73">
              <w:rPr>
                <w:rFonts w:ascii="Calibri" w:hAnsi="Calibri"/>
              </w:rPr>
              <w:t xml:space="preserve"> – LCT</w:t>
            </w:r>
          </w:p>
        </w:tc>
        <w:tc>
          <w:tcPr>
            <w:tcW w:w="5040" w:type="dxa"/>
          </w:tcPr>
          <w:p w14:paraId="204BBBD6" w14:textId="77777777" w:rsidR="00EE2A02" w:rsidRPr="004B2A73" w:rsidRDefault="00EE2A02" w:rsidP="00E82719">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€352 million (terminal operator only)</w:t>
            </w:r>
          </w:p>
        </w:tc>
        <w:tc>
          <w:tcPr>
            <w:tcW w:w="2420" w:type="dxa"/>
          </w:tcPr>
          <w:p w14:paraId="1471C96D" w14:textId="77777777" w:rsidR="00EE2A02" w:rsidRPr="004B2A73" w:rsidRDefault="00EE2A02" w:rsidP="00E82719">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2.2 million TEUs</w:t>
            </w:r>
          </w:p>
        </w:tc>
      </w:tr>
      <w:tr w:rsidR="00EE2A02" w:rsidRPr="004B2A73" w14:paraId="0A14E360" w14:textId="77777777" w:rsidTr="00E82719">
        <w:tc>
          <w:tcPr>
            <w:cnfStyle w:val="001000000000" w:firstRow="0" w:lastRow="0" w:firstColumn="1" w:lastColumn="0" w:oddVBand="0" w:evenVBand="0" w:oddHBand="0" w:evenHBand="0" w:firstRowFirstColumn="0" w:firstRowLastColumn="0" w:lastRowFirstColumn="0" w:lastRowLastColumn="0"/>
            <w:tcW w:w="1890" w:type="dxa"/>
          </w:tcPr>
          <w:p w14:paraId="4AC773E6" w14:textId="77777777" w:rsidR="00EE2A02" w:rsidRPr="004B2A73" w:rsidRDefault="00EE2A02" w:rsidP="00E82719">
            <w:pPr>
              <w:rPr>
                <w:rFonts w:ascii="Calibri" w:hAnsi="Calibri"/>
              </w:rPr>
            </w:pPr>
            <w:r w:rsidRPr="004B2A73">
              <w:rPr>
                <w:rFonts w:ascii="Calibri" w:hAnsi="Calibri"/>
              </w:rPr>
              <w:t>Abidjan – TC2</w:t>
            </w:r>
          </w:p>
        </w:tc>
        <w:tc>
          <w:tcPr>
            <w:tcW w:w="5040" w:type="dxa"/>
          </w:tcPr>
          <w:p w14:paraId="60B62A13" w14:textId="77777777" w:rsidR="00EE2A02" w:rsidRPr="004B2A73" w:rsidRDefault="00EE2A02" w:rsidP="00E82719">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466 bn FCFA (Port authority) and €400 million by Terminal operator</w:t>
            </w:r>
          </w:p>
        </w:tc>
        <w:tc>
          <w:tcPr>
            <w:tcW w:w="2420" w:type="dxa"/>
          </w:tcPr>
          <w:p w14:paraId="47790DD8" w14:textId="77777777" w:rsidR="00EE2A02" w:rsidRPr="004B2A73" w:rsidRDefault="00EE2A02" w:rsidP="00E82719">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 million TEUs</w:t>
            </w:r>
          </w:p>
        </w:tc>
      </w:tr>
      <w:tr w:rsidR="00EE2A02" w:rsidRPr="004B2A73" w14:paraId="31079E90" w14:textId="77777777" w:rsidTr="00E8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E638D6D" w14:textId="77777777" w:rsidR="00EE2A02" w:rsidRPr="004B2A73" w:rsidRDefault="00EE2A02" w:rsidP="00E82719">
            <w:pPr>
              <w:rPr>
                <w:rFonts w:ascii="Calibri" w:hAnsi="Calibri"/>
              </w:rPr>
            </w:pPr>
            <w:r w:rsidRPr="004B2A73">
              <w:rPr>
                <w:rFonts w:ascii="Calibri" w:hAnsi="Calibri"/>
              </w:rPr>
              <w:t>Badagry (Nigeria)</w:t>
            </w:r>
          </w:p>
        </w:tc>
        <w:tc>
          <w:tcPr>
            <w:tcW w:w="5040" w:type="dxa"/>
          </w:tcPr>
          <w:p w14:paraId="2C35673D" w14:textId="77777777" w:rsidR="00EE2A02" w:rsidRPr="004B2A73" w:rsidRDefault="00EE2A02" w:rsidP="00E82719">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US$2 billion to US$3 billion</w:t>
            </w:r>
          </w:p>
        </w:tc>
        <w:tc>
          <w:tcPr>
            <w:tcW w:w="2420" w:type="dxa"/>
          </w:tcPr>
          <w:p w14:paraId="17C6646E" w14:textId="77777777" w:rsidR="00EE2A02" w:rsidRPr="004B2A73" w:rsidRDefault="00EE2A02" w:rsidP="00E82719">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1.8 million TEUs</w:t>
            </w:r>
          </w:p>
        </w:tc>
      </w:tr>
      <w:tr w:rsidR="00EE2A02" w:rsidRPr="004B2A73" w14:paraId="32C938B6" w14:textId="77777777" w:rsidTr="00E82719">
        <w:tc>
          <w:tcPr>
            <w:cnfStyle w:val="001000000000" w:firstRow="0" w:lastRow="0" w:firstColumn="1" w:lastColumn="0" w:oddVBand="0" w:evenVBand="0" w:oddHBand="0" w:evenHBand="0" w:firstRowFirstColumn="0" w:firstRowLastColumn="0" w:lastRowFirstColumn="0" w:lastRowLastColumn="0"/>
            <w:tcW w:w="1890" w:type="dxa"/>
          </w:tcPr>
          <w:p w14:paraId="0C5AC28C" w14:textId="77777777" w:rsidR="00EE2A02" w:rsidRPr="004B2A73" w:rsidRDefault="00EE2A02" w:rsidP="00E82719">
            <w:pPr>
              <w:rPr>
                <w:rFonts w:ascii="Calibri" w:hAnsi="Calibri"/>
              </w:rPr>
            </w:pPr>
            <w:r w:rsidRPr="004B2A73">
              <w:rPr>
                <w:rFonts w:ascii="Calibri" w:hAnsi="Calibri"/>
              </w:rPr>
              <w:lastRenderedPageBreak/>
              <w:t>Lekki (Nigeria)</w:t>
            </w:r>
          </w:p>
        </w:tc>
        <w:tc>
          <w:tcPr>
            <w:tcW w:w="5040" w:type="dxa"/>
          </w:tcPr>
          <w:p w14:paraId="10E62C3C" w14:textId="77777777" w:rsidR="00EE2A02" w:rsidRPr="004B2A73" w:rsidRDefault="00EE2A02" w:rsidP="00E82719">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US$1.4 billion</w:t>
            </w:r>
          </w:p>
        </w:tc>
        <w:tc>
          <w:tcPr>
            <w:tcW w:w="2420" w:type="dxa"/>
          </w:tcPr>
          <w:p w14:paraId="693BB630" w14:textId="77777777" w:rsidR="00EE2A02" w:rsidRPr="004B2A73" w:rsidRDefault="00EE2A02" w:rsidP="00E82719">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 million TEUs</w:t>
            </w:r>
          </w:p>
        </w:tc>
      </w:tr>
      <w:tr w:rsidR="00EE2A02" w:rsidRPr="004B2A73" w14:paraId="4FFAC08C" w14:textId="77777777" w:rsidTr="00E82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C917FD2" w14:textId="77777777" w:rsidR="00EE2A02" w:rsidRPr="004B2A73" w:rsidRDefault="00EE2A02" w:rsidP="00E82719">
            <w:pPr>
              <w:rPr>
                <w:rFonts w:ascii="Calibri" w:hAnsi="Calibri"/>
              </w:rPr>
            </w:pPr>
            <w:r w:rsidRPr="004B2A73">
              <w:rPr>
                <w:rFonts w:ascii="Calibri" w:hAnsi="Calibri"/>
              </w:rPr>
              <w:t>Tema</w:t>
            </w:r>
          </w:p>
        </w:tc>
        <w:tc>
          <w:tcPr>
            <w:tcW w:w="5040" w:type="dxa"/>
          </w:tcPr>
          <w:p w14:paraId="24E19619" w14:textId="77777777" w:rsidR="00EE2A02" w:rsidRPr="004B2A73" w:rsidRDefault="00EE2A02" w:rsidP="00E82719">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US$1.5 billion</w:t>
            </w:r>
          </w:p>
        </w:tc>
        <w:tc>
          <w:tcPr>
            <w:tcW w:w="2420" w:type="dxa"/>
          </w:tcPr>
          <w:p w14:paraId="7D480BD4" w14:textId="77777777" w:rsidR="00EE2A02" w:rsidRPr="004B2A73" w:rsidRDefault="00EE2A02" w:rsidP="00E82719">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Up to 3.5 million TEUs</w:t>
            </w:r>
          </w:p>
        </w:tc>
      </w:tr>
    </w:tbl>
    <w:p w14:paraId="61B99080" w14:textId="77777777" w:rsidR="00EE2A02" w:rsidRPr="004B2A73" w:rsidRDefault="00EE2A02" w:rsidP="00EE2A02">
      <w:pPr>
        <w:pStyle w:val="ListParagraph"/>
        <w:spacing w:after="0"/>
        <w:ind w:left="0"/>
        <w:rPr>
          <w:rFonts w:ascii="Calibri" w:hAnsi="Calibri"/>
          <w:sz w:val="24"/>
        </w:rPr>
      </w:pPr>
    </w:p>
    <w:p w14:paraId="26E96FF1" w14:textId="0FA33D04" w:rsidR="00EE2A02" w:rsidRPr="004B2A73" w:rsidRDefault="00CF56F9"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Not all existing ports are suitable for the development of new terminals, and in future, new port sites will need to be identified to accommodate </w:t>
      </w:r>
      <w:r w:rsidR="00175BFF" w:rsidRPr="004B2A73">
        <w:rPr>
          <w:rFonts w:ascii="Calibri" w:hAnsi="Calibri"/>
          <w:b/>
          <w:sz w:val="24"/>
        </w:rPr>
        <w:t>capacity growth</w:t>
      </w:r>
      <w:r w:rsidR="00EE2A02" w:rsidRPr="004B2A73">
        <w:rPr>
          <w:rFonts w:ascii="Calibri" w:hAnsi="Calibri"/>
          <w:b/>
          <w:sz w:val="24"/>
        </w:rPr>
        <w:t>.</w:t>
      </w:r>
      <w:r w:rsidR="00EE2A02" w:rsidRPr="004B2A73">
        <w:rPr>
          <w:rFonts w:ascii="Calibri" w:hAnsi="Calibri"/>
          <w:sz w:val="24"/>
        </w:rPr>
        <w:t xml:space="preserve"> To allow for the development of new terminals within the existing port limits, a port must meet several criteria: (i) adequate nautical access to accommodate ships with deep draft and sufficiently large turning basin to enable safe movement of long vessels, (ii) land reserves that offer sufficient space for the development of new quays and yard areas, and (iii) good connectivity and access conditions on the land side, i.e. not be hemmed in by urban congestion. </w:t>
      </w:r>
      <w:r w:rsidR="00175BFF" w:rsidRPr="004B2A73">
        <w:rPr>
          <w:rFonts w:ascii="Calibri" w:hAnsi="Calibri"/>
          <w:sz w:val="24"/>
        </w:rPr>
        <w:t xml:space="preserve">Part of the reason why TOC </w:t>
      </w:r>
      <w:r w:rsidR="00EE2A02" w:rsidRPr="004B2A73">
        <w:rPr>
          <w:rFonts w:ascii="Calibri" w:hAnsi="Calibri"/>
          <w:sz w:val="24"/>
        </w:rPr>
        <w:t xml:space="preserve">are promoting the creation of new ports in the east and west of Lagos rather than expanding the existing facilities </w:t>
      </w:r>
      <w:r w:rsidR="00175BFF" w:rsidRPr="004B2A73">
        <w:rPr>
          <w:rFonts w:ascii="Calibri" w:hAnsi="Calibri"/>
          <w:sz w:val="24"/>
        </w:rPr>
        <w:t xml:space="preserve">is indeed </w:t>
      </w:r>
      <w:r w:rsidR="00EE2A02" w:rsidRPr="004B2A73">
        <w:rPr>
          <w:rFonts w:ascii="Calibri" w:hAnsi="Calibri"/>
          <w:sz w:val="24"/>
        </w:rPr>
        <w:t xml:space="preserve">to avoid </w:t>
      </w:r>
      <w:r w:rsidR="00175BFF" w:rsidRPr="004B2A73">
        <w:rPr>
          <w:rFonts w:ascii="Calibri" w:hAnsi="Calibri"/>
          <w:sz w:val="24"/>
        </w:rPr>
        <w:t xml:space="preserve">urban </w:t>
      </w:r>
      <w:r w:rsidR="00EE2A02" w:rsidRPr="004B2A73">
        <w:rPr>
          <w:rFonts w:ascii="Calibri" w:hAnsi="Calibri"/>
          <w:sz w:val="24"/>
        </w:rPr>
        <w:t xml:space="preserve">congestion, and similar constraints exist for Conakry. On the other hand, Abidjan, Dakar, and </w:t>
      </w:r>
      <w:r w:rsidR="00C922CA">
        <w:rPr>
          <w:rFonts w:ascii="Calibri" w:hAnsi="Calibri"/>
          <w:sz w:val="24"/>
        </w:rPr>
        <w:t>Lomé</w:t>
      </w:r>
      <w:r w:rsidR="00EE2A02" w:rsidRPr="004B2A73">
        <w:rPr>
          <w:rFonts w:ascii="Calibri" w:hAnsi="Calibri"/>
          <w:sz w:val="24"/>
        </w:rPr>
        <w:t>, for instance, have the breathing space required for developing new terminals within their current limits.</w:t>
      </w:r>
    </w:p>
    <w:p w14:paraId="64784A8A" w14:textId="77777777" w:rsidR="00CF56F9" w:rsidRPr="004B2A73" w:rsidRDefault="00CF56F9" w:rsidP="00CF56F9">
      <w:pPr>
        <w:pStyle w:val="Numbered"/>
        <w:numPr>
          <w:ilvl w:val="0"/>
          <w:numId w:val="0"/>
        </w:numPr>
        <w:rPr>
          <w:rFonts w:ascii="Calibri" w:hAnsi="Calibri"/>
        </w:rPr>
      </w:pPr>
    </w:p>
    <w:p w14:paraId="75D06FBD" w14:textId="378F30FA" w:rsidR="00CF56F9" w:rsidRPr="004B2A73" w:rsidRDefault="00CF56F9" w:rsidP="00853294">
      <w:pPr>
        <w:pStyle w:val="Numbered"/>
        <w:spacing w:line="240" w:lineRule="auto"/>
        <w:ind w:left="0" w:firstLine="0"/>
        <w:jc w:val="both"/>
        <w:rPr>
          <w:rFonts w:ascii="Calibri" w:hAnsi="Calibri"/>
        </w:rPr>
      </w:pPr>
      <w:r w:rsidRPr="004B2A73">
        <w:rPr>
          <w:rFonts w:ascii="Calibri" w:hAnsi="Calibri"/>
          <w:b/>
        </w:rPr>
        <w:t>The major capacity development projects will require complementary investment in the nautical infrastructure, which is traditionally the responsibility of the public sector.</w:t>
      </w:r>
      <w:r w:rsidRPr="004B2A73">
        <w:rPr>
          <w:rFonts w:ascii="Calibri" w:hAnsi="Calibri"/>
        </w:rPr>
        <w:t xml:space="preserve"> Even for ports which have sufficient land and marine reserves to accommodate new terminals, such as Abidjan or </w:t>
      </w:r>
      <w:r w:rsidR="00C922CA">
        <w:rPr>
          <w:rFonts w:ascii="Calibri" w:hAnsi="Calibri"/>
        </w:rPr>
        <w:t>Lomé</w:t>
      </w:r>
      <w:r w:rsidRPr="004B2A73">
        <w:rPr>
          <w:rFonts w:ascii="Calibri" w:hAnsi="Calibri"/>
        </w:rPr>
        <w:t xml:space="preserve">, the development of new terminals will require extension of the protection infrastructure facing the sea, deepening of the access channel, and extension of the turning basin. For the ports developed in greenfield sites, such as Lekki and Badagry, a completely new nautical infrastructure needs to be created. </w:t>
      </w:r>
      <w:r w:rsidR="00175BFF" w:rsidRPr="004B2A73">
        <w:rPr>
          <w:rFonts w:ascii="Calibri" w:hAnsi="Calibri"/>
        </w:rPr>
        <w:t>Although West Africa, following the trend everywhere else in the world, has given TOCs a greater role in the management and financing of the container terminals, the provision of nautical infrastructure remains the responsibility of national or regional public entities</w:t>
      </w:r>
      <w:r w:rsidR="00175BFF" w:rsidRPr="004B2A73">
        <w:rPr>
          <w:rStyle w:val="FootnoteReference"/>
          <w:rFonts w:ascii="Calibri" w:hAnsi="Calibri"/>
        </w:rPr>
        <w:footnoteReference w:id="50"/>
      </w:r>
      <w:r w:rsidR="00175BFF" w:rsidRPr="004B2A73">
        <w:rPr>
          <w:rFonts w:ascii="Calibri" w:hAnsi="Calibri"/>
        </w:rPr>
        <w:t>. Consequently, i</w:t>
      </w:r>
      <w:r w:rsidRPr="004B2A73">
        <w:rPr>
          <w:rFonts w:ascii="Calibri" w:hAnsi="Calibri"/>
        </w:rPr>
        <w:t>n addition to terminal operator investments, a significant amount of public investment, either funded by the port authority or the national or local governments, will be required</w:t>
      </w:r>
      <w:r w:rsidR="00175BFF" w:rsidRPr="004B2A73">
        <w:rPr>
          <w:rFonts w:ascii="Calibri" w:hAnsi="Calibri"/>
        </w:rPr>
        <w:t xml:space="preserve"> for the concomitant upgrade or creation of the nautical infrastructure</w:t>
      </w:r>
      <w:r w:rsidRPr="004B2A73">
        <w:rPr>
          <w:rFonts w:ascii="Calibri" w:hAnsi="Calibri"/>
        </w:rPr>
        <w:t>.</w:t>
      </w:r>
    </w:p>
    <w:p w14:paraId="585B9D2B" w14:textId="77777777" w:rsidR="00EE2A02" w:rsidRPr="004B2A73" w:rsidRDefault="00EE2A02" w:rsidP="00EE2A02">
      <w:pPr>
        <w:pStyle w:val="ListParagraph"/>
        <w:spacing w:after="0"/>
        <w:ind w:left="0"/>
        <w:rPr>
          <w:rFonts w:ascii="Calibri" w:hAnsi="Calibri"/>
          <w:sz w:val="24"/>
        </w:rPr>
      </w:pPr>
    </w:p>
    <w:p w14:paraId="4DA97009" w14:textId="77777777" w:rsidR="00EE2A02" w:rsidRPr="004B2A73" w:rsidRDefault="00175BFF"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To the difference of the first wave of container terminal concessions, in which TOC were providing the financing for the upgrade of the terminals, the new wave will require financing from the public institutions, which may be problematic</w:t>
      </w:r>
      <w:r w:rsidR="000B561A" w:rsidRPr="004B2A73">
        <w:rPr>
          <w:rFonts w:ascii="Calibri" w:hAnsi="Calibri"/>
          <w:b/>
          <w:sz w:val="24"/>
        </w:rPr>
        <w:t xml:space="preserve"> in some countries</w:t>
      </w:r>
      <w:r w:rsidR="00EE2A02" w:rsidRPr="004B2A73">
        <w:rPr>
          <w:rFonts w:ascii="Calibri" w:hAnsi="Calibri"/>
          <w:b/>
          <w:sz w:val="24"/>
        </w:rPr>
        <w:t>.</w:t>
      </w:r>
      <w:r w:rsidR="00EE2A02" w:rsidRPr="004B2A73">
        <w:rPr>
          <w:rFonts w:ascii="Calibri" w:hAnsi="Calibri"/>
          <w:sz w:val="24"/>
        </w:rPr>
        <w:t xml:space="preserve"> In addition to the port facilities themselves, investment in road transport infrastructure is likely to be needed to connect the new port to the existing transport grid, and this is also the responsibility of the public sector. For instance, in Abidjan, it has been envisaged that the TOC would finance a significant part of the infrastructure, but ultimately, that responsibility was transferred to the Port Authority of Abidjan, which will finance dredging, Vridi canal expansion, land reclamation and the quay wall, at an estimated cost of US$800 million. The TOC plans to spend around US$400 million on the infrastructure and superstructure of the terminal (which includes the handling equipment). </w:t>
      </w:r>
      <w:r w:rsidR="000B561A" w:rsidRPr="004B2A73">
        <w:rPr>
          <w:rFonts w:ascii="Calibri" w:hAnsi="Calibri"/>
          <w:sz w:val="24"/>
        </w:rPr>
        <w:t xml:space="preserve">In the case of Ghana, the solution to the shortage of resources has been to tilt the balance </w:t>
      </w:r>
      <w:r w:rsidR="000B561A" w:rsidRPr="004B2A73">
        <w:rPr>
          <w:rFonts w:ascii="Calibri" w:hAnsi="Calibri"/>
          <w:sz w:val="24"/>
        </w:rPr>
        <w:lastRenderedPageBreak/>
        <w:t>between the respective responsibilities of the terminal operator and the public entities. In the presentation of the extension, it is specified that the terminal operator will develop the four deep-water berths, the new breakwater and the deepening of the access channel, which should at least in part be the responsibility of the port authority and Government of Ghana. The fact that an additional portion of the public burden, the upgrade of the Tema Accra highway to a six lanes highway, has been shifted to the terminal operator, is another indication of the limits on the availability of public resources to finance the extension of the port.</w:t>
      </w:r>
    </w:p>
    <w:p w14:paraId="783BD4F2" w14:textId="77777777" w:rsidR="00EE2A02" w:rsidRPr="004B2A73" w:rsidRDefault="00EE2A02" w:rsidP="00EE2A02">
      <w:pPr>
        <w:pStyle w:val="ListParagraph"/>
        <w:spacing w:after="0"/>
        <w:ind w:left="0"/>
        <w:rPr>
          <w:rFonts w:ascii="Calibri" w:hAnsi="Calibri"/>
          <w:sz w:val="24"/>
        </w:rPr>
      </w:pPr>
    </w:p>
    <w:p w14:paraId="2A65334A" w14:textId="2B32D376" w:rsidR="001B5694" w:rsidRPr="004B2A73" w:rsidRDefault="00EE2A0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So far, access to finance </w:t>
      </w:r>
      <w:r w:rsidR="00492B02" w:rsidRPr="004B2A73">
        <w:rPr>
          <w:rFonts w:ascii="Calibri" w:hAnsi="Calibri"/>
          <w:b/>
          <w:sz w:val="24"/>
        </w:rPr>
        <w:t xml:space="preserve">for TOC </w:t>
      </w:r>
      <w:r w:rsidRPr="004B2A73">
        <w:rPr>
          <w:rFonts w:ascii="Calibri" w:hAnsi="Calibri"/>
          <w:b/>
          <w:sz w:val="24"/>
        </w:rPr>
        <w:t>has not been</w:t>
      </w:r>
      <w:r w:rsidR="001B5694" w:rsidRPr="004B2A73">
        <w:rPr>
          <w:rFonts w:ascii="Calibri" w:hAnsi="Calibri"/>
          <w:b/>
          <w:sz w:val="24"/>
        </w:rPr>
        <w:t xml:space="preserve"> </w:t>
      </w:r>
      <w:r w:rsidRPr="004B2A73">
        <w:rPr>
          <w:rFonts w:ascii="Calibri" w:hAnsi="Calibri"/>
          <w:b/>
          <w:sz w:val="24"/>
        </w:rPr>
        <w:t xml:space="preserve">a binding constraint, largely because container terminals are very profitable businesses. </w:t>
      </w:r>
      <w:r w:rsidRPr="004B2A73">
        <w:rPr>
          <w:rFonts w:ascii="Calibri" w:hAnsi="Calibri"/>
          <w:sz w:val="24"/>
        </w:rPr>
        <w:t>Financial accounts of individual terminals are not public, but global TOCs usually publish their financial results: APM Terminals’ website reported global 2014 revenue of US$4.45 billion and after-tax profit of US$900 million, invested capital of US$5.93 billion</w:t>
      </w:r>
      <w:r w:rsidR="00492B02" w:rsidRPr="004B2A73">
        <w:rPr>
          <w:rFonts w:ascii="Calibri" w:hAnsi="Calibri"/>
          <w:sz w:val="24"/>
        </w:rPr>
        <w:t xml:space="preserve"> (a return on invested capital of 14.7%)</w:t>
      </w:r>
      <w:r w:rsidRPr="004B2A73">
        <w:rPr>
          <w:rFonts w:ascii="Calibri" w:hAnsi="Calibri"/>
          <w:sz w:val="24"/>
        </w:rPr>
        <w:t xml:space="preserve">, and a 38.3 million Equity TEU throughput. DP World reported a 2014 revenue of US$3.41 billion, an EBITDA of US$1.588 billion (i.e. 46.6% EBITDA margin), and profit of US$757 million for a throughput of 28.3 million Equity TEUs. </w:t>
      </w:r>
      <w:r w:rsidR="003345CA">
        <w:rPr>
          <w:rFonts w:ascii="Calibri" w:hAnsi="Calibri"/>
          <w:sz w:val="24"/>
        </w:rPr>
        <w:t>Bolloré</w:t>
      </w:r>
      <w:r w:rsidRPr="004B2A73">
        <w:rPr>
          <w:rFonts w:ascii="Calibri" w:hAnsi="Calibri"/>
          <w:sz w:val="24"/>
        </w:rPr>
        <w:t xml:space="preserve"> Africa Logistics publishes financial results, but these also reflect railway operations, C&amp;F agencies, inland terminals, etc. and do not isolate container terminal concessions. The portfolio of global TOCs such as APMT and DPW combines brownfield projects, with established revenue streams and minimal requirements for investments, and greenfield terminals, with more uncertain revenue streams and comparatively larger investment requirements. </w:t>
      </w:r>
      <w:r w:rsidR="00670910" w:rsidRPr="004B2A73">
        <w:rPr>
          <w:rFonts w:ascii="Calibri" w:hAnsi="Calibri"/>
          <w:sz w:val="24"/>
        </w:rPr>
        <w:t xml:space="preserve">Overall, the global revenue per equity TEU for APM Terminal and DP World are very similar, $116 per equity TEU for APMT and $120 for DPW. </w:t>
      </w:r>
      <w:r w:rsidRPr="004B2A73">
        <w:rPr>
          <w:rFonts w:ascii="Calibri" w:hAnsi="Calibri"/>
          <w:sz w:val="24"/>
        </w:rPr>
        <w:t>The level of profitability reported on worldwide operations is likely to be much lower than in West Africa, where so far most of the portfolio of the TOCs concerns brownfield concessions.</w:t>
      </w:r>
      <w:r w:rsidR="00670910" w:rsidRPr="004B2A73">
        <w:rPr>
          <w:rFonts w:ascii="Calibri" w:hAnsi="Calibri"/>
          <w:sz w:val="24"/>
        </w:rPr>
        <w:t xml:space="preserve"> The estimate of the revenue of the Abidjan container terminal </w:t>
      </w:r>
      <w:r w:rsidR="00670910" w:rsidRPr="004B2A73">
        <w:rPr>
          <w:rFonts w:ascii="Calibri" w:hAnsi="Calibri"/>
          <w:sz w:val="24"/>
          <w:szCs w:val="24"/>
        </w:rPr>
        <w:t xml:space="preserve">in </w:t>
      </w:r>
      <w:r w:rsidR="00670910" w:rsidRPr="004B2A73">
        <w:rPr>
          <w:rFonts w:ascii="Calibri" w:hAnsi="Calibri"/>
          <w:sz w:val="24"/>
          <w:szCs w:val="24"/>
        </w:rPr>
        <w:fldChar w:fldCharType="begin"/>
      </w:r>
      <w:r w:rsidR="00670910" w:rsidRPr="004B2A73">
        <w:rPr>
          <w:rFonts w:ascii="Calibri" w:hAnsi="Calibri"/>
          <w:sz w:val="24"/>
          <w:szCs w:val="24"/>
        </w:rPr>
        <w:instrText xml:space="preserve"> REF _Ref448931615 \h  \* MERGEFORMAT </w:instrText>
      </w:r>
      <w:r w:rsidR="00670910" w:rsidRPr="004B2A73">
        <w:rPr>
          <w:rFonts w:ascii="Calibri" w:hAnsi="Calibri"/>
          <w:sz w:val="24"/>
          <w:szCs w:val="24"/>
        </w:rPr>
      </w:r>
      <w:r w:rsidR="00670910" w:rsidRPr="004B2A73">
        <w:rPr>
          <w:rFonts w:ascii="Calibri" w:hAnsi="Calibri"/>
          <w:sz w:val="24"/>
          <w:szCs w:val="24"/>
        </w:rPr>
        <w:fldChar w:fldCharType="separate"/>
      </w:r>
      <w:r w:rsidR="00212D01" w:rsidRPr="00212D01">
        <w:rPr>
          <w:rFonts w:ascii="Calibri" w:hAnsi="Calibri"/>
          <w:sz w:val="24"/>
          <w:szCs w:val="24"/>
        </w:rPr>
        <w:t xml:space="preserve">Table </w:t>
      </w:r>
      <w:r w:rsidR="00212D01" w:rsidRPr="00212D01">
        <w:rPr>
          <w:rFonts w:ascii="Calibri" w:hAnsi="Calibri"/>
          <w:noProof/>
          <w:sz w:val="24"/>
          <w:szCs w:val="24"/>
        </w:rPr>
        <w:t>12</w:t>
      </w:r>
      <w:r w:rsidR="00670910" w:rsidRPr="004B2A73">
        <w:rPr>
          <w:rFonts w:ascii="Calibri" w:hAnsi="Calibri"/>
          <w:sz w:val="24"/>
          <w:szCs w:val="24"/>
        </w:rPr>
        <w:fldChar w:fldCharType="end"/>
      </w:r>
      <w:r w:rsidR="00670910" w:rsidRPr="004B2A73">
        <w:rPr>
          <w:rFonts w:ascii="Calibri" w:hAnsi="Calibri"/>
          <w:sz w:val="24"/>
          <w:szCs w:val="24"/>
        </w:rPr>
        <w:t xml:space="preserve"> shows a revenue of $236 per TEU, which seems to corroborate the hypothesis that profit margins in West Africa are higher than worldwide average</w:t>
      </w:r>
      <w:r w:rsidR="006B597D">
        <w:rPr>
          <w:rFonts w:ascii="Calibri" w:hAnsi="Calibri"/>
          <w:sz w:val="24"/>
          <w:szCs w:val="24"/>
        </w:rPr>
        <w:t>s</w:t>
      </w:r>
      <w:r w:rsidR="00670910" w:rsidRPr="004B2A73">
        <w:rPr>
          <w:rFonts w:ascii="Calibri" w:hAnsi="Calibri"/>
          <w:sz w:val="24"/>
          <w:szCs w:val="24"/>
        </w:rPr>
        <w:t>.</w:t>
      </w:r>
    </w:p>
    <w:p w14:paraId="076D5C9A" w14:textId="77777777" w:rsidR="001B5694" w:rsidRPr="004B2A73" w:rsidRDefault="001B5694" w:rsidP="000B561A">
      <w:pPr>
        <w:pStyle w:val="ListParagraph"/>
        <w:spacing w:after="0"/>
        <w:ind w:left="0"/>
        <w:rPr>
          <w:rFonts w:ascii="Calibri" w:hAnsi="Calibri"/>
          <w:sz w:val="24"/>
        </w:rPr>
      </w:pPr>
    </w:p>
    <w:p w14:paraId="098634B3" w14:textId="4F6BCF86" w:rsidR="001B5694" w:rsidRPr="004B2A73" w:rsidRDefault="001B5694" w:rsidP="00853294">
      <w:pPr>
        <w:pStyle w:val="Numbered"/>
        <w:spacing w:line="240" w:lineRule="auto"/>
        <w:ind w:left="0" w:firstLine="0"/>
        <w:contextualSpacing w:val="0"/>
        <w:jc w:val="both"/>
        <w:rPr>
          <w:rFonts w:ascii="Calibri" w:hAnsi="Calibri"/>
        </w:rPr>
      </w:pPr>
      <w:r w:rsidRPr="004B2A73">
        <w:rPr>
          <w:rFonts w:ascii="Calibri" w:hAnsi="Calibri"/>
          <w:b/>
        </w:rPr>
        <w:t xml:space="preserve">However, with the balance between brownfield and greenfield terminal concessions shifting towards greenfield developments, the financing model of the TOC will </w:t>
      </w:r>
      <w:r w:rsidR="00A34F3A" w:rsidRPr="004B2A73">
        <w:rPr>
          <w:rFonts w:ascii="Calibri" w:hAnsi="Calibri"/>
          <w:b/>
        </w:rPr>
        <w:t xml:space="preserve">need to </w:t>
      </w:r>
      <w:r w:rsidRPr="004B2A73">
        <w:rPr>
          <w:rFonts w:ascii="Calibri" w:hAnsi="Calibri"/>
          <w:b/>
        </w:rPr>
        <w:t>change</w:t>
      </w:r>
      <w:r w:rsidRPr="004B2A73">
        <w:rPr>
          <w:rFonts w:ascii="Calibri" w:hAnsi="Calibri"/>
        </w:rPr>
        <w:t xml:space="preserve">. It has been </w:t>
      </w:r>
      <w:r w:rsidR="00A34F3A" w:rsidRPr="004B2A73">
        <w:rPr>
          <w:rFonts w:ascii="Calibri" w:hAnsi="Calibri"/>
        </w:rPr>
        <w:t>suggested</w:t>
      </w:r>
      <w:r w:rsidRPr="004B2A73">
        <w:rPr>
          <w:rFonts w:ascii="Calibri" w:hAnsi="Calibri"/>
        </w:rPr>
        <w:t xml:space="preserve"> earlier that investment commitments under the first wave of concessions were largely met through the revenue generated by the concession itself, </w:t>
      </w:r>
      <w:r w:rsidR="00A34F3A" w:rsidRPr="004B2A73">
        <w:rPr>
          <w:rFonts w:ascii="Calibri" w:hAnsi="Calibri"/>
        </w:rPr>
        <w:t>but this</w:t>
      </w:r>
      <w:r w:rsidRPr="004B2A73">
        <w:rPr>
          <w:rFonts w:ascii="Calibri" w:hAnsi="Calibri"/>
        </w:rPr>
        <w:t xml:space="preserve"> will no</w:t>
      </w:r>
      <w:r w:rsidR="00A34F3A" w:rsidRPr="004B2A73">
        <w:rPr>
          <w:rFonts w:ascii="Calibri" w:hAnsi="Calibri"/>
        </w:rPr>
        <w:t xml:space="preserve"> longer</w:t>
      </w:r>
      <w:r w:rsidRPr="004B2A73">
        <w:rPr>
          <w:rFonts w:ascii="Calibri" w:hAnsi="Calibri"/>
        </w:rPr>
        <w:t xml:space="preserve"> be the case for greenfield developments.</w:t>
      </w:r>
      <w:r w:rsidR="00A34F3A" w:rsidRPr="004B2A73">
        <w:rPr>
          <w:rFonts w:ascii="Calibri" w:hAnsi="Calibri"/>
        </w:rPr>
        <w:t xml:space="preserve"> Combined with the magnitude of the investments required for the development of the new container capacity, </w:t>
      </w:r>
      <w:r w:rsidR="000B561A" w:rsidRPr="004B2A73">
        <w:rPr>
          <w:rFonts w:ascii="Calibri" w:hAnsi="Calibri"/>
        </w:rPr>
        <w:t xml:space="preserve">TOC will need to mobilize external resources. For instance, in 2013, the IFC provided a loan </w:t>
      </w:r>
      <w:r w:rsidR="000B561A" w:rsidRPr="00E01B60">
        <w:rPr>
          <w:rFonts w:ascii="Calibri" w:hAnsi="Calibri"/>
          <w:szCs w:val="24"/>
        </w:rPr>
        <w:t>valued at US$116.2 million and led the consortium of financiers, including AfDB</w:t>
      </w:r>
      <w:r w:rsidR="006C1685">
        <w:rPr>
          <w:rFonts w:ascii="Calibri" w:hAnsi="Calibri"/>
          <w:szCs w:val="24"/>
        </w:rPr>
        <w:t xml:space="preserve"> (African Development Bank)</w:t>
      </w:r>
      <w:r w:rsidR="000B561A" w:rsidRPr="00E01B60">
        <w:rPr>
          <w:rFonts w:ascii="Calibri" w:hAnsi="Calibri"/>
          <w:szCs w:val="24"/>
        </w:rPr>
        <w:t>, Germany’s DEG, Netherland’s FMO, the OPEC Fund for International Development, and France’s PROPARCO, that structured the debt package for an amount of €225 million for the Lomé Container Terminal (LCT). It is important to note that even in the case of brownfield concessions, the TOC may has had to mobilize external resources, as illustrated in the US$293.66 million investment by DP World for the Dakar Container Terminal which was par</w:t>
      </w:r>
      <w:r w:rsidR="000B561A" w:rsidRPr="004B2A73">
        <w:rPr>
          <w:rFonts w:ascii="Calibri" w:hAnsi="Calibri"/>
        </w:rPr>
        <w:t xml:space="preserve">t direct equity from DPW (US$99 million </w:t>
      </w:r>
      <w:r w:rsidR="000B561A" w:rsidRPr="004B2A73">
        <w:rPr>
          <w:rFonts w:ascii="Calibri" w:hAnsi="Calibri"/>
        </w:rPr>
        <w:lastRenderedPageBreak/>
        <w:t>DPW Dakar, US$65.36 million DPW) and part debt, US$42.5 from commercial banks, and US$86.80 from IFIs</w:t>
      </w:r>
      <w:r w:rsidR="000B561A" w:rsidRPr="004B2A73">
        <w:rPr>
          <w:rStyle w:val="FootnoteReference"/>
          <w:rFonts w:ascii="Calibri" w:hAnsi="Calibri"/>
        </w:rPr>
        <w:footnoteReference w:id="51"/>
      </w:r>
      <w:r w:rsidR="000B561A" w:rsidRPr="004B2A73">
        <w:rPr>
          <w:rFonts w:ascii="Calibri" w:hAnsi="Calibri"/>
        </w:rPr>
        <w:t>.</w:t>
      </w:r>
    </w:p>
    <w:p w14:paraId="7CA065B4" w14:textId="77777777" w:rsidR="00EE2A02" w:rsidRPr="004B2A73" w:rsidRDefault="00EE2A02" w:rsidP="00EE2A02">
      <w:pPr>
        <w:pStyle w:val="ListParagraph"/>
        <w:spacing w:after="0"/>
        <w:ind w:left="0"/>
        <w:rPr>
          <w:rFonts w:ascii="Calibri" w:hAnsi="Calibri"/>
          <w:sz w:val="24"/>
        </w:rPr>
      </w:pPr>
    </w:p>
    <w:p w14:paraId="306AB0D0" w14:textId="7BCE46D9" w:rsidR="00EE2A02" w:rsidRPr="004B2A73" w:rsidRDefault="000B561A"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Overall, b</w:t>
      </w:r>
      <w:r w:rsidR="00EE2A02" w:rsidRPr="004B2A73">
        <w:rPr>
          <w:rFonts w:ascii="Calibri" w:hAnsi="Calibri"/>
          <w:b/>
          <w:sz w:val="24"/>
        </w:rPr>
        <w:t>oth the public entities (port authorities, local and national governments) and the terminal operators will need support to mobilize the resources required for these investments</w:t>
      </w:r>
      <w:r w:rsidR="00EE2A02" w:rsidRPr="004B2A73">
        <w:rPr>
          <w:rFonts w:ascii="Calibri" w:hAnsi="Calibri"/>
          <w:sz w:val="24"/>
        </w:rPr>
        <w:t xml:space="preserve">. </w:t>
      </w:r>
      <w:r w:rsidR="00F46AAC">
        <w:rPr>
          <w:rFonts w:ascii="Calibri" w:hAnsi="Calibri"/>
          <w:sz w:val="24"/>
        </w:rPr>
        <w:t xml:space="preserve">There is a possible role for IFIs in implementing a “cascade” approach to look at funding options from the private sector and if/as needed with complementary public input.  </w:t>
      </w:r>
      <w:r w:rsidR="00293A99" w:rsidRPr="004B2A73">
        <w:rPr>
          <w:rFonts w:ascii="Calibri" w:hAnsi="Calibri"/>
          <w:sz w:val="24"/>
        </w:rPr>
        <w:t>In the case of</w:t>
      </w:r>
      <w:r w:rsidR="00EE2A02" w:rsidRPr="004B2A73">
        <w:rPr>
          <w:rFonts w:ascii="Calibri" w:hAnsi="Calibri"/>
          <w:sz w:val="24"/>
        </w:rPr>
        <w:t xml:space="preserve"> DP World investment in Dakar and LCT in </w:t>
      </w:r>
      <w:r w:rsidR="00C922CA">
        <w:rPr>
          <w:rFonts w:ascii="Calibri" w:hAnsi="Calibri"/>
          <w:sz w:val="24"/>
        </w:rPr>
        <w:t>Lomé</w:t>
      </w:r>
      <w:r w:rsidR="00293A99" w:rsidRPr="004B2A73">
        <w:rPr>
          <w:rFonts w:ascii="Calibri" w:hAnsi="Calibri"/>
          <w:sz w:val="24"/>
        </w:rPr>
        <w:t>,</w:t>
      </w:r>
      <w:r w:rsidR="00EE2A02" w:rsidRPr="004B2A73">
        <w:rPr>
          <w:rFonts w:ascii="Calibri" w:hAnsi="Calibri"/>
          <w:sz w:val="24"/>
        </w:rPr>
        <w:t xml:space="preserve"> </w:t>
      </w:r>
      <w:r w:rsidR="003E343E">
        <w:rPr>
          <w:rFonts w:ascii="Calibri" w:hAnsi="Calibri"/>
          <w:sz w:val="24"/>
        </w:rPr>
        <w:t xml:space="preserve">and more recently for the extension of the Tema, </w:t>
      </w:r>
      <w:r w:rsidR="00EE2A02" w:rsidRPr="004B2A73">
        <w:rPr>
          <w:rFonts w:ascii="Calibri" w:hAnsi="Calibri"/>
          <w:sz w:val="24"/>
        </w:rPr>
        <w:t>IFIs provided significant portions of the debt component. The structure is equally complex for the public entities’ component of these projects. For instance, for the Lekki port (the only example of a pure greenfield operation for which sufficient details have been made public), the Lekki Port LFTZ Enterprise (LPLE) responsible for the development of the infrastructure is a special purpose vehicle led by the Tolaram Group, which will also include the Nigerian Port Authority (NPA), the Lagos State Government and an Investment Holding Company incorporated to hold the non-Nigerian governmental interests in LPLE. The Tolaram Group is expected to hold a beneficial interest of up to 45% in the project, while the NPA and Lagos State Government are expected to hold approximately 20% each, with the remainder corresponding to the investment holding company</w:t>
      </w:r>
      <w:r w:rsidR="00EE2A02" w:rsidRPr="004B2A73">
        <w:rPr>
          <w:rStyle w:val="FootnoteReference"/>
          <w:rFonts w:ascii="Calibri" w:hAnsi="Calibri"/>
          <w:sz w:val="24"/>
        </w:rPr>
        <w:footnoteReference w:id="52"/>
      </w:r>
      <w:r w:rsidR="00EE2A02" w:rsidRPr="004B2A73">
        <w:rPr>
          <w:rFonts w:ascii="Calibri" w:hAnsi="Calibri"/>
          <w:sz w:val="24"/>
        </w:rPr>
        <w:t>. LPLE entered into a sub-concession agreement with International Terminal Container Services</w:t>
      </w:r>
      <w:r w:rsidR="00EE2A02" w:rsidRPr="004B2A73">
        <w:rPr>
          <w:rStyle w:val="FootnoteReference"/>
          <w:rFonts w:ascii="Calibri" w:hAnsi="Calibri"/>
          <w:sz w:val="24"/>
        </w:rPr>
        <w:footnoteReference w:id="53"/>
      </w:r>
      <w:r w:rsidR="00EE2A02" w:rsidRPr="004B2A73">
        <w:rPr>
          <w:rFonts w:ascii="Calibri" w:hAnsi="Calibri"/>
          <w:sz w:val="24"/>
        </w:rPr>
        <w:t xml:space="preserve"> for the container terminal component of the port project. The equity and debt structure is not yet known, but considering the magnitude of the investments, around US$1 billion for LPLE and around US$300 million for the terminal operators, the debt component is likely to be significant for both, and primarily sourced from IFIs. In Abidjan, the second container terminal will be developed in the land reserve of the port authority, which minimizes the need for marine infrastructure investment, but still requires deepening and widening the access channel. The port authority, financed by a 395 billion CFA franc loan from EXIMBANK and 70 billion CFA franc loan from the Government of Cote d’Ivoire, will undertake this project investment of 466 billion CFA francs</w:t>
      </w:r>
      <w:r w:rsidR="00EE2A02" w:rsidRPr="004B2A73">
        <w:rPr>
          <w:rStyle w:val="FootnoteReference"/>
          <w:rFonts w:ascii="Calibri" w:hAnsi="Calibri"/>
          <w:sz w:val="24"/>
        </w:rPr>
        <w:footnoteReference w:id="54"/>
      </w:r>
      <w:r w:rsidR="00EE2A02" w:rsidRPr="004B2A73">
        <w:rPr>
          <w:rFonts w:ascii="Calibri" w:hAnsi="Calibri"/>
          <w:sz w:val="24"/>
        </w:rPr>
        <w:t>.</w:t>
      </w:r>
    </w:p>
    <w:p w14:paraId="080DF04F" w14:textId="77777777" w:rsidR="00293A99" w:rsidRPr="004B2A73" w:rsidRDefault="00293A99" w:rsidP="00293A99">
      <w:pPr>
        <w:spacing w:after="0"/>
        <w:rPr>
          <w:rFonts w:ascii="Calibri" w:hAnsi="Calibri"/>
          <w:sz w:val="24"/>
        </w:rPr>
      </w:pPr>
    </w:p>
    <w:p w14:paraId="19C8CAE3" w14:textId="77777777" w:rsidR="00EE2A02" w:rsidRPr="00DB7AE7" w:rsidRDefault="00EE2A02" w:rsidP="00DB7AE7">
      <w:pPr>
        <w:pStyle w:val="Heading2"/>
        <w:rPr>
          <w:rFonts w:asciiTheme="minorHAnsi" w:hAnsiTheme="minorHAnsi" w:cstheme="minorHAnsi"/>
          <w:color w:val="auto"/>
          <w:sz w:val="28"/>
          <w:szCs w:val="28"/>
        </w:rPr>
      </w:pPr>
      <w:bookmarkStart w:id="120" w:name="_Toc485382003"/>
      <w:r w:rsidRPr="00DB7AE7">
        <w:rPr>
          <w:rFonts w:asciiTheme="minorHAnsi" w:hAnsiTheme="minorHAnsi" w:cstheme="minorHAnsi"/>
          <w:color w:val="auto"/>
          <w:sz w:val="28"/>
          <w:szCs w:val="28"/>
        </w:rPr>
        <w:t>Long term adequacy between planned capacity and forecast demand</w:t>
      </w:r>
      <w:bookmarkEnd w:id="120"/>
    </w:p>
    <w:p w14:paraId="471C252E" w14:textId="77777777" w:rsidR="00EE2A02" w:rsidRPr="004B2A73" w:rsidRDefault="00EE2A02" w:rsidP="00EE2A02">
      <w:pPr>
        <w:pStyle w:val="ListParagraph"/>
        <w:spacing w:after="0"/>
        <w:ind w:left="0"/>
        <w:rPr>
          <w:rFonts w:ascii="Calibri" w:hAnsi="Calibri"/>
          <w:sz w:val="24"/>
        </w:rPr>
      </w:pPr>
    </w:p>
    <w:p w14:paraId="1DCB30D3" w14:textId="4F3AAAEC" w:rsidR="00EE2A02" w:rsidRDefault="00EE2A0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Planned investments would expand regional container terminal capacity in West Africa </w:t>
      </w:r>
      <w:r w:rsidRPr="0008322F">
        <w:rPr>
          <w:rFonts w:ascii="Calibri" w:hAnsi="Calibri"/>
          <w:b/>
          <w:color w:val="000000" w:themeColor="text1"/>
          <w:sz w:val="24"/>
        </w:rPr>
        <w:t xml:space="preserve">to above </w:t>
      </w:r>
      <w:r w:rsidR="002378FD" w:rsidRPr="0008322F">
        <w:rPr>
          <w:rFonts w:ascii="Calibri" w:hAnsi="Calibri"/>
          <w:b/>
          <w:color w:val="000000" w:themeColor="text1"/>
          <w:sz w:val="24"/>
        </w:rPr>
        <w:t>20</w:t>
      </w:r>
      <w:r w:rsidR="00C624FF" w:rsidRPr="0008322F">
        <w:rPr>
          <w:rFonts w:ascii="Calibri" w:hAnsi="Calibri"/>
          <w:b/>
          <w:color w:val="000000" w:themeColor="text1"/>
          <w:sz w:val="24"/>
        </w:rPr>
        <w:t xml:space="preserve"> </w:t>
      </w:r>
      <w:r w:rsidRPr="0008322F">
        <w:rPr>
          <w:rFonts w:ascii="Calibri" w:hAnsi="Calibri"/>
          <w:b/>
          <w:color w:val="000000" w:themeColor="text1"/>
          <w:sz w:val="24"/>
        </w:rPr>
        <w:t>million TEUs by 2025</w:t>
      </w:r>
      <w:r w:rsidRPr="004B2A73">
        <w:rPr>
          <w:rFonts w:ascii="Calibri" w:hAnsi="Calibri"/>
          <w:b/>
          <w:sz w:val="24"/>
        </w:rPr>
        <w:t xml:space="preserve">, which is close to the regional traffic forecast </w:t>
      </w:r>
      <w:r w:rsidR="00A730E4" w:rsidRPr="004B2A73">
        <w:rPr>
          <w:rFonts w:ascii="Calibri" w:hAnsi="Calibri"/>
          <w:b/>
          <w:sz w:val="24"/>
        </w:rPr>
        <w:t xml:space="preserve">in the </w:t>
      </w:r>
      <w:r w:rsidR="00F800D4">
        <w:rPr>
          <w:rFonts w:ascii="Calibri" w:hAnsi="Calibri"/>
          <w:b/>
          <w:sz w:val="24"/>
        </w:rPr>
        <w:t>best-case</w:t>
      </w:r>
      <w:r w:rsidR="002378FD">
        <w:rPr>
          <w:rFonts w:ascii="Calibri" w:hAnsi="Calibri"/>
          <w:b/>
          <w:sz w:val="24"/>
        </w:rPr>
        <w:t xml:space="preserve"> </w:t>
      </w:r>
      <w:r w:rsidR="00A730E4" w:rsidRPr="004B2A73">
        <w:rPr>
          <w:rFonts w:ascii="Calibri" w:hAnsi="Calibri"/>
          <w:b/>
          <w:sz w:val="24"/>
        </w:rPr>
        <w:t>scenario above</w:t>
      </w:r>
      <w:r w:rsidRPr="004B2A73">
        <w:rPr>
          <w:rFonts w:ascii="Calibri" w:hAnsi="Calibri"/>
          <w:sz w:val="24"/>
          <w:szCs w:val="24"/>
        </w:rPr>
        <w:t xml:space="preserve">. </w:t>
      </w:r>
      <w:r w:rsidR="00B517F3" w:rsidRPr="004B2A73">
        <w:rPr>
          <w:rFonts w:ascii="Calibri" w:hAnsi="Calibri"/>
          <w:sz w:val="24"/>
          <w:szCs w:val="24"/>
        </w:rPr>
        <w:fldChar w:fldCharType="begin"/>
      </w:r>
      <w:r w:rsidR="00B517F3" w:rsidRPr="004B2A73">
        <w:rPr>
          <w:rFonts w:ascii="Calibri" w:hAnsi="Calibri"/>
          <w:sz w:val="24"/>
          <w:szCs w:val="24"/>
        </w:rPr>
        <w:instrText xml:space="preserve"> REF _Ref448936696 \h  \* MERGEFORMAT </w:instrText>
      </w:r>
      <w:r w:rsidR="00B517F3" w:rsidRPr="004B2A73">
        <w:rPr>
          <w:rFonts w:ascii="Calibri" w:hAnsi="Calibri"/>
          <w:sz w:val="24"/>
          <w:szCs w:val="24"/>
        </w:rPr>
      </w:r>
      <w:r w:rsidR="00B517F3" w:rsidRPr="004B2A73">
        <w:rPr>
          <w:rFonts w:ascii="Calibri" w:hAnsi="Calibri"/>
          <w:sz w:val="24"/>
          <w:szCs w:val="24"/>
        </w:rPr>
        <w:fldChar w:fldCharType="separate"/>
      </w:r>
      <w:r w:rsidR="00212D01" w:rsidRPr="00212D01">
        <w:rPr>
          <w:rFonts w:ascii="Calibri" w:hAnsi="Calibri"/>
          <w:sz w:val="24"/>
          <w:szCs w:val="24"/>
        </w:rPr>
        <w:t xml:space="preserve">Table </w:t>
      </w:r>
      <w:r w:rsidR="00212D01" w:rsidRPr="00212D01">
        <w:rPr>
          <w:rFonts w:ascii="Calibri" w:hAnsi="Calibri"/>
          <w:noProof/>
          <w:sz w:val="24"/>
          <w:szCs w:val="24"/>
        </w:rPr>
        <w:t>15</w:t>
      </w:r>
      <w:r w:rsidR="00B517F3" w:rsidRPr="004B2A73">
        <w:rPr>
          <w:rFonts w:ascii="Calibri" w:hAnsi="Calibri"/>
          <w:sz w:val="24"/>
          <w:szCs w:val="24"/>
        </w:rPr>
        <w:fldChar w:fldCharType="end"/>
      </w:r>
      <w:r w:rsidR="00142615">
        <w:rPr>
          <w:rFonts w:ascii="Calibri" w:hAnsi="Calibri"/>
          <w:sz w:val="24"/>
          <w:szCs w:val="24"/>
        </w:rPr>
        <w:t xml:space="preserve"> </w:t>
      </w:r>
      <w:r w:rsidRPr="004B2A73">
        <w:rPr>
          <w:rFonts w:ascii="Calibri" w:hAnsi="Calibri"/>
          <w:sz w:val="24"/>
        </w:rPr>
        <w:t xml:space="preserve">provides </w:t>
      </w:r>
      <w:r w:rsidR="003B07AA" w:rsidRPr="004B2A73">
        <w:rPr>
          <w:rFonts w:ascii="Calibri" w:hAnsi="Calibri"/>
          <w:sz w:val="24"/>
        </w:rPr>
        <w:t>an overview</w:t>
      </w:r>
      <w:r w:rsidRPr="004B2A73">
        <w:rPr>
          <w:rFonts w:ascii="Calibri" w:hAnsi="Calibri"/>
          <w:sz w:val="24"/>
        </w:rPr>
        <w:t xml:space="preserve"> of capacity </w:t>
      </w:r>
      <w:r w:rsidR="003B07AA" w:rsidRPr="004B2A73">
        <w:rPr>
          <w:rFonts w:ascii="Calibri" w:hAnsi="Calibri"/>
          <w:sz w:val="24"/>
        </w:rPr>
        <w:t xml:space="preserve">developments for the West Africa </w:t>
      </w:r>
      <w:r w:rsidR="003B07AA" w:rsidRPr="004B2A73">
        <w:rPr>
          <w:rFonts w:ascii="Calibri" w:hAnsi="Calibri"/>
          <w:sz w:val="24"/>
        </w:rPr>
        <w:lastRenderedPageBreak/>
        <w:t>ports</w:t>
      </w:r>
      <w:r w:rsidRPr="004B2A73">
        <w:rPr>
          <w:rFonts w:ascii="Calibri" w:hAnsi="Calibri"/>
          <w:sz w:val="24"/>
        </w:rPr>
        <w:t>, based on the information available</w:t>
      </w:r>
      <w:r w:rsidRPr="004B2A73">
        <w:rPr>
          <w:rStyle w:val="FootnoteReference"/>
          <w:rFonts w:ascii="Calibri" w:hAnsi="Calibri"/>
          <w:sz w:val="24"/>
        </w:rPr>
        <w:footnoteReference w:id="55"/>
      </w:r>
      <w:r w:rsidRPr="004B2A73">
        <w:rPr>
          <w:rFonts w:ascii="Calibri" w:hAnsi="Calibri"/>
          <w:sz w:val="24"/>
        </w:rPr>
        <w:t>. Assessing future terminal capacity at a regional level on the basis of planned investments is a speculative exercise, as the phasing of capacity development can change over time</w:t>
      </w:r>
      <w:r w:rsidRPr="004B2A73">
        <w:rPr>
          <w:rStyle w:val="FootnoteReference"/>
          <w:rFonts w:ascii="Calibri" w:hAnsi="Calibri"/>
          <w:sz w:val="24"/>
        </w:rPr>
        <w:footnoteReference w:id="56"/>
      </w:r>
      <w:r w:rsidRPr="004B2A73">
        <w:rPr>
          <w:rFonts w:ascii="Calibri" w:hAnsi="Calibri"/>
          <w:sz w:val="24"/>
        </w:rPr>
        <w:t xml:space="preserve"> and new projects can suddenly appear</w:t>
      </w:r>
      <w:r w:rsidRPr="004B2A73">
        <w:rPr>
          <w:rStyle w:val="FootnoteReference"/>
          <w:rFonts w:ascii="Calibri" w:hAnsi="Calibri"/>
          <w:sz w:val="24"/>
        </w:rPr>
        <w:footnoteReference w:id="57"/>
      </w:r>
      <w:r w:rsidRPr="004B2A73">
        <w:rPr>
          <w:rFonts w:ascii="Calibri" w:hAnsi="Calibri"/>
          <w:sz w:val="24"/>
        </w:rPr>
        <w:t xml:space="preserve">.  However, assuming adequate financing from both public and terminal operators is available, the total planned capacity is very close to the forecast demand. </w:t>
      </w:r>
      <w:r w:rsidR="00A730E4" w:rsidRPr="004B2A73">
        <w:rPr>
          <w:rFonts w:ascii="Calibri" w:hAnsi="Calibri"/>
          <w:sz w:val="24"/>
        </w:rPr>
        <w:t>The evolution of container traffic in the few coming years will be critical in determining which scenario is emerging: in the low elasticity hypothesis, some planned developments are likely to be delayed, whereas if the strong growth scenario is confirmed, the currently planned development will not be sufficient.</w:t>
      </w:r>
    </w:p>
    <w:p w14:paraId="171CE3B3" w14:textId="77777777" w:rsidR="00142615" w:rsidRPr="004B2A73" w:rsidRDefault="00142615" w:rsidP="00142615">
      <w:pPr>
        <w:pStyle w:val="ListParagraph"/>
        <w:spacing w:after="0"/>
        <w:ind w:left="0"/>
        <w:rPr>
          <w:rFonts w:ascii="Calibri" w:hAnsi="Calibri"/>
          <w:sz w:val="24"/>
        </w:rPr>
      </w:pPr>
    </w:p>
    <w:p w14:paraId="4A5803B9" w14:textId="354EA65B" w:rsidR="00EE2A02" w:rsidRPr="004B2A73" w:rsidRDefault="00EE2A02" w:rsidP="00AF33A5">
      <w:pPr>
        <w:pStyle w:val="Caption"/>
        <w:rPr>
          <w:rFonts w:ascii="Calibri" w:hAnsi="Calibri"/>
        </w:rPr>
      </w:pPr>
      <w:bookmarkStart w:id="121" w:name="_Ref448936696"/>
      <w:bookmarkStart w:id="122" w:name="_Toc485381926"/>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15</w:t>
      </w:r>
      <w:r w:rsidR="00811885" w:rsidRPr="004B2A73">
        <w:rPr>
          <w:rFonts w:ascii="Calibri" w:hAnsi="Calibri"/>
          <w:noProof/>
        </w:rPr>
        <w:fldChar w:fldCharType="end"/>
      </w:r>
      <w:bookmarkEnd w:id="121"/>
      <w:r w:rsidRPr="004B2A73">
        <w:rPr>
          <w:rFonts w:ascii="Calibri" w:hAnsi="Calibri"/>
        </w:rPr>
        <w:t>: Port capacity in West African ports based on announced development plans</w:t>
      </w:r>
      <w:bookmarkEnd w:id="122"/>
    </w:p>
    <w:tbl>
      <w:tblPr>
        <w:tblStyle w:val="ListTable6Colorful-Accent11"/>
        <w:tblW w:w="4995" w:type="pct"/>
        <w:tblLook w:val="04E0" w:firstRow="1" w:lastRow="1" w:firstColumn="1" w:lastColumn="0" w:noHBand="0" w:noVBand="1"/>
      </w:tblPr>
      <w:tblGrid>
        <w:gridCol w:w="2924"/>
        <w:gridCol w:w="2138"/>
        <w:gridCol w:w="2151"/>
        <w:gridCol w:w="2138"/>
      </w:tblGrid>
      <w:tr w:rsidR="00525EC1" w:rsidRPr="004D5753" w14:paraId="56D212AA" w14:textId="77777777" w:rsidTr="006E1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2D93A4CD" w14:textId="45F1458F" w:rsidR="00525EC1" w:rsidRPr="004D5753" w:rsidRDefault="00525EC1" w:rsidP="00525EC1">
            <w:r w:rsidRPr="004D5753">
              <w:rPr>
                <w:color w:val="000000"/>
              </w:rPr>
              <w:t>Port / Terminal</w:t>
            </w:r>
          </w:p>
        </w:tc>
        <w:tc>
          <w:tcPr>
            <w:tcW w:w="1143" w:type="pct"/>
          </w:tcPr>
          <w:p w14:paraId="14262916" w14:textId="54065916" w:rsidR="00525EC1" w:rsidRPr="004D5753" w:rsidRDefault="00525EC1" w:rsidP="00525EC1">
            <w:pPr>
              <w:cnfStyle w:val="100000000000" w:firstRow="1" w:lastRow="0" w:firstColumn="0" w:lastColumn="0" w:oddVBand="0" w:evenVBand="0" w:oddHBand="0" w:evenHBand="0" w:firstRowFirstColumn="0" w:firstRowLastColumn="0" w:lastRowFirstColumn="0" w:lastRowLastColumn="0"/>
            </w:pPr>
            <w:r w:rsidRPr="004D5753">
              <w:rPr>
                <w:color w:val="000000"/>
              </w:rPr>
              <w:t>Capacity 2013</w:t>
            </w:r>
          </w:p>
        </w:tc>
        <w:tc>
          <w:tcPr>
            <w:tcW w:w="1150" w:type="pct"/>
          </w:tcPr>
          <w:p w14:paraId="1702F7F4" w14:textId="12948E8A" w:rsidR="00525EC1" w:rsidRPr="004D5753" w:rsidRDefault="00525EC1" w:rsidP="00525EC1">
            <w:pPr>
              <w:cnfStyle w:val="100000000000" w:firstRow="1" w:lastRow="0" w:firstColumn="0" w:lastColumn="0" w:oddVBand="0" w:evenVBand="0" w:oddHBand="0" w:evenHBand="0" w:firstRowFirstColumn="0" w:firstRowLastColumn="0" w:lastRowFirstColumn="0" w:lastRowLastColumn="0"/>
            </w:pPr>
            <w:r w:rsidRPr="004D5753">
              <w:rPr>
                <w:color w:val="000000"/>
              </w:rPr>
              <w:t>Capacity 2015</w:t>
            </w:r>
          </w:p>
        </w:tc>
        <w:tc>
          <w:tcPr>
            <w:tcW w:w="1143" w:type="pct"/>
          </w:tcPr>
          <w:p w14:paraId="67EEFFA4" w14:textId="682D0D09" w:rsidR="00525EC1" w:rsidRPr="004D5753" w:rsidRDefault="00525EC1" w:rsidP="00525EC1">
            <w:pPr>
              <w:cnfStyle w:val="100000000000" w:firstRow="1" w:lastRow="0" w:firstColumn="0" w:lastColumn="0" w:oddVBand="0" w:evenVBand="0" w:oddHBand="0" w:evenHBand="0" w:firstRowFirstColumn="0" w:firstRowLastColumn="0" w:lastRowFirstColumn="0" w:lastRowLastColumn="0"/>
            </w:pPr>
            <w:r w:rsidRPr="004D5753">
              <w:rPr>
                <w:color w:val="000000"/>
              </w:rPr>
              <w:t>Future capacity</w:t>
            </w:r>
          </w:p>
        </w:tc>
      </w:tr>
      <w:tr w:rsidR="00525EC1" w:rsidRPr="004D5753" w14:paraId="51999341"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5422E6AA" w14:textId="235A085C" w:rsidR="00525EC1" w:rsidRPr="004D5753" w:rsidRDefault="00525EC1" w:rsidP="006E17D4">
            <w:r w:rsidRPr="004D5753">
              <w:rPr>
                <w:color w:val="000000"/>
              </w:rPr>
              <w:t>Dakar</w:t>
            </w:r>
          </w:p>
        </w:tc>
        <w:tc>
          <w:tcPr>
            <w:tcW w:w="1143" w:type="pct"/>
          </w:tcPr>
          <w:p w14:paraId="59F7D89B" w14:textId="5BBC6875"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600,000</w:t>
            </w:r>
          </w:p>
        </w:tc>
        <w:tc>
          <w:tcPr>
            <w:tcW w:w="1150" w:type="pct"/>
          </w:tcPr>
          <w:p w14:paraId="143D8BC7" w14:textId="33E0300A"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600,000</w:t>
            </w:r>
          </w:p>
        </w:tc>
        <w:tc>
          <w:tcPr>
            <w:tcW w:w="1143" w:type="pct"/>
          </w:tcPr>
          <w:p w14:paraId="18280020" w14:textId="032FF4C6"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2,100,000</w:t>
            </w:r>
          </w:p>
        </w:tc>
      </w:tr>
      <w:tr w:rsidR="00525EC1" w:rsidRPr="004D5753" w14:paraId="32F0E5C8"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0BB31755" w14:textId="635A4BE3" w:rsidR="00525EC1" w:rsidRPr="004D5753" w:rsidRDefault="00525EC1" w:rsidP="006E17D4">
            <w:r w:rsidRPr="004D5753">
              <w:rPr>
                <w:color w:val="000000"/>
              </w:rPr>
              <w:t>Banjul</w:t>
            </w:r>
          </w:p>
        </w:tc>
        <w:tc>
          <w:tcPr>
            <w:tcW w:w="1143" w:type="pct"/>
          </w:tcPr>
          <w:p w14:paraId="7092CEE0" w14:textId="1A1E3D73"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p>
        </w:tc>
        <w:tc>
          <w:tcPr>
            <w:tcW w:w="1150" w:type="pct"/>
          </w:tcPr>
          <w:p w14:paraId="4B174DA7" w14:textId="15283388"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p>
        </w:tc>
        <w:tc>
          <w:tcPr>
            <w:tcW w:w="1143" w:type="pct"/>
          </w:tcPr>
          <w:p w14:paraId="580AD742" w14:textId="424D9836"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p>
        </w:tc>
      </w:tr>
      <w:tr w:rsidR="00525EC1" w:rsidRPr="004D5753" w14:paraId="41B7614F"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5EABE539" w14:textId="35D5251C" w:rsidR="00525EC1" w:rsidRPr="004D5753" w:rsidRDefault="00525EC1" w:rsidP="006E17D4">
            <w:r w:rsidRPr="004D5753">
              <w:rPr>
                <w:color w:val="000000"/>
              </w:rPr>
              <w:t>Bissau</w:t>
            </w:r>
          </w:p>
        </w:tc>
        <w:tc>
          <w:tcPr>
            <w:tcW w:w="1143" w:type="pct"/>
          </w:tcPr>
          <w:p w14:paraId="0385A50F" w14:textId="4CFD86AD"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p>
        </w:tc>
        <w:tc>
          <w:tcPr>
            <w:tcW w:w="1150" w:type="pct"/>
          </w:tcPr>
          <w:p w14:paraId="3919F2C3" w14:textId="35247D14"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p>
        </w:tc>
        <w:tc>
          <w:tcPr>
            <w:tcW w:w="1143" w:type="pct"/>
          </w:tcPr>
          <w:p w14:paraId="3382F32A" w14:textId="53DF4720"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p>
        </w:tc>
      </w:tr>
      <w:tr w:rsidR="00525EC1" w:rsidRPr="004D5753" w14:paraId="0005C1A0"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331CDF61" w14:textId="37B86ED1" w:rsidR="00525EC1" w:rsidRPr="004D5753" w:rsidRDefault="00525EC1" w:rsidP="006E17D4">
            <w:r w:rsidRPr="004D5753">
              <w:rPr>
                <w:color w:val="000000"/>
              </w:rPr>
              <w:t>Conakry</w:t>
            </w:r>
          </w:p>
        </w:tc>
        <w:tc>
          <w:tcPr>
            <w:tcW w:w="1143" w:type="pct"/>
          </w:tcPr>
          <w:p w14:paraId="75B2513F" w14:textId="394E2879"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230,000</w:t>
            </w:r>
          </w:p>
        </w:tc>
        <w:tc>
          <w:tcPr>
            <w:tcW w:w="1150" w:type="pct"/>
          </w:tcPr>
          <w:p w14:paraId="54E3C2E4" w14:textId="14B44767"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250,000</w:t>
            </w:r>
          </w:p>
        </w:tc>
        <w:tc>
          <w:tcPr>
            <w:tcW w:w="1143" w:type="pct"/>
          </w:tcPr>
          <w:p w14:paraId="40B878F9" w14:textId="74B218A1"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600,000</w:t>
            </w:r>
          </w:p>
        </w:tc>
      </w:tr>
      <w:tr w:rsidR="00525EC1" w:rsidRPr="004D5753" w14:paraId="0C993ADF"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77E1D071" w14:textId="65794FB2" w:rsidR="00525EC1" w:rsidRPr="004D5753" w:rsidRDefault="00525EC1" w:rsidP="006E17D4">
            <w:r w:rsidRPr="004D5753">
              <w:rPr>
                <w:color w:val="000000"/>
              </w:rPr>
              <w:t>Freetown</w:t>
            </w:r>
          </w:p>
        </w:tc>
        <w:tc>
          <w:tcPr>
            <w:tcW w:w="1143" w:type="pct"/>
          </w:tcPr>
          <w:p w14:paraId="2D067D88" w14:textId="79EE9E4A"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75,000</w:t>
            </w:r>
          </w:p>
        </w:tc>
        <w:tc>
          <w:tcPr>
            <w:tcW w:w="1150" w:type="pct"/>
          </w:tcPr>
          <w:p w14:paraId="6D0AA332" w14:textId="4D859A65"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150,000</w:t>
            </w:r>
          </w:p>
        </w:tc>
        <w:tc>
          <w:tcPr>
            <w:tcW w:w="1143" w:type="pct"/>
          </w:tcPr>
          <w:p w14:paraId="4C23985E" w14:textId="0528A81B"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750,000</w:t>
            </w:r>
          </w:p>
        </w:tc>
      </w:tr>
      <w:tr w:rsidR="00525EC1" w:rsidRPr="004D5753" w14:paraId="1E6A0C8B"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6D7445FD" w14:textId="4CC8D34E" w:rsidR="00525EC1" w:rsidRPr="004D5753" w:rsidRDefault="00525EC1" w:rsidP="006E17D4">
            <w:r w:rsidRPr="004D5753">
              <w:rPr>
                <w:color w:val="000000"/>
              </w:rPr>
              <w:t>Monrovia</w:t>
            </w:r>
          </w:p>
        </w:tc>
        <w:tc>
          <w:tcPr>
            <w:tcW w:w="1143" w:type="pct"/>
          </w:tcPr>
          <w:p w14:paraId="20ADF7F8" w14:textId="532807F6"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100,000</w:t>
            </w:r>
          </w:p>
        </w:tc>
        <w:tc>
          <w:tcPr>
            <w:tcW w:w="1150" w:type="pct"/>
          </w:tcPr>
          <w:p w14:paraId="4D0E9EB7" w14:textId="518C3AEA"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100,000</w:t>
            </w:r>
          </w:p>
        </w:tc>
        <w:tc>
          <w:tcPr>
            <w:tcW w:w="1143" w:type="pct"/>
          </w:tcPr>
          <w:p w14:paraId="44EBA01B" w14:textId="6B346E66"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200,000</w:t>
            </w:r>
          </w:p>
        </w:tc>
      </w:tr>
      <w:tr w:rsidR="00525EC1" w:rsidRPr="004D5753" w14:paraId="633D2313"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656FF714" w14:textId="619ED15E" w:rsidR="00525EC1" w:rsidRPr="004D5753" w:rsidRDefault="00525EC1" w:rsidP="006E17D4">
            <w:r w:rsidRPr="004D5753">
              <w:rPr>
                <w:color w:val="000000"/>
              </w:rPr>
              <w:t>San Pedro</w:t>
            </w:r>
          </w:p>
        </w:tc>
        <w:tc>
          <w:tcPr>
            <w:tcW w:w="1143" w:type="pct"/>
          </w:tcPr>
          <w:p w14:paraId="13669827" w14:textId="19D5E143"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500,000</w:t>
            </w:r>
          </w:p>
        </w:tc>
        <w:tc>
          <w:tcPr>
            <w:tcW w:w="1150" w:type="pct"/>
          </w:tcPr>
          <w:p w14:paraId="61E7DA7F" w14:textId="6305C465"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500,000</w:t>
            </w:r>
          </w:p>
        </w:tc>
        <w:tc>
          <w:tcPr>
            <w:tcW w:w="1143" w:type="pct"/>
          </w:tcPr>
          <w:p w14:paraId="16B61B2C" w14:textId="5CF694A6"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500,000</w:t>
            </w:r>
          </w:p>
        </w:tc>
      </w:tr>
      <w:tr w:rsidR="00525EC1" w:rsidRPr="004D5753" w14:paraId="14830A5C"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3B7783AB" w14:textId="040E450D" w:rsidR="00525EC1" w:rsidRPr="004D5753" w:rsidRDefault="00525EC1" w:rsidP="006E17D4">
            <w:r w:rsidRPr="004D5753">
              <w:rPr>
                <w:color w:val="000000"/>
              </w:rPr>
              <w:t>Abidjan SETV</w:t>
            </w:r>
          </w:p>
        </w:tc>
        <w:tc>
          <w:tcPr>
            <w:tcW w:w="1143" w:type="pct"/>
          </w:tcPr>
          <w:p w14:paraId="730302F2" w14:textId="08B3C6ED"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850,000</w:t>
            </w:r>
          </w:p>
        </w:tc>
        <w:tc>
          <w:tcPr>
            <w:tcW w:w="1150" w:type="pct"/>
          </w:tcPr>
          <w:p w14:paraId="5594F739" w14:textId="69ACE686"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1,100,000</w:t>
            </w:r>
          </w:p>
        </w:tc>
        <w:tc>
          <w:tcPr>
            <w:tcW w:w="1143" w:type="pct"/>
          </w:tcPr>
          <w:p w14:paraId="4EDD228B" w14:textId="1591A29B"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1,200,000</w:t>
            </w:r>
          </w:p>
        </w:tc>
      </w:tr>
      <w:tr w:rsidR="00525EC1" w:rsidRPr="004D5753" w14:paraId="3B795B65"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0231396D" w14:textId="0938C5C8" w:rsidR="00525EC1" w:rsidRPr="004D5753" w:rsidRDefault="00525EC1" w:rsidP="006E17D4">
            <w:r w:rsidRPr="004D5753">
              <w:rPr>
                <w:color w:val="000000"/>
              </w:rPr>
              <w:t>Abidjan TC2</w:t>
            </w:r>
          </w:p>
        </w:tc>
        <w:tc>
          <w:tcPr>
            <w:tcW w:w="1143" w:type="pct"/>
          </w:tcPr>
          <w:p w14:paraId="3574C172" w14:textId="620830C4"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p>
        </w:tc>
        <w:tc>
          <w:tcPr>
            <w:tcW w:w="1150" w:type="pct"/>
          </w:tcPr>
          <w:p w14:paraId="5B2E0AC1" w14:textId="6F43C85C"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p>
        </w:tc>
        <w:tc>
          <w:tcPr>
            <w:tcW w:w="1143" w:type="pct"/>
          </w:tcPr>
          <w:p w14:paraId="105F84E1" w14:textId="21DED316"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1,500,000</w:t>
            </w:r>
          </w:p>
        </w:tc>
      </w:tr>
      <w:tr w:rsidR="00525EC1" w:rsidRPr="004D5753" w14:paraId="50A82AB2"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39B3F940" w14:textId="311465EB" w:rsidR="00525EC1" w:rsidRPr="004D5753" w:rsidRDefault="00525EC1" w:rsidP="006E17D4">
            <w:r w:rsidRPr="004D5753">
              <w:rPr>
                <w:color w:val="000000"/>
              </w:rPr>
              <w:t>Tema</w:t>
            </w:r>
          </w:p>
        </w:tc>
        <w:tc>
          <w:tcPr>
            <w:tcW w:w="1143" w:type="pct"/>
          </w:tcPr>
          <w:p w14:paraId="486DD1A2" w14:textId="57FE8A32"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850,000</w:t>
            </w:r>
          </w:p>
        </w:tc>
        <w:tc>
          <w:tcPr>
            <w:tcW w:w="1150" w:type="pct"/>
          </w:tcPr>
          <w:p w14:paraId="38101556" w14:textId="6E295673"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1,000,000</w:t>
            </w:r>
          </w:p>
        </w:tc>
        <w:tc>
          <w:tcPr>
            <w:tcW w:w="1143" w:type="pct"/>
          </w:tcPr>
          <w:p w14:paraId="5C0F43C8" w14:textId="1ADD523B"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3,500,000</w:t>
            </w:r>
          </w:p>
        </w:tc>
      </w:tr>
      <w:tr w:rsidR="00525EC1" w:rsidRPr="004D5753" w14:paraId="0139D216"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5E7ABCBD" w14:textId="02DB6E6E" w:rsidR="00525EC1" w:rsidRPr="004D5753" w:rsidRDefault="00525EC1" w:rsidP="006E17D4">
            <w:r w:rsidRPr="004D5753">
              <w:rPr>
                <w:color w:val="000000"/>
              </w:rPr>
              <w:t>Lomé Togo Terminal</w:t>
            </w:r>
          </w:p>
        </w:tc>
        <w:tc>
          <w:tcPr>
            <w:tcW w:w="1143" w:type="pct"/>
          </w:tcPr>
          <w:p w14:paraId="25A782D7" w14:textId="5368F6CD"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580,000</w:t>
            </w:r>
          </w:p>
        </w:tc>
        <w:tc>
          <w:tcPr>
            <w:tcW w:w="1150" w:type="pct"/>
          </w:tcPr>
          <w:p w14:paraId="26534654" w14:textId="79887D3C"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1,200,000</w:t>
            </w:r>
          </w:p>
        </w:tc>
        <w:tc>
          <w:tcPr>
            <w:tcW w:w="1143" w:type="pct"/>
          </w:tcPr>
          <w:p w14:paraId="63BDBE49" w14:textId="2A2871A0"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1,200,000</w:t>
            </w:r>
          </w:p>
        </w:tc>
      </w:tr>
      <w:tr w:rsidR="00525EC1" w:rsidRPr="004D5753" w14:paraId="0FD5EB35"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223D481F" w14:textId="4CBB090E" w:rsidR="00525EC1" w:rsidRPr="004D5753" w:rsidRDefault="00525EC1" w:rsidP="006E17D4">
            <w:r w:rsidRPr="004D5753">
              <w:rPr>
                <w:color w:val="000000"/>
              </w:rPr>
              <w:t>Lomé LCT</w:t>
            </w:r>
          </w:p>
        </w:tc>
        <w:tc>
          <w:tcPr>
            <w:tcW w:w="1143" w:type="pct"/>
          </w:tcPr>
          <w:p w14:paraId="24049499" w14:textId="3E5741F7"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p>
        </w:tc>
        <w:tc>
          <w:tcPr>
            <w:tcW w:w="1150" w:type="pct"/>
          </w:tcPr>
          <w:p w14:paraId="5EC56D90" w14:textId="1FDB7667"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p>
        </w:tc>
        <w:tc>
          <w:tcPr>
            <w:tcW w:w="1143" w:type="pct"/>
          </w:tcPr>
          <w:p w14:paraId="57090371" w14:textId="32AD99EE"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2,200,000</w:t>
            </w:r>
          </w:p>
        </w:tc>
      </w:tr>
      <w:tr w:rsidR="00525EC1" w:rsidRPr="004D5753" w14:paraId="5C1121F4"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1CAD0BF9" w14:textId="170E6A8C" w:rsidR="00525EC1" w:rsidRPr="004D5753" w:rsidRDefault="00525EC1" w:rsidP="006E17D4">
            <w:r w:rsidRPr="004D5753">
              <w:rPr>
                <w:color w:val="000000"/>
              </w:rPr>
              <w:t>Cotonou multipurpose berths</w:t>
            </w:r>
          </w:p>
        </w:tc>
        <w:tc>
          <w:tcPr>
            <w:tcW w:w="1143" w:type="pct"/>
          </w:tcPr>
          <w:p w14:paraId="35B12061" w14:textId="4BC35153"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480,000</w:t>
            </w:r>
          </w:p>
        </w:tc>
        <w:tc>
          <w:tcPr>
            <w:tcW w:w="1150" w:type="pct"/>
          </w:tcPr>
          <w:p w14:paraId="673409AB" w14:textId="54F24254"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480,000</w:t>
            </w:r>
          </w:p>
        </w:tc>
        <w:tc>
          <w:tcPr>
            <w:tcW w:w="1143" w:type="pct"/>
          </w:tcPr>
          <w:p w14:paraId="5263DC8E" w14:textId="0723FD00"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480,000</w:t>
            </w:r>
          </w:p>
        </w:tc>
      </w:tr>
      <w:tr w:rsidR="00525EC1" w:rsidRPr="004D5753" w14:paraId="698B0B47"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18507CD6" w14:textId="3DF5D4D0" w:rsidR="00525EC1" w:rsidRPr="004D5753" w:rsidRDefault="00525EC1" w:rsidP="006E17D4">
            <w:r w:rsidRPr="004D5753">
              <w:rPr>
                <w:color w:val="000000"/>
              </w:rPr>
              <w:t>Benin Terminal (Cotonou)</w:t>
            </w:r>
          </w:p>
        </w:tc>
        <w:tc>
          <w:tcPr>
            <w:tcW w:w="1143" w:type="pct"/>
          </w:tcPr>
          <w:p w14:paraId="62D1E67F" w14:textId="3F1F9F99"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220,000</w:t>
            </w:r>
          </w:p>
        </w:tc>
        <w:tc>
          <w:tcPr>
            <w:tcW w:w="1150" w:type="pct"/>
          </w:tcPr>
          <w:p w14:paraId="29847E4A" w14:textId="515891D6"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600,000</w:t>
            </w:r>
          </w:p>
        </w:tc>
        <w:tc>
          <w:tcPr>
            <w:tcW w:w="1143" w:type="pct"/>
          </w:tcPr>
          <w:p w14:paraId="5AEDA2CA" w14:textId="14D3AA7A"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600,000</w:t>
            </w:r>
          </w:p>
        </w:tc>
      </w:tr>
      <w:tr w:rsidR="00525EC1" w:rsidRPr="004D5753" w14:paraId="280D873A"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163C9237" w14:textId="574C677A" w:rsidR="00525EC1" w:rsidRPr="004D5753" w:rsidRDefault="00525EC1" w:rsidP="006E17D4">
            <w:r w:rsidRPr="004D5753">
              <w:rPr>
                <w:color w:val="000000"/>
              </w:rPr>
              <w:t>Badagry</w:t>
            </w:r>
          </w:p>
        </w:tc>
        <w:tc>
          <w:tcPr>
            <w:tcW w:w="1143" w:type="pct"/>
          </w:tcPr>
          <w:p w14:paraId="2CC1FF47" w14:textId="292A9DA5"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p>
        </w:tc>
        <w:tc>
          <w:tcPr>
            <w:tcW w:w="1150" w:type="pct"/>
          </w:tcPr>
          <w:p w14:paraId="296B2295" w14:textId="62EE931D"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p>
        </w:tc>
        <w:tc>
          <w:tcPr>
            <w:tcW w:w="1143" w:type="pct"/>
          </w:tcPr>
          <w:p w14:paraId="0E1A752A" w14:textId="0657EAA5"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1,800,000</w:t>
            </w:r>
          </w:p>
        </w:tc>
      </w:tr>
      <w:tr w:rsidR="00525EC1" w:rsidRPr="004D5753" w14:paraId="316368B2"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2A09940A" w14:textId="4C2A3F74" w:rsidR="00525EC1" w:rsidRPr="004D5753" w:rsidRDefault="00525EC1" w:rsidP="006E17D4">
            <w:r w:rsidRPr="004D5753">
              <w:rPr>
                <w:color w:val="000000"/>
              </w:rPr>
              <w:t>Lagos Apapa</w:t>
            </w:r>
          </w:p>
        </w:tc>
        <w:tc>
          <w:tcPr>
            <w:tcW w:w="1143" w:type="pct"/>
          </w:tcPr>
          <w:p w14:paraId="4C81008D" w14:textId="7C8A061D"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600,000</w:t>
            </w:r>
          </w:p>
        </w:tc>
        <w:tc>
          <w:tcPr>
            <w:tcW w:w="1150" w:type="pct"/>
          </w:tcPr>
          <w:p w14:paraId="0BFEEE8D" w14:textId="53A759D0"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1,000,000</w:t>
            </w:r>
          </w:p>
        </w:tc>
        <w:tc>
          <w:tcPr>
            <w:tcW w:w="1143" w:type="pct"/>
          </w:tcPr>
          <w:p w14:paraId="4E125C15" w14:textId="284A8C8D"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1,000,000</w:t>
            </w:r>
          </w:p>
        </w:tc>
      </w:tr>
      <w:tr w:rsidR="00525EC1" w:rsidRPr="004D5753" w14:paraId="261AE790" w14:textId="77777777" w:rsidTr="006E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4DB4510D" w14:textId="0812278D" w:rsidR="00525EC1" w:rsidRPr="004D5753" w:rsidRDefault="00525EC1" w:rsidP="006E17D4">
            <w:r w:rsidRPr="004D5753">
              <w:rPr>
                <w:color w:val="000000"/>
              </w:rPr>
              <w:t>Lagos Tin Can Island</w:t>
            </w:r>
          </w:p>
        </w:tc>
        <w:tc>
          <w:tcPr>
            <w:tcW w:w="1143" w:type="pct"/>
          </w:tcPr>
          <w:p w14:paraId="19963824" w14:textId="216AD40A"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600,000</w:t>
            </w:r>
          </w:p>
        </w:tc>
        <w:tc>
          <w:tcPr>
            <w:tcW w:w="1150" w:type="pct"/>
          </w:tcPr>
          <w:p w14:paraId="32F47D71" w14:textId="53C82C7B"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880,000</w:t>
            </w:r>
          </w:p>
        </w:tc>
        <w:tc>
          <w:tcPr>
            <w:tcW w:w="1143" w:type="pct"/>
          </w:tcPr>
          <w:p w14:paraId="687D3303" w14:textId="7D4DABF0" w:rsidR="00525EC1" w:rsidRPr="004D5753" w:rsidRDefault="00525EC1" w:rsidP="006E17D4">
            <w:pPr>
              <w:jc w:val="right"/>
              <w:cnfStyle w:val="000000100000" w:firstRow="0" w:lastRow="0" w:firstColumn="0" w:lastColumn="0" w:oddVBand="0" w:evenVBand="0" w:oddHBand="1" w:evenHBand="0" w:firstRowFirstColumn="0" w:firstRowLastColumn="0" w:lastRowFirstColumn="0" w:lastRowLastColumn="0"/>
            </w:pPr>
            <w:r w:rsidRPr="004D5753">
              <w:rPr>
                <w:color w:val="000000"/>
              </w:rPr>
              <w:t>880,000</w:t>
            </w:r>
          </w:p>
        </w:tc>
      </w:tr>
      <w:tr w:rsidR="00525EC1" w:rsidRPr="004D5753" w14:paraId="12B3F54A" w14:textId="77777777" w:rsidTr="006E17D4">
        <w:tc>
          <w:tcPr>
            <w:cnfStyle w:val="001000000000" w:firstRow="0" w:lastRow="0" w:firstColumn="1" w:lastColumn="0" w:oddVBand="0" w:evenVBand="0" w:oddHBand="0" w:evenHBand="0" w:firstRowFirstColumn="0" w:firstRowLastColumn="0" w:lastRowFirstColumn="0" w:lastRowLastColumn="0"/>
            <w:tcW w:w="1564" w:type="pct"/>
          </w:tcPr>
          <w:p w14:paraId="2861309E" w14:textId="1E5AF764" w:rsidR="00525EC1" w:rsidRPr="004D5753" w:rsidRDefault="00525EC1" w:rsidP="006E17D4">
            <w:r w:rsidRPr="004D5753">
              <w:rPr>
                <w:color w:val="000000"/>
              </w:rPr>
              <w:t>Lekki</w:t>
            </w:r>
          </w:p>
        </w:tc>
        <w:tc>
          <w:tcPr>
            <w:tcW w:w="1143" w:type="pct"/>
          </w:tcPr>
          <w:p w14:paraId="3392DEA9" w14:textId="22D16A95"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p>
        </w:tc>
        <w:tc>
          <w:tcPr>
            <w:tcW w:w="1150" w:type="pct"/>
          </w:tcPr>
          <w:p w14:paraId="2474DB41" w14:textId="56F292E5"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p>
        </w:tc>
        <w:tc>
          <w:tcPr>
            <w:tcW w:w="1143" w:type="pct"/>
          </w:tcPr>
          <w:p w14:paraId="320C08A2" w14:textId="0C79A6B8" w:rsidR="00525EC1" w:rsidRPr="004D5753" w:rsidRDefault="00525EC1" w:rsidP="006E17D4">
            <w:pPr>
              <w:jc w:val="right"/>
              <w:cnfStyle w:val="000000000000" w:firstRow="0" w:lastRow="0" w:firstColumn="0" w:lastColumn="0" w:oddVBand="0" w:evenVBand="0" w:oddHBand="0" w:evenHBand="0" w:firstRowFirstColumn="0" w:firstRowLastColumn="0" w:lastRowFirstColumn="0" w:lastRowLastColumn="0"/>
            </w:pPr>
            <w:r w:rsidRPr="004D5753">
              <w:rPr>
                <w:color w:val="000000"/>
              </w:rPr>
              <w:t>2,500,000</w:t>
            </w:r>
          </w:p>
        </w:tc>
      </w:tr>
      <w:tr w:rsidR="006E17D4" w:rsidRPr="004D5753" w14:paraId="73B422A6" w14:textId="77777777" w:rsidTr="006E17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5A3CFD6B" w14:textId="707C54FE" w:rsidR="00525EC1" w:rsidRPr="004D5753" w:rsidRDefault="00525EC1" w:rsidP="006E17D4">
            <w:r w:rsidRPr="004D5753">
              <w:rPr>
                <w:color w:val="000000"/>
              </w:rPr>
              <w:t xml:space="preserve">Total: </w:t>
            </w:r>
          </w:p>
        </w:tc>
        <w:tc>
          <w:tcPr>
            <w:tcW w:w="1143" w:type="pct"/>
          </w:tcPr>
          <w:p w14:paraId="70D2CA82" w14:textId="69E7ABAC" w:rsidR="00525EC1" w:rsidRPr="004D5753" w:rsidRDefault="00525EC1" w:rsidP="006E17D4">
            <w:pPr>
              <w:jc w:val="right"/>
              <w:cnfStyle w:val="010000000000" w:firstRow="0" w:lastRow="1" w:firstColumn="0" w:lastColumn="0" w:oddVBand="0" w:evenVBand="0" w:oddHBand="0" w:evenHBand="0" w:firstRowFirstColumn="0" w:firstRowLastColumn="0" w:lastRowFirstColumn="0" w:lastRowLastColumn="0"/>
              <w:rPr>
                <w:b w:val="0"/>
              </w:rPr>
            </w:pPr>
            <w:r w:rsidRPr="004D5753">
              <w:rPr>
                <w:color w:val="000000"/>
              </w:rPr>
              <w:t>5,685,000</w:t>
            </w:r>
          </w:p>
        </w:tc>
        <w:tc>
          <w:tcPr>
            <w:tcW w:w="1150" w:type="pct"/>
          </w:tcPr>
          <w:p w14:paraId="61AFD8DB" w14:textId="7C332039" w:rsidR="00525EC1" w:rsidRPr="004D5753" w:rsidRDefault="00525EC1" w:rsidP="006E17D4">
            <w:pPr>
              <w:jc w:val="right"/>
              <w:cnfStyle w:val="010000000000" w:firstRow="0" w:lastRow="1" w:firstColumn="0" w:lastColumn="0" w:oddVBand="0" w:evenVBand="0" w:oddHBand="0" w:evenHBand="0" w:firstRowFirstColumn="0" w:firstRowLastColumn="0" w:lastRowFirstColumn="0" w:lastRowLastColumn="0"/>
              <w:rPr>
                <w:b w:val="0"/>
              </w:rPr>
            </w:pPr>
            <w:r w:rsidRPr="004D5753">
              <w:rPr>
                <w:color w:val="000000"/>
              </w:rPr>
              <w:t>7,860,000</w:t>
            </w:r>
          </w:p>
        </w:tc>
        <w:tc>
          <w:tcPr>
            <w:tcW w:w="1143" w:type="pct"/>
          </w:tcPr>
          <w:p w14:paraId="321F3EAC" w14:textId="6B9EBAB5" w:rsidR="00525EC1" w:rsidRPr="004D5753" w:rsidRDefault="00525EC1" w:rsidP="006E17D4">
            <w:pPr>
              <w:jc w:val="right"/>
              <w:cnfStyle w:val="010000000000" w:firstRow="0" w:lastRow="1" w:firstColumn="0" w:lastColumn="0" w:oddVBand="0" w:evenVBand="0" w:oddHBand="0" w:evenHBand="0" w:firstRowFirstColumn="0" w:firstRowLastColumn="0" w:lastRowFirstColumn="0" w:lastRowLastColumn="0"/>
              <w:rPr>
                <w:b w:val="0"/>
              </w:rPr>
            </w:pPr>
            <w:r w:rsidRPr="004D5753">
              <w:rPr>
                <w:color w:val="000000"/>
              </w:rPr>
              <w:t>21,010,000</w:t>
            </w:r>
          </w:p>
        </w:tc>
      </w:tr>
    </w:tbl>
    <w:p w14:paraId="6DD21328" w14:textId="77777777" w:rsidR="00EE2A02" w:rsidRPr="004B2A73" w:rsidRDefault="00EE2A02" w:rsidP="00EE2A02">
      <w:pPr>
        <w:pStyle w:val="ListParagraph"/>
        <w:spacing w:after="0"/>
        <w:ind w:left="0"/>
        <w:rPr>
          <w:rFonts w:ascii="Calibri" w:hAnsi="Calibri"/>
          <w:sz w:val="24"/>
        </w:rPr>
      </w:pPr>
    </w:p>
    <w:p w14:paraId="2F35D327" w14:textId="7793267B" w:rsidR="00EE2A02" w:rsidRPr="004B2A73" w:rsidRDefault="00EE2A0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While forecast capacity </w:t>
      </w:r>
      <w:r w:rsidR="00B517F3" w:rsidRPr="004B2A73">
        <w:rPr>
          <w:rFonts w:ascii="Calibri" w:hAnsi="Calibri"/>
          <w:b/>
          <w:sz w:val="24"/>
        </w:rPr>
        <w:t>is</w:t>
      </w:r>
      <w:r w:rsidRPr="004B2A73">
        <w:rPr>
          <w:rFonts w:ascii="Calibri" w:hAnsi="Calibri"/>
          <w:b/>
          <w:sz w:val="24"/>
        </w:rPr>
        <w:t xml:space="preserve"> sufficient to meet expected demand at a regional level, adequacy at a more local level is not ensured</w:t>
      </w:r>
      <w:r w:rsidRPr="004B2A73">
        <w:rPr>
          <w:rFonts w:ascii="Calibri" w:hAnsi="Calibri"/>
          <w:sz w:val="24"/>
        </w:rPr>
        <w:t xml:space="preserve">. </w:t>
      </w:r>
      <w:r w:rsidR="00F92AA7" w:rsidRPr="004B2A73">
        <w:rPr>
          <w:rFonts w:ascii="Calibri" w:hAnsi="Calibri"/>
          <w:sz w:val="24"/>
        </w:rPr>
        <w:t xml:space="preserve">The method used for forecasting future container traffic can allocate growth to individual ports for coastal and landlocked countries trade related traffic, but not for transshipment, which ultimately depends on the strategies of the shipping lines and the emergence of greenfield hubs. </w:t>
      </w:r>
      <w:r w:rsidRPr="004B2A73">
        <w:rPr>
          <w:rFonts w:ascii="Calibri" w:hAnsi="Calibri"/>
          <w:sz w:val="24"/>
        </w:rPr>
        <w:t xml:space="preserve">For instance, the traffic forecast for Nigeria </w:t>
      </w:r>
      <w:r w:rsidR="00F92AA7" w:rsidRPr="004B2A73">
        <w:rPr>
          <w:rFonts w:ascii="Calibri" w:hAnsi="Calibri"/>
          <w:sz w:val="24"/>
        </w:rPr>
        <w:t xml:space="preserve">ports, </w:t>
      </w:r>
      <w:r w:rsidR="003E343E">
        <w:rPr>
          <w:rFonts w:ascii="Calibri" w:hAnsi="Calibri"/>
          <w:sz w:val="24"/>
        </w:rPr>
        <w:t>close to 3 million TEU in the best-case scenario, is still far less than</w:t>
      </w:r>
      <w:r w:rsidR="003E343E" w:rsidRPr="004B2A73">
        <w:rPr>
          <w:rFonts w:ascii="Calibri" w:hAnsi="Calibri"/>
          <w:sz w:val="24"/>
        </w:rPr>
        <w:t xml:space="preserve"> </w:t>
      </w:r>
      <w:r w:rsidRPr="004B2A73">
        <w:rPr>
          <w:rFonts w:ascii="Calibri" w:hAnsi="Calibri"/>
          <w:sz w:val="24"/>
        </w:rPr>
        <w:t>the combined planned capacity in Lagos, Lekki and Badagry</w:t>
      </w:r>
      <w:r w:rsidR="00F92AA7" w:rsidRPr="004B2A73">
        <w:rPr>
          <w:rFonts w:ascii="Calibri" w:hAnsi="Calibri"/>
          <w:sz w:val="24"/>
        </w:rPr>
        <w:t xml:space="preserve"> (5.7 million TEUs)</w:t>
      </w:r>
      <w:r w:rsidRPr="004B2A73">
        <w:rPr>
          <w:rFonts w:ascii="Calibri" w:hAnsi="Calibri"/>
          <w:sz w:val="24"/>
        </w:rPr>
        <w:t xml:space="preserve">. It is therefore likely that the phasing of the development of existing projects will be adjusted to take into account both the evolution of the </w:t>
      </w:r>
      <w:r w:rsidRPr="004B2A73">
        <w:rPr>
          <w:rFonts w:ascii="Calibri" w:hAnsi="Calibri"/>
          <w:sz w:val="24"/>
        </w:rPr>
        <w:lastRenderedPageBreak/>
        <w:t>demand and competition from neighboring terminals. This adjustment may lead to postponing investments if demand softens, or to developing new projects if demand increases as expected</w:t>
      </w:r>
      <w:r w:rsidRPr="004B2A73">
        <w:rPr>
          <w:rFonts w:ascii="Calibri" w:hAnsi="Calibri"/>
          <w:b/>
          <w:sz w:val="24"/>
        </w:rPr>
        <w:t>.</w:t>
      </w:r>
      <w:r w:rsidRPr="004B2A73">
        <w:rPr>
          <w:rFonts w:ascii="Calibri" w:hAnsi="Calibri"/>
          <w:sz w:val="24"/>
        </w:rPr>
        <w:t xml:space="preserve"> </w:t>
      </w:r>
      <w:r w:rsidR="00F92AA7" w:rsidRPr="004B2A73">
        <w:rPr>
          <w:rFonts w:ascii="Calibri" w:hAnsi="Calibri"/>
          <w:sz w:val="24"/>
        </w:rPr>
        <w:t>Another area where adjustments are likely is the center part of West Africa, where t</w:t>
      </w:r>
      <w:r w:rsidRPr="004B2A73">
        <w:rPr>
          <w:rFonts w:ascii="Calibri" w:hAnsi="Calibri"/>
          <w:sz w:val="24"/>
        </w:rPr>
        <w:t>he planned capacity exceeds forecast demand, even if the demand from</w:t>
      </w:r>
      <w:r w:rsidRPr="004B2A73">
        <w:rPr>
          <w:rFonts w:ascii="Calibri" w:hAnsi="Calibri"/>
          <w:b/>
          <w:sz w:val="24"/>
        </w:rPr>
        <w:t xml:space="preserve"> </w:t>
      </w:r>
      <w:r w:rsidRPr="004B2A73">
        <w:rPr>
          <w:rFonts w:ascii="Calibri" w:hAnsi="Calibri"/>
          <w:sz w:val="24"/>
        </w:rPr>
        <w:t xml:space="preserve">landlocked countries is routed through these ports (see </w:t>
      </w:r>
      <w:r w:rsidR="003E343E">
        <w:rPr>
          <w:rFonts w:ascii="Calibri" w:hAnsi="Calibri"/>
          <w:sz w:val="24"/>
          <w:szCs w:val="24"/>
        </w:rPr>
        <w:t>Figure 33</w:t>
      </w:r>
      <w:r w:rsidRPr="004B2A73">
        <w:rPr>
          <w:rFonts w:ascii="Calibri" w:hAnsi="Calibri"/>
          <w:sz w:val="24"/>
        </w:rPr>
        <w:t>).</w:t>
      </w:r>
    </w:p>
    <w:p w14:paraId="3EF24F1E" w14:textId="77777777" w:rsidR="00B35D55" w:rsidRPr="004B2A73" w:rsidRDefault="00B35D55" w:rsidP="00B35D55">
      <w:pPr>
        <w:pStyle w:val="ListParagraph"/>
        <w:spacing w:after="0"/>
        <w:ind w:left="0"/>
        <w:rPr>
          <w:rFonts w:ascii="Calibri" w:hAnsi="Calibri"/>
          <w:sz w:val="24"/>
        </w:rPr>
      </w:pPr>
    </w:p>
    <w:p w14:paraId="70D20477" w14:textId="764A6DD9" w:rsidR="00EE2A02" w:rsidRPr="004B2A73" w:rsidRDefault="00EE2A02" w:rsidP="00AF33A5">
      <w:pPr>
        <w:pStyle w:val="Caption"/>
        <w:rPr>
          <w:rFonts w:ascii="Calibri" w:hAnsi="Calibri"/>
        </w:rPr>
      </w:pPr>
      <w:bookmarkStart w:id="123" w:name="_Ref449024298"/>
      <w:bookmarkStart w:id="124" w:name="_Toc485377062"/>
      <w:r w:rsidRPr="004B2A73">
        <w:rPr>
          <w:rFonts w:ascii="Calibri" w:hAnsi="Calibri"/>
        </w:rPr>
        <w:t xml:space="preserve">Figure </w:t>
      </w:r>
      <w:r w:rsidR="00811885" w:rsidRPr="004B2A73">
        <w:rPr>
          <w:rFonts w:ascii="Calibri" w:hAnsi="Calibri"/>
        </w:rPr>
        <w:fldChar w:fldCharType="begin"/>
      </w:r>
      <w:r w:rsidR="00811885" w:rsidRPr="004B2A73">
        <w:rPr>
          <w:rFonts w:ascii="Calibri" w:hAnsi="Calibri"/>
        </w:rPr>
        <w:instrText xml:space="preserve"> SEQ Figure \* ARABIC </w:instrText>
      </w:r>
      <w:r w:rsidR="00811885" w:rsidRPr="004B2A73">
        <w:rPr>
          <w:rFonts w:ascii="Calibri" w:hAnsi="Calibri"/>
        </w:rPr>
        <w:fldChar w:fldCharType="separate"/>
      </w:r>
      <w:r w:rsidR="00212D01">
        <w:rPr>
          <w:rFonts w:ascii="Calibri" w:hAnsi="Calibri"/>
          <w:noProof/>
        </w:rPr>
        <w:t>27</w:t>
      </w:r>
      <w:r w:rsidR="00811885" w:rsidRPr="004B2A73">
        <w:rPr>
          <w:rFonts w:ascii="Calibri" w:hAnsi="Calibri"/>
          <w:noProof/>
        </w:rPr>
        <w:fldChar w:fldCharType="end"/>
      </w:r>
      <w:bookmarkEnd w:id="123"/>
      <w:r w:rsidRPr="004B2A73">
        <w:rPr>
          <w:rFonts w:ascii="Calibri" w:hAnsi="Calibri"/>
        </w:rPr>
        <w:t>: Capacity increase by West Africa sub-areas in million TEUs</w:t>
      </w:r>
      <w:bookmarkEnd w:id="124"/>
    </w:p>
    <w:p w14:paraId="44024FE0" w14:textId="77777777" w:rsidR="00EE2A02" w:rsidRPr="004B2A73" w:rsidRDefault="00EE2A02" w:rsidP="00EE2A02">
      <w:pPr>
        <w:rPr>
          <w:rFonts w:ascii="Calibri" w:hAnsi="Calibri"/>
          <w:sz w:val="24"/>
          <w:szCs w:val="24"/>
        </w:rPr>
      </w:pPr>
      <w:r w:rsidRPr="004B2A73">
        <w:rPr>
          <w:rFonts w:ascii="Calibri" w:hAnsi="Calibri"/>
          <w:noProof/>
          <w:sz w:val="24"/>
          <w:szCs w:val="24"/>
        </w:rPr>
        <w:drawing>
          <wp:inline distT="0" distB="0" distL="0" distR="0" wp14:anchorId="25100309" wp14:editId="7251392C">
            <wp:extent cx="5943600" cy="1647825"/>
            <wp:effectExtent l="0" t="0" r="0" b="0"/>
            <wp:docPr id="3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BF2DF3" w14:textId="77777777" w:rsidR="00EE2A02" w:rsidRPr="004B2A73" w:rsidRDefault="00EE2A02" w:rsidP="00EE2A02">
      <w:pPr>
        <w:pStyle w:val="ListParagraph"/>
        <w:spacing w:after="0"/>
        <w:ind w:left="0"/>
        <w:rPr>
          <w:rFonts w:ascii="Calibri" w:hAnsi="Calibri"/>
          <w:b/>
          <w:sz w:val="24"/>
        </w:rPr>
      </w:pPr>
    </w:p>
    <w:p w14:paraId="6C529A7E" w14:textId="77777777" w:rsidR="00EE2A02" w:rsidRPr="004B2A73" w:rsidRDefault="00456BC5"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It has been mentioned earlier that as existing </w:t>
      </w:r>
      <w:r w:rsidR="00EE2A02" w:rsidRPr="004B2A73">
        <w:rPr>
          <w:rFonts w:ascii="Calibri" w:hAnsi="Calibri"/>
          <w:b/>
          <w:sz w:val="24"/>
        </w:rPr>
        <w:t xml:space="preserve">ports get closer to capacity, greenfield ports with higher development costs will be inevitable. </w:t>
      </w:r>
      <w:r w:rsidR="00EE2A02" w:rsidRPr="004B2A73">
        <w:rPr>
          <w:rFonts w:ascii="Calibri" w:hAnsi="Calibri"/>
          <w:sz w:val="24"/>
        </w:rPr>
        <w:t xml:space="preserve">In many cases, these ports could be located in less favorable sites requiring higher investments in both the port and connecting land transport infrastructure. The megaprojects for container terminal developments – Tema, Lekki and Badagry – also all include dedicated terminals in order to share the massive nautical infrastructure that will be required across a larger user base. Planned investments in Lekki and Badagry, for instance, include tanker terminal and tank storage, as well as a free zone to enhance the financial and economic viability of the project. </w:t>
      </w:r>
    </w:p>
    <w:p w14:paraId="37FDBE19" w14:textId="77777777" w:rsidR="00EE2A02" w:rsidRPr="004B2A73" w:rsidRDefault="00EE2A02" w:rsidP="00EE2A02">
      <w:pPr>
        <w:spacing w:after="0"/>
        <w:rPr>
          <w:rFonts w:ascii="Calibri" w:hAnsi="Calibri"/>
          <w:sz w:val="24"/>
        </w:rPr>
      </w:pPr>
    </w:p>
    <w:p w14:paraId="4E2EE66A" w14:textId="3843CAC6" w:rsidR="003E343E" w:rsidRPr="004B2A73" w:rsidRDefault="003E343E" w:rsidP="00E826B9">
      <w:pPr>
        <w:pStyle w:val="ListParagraph"/>
        <w:numPr>
          <w:ilvl w:val="0"/>
          <w:numId w:val="6"/>
        </w:numPr>
        <w:spacing w:after="0"/>
        <w:ind w:left="0" w:firstLine="0"/>
        <w:jc w:val="both"/>
        <w:rPr>
          <w:rFonts w:ascii="Calibri" w:hAnsi="Calibri"/>
          <w:sz w:val="24"/>
        </w:rPr>
      </w:pPr>
      <w:r>
        <w:rPr>
          <w:rFonts w:ascii="Calibri" w:hAnsi="Calibri"/>
          <w:b/>
          <w:sz w:val="24"/>
        </w:rPr>
        <w:t>In the best case scenario, w</w:t>
      </w:r>
      <w:r w:rsidRPr="004B2A73">
        <w:rPr>
          <w:rFonts w:ascii="Calibri" w:hAnsi="Calibri"/>
          <w:b/>
          <w:sz w:val="24"/>
        </w:rPr>
        <w:t xml:space="preserve">ith a forecast traffic of </w:t>
      </w:r>
      <w:r>
        <w:rPr>
          <w:rFonts w:ascii="Calibri" w:hAnsi="Calibri"/>
          <w:b/>
          <w:sz w:val="24"/>
        </w:rPr>
        <w:t>18.6</w:t>
      </w:r>
      <w:r w:rsidRPr="004B2A73">
        <w:rPr>
          <w:rFonts w:ascii="Calibri" w:hAnsi="Calibri"/>
          <w:b/>
          <w:sz w:val="24"/>
        </w:rPr>
        <w:t xml:space="preserve"> million TEUs at the 2025 horizon, and growth rates estimated at a minimum of 5% per year, it </w:t>
      </w:r>
      <w:r>
        <w:rPr>
          <w:rFonts w:ascii="Calibri" w:hAnsi="Calibri"/>
          <w:b/>
          <w:sz w:val="24"/>
        </w:rPr>
        <w:t>would</w:t>
      </w:r>
      <w:r w:rsidRPr="004B2A73">
        <w:rPr>
          <w:rFonts w:ascii="Calibri" w:hAnsi="Calibri"/>
          <w:b/>
          <w:sz w:val="24"/>
        </w:rPr>
        <w:t xml:space="preserve"> be necessary to add </w:t>
      </w:r>
      <w:r>
        <w:rPr>
          <w:rFonts w:ascii="Calibri" w:hAnsi="Calibri"/>
          <w:b/>
          <w:sz w:val="24"/>
        </w:rPr>
        <w:t>close to</w:t>
      </w:r>
      <w:r w:rsidRPr="004B2A73">
        <w:rPr>
          <w:rFonts w:ascii="Calibri" w:hAnsi="Calibri"/>
          <w:b/>
          <w:sz w:val="24"/>
        </w:rPr>
        <w:t xml:space="preserve"> 1 million TEU to the existing capacity annually simply to keep up with the demand</w:t>
      </w:r>
      <w:r w:rsidRPr="004B2A73">
        <w:rPr>
          <w:rFonts w:ascii="Calibri" w:hAnsi="Calibri"/>
          <w:sz w:val="24"/>
        </w:rPr>
        <w:t>. Estimating the cost to create that capacity depends on numerous factors: can this done by lengthening existing quays from an existing terminal, can this be done by creating a new terminal in an existing port, or does this require an entirely new port, and if yes, what additional inland infrastructure will be required to connect it to the regional transport network? Depending on the answer to these questions, the cost of creating such capacity can vary between a couple of hundred million dollars and a couple of billion dollars</w:t>
      </w:r>
      <w:r w:rsidR="00547FFD">
        <w:rPr>
          <w:rFonts w:ascii="Calibri" w:hAnsi="Calibri"/>
          <w:sz w:val="24"/>
        </w:rPr>
        <w:t xml:space="preserve"> over the next decade</w:t>
      </w:r>
      <w:r w:rsidRPr="004B2A73">
        <w:rPr>
          <w:rFonts w:ascii="Calibri" w:hAnsi="Calibri"/>
          <w:sz w:val="24"/>
        </w:rPr>
        <w:t>.</w:t>
      </w:r>
    </w:p>
    <w:p w14:paraId="72D7A5F5" w14:textId="77777777" w:rsidR="00EE2A02" w:rsidRPr="004B2A73" w:rsidRDefault="00EE2A02" w:rsidP="00EE2A02">
      <w:pPr>
        <w:pStyle w:val="ListParagraph"/>
        <w:spacing w:after="0"/>
        <w:rPr>
          <w:rFonts w:ascii="Calibri" w:hAnsi="Calibri"/>
          <w:sz w:val="24"/>
        </w:rPr>
      </w:pPr>
    </w:p>
    <w:p w14:paraId="56069E2A" w14:textId="33BAF2A3" w:rsidR="00EE2A02" w:rsidRPr="004B2A73" w:rsidRDefault="00EE2A02"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A strict quantification of the resources required is therefore challenging but an order of magnitude estimate would put the resource requirements at around half a billion dollars per year, with contributions necessary from both public and private sources. </w:t>
      </w:r>
      <w:r w:rsidRPr="004B2A73">
        <w:rPr>
          <w:rFonts w:ascii="Calibri" w:hAnsi="Calibri"/>
          <w:sz w:val="24"/>
        </w:rPr>
        <w:t xml:space="preserve">This assessment is based on comparisons with existing projects and the assumption that with time, more and more terminals will be created in pure </w:t>
      </w:r>
      <w:r w:rsidR="0008322F" w:rsidRPr="004B2A73">
        <w:rPr>
          <w:rFonts w:ascii="Calibri" w:hAnsi="Calibri"/>
          <w:sz w:val="24"/>
        </w:rPr>
        <w:t>Greenfield</w:t>
      </w:r>
      <w:r w:rsidRPr="004B2A73">
        <w:rPr>
          <w:rFonts w:ascii="Calibri" w:hAnsi="Calibri"/>
          <w:sz w:val="24"/>
        </w:rPr>
        <w:t xml:space="preserve"> sites as existing ports fully utilize their land reserves. </w:t>
      </w:r>
      <w:r w:rsidRPr="004B2A73">
        <w:rPr>
          <w:rFonts w:ascii="Calibri" w:hAnsi="Calibri"/>
          <w:sz w:val="24"/>
        </w:rPr>
        <w:lastRenderedPageBreak/>
        <w:t xml:space="preserve">In Freetown, </w:t>
      </w:r>
      <w:r w:rsidR="003345CA">
        <w:rPr>
          <w:rFonts w:ascii="Calibri" w:hAnsi="Calibri"/>
          <w:sz w:val="24"/>
        </w:rPr>
        <w:t>Bolloré</w:t>
      </w:r>
      <w:r w:rsidRPr="004B2A73">
        <w:rPr>
          <w:rFonts w:ascii="Calibri" w:hAnsi="Calibri"/>
          <w:sz w:val="24"/>
        </w:rPr>
        <w:t xml:space="preserve"> (BAL) plans to develop a 750,000 TEU terminal for $120 million. This is the lower end of the cost estimate, with the conversion and expansion of existing quays into a container terminal. Higher up in the scale, the Abidjan TC2, a new terminal harbored in an existing port, and therefore benefiting from existing marine infrastructure that does not require major work, the total investment will reach $1.2 billion with the port authority contributing $750 million, and the TOC around $450 million. This will finance a design capacity of around 1.5 million TEUs (refer to </w:t>
      </w:r>
      <w:r w:rsidR="00456BC5" w:rsidRPr="004B2A73">
        <w:rPr>
          <w:rFonts w:ascii="Calibri" w:hAnsi="Calibri"/>
          <w:sz w:val="24"/>
          <w:szCs w:val="24"/>
        </w:rPr>
        <w:fldChar w:fldCharType="begin"/>
      </w:r>
      <w:r w:rsidR="00456BC5" w:rsidRPr="004B2A73">
        <w:rPr>
          <w:rFonts w:ascii="Calibri" w:hAnsi="Calibri"/>
          <w:sz w:val="24"/>
          <w:szCs w:val="24"/>
        </w:rPr>
        <w:instrText xml:space="preserve"> REF _Ref448930388 \h  \* MERGEFORMAT </w:instrText>
      </w:r>
      <w:r w:rsidR="00456BC5" w:rsidRPr="004B2A73">
        <w:rPr>
          <w:rFonts w:ascii="Calibri" w:hAnsi="Calibri"/>
          <w:sz w:val="24"/>
          <w:szCs w:val="24"/>
        </w:rPr>
      </w:r>
      <w:r w:rsidR="00456BC5" w:rsidRPr="004B2A73">
        <w:rPr>
          <w:rFonts w:ascii="Calibri" w:hAnsi="Calibri"/>
          <w:sz w:val="24"/>
          <w:szCs w:val="24"/>
        </w:rPr>
        <w:fldChar w:fldCharType="separate"/>
      </w:r>
      <w:r w:rsidR="00212D01" w:rsidRPr="00212D01">
        <w:rPr>
          <w:rFonts w:ascii="Calibri" w:hAnsi="Calibri"/>
          <w:sz w:val="24"/>
          <w:szCs w:val="24"/>
        </w:rPr>
        <w:t xml:space="preserve">Table </w:t>
      </w:r>
      <w:r w:rsidR="00212D01" w:rsidRPr="00212D01">
        <w:rPr>
          <w:rFonts w:ascii="Calibri" w:hAnsi="Calibri"/>
          <w:noProof/>
          <w:sz w:val="24"/>
          <w:szCs w:val="24"/>
        </w:rPr>
        <w:t>14</w:t>
      </w:r>
      <w:r w:rsidR="00456BC5" w:rsidRPr="004B2A73">
        <w:rPr>
          <w:rFonts w:ascii="Calibri" w:hAnsi="Calibri"/>
          <w:sz w:val="24"/>
          <w:szCs w:val="24"/>
        </w:rPr>
        <w:fldChar w:fldCharType="end"/>
      </w:r>
      <w:r w:rsidRPr="004B2A73">
        <w:rPr>
          <w:rFonts w:ascii="Calibri" w:hAnsi="Calibri"/>
          <w:sz w:val="24"/>
        </w:rPr>
        <w:t>). Even further up the scale, a pure greenfield facility, such as Badagry, may cost twice this amount, for an equivalent capacity.</w:t>
      </w:r>
    </w:p>
    <w:p w14:paraId="56EE9C54" w14:textId="77777777" w:rsidR="0025767C" w:rsidRPr="004B2A73" w:rsidRDefault="0025767C">
      <w:pPr>
        <w:rPr>
          <w:rFonts w:ascii="Calibri" w:hAnsi="Calibri"/>
          <w:sz w:val="24"/>
          <w:lang w:val="en-GB"/>
        </w:rPr>
      </w:pPr>
      <w:r w:rsidRPr="004B2A73">
        <w:rPr>
          <w:rFonts w:ascii="Calibri" w:hAnsi="Calibri"/>
          <w:sz w:val="24"/>
          <w:lang w:val="en-GB"/>
        </w:rPr>
        <w:br w:type="page"/>
      </w:r>
    </w:p>
    <w:p w14:paraId="1AF03203" w14:textId="0C705BCA" w:rsidR="003A26EC" w:rsidRPr="00DB7AE7" w:rsidRDefault="00BC1F6F" w:rsidP="006161AC">
      <w:pPr>
        <w:pStyle w:val="Heading1"/>
        <w:rPr>
          <w:rFonts w:asciiTheme="minorHAnsi" w:hAnsiTheme="minorHAnsi" w:cstheme="minorHAnsi"/>
          <w:sz w:val="32"/>
          <w:szCs w:val="32"/>
        </w:rPr>
      </w:pPr>
      <w:bookmarkStart w:id="125" w:name="_Toc485382004"/>
      <w:r w:rsidRPr="00DB7AE7">
        <w:rPr>
          <w:rFonts w:asciiTheme="minorHAnsi" w:hAnsiTheme="minorHAnsi" w:cstheme="minorHAnsi"/>
          <w:sz w:val="32"/>
          <w:szCs w:val="32"/>
        </w:rPr>
        <w:lastRenderedPageBreak/>
        <w:t>Conclusions and Recommendations</w:t>
      </w:r>
      <w:bookmarkEnd w:id="125"/>
      <w:r w:rsidRPr="00DB7AE7">
        <w:rPr>
          <w:rFonts w:asciiTheme="minorHAnsi" w:hAnsiTheme="minorHAnsi" w:cstheme="minorHAnsi"/>
          <w:sz w:val="32"/>
          <w:szCs w:val="32"/>
        </w:rPr>
        <w:t xml:space="preserve"> </w:t>
      </w:r>
    </w:p>
    <w:p w14:paraId="0BBB5B5C" w14:textId="77777777" w:rsidR="00AC65CD" w:rsidRPr="004B2A73" w:rsidRDefault="00AC65CD" w:rsidP="0025767C">
      <w:pPr>
        <w:rPr>
          <w:rFonts w:ascii="Calibri" w:hAnsi="Calibri"/>
        </w:rPr>
      </w:pPr>
    </w:p>
    <w:p w14:paraId="763733A1" w14:textId="77777777" w:rsidR="00D86BDF" w:rsidRPr="004B2A73" w:rsidRDefault="00D86BDF"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 xml:space="preserve">Reform in the management and operations of container terminals through concession agreements with the private sector has generated improvements in the performance of the sector though benefits have been limited and not evenly distributed.  </w:t>
      </w:r>
      <w:r w:rsidRPr="004B2A73">
        <w:rPr>
          <w:rFonts w:ascii="Calibri" w:hAnsi="Calibri"/>
          <w:sz w:val="24"/>
        </w:rPr>
        <w:t xml:space="preserve">The private sector has delivered critical sector improvements by converting poorly equipped terminals or multi-purpose berths into modern container terminals of international standards.  Modern handling equipment such as STS cranes and conversion of yard operations into RTGs </w:t>
      </w:r>
      <w:r w:rsidR="005F0130" w:rsidRPr="004B2A73">
        <w:rPr>
          <w:rFonts w:ascii="Calibri" w:hAnsi="Calibri"/>
          <w:sz w:val="24"/>
        </w:rPr>
        <w:t xml:space="preserve">has </w:t>
      </w:r>
      <w:r w:rsidRPr="004B2A73">
        <w:rPr>
          <w:rFonts w:ascii="Calibri" w:hAnsi="Calibri"/>
          <w:sz w:val="24"/>
        </w:rPr>
        <w:t xml:space="preserve">reduced congestion and released capacity allowing ports to meet the rapidly increasing demand </w:t>
      </w:r>
      <w:r w:rsidR="00826131" w:rsidRPr="004B2A73">
        <w:rPr>
          <w:rFonts w:ascii="Calibri" w:hAnsi="Calibri"/>
          <w:sz w:val="24"/>
        </w:rPr>
        <w:t xml:space="preserve">seen in </w:t>
      </w:r>
      <w:r w:rsidR="00A92FFD" w:rsidRPr="004B2A73">
        <w:rPr>
          <w:rFonts w:ascii="Calibri" w:hAnsi="Calibri"/>
          <w:sz w:val="24"/>
        </w:rPr>
        <w:t xml:space="preserve">West Africa over </w:t>
      </w:r>
      <w:r w:rsidR="00826131" w:rsidRPr="004B2A73">
        <w:rPr>
          <w:rFonts w:ascii="Calibri" w:hAnsi="Calibri"/>
          <w:sz w:val="24"/>
        </w:rPr>
        <w:t>the past decade or so</w:t>
      </w:r>
      <w:r w:rsidRPr="004B2A73">
        <w:rPr>
          <w:rFonts w:ascii="Calibri" w:hAnsi="Calibri"/>
          <w:sz w:val="24"/>
        </w:rPr>
        <w:t xml:space="preserve">.  From a government perspective, the takeover of </w:t>
      </w:r>
      <w:r w:rsidR="00826131" w:rsidRPr="004B2A73">
        <w:rPr>
          <w:rFonts w:ascii="Calibri" w:hAnsi="Calibri"/>
          <w:sz w:val="24"/>
        </w:rPr>
        <w:t xml:space="preserve">container terminals </w:t>
      </w:r>
      <w:r w:rsidRPr="004B2A73">
        <w:rPr>
          <w:rFonts w:ascii="Calibri" w:hAnsi="Calibri"/>
          <w:sz w:val="24"/>
        </w:rPr>
        <w:t>by T</w:t>
      </w:r>
      <w:r w:rsidR="00826131" w:rsidRPr="004B2A73">
        <w:rPr>
          <w:rFonts w:ascii="Calibri" w:hAnsi="Calibri"/>
          <w:sz w:val="24"/>
        </w:rPr>
        <w:t xml:space="preserve">erminal </w:t>
      </w:r>
      <w:r w:rsidRPr="004B2A73">
        <w:rPr>
          <w:rFonts w:ascii="Calibri" w:hAnsi="Calibri"/>
          <w:sz w:val="24"/>
        </w:rPr>
        <w:t>O</w:t>
      </w:r>
      <w:r w:rsidR="00826131" w:rsidRPr="004B2A73">
        <w:rPr>
          <w:rFonts w:ascii="Calibri" w:hAnsi="Calibri"/>
          <w:sz w:val="24"/>
        </w:rPr>
        <w:t xml:space="preserve">perating </w:t>
      </w:r>
      <w:r w:rsidRPr="004B2A73">
        <w:rPr>
          <w:rFonts w:ascii="Calibri" w:hAnsi="Calibri"/>
          <w:sz w:val="24"/>
        </w:rPr>
        <w:t>C</w:t>
      </w:r>
      <w:r w:rsidR="00826131" w:rsidRPr="004B2A73">
        <w:rPr>
          <w:rFonts w:ascii="Calibri" w:hAnsi="Calibri"/>
          <w:sz w:val="24"/>
        </w:rPr>
        <w:t>ompanies</w:t>
      </w:r>
      <w:r w:rsidRPr="004B2A73">
        <w:rPr>
          <w:rFonts w:ascii="Calibri" w:hAnsi="Calibri"/>
          <w:sz w:val="24"/>
        </w:rPr>
        <w:t xml:space="preserve"> </w:t>
      </w:r>
      <w:r w:rsidR="00826131" w:rsidRPr="004B2A73">
        <w:rPr>
          <w:rFonts w:ascii="Calibri" w:hAnsi="Calibri"/>
          <w:sz w:val="24"/>
        </w:rPr>
        <w:t xml:space="preserve">has shifted the </w:t>
      </w:r>
      <w:r w:rsidRPr="004B2A73">
        <w:rPr>
          <w:rFonts w:ascii="Calibri" w:hAnsi="Calibri"/>
          <w:sz w:val="24"/>
        </w:rPr>
        <w:t xml:space="preserve">terminals from </w:t>
      </w:r>
      <w:r w:rsidR="00DE4353" w:rsidRPr="004B2A73">
        <w:rPr>
          <w:rFonts w:ascii="Calibri" w:hAnsi="Calibri"/>
          <w:sz w:val="24"/>
        </w:rPr>
        <w:t>the</w:t>
      </w:r>
      <w:r w:rsidR="00A92FFD" w:rsidRPr="004B2A73">
        <w:rPr>
          <w:rFonts w:ascii="Calibri" w:hAnsi="Calibri"/>
          <w:sz w:val="24"/>
        </w:rPr>
        <w:t xml:space="preserve"> r</w:t>
      </w:r>
      <w:r w:rsidR="00826131" w:rsidRPr="004B2A73">
        <w:rPr>
          <w:rFonts w:ascii="Calibri" w:hAnsi="Calibri"/>
          <w:sz w:val="24"/>
        </w:rPr>
        <w:t xml:space="preserve">ealm of </w:t>
      </w:r>
      <w:r w:rsidRPr="004B2A73">
        <w:rPr>
          <w:rFonts w:ascii="Calibri" w:hAnsi="Calibri"/>
          <w:sz w:val="24"/>
        </w:rPr>
        <w:t xml:space="preserve">problems to sources of income. </w:t>
      </w:r>
    </w:p>
    <w:p w14:paraId="3EC49136" w14:textId="77777777" w:rsidR="00D86BDF" w:rsidRPr="004B2A73" w:rsidRDefault="00D86BDF" w:rsidP="00D86BDF">
      <w:pPr>
        <w:pStyle w:val="ListParagraph"/>
        <w:spacing w:after="0"/>
        <w:ind w:left="0"/>
        <w:rPr>
          <w:rFonts w:ascii="Calibri" w:hAnsi="Calibri"/>
          <w:sz w:val="24"/>
        </w:rPr>
      </w:pPr>
    </w:p>
    <w:p w14:paraId="1603A9D9" w14:textId="7489264F" w:rsidR="00D86BDF" w:rsidRPr="004B2A73" w:rsidRDefault="00D86BDF" w:rsidP="00E826B9">
      <w:pPr>
        <w:pStyle w:val="ListParagraph"/>
        <w:numPr>
          <w:ilvl w:val="0"/>
          <w:numId w:val="6"/>
        </w:numPr>
        <w:spacing w:after="0"/>
        <w:ind w:left="0" w:firstLine="0"/>
        <w:jc w:val="both"/>
        <w:rPr>
          <w:rFonts w:ascii="Calibri" w:hAnsi="Calibri"/>
          <w:sz w:val="24"/>
        </w:rPr>
      </w:pPr>
      <w:r w:rsidRPr="004B2A73">
        <w:rPr>
          <w:rFonts w:ascii="Calibri" w:hAnsi="Calibri"/>
          <w:sz w:val="24"/>
        </w:rPr>
        <w:t xml:space="preserve">Despite clear benefits, the transformation of the West African ports remains incomplete. The bulk of the benefits </w:t>
      </w:r>
      <w:r w:rsidR="000F443A" w:rsidRPr="004B2A73">
        <w:rPr>
          <w:rFonts w:ascii="Calibri" w:hAnsi="Calibri"/>
          <w:sz w:val="24"/>
        </w:rPr>
        <w:t xml:space="preserve">have </w:t>
      </w:r>
      <w:r w:rsidR="00DE4353" w:rsidRPr="004B2A73">
        <w:rPr>
          <w:rFonts w:ascii="Calibri" w:hAnsi="Calibri"/>
          <w:sz w:val="24"/>
        </w:rPr>
        <w:t xml:space="preserve">been realized from </w:t>
      </w:r>
      <w:r w:rsidRPr="004B2A73">
        <w:rPr>
          <w:rFonts w:ascii="Calibri" w:hAnsi="Calibri"/>
          <w:sz w:val="24"/>
        </w:rPr>
        <w:t xml:space="preserve">relatively easy </w:t>
      </w:r>
      <w:r w:rsidR="00634243" w:rsidRPr="004B2A73">
        <w:rPr>
          <w:rFonts w:ascii="Calibri" w:hAnsi="Calibri"/>
          <w:sz w:val="24"/>
        </w:rPr>
        <w:t xml:space="preserve">modifications </w:t>
      </w:r>
      <w:r w:rsidR="000F443A" w:rsidRPr="004B2A73">
        <w:rPr>
          <w:rFonts w:ascii="Calibri" w:hAnsi="Calibri"/>
          <w:sz w:val="24"/>
        </w:rPr>
        <w:t xml:space="preserve">implemented </w:t>
      </w:r>
      <w:r w:rsidR="00F40F3F" w:rsidRPr="004B2A73">
        <w:rPr>
          <w:rFonts w:ascii="Calibri" w:hAnsi="Calibri"/>
          <w:sz w:val="24"/>
        </w:rPr>
        <w:t xml:space="preserve">by operators </w:t>
      </w:r>
      <w:r w:rsidR="00C16C6B" w:rsidRPr="004B2A73">
        <w:rPr>
          <w:rFonts w:ascii="Calibri" w:hAnsi="Calibri"/>
          <w:sz w:val="24"/>
        </w:rPr>
        <w:t xml:space="preserve">while </w:t>
      </w:r>
      <w:r w:rsidR="000F443A" w:rsidRPr="004B2A73">
        <w:rPr>
          <w:rFonts w:ascii="Calibri" w:hAnsi="Calibri"/>
          <w:sz w:val="24"/>
        </w:rPr>
        <w:t xml:space="preserve">government has </w:t>
      </w:r>
      <w:r w:rsidR="00C16C6B" w:rsidRPr="004B2A73">
        <w:rPr>
          <w:rFonts w:ascii="Calibri" w:hAnsi="Calibri"/>
          <w:sz w:val="24"/>
        </w:rPr>
        <w:t>ski</w:t>
      </w:r>
      <w:r w:rsidRPr="004B2A73">
        <w:rPr>
          <w:rFonts w:ascii="Calibri" w:hAnsi="Calibri"/>
          <w:sz w:val="24"/>
        </w:rPr>
        <w:t>rt</w:t>
      </w:r>
      <w:r w:rsidR="000F443A" w:rsidRPr="004B2A73">
        <w:rPr>
          <w:rFonts w:ascii="Calibri" w:hAnsi="Calibri"/>
          <w:sz w:val="24"/>
        </w:rPr>
        <w:t xml:space="preserve">ed </w:t>
      </w:r>
      <w:r w:rsidRPr="004B2A73">
        <w:rPr>
          <w:rFonts w:ascii="Calibri" w:hAnsi="Calibri"/>
          <w:sz w:val="24"/>
        </w:rPr>
        <w:t xml:space="preserve">the structural reforms necessary for deeper and longer lasting change. </w:t>
      </w:r>
      <w:r w:rsidR="00583A7B" w:rsidRPr="004B2A73">
        <w:rPr>
          <w:rFonts w:ascii="Calibri" w:hAnsi="Calibri"/>
          <w:sz w:val="24"/>
        </w:rPr>
        <w:t>Operators have relied on s</w:t>
      </w:r>
      <w:r w:rsidRPr="004B2A73">
        <w:rPr>
          <w:rFonts w:ascii="Calibri" w:hAnsi="Calibri"/>
          <w:sz w:val="24"/>
          <w:lang w:val="en-GB"/>
        </w:rPr>
        <w:t xml:space="preserve">cale efficiencies or technological progress (e.g. increase in capacity and upgrades or purchase of new equipment) </w:t>
      </w:r>
      <w:r w:rsidR="00583A7B" w:rsidRPr="004B2A73">
        <w:rPr>
          <w:rFonts w:ascii="Calibri" w:hAnsi="Calibri"/>
          <w:sz w:val="24"/>
          <w:lang w:val="en-GB"/>
        </w:rPr>
        <w:t>for p</w:t>
      </w:r>
      <w:r w:rsidR="00641E3E" w:rsidRPr="004B2A73">
        <w:rPr>
          <w:rFonts w:ascii="Calibri" w:hAnsi="Calibri"/>
          <w:sz w:val="24"/>
          <w:lang w:val="en-GB"/>
        </w:rPr>
        <w:t xml:space="preserve">roductivity </w:t>
      </w:r>
      <w:r w:rsidR="00AA5978" w:rsidRPr="004B2A73">
        <w:rPr>
          <w:rFonts w:ascii="Calibri" w:hAnsi="Calibri"/>
          <w:sz w:val="24"/>
          <w:lang w:val="en-GB"/>
        </w:rPr>
        <w:t xml:space="preserve">improvements </w:t>
      </w:r>
      <w:r w:rsidRPr="004B2A73">
        <w:rPr>
          <w:rFonts w:ascii="Calibri" w:hAnsi="Calibri"/>
          <w:sz w:val="24"/>
          <w:lang w:val="en-GB"/>
        </w:rPr>
        <w:t xml:space="preserve">with few </w:t>
      </w:r>
      <w:r w:rsidR="003D4E5D" w:rsidRPr="004B2A73">
        <w:rPr>
          <w:rFonts w:ascii="Calibri" w:hAnsi="Calibri"/>
          <w:sz w:val="24"/>
          <w:lang w:val="en-GB"/>
        </w:rPr>
        <w:t>advances in</w:t>
      </w:r>
      <w:r w:rsidRPr="004B2A73">
        <w:rPr>
          <w:rFonts w:ascii="Calibri" w:hAnsi="Calibri"/>
          <w:sz w:val="24"/>
          <w:lang w:val="en-GB"/>
        </w:rPr>
        <w:t xml:space="preserve"> organizational and operational efficiency</w:t>
      </w:r>
      <w:r w:rsidR="00AA5978" w:rsidRPr="004B2A73">
        <w:rPr>
          <w:rFonts w:ascii="Calibri" w:hAnsi="Calibri"/>
          <w:sz w:val="24"/>
          <w:lang w:val="en-GB"/>
        </w:rPr>
        <w:t xml:space="preserve"> at the terminal level</w:t>
      </w:r>
      <w:r w:rsidRPr="004B2A73">
        <w:rPr>
          <w:rFonts w:ascii="Calibri" w:hAnsi="Calibri"/>
          <w:sz w:val="24"/>
          <w:lang w:val="en-GB"/>
        </w:rPr>
        <w:t xml:space="preserve">. </w:t>
      </w:r>
      <w:r w:rsidR="003D4E5D" w:rsidRPr="004B2A73">
        <w:rPr>
          <w:rFonts w:ascii="Calibri" w:hAnsi="Calibri"/>
          <w:sz w:val="24"/>
          <w:lang w:val="en-GB"/>
        </w:rPr>
        <w:t>I</w:t>
      </w:r>
      <w:r w:rsidRPr="004B2A73">
        <w:rPr>
          <w:rFonts w:ascii="Calibri" w:hAnsi="Calibri"/>
          <w:sz w:val="24"/>
          <w:lang w:val="en-GB"/>
        </w:rPr>
        <w:t>mportantly, TOCs have seen a reduction in unit costs linked to the combination of growth in traffic and a high proportion of fixed costs in their cost structures. These reductions have not, however, been passed on to the final customers</w:t>
      </w:r>
      <w:r w:rsidR="003D4E5D" w:rsidRPr="004B2A73">
        <w:rPr>
          <w:rFonts w:ascii="Calibri" w:hAnsi="Calibri"/>
          <w:sz w:val="24"/>
          <w:lang w:val="en-GB"/>
        </w:rPr>
        <w:t>, the shippers,</w:t>
      </w:r>
      <w:r w:rsidRPr="004B2A73">
        <w:rPr>
          <w:rFonts w:ascii="Calibri" w:hAnsi="Calibri"/>
          <w:sz w:val="24"/>
          <w:lang w:val="en-GB"/>
        </w:rPr>
        <w:t xml:space="preserve"> of the container terminals and </w:t>
      </w:r>
      <w:r w:rsidR="00B03518" w:rsidRPr="004B2A73">
        <w:rPr>
          <w:rFonts w:ascii="Calibri" w:hAnsi="Calibri"/>
          <w:sz w:val="24"/>
          <w:lang w:val="en-GB"/>
        </w:rPr>
        <w:t>sparingly</w:t>
      </w:r>
      <w:r w:rsidRPr="004B2A73">
        <w:rPr>
          <w:rFonts w:ascii="Calibri" w:hAnsi="Calibri"/>
          <w:sz w:val="24"/>
          <w:lang w:val="en-GB"/>
        </w:rPr>
        <w:t xml:space="preserve"> shared with the conceding authorities.  </w:t>
      </w:r>
      <w:r w:rsidR="00421EBD">
        <w:rPr>
          <w:rFonts w:ascii="Calibri" w:hAnsi="Calibri"/>
          <w:sz w:val="24"/>
          <w:lang w:val="en-GB"/>
        </w:rPr>
        <w:t xml:space="preserve">While </w:t>
      </w:r>
      <w:r w:rsidR="001B57B2">
        <w:rPr>
          <w:rFonts w:ascii="Calibri" w:hAnsi="Calibri"/>
          <w:sz w:val="24"/>
          <w:lang w:val="en-GB"/>
        </w:rPr>
        <w:t>c</w:t>
      </w:r>
      <w:r w:rsidR="001B57B2" w:rsidRPr="004B2A73">
        <w:rPr>
          <w:rFonts w:ascii="Calibri" w:hAnsi="Calibri"/>
          <w:sz w:val="24"/>
          <w:lang w:val="en-GB"/>
        </w:rPr>
        <w:t>argo-handling</w:t>
      </w:r>
      <w:r w:rsidR="0011418C" w:rsidRPr="004B2A73">
        <w:rPr>
          <w:rFonts w:ascii="Calibri" w:hAnsi="Calibri"/>
          <w:sz w:val="24"/>
          <w:lang w:val="en-GB"/>
        </w:rPr>
        <w:t xml:space="preserve"> t</w:t>
      </w:r>
      <w:r w:rsidRPr="004B2A73">
        <w:rPr>
          <w:rFonts w:ascii="Calibri" w:hAnsi="Calibri"/>
          <w:sz w:val="24"/>
          <w:lang w:val="en-GB"/>
        </w:rPr>
        <w:t xml:space="preserve">ariffs in </w:t>
      </w:r>
      <w:r w:rsidR="00421EBD">
        <w:rPr>
          <w:rFonts w:ascii="Calibri" w:hAnsi="Calibri"/>
          <w:sz w:val="24"/>
          <w:lang w:val="en-GB"/>
        </w:rPr>
        <w:t xml:space="preserve">a few </w:t>
      </w:r>
      <w:r w:rsidRPr="004B2A73">
        <w:rPr>
          <w:rFonts w:ascii="Calibri" w:hAnsi="Calibri"/>
          <w:sz w:val="24"/>
          <w:lang w:val="en-GB"/>
        </w:rPr>
        <w:t xml:space="preserve">West Africa </w:t>
      </w:r>
      <w:r w:rsidR="00421EBD">
        <w:rPr>
          <w:rFonts w:ascii="Calibri" w:hAnsi="Calibri"/>
          <w:sz w:val="24"/>
          <w:lang w:val="en-GB"/>
        </w:rPr>
        <w:t xml:space="preserve">ports </w:t>
      </w:r>
      <w:r w:rsidRPr="004B2A73">
        <w:rPr>
          <w:rFonts w:ascii="Calibri" w:hAnsi="Calibri"/>
          <w:sz w:val="24"/>
          <w:lang w:val="en-GB"/>
        </w:rPr>
        <w:t>remain amongst the highest in the world</w:t>
      </w:r>
      <w:r w:rsidR="00421EBD">
        <w:rPr>
          <w:rFonts w:ascii="Calibri" w:hAnsi="Calibri"/>
          <w:sz w:val="24"/>
          <w:lang w:val="en-GB"/>
        </w:rPr>
        <w:t xml:space="preserve">, </w:t>
      </w:r>
      <w:r w:rsidR="001B57B2">
        <w:rPr>
          <w:rFonts w:ascii="Calibri" w:hAnsi="Calibri"/>
          <w:sz w:val="24"/>
          <w:lang w:val="en-GB"/>
        </w:rPr>
        <w:t>e.g., Dakar and Abidjan</w:t>
      </w:r>
      <w:r w:rsidR="00421EBD">
        <w:rPr>
          <w:rFonts w:ascii="Calibri" w:hAnsi="Calibri"/>
          <w:sz w:val="24"/>
          <w:lang w:val="en-GB"/>
        </w:rPr>
        <w:t xml:space="preserve">, a wide disparity is observed in the region with some port tariffs at par with international comparators, e.g., </w:t>
      </w:r>
      <w:r w:rsidR="001B57B2">
        <w:rPr>
          <w:rFonts w:ascii="Calibri" w:hAnsi="Calibri"/>
          <w:sz w:val="24"/>
          <w:lang w:val="en-GB"/>
        </w:rPr>
        <w:t>Cotonou</w:t>
      </w:r>
      <w:r w:rsidRPr="004B2A73">
        <w:rPr>
          <w:rFonts w:ascii="Calibri" w:hAnsi="Calibri"/>
          <w:sz w:val="24"/>
          <w:lang w:val="en-GB"/>
        </w:rPr>
        <w:t xml:space="preserve">. </w:t>
      </w:r>
    </w:p>
    <w:p w14:paraId="2597AC85" w14:textId="77777777" w:rsidR="00D86BDF" w:rsidRPr="004B2A73" w:rsidRDefault="00D86BDF" w:rsidP="00D86BDF">
      <w:pPr>
        <w:pStyle w:val="ListParagraph"/>
        <w:spacing w:after="0"/>
        <w:ind w:left="0"/>
        <w:rPr>
          <w:rFonts w:ascii="Calibri" w:hAnsi="Calibri"/>
          <w:sz w:val="24"/>
        </w:rPr>
      </w:pPr>
    </w:p>
    <w:p w14:paraId="46C2371E" w14:textId="1C250FD0" w:rsidR="00D86BDF" w:rsidRPr="004B2A73" w:rsidRDefault="00D86BDF" w:rsidP="00E826B9">
      <w:pPr>
        <w:pStyle w:val="ListParagraph"/>
        <w:numPr>
          <w:ilvl w:val="0"/>
          <w:numId w:val="6"/>
        </w:numPr>
        <w:spacing w:after="0"/>
        <w:ind w:left="0" w:firstLine="0"/>
        <w:jc w:val="both"/>
        <w:rPr>
          <w:rFonts w:ascii="Calibri" w:hAnsi="Calibri"/>
          <w:sz w:val="24"/>
        </w:rPr>
      </w:pPr>
      <w:r w:rsidRPr="004B2A73">
        <w:rPr>
          <w:rFonts w:ascii="Calibri" w:hAnsi="Calibri"/>
          <w:sz w:val="24"/>
          <w:lang w:val="en-GB"/>
        </w:rPr>
        <w:t xml:space="preserve">The arrested transformation of the ports sector can be traced to the West African institutional </w:t>
      </w:r>
      <w:r w:rsidR="0011418C" w:rsidRPr="004B2A73">
        <w:rPr>
          <w:rFonts w:ascii="Calibri" w:hAnsi="Calibri"/>
          <w:sz w:val="24"/>
          <w:lang w:val="en-GB"/>
        </w:rPr>
        <w:t xml:space="preserve">and governance </w:t>
      </w:r>
      <w:r w:rsidRPr="004B2A73">
        <w:rPr>
          <w:rFonts w:ascii="Calibri" w:hAnsi="Calibri"/>
          <w:sz w:val="24"/>
          <w:lang w:val="en-GB"/>
        </w:rPr>
        <w:t>framework a</w:t>
      </w:r>
      <w:r w:rsidR="0011418C" w:rsidRPr="004B2A73">
        <w:rPr>
          <w:rFonts w:ascii="Calibri" w:hAnsi="Calibri"/>
          <w:sz w:val="24"/>
          <w:lang w:val="en-GB"/>
        </w:rPr>
        <w:t xml:space="preserve">s well as </w:t>
      </w:r>
      <w:r w:rsidRPr="004B2A73">
        <w:rPr>
          <w:rFonts w:ascii="Calibri" w:hAnsi="Calibri"/>
          <w:sz w:val="24"/>
          <w:lang w:val="en-GB"/>
        </w:rPr>
        <w:t xml:space="preserve">the economic characteristics of the CT industry. There is a </w:t>
      </w:r>
      <w:r w:rsidR="007C23AF" w:rsidRPr="004B2A73">
        <w:rPr>
          <w:rFonts w:ascii="Calibri" w:hAnsi="Calibri"/>
          <w:sz w:val="24"/>
          <w:lang w:val="en-GB"/>
        </w:rPr>
        <w:t>double</w:t>
      </w:r>
      <w:r w:rsidRPr="004B2A73">
        <w:rPr>
          <w:rFonts w:ascii="Calibri" w:hAnsi="Calibri"/>
          <w:sz w:val="24"/>
          <w:lang w:val="en-GB"/>
        </w:rPr>
        <w:t xml:space="preserve"> asymmetry between (i) the countries of West Africa which lack deep experience, tools and framework</w:t>
      </w:r>
      <w:r w:rsidR="0011418C" w:rsidRPr="004B2A73">
        <w:rPr>
          <w:rFonts w:ascii="Calibri" w:hAnsi="Calibri"/>
          <w:sz w:val="24"/>
          <w:lang w:val="en-GB"/>
        </w:rPr>
        <w:t>s</w:t>
      </w:r>
      <w:r w:rsidRPr="004B2A73">
        <w:rPr>
          <w:rFonts w:ascii="Calibri" w:hAnsi="Calibri"/>
          <w:sz w:val="24"/>
          <w:lang w:val="en-GB"/>
        </w:rPr>
        <w:t xml:space="preserve"> for managing and regulating private sector firms and</w:t>
      </w:r>
      <w:r w:rsidR="00E22808" w:rsidRPr="004B2A73">
        <w:rPr>
          <w:rFonts w:ascii="Calibri" w:hAnsi="Calibri"/>
          <w:sz w:val="24"/>
          <w:lang w:val="en-GB"/>
        </w:rPr>
        <w:t xml:space="preserve"> </w:t>
      </w:r>
      <w:r w:rsidR="00E86A33">
        <w:rPr>
          <w:rFonts w:ascii="Calibri" w:hAnsi="Calibri"/>
          <w:sz w:val="24"/>
          <w:lang w:val="en-GB"/>
        </w:rPr>
        <w:t xml:space="preserve">the </w:t>
      </w:r>
      <w:r w:rsidRPr="004B2A73">
        <w:rPr>
          <w:rFonts w:ascii="Calibri" w:hAnsi="Calibri"/>
          <w:sz w:val="24"/>
          <w:lang w:val="en-GB"/>
        </w:rPr>
        <w:t>international TOCs</w:t>
      </w:r>
      <w:r w:rsidR="00E22808" w:rsidRPr="004B2A73">
        <w:rPr>
          <w:rFonts w:ascii="Calibri" w:hAnsi="Calibri"/>
          <w:sz w:val="24"/>
          <w:lang w:val="en-GB"/>
        </w:rPr>
        <w:t>,</w:t>
      </w:r>
      <w:r w:rsidRPr="004B2A73">
        <w:rPr>
          <w:rFonts w:ascii="Calibri" w:hAnsi="Calibri"/>
          <w:sz w:val="24"/>
          <w:lang w:val="en-GB"/>
        </w:rPr>
        <w:t xml:space="preserve"> and (ii) </w:t>
      </w:r>
      <w:r w:rsidR="007C23AF" w:rsidRPr="004B2A73">
        <w:rPr>
          <w:rFonts w:ascii="Calibri" w:hAnsi="Calibri"/>
          <w:sz w:val="24"/>
          <w:lang w:val="en-GB"/>
        </w:rPr>
        <w:t xml:space="preserve">atomistic </w:t>
      </w:r>
      <w:r w:rsidR="00E22808" w:rsidRPr="004B2A73">
        <w:rPr>
          <w:rFonts w:ascii="Calibri" w:hAnsi="Calibri"/>
          <w:sz w:val="24"/>
          <w:lang w:val="en-GB"/>
        </w:rPr>
        <w:t xml:space="preserve">shippers </w:t>
      </w:r>
      <w:r w:rsidR="007C23AF" w:rsidRPr="004B2A73">
        <w:rPr>
          <w:rFonts w:ascii="Calibri" w:hAnsi="Calibri"/>
          <w:sz w:val="24"/>
          <w:lang w:val="en-GB"/>
        </w:rPr>
        <w:t xml:space="preserve">and TOCs </w:t>
      </w:r>
      <w:r w:rsidR="006843CB" w:rsidRPr="004B2A73">
        <w:rPr>
          <w:rFonts w:ascii="Calibri" w:hAnsi="Calibri"/>
          <w:sz w:val="24"/>
          <w:lang w:val="en-GB"/>
        </w:rPr>
        <w:t xml:space="preserve">in an industry which is </w:t>
      </w:r>
      <w:r w:rsidR="00C21C9D" w:rsidRPr="004B2A73">
        <w:rPr>
          <w:rFonts w:ascii="Calibri" w:hAnsi="Calibri"/>
          <w:sz w:val="24"/>
          <w:lang w:val="en-GB"/>
        </w:rPr>
        <w:t>naturally</w:t>
      </w:r>
      <w:r w:rsidR="006843CB" w:rsidRPr="004B2A73">
        <w:rPr>
          <w:rFonts w:ascii="Calibri" w:hAnsi="Calibri"/>
          <w:sz w:val="24"/>
          <w:lang w:val="en-GB"/>
        </w:rPr>
        <w:t xml:space="preserve"> </w:t>
      </w:r>
      <w:r w:rsidRPr="004B2A73">
        <w:rPr>
          <w:rFonts w:ascii="Calibri" w:hAnsi="Calibri"/>
          <w:sz w:val="24"/>
          <w:lang w:val="en-GB"/>
        </w:rPr>
        <w:t>monopolistic</w:t>
      </w:r>
      <w:r w:rsidR="006843CB" w:rsidRPr="004B2A73">
        <w:rPr>
          <w:rFonts w:ascii="Calibri" w:hAnsi="Calibri"/>
          <w:sz w:val="24"/>
          <w:lang w:val="en-GB"/>
        </w:rPr>
        <w:t xml:space="preserve">. </w:t>
      </w:r>
      <w:r w:rsidRPr="004B2A73">
        <w:rPr>
          <w:rFonts w:ascii="Calibri" w:hAnsi="Calibri"/>
          <w:sz w:val="24"/>
          <w:lang w:val="en-GB"/>
        </w:rPr>
        <w:t xml:space="preserve">The </w:t>
      </w:r>
      <w:r w:rsidR="000F7C16" w:rsidRPr="004B2A73">
        <w:rPr>
          <w:rFonts w:ascii="Calibri" w:hAnsi="Calibri"/>
          <w:sz w:val="24"/>
          <w:lang w:val="en-GB"/>
        </w:rPr>
        <w:t xml:space="preserve">poor governance frameworks </w:t>
      </w:r>
      <w:r w:rsidR="00FF6B9C" w:rsidRPr="004B2A73">
        <w:rPr>
          <w:rFonts w:ascii="Calibri" w:hAnsi="Calibri"/>
          <w:sz w:val="24"/>
          <w:lang w:val="en-GB"/>
        </w:rPr>
        <w:t xml:space="preserve">and inadequate regulation </w:t>
      </w:r>
      <w:r w:rsidR="00E0600E" w:rsidRPr="004B2A73">
        <w:rPr>
          <w:rFonts w:ascii="Calibri" w:hAnsi="Calibri"/>
          <w:sz w:val="24"/>
          <w:lang w:val="en-GB"/>
        </w:rPr>
        <w:t xml:space="preserve">exacerbate the concentration of </w:t>
      </w:r>
      <w:r w:rsidR="002154DC" w:rsidRPr="004B2A73">
        <w:rPr>
          <w:rFonts w:ascii="Calibri" w:hAnsi="Calibri"/>
          <w:sz w:val="24"/>
          <w:lang w:val="en-GB"/>
        </w:rPr>
        <w:t xml:space="preserve">market </w:t>
      </w:r>
      <w:r w:rsidR="00E0600E" w:rsidRPr="004B2A73">
        <w:rPr>
          <w:rFonts w:ascii="Calibri" w:hAnsi="Calibri"/>
          <w:sz w:val="24"/>
          <w:lang w:val="en-GB"/>
        </w:rPr>
        <w:t xml:space="preserve">power </w:t>
      </w:r>
      <w:r w:rsidR="00FF6B9C" w:rsidRPr="004B2A73">
        <w:rPr>
          <w:rFonts w:ascii="Calibri" w:hAnsi="Calibri"/>
          <w:sz w:val="24"/>
          <w:lang w:val="en-GB"/>
        </w:rPr>
        <w:t xml:space="preserve">and </w:t>
      </w:r>
      <w:r w:rsidR="00E0600E" w:rsidRPr="004B2A73">
        <w:rPr>
          <w:rFonts w:ascii="Calibri" w:hAnsi="Calibri"/>
          <w:sz w:val="24"/>
          <w:lang w:val="en-GB"/>
        </w:rPr>
        <w:t xml:space="preserve">help </w:t>
      </w:r>
      <w:r w:rsidR="00FF6B9C" w:rsidRPr="004B2A73">
        <w:rPr>
          <w:rFonts w:ascii="Calibri" w:hAnsi="Calibri"/>
          <w:sz w:val="24"/>
          <w:lang w:val="en-GB"/>
        </w:rPr>
        <w:t>explain</w:t>
      </w:r>
      <w:r w:rsidRPr="004B2A73">
        <w:rPr>
          <w:rFonts w:ascii="Calibri" w:hAnsi="Calibri"/>
          <w:sz w:val="24"/>
          <w:lang w:val="en-GB"/>
        </w:rPr>
        <w:t xml:space="preserve"> the situation in West Africa.   </w:t>
      </w:r>
    </w:p>
    <w:p w14:paraId="23C95AB5" w14:textId="77777777" w:rsidR="00D86BDF" w:rsidRPr="004B2A73" w:rsidRDefault="00D86BDF" w:rsidP="00D86BDF">
      <w:pPr>
        <w:pStyle w:val="ListParagraph"/>
        <w:spacing w:after="0"/>
        <w:ind w:left="0"/>
        <w:rPr>
          <w:rFonts w:ascii="Calibri" w:hAnsi="Calibri"/>
          <w:sz w:val="24"/>
        </w:rPr>
      </w:pPr>
    </w:p>
    <w:p w14:paraId="7EA99F4D" w14:textId="77777777" w:rsidR="00D86BDF" w:rsidRPr="004B2A73" w:rsidRDefault="00D86BDF" w:rsidP="00D86BDF">
      <w:pPr>
        <w:pStyle w:val="ListParagraph"/>
        <w:spacing w:after="0"/>
        <w:ind w:left="0"/>
        <w:rPr>
          <w:rFonts w:ascii="Calibri" w:hAnsi="Calibri"/>
          <w:sz w:val="24"/>
        </w:rPr>
      </w:pPr>
    </w:p>
    <w:p w14:paraId="4C514D1A" w14:textId="77777777" w:rsidR="006D26CD" w:rsidRPr="004B2A73" w:rsidRDefault="005F2973"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P</w:t>
      </w:r>
      <w:r w:rsidR="00D86BDF" w:rsidRPr="004B2A73">
        <w:rPr>
          <w:rFonts w:ascii="Calibri" w:hAnsi="Calibri"/>
          <w:b/>
          <w:sz w:val="24"/>
        </w:rPr>
        <w:t xml:space="preserve">olicies </w:t>
      </w:r>
      <w:r w:rsidRPr="004B2A73">
        <w:rPr>
          <w:rFonts w:ascii="Calibri" w:hAnsi="Calibri"/>
          <w:b/>
          <w:sz w:val="24"/>
        </w:rPr>
        <w:t xml:space="preserve">which </w:t>
      </w:r>
      <w:r w:rsidR="00D86BDF" w:rsidRPr="004B2A73">
        <w:rPr>
          <w:rFonts w:ascii="Calibri" w:hAnsi="Calibri"/>
          <w:b/>
          <w:sz w:val="24"/>
        </w:rPr>
        <w:t>harmonize regulatory oversight of monopolistic activities with fostering competition</w:t>
      </w:r>
      <w:r w:rsidRPr="004B2A73">
        <w:rPr>
          <w:rFonts w:ascii="Calibri" w:hAnsi="Calibri"/>
          <w:b/>
          <w:sz w:val="24"/>
        </w:rPr>
        <w:t xml:space="preserve"> will do much to improve t</w:t>
      </w:r>
      <w:r w:rsidR="00361629" w:rsidRPr="004B2A73">
        <w:rPr>
          <w:rFonts w:ascii="Calibri" w:hAnsi="Calibri"/>
          <w:b/>
          <w:sz w:val="24"/>
        </w:rPr>
        <w:t xml:space="preserve">he </w:t>
      </w:r>
      <w:r w:rsidR="00C22C2E" w:rsidRPr="004B2A73">
        <w:rPr>
          <w:rFonts w:ascii="Calibri" w:hAnsi="Calibri"/>
          <w:b/>
          <w:sz w:val="24"/>
        </w:rPr>
        <w:t xml:space="preserve">economic </w:t>
      </w:r>
      <w:r w:rsidR="00361629" w:rsidRPr="004B2A73">
        <w:rPr>
          <w:rFonts w:ascii="Calibri" w:hAnsi="Calibri"/>
          <w:b/>
          <w:sz w:val="24"/>
        </w:rPr>
        <w:t>outcome of private sector involvement</w:t>
      </w:r>
      <w:r w:rsidR="00560EDD" w:rsidRPr="004B2A73">
        <w:rPr>
          <w:rFonts w:ascii="Calibri" w:hAnsi="Calibri"/>
          <w:b/>
          <w:sz w:val="24"/>
        </w:rPr>
        <w:t xml:space="preserve"> in the port sector.</w:t>
      </w:r>
      <w:r w:rsidR="007E6F8D" w:rsidRPr="004B2A73">
        <w:rPr>
          <w:rFonts w:ascii="Calibri" w:hAnsi="Calibri"/>
          <w:sz w:val="24"/>
        </w:rPr>
        <w:t xml:space="preserve">  </w:t>
      </w:r>
      <w:r w:rsidR="00C12421" w:rsidRPr="004B2A73">
        <w:rPr>
          <w:rFonts w:ascii="Calibri" w:hAnsi="Calibri"/>
          <w:sz w:val="24"/>
        </w:rPr>
        <w:t xml:space="preserve">In other parts of the world, </w:t>
      </w:r>
      <w:r w:rsidR="008C0CA2" w:rsidRPr="004B2A73">
        <w:rPr>
          <w:rFonts w:ascii="Calibri" w:hAnsi="Calibri"/>
          <w:sz w:val="24"/>
        </w:rPr>
        <w:t>the potential market power of TOCs is checked thr</w:t>
      </w:r>
      <w:r w:rsidR="007E4F32" w:rsidRPr="004B2A73">
        <w:rPr>
          <w:rFonts w:ascii="Calibri" w:hAnsi="Calibri"/>
          <w:sz w:val="24"/>
        </w:rPr>
        <w:t>o</w:t>
      </w:r>
      <w:r w:rsidR="008C0CA2" w:rsidRPr="004B2A73">
        <w:rPr>
          <w:rFonts w:ascii="Calibri" w:hAnsi="Calibri"/>
          <w:sz w:val="24"/>
        </w:rPr>
        <w:t>ugh a combination of inter and intra- port competition</w:t>
      </w:r>
      <w:r w:rsidR="003C5E2E">
        <w:rPr>
          <w:rFonts w:ascii="Calibri" w:hAnsi="Calibri"/>
          <w:sz w:val="24"/>
        </w:rPr>
        <w:t xml:space="preserve">, </w:t>
      </w:r>
      <w:r w:rsidR="00787F84">
        <w:rPr>
          <w:rFonts w:ascii="Calibri" w:hAnsi="Calibri"/>
          <w:sz w:val="24"/>
        </w:rPr>
        <w:t>together wit</w:t>
      </w:r>
      <w:r w:rsidR="003C5E2E">
        <w:rPr>
          <w:rFonts w:ascii="Calibri" w:hAnsi="Calibri"/>
          <w:sz w:val="24"/>
        </w:rPr>
        <w:t>h effective regulation</w:t>
      </w:r>
      <w:r w:rsidR="008C0CA2" w:rsidRPr="004B2A73">
        <w:rPr>
          <w:rFonts w:ascii="Calibri" w:hAnsi="Calibri"/>
          <w:sz w:val="24"/>
        </w:rPr>
        <w:t xml:space="preserve">.  </w:t>
      </w:r>
      <w:r w:rsidR="00787C9C" w:rsidRPr="004B2A73">
        <w:rPr>
          <w:rFonts w:ascii="Calibri" w:hAnsi="Calibri"/>
          <w:sz w:val="24"/>
        </w:rPr>
        <w:t>Ex-post, inter-port competition i</w:t>
      </w:r>
      <w:r w:rsidR="00704AA2" w:rsidRPr="004B2A73">
        <w:rPr>
          <w:rFonts w:ascii="Calibri" w:hAnsi="Calibri"/>
          <w:sz w:val="24"/>
        </w:rPr>
        <w:t>n West Africa i</w:t>
      </w:r>
      <w:r w:rsidR="00787C9C" w:rsidRPr="004B2A73">
        <w:rPr>
          <w:rFonts w:ascii="Calibri" w:hAnsi="Calibri"/>
          <w:sz w:val="24"/>
        </w:rPr>
        <w:t xml:space="preserve">s currently hindered by </w:t>
      </w:r>
      <w:r w:rsidR="00D86BDF" w:rsidRPr="004B2A73">
        <w:rPr>
          <w:rFonts w:ascii="Calibri" w:hAnsi="Calibri"/>
          <w:sz w:val="24"/>
        </w:rPr>
        <w:t xml:space="preserve">barriers to inland transport </w:t>
      </w:r>
      <w:r w:rsidR="00D86BDF" w:rsidRPr="004B2A73">
        <w:rPr>
          <w:rFonts w:ascii="Calibri" w:hAnsi="Calibri"/>
          <w:sz w:val="24"/>
        </w:rPr>
        <w:lastRenderedPageBreak/>
        <w:t xml:space="preserve">and cross-country movement of traffic </w:t>
      </w:r>
      <w:r w:rsidR="0025290F" w:rsidRPr="004B2A73">
        <w:rPr>
          <w:rFonts w:ascii="Calibri" w:hAnsi="Calibri"/>
          <w:sz w:val="24"/>
        </w:rPr>
        <w:t xml:space="preserve">and goods </w:t>
      </w:r>
      <w:r w:rsidR="00651327" w:rsidRPr="004B2A73">
        <w:rPr>
          <w:rFonts w:ascii="Calibri" w:hAnsi="Calibri"/>
          <w:sz w:val="24"/>
        </w:rPr>
        <w:t xml:space="preserve">which </w:t>
      </w:r>
      <w:r w:rsidR="00FC578A" w:rsidRPr="004B2A73">
        <w:rPr>
          <w:rFonts w:ascii="Calibri" w:hAnsi="Calibri"/>
          <w:sz w:val="24"/>
        </w:rPr>
        <w:t xml:space="preserve">impact the availability of contestable hinterlands while </w:t>
      </w:r>
      <w:r w:rsidR="00C17DFA" w:rsidRPr="004B2A73">
        <w:rPr>
          <w:rFonts w:ascii="Calibri" w:hAnsi="Calibri"/>
          <w:sz w:val="24"/>
        </w:rPr>
        <w:t xml:space="preserve">ex-ante, </w:t>
      </w:r>
      <w:r w:rsidR="00D86BDF" w:rsidRPr="004B2A73">
        <w:rPr>
          <w:rFonts w:ascii="Calibri" w:hAnsi="Calibri"/>
          <w:sz w:val="24"/>
        </w:rPr>
        <w:t xml:space="preserve">intra-port competition </w:t>
      </w:r>
      <w:r w:rsidR="00C17DFA" w:rsidRPr="004B2A73">
        <w:rPr>
          <w:rFonts w:ascii="Calibri" w:hAnsi="Calibri"/>
          <w:sz w:val="24"/>
        </w:rPr>
        <w:t xml:space="preserve">is </w:t>
      </w:r>
      <w:r w:rsidR="00704AA2" w:rsidRPr="004B2A73">
        <w:rPr>
          <w:rFonts w:ascii="Calibri" w:hAnsi="Calibri"/>
          <w:sz w:val="24"/>
        </w:rPr>
        <w:t xml:space="preserve">possible only in a few ports </w:t>
      </w:r>
      <w:r w:rsidR="00C17DFA" w:rsidRPr="004B2A73">
        <w:rPr>
          <w:rFonts w:ascii="Calibri" w:hAnsi="Calibri"/>
          <w:sz w:val="24"/>
        </w:rPr>
        <w:t xml:space="preserve">where traffic is high enough to </w:t>
      </w:r>
      <w:r w:rsidR="002F3176" w:rsidRPr="004B2A73">
        <w:rPr>
          <w:rFonts w:ascii="Calibri" w:hAnsi="Calibri"/>
          <w:sz w:val="24"/>
        </w:rPr>
        <w:t xml:space="preserve">support </w:t>
      </w:r>
      <w:r w:rsidR="00C17DFA" w:rsidRPr="004B2A73">
        <w:rPr>
          <w:rFonts w:ascii="Calibri" w:hAnsi="Calibri"/>
          <w:sz w:val="24"/>
        </w:rPr>
        <w:t xml:space="preserve">more than one </w:t>
      </w:r>
      <w:r w:rsidR="002F3176" w:rsidRPr="004B2A73">
        <w:rPr>
          <w:rFonts w:ascii="Calibri" w:hAnsi="Calibri"/>
          <w:sz w:val="24"/>
        </w:rPr>
        <w:t xml:space="preserve">operator. </w:t>
      </w:r>
    </w:p>
    <w:p w14:paraId="6607A94C" w14:textId="77777777" w:rsidR="006D26CD" w:rsidRPr="004B2A73" w:rsidRDefault="006D26CD" w:rsidP="00421888">
      <w:pPr>
        <w:pStyle w:val="ListParagraph"/>
        <w:spacing w:after="0"/>
        <w:ind w:left="0"/>
        <w:rPr>
          <w:rFonts w:ascii="Calibri" w:hAnsi="Calibri"/>
          <w:sz w:val="24"/>
        </w:rPr>
      </w:pPr>
    </w:p>
    <w:p w14:paraId="4EF6B40E" w14:textId="77777777" w:rsidR="0069125F" w:rsidRPr="004B2A73" w:rsidRDefault="004D34AF" w:rsidP="00E826B9">
      <w:pPr>
        <w:pStyle w:val="ListParagraph"/>
        <w:numPr>
          <w:ilvl w:val="0"/>
          <w:numId w:val="6"/>
        </w:numPr>
        <w:spacing w:after="0"/>
        <w:ind w:left="0" w:firstLine="0"/>
        <w:jc w:val="both"/>
        <w:rPr>
          <w:rFonts w:ascii="Calibri" w:hAnsi="Calibri"/>
          <w:sz w:val="24"/>
        </w:rPr>
      </w:pPr>
      <w:r w:rsidRPr="008F3C51">
        <w:rPr>
          <w:rFonts w:ascii="Calibri" w:hAnsi="Calibri"/>
          <w:b/>
          <w:sz w:val="24"/>
        </w:rPr>
        <w:t>T</w:t>
      </w:r>
      <w:r w:rsidR="0016696D" w:rsidRPr="008F3C51">
        <w:rPr>
          <w:rFonts w:ascii="Calibri" w:hAnsi="Calibri"/>
          <w:b/>
          <w:sz w:val="24"/>
        </w:rPr>
        <w:t>hese l</w:t>
      </w:r>
      <w:r w:rsidRPr="008F3C51">
        <w:rPr>
          <w:rFonts w:ascii="Calibri" w:hAnsi="Calibri"/>
          <w:b/>
          <w:sz w:val="24"/>
        </w:rPr>
        <w:t>imitations may be</w:t>
      </w:r>
      <w:r w:rsidR="00305075" w:rsidRPr="008F3C51">
        <w:rPr>
          <w:rFonts w:ascii="Calibri" w:hAnsi="Calibri"/>
          <w:b/>
          <w:sz w:val="24"/>
        </w:rPr>
        <w:t xml:space="preserve"> </w:t>
      </w:r>
      <w:r w:rsidR="005D2BF3" w:rsidRPr="008F3C51">
        <w:rPr>
          <w:rFonts w:ascii="Calibri" w:hAnsi="Calibri"/>
          <w:b/>
          <w:sz w:val="24"/>
        </w:rPr>
        <w:t>overcome</w:t>
      </w:r>
      <w:r w:rsidR="005D2BF3" w:rsidRPr="004B2A73">
        <w:rPr>
          <w:rFonts w:ascii="Calibri" w:hAnsi="Calibri"/>
          <w:sz w:val="24"/>
        </w:rPr>
        <w:t xml:space="preserve"> i</w:t>
      </w:r>
      <w:r w:rsidRPr="004B2A73">
        <w:rPr>
          <w:rFonts w:ascii="Calibri" w:hAnsi="Calibri"/>
          <w:sz w:val="24"/>
        </w:rPr>
        <w:t>f there is, for example, sufficient competition for the market</w:t>
      </w:r>
      <w:r w:rsidR="002507E0" w:rsidRPr="004B2A73">
        <w:rPr>
          <w:rFonts w:ascii="Calibri" w:hAnsi="Calibri"/>
          <w:sz w:val="24"/>
        </w:rPr>
        <w:t xml:space="preserve"> (by auctioning the right to operate a port or operate within a port)</w:t>
      </w:r>
      <w:r w:rsidRPr="004B2A73">
        <w:rPr>
          <w:rFonts w:ascii="Calibri" w:hAnsi="Calibri"/>
          <w:sz w:val="24"/>
        </w:rPr>
        <w:t xml:space="preserve"> which allows transfer of any monopoly rents to the </w:t>
      </w:r>
      <w:r w:rsidR="001A666E" w:rsidRPr="004B2A73">
        <w:rPr>
          <w:rFonts w:ascii="Calibri" w:hAnsi="Calibri"/>
          <w:sz w:val="24"/>
        </w:rPr>
        <w:t xml:space="preserve">state through the tendering process. Equally, depending on the criteria for the award of the concession, </w:t>
      </w:r>
      <w:r w:rsidR="00FF7CFD" w:rsidRPr="004B2A73">
        <w:rPr>
          <w:rFonts w:ascii="Calibri" w:hAnsi="Calibri"/>
          <w:sz w:val="24"/>
        </w:rPr>
        <w:t>the conceding author</w:t>
      </w:r>
      <w:r w:rsidR="00652ECB" w:rsidRPr="004B2A73">
        <w:rPr>
          <w:rFonts w:ascii="Calibri" w:hAnsi="Calibri"/>
          <w:sz w:val="24"/>
        </w:rPr>
        <w:t>ity could</w:t>
      </w:r>
      <w:r w:rsidR="00FF7CFD" w:rsidRPr="004B2A73">
        <w:rPr>
          <w:rFonts w:ascii="Calibri" w:hAnsi="Calibri"/>
          <w:sz w:val="24"/>
        </w:rPr>
        <w:t xml:space="preserve"> decide to </w:t>
      </w:r>
      <w:r w:rsidR="001A666E" w:rsidRPr="004B2A73">
        <w:rPr>
          <w:rFonts w:ascii="Calibri" w:hAnsi="Calibri"/>
          <w:sz w:val="24"/>
        </w:rPr>
        <w:t xml:space="preserve">limit </w:t>
      </w:r>
      <w:r w:rsidR="006C060A" w:rsidRPr="004B2A73">
        <w:rPr>
          <w:rFonts w:ascii="Calibri" w:hAnsi="Calibri"/>
          <w:sz w:val="24"/>
        </w:rPr>
        <w:t xml:space="preserve">tariffs </w:t>
      </w:r>
      <w:r w:rsidR="002F4D51" w:rsidRPr="004B2A73">
        <w:rPr>
          <w:rFonts w:ascii="Calibri" w:hAnsi="Calibri"/>
          <w:sz w:val="24"/>
        </w:rPr>
        <w:t xml:space="preserve">rather than </w:t>
      </w:r>
      <w:r w:rsidR="006C060A" w:rsidRPr="004B2A73">
        <w:rPr>
          <w:rFonts w:ascii="Calibri" w:hAnsi="Calibri"/>
          <w:sz w:val="24"/>
        </w:rPr>
        <w:t>maximize revenue to the state</w:t>
      </w:r>
      <w:r w:rsidR="00613C87" w:rsidRPr="004B2A73">
        <w:rPr>
          <w:rFonts w:ascii="Calibri" w:hAnsi="Calibri"/>
          <w:sz w:val="24"/>
        </w:rPr>
        <w:t xml:space="preserve"> again improving the outcome.  </w:t>
      </w:r>
      <w:r w:rsidR="00FC74D1" w:rsidRPr="004B2A73">
        <w:rPr>
          <w:rFonts w:ascii="Calibri" w:hAnsi="Calibri"/>
          <w:sz w:val="24"/>
        </w:rPr>
        <w:t>C</w:t>
      </w:r>
      <w:r w:rsidR="005263E9" w:rsidRPr="004B2A73">
        <w:rPr>
          <w:rFonts w:ascii="Calibri" w:hAnsi="Calibri"/>
          <w:sz w:val="24"/>
        </w:rPr>
        <w:t>ompetition for the market occurs at discrete points in time</w:t>
      </w:r>
      <w:r w:rsidR="00FC74D1" w:rsidRPr="004B2A73">
        <w:rPr>
          <w:rFonts w:ascii="Calibri" w:hAnsi="Calibri"/>
          <w:sz w:val="24"/>
        </w:rPr>
        <w:t xml:space="preserve"> while </w:t>
      </w:r>
      <w:r w:rsidR="005263E9" w:rsidRPr="004B2A73">
        <w:rPr>
          <w:rFonts w:ascii="Calibri" w:hAnsi="Calibri"/>
          <w:sz w:val="24"/>
        </w:rPr>
        <w:t xml:space="preserve">performance improvements can </w:t>
      </w:r>
      <w:r w:rsidR="00FC74D1" w:rsidRPr="004B2A73">
        <w:rPr>
          <w:rFonts w:ascii="Calibri" w:hAnsi="Calibri"/>
          <w:sz w:val="24"/>
        </w:rPr>
        <w:t xml:space="preserve">also </w:t>
      </w:r>
      <w:r w:rsidR="005263E9" w:rsidRPr="004B2A73">
        <w:rPr>
          <w:rFonts w:ascii="Calibri" w:hAnsi="Calibri"/>
          <w:sz w:val="24"/>
        </w:rPr>
        <w:t xml:space="preserve">be </w:t>
      </w:r>
      <w:r w:rsidR="00EA4F01" w:rsidRPr="004B2A73">
        <w:rPr>
          <w:rFonts w:ascii="Calibri" w:hAnsi="Calibri"/>
          <w:sz w:val="24"/>
        </w:rPr>
        <w:t>built into</w:t>
      </w:r>
      <w:r w:rsidR="00FC74D1" w:rsidRPr="004B2A73">
        <w:rPr>
          <w:rFonts w:ascii="Calibri" w:hAnsi="Calibri"/>
          <w:sz w:val="24"/>
        </w:rPr>
        <w:t>,</w:t>
      </w:r>
      <w:r w:rsidR="00EA4F01" w:rsidRPr="004B2A73">
        <w:rPr>
          <w:rFonts w:ascii="Calibri" w:hAnsi="Calibri"/>
          <w:sz w:val="24"/>
        </w:rPr>
        <w:t xml:space="preserve"> and enforced via</w:t>
      </w:r>
      <w:r w:rsidR="00FC74D1" w:rsidRPr="004B2A73">
        <w:rPr>
          <w:rFonts w:ascii="Calibri" w:hAnsi="Calibri"/>
          <w:sz w:val="24"/>
        </w:rPr>
        <w:t>,</w:t>
      </w:r>
      <w:r w:rsidR="00EA4F01" w:rsidRPr="004B2A73">
        <w:rPr>
          <w:rFonts w:ascii="Calibri" w:hAnsi="Calibri"/>
          <w:sz w:val="24"/>
        </w:rPr>
        <w:t xml:space="preserve"> good contract document</w:t>
      </w:r>
      <w:r w:rsidR="00FC74D1" w:rsidRPr="004B2A73">
        <w:rPr>
          <w:rFonts w:ascii="Calibri" w:hAnsi="Calibri"/>
          <w:sz w:val="24"/>
        </w:rPr>
        <w:t>s</w:t>
      </w:r>
      <w:r w:rsidR="00EA4F01" w:rsidRPr="004B2A73">
        <w:rPr>
          <w:rFonts w:ascii="Calibri" w:hAnsi="Calibri"/>
          <w:sz w:val="24"/>
        </w:rPr>
        <w:t xml:space="preserve"> and </w:t>
      </w:r>
      <w:r w:rsidR="00F506F4">
        <w:rPr>
          <w:rFonts w:ascii="Calibri" w:hAnsi="Calibri"/>
          <w:sz w:val="24"/>
        </w:rPr>
        <w:t xml:space="preserve">appropriate </w:t>
      </w:r>
      <w:r w:rsidR="00EA4F01" w:rsidRPr="004B2A73">
        <w:rPr>
          <w:rFonts w:ascii="Calibri" w:hAnsi="Calibri"/>
          <w:sz w:val="24"/>
        </w:rPr>
        <w:t xml:space="preserve">management through the life of the concession. </w:t>
      </w:r>
      <w:r w:rsidR="00490E97" w:rsidRPr="004B2A73">
        <w:rPr>
          <w:rFonts w:ascii="Calibri" w:hAnsi="Calibri"/>
          <w:sz w:val="24"/>
        </w:rPr>
        <w:t xml:space="preserve">To obtain these results, </w:t>
      </w:r>
      <w:r w:rsidR="00D86BDF" w:rsidRPr="004B2A73">
        <w:rPr>
          <w:rFonts w:ascii="Calibri" w:hAnsi="Calibri"/>
          <w:sz w:val="24"/>
        </w:rPr>
        <w:t xml:space="preserve">the focus has to be on </w:t>
      </w:r>
      <w:r w:rsidR="00DF2F07" w:rsidRPr="004B2A73">
        <w:rPr>
          <w:rFonts w:ascii="Calibri" w:hAnsi="Calibri"/>
          <w:sz w:val="24"/>
        </w:rPr>
        <w:t xml:space="preserve">(i) </w:t>
      </w:r>
      <w:r w:rsidR="007F280B" w:rsidRPr="004B2A73">
        <w:rPr>
          <w:rFonts w:ascii="Calibri" w:hAnsi="Calibri"/>
          <w:sz w:val="24"/>
        </w:rPr>
        <w:t xml:space="preserve">improving the </w:t>
      </w:r>
      <w:r w:rsidR="007F280B" w:rsidRPr="004B2A73">
        <w:rPr>
          <w:rFonts w:ascii="Calibri" w:hAnsi="Calibri"/>
          <w:i/>
          <w:sz w:val="24"/>
        </w:rPr>
        <w:t>concession</w:t>
      </w:r>
      <w:r w:rsidR="005B5FE7" w:rsidRPr="004B2A73">
        <w:rPr>
          <w:rFonts w:ascii="Calibri" w:hAnsi="Calibri"/>
          <w:i/>
          <w:sz w:val="24"/>
        </w:rPr>
        <w:t xml:space="preserve"> process, (ii) </w:t>
      </w:r>
      <w:r w:rsidR="00DF2F07" w:rsidRPr="004B2A73">
        <w:rPr>
          <w:rFonts w:ascii="Calibri" w:hAnsi="Calibri"/>
          <w:sz w:val="24"/>
        </w:rPr>
        <w:t xml:space="preserve">getting the </w:t>
      </w:r>
      <w:r w:rsidR="00D86BDF" w:rsidRPr="004B2A73">
        <w:rPr>
          <w:rFonts w:ascii="Calibri" w:hAnsi="Calibri"/>
          <w:i/>
          <w:sz w:val="24"/>
        </w:rPr>
        <w:t>competition framework</w:t>
      </w:r>
      <w:r w:rsidR="00D86BDF" w:rsidRPr="004B2A73">
        <w:rPr>
          <w:rFonts w:ascii="Calibri" w:hAnsi="Calibri"/>
          <w:sz w:val="24"/>
        </w:rPr>
        <w:t xml:space="preserve"> right, and </w:t>
      </w:r>
      <w:r w:rsidR="007F280B" w:rsidRPr="004B2A73">
        <w:rPr>
          <w:rFonts w:ascii="Calibri" w:hAnsi="Calibri"/>
          <w:sz w:val="24"/>
        </w:rPr>
        <w:t xml:space="preserve">(iii) </w:t>
      </w:r>
      <w:r w:rsidR="00D86BDF" w:rsidRPr="004B2A73">
        <w:rPr>
          <w:rFonts w:ascii="Calibri" w:hAnsi="Calibri"/>
          <w:sz w:val="24"/>
        </w:rPr>
        <w:t xml:space="preserve">strengthening the </w:t>
      </w:r>
      <w:r w:rsidR="00D86BDF" w:rsidRPr="004B2A73">
        <w:rPr>
          <w:rFonts w:ascii="Calibri" w:hAnsi="Calibri"/>
          <w:i/>
          <w:sz w:val="24"/>
        </w:rPr>
        <w:t>concession contract</w:t>
      </w:r>
      <w:r w:rsidR="00D86BDF" w:rsidRPr="004B2A73">
        <w:rPr>
          <w:rFonts w:ascii="Calibri" w:hAnsi="Calibri"/>
          <w:sz w:val="24"/>
        </w:rPr>
        <w:t xml:space="preserve"> documents. </w:t>
      </w:r>
      <w:r w:rsidR="00B11006" w:rsidRPr="004B2A73">
        <w:rPr>
          <w:rFonts w:ascii="Calibri" w:hAnsi="Calibri"/>
          <w:sz w:val="24"/>
        </w:rPr>
        <w:t xml:space="preserve"> </w:t>
      </w:r>
      <w:r w:rsidR="00A035B2" w:rsidRPr="004B2A73">
        <w:rPr>
          <w:rFonts w:ascii="Calibri" w:hAnsi="Calibri"/>
          <w:sz w:val="24"/>
        </w:rPr>
        <w:t>In addition, competitive outcomes can be achieved through an assessment of the relative and a</w:t>
      </w:r>
      <w:r w:rsidR="000270B1">
        <w:rPr>
          <w:rFonts w:ascii="Calibri" w:hAnsi="Calibri"/>
          <w:sz w:val="24"/>
        </w:rPr>
        <w:t>bsolute performance of each concession</w:t>
      </w:r>
      <w:r w:rsidR="00A035B2" w:rsidRPr="004B2A73">
        <w:rPr>
          <w:rFonts w:ascii="Calibri" w:hAnsi="Calibri"/>
          <w:sz w:val="24"/>
        </w:rPr>
        <w:t>, that is,</w:t>
      </w:r>
      <w:r w:rsidR="00B11006" w:rsidRPr="004B2A73">
        <w:rPr>
          <w:rFonts w:ascii="Calibri" w:hAnsi="Calibri"/>
          <w:sz w:val="24"/>
        </w:rPr>
        <w:t xml:space="preserve"> (iv)</w:t>
      </w:r>
      <w:r w:rsidR="00A035B2" w:rsidRPr="004B2A73">
        <w:rPr>
          <w:rFonts w:ascii="Calibri" w:hAnsi="Calibri"/>
          <w:sz w:val="24"/>
        </w:rPr>
        <w:t xml:space="preserve"> </w:t>
      </w:r>
      <w:r w:rsidR="00B11006" w:rsidRPr="004B2A73">
        <w:rPr>
          <w:rFonts w:ascii="Calibri" w:hAnsi="Calibri"/>
          <w:i/>
          <w:sz w:val="24"/>
        </w:rPr>
        <w:t>yardstick competition</w:t>
      </w:r>
      <w:r w:rsidR="00B11006" w:rsidRPr="004B2A73">
        <w:rPr>
          <w:rFonts w:ascii="Calibri" w:hAnsi="Calibri"/>
          <w:sz w:val="24"/>
        </w:rPr>
        <w:t>.</w:t>
      </w:r>
    </w:p>
    <w:p w14:paraId="6966690E" w14:textId="77777777" w:rsidR="0069125F" w:rsidRPr="004B2A73" w:rsidRDefault="0069125F" w:rsidP="00421888">
      <w:pPr>
        <w:pStyle w:val="ListParagraph"/>
        <w:spacing w:after="0"/>
        <w:ind w:left="0"/>
        <w:rPr>
          <w:rFonts w:ascii="Calibri" w:hAnsi="Calibri"/>
          <w:sz w:val="24"/>
        </w:rPr>
      </w:pPr>
    </w:p>
    <w:p w14:paraId="18D9347A" w14:textId="77777777" w:rsidR="0069125F" w:rsidRPr="004B2A73" w:rsidRDefault="0069125F" w:rsidP="00E826B9">
      <w:pPr>
        <w:pStyle w:val="ListParagraph"/>
        <w:numPr>
          <w:ilvl w:val="0"/>
          <w:numId w:val="6"/>
        </w:numPr>
        <w:spacing w:after="0"/>
        <w:ind w:left="0" w:firstLine="0"/>
        <w:jc w:val="both"/>
        <w:rPr>
          <w:rFonts w:ascii="Calibri" w:hAnsi="Calibri"/>
          <w:sz w:val="24"/>
          <w:lang w:val="en-GB"/>
        </w:rPr>
      </w:pPr>
      <w:r w:rsidRPr="008F3C51">
        <w:rPr>
          <w:rFonts w:ascii="Calibri" w:hAnsi="Calibri"/>
          <w:b/>
          <w:sz w:val="24"/>
          <w:lang w:val="en-GB"/>
        </w:rPr>
        <w:t>With the growth of port traffic and the upcoming renewal of existing concessions, it is critical to revisit now the concession process</w:t>
      </w:r>
      <w:r w:rsidRPr="004B2A73">
        <w:rPr>
          <w:rFonts w:ascii="Calibri" w:hAnsi="Calibri"/>
          <w:sz w:val="24"/>
          <w:lang w:val="en-GB"/>
        </w:rPr>
        <w:t xml:space="preserve"> to better manage the next wave</w:t>
      </w:r>
      <w:r w:rsidR="00AC2CAC" w:rsidRPr="004B2A73">
        <w:rPr>
          <w:rFonts w:ascii="Calibri" w:hAnsi="Calibri"/>
          <w:sz w:val="24"/>
          <w:lang w:val="en-GB"/>
        </w:rPr>
        <w:t xml:space="preserve"> of co</w:t>
      </w:r>
      <w:r w:rsidR="00142E93" w:rsidRPr="004B2A73">
        <w:rPr>
          <w:rFonts w:ascii="Calibri" w:hAnsi="Calibri"/>
          <w:sz w:val="24"/>
          <w:lang w:val="en-GB"/>
        </w:rPr>
        <w:t>n</w:t>
      </w:r>
      <w:r w:rsidR="00AC2CAC" w:rsidRPr="004B2A73">
        <w:rPr>
          <w:rFonts w:ascii="Calibri" w:hAnsi="Calibri"/>
          <w:sz w:val="24"/>
          <w:lang w:val="en-GB"/>
        </w:rPr>
        <w:t>c</w:t>
      </w:r>
      <w:r w:rsidR="00142E93" w:rsidRPr="004B2A73">
        <w:rPr>
          <w:rFonts w:ascii="Calibri" w:hAnsi="Calibri"/>
          <w:sz w:val="24"/>
          <w:lang w:val="en-GB"/>
        </w:rPr>
        <w:t>essions</w:t>
      </w:r>
      <w:r w:rsidRPr="004B2A73">
        <w:rPr>
          <w:rFonts w:ascii="Calibri" w:hAnsi="Calibri"/>
          <w:sz w:val="24"/>
          <w:lang w:val="en-GB"/>
        </w:rPr>
        <w:t xml:space="preserve">.  Adequate resources need to be set aside to access the necessary expertise to supplement public capacity to negotiate concession agreements, </w:t>
      </w:r>
      <w:r w:rsidR="004B067B">
        <w:rPr>
          <w:rFonts w:ascii="Calibri" w:hAnsi="Calibri"/>
          <w:sz w:val="24"/>
          <w:lang w:val="en-GB"/>
        </w:rPr>
        <w:t xml:space="preserve">to </w:t>
      </w:r>
      <w:r w:rsidR="008D5FD6">
        <w:rPr>
          <w:rFonts w:ascii="Calibri" w:hAnsi="Calibri"/>
          <w:sz w:val="24"/>
          <w:lang w:val="en-GB"/>
        </w:rPr>
        <w:t xml:space="preserve">consider barring incumbent operators from bidding for additional terminals in a given port, </w:t>
      </w:r>
      <w:r w:rsidRPr="004B2A73">
        <w:rPr>
          <w:rFonts w:ascii="Calibri" w:hAnsi="Calibri"/>
          <w:sz w:val="24"/>
          <w:lang w:val="en-GB"/>
        </w:rPr>
        <w:t xml:space="preserve">to conduct transparent bidding processes which allow fair competition for the market and offer equal opportunities to new entrants, and to recalibrate the criteria for contract award towards economic impact as opposed to pure financial returns.  In certain circumstances a negotiated process </w:t>
      </w:r>
      <w:r w:rsidR="00AD5D37" w:rsidRPr="004B2A73">
        <w:rPr>
          <w:rFonts w:ascii="Calibri" w:hAnsi="Calibri"/>
          <w:sz w:val="24"/>
          <w:lang w:val="en-GB"/>
        </w:rPr>
        <w:t>could be</w:t>
      </w:r>
      <w:r w:rsidRPr="004B2A73">
        <w:rPr>
          <w:rFonts w:ascii="Calibri" w:hAnsi="Calibri"/>
          <w:sz w:val="24"/>
          <w:lang w:val="en-GB"/>
        </w:rPr>
        <w:t xml:space="preserve"> warranted notably when TOCs and shipping lines join forces to promote a transhipment terminal. </w:t>
      </w:r>
    </w:p>
    <w:p w14:paraId="5FBEDF7F" w14:textId="77777777" w:rsidR="0069125F" w:rsidRPr="004B2A73" w:rsidRDefault="0069125F" w:rsidP="00421888">
      <w:pPr>
        <w:pStyle w:val="ListParagraph"/>
        <w:spacing w:after="0"/>
        <w:ind w:left="0"/>
        <w:rPr>
          <w:rFonts w:ascii="Calibri" w:hAnsi="Calibri"/>
          <w:sz w:val="24"/>
        </w:rPr>
      </w:pPr>
    </w:p>
    <w:p w14:paraId="3890E74D" w14:textId="77777777" w:rsidR="00D86BDF" w:rsidRPr="004B2A73" w:rsidRDefault="00D86BDF" w:rsidP="00E826B9">
      <w:pPr>
        <w:pStyle w:val="ListParagraph"/>
        <w:numPr>
          <w:ilvl w:val="0"/>
          <w:numId w:val="6"/>
        </w:numPr>
        <w:spacing w:after="0"/>
        <w:ind w:left="0" w:firstLine="0"/>
        <w:jc w:val="both"/>
        <w:rPr>
          <w:rFonts w:ascii="Calibri" w:hAnsi="Calibri"/>
          <w:sz w:val="24"/>
          <w:lang w:val="en-GB"/>
        </w:rPr>
      </w:pPr>
      <w:r w:rsidRPr="008F3C51">
        <w:rPr>
          <w:rFonts w:ascii="Calibri" w:hAnsi="Calibri"/>
          <w:b/>
          <w:sz w:val="24"/>
          <w:lang w:val="en-GB"/>
        </w:rPr>
        <w:t xml:space="preserve">There </w:t>
      </w:r>
      <w:r w:rsidR="00E04A05" w:rsidRPr="008F3C51">
        <w:rPr>
          <w:rFonts w:ascii="Calibri" w:hAnsi="Calibri"/>
          <w:b/>
          <w:sz w:val="24"/>
          <w:lang w:val="en-GB"/>
        </w:rPr>
        <w:t xml:space="preserve">also </w:t>
      </w:r>
      <w:r w:rsidRPr="008F3C51">
        <w:rPr>
          <w:rFonts w:ascii="Calibri" w:hAnsi="Calibri"/>
          <w:b/>
          <w:sz w:val="24"/>
          <w:lang w:val="en-GB"/>
        </w:rPr>
        <w:t>has to be clarity in who is responsible for regulating the CT concessions</w:t>
      </w:r>
      <w:r w:rsidRPr="004B2A73">
        <w:rPr>
          <w:rFonts w:ascii="Calibri" w:hAnsi="Calibri"/>
          <w:sz w:val="24"/>
          <w:lang w:val="en-GB"/>
        </w:rPr>
        <w:t xml:space="preserve">. There are alternative options to dedicated competition authorities: at regional and national level several existing institutions have some form of mandate in transport and corridor performance (regional economic communities, corridor institutions, industry associations, facilitation committees etc.).  Countries and RECs which established them should expand their mandate to include port terminal concession oversight and tariff regulation. </w:t>
      </w:r>
    </w:p>
    <w:p w14:paraId="2A06387C" w14:textId="77777777" w:rsidR="00D86BDF" w:rsidRPr="004B2A73" w:rsidRDefault="00D86BDF" w:rsidP="00D86BDF">
      <w:pPr>
        <w:pStyle w:val="ListParagraph"/>
        <w:spacing w:after="0"/>
        <w:ind w:left="0"/>
        <w:rPr>
          <w:rFonts w:ascii="Calibri" w:hAnsi="Calibri"/>
          <w:sz w:val="24"/>
          <w:lang w:val="en-GB"/>
        </w:rPr>
      </w:pPr>
    </w:p>
    <w:p w14:paraId="6CB27924" w14:textId="049E0DC5" w:rsidR="00D05826" w:rsidRPr="00D05826" w:rsidRDefault="00912073" w:rsidP="00E826B9">
      <w:pPr>
        <w:pStyle w:val="ListParagraph"/>
        <w:numPr>
          <w:ilvl w:val="0"/>
          <w:numId w:val="6"/>
        </w:numPr>
        <w:spacing w:after="0"/>
        <w:ind w:left="0" w:firstLine="0"/>
        <w:jc w:val="both"/>
        <w:rPr>
          <w:rFonts w:ascii="Calibri" w:hAnsi="Calibri"/>
          <w:sz w:val="24"/>
        </w:rPr>
      </w:pPr>
      <w:r w:rsidRPr="00912073">
        <w:rPr>
          <w:rFonts w:ascii="Calibri" w:hAnsi="Calibri"/>
          <w:b/>
          <w:sz w:val="24"/>
        </w:rPr>
        <w:t>Strengthening the concession contract documents for future concession, while improving what can be improved in the current ones</w:t>
      </w:r>
      <w:r w:rsidR="008F3C51">
        <w:rPr>
          <w:rFonts w:ascii="Calibri" w:hAnsi="Calibri"/>
          <w:sz w:val="24"/>
          <w:lang w:val="en-GB"/>
        </w:rPr>
        <w:t>. When appropriate, i</w:t>
      </w:r>
      <w:r w:rsidR="00D86BDF" w:rsidRPr="004B2A73">
        <w:rPr>
          <w:rFonts w:ascii="Calibri" w:hAnsi="Calibri"/>
          <w:sz w:val="24"/>
          <w:lang w:val="en-GB"/>
        </w:rPr>
        <w:t>rrespective of the process employed to contract a concessionaire,</w:t>
      </w:r>
      <w:r w:rsidR="008F3C51">
        <w:rPr>
          <w:rFonts w:ascii="Calibri" w:hAnsi="Calibri"/>
          <w:sz w:val="24"/>
          <w:lang w:val="en-GB"/>
        </w:rPr>
        <w:t xml:space="preserve"> </w:t>
      </w:r>
      <w:r w:rsidR="00D86BDF" w:rsidRPr="004B2A73">
        <w:rPr>
          <w:rFonts w:ascii="Calibri" w:hAnsi="Calibri"/>
          <w:sz w:val="24"/>
          <w:lang w:val="en-GB"/>
        </w:rPr>
        <w:t xml:space="preserve">revision of current contracts documents </w:t>
      </w:r>
      <w:r w:rsidR="00311FEE" w:rsidRPr="0079778E">
        <w:rPr>
          <w:rFonts w:ascii="Calibri" w:hAnsi="Calibri"/>
          <w:sz w:val="24"/>
          <w:szCs w:val="24"/>
          <w:lang w:val="en-GB"/>
        </w:rPr>
        <w:t xml:space="preserve">- as part of the renegotiation clauses if and when they exist, </w:t>
      </w:r>
      <w:r w:rsidR="008F3C51">
        <w:rPr>
          <w:rFonts w:ascii="Calibri" w:hAnsi="Calibri"/>
          <w:sz w:val="24"/>
          <w:szCs w:val="24"/>
          <w:lang w:val="en-GB"/>
        </w:rPr>
        <w:t>may be considered by Governments</w:t>
      </w:r>
      <w:r w:rsidR="00311FEE" w:rsidRPr="0079778E">
        <w:rPr>
          <w:rFonts w:ascii="Calibri" w:hAnsi="Calibri"/>
          <w:sz w:val="24"/>
          <w:szCs w:val="24"/>
          <w:lang w:val="en-GB"/>
        </w:rPr>
        <w:t xml:space="preserve"> to reduce port tariffs, improve competitiveness, and allow meaningful monitoring of performance. Such revisions should improve the distribution of benefits amongst stakeholders: reduction in tariffs could reduce government revenues but would benefit shippers and generate positive spill over effects into the local economy.</w:t>
      </w:r>
      <w:r w:rsidR="00311FEE">
        <w:rPr>
          <w:rFonts w:ascii="Calibri" w:hAnsi="Calibri"/>
          <w:sz w:val="24"/>
          <w:szCs w:val="24"/>
          <w:lang w:val="en-GB"/>
        </w:rPr>
        <w:t xml:space="preserve"> </w:t>
      </w:r>
      <w:r w:rsidR="00D86BDF" w:rsidRPr="004B2A73">
        <w:rPr>
          <w:rFonts w:ascii="Calibri" w:hAnsi="Calibri"/>
          <w:sz w:val="24"/>
          <w:szCs w:val="24"/>
        </w:rPr>
        <w:t xml:space="preserve">Since there is an inherent asymmetry of power and negotiating </w:t>
      </w:r>
      <w:r w:rsidR="00D86BDF" w:rsidRPr="004B2A73">
        <w:rPr>
          <w:rFonts w:ascii="Calibri" w:hAnsi="Calibri"/>
          <w:sz w:val="24"/>
          <w:szCs w:val="24"/>
        </w:rPr>
        <w:lastRenderedPageBreak/>
        <w:t xml:space="preserve">capacity between the ultimate clients of the ports and the TOCs, systematically disclosing operational and cost information to the general public provides an opportunity to bring together the virtual constituency of regional port users.  </w:t>
      </w:r>
    </w:p>
    <w:p w14:paraId="0A187D80" w14:textId="77777777" w:rsidR="00D05826" w:rsidRPr="00D05826" w:rsidRDefault="00D05826" w:rsidP="00D05826">
      <w:pPr>
        <w:spacing w:after="0"/>
        <w:jc w:val="both"/>
        <w:rPr>
          <w:rFonts w:ascii="Calibri" w:hAnsi="Calibri"/>
          <w:sz w:val="24"/>
          <w:szCs w:val="24"/>
        </w:rPr>
      </w:pPr>
    </w:p>
    <w:p w14:paraId="4BB1B9C6" w14:textId="47ED24FD" w:rsidR="00D86BDF" w:rsidRPr="004B2A73" w:rsidRDefault="00D05826" w:rsidP="00E826B9">
      <w:pPr>
        <w:pStyle w:val="ListParagraph"/>
        <w:numPr>
          <w:ilvl w:val="0"/>
          <w:numId w:val="6"/>
        </w:numPr>
        <w:spacing w:after="0"/>
        <w:ind w:left="0" w:firstLine="0"/>
        <w:jc w:val="both"/>
        <w:rPr>
          <w:rFonts w:ascii="Calibri" w:hAnsi="Calibri"/>
          <w:sz w:val="24"/>
        </w:rPr>
      </w:pPr>
      <w:r w:rsidRPr="00D05826">
        <w:rPr>
          <w:rFonts w:ascii="Calibri" w:hAnsi="Calibri"/>
          <w:b/>
          <w:sz w:val="24"/>
          <w:szCs w:val="24"/>
        </w:rPr>
        <w:t>Transparency and Regional Comparisons</w:t>
      </w:r>
      <w:r>
        <w:rPr>
          <w:rFonts w:ascii="Calibri" w:hAnsi="Calibri"/>
          <w:sz w:val="24"/>
          <w:szCs w:val="24"/>
        </w:rPr>
        <w:t xml:space="preserve">. </w:t>
      </w:r>
      <w:r w:rsidR="00D86BDF" w:rsidRPr="004B2A73">
        <w:rPr>
          <w:rFonts w:ascii="Calibri" w:hAnsi="Calibri"/>
          <w:sz w:val="24"/>
          <w:szCs w:val="24"/>
        </w:rPr>
        <w:t xml:space="preserve">Generalizing the publication of tariffs and key performance indicators is the first step to improve transparency and facilitate policymaking.  Then one could think of ways to formalize customer feedback loops by including specific provisions to this effect in concession agreements, complemented by mandatory disclosure provisions.  The data collected through these systematic feedback processes at the local port level could then form the basis for a region-wide database that would allow meaningful comparisons between facilities and also hopefully nurture some emulation between them.  </w:t>
      </w:r>
    </w:p>
    <w:p w14:paraId="7C30BAC4" w14:textId="77777777" w:rsidR="00D86BDF" w:rsidRPr="004B2A73" w:rsidRDefault="00D86BDF" w:rsidP="00D86BDF">
      <w:pPr>
        <w:pStyle w:val="ListParagraph"/>
        <w:spacing w:after="0"/>
        <w:ind w:left="0"/>
        <w:rPr>
          <w:rFonts w:ascii="Calibri" w:hAnsi="Calibri"/>
          <w:sz w:val="24"/>
          <w:lang w:val="en-GB"/>
        </w:rPr>
      </w:pPr>
    </w:p>
    <w:p w14:paraId="7479E93C" w14:textId="6FB0DABE" w:rsidR="000D1CBD" w:rsidRDefault="00D05826" w:rsidP="00E826B9">
      <w:pPr>
        <w:pStyle w:val="ListParagraph"/>
        <w:numPr>
          <w:ilvl w:val="0"/>
          <w:numId w:val="6"/>
        </w:numPr>
        <w:spacing w:after="0"/>
        <w:ind w:left="0" w:firstLine="0"/>
        <w:jc w:val="both"/>
        <w:rPr>
          <w:rFonts w:ascii="Calibri" w:hAnsi="Calibri"/>
          <w:sz w:val="24"/>
        </w:rPr>
      </w:pPr>
      <w:r w:rsidRPr="00D05826">
        <w:rPr>
          <w:rFonts w:ascii="Calibri" w:hAnsi="Calibri"/>
          <w:b/>
          <w:sz w:val="24"/>
        </w:rPr>
        <w:t>Improved Concessions Performance Indicators Monitoring</w:t>
      </w:r>
      <w:r>
        <w:rPr>
          <w:rFonts w:ascii="Calibri" w:hAnsi="Calibri"/>
          <w:sz w:val="24"/>
        </w:rPr>
        <w:t xml:space="preserve">. </w:t>
      </w:r>
      <w:r w:rsidR="00405756" w:rsidRPr="004B2A73">
        <w:rPr>
          <w:rFonts w:ascii="Calibri" w:hAnsi="Calibri"/>
          <w:sz w:val="24"/>
        </w:rPr>
        <w:t>Cur</w:t>
      </w:r>
      <w:r w:rsidR="00A44574" w:rsidRPr="004B2A73">
        <w:rPr>
          <w:rFonts w:ascii="Calibri" w:hAnsi="Calibri"/>
          <w:sz w:val="24"/>
        </w:rPr>
        <w:t>rently</w:t>
      </w:r>
      <w:r w:rsidR="00CA79D9" w:rsidRPr="004B2A73">
        <w:rPr>
          <w:rFonts w:ascii="Calibri" w:hAnsi="Calibri"/>
          <w:sz w:val="24"/>
        </w:rPr>
        <w:t xml:space="preserve"> productivity measures included in contra</w:t>
      </w:r>
      <w:r w:rsidR="00405756" w:rsidRPr="004B2A73">
        <w:rPr>
          <w:rFonts w:ascii="Calibri" w:hAnsi="Calibri"/>
          <w:sz w:val="24"/>
        </w:rPr>
        <w:t>ct documents are ad hoc</w:t>
      </w:r>
      <w:r w:rsidR="0029052E" w:rsidRPr="004B2A73">
        <w:rPr>
          <w:rFonts w:ascii="Calibri" w:hAnsi="Calibri"/>
          <w:sz w:val="24"/>
        </w:rPr>
        <w:t>, partial</w:t>
      </w:r>
      <w:r w:rsidR="00405756" w:rsidRPr="004B2A73">
        <w:rPr>
          <w:rFonts w:ascii="Calibri" w:hAnsi="Calibri"/>
          <w:sz w:val="24"/>
        </w:rPr>
        <w:t xml:space="preserve"> and ill-</w:t>
      </w:r>
      <w:r w:rsidR="00CA79D9" w:rsidRPr="004B2A73">
        <w:rPr>
          <w:rFonts w:ascii="Calibri" w:hAnsi="Calibri"/>
          <w:sz w:val="24"/>
        </w:rPr>
        <w:t>defined and can often be misleading in their ranking of ports</w:t>
      </w:r>
      <w:r w:rsidR="00832393">
        <w:rPr>
          <w:rFonts w:ascii="Calibri" w:hAnsi="Calibri"/>
          <w:sz w:val="24"/>
        </w:rPr>
        <w:t xml:space="preserve"> (Estache et al)</w:t>
      </w:r>
      <w:r w:rsidR="00CA79D9" w:rsidRPr="004B2A73">
        <w:rPr>
          <w:rFonts w:ascii="Calibri" w:hAnsi="Calibri"/>
          <w:sz w:val="24"/>
        </w:rPr>
        <w:t xml:space="preserve">. </w:t>
      </w:r>
      <w:r w:rsidR="00CF6DA8" w:rsidRPr="004B2A73">
        <w:rPr>
          <w:rFonts w:ascii="Calibri" w:hAnsi="Calibri"/>
          <w:sz w:val="24"/>
        </w:rPr>
        <w:t>E</w:t>
      </w:r>
      <w:r w:rsidR="00CA79D9" w:rsidRPr="004B2A73">
        <w:rPr>
          <w:rFonts w:ascii="Calibri" w:hAnsi="Calibri"/>
          <w:sz w:val="24"/>
        </w:rPr>
        <w:t>xplicit and standardized measures of efficiency</w:t>
      </w:r>
      <w:r w:rsidR="00CF6DA8" w:rsidRPr="004B2A73">
        <w:rPr>
          <w:rFonts w:ascii="Calibri" w:hAnsi="Calibri"/>
          <w:sz w:val="24"/>
        </w:rPr>
        <w:t xml:space="preserve"> </w:t>
      </w:r>
      <w:r w:rsidR="00FA2EF2" w:rsidRPr="004B2A73">
        <w:rPr>
          <w:rFonts w:ascii="Calibri" w:hAnsi="Calibri"/>
          <w:sz w:val="24"/>
        </w:rPr>
        <w:t xml:space="preserve">such as productivity (output </w:t>
      </w:r>
      <w:r w:rsidR="0029052E" w:rsidRPr="004B2A73">
        <w:rPr>
          <w:rFonts w:ascii="Calibri" w:hAnsi="Calibri"/>
          <w:sz w:val="24"/>
        </w:rPr>
        <w:t>versus time</w:t>
      </w:r>
      <w:r w:rsidR="00FA2EF2" w:rsidRPr="004B2A73">
        <w:rPr>
          <w:rFonts w:ascii="Calibri" w:hAnsi="Calibri"/>
          <w:sz w:val="24"/>
        </w:rPr>
        <w:t>) and cost ef</w:t>
      </w:r>
      <w:r w:rsidR="00BB4F41" w:rsidRPr="004B2A73">
        <w:rPr>
          <w:rFonts w:ascii="Calibri" w:hAnsi="Calibri"/>
          <w:sz w:val="24"/>
        </w:rPr>
        <w:t xml:space="preserve">fectiveness (output </w:t>
      </w:r>
      <w:r w:rsidR="0029052E" w:rsidRPr="004B2A73">
        <w:rPr>
          <w:rFonts w:ascii="Calibri" w:hAnsi="Calibri"/>
          <w:sz w:val="24"/>
        </w:rPr>
        <w:t>versus cost</w:t>
      </w:r>
      <w:r w:rsidR="00BB4F41" w:rsidRPr="004B2A73">
        <w:rPr>
          <w:rFonts w:ascii="Calibri" w:hAnsi="Calibri"/>
          <w:sz w:val="24"/>
        </w:rPr>
        <w:t>)</w:t>
      </w:r>
      <w:r w:rsidR="000D1CBD" w:rsidRPr="004B2A73">
        <w:rPr>
          <w:rFonts w:ascii="Calibri" w:hAnsi="Calibri"/>
          <w:sz w:val="24"/>
        </w:rPr>
        <w:t xml:space="preserve"> have to be developed</w:t>
      </w:r>
      <w:r w:rsidR="00CA79D9" w:rsidRPr="004B2A73">
        <w:rPr>
          <w:rFonts w:ascii="Calibri" w:hAnsi="Calibri"/>
          <w:sz w:val="24"/>
        </w:rPr>
        <w:t xml:space="preserve">. </w:t>
      </w:r>
      <w:r w:rsidR="00612067" w:rsidRPr="004B2A73">
        <w:rPr>
          <w:rFonts w:ascii="Calibri" w:hAnsi="Calibri"/>
          <w:sz w:val="24"/>
        </w:rPr>
        <w:t xml:space="preserve">Collecting </w:t>
      </w:r>
      <w:r w:rsidR="001222EC" w:rsidRPr="004B2A73">
        <w:rPr>
          <w:rFonts w:ascii="Calibri" w:hAnsi="Calibri"/>
          <w:sz w:val="24"/>
        </w:rPr>
        <w:t xml:space="preserve">and publicizing </w:t>
      </w:r>
      <w:r w:rsidR="00612067" w:rsidRPr="004B2A73">
        <w:rPr>
          <w:rFonts w:ascii="Calibri" w:hAnsi="Calibri"/>
          <w:sz w:val="24"/>
        </w:rPr>
        <w:t>data on these indicators over a period of time will permit benchmarking the relative and a</w:t>
      </w:r>
      <w:r w:rsidR="001222EC" w:rsidRPr="004B2A73">
        <w:rPr>
          <w:rFonts w:ascii="Calibri" w:hAnsi="Calibri"/>
          <w:sz w:val="24"/>
        </w:rPr>
        <w:t>bsolute performance of each concessionaire</w:t>
      </w:r>
      <w:r w:rsidR="00065686" w:rsidRPr="004B2A73">
        <w:rPr>
          <w:rFonts w:ascii="Calibri" w:hAnsi="Calibri"/>
          <w:sz w:val="24"/>
        </w:rPr>
        <w:t xml:space="preserve"> and further competition through comparison.</w:t>
      </w:r>
      <w:r w:rsidR="00B306AA" w:rsidRPr="004B2A73">
        <w:rPr>
          <w:rFonts w:ascii="Calibri" w:hAnsi="Calibri"/>
          <w:sz w:val="24"/>
        </w:rPr>
        <w:t xml:space="preserve"> </w:t>
      </w:r>
    </w:p>
    <w:p w14:paraId="4E8659DA" w14:textId="77777777" w:rsidR="004068C5" w:rsidRPr="004068C5" w:rsidRDefault="004068C5" w:rsidP="004068C5">
      <w:pPr>
        <w:spacing w:after="0"/>
        <w:jc w:val="both"/>
        <w:rPr>
          <w:rFonts w:ascii="Calibri" w:hAnsi="Calibri"/>
          <w:sz w:val="24"/>
        </w:rPr>
      </w:pPr>
    </w:p>
    <w:p w14:paraId="2DB9DDFF" w14:textId="79E76EF6" w:rsidR="004068C5" w:rsidRPr="004B2A73" w:rsidRDefault="004068C5" w:rsidP="00E826B9">
      <w:pPr>
        <w:pStyle w:val="ListParagraph"/>
        <w:numPr>
          <w:ilvl w:val="0"/>
          <w:numId w:val="6"/>
        </w:numPr>
        <w:spacing w:after="0"/>
        <w:ind w:left="0" w:firstLine="0"/>
        <w:jc w:val="both"/>
        <w:rPr>
          <w:rFonts w:ascii="Calibri" w:hAnsi="Calibri"/>
          <w:sz w:val="24"/>
        </w:rPr>
      </w:pPr>
      <w:r w:rsidRPr="004068C5">
        <w:rPr>
          <w:rFonts w:ascii="Calibri" w:hAnsi="Calibri"/>
          <w:b/>
          <w:sz w:val="24"/>
        </w:rPr>
        <w:t>Regional perspective</w:t>
      </w:r>
      <w:r>
        <w:rPr>
          <w:rFonts w:ascii="Calibri" w:hAnsi="Calibri"/>
          <w:sz w:val="24"/>
        </w:rPr>
        <w:t>. In order to avoid costly port overcapacity, their future development should be essentially driven by the market, which – most likely -- implies a few regional port hubs servicing the other smaller ports through short sea shipping services. Both ECOWAS and PMAWCA are interested to provide guidance to their country members with a view to optimize the port network along the West Africa Coast. Actually, two studies have just been commissioned by the ECOWAS for that purpose: (i) The socioeconomic of port concessions study (CPCS Consult of Canada to start in July/August 2017); and (ii) the Development of a maritime and port infrastructure master plan for West Africa (MTBS Consultants, started in May 2017).</w:t>
      </w:r>
    </w:p>
    <w:p w14:paraId="06A2B8D0" w14:textId="77777777" w:rsidR="004068C5" w:rsidRPr="004B2A73" w:rsidRDefault="004068C5" w:rsidP="00421888">
      <w:pPr>
        <w:pStyle w:val="ListParagraph"/>
        <w:spacing w:after="0"/>
        <w:ind w:left="0"/>
        <w:rPr>
          <w:rFonts w:ascii="Calibri" w:hAnsi="Calibri"/>
          <w:sz w:val="24"/>
        </w:rPr>
      </w:pPr>
    </w:p>
    <w:p w14:paraId="016F8945" w14:textId="3DC381BE" w:rsidR="00D86BDF" w:rsidRPr="00234978" w:rsidRDefault="00D86BDF" w:rsidP="00E826B9">
      <w:pPr>
        <w:pStyle w:val="ListParagraph"/>
        <w:numPr>
          <w:ilvl w:val="0"/>
          <w:numId w:val="6"/>
        </w:numPr>
        <w:spacing w:after="0"/>
        <w:ind w:left="0" w:firstLine="0"/>
        <w:jc w:val="both"/>
        <w:rPr>
          <w:rFonts w:ascii="Calibri" w:hAnsi="Calibri"/>
          <w:sz w:val="24"/>
        </w:rPr>
      </w:pPr>
      <w:r w:rsidRPr="004B2A73">
        <w:rPr>
          <w:rFonts w:ascii="Calibri" w:hAnsi="Calibri"/>
          <w:b/>
          <w:sz w:val="24"/>
        </w:rPr>
        <w:t>This study has opened the doors for a fresh understanding of the container terminal business in West Africa</w:t>
      </w:r>
      <w:r w:rsidR="00065686" w:rsidRPr="004B2A73">
        <w:rPr>
          <w:rFonts w:ascii="Calibri" w:hAnsi="Calibri"/>
          <w:b/>
          <w:sz w:val="24"/>
        </w:rPr>
        <w:t xml:space="preserve"> and i</w:t>
      </w:r>
      <w:r w:rsidR="00350C12" w:rsidRPr="004B2A73">
        <w:rPr>
          <w:rFonts w:ascii="Calibri" w:hAnsi="Calibri"/>
          <w:b/>
          <w:sz w:val="24"/>
        </w:rPr>
        <w:t>dentified areas for further analysis</w:t>
      </w:r>
      <w:r w:rsidRPr="004B2A73">
        <w:rPr>
          <w:rFonts w:ascii="Calibri" w:hAnsi="Calibri"/>
          <w:b/>
          <w:sz w:val="24"/>
        </w:rPr>
        <w:t xml:space="preserve">.  </w:t>
      </w:r>
      <w:r w:rsidRPr="004B2A73">
        <w:rPr>
          <w:rFonts w:ascii="Calibri" w:hAnsi="Calibri"/>
          <w:sz w:val="24"/>
        </w:rPr>
        <w:t xml:space="preserve">A deeper understanding of the channels of development impact of the </w:t>
      </w:r>
      <w:r w:rsidR="00350C12" w:rsidRPr="004B2A73">
        <w:rPr>
          <w:rFonts w:ascii="Calibri" w:hAnsi="Calibri"/>
          <w:sz w:val="24"/>
        </w:rPr>
        <w:t xml:space="preserve">port </w:t>
      </w:r>
      <w:r w:rsidRPr="004B2A73">
        <w:rPr>
          <w:rFonts w:ascii="Calibri" w:hAnsi="Calibri"/>
          <w:sz w:val="24"/>
        </w:rPr>
        <w:t xml:space="preserve">industry in all of Sub-Saharan Africa is warranted to identify opportunities for maximizing the positive outcomes for the region and the business communities.  The next phase of this work </w:t>
      </w:r>
      <w:r w:rsidR="00234978">
        <w:rPr>
          <w:rFonts w:ascii="Calibri" w:hAnsi="Calibri"/>
          <w:sz w:val="24"/>
        </w:rPr>
        <w:t>should therefore</w:t>
      </w:r>
      <w:r w:rsidR="004A29E1">
        <w:rPr>
          <w:rFonts w:ascii="Calibri" w:hAnsi="Calibri"/>
          <w:sz w:val="24"/>
        </w:rPr>
        <w:t>:</w:t>
      </w:r>
      <w:r w:rsidR="00234978" w:rsidRPr="004B2A73">
        <w:rPr>
          <w:rFonts w:ascii="Calibri" w:hAnsi="Calibri"/>
          <w:sz w:val="24"/>
        </w:rPr>
        <w:t xml:space="preserve"> </w:t>
      </w:r>
      <w:r w:rsidRPr="004B2A73">
        <w:rPr>
          <w:rFonts w:ascii="Calibri" w:hAnsi="Calibri"/>
          <w:sz w:val="24"/>
        </w:rPr>
        <w:t xml:space="preserve">(i) analyze the welfare impacts of prices, quality and service levels seen in the concentrated container terminal markets of SSA and select international comparators; (ii) map the interlinkages between the port sector and the </w:t>
      </w:r>
      <w:r w:rsidRPr="00234978">
        <w:rPr>
          <w:rFonts w:ascii="Calibri" w:hAnsi="Calibri"/>
          <w:sz w:val="24"/>
        </w:rPr>
        <w:t xml:space="preserve">national local economies, and (iii) situate the findings and recommendations in a global context. </w:t>
      </w:r>
    </w:p>
    <w:p w14:paraId="2EF1C02F" w14:textId="77777777" w:rsidR="00D86BDF" w:rsidRPr="00234978" w:rsidRDefault="00D86BDF" w:rsidP="00D86BDF">
      <w:pPr>
        <w:pStyle w:val="ListParagraph"/>
        <w:spacing w:after="0"/>
        <w:ind w:left="0"/>
        <w:rPr>
          <w:rFonts w:ascii="Calibri" w:hAnsi="Calibri"/>
          <w:sz w:val="24"/>
        </w:rPr>
      </w:pPr>
    </w:p>
    <w:p w14:paraId="0B6693AF" w14:textId="77777777" w:rsidR="00D86BDF" w:rsidRPr="004B2A73" w:rsidRDefault="00D86BDF">
      <w:pPr>
        <w:rPr>
          <w:rFonts w:ascii="Calibri" w:eastAsiaTheme="majorEastAsia" w:hAnsi="Calibri" w:cstheme="majorBidi"/>
          <w:color w:val="1F4E79" w:themeColor="accent1" w:themeShade="80"/>
          <w:sz w:val="24"/>
          <w:szCs w:val="36"/>
        </w:rPr>
      </w:pPr>
      <w:r w:rsidRPr="004B2A73">
        <w:rPr>
          <w:rFonts w:ascii="Calibri" w:hAnsi="Calibri"/>
          <w:sz w:val="24"/>
        </w:rPr>
        <w:br w:type="page"/>
      </w:r>
    </w:p>
    <w:p w14:paraId="793C5FEC" w14:textId="477D92F3" w:rsidR="003A26EC" w:rsidRPr="004B2A73" w:rsidRDefault="00107A48" w:rsidP="000B217C">
      <w:pPr>
        <w:pStyle w:val="Heading1"/>
        <w:numPr>
          <w:ilvl w:val="0"/>
          <w:numId w:val="0"/>
        </w:numPr>
      </w:pPr>
      <w:bookmarkStart w:id="126" w:name="_Toc485382005"/>
      <w:r w:rsidRPr="004B2A73">
        <w:lastRenderedPageBreak/>
        <w:t>References</w:t>
      </w:r>
      <w:bookmarkEnd w:id="126"/>
    </w:p>
    <w:p w14:paraId="1C38E3E6"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AfDB. 2010. Reforms and the Regulatory Framework of African Ports. Chapter 3 in </w:t>
      </w:r>
      <w:r w:rsidRPr="004B2A73">
        <w:rPr>
          <w:rFonts w:ascii="Calibri" w:hAnsi="Calibri"/>
          <w:i/>
          <w:sz w:val="24"/>
          <w:szCs w:val="24"/>
        </w:rPr>
        <w:t>African Development Report 2010</w:t>
      </w:r>
      <w:r w:rsidRPr="004B2A73">
        <w:rPr>
          <w:rFonts w:ascii="Calibri" w:hAnsi="Calibri"/>
          <w:sz w:val="24"/>
          <w:szCs w:val="24"/>
        </w:rPr>
        <w:t xml:space="preserve">. African Development Bank. </w:t>
      </w:r>
    </w:p>
    <w:p w14:paraId="4D8BB3DD" w14:textId="77777777" w:rsidR="00107A48" w:rsidRPr="004B2A73" w:rsidRDefault="00107A48" w:rsidP="00573778">
      <w:pPr>
        <w:spacing w:before="120"/>
        <w:ind w:left="540" w:hanging="540"/>
        <w:rPr>
          <w:rFonts w:ascii="Calibri" w:hAnsi="Calibri"/>
          <w:sz w:val="24"/>
          <w:szCs w:val="24"/>
          <w:lang w:val="fr-FR"/>
        </w:rPr>
      </w:pPr>
      <w:r w:rsidRPr="004B2A73">
        <w:rPr>
          <w:rFonts w:ascii="Calibri" w:hAnsi="Calibri"/>
          <w:sz w:val="24"/>
          <w:szCs w:val="24"/>
        </w:rPr>
        <w:t xml:space="preserve">AICD. 2009. Beyond the Bottlenecks: Ports in Africa. Africa Infrastructure Country Diagnostic, Background Paper 8. </w:t>
      </w:r>
      <w:r w:rsidRPr="004B2A73">
        <w:rPr>
          <w:rFonts w:ascii="Calibri" w:hAnsi="Calibri"/>
          <w:sz w:val="24"/>
          <w:szCs w:val="24"/>
          <w:lang w:val="fr-FR"/>
        </w:rPr>
        <w:t>Washington DC: The World Bank.</w:t>
      </w:r>
    </w:p>
    <w:p w14:paraId="037FFFCD" w14:textId="77777777" w:rsidR="00107A48" w:rsidRPr="00234978" w:rsidRDefault="00107A48" w:rsidP="00573778">
      <w:pPr>
        <w:spacing w:before="120"/>
        <w:ind w:left="540" w:hanging="540"/>
        <w:rPr>
          <w:rFonts w:ascii="Calibri" w:hAnsi="Calibri"/>
          <w:sz w:val="24"/>
          <w:szCs w:val="24"/>
          <w:lang w:val="fr-FR"/>
        </w:rPr>
      </w:pPr>
      <w:r w:rsidRPr="004B2A73">
        <w:rPr>
          <w:rFonts w:ascii="Calibri" w:hAnsi="Calibri"/>
          <w:sz w:val="24"/>
          <w:szCs w:val="24"/>
          <w:lang w:val="fr-FR"/>
        </w:rPr>
        <w:t xml:space="preserve">Alix. Yann. 2015. Logistique : une nouvelle révolution est nécessaire. </w:t>
      </w:r>
      <w:r w:rsidRPr="001E0CD1">
        <w:rPr>
          <w:rFonts w:ascii="Calibri" w:hAnsi="Calibri"/>
          <w:i/>
          <w:sz w:val="24"/>
          <w:szCs w:val="24"/>
          <w:lang w:val="fr-FR"/>
        </w:rPr>
        <w:t>Jeune Afrique</w:t>
      </w:r>
      <w:r w:rsidRPr="001E0CD1">
        <w:rPr>
          <w:rFonts w:ascii="Calibri" w:hAnsi="Calibri"/>
          <w:sz w:val="24"/>
          <w:szCs w:val="24"/>
          <w:lang w:val="fr-FR"/>
        </w:rPr>
        <w:t xml:space="preserve">, 26 February. </w:t>
      </w:r>
      <w:r w:rsidRPr="00234978">
        <w:rPr>
          <w:rFonts w:ascii="Calibri" w:hAnsi="Calibri"/>
          <w:sz w:val="24"/>
          <w:szCs w:val="24"/>
          <w:lang w:val="fr-FR"/>
        </w:rPr>
        <w:t xml:space="preserve">Available at: </w:t>
      </w:r>
      <w:hyperlink r:id="rId58" w:history="1">
        <w:r w:rsidRPr="00234978">
          <w:rPr>
            <w:rFonts w:ascii="Calibri" w:hAnsi="Calibri"/>
            <w:color w:val="0563C1" w:themeColor="hyperlink"/>
            <w:sz w:val="24"/>
            <w:szCs w:val="24"/>
            <w:u w:val="single"/>
            <w:lang w:val="fr-FR"/>
          </w:rPr>
          <w:t>http://economie.jeuneafrique.com/tribune/426-tribune-transport/24207-logistique--une-nouvelle-revolution-est-necessaire-.html</w:t>
        </w:r>
      </w:hyperlink>
    </w:p>
    <w:p w14:paraId="60851F22" w14:textId="77777777" w:rsidR="00107A48" w:rsidRPr="004B2A73" w:rsidRDefault="00107A48" w:rsidP="00573778">
      <w:pPr>
        <w:spacing w:before="120"/>
        <w:ind w:left="540" w:hanging="540"/>
        <w:rPr>
          <w:rFonts w:ascii="Calibri" w:hAnsi="Calibri"/>
          <w:sz w:val="24"/>
          <w:szCs w:val="24"/>
        </w:rPr>
      </w:pPr>
      <w:r w:rsidRPr="000B217C">
        <w:rPr>
          <w:rFonts w:ascii="Calibri" w:hAnsi="Calibri"/>
          <w:sz w:val="24"/>
          <w:szCs w:val="24"/>
          <w:lang w:val="fr-FR"/>
        </w:rPr>
        <w:t xml:space="preserve">Alix, Yann. 2011. </w:t>
      </w:r>
      <w:r w:rsidRPr="004B2A73">
        <w:rPr>
          <w:rFonts w:ascii="Calibri" w:hAnsi="Calibri"/>
          <w:sz w:val="24"/>
          <w:szCs w:val="24"/>
        </w:rPr>
        <w:t xml:space="preserve">Growing containerised trade between West Africa and European and Asian economies.  UNCTAD Trade Logistics Branch, Division on Technology and Logistics Transport Newsletter, No. 51. Available at: </w:t>
      </w:r>
      <w:hyperlink r:id="rId59" w:history="1">
        <w:r w:rsidRPr="004B2A73">
          <w:rPr>
            <w:rFonts w:ascii="Calibri" w:hAnsi="Calibri"/>
            <w:color w:val="0563C1" w:themeColor="hyperlink"/>
            <w:sz w:val="24"/>
            <w:szCs w:val="24"/>
            <w:u w:val="single"/>
          </w:rPr>
          <w:t>http://unctad.org/en/Docs/webdtltlb20114_en.pdf</w:t>
        </w:r>
      </w:hyperlink>
      <w:r w:rsidRPr="004B2A73">
        <w:rPr>
          <w:rFonts w:ascii="Calibri" w:hAnsi="Calibri"/>
          <w:sz w:val="24"/>
          <w:szCs w:val="24"/>
        </w:rPr>
        <w:t xml:space="preserve"> </w:t>
      </w:r>
    </w:p>
    <w:p w14:paraId="6E083603"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Brooks, Mary, Thanos Pallis and Stephen Perkins. 2014. Port Investment and Container Shipping Markets – Roundtable Summary and Conclusions. OECD / International Transport Forum Discussion Paper No. 2014-03. Available at: </w:t>
      </w:r>
      <w:hyperlink r:id="rId60" w:history="1">
        <w:r w:rsidRPr="004B2A73">
          <w:rPr>
            <w:rFonts w:ascii="Calibri" w:hAnsi="Calibri"/>
            <w:color w:val="0563C1" w:themeColor="hyperlink"/>
            <w:sz w:val="24"/>
            <w:szCs w:val="24"/>
            <w:u w:val="single"/>
          </w:rPr>
          <w:t>http://www.internationaltransportforum.org/jtrc/DiscussionPapers/DP201403.pdf</w:t>
        </w:r>
      </w:hyperlink>
    </w:p>
    <w:p w14:paraId="4C0D090D"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Containerization International. 2014. One Hundred Ports 2014 – The World’s Busiest Container Terminals.</w:t>
      </w:r>
    </w:p>
    <w:p w14:paraId="2B210A38"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Debrie, Jean. 2012. The West African port system: global insertion and regional particularities. EchoGéo 20/2012. Available at: </w:t>
      </w:r>
      <w:hyperlink r:id="rId61" w:history="1">
        <w:r w:rsidRPr="004B2A73">
          <w:rPr>
            <w:rFonts w:ascii="Calibri" w:hAnsi="Calibri"/>
            <w:color w:val="0563C1" w:themeColor="hyperlink"/>
            <w:sz w:val="24"/>
            <w:szCs w:val="24"/>
            <w:u w:val="single"/>
          </w:rPr>
          <w:t>http://echogeo.revues.org/13070</w:t>
        </w:r>
      </w:hyperlink>
      <w:r w:rsidRPr="004B2A73">
        <w:rPr>
          <w:rFonts w:ascii="Calibri" w:hAnsi="Calibri"/>
          <w:sz w:val="24"/>
          <w:szCs w:val="24"/>
        </w:rPr>
        <w:t xml:space="preserve"> </w:t>
      </w:r>
    </w:p>
    <w:p w14:paraId="2D91DFA9"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Ecorys. 2015. Consulting Services for a Diagnostic and Analysis of Recent Trends in the Operations and Management of West African Ports. Unpublished background report prepared for the World Bank.</w:t>
      </w:r>
    </w:p>
    <w:p w14:paraId="503E1DA7" w14:textId="77777777" w:rsidR="00107A48" w:rsidRPr="001E0CD1" w:rsidRDefault="00107A48" w:rsidP="00573778">
      <w:pPr>
        <w:spacing w:before="120"/>
        <w:ind w:left="540" w:hanging="540"/>
        <w:rPr>
          <w:rFonts w:ascii="Calibri" w:hAnsi="Calibri"/>
          <w:sz w:val="24"/>
          <w:szCs w:val="24"/>
        </w:rPr>
      </w:pPr>
      <w:r w:rsidRPr="004B2A73">
        <w:rPr>
          <w:rFonts w:ascii="Calibri" w:hAnsi="Calibri"/>
          <w:sz w:val="24"/>
          <w:szCs w:val="24"/>
        </w:rPr>
        <w:t xml:space="preserve">Farrell, Sheila. 2014. Attracting Private Finance Into African Ports. In </w:t>
      </w:r>
      <w:r w:rsidRPr="004B2A73">
        <w:rPr>
          <w:rFonts w:ascii="Calibri" w:hAnsi="Calibri"/>
          <w:i/>
          <w:sz w:val="24"/>
          <w:szCs w:val="24"/>
        </w:rPr>
        <w:t>Port Infrastructure Finance</w:t>
      </w:r>
      <w:r w:rsidRPr="004B2A73">
        <w:rPr>
          <w:rFonts w:ascii="Calibri" w:hAnsi="Calibri"/>
          <w:sz w:val="24"/>
          <w:szCs w:val="24"/>
        </w:rPr>
        <w:t xml:space="preserve">, eds. Hilde Meersman, Eddy Van de Voorde and Thierry Vanelslander, pp.181-209. </w:t>
      </w:r>
      <w:r w:rsidRPr="001E0CD1">
        <w:rPr>
          <w:rFonts w:ascii="Calibri" w:hAnsi="Calibri"/>
          <w:sz w:val="24"/>
          <w:szCs w:val="24"/>
        </w:rPr>
        <w:t>Routledge Informa Law.</w:t>
      </w:r>
    </w:p>
    <w:p w14:paraId="7A045F8A" w14:textId="77777777" w:rsidR="00107A48" w:rsidRPr="00234978" w:rsidRDefault="00107A48" w:rsidP="00573778">
      <w:pPr>
        <w:spacing w:before="120"/>
        <w:ind w:left="540" w:hanging="540"/>
        <w:rPr>
          <w:rFonts w:ascii="Calibri" w:hAnsi="Calibri"/>
          <w:sz w:val="24"/>
          <w:szCs w:val="24"/>
          <w:lang w:val="fr-FR"/>
        </w:rPr>
      </w:pPr>
      <w:r w:rsidRPr="00650472">
        <w:rPr>
          <w:rFonts w:ascii="Calibri" w:hAnsi="Calibri"/>
          <w:sz w:val="24"/>
          <w:szCs w:val="24"/>
          <w:lang w:val="fr-FR"/>
        </w:rPr>
        <w:t xml:space="preserve">Grosdidier de Matons, Jean. 2012. </w:t>
      </w:r>
      <w:r w:rsidRPr="00234978">
        <w:rPr>
          <w:rFonts w:ascii="Calibri" w:hAnsi="Calibri"/>
          <w:sz w:val="24"/>
          <w:szCs w:val="24"/>
          <w:lang w:val="fr-FR"/>
        </w:rPr>
        <w:t xml:space="preserve">Les Concessions Portuaires. Fondation Sefacil. Available at: </w:t>
      </w:r>
      <w:hyperlink r:id="rId62" w:history="1">
        <w:r w:rsidRPr="00234978">
          <w:rPr>
            <w:rFonts w:ascii="Calibri" w:hAnsi="Calibri"/>
            <w:color w:val="0563C1" w:themeColor="hyperlink"/>
            <w:sz w:val="24"/>
            <w:szCs w:val="24"/>
            <w:u w:val="single"/>
            <w:lang w:val="fr-FR"/>
          </w:rPr>
          <w:t>http://dev.sefacil.com/sites/sefacil.com/files/Texte%20complet%20Concessions%20portuaires_0.pdf</w:t>
        </w:r>
      </w:hyperlink>
    </w:p>
    <w:p w14:paraId="14D2231A" w14:textId="77777777" w:rsidR="00107A48" w:rsidRPr="001E0CD1" w:rsidRDefault="00107A48" w:rsidP="00573778">
      <w:pPr>
        <w:spacing w:before="120"/>
        <w:ind w:left="540" w:hanging="540"/>
        <w:rPr>
          <w:rFonts w:ascii="Calibri" w:hAnsi="Calibri"/>
          <w:sz w:val="24"/>
          <w:szCs w:val="24"/>
        </w:rPr>
      </w:pPr>
      <w:r w:rsidRPr="00234978">
        <w:rPr>
          <w:rFonts w:ascii="Calibri" w:hAnsi="Calibri"/>
          <w:sz w:val="24"/>
          <w:szCs w:val="24"/>
          <w:lang w:val="fr-FR"/>
        </w:rPr>
        <w:t xml:space="preserve">Harding Alan, Gylfi Palsson, and Gaël Raballand. </w:t>
      </w:r>
      <w:r w:rsidRPr="004B2A73">
        <w:rPr>
          <w:rFonts w:ascii="Calibri" w:hAnsi="Calibri"/>
          <w:sz w:val="24"/>
          <w:szCs w:val="24"/>
          <w:lang w:val="fr-FR"/>
        </w:rPr>
        <w:t xml:space="preserve">2007. Ports et transport maritime en Afrique de l’Ouest et du Centre: Les Défis à Relever.  </w:t>
      </w:r>
      <w:r w:rsidRPr="001E0CD1">
        <w:rPr>
          <w:rFonts w:ascii="Calibri" w:hAnsi="Calibri"/>
          <w:sz w:val="24"/>
          <w:szCs w:val="24"/>
        </w:rPr>
        <w:t>SSATP Working Paper No. 84F. Washington, DC: The World Bank.</w:t>
      </w:r>
    </w:p>
    <w:p w14:paraId="5C995A8F" w14:textId="77777777" w:rsidR="00107A48" w:rsidRPr="00BA1B4D" w:rsidRDefault="00107A48" w:rsidP="00573778">
      <w:pPr>
        <w:spacing w:before="120"/>
        <w:ind w:left="540" w:hanging="540"/>
        <w:rPr>
          <w:rFonts w:ascii="Calibri" w:hAnsi="Calibri"/>
          <w:sz w:val="24"/>
          <w:szCs w:val="24"/>
        </w:rPr>
      </w:pPr>
      <w:r w:rsidRPr="004B2A73">
        <w:rPr>
          <w:rFonts w:ascii="Calibri" w:hAnsi="Calibri"/>
          <w:sz w:val="24"/>
          <w:szCs w:val="24"/>
          <w:lang w:val="fr-FR"/>
        </w:rPr>
        <w:t xml:space="preserve">Hartmannn, Olivier. 2010. Comment les pays enclavés s’articulent-ils à la mondialisation ? Ports et commerce en Afrique de l’Ouest. </w:t>
      </w:r>
      <w:r w:rsidRPr="00BA1B4D">
        <w:rPr>
          <w:rFonts w:ascii="Calibri" w:hAnsi="Calibri"/>
          <w:i/>
          <w:sz w:val="24"/>
          <w:szCs w:val="24"/>
        </w:rPr>
        <w:t>Afrique Contemporaine</w:t>
      </w:r>
      <w:r w:rsidRPr="00BA1B4D">
        <w:rPr>
          <w:rFonts w:ascii="Calibri" w:hAnsi="Calibri"/>
          <w:sz w:val="24"/>
          <w:szCs w:val="24"/>
        </w:rPr>
        <w:t>, 2010/2 No. 234, 41-58.</w:t>
      </w:r>
    </w:p>
    <w:p w14:paraId="0234100C"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lastRenderedPageBreak/>
        <w:t xml:space="preserve">Hoffmann, Jan. 2000. The potential for hub ports on the Pacific coast of South America. CEPAL Review No. 71. Available at: </w:t>
      </w:r>
      <w:hyperlink r:id="rId63" w:history="1">
        <w:r w:rsidRPr="004B2A73">
          <w:rPr>
            <w:rFonts w:ascii="Calibri" w:hAnsi="Calibri"/>
            <w:color w:val="0563C1" w:themeColor="hyperlink"/>
            <w:sz w:val="24"/>
            <w:szCs w:val="24"/>
            <w:u w:val="single"/>
          </w:rPr>
          <w:t>http://www.cepal.org/publicaciones/xml/0/20180/lcg2060i_hoffmann.pdf</w:t>
        </w:r>
      </w:hyperlink>
    </w:p>
    <w:p w14:paraId="225845A6" w14:textId="77777777" w:rsidR="00F94C45" w:rsidRPr="00E40750" w:rsidRDefault="00F94C45" w:rsidP="00573778">
      <w:pPr>
        <w:spacing w:before="120"/>
        <w:ind w:left="540" w:hanging="540"/>
        <w:rPr>
          <w:rFonts w:ascii="Calibri" w:hAnsi="Calibri"/>
          <w:sz w:val="24"/>
          <w:szCs w:val="24"/>
        </w:rPr>
      </w:pPr>
      <w:r w:rsidRPr="004B2A73">
        <w:rPr>
          <w:rFonts w:ascii="Calibri" w:hAnsi="Calibri"/>
          <w:sz w:val="24"/>
          <w:szCs w:val="24"/>
        </w:rPr>
        <w:t>Juhel, Marc. 2000. Globalisation and Partnerships in Ports: Trends for the 21</w:t>
      </w:r>
      <w:r w:rsidRPr="004B2A73">
        <w:rPr>
          <w:rFonts w:ascii="Calibri" w:hAnsi="Calibri"/>
          <w:sz w:val="24"/>
          <w:szCs w:val="24"/>
          <w:vertAlign w:val="superscript"/>
        </w:rPr>
        <w:t>st</w:t>
      </w:r>
      <w:r w:rsidR="00D03A46" w:rsidRPr="004B2A73">
        <w:rPr>
          <w:rFonts w:ascii="Calibri" w:hAnsi="Calibri"/>
          <w:sz w:val="24"/>
          <w:szCs w:val="24"/>
        </w:rPr>
        <w:t xml:space="preserve"> Century. </w:t>
      </w:r>
      <w:r w:rsidR="00D03A46" w:rsidRPr="00E40750">
        <w:rPr>
          <w:rFonts w:ascii="Calibri" w:hAnsi="Calibri"/>
          <w:sz w:val="24"/>
          <w:szCs w:val="24"/>
        </w:rPr>
        <w:t>Available at:</w:t>
      </w:r>
      <w:hyperlink r:id="rId64" w:history="1">
        <w:r w:rsidRPr="00E40750">
          <w:rPr>
            <w:rStyle w:val="Hyperlink"/>
            <w:rFonts w:ascii="Calibri" w:hAnsi="Calibri"/>
            <w:sz w:val="24"/>
            <w:szCs w:val="24"/>
          </w:rPr>
          <w:t>http://siteresources.worldbank.org/INTPRAL/Resources/338897-1117630063267/singaprt.pdf</w:t>
        </w:r>
      </w:hyperlink>
      <w:r w:rsidRPr="00E40750">
        <w:rPr>
          <w:rFonts w:ascii="Calibri" w:hAnsi="Calibri"/>
          <w:sz w:val="24"/>
          <w:szCs w:val="24"/>
        </w:rPr>
        <w:t xml:space="preserve"> </w:t>
      </w:r>
    </w:p>
    <w:p w14:paraId="2F74A802"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MacWilliam, David Cal. 2013. Reducing Dwell Time to Boost Efficiency at the Port of Cotonou. Africa Trade Policy Note No. 39. Washington, DC: The World Bank.</w:t>
      </w:r>
    </w:p>
    <w:p w14:paraId="295E0FC6"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lang w:val="fr-FR"/>
        </w:rPr>
        <w:t xml:space="preserve">MLTC / CATRAM. 2013. Etude de marché sur les terminaux portuaires à conteneurs en Afrique de l’Ouest et du Centre. </w:t>
      </w:r>
      <w:r w:rsidRPr="00A22483">
        <w:rPr>
          <w:rFonts w:ascii="Calibri" w:hAnsi="Calibri"/>
          <w:sz w:val="24"/>
          <w:szCs w:val="24"/>
        </w:rPr>
        <w:t xml:space="preserve">Report prepared for the French Development Agency (AFD). </w:t>
      </w:r>
      <w:r w:rsidRPr="004B2A73">
        <w:rPr>
          <w:rFonts w:ascii="Calibri" w:hAnsi="Calibri"/>
          <w:sz w:val="24"/>
          <w:szCs w:val="24"/>
        </w:rPr>
        <w:t xml:space="preserve">Available at: </w:t>
      </w:r>
      <w:hyperlink r:id="rId65" w:history="1">
        <w:r w:rsidRPr="004B2A73">
          <w:rPr>
            <w:rFonts w:ascii="Calibri" w:hAnsi="Calibri"/>
            <w:color w:val="0563C1" w:themeColor="hyperlink"/>
            <w:sz w:val="24"/>
            <w:szCs w:val="24"/>
            <w:u w:val="single"/>
          </w:rPr>
          <w:t>http://www.afd.fr/webdav/shared/ELEMENTS_COMMUNS/pdf/MLTC_CATRAM_etude_terminaux_conteneurs_Afrique_Ouest_et_Centre.pdf</w:t>
        </w:r>
      </w:hyperlink>
    </w:p>
    <w:p w14:paraId="188FD781"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Nathan. 2013. Logistics Cost Study of Transport Corridors in Central and West Africa. Report prepared for the World Bank. Available at: </w:t>
      </w:r>
      <w:hyperlink r:id="rId66" w:history="1">
        <w:r w:rsidRPr="004B2A73">
          <w:rPr>
            <w:rFonts w:ascii="Calibri" w:hAnsi="Calibri"/>
            <w:color w:val="0563C1" w:themeColor="hyperlink"/>
            <w:sz w:val="24"/>
            <w:szCs w:val="24"/>
            <w:u w:val="single"/>
          </w:rPr>
          <w:t>http://www.ssatp.org/sites/ssatp/files/publications/SSATP_Logistics_Cost_Study_Complete%20with%20annexes%20Final%20September%202013.pdf</w:t>
        </w:r>
      </w:hyperlink>
    </w:p>
    <w:p w14:paraId="614B28A8"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OECD. 2011. Competition in ports and port services. Competition committee roundtable on Competition in Ports and Port Services. Available at: </w:t>
      </w:r>
      <w:hyperlink r:id="rId67" w:history="1">
        <w:r w:rsidRPr="004B2A73">
          <w:rPr>
            <w:rFonts w:ascii="Calibri" w:hAnsi="Calibri"/>
            <w:color w:val="0563C1" w:themeColor="hyperlink"/>
            <w:sz w:val="24"/>
            <w:szCs w:val="24"/>
            <w:u w:val="single"/>
          </w:rPr>
          <w:t>http://www.oecd.org/regreform/sectors/48837794.pdf</w:t>
        </w:r>
      </w:hyperlink>
      <w:r w:rsidRPr="004B2A73">
        <w:rPr>
          <w:rFonts w:ascii="Calibri" w:hAnsi="Calibri"/>
          <w:sz w:val="24"/>
          <w:szCs w:val="24"/>
        </w:rPr>
        <w:t xml:space="preserve"> </w:t>
      </w:r>
    </w:p>
    <w:p w14:paraId="1B63A919"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OECD. 2009. Port Competition and Hinterland Connections. OECD / International Transport Forum Round Table 143. Paris: Organisation for Economic Co-operation and Development.</w:t>
      </w:r>
    </w:p>
    <w:p w14:paraId="595AE56B" w14:textId="77777777" w:rsidR="007D7FDA" w:rsidRPr="004B2A73" w:rsidRDefault="007D7FDA" w:rsidP="007D7FDA">
      <w:pPr>
        <w:spacing w:before="120"/>
        <w:ind w:left="540" w:hanging="540"/>
        <w:rPr>
          <w:rFonts w:ascii="Calibri" w:hAnsi="Calibri"/>
          <w:sz w:val="24"/>
          <w:szCs w:val="24"/>
        </w:rPr>
      </w:pPr>
      <w:r w:rsidRPr="004B2A73">
        <w:rPr>
          <w:rFonts w:ascii="Calibri" w:hAnsi="Calibri"/>
          <w:sz w:val="24"/>
          <w:szCs w:val="24"/>
        </w:rPr>
        <w:t>Palsson, Gylfi. 1998. Multiple Ports of Call versus Hub-and-Spoke Containerized Maritime Trade between West Africa and Europe. SSATP Working Paper 31. Washington DC: The World Bank.</w:t>
      </w:r>
    </w:p>
    <w:p w14:paraId="0F2022B3"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Raballand, Gaël, Salim Refas, Monica Beuran and Gözde Isik. 2012. Why Does Cargo Spend Weeks in Sub-Saharan African Ports? Lessons from Six Countries. Washington DC: The World Bank.</w:t>
      </w:r>
    </w:p>
    <w:p w14:paraId="5EDFE4EC"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Ranganathan, Rupa and Vivien Foster. 2011. ECOWAS’s Infrastructure – A Regional Perspective. Policy Research Working Paper No. 5899. Washington DC: The World Bank.</w:t>
      </w:r>
    </w:p>
    <w:p w14:paraId="4E5E1EE8"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TIPS. 2014. Review of regulation in the Ports Sector. Report prepared for the Centre for Competition, Regulation and Economic Development (CCRED), University of Johannesburg. Available at: </w:t>
      </w:r>
      <w:hyperlink r:id="rId68" w:history="1">
        <w:r w:rsidRPr="004B2A73">
          <w:rPr>
            <w:rFonts w:ascii="Calibri" w:hAnsi="Calibri"/>
            <w:color w:val="0563C1" w:themeColor="hyperlink"/>
            <w:sz w:val="24"/>
            <w:szCs w:val="24"/>
            <w:u w:val="single"/>
          </w:rPr>
          <w:t>http://www.tips.org.za/files/ccred-edd-recbp_regulation_in_the_ports_sector_-_farr_levin_chipanda_0.pdf</w:t>
        </w:r>
      </w:hyperlink>
      <w:r w:rsidRPr="004B2A73">
        <w:rPr>
          <w:rFonts w:ascii="Calibri" w:hAnsi="Calibri"/>
          <w:sz w:val="24"/>
          <w:szCs w:val="24"/>
        </w:rPr>
        <w:t xml:space="preserve"> </w:t>
      </w:r>
    </w:p>
    <w:p w14:paraId="0BD476B6"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lastRenderedPageBreak/>
        <w:t xml:space="preserve">UNCTAD. 2014. Review of Maritime Transport. Geneva: UNCTAD. Available at: </w:t>
      </w:r>
      <w:hyperlink r:id="rId69" w:history="1">
        <w:r w:rsidRPr="004B2A73">
          <w:rPr>
            <w:rFonts w:ascii="Calibri" w:hAnsi="Calibri"/>
            <w:color w:val="0563C1" w:themeColor="hyperlink"/>
            <w:sz w:val="24"/>
            <w:szCs w:val="24"/>
            <w:u w:val="single"/>
          </w:rPr>
          <w:t>http://unctad.org/rmt</w:t>
        </w:r>
      </w:hyperlink>
      <w:r w:rsidRPr="004B2A73">
        <w:rPr>
          <w:rFonts w:ascii="Calibri" w:hAnsi="Calibri"/>
          <w:sz w:val="24"/>
          <w:szCs w:val="24"/>
        </w:rPr>
        <w:t>.</w:t>
      </w:r>
    </w:p>
    <w:p w14:paraId="70DAE215"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UNCTAD. 2003. African ports: reform and the role of the private sector. Report UNCTAD/SDTE/TLB/5. Available at: </w:t>
      </w:r>
      <w:hyperlink r:id="rId70" w:history="1">
        <w:r w:rsidRPr="004B2A73">
          <w:rPr>
            <w:rFonts w:ascii="Calibri" w:hAnsi="Calibri"/>
            <w:color w:val="0563C1" w:themeColor="hyperlink"/>
            <w:sz w:val="24"/>
            <w:szCs w:val="24"/>
            <w:u w:val="single"/>
          </w:rPr>
          <w:t>http://unctad.org/en/docs/sdtetlb5_en.pdf</w:t>
        </w:r>
      </w:hyperlink>
      <w:r w:rsidRPr="004B2A73">
        <w:rPr>
          <w:rFonts w:ascii="Calibri" w:hAnsi="Calibri"/>
          <w:sz w:val="24"/>
          <w:szCs w:val="24"/>
        </w:rPr>
        <w:t xml:space="preserve"> </w:t>
      </w:r>
    </w:p>
    <w:p w14:paraId="182021CA"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UNCTAD. 1996. Potentialities for regional port cooperation. Report UNCTAD/SDD/PORT/5. Available at: </w:t>
      </w:r>
      <w:hyperlink r:id="rId71" w:history="1">
        <w:r w:rsidRPr="004B2A73">
          <w:rPr>
            <w:rFonts w:ascii="Calibri" w:hAnsi="Calibri"/>
            <w:color w:val="0563C1" w:themeColor="hyperlink"/>
            <w:sz w:val="24"/>
            <w:szCs w:val="24"/>
            <w:u w:val="single"/>
          </w:rPr>
          <w:t>http://unctad.org/en/Docs/posddportd5.en.pdf</w:t>
        </w:r>
      </w:hyperlink>
      <w:r w:rsidRPr="004B2A73">
        <w:rPr>
          <w:rFonts w:ascii="Calibri" w:hAnsi="Calibri"/>
          <w:sz w:val="24"/>
          <w:szCs w:val="24"/>
        </w:rPr>
        <w:t xml:space="preserve"> </w:t>
      </w:r>
    </w:p>
    <w:p w14:paraId="23BCF410"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 xml:space="preserve">USAID. 2005. Emerging Challenges in Africa’s Port Sector – The Congestion Pandemic and Efficiency. Available at: </w:t>
      </w:r>
      <w:hyperlink r:id="rId72" w:history="1">
        <w:r w:rsidRPr="004B2A73">
          <w:rPr>
            <w:rFonts w:ascii="Calibri" w:hAnsi="Calibri"/>
            <w:color w:val="0563C1" w:themeColor="hyperlink"/>
            <w:sz w:val="24"/>
            <w:szCs w:val="24"/>
            <w:u w:val="single"/>
          </w:rPr>
          <w:t>http://pdf.usaid.gov/pdf_docs/PNADH132.pdf</w:t>
        </w:r>
      </w:hyperlink>
      <w:r w:rsidRPr="004B2A73">
        <w:rPr>
          <w:rFonts w:ascii="Calibri" w:hAnsi="Calibri"/>
          <w:sz w:val="24"/>
          <w:szCs w:val="24"/>
        </w:rPr>
        <w:t xml:space="preserve"> </w:t>
      </w:r>
    </w:p>
    <w:p w14:paraId="22EBCDB3" w14:textId="77777777" w:rsidR="00107A48" w:rsidRPr="004B2A73" w:rsidRDefault="00107A48" w:rsidP="00573778">
      <w:pPr>
        <w:spacing w:before="120"/>
        <w:ind w:left="540" w:hanging="540"/>
        <w:rPr>
          <w:rFonts w:ascii="Calibri" w:hAnsi="Calibri"/>
          <w:sz w:val="24"/>
          <w:szCs w:val="24"/>
        </w:rPr>
      </w:pPr>
      <w:r w:rsidRPr="004B2A73">
        <w:rPr>
          <w:rFonts w:ascii="Calibri" w:hAnsi="Calibri"/>
          <w:sz w:val="24"/>
          <w:szCs w:val="24"/>
        </w:rPr>
        <w:t>World Bank. 2007. Port Reform Toolkit, 2</w:t>
      </w:r>
      <w:r w:rsidRPr="004B2A73">
        <w:rPr>
          <w:rFonts w:ascii="Calibri" w:hAnsi="Calibri"/>
          <w:sz w:val="24"/>
          <w:szCs w:val="24"/>
          <w:vertAlign w:val="superscript"/>
        </w:rPr>
        <w:t>nd</w:t>
      </w:r>
      <w:r w:rsidRPr="004B2A73">
        <w:rPr>
          <w:rFonts w:ascii="Calibri" w:hAnsi="Calibri"/>
          <w:sz w:val="24"/>
          <w:szCs w:val="24"/>
        </w:rPr>
        <w:t xml:space="preserve"> Edition.</w:t>
      </w:r>
      <w:r w:rsidR="00573778" w:rsidRPr="004B2A73">
        <w:rPr>
          <w:rFonts w:ascii="Calibri" w:hAnsi="Calibri"/>
          <w:sz w:val="24"/>
          <w:szCs w:val="24"/>
        </w:rPr>
        <w:t xml:space="preserve"> Washington, DC: The World Bank.</w:t>
      </w:r>
      <w:r w:rsidRPr="004B2A73">
        <w:rPr>
          <w:rFonts w:ascii="Calibri" w:hAnsi="Calibri"/>
          <w:sz w:val="24"/>
          <w:szCs w:val="24"/>
        </w:rPr>
        <w:t xml:space="preserve"> Available online at: </w:t>
      </w:r>
      <w:hyperlink r:id="rId73" w:history="1">
        <w:r w:rsidRPr="004B2A73">
          <w:rPr>
            <w:rFonts w:ascii="Calibri" w:hAnsi="Calibri"/>
            <w:color w:val="0563C1" w:themeColor="hyperlink"/>
            <w:sz w:val="24"/>
            <w:szCs w:val="24"/>
            <w:u w:val="single"/>
          </w:rPr>
          <w:t>http://www.ppiaf.org/sites/ppiaf.org/files/documents/toolkits/Portoolkit/toolkit.html</w:t>
        </w:r>
      </w:hyperlink>
      <w:r w:rsidRPr="004B2A73">
        <w:rPr>
          <w:rFonts w:ascii="Calibri" w:hAnsi="Calibri"/>
          <w:sz w:val="24"/>
          <w:szCs w:val="24"/>
        </w:rPr>
        <w:t xml:space="preserve"> </w:t>
      </w:r>
    </w:p>
    <w:p w14:paraId="4B3F153B" w14:textId="77777777" w:rsidR="00573778" w:rsidRPr="004B2A73" w:rsidRDefault="00573778" w:rsidP="00573778">
      <w:pPr>
        <w:spacing w:before="120"/>
        <w:ind w:left="540" w:hanging="540"/>
        <w:rPr>
          <w:rFonts w:ascii="Calibri" w:hAnsi="Calibri"/>
          <w:sz w:val="24"/>
          <w:szCs w:val="24"/>
        </w:rPr>
      </w:pPr>
      <w:r w:rsidRPr="004B2A73">
        <w:rPr>
          <w:rFonts w:ascii="Calibri" w:hAnsi="Calibri"/>
          <w:sz w:val="24"/>
          <w:szCs w:val="24"/>
        </w:rPr>
        <w:t>World Bank. 2001. Port Reform Toolkit, 1</w:t>
      </w:r>
      <w:r w:rsidRPr="004B2A73">
        <w:rPr>
          <w:rFonts w:ascii="Calibri" w:hAnsi="Calibri"/>
          <w:sz w:val="24"/>
          <w:szCs w:val="24"/>
          <w:vertAlign w:val="superscript"/>
        </w:rPr>
        <w:t>st</w:t>
      </w:r>
      <w:r w:rsidRPr="004B2A73">
        <w:rPr>
          <w:rFonts w:ascii="Calibri" w:hAnsi="Calibri"/>
          <w:sz w:val="24"/>
          <w:szCs w:val="24"/>
        </w:rPr>
        <w:t xml:space="preserve"> Edition. Washington, DC: The World Bank.</w:t>
      </w:r>
    </w:p>
    <w:p w14:paraId="4E1E6408" w14:textId="77777777" w:rsidR="003A26EC" w:rsidRPr="004B2A73" w:rsidRDefault="002458BB" w:rsidP="003A7F8E">
      <w:pPr>
        <w:rPr>
          <w:rFonts w:ascii="Calibri" w:hAnsi="Calibri"/>
          <w:sz w:val="24"/>
          <w:szCs w:val="24"/>
        </w:rPr>
      </w:pPr>
      <w:r w:rsidRPr="004B2A73">
        <w:rPr>
          <w:rFonts w:ascii="Calibri" w:hAnsi="Calibri"/>
          <w:sz w:val="24"/>
          <w:szCs w:val="24"/>
        </w:rPr>
        <w:br w:type="page"/>
      </w:r>
    </w:p>
    <w:p w14:paraId="7EF05A73" w14:textId="0486716F" w:rsidR="00104E65" w:rsidRPr="004B2A73" w:rsidRDefault="00104E65" w:rsidP="000B217C">
      <w:pPr>
        <w:pStyle w:val="Heading1"/>
        <w:numPr>
          <w:ilvl w:val="0"/>
          <w:numId w:val="0"/>
        </w:numPr>
      </w:pPr>
      <w:bookmarkStart w:id="127" w:name="_Toc485382006"/>
      <w:r w:rsidRPr="004B2A73">
        <w:lastRenderedPageBreak/>
        <w:t>Annex</w:t>
      </w:r>
      <w:r w:rsidR="008B4ADA" w:rsidRPr="004B2A73">
        <w:t>es</w:t>
      </w:r>
      <w:bookmarkEnd w:id="127"/>
    </w:p>
    <w:p w14:paraId="65CADBEC" w14:textId="77777777" w:rsidR="00D643D0" w:rsidRPr="004B2A73" w:rsidRDefault="00D643D0" w:rsidP="00D643D0">
      <w:pPr>
        <w:pStyle w:val="ListParagraph"/>
        <w:spacing w:after="0"/>
        <w:ind w:left="0"/>
        <w:rPr>
          <w:rFonts w:ascii="Calibri" w:hAnsi="Calibri"/>
          <w:sz w:val="24"/>
        </w:rPr>
      </w:pPr>
      <w:bookmarkStart w:id="128" w:name="_Toc418805901"/>
    </w:p>
    <w:p w14:paraId="3263C72D" w14:textId="402B71B9" w:rsidR="00627628" w:rsidRPr="00D060B2" w:rsidRDefault="00627628" w:rsidP="006161AC">
      <w:pPr>
        <w:pStyle w:val="Heading2"/>
        <w:numPr>
          <w:ilvl w:val="0"/>
          <w:numId w:val="0"/>
        </w:numPr>
        <w:rPr>
          <w:rFonts w:asciiTheme="minorHAnsi" w:hAnsiTheme="minorHAnsi" w:cstheme="minorHAnsi"/>
          <w:color w:val="auto"/>
          <w:sz w:val="28"/>
          <w:szCs w:val="28"/>
        </w:rPr>
      </w:pPr>
      <w:bookmarkStart w:id="129" w:name="_Toc485382007"/>
      <w:r w:rsidRPr="00D060B2">
        <w:rPr>
          <w:rFonts w:asciiTheme="minorHAnsi" w:hAnsiTheme="minorHAnsi" w:cstheme="minorHAnsi"/>
          <w:color w:val="auto"/>
          <w:sz w:val="28"/>
          <w:szCs w:val="28"/>
        </w:rPr>
        <w:t>Annex 1: Main ports and container terminals in West Africa</w:t>
      </w:r>
      <w:bookmarkEnd w:id="128"/>
      <w:bookmarkEnd w:id="129"/>
    </w:p>
    <w:p w14:paraId="38DCC60A" w14:textId="77777777" w:rsidR="00D643D0" w:rsidRPr="004B2A73" w:rsidRDefault="00D643D0" w:rsidP="00D643D0">
      <w:pPr>
        <w:pStyle w:val="ListParagraph"/>
        <w:spacing w:after="0"/>
        <w:ind w:left="0"/>
        <w:rPr>
          <w:rFonts w:ascii="Calibri" w:hAnsi="Calibri"/>
          <w:sz w:val="24"/>
        </w:rPr>
      </w:pPr>
    </w:p>
    <w:p w14:paraId="08A64C6C" w14:textId="77777777" w:rsidR="00627628" w:rsidRPr="00D060B2" w:rsidRDefault="00627628" w:rsidP="00986E92">
      <w:pPr>
        <w:pStyle w:val="Heading3"/>
        <w:numPr>
          <w:ilvl w:val="0"/>
          <w:numId w:val="0"/>
        </w:numPr>
        <w:rPr>
          <w:b/>
        </w:rPr>
      </w:pPr>
      <w:r w:rsidRPr="00D060B2">
        <w:rPr>
          <w:b/>
        </w:rPr>
        <w:t>Dakar (Senegal)</w:t>
      </w:r>
    </w:p>
    <w:p w14:paraId="6ECE7617" w14:textId="77777777" w:rsidR="004B6006" w:rsidRPr="004B2A73" w:rsidRDefault="004B6006" w:rsidP="004B6006">
      <w:pPr>
        <w:spacing w:after="0" w:line="240" w:lineRule="auto"/>
        <w:rPr>
          <w:rFonts w:ascii="Calibri" w:hAnsi="Calibri"/>
          <w:sz w:val="24"/>
          <w:szCs w:val="24"/>
        </w:rPr>
      </w:pPr>
    </w:p>
    <w:p w14:paraId="01954CAA"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w:t>
      </w:r>
      <w:r w:rsidRPr="004B2A73">
        <w:rPr>
          <w:rFonts w:ascii="Calibri" w:hAnsi="Calibri"/>
          <w:i/>
          <w:sz w:val="24"/>
          <w:szCs w:val="24"/>
        </w:rPr>
        <w:t>Port Autonome de Dakar</w:t>
      </w:r>
      <w:r w:rsidRPr="004B2A73">
        <w:rPr>
          <w:rFonts w:ascii="Calibri" w:hAnsi="Calibri"/>
          <w:sz w:val="24"/>
          <w:szCs w:val="24"/>
        </w:rPr>
        <w:t xml:space="preserve"> is the largest port of Senegal and offers transit access to several landlocked countries in the region as well as to the Gambia.</w:t>
      </w:r>
    </w:p>
    <w:p w14:paraId="57AAD66B" w14:textId="77777777" w:rsidR="005136E5" w:rsidRPr="004B2A73" w:rsidRDefault="005136E5" w:rsidP="004B6006">
      <w:pPr>
        <w:spacing w:after="0" w:line="240" w:lineRule="auto"/>
        <w:rPr>
          <w:rFonts w:ascii="Calibri" w:hAnsi="Calibri"/>
          <w:sz w:val="24"/>
          <w:szCs w:val="24"/>
        </w:rPr>
      </w:pPr>
    </w:p>
    <w:p w14:paraId="4FF0BDB5"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main container terminal has been operated since January 2008 by DP World, which was awarded </w:t>
      </w:r>
      <w:r w:rsidR="001D4DE2" w:rsidRPr="004B2A73">
        <w:rPr>
          <w:rFonts w:ascii="Calibri" w:hAnsi="Calibri"/>
          <w:sz w:val="24"/>
          <w:szCs w:val="24"/>
        </w:rPr>
        <w:t xml:space="preserve">in </w:t>
      </w:r>
      <w:r w:rsidRPr="004B2A73">
        <w:rPr>
          <w:rFonts w:ascii="Calibri" w:hAnsi="Calibri"/>
          <w:sz w:val="24"/>
          <w:szCs w:val="24"/>
        </w:rPr>
        <w:t>the preceding year a renewable 25-year concession. Since then an expansion program has been carried out to add 8 hectares of yard space and 230 meters of quay lengths, which brought annual capacity to 600,000T TEU and became operational in November 2011. DPW controls around 80 percent of the container market in Dakar, the rest being shared between Grimaldi, Getma and small local stevedoring companies operating out of multipurpose and general cargo facilities within the port. With the expected increase of container traffic, a second phase of the extension program is planned and would involve developing by 2020 an entirely new container terminal (</w:t>
      </w:r>
      <w:r w:rsidRPr="004B2A73">
        <w:rPr>
          <w:rFonts w:ascii="Calibri" w:hAnsi="Calibri"/>
          <w:i/>
          <w:sz w:val="24"/>
          <w:szCs w:val="24"/>
        </w:rPr>
        <w:t>Port du Futur</w:t>
      </w:r>
      <w:r w:rsidRPr="004B2A73">
        <w:rPr>
          <w:rFonts w:ascii="Calibri" w:hAnsi="Calibri"/>
          <w:sz w:val="24"/>
          <w:szCs w:val="24"/>
        </w:rPr>
        <w:t xml:space="preserve">) with a potential capacity of 1.5 million TEU. </w:t>
      </w:r>
    </w:p>
    <w:p w14:paraId="61AAB134" w14:textId="77777777" w:rsidR="005136E5" w:rsidRPr="004B2A73" w:rsidRDefault="005136E5" w:rsidP="004B6006">
      <w:pPr>
        <w:spacing w:after="0" w:line="240" w:lineRule="auto"/>
        <w:rPr>
          <w:rFonts w:ascii="Calibri" w:hAnsi="Calibri"/>
          <w:sz w:val="24"/>
          <w:szCs w:val="24"/>
        </w:rPr>
      </w:pPr>
    </w:p>
    <w:p w14:paraId="6C5CF9AB"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In November 2013, BAL was awarded a 25-year concession for the RoRo terminal (roll-on/roll-off), which primarily handles vehicles. The concession agreement includes the deepening of the quay from 8.5 to 10.5 meters, an extension of the quay length by 165 meters, and 3 hectares additional parking space.</w:t>
      </w:r>
    </w:p>
    <w:p w14:paraId="45E316E6" w14:textId="77777777" w:rsidR="004B6006" w:rsidRPr="004B2A73" w:rsidRDefault="004B6006" w:rsidP="004B6006">
      <w:pPr>
        <w:spacing w:after="0" w:line="240" w:lineRule="auto"/>
        <w:rPr>
          <w:rFonts w:ascii="Calibri" w:hAnsi="Calibri"/>
          <w:sz w:val="24"/>
          <w:szCs w:val="24"/>
        </w:rPr>
      </w:pPr>
    </w:p>
    <w:p w14:paraId="33F2401C" w14:textId="77777777" w:rsidR="00627628" w:rsidRPr="004B2A73" w:rsidRDefault="00627628" w:rsidP="00D060B2">
      <w:pPr>
        <w:pStyle w:val="Heading3"/>
        <w:ind w:left="0"/>
      </w:pPr>
      <w:r w:rsidRPr="004B2A73">
        <w:t>Banjul (the Gambia)</w:t>
      </w:r>
    </w:p>
    <w:p w14:paraId="6F9241BE" w14:textId="77777777" w:rsidR="004B6006" w:rsidRPr="004B2A73" w:rsidRDefault="004B6006" w:rsidP="004B6006">
      <w:pPr>
        <w:spacing w:after="0" w:line="240" w:lineRule="auto"/>
        <w:rPr>
          <w:rFonts w:ascii="Calibri" w:hAnsi="Calibri"/>
          <w:sz w:val="24"/>
          <w:szCs w:val="24"/>
        </w:rPr>
      </w:pPr>
    </w:p>
    <w:p w14:paraId="58F1127A"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The port of Banjul is the Gambia’s only seaport and handles around 85</w:t>
      </w:r>
      <w:r w:rsidR="005F59DF" w:rsidRPr="004B2A73">
        <w:rPr>
          <w:rFonts w:ascii="Calibri" w:hAnsi="Calibri"/>
          <w:sz w:val="24"/>
          <w:szCs w:val="24"/>
        </w:rPr>
        <w:t xml:space="preserve"> percent</w:t>
      </w:r>
      <w:r w:rsidRPr="004B2A73">
        <w:rPr>
          <w:rFonts w:ascii="Calibri" w:hAnsi="Calibri"/>
          <w:sz w:val="24"/>
          <w:szCs w:val="24"/>
        </w:rPr>
        <w:t xml:space="preserve"> of the country’s foreign trade.</w:t>
      </w:r>
      <w:r w:rsidRPr="004B2A73">
        <w:rPr>
          <w:rFonts w:ascii="Calibri" w:hAnsi="Calibri"/>
          <w:sz w:val="24"/>
          <w:szCs w:val="24"/>
          <w:vertAlign w:val="superscript"/>
        </w:rPr>
        <w:footnoteReference w:id="58"/>
      </w:r>
      <w:r w:rsidRPr="004B2A73">
        <w:rPr>
          <w:rFonts w:ascii="Calibri" w:hAnsi="Calibri"/>
          <w:sz w:val="24"/>
          <w:szCs w:val="24"/>
        </w:rPr>
        <w:t xml:space="preserve"> The port is fully run and managed by the Gambia Port Authority (GPA) on a public service basis along with various small stevedoring and storage companies. Over the years, the port has been expanded in various stages from a small jetty of 102 metres in the 1970s to currently four berths with a total quay length of 750 mete</w:t>
      </w:r>
      <w:r w:rsidR="001D4DE2" w:rsidRPr="004B2A73">
        <w:rPr>
          <w:rFonts w:ascii="Calibri" w:hAnsi="Calibri"/>
          <w:sz w:val="24"/>
          <w:szCs w:val="24"/>
        </w:rPr>
        <w:t>r</w:t>
      </w:r>
      <w:r w:rsidRPr="004B2A73">
        <w:rPr>
          <w:rFonts w:ascii="Calibri" w:hAnsi="Calibri"/>
          <w:sz w:val="24"/>
          <w:szCs w:val="24"/>
        </w:rPr>
        <w:t>s. Container ships mostly use the new jetty’s two outer berths with a length of 122 meters each and a draft of 8 meters. The port’s very limited equipment and handling capacity would not enable the port to handle more than current volumes. GPA has received offers of concession from international terminal operating companies in the past but has not accepted them so far.</w:t>
      </w:r>
    </w:p>
    <w:p w14:paraId="335EC749" w14:textId="77777777" w:rsidR="00D643D0" w:rsidRPr="004B2A73" w:rsidRDefault="00D643D0" w:rsidP="00D643D0">
      <w:pPr>
        <w:pStyle w:val="ListParagraph"/>
        <w:spacing w:after="0"/>
        <w:ind w:left="0"/>
        <w:rPr>
          <w:rFonts w:ascii="Calibri" w:hAnsi="Calibri"/>
          <w:sz w:val="24"/>
        </w:rPr>
      </w:pPr>
    </w:p>
    <w:p w14:paraId="561003C0" w14:textId="77777777" w:rsidR="00627628" w:rsidRPr="004B2A73" w:rsidRDefault="00627628" w:rsidP="000B217C">
      <w:pPr>
        <w:pStyle w:val="Heading3"/>
      </w:pPr>
      <w:r w:rsidRPr="004B2A73">
        <w:lastRenderedPageBreak/>
        <w:t>Bissau (Guinea Bissau)</w:t>
      </w:r>
    </w:p>
    <w:p w14:paraId="3F6CBA7C" w14:textId="77777777" w:rsidR="004B6006" w:rsidRPr="004B2A73" w:rsidRDefault="004B6006" w:rsidP="007460D3">
      <w:pPr>
        <w:pStyle w:val="Heading2"/>
        <w:numPr>
          <w:ilvl w:val="0"/>
          <w:numId w:val="0"/>
        </w:numPr>
        <w:rPr>
          <w:rFonts w:ascii="Calibri" w:hAnsi="Calibri"/>
          <w:sz w:val="24"/>
          <w:szCs w:val="24"/>
        </w:rPr>
      </w:pPr>
    </w:p>
    <w:p w14:paraId="493B09CD"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Bissau port is fully managed by </w:t>
      </w:r>
      <w:r w:rsidRPr="004B2A73">
        <w:rPr>
          <w:rFonts w:ascii="Calibri" w:hAnsi="Calibri"/>
          <w:i/>
          <w:sz w:val="24"/>
          <w:szCs w:val="24"/>
        </w:rPr>
        <w:t>Administraçaõ dos Portos de Guiné Bissau</w:t>
      </w:r>
      <w:r w:rsidRPr="004B2A73">
        <w:rPr>
          <w:rFonts w:ascii="Calibri" w:hAnsi="Calibri"/>
          <w:sz w:val="24"/>
          <w:szCs w:val="24"/>
        </w:rPr>
        <w:t xml:space="preserve"> (APGB) under a service model. The port capacity is limited by short quay length, draught of only around 7 meters as sediment builds up, and very limited equipment, with all ship-to-shore handling relying on vessels’ gear. There have been talks for several years about modernizing the port through a PPP, but this has not materialized to date.</w:t>
      </w:r>
    </w:p>
    <w:p w14:paraId="78F3E6BE" w14:textId="77777777" w:rsidR="004B6006" w:rsidRPr="004B2A73" w:rsidRDefault="004B6006" w:rsidP="004B6006">
      <w:pPr>
        <w:spacing w:after="0" w:line="240" w:lineRule="auto"/>
        <w:rPr>
          <w:rFonts w:ascii="Calibri" w:hAnsi="Calibri"/>
          <w:sz w:val="24"/>
          <w:szCs w:val="24"/>
        </w:rPr>
      </w:pPr>
    </w:p>
    <w:p w14:paraId="3FE80F18" w14:textId="77777777" w:rsidR="00627628" w:rsidRPr="004B2A73" w:rsidRDefault="00627628" w:rsidP="000B217C">
      <w:pPr>
        <w:pStyle w:val="Heading3"/>
      </w:pPr>
      <w:r w:rsidRPr="004B2A73">
        <w:t>Conakry (Guinea)</w:t>
      </w:r>
    </w:p>
    <w:p w14:paraId="4497E02A" w14:textId="77777777" w:rsidR="004B6006" w:rsidRPr="004B2A73" w:rsidRDefault="004B6006" w:rsidP="004B6006">
      <w:pPr>
        <w:spacing w:after="0" w:line="240" w:lineRule="auto"/>
        <w:rPr>
          <w:rFonts w:ascii="Calibri" w:hAnsi="Calibri"/>
          <w:sz w:val="24"/>
          <w:szCs w:val="24"/>
        </w:rPr>
      </w:pPr>
    </w:p>
    <w:p w14:paraId="117F79F0"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w:t>
      </w:r>
      <w:r w:rsidRPr="004B2A73">
        <w:rPr>
          <w:rFonts w:ascii="Calibri" w:hAnsi="Calibri"/>
          <w:i/>
          <w:sz w:val="24"/>
          <w:szCs w:val="24"/>
        </w:rPr>
        <w:t>Port Autonome de Conakry</w:t>
      </w:r>
      <w:r w:rsidRPr="004B2A73">
        <w:rPr>
          <w:rFonts w:ascii="Calibri" w:hAnsi="Calibri"/>
          <w:sz w:val="24"/>
          <w:szCs w:val="24"/>
        </w:rPr>
        <w:t xml:space="preserve"> is the main port in Guinea. The container terminal Conakry Terminal has been run since mid-2011 by BAL, after the newly elected authorities cancelled the initial 25-year concession awarded under military rule in 2008 to GETMA International (subsidiary of NECOTRANS). This has sparked public accusations of corruption and lawsuits. A program of expansion aimed at operating two berths and doubling yard storage capacity started</w:t>
      </w:r>
      <w:r w:rsidR="001D4DE2" w:rsidRPr="004B2A73">
        <w:rPr>
          <w:rFonts w:ascii="Calibri" w:hAnsi="Calibri"/>
          <w:sz w:val="24"/>
          <w:szCs w:val="24"/>
        </w:rPr>
        <w:t xml:space="preserve"> at</w:t>
      </w:r>
      <w:r w:rsidRPr="004B2A73">
        <w:rPr>
          <w:rFonts w:ascii="Calibri" w:hAnsi="Calibri"/>
          <w:sz w:val="24"/>
          <w:szCs w:val="24"/>
        </w:rPr>
        <w:t xml:space="preserve"> end-2012 and was inaugurated in November 2014. This added 340 meters of quay with a 13 meter draught alongside, raising the overall container terminal quay length to around 600 meters.</w:t>
      </w:r>
    </w:p>
    <w:p w14:paraId="62759506" w14:textId="77777777" w:rsidR="004B6006" w:rsidRPr="004B2A73" w:rsidRDefault="004B6006" w:rsidP="004B6006">
      <w:pPr>
        <w:spacing w:after="0" w:line="240" w:lineRule="auto"/>
        <w:rPr>
          <w:rFonts w:ascii="Calibri" w:hAnsi="Calibri"/>
          <w:sz w:val="24"/>
          <w:szCs w:val="24"/>
        </w:rPr>
      </w:pPr>
    </w:p>
    <w:p w14:paraId="53E2E0CB" w14:textId="77777777" w:rsidR="00627628" w:rsidRPr="004B2A73" w:rsidRDefault="00627628" w:rsidP="000B217C">
      <w:pPr>
        <w:pStyle w:val="Heading3"/>
      </w:pPr>
      <w:r w:rsidRPr="004B2A73">
        <w:t>Freetown (Sierra Leone)</w:t>
      </w:r>
    </w:p>
    <w:p w14:paraId="41D6AEE0" w14:textId="77777777" w:rsidR="004B6006" w:rsidRPr="004B2A73" w:rsidRDefault="004B6006" w:rsidP="004B6006">
      <w:pPr>
        <w:spacing w:after="0" w:line="240" w:lineRule="auto"/>
        <w:rPr>
          <w:rFonts w:ascii="Calibri" w:hAnsi="Calibri"/>
          <w:sz w:val="24"/>
          <w:szCs w:val="24"/>
        </w:rPr>
      </w:pPr>
    </w:p>
    <w:p w14:paraId="63FFAD20"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port of Freetown is the main gateway port for Sierra Leone. The Sierra Leone Port Authority (SLPA) has been operating the port on a public-service management model until March 2011, when the 25-year concession attributed to BAL in November 2010 took effect. The initial concession agreement concerned the port’s container terminal at berths 3-6. The following year, the new terminal management company Freetown Terminal concluded an agreement to manage and maintain berths 1 and 2, thus assuming operation of </w:t>
      </w:r>
      <w:r w:rsidR="001D4DE2" w:rsidRPr="004B2A73">
        <w:rPr>
          <w:rFonts w:ascii="Calibri" w:hAnsi="Calibri"/>
          <w:sz w:val="24"/>
          <w:szCs w:val="24"/>
        </w:rPr>
        <w:t>all the</w:t>
      </w:r>
      <w:r w:rsidRPr="004B2A73">
        <w:rPr>
          <w:rFonts w:ascii="Calibri" w:hAnsi="Calibri"/>
          <w:sz w:val="24"/>
          <w:szCs w:val="24"/>
        </w:rPr>
        <w:t xml:space="preserve"> container berths. At the time of the concession, terminal capacity was estimated at 75,000 TEUs per year. The extension work completed in 2015 increased this capacity to 150,000 TEUs.</w:t>
      </w:r>
    </w:p>
    <w:p w14:paraId="62A19816" w14:textId="77777777" w:rsidR="004B6006" w:rsidRPr="004B2A73" w:rsidRDefault="004B6006" w:rsidP="004B6006">
      <w:pPr>
        <w:spacing w:after="0" w:line="240" w:lineRule="auto"/>
        <w:rPr>
          <w:rFonts w:ascii="Calibri" w:hAnsi="Calibri"/>
          <w:sz w:val="24"/>
          <w:szCs w:val="24"/>
        </w:rPr>
      </w:pPr>
    </w:p>
    <w:p w14:paraId="6C5480AC" w14:textId="77777777" w:rsidR="00627628" w:rsidRPr="004B2A73" w:rsidRDefault="00627628" w:rsidP="000B217C">
      <w:pPr>
        <w:pStyle w:val="Heading3"/>
      </w:pPr>
      <w:r w:rsidRPr="004B2A73">
        <w:t>Monrovia (Liberia)</w:t>
      </w:r>
    </w:p>
    <w:p w14:paraId="00D929EB" w14:textId="77777777" w:rsidR="004B6006" w:rsidRPr="004B2A73" w:rsidRDefault="004B6006" w:rsidP="004B6006">
      <w:pPr>
        <w:spacing w:after="0" w:line="240" w:lineRule="auto"/>
        <w:rPr>
          <w:rFonts w:ascii="Calibri" w:hAnsi="Calibri"/>
          <w:sz w:val="24"/>
          <w:szCs w:val="24"/>
        </w:rPr>
      </w:pPr>
    </w:p>
    <w:p w14:paraId="2629D159"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Freeport of Monrovia is the main gateway to Liberia. The port’s facilities significantly deteriorated due to the lack of upgrade and maintenance, especially during Liberia’s political crisis. In March 2010, the National Port Authority of Liberia awarded a 25-year concession to rehabilitate and operate the port’s container terminal to APMT, which assumed operational control in October 2010. The concession agreement included the requirement to upgrade the port within a period of three years, with a committed investment of </w:t>
      </w:r>
      <w:r w:rsidR="00547215" w:rsidRPr="004B2A73">
        <w:rPr>
          <w:rFonts w:ascii="Calibri" w:hAnsi="Calibri"/>
          <w:sz w:val="24"/>
          <w:szCs w:val="24"/>
        </w:rPr>
        <w:t>US$</w:t>
      </w:r>
      <w:r w:rsidRPr="004B2A73">
        <w:rPr>
          <w:rFonts w:ascii="Calibri" w:hAnsi="Calibri"/>
          <w:sz w:val="24"/>
          <w:szCs w:val="24"/>
        </w:rPr>
        <w:t>120 million. The extension of the port was officially opened in May 2013, a few months ahead of schedule. Additional investments are being carried out to upgrade yard and gate facilities in and around the terminal.</w:t>
      </w:r>
    </w:p>
    <w:p w14:paraId="2D5106EC" w14:textId="77777777" w:rsidR="004B6006" w:rsidRPr="004B2A73" w:rsidRDefault="004B6006" w:rsidP="004B6006">
      <w:pPr>
        <w:spacing w:after="0" w:line="240" w:lineRule="auto"/>
        <w:rPr>
          <w:rFonts w:ascii="Calibri" w:hAnsi="Calibri"/>
          <w:sz w:val="24"/>
          <w:szCs w:val="24"/>
        </w:rPr>
      </w:pPr>
    </w:p>
    <w:p w14:paraId="18834492" w14:textId="77777777" w:rsidR="00627628" w:rsidRPr="004B2A73" w:rsidRDefault="00627628" w:rsidP="000B217C">
      <w:pPr>
        <w:pStyle w:val="Heading3"/>
      </w:pPr>
      <w:r w:rsidRPr="004B2A73">
        <w:lastRenderedPageBreak/>
        <w:t>San Pedro (Cote d’Ivoire)</w:t>
      </w:r>
    </w:p>
    <w:p w14:paraId="7EEA530A" w14:textId="77777777" w:rsidR="004B6006" w:rsidRPr="004B2A73" w:rsidRDefault="004B6006" w:rsidP="004B6006">
      <w:pPr>
        <w:spacing w:after="0" w:line="240" w:lineRule="auto"/>
        <w:rPr>
          <w:rFonts w:ascii="Calibri" w:hAnsi="Calibri"/>
          <w:sz w:val="24"/>
          <w:szCs w:val="24"/>
        </w:rPr>
      </w:pPr>
    </w:p>
    <w:p w14:paraId="7E809F74" w14:textId="07944E94"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w:t>
      </w:r>
      <w:r w:rsidRPr="004B2A73">
        <w:rPr>
          <w:rFonts w:ascii="Calibri" w:hAnsi="Calibri"/>
          <w:i/>
          <w:sz w:val="24"/>
          <w:szCs w:val="24"/>
        </w:rPr>
        <w:t>Port Autonome de San Pedro</w:t>
      </w:r>
      <w:r w:rsidRPr="004B2A73">
        <w:rPr>
          <w:rFonts w:ascii="Calibri" w:hAnsi="Calibri"/>
          <w:sz w:val="24"/>
          <w:szCs w:val="24"/>
        </w:rPr>
        <w:t xml:space="preserve"> is Cote d’Ivoire’s second largest port, situated 350 km </w:t>
      </w:r>
      <w:r w:rsidR="001D4DE2" w:rsidRPr="004B2A73">
        <w:rPr>
          <w:rFonts w:ascii="Calibri" w:hAnsi="Calibri"/>
          <w:sz w:val="24"/>
          <w:szCs w:val="24"/>
        </w:rPr>
        <w:t>w</w:t>
      </w:r>
      <w:r w:rsidRPr="004B2A73">
        <w:rPr>
          <w:rFonts w:ascii="Calibri" w:hAnsi="Calibri"/>
          <w:sz w:val="24"/>
          <w:szCs w:val="24"/>
        </w:rPr>
        <w:t xml:space="preserve">est of Abidjan. The port handles several cargo types, with cocoa exports representing a large share of total throughput. A 15-year concession for the container terminal was awarded to MSC in September 2008, after an open competition to develop a </w:t>
      </w:r>
      <w:r w:rsidR="005F59DF" w:rsidRPr="004B2A73">
        <w:rPr>
          <w:rFonts w:ascii="Calibri" w:hAnsi="Calibri"/>
          <w:sz w:val="24"/>
          <w:szCs w:val="24"/>
        </w:rPr>
        <w:t>transshipment</w:t>
      </w:r>
      <w:r w:rsidRPr="004B2A73">
        <w:rPr>
          <w:rFonts w:ascii="Calibri" w:hAnsi="Calibri"/>
          <w:sz w:val="24"/>
          <w:szCs w:val="24"/>
        </w:rPr>
        <w:t xml:space="preserve"> hub with a capacity of 0.5 million TEUs per year. This has led to a significant increase of transshipment operations in the port, which grew from virtually nothing in 2009 to over 3.1 million tons in 2014. Although MSC did organize its transshipment operations from San Pedro, the opening of the new </w:t>
      </w:r>
      <w:r w:rsidR="00C922CA">
        <w:rPr>
          <w:rFonts w:ascii="Calibri" w:hAnsi="Calibri"/>
          <w:sz w:val="24"/>
          <w:szCs w:val="24"/>
        </w:rPr>
        <w:t>Lomé</w:t>
      </w:r>
      <w:r w:rsidRPr="004B2A73">
        <w:rPr>
          <w:rFonts w:ascii="Calibri" w:hAnsi="Calibri"/>
          <w:sz w:val="24"/>
          <w:szCs w:val="24"/>
        </w:rPr>
        <w:t xml:space="preserve"> Container Terminal (cf. below) marked a shift in the long term strategy of MSC for its West Africa hub which questions the position of San Pedro in the company’s operations.</w:t>
      </w:r>
    </w:p>
    <w:p w14:paraId="27720E44" w14:textId="77777777" w:rsidR="004B6006" w:rsidRPr="004B2A73" w:rsidRDefault="004B6006" w:rsidP="004B6006">
      <w:pPr>
        <w:spacing w:after="0" w:line="240" w:lineRule="auto"/>
        <w:rPr>
          <w:rFonts w:ascii="Calibri" w:hAnsi="Calibri"/>
          <w:sz w:val="24"/>
          <w:szCs w:val="24"/>
        </w:rPr>
      </w:pPr>
    </w:p>
    <w:p w14:paraId="5D9A1A8C" w14:textId="77777777" w:rsidR="00627628" w:rsidRPr="004B2A73" w:rsidRDefault="00627628" w:rsidP="000B217C">
      <w:pPr>
        <w:pStyle w:val="Heading3"/>
      </w:pPr>
      <w:r w:rsidRPr="004B2A73">
        <w:t>Abidjan (Cote d’Ivoire)</w:t>
      </w:r>
    </w:p>
    <w:p w14:paraId="7BF95083" w14:textId="77777777" w:rsidR="004B6006" w:rsidRPr="004B2A73" w:rsidRDefault="004B6006" w:rsidP="004B6006">
      <w:pPr>
        <w:spacing w:after="0" w:line="240" w:lineRule="auto"/>
        <w:rPr>
          <w:rFonts w:ascii="Calibri" w:hAnsi="Calibri"/>
          <w:sz w:val="24"/>
          <w:szCs w:val="24"/>
        </w:rPr>
      </w:pPr>
    </w:p>
    <w:p w14:paraId="2692A1C2"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w:t>
      </w:r>
      <w:r w:rsidRPr="004B2A73">
        <w:rPr>
          <w:rFonts w:ascii="Calibri" w:hAnsi="Calibri"/>
          <w:i/>
          <w:sz w:val="24"/>
          <w:szCs w:val="24"/>
        </w:rPr>
        <w:t>Port Autonome d’Abidjan</w:t>
      </w:r>
      <w:r w:rsidRPr="004B2A73">
        <w:rPr>
          <w:rFonts w:ascii="Calibri" w:hAnsi="Calibri"/>
          <w:sz w:val="24"/>
          <w:szCs w:val="24"/>
        </w:rPr>
        <w:t xml:space="preserve"> is the main port of Côte d’Ivoire. It has been a transit gateway for Mali and Burkina Faso, and enjoyed some success as a </w:t>
      </w:r>
      <w:r w:rsidR="00584134" w:rsidRPr="004B2A73">
        <w:rPr>
          <w:rFonts w:ascii="Calibri" w:hAnsi="Calibri"/>
          <w:sz w:val="24"/>
          <w:szCs w:val="24"/>
        </w:rPr>
        <w:t>transshipment</w:t>
      </w:r>
      <w:r w:rsidRPr="004B2A73">
        <w:rPr>
          <w:rFonts w:ascii="Calibri" w:hAnsi="Calibri"/>
          <w:sz w:val="24"/>
          <w:szCs w:val="24"/>
        </w:rPr>
        <w:t xml:space="preserve"> hub for West Africa. The port suffered badly on both fronts due to the country’s recent political crises</w:t>
      </w:r>
      <w:r w:rsidR="001D4DE2" w:rsidRPr="004B2A73">
        <w:rPr>
          <w:rFonts w:ascii="Calibri" w:hAnsi="Calibri"/>
          <w:sz w:val="24"/>
          <w:szCs w:val="24"/>
        </w:rPr>
        <w:t>,</w:t>
      </w:r>
      <w:r w:rsidRPr="004B2A73">
        <w:rPr>
          <w:rFonts w:ascii="Calibri" w:hAnsi="Calibri"/>
          <w:sz w:val="24"/>
          <w:szCs w:val="24"/>
        </w:rPr>
        <w:t xml:space="preserve"> but started to regain its position at the regional level since 2011. The port’s container terminal, Abidjan Terminal, also known as Vridi terminal, was opened in 1978 and managed by the port authority (</w:t>
      </w:r>
      <w:r w:rsidRPr="004B2A73">
        <w:rPr>
          <w:rFonts w:ascii="Calibri" w:hAnsi="Calibri"/>
          <w:i/>
          <w:sz w:val="24"/>
          <w:szCs w:val="24"/>
        </w:rPr>
        <w:t>Port Autonome d’Abidjan</w:t>
      </w:r>
      <w:r w:rsidRPr="004B2A73">
        <w:rPr>
          <w:rFonts w:ascii="Calibri" w:hAnsi="Calibri"/>
          <w:sz w:val="24"/>
          <w:szCs w:val="24"/>
        </w:rPr>
        <w:t xml:space="preserve"> - PAA). In October 2003, a concession agreement was signed with BAL through its local subsidiary SETV (</w:t>
      </w:r>
      <w:r w:rsidRPr="004B2A73">
        <w:rPr>
          <w:rFonts w:ascii="Calibri" w:hAnsi="Calibri"/>
          <w:i/>
          <w:sz w:val="24"/>
          <w:szCs w:val="24"/>
        </w:rPr>
        <w:t>Société d’Exploitation du Terminal de Vridi</w:t>
      </w:r>
      <w:r w:rsidRPr="004B2A73">
        <w:rPr>
          <w:rFonts w:ascii="Calibri" w:hAnsi="Calibri"/>
          <w:sz w:val="24"/>
          <w:szCs w:val="24"/>
        </w:rPr>
        <w:t>) for a duration of 15 years, extended later to 25 years. This concession was granted without competition on a single-source basis, triggering opposition to the process at the time, including within the Ivoirian Government. The terminal was transferred to the operator in March 2004, and expansion and modernization work started on both infrastructure and handling equipment. In July 2005, APMT acquired 40 percent of SETV from BAL.</w:t>
      </w:r>
    </w:p>
    <w:p w14:paraId="6254662B" w14:textId="77777777" w:rsidR="004B6006" w:rsidRPr="004B2A73" w:rsidRDefault="004B6006" w:rsidP="004B6006">
      <w:pPr>
        <w:spacing w:after="0" w:line="240" w:lineRule="auto"/>
        <w:rPr>
          <w:rFonts w:ascii="Calibri" w:hAnsi="Calibri"/>
          <w:sz w:val="24"/>
          <w:szCs w:val="24"/>
        </w:rPr>
      </w:pPr>
    </w:p>
    <w:p w14:paraId="5AE05F87"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growth of container traffic created the possibility </w:t>
      </w:r>
      <w:r w:rsidR="001D4DE2" w:rsidRPr="004B2A73">
        <w:rPr>
          <w:rFonts w:ascii="Calibri" w:hAnsi="Calibri"/>
          <w:sz w:val="24"/>
          <w:szCs w:val="24"/>
        </w:rPr>
        <w:t xml:space="preserve">of </w:t>
      </w:r>
      <w:r w:rsidRPr="004B2A73">
        <w:rPr>
          <w:rFonts w:ascii="Calibri" w:hAnsi="Calibri"/>
          <w:sz w:val="24"/>
          <w:szCs w:val="24"/>
        </w:rPr>
        <w:t>develop</w:t>
      </w:r>
      <w:r w:rsidR="001D4DE2" w:rsidRPr="004B2A73">
        <w:rPr>
          <w:rFonts w:ascii="Calibri" w:hAnsi="Calibri"/>
          <w:sz w:val="24"/>
          <w:szCs w:val="24"/>
        </w:rPr>
        <w:t>ing</w:t>
      </w:r>
      <w:r w:rsidRPr="004B2A73">
        <w:rPr>
          <w:rFonts w:ascii="Calibri" w:hAnsi="Calibri"/>
          <w:sz w:val="24"/>
          <w:szCs w:val="24"/>
        </w:rPr>
        <w:t xml:space="preserve"> a second container terminal (TC2) to ensure sufficient capacity to accommodate future traffic and promote intra-port competition. Although the initial intent was to prevent the operator of the first terminal to compete for the concession of the TC2, a consortium of the two SETV partners plus Bouygues was selected as preferred bidder and awarded the TC2 concession in June 2013 for a 21-year duration. The consortium offered an entry ticket of 120 million euros, an annual concession fee of 22 million euros, and committed to invest 400 million euros. The TC2 is planned to extend the port’s capacity by 600,000 TEU. The new deep-sea facility will include 1,100 meters of quay length and 35 hectares of container yard, and will be capable to accommodate containerships of up to 8,000 TEUs. TC2 is scheduled to start activities in 2018.</w:t>
      </w:r>
    </w:p>
    <w:p w14:paraId="6CBDAB10" w14:textId="77777777" w:rsidR="004B6006" w:rsidRPr="004B2A73" w:rsidRDefault="004B6006" w:rsidP="004B6006">
      <w:pPr>
        <w:spacing w:after="0" w:line="240" w:lineRule="auto"/>
        <w:rPr>
          <w:rFonts w:ascii="Calibri" w:hAnsi="Calibri"/>
          <w:sz w:val="24"/>
          <w:szCs w:val="24"/>
        </w:rPr>
      </w:pPr>
    </w:p>
    <w:p w14:paraId="435869AB" w14:textId="77777777" w:rsidR="00627628" w:rsidRPr="004B2A73" w:rsidRDefault="00627628" w:rsidP="000B217C">
      <w:pPr>
        <w:pStyle w:val="Heading3"/>
      </w:pPr>
      <w:r w:rsidRPr="004B2A73">
        <w:t>Takoradi (Ghana)</w:t>
      </w:r>
    </w:p>
    <w:p w14:paraId="31DA8B7B" w14:textId="77777777" w:rsidR="004B6006" w:rsidRPr="004B2A73" w:rsidRDefault="004B6006" w:rsidP="004B6006">
      <w:pPr>
        <w:spacing w:after="0" w:line="240" w:lineRule="auto"/>
        <w:rPr>
          <w:rFonts w:ascii="Calibri" w:hAnsi="Calibri"/>
          <w:sz w:val="24"/>
          <w:szCs w:val="24"/>
        </w:rPr>
      </w:pPr>
    </w:p>
    <w:p w14:paraId="2825B6AA"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Takoradi is Ghana’s second major port and is operated under a service model by the Ghana Ports and Harbours Authority (GPHA). The port’s activities are focused on bulk cargo and oil. </w:t>
      </w:r>
      <w:r w:rsidRPr="004B2A73">
        <w:rPr>
          <w:rFonts w:ascii="Calibri" w:hAnsi="Calibri"/>
          <w:sz w:val="24"/>
          <w:szCs w:val="24"/>
        </w:rPr>
        <w:lastRenderedPageBreak/>
        <w:t>Containerized traffic is limited, reaching around 50,000 TEUs in recent years. Quay length for containers reach 190 meters and draught is limited at 9 meters.</w:t>
      </w:r>
    </w:p>
    <w:p w14:paraId="49DD6E73" w14:textId="77777777" w:rsidR="004B6006" w:rsidRPr="004B2A73" w:rsidRDefault="004B6006" w:rsidP="004B6006">
      <w:pPr>
        <w:spacing w:after="0" w:line="240" w:lineRule="auto"/>
        <w:rPr>
          <w:rFonts w:ascii="Calibri" w:hAnsi="Calibri"/>
          <w:sz w:val="24"/>
          <w:szCs w:val="24"/>
        </w:rPr>
      </w:pPr>
    </w:p>
    <w:p w14:paraId="4EE311AF" w14:textId="77777777" w:rsidR="00627628" w:rsidRPr="004B2A73" w:rsidRDefault="00627628" w:rsidP="000B217C">
      <w:pPr>
        <w:pStyle w:val="Heading3"/>
      </w:pPr>
      <w:r w:rsidRPr="004B2A73">
        <w:t>Tema (Ghana)</w:t>
      </w:r>
    </w:p>
    <w:p w14:paraId="782A5397" w14:textId="77777777" w:rsidR="004B6006" w:rsidRPr="004B2A73" w:rsidRDefault="004B6006" w:rsidP="004B6006">
      <w:pPr>
        <w:spacing w:after="0" w:line="240" w:lineRule="auto"/>
        <w:rPr>
          <w:rFonts w:ascii="Calibri" w:hAnsi="Calibri"/>
          <w:sz w:val="24"/>
          <w:szCs w:val="24"/>
        </w:rPr>
      </w:pPr>
    </w:p>
    <w:p w14:paraId="0AD5D313"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Tema port, located around 30km East of the capital Accra, is</w:t>
      </w:r>
      <w:r w:rsidR="0083214B" w:rsidRPr="004B2A73">
        <w:rPr>
          <w:rFonts w:ascii="Calibri" w:hAnsi="Calibri"/>
          <w:sz w:val="24"/>
          <w:szCs w:val="24"/>
        </w:rPr>
        <w:t xml:space="preserve"> the</w:t>
      </w:r>
      <w:r w:rsidRPr="004B2A73">
        <w:rPr>
          <w:rFonts w:ascii="Calibri" w:hAnsi="Calibri"/>
          <w:sz w:val="24"/>
          <w:szCs w:val="24"/>
        </w:rPr>
        <w:t xml:space="preserve"> leading port in Ghana and one of the main ports in the region in terms of container throughput. In August 2004, the concession for the development and operation of a container terminal was awarded for a duration of 20 years to Meridian Port Services (MPS), a partnership between the companies APMT and BAL (35</w:t>
      </w:r>
      <w:r w:rsidR="005F59DF" w:rsidRPr="004B2A73">
        <w:rPr>
          <w:rFonts w:ascii="Calibri" w:hAnsi="Calibri"/>
          <w:sz w:val="24"/>
          <w:szCs w:val="24"/>
        </w:rPr>
        <w:t xml:space="preserve"> percent</w:t>
      </w:r>
      <w:r w:rsidRPr="004B2A73">
        <w:rPr>
          <w:rFonts w:ascii="Calibri" w:hAnsi="Calibri"/>
          <w:sz w:val="24"/>
          <w:szCs w:val="24"/>
        </w:rPr>
        <w:t xml:space="preserve"> each) and the Ghana Ports &amp; Harbours Authority (GPHA) (30</w:t>
      </w:r>
      <w:r w:rsidR="005F59DF" w:rsidRPr="004B2A73">
        <w:rPr>
          <w:rFonts w:ascii="Calibri" w:hAnsi="Calibri"/>
          <w:sz w:val="24"/>
          <w:szCs w:val="24"/>
        </w:rPr>
        <w:t xml:space="preserve"> percent</w:t>
      </w:r>
      <w:r w:rsidRPr="004B2A73">
        <w:rPr>
          <w:rFonts w:ascii="Calibri" w:hAnsi="Calibri"/>
          <w:sz w:val="24"/>
          <w:szCs w:val="24"/>
        </w:rPr>
        <w:t>). The creation of a container terminal required extensive demolition followed by construction work, which started respectively in June 2005 and August 2006. The terminal became partly operational in April 2007, when MPS took over container handling operations</w:t>
      </w:r>
      <w:r w:rsidR="0083214B" w:rsidRPr="004B2A73">
        <w:rPr>
          <w:rFonts w:ascii="Calibri" w:hAnsi="Calibri"/>
          <w:sz w:val="24"/>
          <w:szCs w:val="24"/>
        </w:rPr>
        <w:t>,</w:t>
      </w:r>
      <w:r w:rsidRPr="004B2A73">
        <w:rPr>
          <w:rFonts w:ascii="Calibri" w:hAnsi="Calibri"/>
          <w:sz w:val="24"/>
          <w:szCs w:val="24"/>
        </w:rPr>
        <w:t xml:space="preserve"> and the construction work was completed in February 2008. At that time, the container terminal had an annual capacity of 0.5 million TEUs, which was regularly expanded by MPS, first to 750,000 TEUs, and then in June 2013, to 1 million TEUs, by acquiring quay and yard handling equipment (a </w:t>
      </w:r>
      <w:r w:rsidR="00547215" w:rsidRPr="004B2A73">
        <w:rPr>
          <w:rFonts w:ascii="Calibri" w:hAnsi="Calibri"/>
          <w:sz w:val="24"/>
          <w:szCs w:val="24"/>
        </w:rPr>
        <w:t>US$</w:t>
      </w:r>
      <w:r w:rsidRPr="004B2A73">
        <w:rPr>
          <w:rFonts w:ascii="Calibri" w:hAnsi="Calibri"/>
          <w:sz w:val="24"/>
          <w:szCs w:val="24"/>
        </w:rPr>
        <w:t>50 million investment) to increase berth productivity and the storage capacity of the yard (converting from reach stacker to RTG operation). Around 20 percent of container traffic is handled in multipurpose berths run by GPHA and other local operators.</w:t>
      </w:r>
    </w:p>
    <w:p w14:paraId="480F4643" w14:textId="77777777" w:rsidR="004B6006" w:rsidRPr="004B2A73" w:rsidRDefault="004B6006" w:rsidP="004B6006">
      <w:pPr>
        <w:spacing w:after="0" w:line="240" w:lineRule="auto"/>
        <w:rPr>
          <w:rFonts w:ascii="Calibri" w:hAnsi="Calibri"/>
          <w:sz w:val="24"/>
          <w:szCs w:val="24"/>
        </w:rPr>
      </w:pPr>
    </w:p>
    <w:p w14:paraId="0D074153"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In November 2014, GPHA and MPS signed a MoU for a major extension at the port of Tema, comprising four deep water berths, dredging of the access channel and a six-lane highway between Tema and Accra, with total investment estimated at </w:t>
      </w:r>
      <w:r w:rsidR="00547215" w:rsidRPr="004B2A73">
        <w:rPr>
          <w:rFonts w:ascii="Calibri" w:hAnsi="Calibri"/>
          <w:sz w:val="24"/>
          <w:szCs w:val="24"/>
        </w:rPr>
        <w:t>US$</w:t>
      </w:r>
      <w:r w:rsidRPr="004B2A73">
        <w:rPr>
          <w:rFonts w:ascii="Calibri" w:hAnsi="Calibri"/>
          <w:sz w:val="24"/>
          <w:szCs w:val="24"/>
        </w:rPr>
        <w:t>1.5 billion. The construction work for the extension is expected to start mid-2015, with two berths completed by October 2016, and final completion by December 2018. The final capacity of the port of Tema would increase from the current 1 million TEUs to 3.5 million TEUs.</w:t>
      </w:r>
    </w:p>
    <w:p w14:paraId="6A61BD7B" w14:textId="77777777" w:rsidR="004B6006" w:rsidRPr="004B2A73" w:rsidRDefault="004B6006" w:rsidP="004B6006">
      <w:pPr>
        <w:spacing w:after="0" w:line="240" w:lineRule="auto"/>
        <w:rPr>
          <w:rFonts w:ascii="Calibri" w:hAnsi="Calibri"/>
          <w:sz w:val="24"/>
          <w:szCs w:val="24"/>
        </w:rPr>
      </w:pPr>
    </w:p>
    <w:p w14:paraId="42AEF798" w14:textId="77777777" w:rsidR="00627628" w:rsidRPr="004B2A73" w:rsidRDefault="00627628" w:rsidP="000B217C">
      <w:pPr>
        <w:pStyle w:val="Heading3"/>
      </w:pPr>
      <w:r w:rsidRPr="004B2A73">
        <w:t>Lomé (Togo)</w:t>
      </w:r>
    </w:p>
    <w:p w14:paraId="4D5D48E0" w14:textId="77777777" w:rsidR="004B6006" w:rsidRPr="004B2A73" w:rsidRDefault="004B6006" w:rsidP="004B6006">
      <w:pPr>
        <w:spacing w:after="0" w:line="240" w:lineRule="auto"/>
        <w:rPr>
          <w:rFonts w:ascii="Calibri" w:hAnsi="Calibri"/>
          <w:sz w:val="24"/>
          <w:szCs w:val="24"/>
        </w:rPr>
      </w:pPr>
    </w:p>
    <w:p w14:paraId="0EC19E3B"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The </w:t>
      </w:r>
      <w:r w:rsidRPr="004B2A73">
        <w:rPr>
          <w:rFonts w:ascii="Calibri" w:hAnsi="Calibri"/>
          <w:i/>
          <w:sz w:val="24"/>
          <w:szCs w:val="24"/>
        </w:rPr>
        <w:t>Port Autonome de Lomé</w:t>
      </w:r>
      <w:r w:rsidRPr="004B2A73">
        <w:rPr>
          <w:rFonts w:ascii="Calibri" w:hAnsi="Calibri"/>
          <w:sz w:val="24"/>
          <w:szCs w:val="24"/>
        </w:rPr>
        <w:t xml:space="preserve"> in Togo is the only port along the West African coast with a natural depth of 14 meters. Container handling at the port of Lomé has been historically operated in a two-berth pier located on either side of a narrow jetty. In 2010, BAL was awarded a 35-year concession to operate the container terminal Togo Terminal. In March 2011, the extension work for Togo Terminal was launched, for an additional quay of 450 meters and 16 hectares of yard space, which became operational in October 2014.</w:t>
      </w:r>
    </w:p>
    <w:p w14:paraId="34E003A4" w14:textId="77777777" w:rsidR="005136E5" w:rsidRPr="004B2A73" w:rsidRDefault="005136E5" w:rsidP="004B6006">
      <w:pPr>
        <w:spacing w:after="0" w:line="240" w:lineRule="auto"/>
        <w:rPr>
          <w:rFonts w:ascii="Calibri" w:hAnsi="Calibri"/>
          <w:sz w:val="24"/>
          <w:szCs w:val="24"/>
        </w:rPr>
      </w:pPr>
    </w:p>
    <w:p w14:paraId="10F88BFD" w14:textId="48CD0492"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A second concession was signed in December 2008 for the development of a new greenfield container terminal with </w:t>
      </w:r>
      <w:r w:rsidR="00C922CA">
        <w:rPr>
          <w:rFonts w:ascii="Calibri" w:hAnsi="Calibri"/>
          <w:sz w:val="24"/>
          <w:szCs w:val="24"/>
        </w:rPr>
        <w:t>Lomé</w:t>
      </w:r>
      <w:r w:rsidRPr="004B2A73">
        <w:rPr>
          <w:rFonts w:ascii="Calibri" w:hAnsi="Calibri"/>
          <w:sz w:val="24"/>
          <w:szCs w:val="24"/>
        </w:rPr>
        <w:t xml:space="preserve"> Container Terminal (LCT). LCT is owned by Thesar Maritime Limited, a Cyprus subsidiary of Global Terminal Limited. GTL is a sister company of Terminal Investment Limited (TIL), the terminal operating arm of MSC. GTL was absorbed in 2012 by TIL, while China Merchant Holding International (CMHI) acquired a share of 50</w:t>
      </w:r>
      <w:r w:rsidR="00BD38AF" w:rsidRPr="004B2A73">
        <w:rPr>
          <w:rFonts w:ascii="Calibri" w:hAnsi="Calibri"/>
          <w:sz w:val="24"/>
          <w:szCs w:val="24"/>
        </w:rPr>
        <w:t xml:space="preserve"> percent</w:t>
      </w:r>
      <w:r w:rsidRPr="004B2A73">
        <w:rPr>
          <w:rFonts w:ascii="Calibri" w:hAnsi="Calibri"/>
          <w:sz w:val="24"/>
          <w:szCs w:val="24"/>
        </w:rPr>
        <w:t xml:space="preserve"> in Thesar Maritime Limited (TML) in August 2012. The final shareholders of LCT are therefore now TIL/MSC and CMHI, holding 50</w:t>
      </w:r>
      <w:r w:rsidR="00BD38AF" w:rsidRPr="004B2A73">
        <w:rPr>
          <w:rFonts w:ascii="Calibri" w:hAnsi="Calibri"/>
          <w:sz w:val="24"/>
          <w:szCs w:val="24"/>
        </w:rPr>
        <w:t xml:space="preserve"> percent</w:t>
      </w:r>
      <w:r w:rsidRPr="004B2A73">
        <w:rPr>
          <w:rFonts w:ascii="Calibri" w:hAnsi="Calibri"/>
          <w:sz w:val="24"/>
          <w:szCs w:val="24"/>
        </w:rPr>
        <w:t xml:space="preserve"> each. The duration of the concession is 35 years, with an option </w:t>
      </w:r>
      <w:r w:rsidRPr="004B2A73">
        <w:rPr>
          <w:rFonts w:ascii="Calibri" w:hAnsi="Calibri"/>
          <w:sz w:val="24"/>
          <w:szCs w:val="24"/>
        </w:rPr>
        <w:lastRenderedPageBreak/>
        <w:t>for 10 more years. The terminal is a multi-user facility, not reserved for MSC. The Terminal entered into service in October 2014. The second phase of the development of LCT will enable it to reach a capacity of 1.65 million TEUs by end of 2016, once the 22 RTGs are delivered. As of beginning of 2015, LCT operates with 12 RTGs from Konecranes.</w:t>
      </w:r>
    </w:p>
    <w:p w14:paraId="2A1F217C" w14:textId="77777777" w:rsidR="004B6006" w:rsidRPr="004B2A73" w:rsidRDefault="004B6006" w:rsidP="004B6006">
      <w:pPr>
        <w:spacing w:after="0" w:line="240" w:lineRule="auto"/>
        <w:rPr>
          <w:rFonts w:ascii="Calibri" w:hAnsi="Calibri"/>
          <w:sz w:val="24"/>
          <w:szCs w:val="24"/>
        </w:rPr>
      </w:pPr>
    </w:p>
    <w:p w14:paraId="07544AD9" w14:textId="77777777" w:rsidR="00627628" w:rsidRPr="004B2A73" w:rsidRDefault="00627628" w:rsidP="000B217C">
      <w:pPr>
        <w:pStyle w:val="Heading3"/>
      </w:pPr>
      <w:r w:rsidRPr="004B2A73">
        <w:t>Cotonou (Benin)</w:t>
      </w:r>
    </w:p>
    <w:p w14:paraId="47C80E2B" w14:textId="77777777" w:rsidR="004B6006" w:rsidRPr="004B2A73" w:rsidRDefault="004B6006" w:rsidP="004B6006">
      <w:pPr>
        <w:spacing w:after="0" w:line="240" w:lineRule="auto"/>
        <w:rPr>
          <w:rFonts w:ascii="Calibri" w:hAnsi="Calibri"/>
          <w:sz w:val="24"/>
          <w:szCs w:val="24"/>
          <w:lang w:val="en-GB"/>
        </w:rPr>
      </w:pPr>
    </w:p>
    <w:p w14:paraId="60D46F52" w14:textId="77777777" w:rsidR="00627628" w:rsidRPr="004B2A73" w:rsidRDefault="00627628" w:rsidP="00A80E3D">
      <w:pPr>
        <w:spacing w:after="0" w:line="240" w:lineRule="auto"/>
        <w:jc w:val="both"/>
        <w:rPr>
          <w:rFonts w:ascii="Calibri" w:hAnsi="Calibri"/>
          <w:sz w:val="24"/>
          <w:szCs w:val="24"/>
          <w:lang w:val="en-GB"/>
        </w:rPr>
      </w:pPr>
      <w:r w:rsidRPr="004B2A73">
        <w:rPr>
          <w:rFonts w:ascii="Calibri" w:hAnsi="Calibri"/>
          <w:sz w:val="24"/>
          <w:szCs w:val="24"/>
          <w:lang w:val="en-GB"/>
        </w:rPr>
        <w:t xml:space="preserve">The </w:t>
      </w:r>
      <w:r w:rsidRPr="004B2A73">
        <w:rPr>
          <w:rFonts w:ascii="Calibri" w:hAnsi="Calibri"/>
          <w:i/>
          <w:sz w:val="24"/>
          <w:szCs w:val="24"/>
          <w:lang w:val="en-GB"/>
        </w:rPr>
        <w:t>Port Autonome de Cotonou</w:t>
      </w:r>
      <w:r w:rsidRPr="004B2A73">
        <w:rPr>
          <w:rFonts w:ascii="Calibri" w:hAnsi="Calibri"/>
          <w:sz w:val="24"/>
          <w:szCs w:val="24"/>
          <w:lang w:val="en-GB"/>
        </w:rPr>
        <w:t xml:space="preserve"> is the gateway port of Benin. A major share of the port’s throughput corresponds to transit traffic to neighboring countries. The rehabilitation and improvement of the port’s infrastructure has been funded by the Millennium Challenge Corporation (MCC) through a $170 million grant, part of a larger grant to the Republic of Benin. The grant agreement was signed in February 2006 and entered into force in October 2006. The grant enabled the construction of 550 meters of quay and 16.5 hectares of yard at the South Wharf.</w:t>
      </w:r>
    </w:p>
    <w:p w14:paraId="50BF859D" w14:textId="77777777" w:rsidR="00627628" w:rsidRPr="004B2A73" w:rsidRDefault="00627628" w:rsidP="00A80E3D">
      <w:pPr>
        <w:spacing w:after="0" w:line="240" w:lineRule="auto"/>
        <w:jc w:val="both"/>
        <w:rPr>
          <w:rFonts w:ascii="Calibri" w:hAnsi="Calibri"/>
          <w:sz w:val="24"/>
          <w:szCs w:val="24"/>
          <w:lang w:val="en-GB"/>
        </w:rPr>
      </w:pPr>
      <w:r w:rsidRPr="004B2A73">
        <w:rPr>
          <w:rFonts w:ascii="Calibri" w:hAnsi="Calibri"/>
          <w:sz w:val="24"/>
          <w:szCs w:val="24"/>
          <w:lang w:val="en-GB"/>
        </w:rPr>
        <w:t>Prior to the creation of the container terminal, three stevedoring companies were licensed to handle containers: SMTC (local subsidiary of BAL), COMAN (subsidiary of Maersk Lines / APMT) and SOBEMAP (</w:t>
      </w:r>
      <w:r w:rsidRPr="004B2A73">
        <w:rPr>
          <w:rFonts w:ascii="Calibri" w:hAnsi="Calibri"/>
          <w:i/>
          <w:sz w:val="24"/>
          <w:szCs w:val="24"/>
          <w:lang w:val="en-GB"/>
        </w:rPr>
        <w:t>Société Béninoise de Manutentions Portuaires</w:t>
      </w:r>
      <w:r w:rsidRPr="004B2A73">
        <w:rPr>
          <w:rFonts w:ascii="Calibri" w:hAnsi="Calibri"/>
          <w:sz w:val="24"/>
          <w:szCs w:val="24"/>
          <w:lang w:val="en-GB"/>
        </w:rPr>
        <w:t xml:space="preserve">, a Beninese parastatal which had the monopoly over all port operations until 1998). A 25-year lease agreement was signed in 2007 with the two private companies, each of which handles nearly half of </w:t>
      </w:r>
      <w:r w:rsidR="0083214B" w:rsidRPr="004B2A73">
        <w:rPr>
          <w:rFonts w:ascii="Calibri" w:hAnsi="Calibri"/>
          <w:sz w:val="24"/>
          <w:szCs w:val="24"/>
          <w:lang w:val="en-GB"/>
        </w:rPr>
        <w:t xml:space="preserve">the </w:t>
      </w:r>
      <w:r w:rsidRPr="004B2A73">
        <w:rPr>
          <w:rFonts w:ascii="Calibri" w:hAnsi="Calibri"/>
          <w:sz w:val="24"/>
          <w:szCs w:val="24"/>
          <w:lang w:val="en-GB"/>
        </w:rPr>
        <w:t xml:space="preserve">containers. The SOBEMAP, which has a marginal market share, has had a one year renewable lease since 1998. </w:t>
      </w:r>
    </w:p>
    <w:p w14:paraId="5E75B64B" w14:textId="77777777" w:rsidR="005136E5" w:rsidRPr="004B2A73" w:rsidRDefault="005136E5" w:rsidP="004B6006">
      <w:pPr>
        <w:spacing w:after="0" w:line="240" w:lineRule="auto"/>
        <w:rPr>
          <w:rFonts w:ascii="Calibri" w:hAnsi="Calibri"/>
          <w:sz w:val="24"/>
          <w:szCs w:val="24"/>
          <w:lang w:val="en-GB"/>
        </w:rPr>
      </w:pPr>
    </w:p>
    <w:p w14:paraId="64DF486A" w14:textId="77777777" w:rsidR="00627628" w:rsidRPr="004B2A73" w:rsidRDefault="00627628" w:rsidP="00A80E3D">
      <w:pPr>
        <w:spacing w:after="0" w:line="240" w:lineRule="auto"/>
        <w:jc w:val="both"/>
        <w:rPr>
          <w:rFonts w:ascii="Calibri" w:hAnsi="Calibri"/>
          <w:sz w:val="24"/>
          <w:szCs w:val="24"/>
          <w:lang w:val="en-GB"/>
        </w:rPr>
      </w:pPr>
      <w:r w:rsidRPr="004B2A73">
        <w:rPr>
          <w:rFonts w:ascii="Calibri" w:hAnsi="Calibri"/>
          <w:sz w:val="24"/>
          <w:szCs w:val="24"/>
          <w:lang w:val="en-GB"/>
        </w:rPr>
        <w:t>The operations of the container terminal were awarded through a competitive process to Benin Terminal (75</w:t>
      </w:r>
      <w:r w:rsidR="00BD38AF" w:rsidRPr="004B2A73">
        <w:rPr>
          <w:rFonts w:ascii="Calibri" w:hAnsi="Calibri"/>
          <w:sz w:val="24"/>
          <w:szCs w:val="24"/>
          <w:lang w:val="en-GB"/>
        </w:rPr>
        <w:t xml:space="preserve"> percent</w:t>
      </w:r>
      <w:r w:rsidRPr="004B2A73">
        <w:rPr>
          <w:rFonts w:ascii="Calibri" w:hAnsi="Calibri"/>
          <w:sz w:val="24"/>
          <w:szCs w:val="24"/>
          <w:lang w:val="en-GB"/>
        </w:rPr>
        <w:t xml:space="preserve"> BAL, and 25</w:t>
      </w:r>
      <w:r w:rsidR="00BD38AF" w:rsidRPr="004B2A73">
        <w:rPr>
          <w:rFonts w:ascii="Calibri" w:hAnsi="Calibri"/>
          <w:sz w:val="24"/>
          <w:szCs w:val="24"/>
          <w:lang w:val="en-GB"/>
        </w:rPr>
        <w:t xml:space="preserve"> percent</w:t>
      </w:r>
      <w:r w:rsidRPr="004B2A73">
        <w:rPr>
          <w:rFonts w:ascii="Calibri" w:hAnsi="Calibri"/>
          <w:sz w:val="24"/>
          <w:szCs w:val="24"/>
          <w:lang w:val="en-GB"/>
        </w:rPr>
        <w:t xml:space="preserve"> SMTC) and the concession signed in September 2009. The construction work on the new terminal started in September 2009 and was completed in April 2013, when two ship-to-shore cranes were delivered. Two additional STS cranes were delivered in January 2015. Construction work included the extension of quay length from 220 meters prior to the concession to 540 meters today</w:t>
      </w:r>
      <w:r w:rsidR="0083214B" w:rsidRPr="004B2A73">
        <w:rPr>
          <w:rFonts w:ascii="Calibri" w:hAnsi="Calibri"/>
          <w:sz w:val="24"/>
          <w:szCs w:val="24"/>
          <w:lang w:val="en-GB"/>
        </w:rPr>
        <w:t>.</w:t>
      </w:r>
    </w:p>
    <w:p w14:paraId="64E9FD4C" w14:textId="77777777" w:rsidR="004B6006" w:rsidRPr="004B2A73" w:rsidRDefault="004B6006" w:rsidP="004B6006">
      <w:pPr>
        <w:spacing w:after="0" w:line="240" w:lineRule="auto"/>
        <w:rPr>
          <w:rFonts w:ascii="Calibri" w:hAnsi="Calibri"/>
          <w:sz w:val="24"/>
          <w:szCs w:val="24"/>
          <w:lang w:val="en-GB"/>
        </w:rPr>
      </w:pPr>
    </w:p>
    <w:p w14:paraId="7FA730EF" w14:textId="77777777" w:rsidR="00627628" w:rsidRPr="004B2A73" w:rsidRDefault="00627628" w:rsidP="00A80E3D">
      <w:pPr>
        <w:spacing w:after="0" w:line="240" w:lineRule="auto"/>
        <w:jc w:val="both"/>
        <w:rPr>
          <w:rFonts w:ascii="Calibri" w:hAnsi="Calibri"/>
          <w:sz w:val="24"/>
          <w:szCs w:val="24"/>
          <w:lang w:val="en-GB"/>
        </w:rPr>
      </w:pPr>
      <w:r w:rsidRPr="004B2A73">
        <w:rPr>
          <w:rFonts w:ascii="Calibri" w:hAnsi="Calibri"/>
          <w:sz w:val="24"/>
          <w:szCs w:val="24"/>
          <w:lang w:val="en-GB"/>
        </w:rPr>
        <w:t>In order to reduce congestion in Cotonou, there have been plans for several years to develop a new deep-sea port in Sèmè-Podji, some 20 km east of the existing port, but the project is still at the drawing phase.</w:t>
      </w:r>
    </w:p>
    <w:p w14:paraId="4C0D4958" w14:textId="77777777" w:rsidR="004B6006" w:rsidRPr="004B2A73" w:rsidRDefault="004B6006" w:rsidP="004B6006">
      <w:pPr>
        <w:spacing w:after="0" w:line="240" w:lineRule="auto"/>
        <w:rPr>
          <w:rFonts w:ascii="Calibri" w:hAnsi="Calibri"/>
          <w:sz w:val="24"/>
          <w:szCs w:val="24"/>
          <w:lang w:val="en-GB"/>
        </w:rPr>
      </w:pPr>
    </w:p>
    <w:p w14:paraId="34C38D03" w14:textId="77777777" w:rsidR="00627628" w:rsidRPr="004B2A73" w:rsidRDefault="00627628" w:rsidP="000B217C">
      <w:pPr>
        <w:pStyle w:val="Heading3"/>
      </w:pPr>
      <w:r w:rsidRPr="004B2A73">
        <w:t>Badagry (Nigeria)</w:t>
      </w:r>
    </w:p>
    <w:p w14:paraId="4D056FF9" w14:textId="77777777" w:rsidR="004B6006" w:rsidRPr="004B2A73" w:rsidRDefault="004B6006" w:rsidP="004B6006">
      <w:pPr>
        <w:spacing w:after="0" w:line="240" w:lineRule="auto"/>
        <w:rPr>
          <w:rFonts w:ascii="Calibri" w:hAnsi="Calibri"/>
          <w:sz w:val="24"/>
          <w:szCs w:val="24"/>
        </w:rPr>
      </w:pPr>
    </w:p>
    <w:p w14:paraId="64A59306"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In November 2012, APM Terminals launched the Badagry port project, a greenfield development about 50 km west of Lagos, which is adjoining a Free Trade Zone and includes a container terminal with a final estimated capacity of 2 million TEU per year. The new port aims at reducing congestion in Lagos and serving the country’s Western and Northern States. The project has been promoted by a consortium led by APMT and including TIL, the Macquarie Group (an Australian fund manager), and Nigerian oil and gas companies Orlean Invest and Oando. In July 2014, this consortium signed a concession agreement with the Nigerian authorities to build and operate the terminal. Construction started in early 2015 and the expected date of completion is 2019.</w:t>
      </w:r>
    </w:p>
    <w:p w14:paraId="3F0638C7" w14:textId="77777777" w:rsidR="004B6006" w:rsidRPr="004B2A73" w:rsidRDefault="004B6006" w:rsidP="004B6006">
      <w:pPr>
        <w:spacing w:after="0" w:line="240" w:lineRule="auto"/>
        <w:rPr>
          <w:rFonts w:ascii="Calibri" w:hAnsi="Calibri"/>
          <w:sz w:val="24"/>
          <w:szCs w:val="24"/>
        </w:rPr>
      </w:pPr>
    </w:p>
    <w:p w14:paraId="6CBCFDD6" w14:textId="77777777" w:rsidR="00627628" w:rsidRPr="004B2A73" w:rsidRDefault="00627628" w:rsidP="000B217C">
      <w:pPr>
        <w:pStyle w:val="Heading3"/>
      </w:pPr>
      <w:r w:rsidRPr="004B2A73">
        <w:t>Lagos (Nigeria)</w:t>
      </w:r>
    </w:p>
    <w:p w14:paraId="2962E8E3" w14:textId="77777777" w:rsidR="004B6006" w:rsidRPr="004B2A73" w:rsidRDefault="004B6006" w:rsidP="004B6006">
      <w:pPr>
        <w:spacing w:after="0" w:line="240" w:lineRule="auto"/>
        <w:rPr>
          <w:rFonts w:ascii="Calibri" w:hAnsi="Calibri"/>
          <w:sz w:val="24"/>
          <w:szCs w:val="24"/>
        </w:rPr>
      </w:pPr>
    </w:p>
    <w:p w14:paraId="528D26E7"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The Port of Lagos is Nigeria’s largest port with two main sections for containers, Apapa and Tin Can Island. Following the Nigerian port reform in 2005, Apapa and Tincan Island ports have been divided into five terminals and unbundled into 9 facilities concessioned in 2006. The main container facilities are:</w:t>
      </w:r>
    </w:p>
    <w:p w14:paraId="0C1A4EFA" w14:textId="77777777" w:rsidR="00627628" w:rsidRPr="004B2A73" w:rsidRDefault="00627628" w:rsidP="00E826B9">
      <w:pPr>
        <w:pStyle w:val="ListParagraph"/>
        <w:numPr>
          <w:ilvl w:val="0"/>
          <w:numId w:val="1"/>
        </w:numPr>
        <w:rPr>
          <w:rFonts w:ascii="Calibri" w:hAnsi="Calibri"/>
          <w:sz w:val="24"/>
        </w:rPr>
      </w:pPr>
      <w:r w:rsidRPr="004B2A73">
        <w:rPr>
          <w:rFonts w:ascii="Calibri" w:hAnsi="Calibri"/>
          <w:sz w:val="24"/>
        </w:rPr>
        <w:t xml:space="preserve">Berths 15-18 in Apapa were concessioned to APMT for 25 years, and started operations in 2006 but not formally commissioned until June 2008. An ongoing terminal expansion is due to be completed in 2016 and involves the redevelopment of 22 </w:t>
      </w:r>
      <w:r w:rsidR="0083214B" w:rsidRPr="004B2A73">
        <w:rPr>
          <w:rFonts w:ascii="Calibri" w:hAnsi="Calibri"/>
          <w:sz w:val="24"/>
        </w:rPr>
        <w:t xml:space="preserve">a </w:t>
      </w:r>
      <w:r w:rsidRPr="004B2A73">
        <w:rPr>
          <w:rFonts w:ascii="Calibri" w:hAnsi="Calibri"/>
          <w:sz w:val="24"/>
        </w:rPr>
        <w:t>hectares container</w:t>
      </w:r>
      <w:r w:rsidR="0083214B" w:rsidRPr="004B2A73">
        <w:rPr>
          <w:rFonts w:ascii="Calibri" w:hAnsi="Calibri"/>
          <w:sz w:val="24"/>
        </w:rPr>
        <w:t xml:space="preserve"> </w:t>
      </w:r>
      <w:r w:rsidRPr="004B2A73">
        <w:rPr>
          <w:rFonts w:ascii="Calibri" w:hAnsi="Calibri"/>
          <w:sz w:val="24"/>
        </w:rPr>
        <w:t xml:space="preserve">yard in the </w:t>
      </w:r>
      <w:r w:rsidR="0083214B" w:rsidRPr="004B2A73">
        <w:rPr>
          <w:rFonts w:ascii="Calibri" w:hAnsi="Calibri"/>
          <w:sz w:val="24"/>
        </w:rPr>
        <w:t>n</w:t>
      </w:r>
      <w:r w:rsidRPr="004B2A73">
        <w:rPr>
          <w:rFonts w:ascii="Calibri" w:hAnsi="Calibri"/>
          <w:sz w:val="24"/>
        </w:rPr>
        <w:t>orth side of the terminal with a view to increasing the terminal capacity to over 1.2 million TEUs</w:t>
      </w:r>
      <w:r w:rsidR="0083214B" w:rsidRPr="004B2A73">
        <w:rPr>
          <w:rFonts w:ascii="Calibri" w:hAnsi="Calibri"/>
          <w:sz w:val="24"/>
        </w:rPr>
        <w:t>.</w:t>
      </w:r>
    </w:p>
    <w:p w14:paraId="6854853D" w14:textId="77777777" w:rsidR="00627628" w:rsidRPr="004B2A73" w:rsidRDefault="00627628" w:rsidP="00E826B9">
      <w:pPr>
        <w:pStyle w:val="ListParagraph"/>
        <w:numPr>
          <w:ilvl w:val="0"/>
          <w:numId w:val="1"/>
        </w:numPr>
        <w:rPr>
          <w:rFonts w:ascii="Calibri" w:hAnsi="Calibri"/>
          <w:sz w:val="24"/>
        </w:rPr>
      </w:pPr>
      <w:r w:rsidRPr="004B2A73">
        <w:rPr>
          <w:rFonts w:ascii="Calibri" w:hAnsi="Calibri"/>
          <w:sz w:val="24"/>
        </w:rPr>
        <w:t>Berths 3-5 in Tin Can Island were concessioned to Tincan Island Container Terminal (TICT), a consortium of BAL and Zim shipping line, for 15 years. Zim sold its 47.5 percent stake in TICT to China Merchant Holding International (CMHI) in 2010</w:t>
      </w:r>
      <w:r w:rsidR="0083214B" w:rsidRPr="004B2A73">
        <w:rPr>
          <w:rFonts w:ascii="Calibri" w:hAnsi="Calibri"/>
          <w:sz w:val="24"/>
        </w:rPr>
        <w:t>.</w:t>
      </w:r>
    </w:p>
    <w:p w14:paraId="0D886CC0" w14:textId="77777777" w:rsidR="00627628" w:rsidRPr="004B2A73" w:rsidRDefault="00627628" w:rsidP="00E826B9">
      <w:pPr>
        <w:pStyle w:val="ListParagraph"/>
        <w:numPr>
          <w:ilvl w:val="0"/>
          <w:numId w:val="1"/>
        </w:numPr>
        <w:rPr>
          <w:rFonts w:ascii="Calibri" w:hAnsi="Calibri"/>
          <w:sz w:val="24"/>
        </w:rPr>
      </w:pPr>
      <w:r w:rsidRPr="004B2A73">
        <w:rPr>
          <w:rFonts w:ascii="Calibri" w:hAnsi="Calibri"/>
          <w:sz w:val="24"/>
        </w:rPr>
        <w:t xml:space="preserve">Berths 6-8 at Tin Can Island have been concessioned to Ports and Cargo Handling Services (PCHS), a subsidiary of Sifax Group, for a period of 10 years. </w:t>
      </w:r>
    </w:p>
    <w:p w14:paraId="45C0B154" w14:textId="77777777" w:rsidR="00627628" w:rsidRPr="004B2A73" w:rsidRDefault="00627628" w:rsidP="00A80E3D">
      <w:pPr>
        <w:spacing w:line="240" w:lineRule="auto"/>
        <w:jc w:val="both"/>
        <w:rPr>
          <w:rFonts w:ascii="Calibri" w:hAnsi="Calibri"/>
          <w:sz w:val="24"/>
          <w:szCs w:val="24"/>
        </w:rPr>
      </w:pPr>
      <w:r w:rsidRPr="004B2A73">
        <w:rPr>
          <w:rFonts w:ascii="Calibri" w:hAnsi="Calibri"/>
          <w:sz w:val="24"/>
          <w:szCs w:val="24"/>
        </w:rPr>
        <w:t>These three terminals together account for about 90 percent of container volumes in Lagos, while some other multipurpose berths have been concessioned for a mix of general cargo, container and RoRo operations.</w:t>
      </w:r>
    </w:p>
    <w:p w14:paraId="0C5FCA78"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 xml:space="preserve">Since taking over the terminals in 2006, APMT has invested </w:t>
      </w:r>
      <w:r w:rsidR="00547215" w:rsidRPr="004B2A73">
        <w:rPr>
          <w:rFonts w:ascii="Calibri" w:hAnsi="Calibri"/>
          <w:sz w:val="24"/>
          <w:szCs w:val="24"/>
        </w:rPr>
        <w:t>US$</w:t>
      </w:r>
      <w:r w:rsidRPr="004B2A73">
        <w:rPr>
          <w:rFonts w:ascii="Calibri" w:hAnsi="Calibri"/>
          <w:sz w:val="24"/>
          <w:szCs w:val="24"/>
        </w:rPr>
        <w:t xml:space="preserve">220 million in Lagos Apapa and BAL </w:t>
      </w:r>
      <w:r w:rsidR="00547215" w:rsidRPr="004B2A73">
        <w:rPr>
          <w:rFonts w:ascii="Calibri" w:hAnsi="Calibri"/>
          <w:sz w:val="24"/>
          <w:szCs w:val="24"/>
        </w:rPr>
        <w:t>US$</w:t>
      </w:r>
      <w:r w:rsidRPr="004B2A73">
        <w:rPr>
          <w:rFonts w:ascii="Calibri" w:hAnsi="Calibri"/>
          <w:sz w:val="24"/>
          <w:szCs w:val="24"/>
        </w:rPr>
        <w:t>438 million.</w:t>
      </w:r>
    </w:p>
    <w:p w14:paraId="51E72719" w14:textId="77777777" w:rsidR="004B6006" w:rsidRPr="004B2A73" w:rsidRDefault="004B6006" w:rsidP="004B6006">
      <w:pPr>
        <w:spacing w:after="0" w:line="240" w:lineRule="auto"/>
        <w:rPr>
          <w:rFonts w:ascii="Calibri" w:hAnsi="Calibri"/>
          <w:sz w:val="24"/>
          <w:szCs w:val="24"/>
        </w:rPr>
      </w:pPr>
    </w:p>
    <w:p w14:paraId="2BD3CB31" w14:textId="77777777" w:rsidR="00627628" w:rsidRPr="004B2A73" w:rsidRDefault="00627628" w:rsidP="000B217C">
      <w:pPr>
        <w:pStyle w:val="Heading3"/>
      </w:pPr>
      <w:r w:rsidRPr="004B2A73">
        <w:t>Lekki (Nigeria)</w:t>
      </w:r>
    </w:p>
    <w:p w14:paraId="7726D9DC" w14:textId="77777777" w:rsidR="004B6006" w:rsidRPr="004B2A73" w:rsidRDefault="004B6006" w:rsidP="004B6006">
      <w:pPr>
        <w:spacing w:after="0" w:line="240" w:lineRule="auto"/>
        <w:rPr>
          <w:rFonts w:ascii="Calibri" w:hAnsi="Calibri"/>
          <w:sz w:val="24"/>
          <w:szCs w:val="24"/>
        </w:rPr>
      </w:pPr>
    </w:p>
    <w:p w14:paraId="2880BC91" w14:textId="77777777" w:rsidR="00627628" w:rsidRPr="004B2A73" w:rsidRDefault="00627628" w:rsidP="00A80E3D">
      <w:pPr>
        <w:spacing w:after="0" w:line="240" w:lineRule="auto"/>
        <w:jc w:val="both"/>
        <w:rPr>
          <w:rFonts w:ascii="Calibri" w:hAnsi="Calibri"/>
          <w:sz w:val="24"/>
          <w:szCs w:val="24"/>
        </w:rPr>
      </w:pPr>
      <w:r w:rsidRPr="004B2A73">
        <w:rPr>
          <w:rFonts w:ascii="Calibri" w:hAnsi="Calibri"/>
          <w:sz w:val="24"/>
          <w:szCs w:val="24"/>
        </w:rPr>
        <w:t>Lekki port is a US</w:t>
      </w:r>
      <w:r w:rsidR="00547215" w:rsidRPr="004B2A73">
        <w:rPr>
          <w:rFonts w:ascii="Calibri" w:hAnsi="Calibri"/>
          <w:sz w:val="24"/>
          <w:szCs w:val="24"/>
        </w:rPr>
        <w:t>US$</w:t>
      </w:r>
      <w:r w:rsidRPr="004B2A73">
        <w:rPr>
          <w:rFonts w:ascii="Calibri" w:hAnsi="Calibri"/>
          <w:sz w:val="24"/>
          <w:szCs w:val="24"/>
        </w:rPr>
        <w:t>1.5 billion greenfield project serving a Free Trade Zone about 60 km east of Lagos and including a container terminal with a projected annual capacity of 2.5 million TEUs. The shareholders’ agreement was signed in December 2012 between the Federal Government of Nigeria (represented by the Nigeria Ports Authority), the Lagos State Government and the Singapore Tolaram Group. A sub-concession agreement was subsequently signed with ICTSI to develop and operate the container terminal for a period of 21 years. In January 2014, ICTSI sold a 25 percent share to CMA terminal, the specialized terminal subsidiary of CMA-CGM. Construction work is scheduled to start in July 2015, for a scheduled opening early 2019.</w:t>
      </w:r>
    </w:p>
    <w:p w14:paraId="6DCED306" w14:textId="77777777" w:rsidR="00C6196D" w:rsidRPr="004B2A73" w:rsidRDefault="00C6196D">
      <w:pPr>
        <w:rPr>
          <w:rFonts w:ascii="Calibri" w:hAnsi="Calibri"/>
          <w:sz w:val="24"/>
          <w:szCs w:val="24"/>
        </w:rPr>
      </w:pPr>
      <w:r w:rsidRPr="004B2A73">
        <w:rPr>
          <w:rFonts w:ascii="Calibri" w:hAnsi="Calibri"/>
          <w:sz w:val="24"/>
          <w:szCs w:val="24"/>
        </w:rPr>
        <w:br w:type="page"/>
      </w:r>
    </w:p>
    <w:p w14:paraId="328290E8" w14:textId="77777777" w:rsidR="004B6006" w:rsidRPr="004B2A73" w:rsidRDefault="004B6006" w:rsidP="004B6006">
      <w:pPr>
        <w:spacing w:after="0" w:line="240" w:lineRule="auto"/>
        <w:rPr>
          <w:rFonts w:ascii="Calibri" w:hAnsi="Calibri"/>
          <w:sz w:val="24"/>
          <w:szCs w:val="24"/>
        </w:rPr>
      </w:pPr>
    </w:p>
    <w:p w14:paraId="55D62422" w14:textId="0A4C668B" w:rsidR="00965801" w:rsidRPr="007460D3" w:rsidRDefault="007830C7" w:rsidP="006161AC">
      <w:pPr>
        <w:pStyle w:val="Heading2"/>
        <w:numPr>
          <w:ilvl w:val="0"/>
          <w:numId w:val="0"/>
        </w:numPr>
        <w:rPr>
          <w:rFonts w:asciiTheme="minorHAnsi" w:hAnsiTheme="minorHAnsi" w:cstheme="minorHAnsi"/>
          <w:color w:val="auto"/>
          <w:sz w:val="28"/>
          <w:szCs w:val="28"/>
        </w:rPr>
      </w:pPr>
      <w:bookmarkStart w:id="130" w:name="_Toc485382008"/>
      <w:r w:rsidRPr="007460D3">
        <w:rPr>
          <w:rFonts w:asciiTheme="minorHAnsi" w:hAnsiTheme="minorHAnsi" w:cstheme="minorHAnsi"/>
          <w:color w:val="auto"/>
          <w:sz w:val="28"/>
          <w:szCs w:val="28"/>
        </w:rPr>
        <w:t xml:space="preserve">Annex 2: </w:t>
      </w:r>
      <w:r w:rsidR="00965801" w:rsidRPr="007460D3">
        <w:rPr>
          <w:rFonts w:asciiTheme="minorHAnsi" w:hAnsiTheme="minorHAnsi" w:cstheme="minorHAnsi"/>
          <w:color w:val="auto"/>
          <w:sz w:val="28"/>
          <w:szCs w:val="28"/>
        </w:rPr>
        <w:t>How to measure efficiency gains from terminal concessions?</w:t>
      </w:r>
      <w:bookmarkEnd w:id="130"/>
    </w:p>
    <w:p w14:paraId="0691461A" w14:textId="77777777" w:rsidR="00965801" w:rsidRDefault="00965801" w:rsidP="006161AC">
      <w:pPr>
        <w:pStyle w:val="Heading2"/>
        <w:numPr>
          <w:ilvl w:val="0"/>
          <w:numId w:val="0"/>
        </w:numPr>
      </w:pPr>
    </w:p>
    <w:p w14:paraId="5BD83AD7" w14:textId="77777777" w:rsidR="00965801" w:rsidRPr="004B2A73" w:rsidRDefault="00965801" w:rsidP="00965801">
      <w:pPr>
        <w:pStyle w:val="ListParagraph"/>
        <w:spacing w:after="0"/>
        <w:ind w:left="0"/>
        <w:jc w:val="both"/>
        <w:rPr>
          <w:rFonts w:ascii="Calibri" w:hAnsi="Calibri"/>
          <w:sz w:val="24"/>
          <w:lang w:val="en-GB"/>
        </w:rPr>
      </w:pPr>
      <w:r w:rsidRPr="004B2A73">
        <w:rPr>
          <w:rFonts w:ascii="Calibri" w:hAnsi="Calibri"/>
          <w:b/>
          <w:sz w:val="24"/>
          <w:lang w:val="en-GB"/>
        </w:rPr>
        <w:t>Assessing the impact of private sector participation on terminal efficiency or performance requires a definition of efficiency or performance, and a consistent data series over time</w:t>
      </w:r>
      <w:r w:rsidRPr="004B2A73">
        <w:rPr>
          <w:rFonts w:ascii="Calibri" w:hAnsi="Calibri"/>
          <w:sz w:val="24"/>
          <w:lang w:val="en-GB"/>
        </w:rPr>
        <w:t xml:space="preserve">. The performance of a </w:t>
      </w:r>
      <w:r w:rsidRPr="004B2A73">
        <w:rPr>
          <w:rFonts w:ascii="Calibri" w:hAnsi="Calibri"/>
          <w:sz w:val="24"/>
        </w:rPr>
        <w:t>terminal</w:t>
      </w:r>
      <w:r w:rsidRPr="004B2A73">
        <w:rPr>
          <w:rFonts w:ascii="Calibri" w:hAnsi="Calibri"/>
          <w:sz w:val="24"/>
          <w:lang w:val="en-GB"/>
        </w:rPr>
        <w:t xml:space="preserve"> operator should be evaluated in terms of the service provided to shipping lines, and thus depends on how fast a ship can complete a call.  In turn, the latter involves minimizing pre-berthing delays and maximizing handling productivity once the ship is berthed. Some parameters are within control from TOC through better management techniques, or as seen earlier, through upgrade of the handling equipment. An example of better management technique is the adoption of window berthing schemes</w:t>
      </w:r>
      <w:r w:rsidRPr="004B2A73">
        <w:rPr>
          <w:rStyle w:val="FootnoteReference"/>
          <w:rFonts w:ascii="Calibri" w:hAnsi="Calibri"/>
          <w:sz w:val="24"/>
          <w:lang w:val="en-GB"/>
        </w:rPr>
        <w:footnoteReference w:id="59"/>
      </w:r>
      <w:r w:rsidRPr="004B2A73">
        <w:rPr>
          <w:rFonts w:ascii="Calibri" w:hAnsi="Calibri"/>
          <w:sz w:val="24"/>
          <w:lang w:val="en-GB"/>
        </w:rPr>
        <w:t>, which, in the context of generalization of fixed day weekly services, can significantly reduce or eliminate delays and saturation. However, exogenous factors impact performances, such as the transformation of the shipping line patterns, limiting the relevance of the indicators over a long period of time. A more practical issue is that the required data for a comprehensive analysis of the evolution of performances before and after concession would be difficult to obtain.</w:t>
      </w:r>
    </w:p>
    <w:p w14:paraId="11562320" w14:textId="77777777" w:rsidR="00965801" w:rsidRPr="004B2A73" w:rsidRDefault="00965801" w:rsidP="00965801">
      <w:pPr>
        <w:pStyle w:val="ListParagraph"/>
        <w:spacing w:after="0"/>
        <w:ind w:left="0"/>
        <w:rPr>
          <w:rFonts w:ascii="Calibri" w:hAnsi="Calibri"/>
          <w:sz w:val="24"/>
          <w:lang w:val="en-GB"/>
        </w:rPr>
      </w:pPr>
    </w:p>
    <w:p w14:paraId="308E2E02" w14:textId="77777777" w:rsidR="00965801" w:rsidRPr="004B2A73" w:rsidRDefault="00965801" w:rsidP="00965801">
      <w:pPr>
        <w:pStyle w:val="ListParagraph"/>
        <w:spacing w:after="0"/>
        <w:ind w:left="0"/>
        <w:jc w:val="both"/>
        <w:rPr>
          <w:rFonts w:ascii="Calibri" w:hAnsi="Calibri"/>
          <w:sz w:val="24"/>
          <w:lang w:val="en-GB"/>
        </w:rPr>
      </w:pPr>
      <w:r w:rsidRPr="004B2A73">
        <w:rPr>
          <w:rFonts w:ascii="Calibri" w:hAnsi="Calibri"/>
          <w:b/>
          <w:sz w:val="24"/>
          <w:lang w:val="en-GB"/>
        </w:rPr>
        <w:t>In order to avoid this difficulty, a different definition of terminal efficiency will be used</w:t>
      </w:r>
      <w:r w:rsidRPr="004B2A73">
        <w:rPr>
          <w:rFonts w:ascii="Calibri" w:hAnsi="Calibri"/>
          <w:sz w:val="24"/>
          <w:lang w:val="en-GB"/>
        </w:rPr>
        <w:t>, measuring how efficient are terminal operators in utilizing their resources (i.e. the container terminal physical characteristics) in handling traffic volumes. The input-output function used to measure efficiency is derived from the theoretical capacity formula developed by UNCTAD, in which the inputs are the terminal characteristics, and the output is the terminal throughput. The method selected for the analysis is a programming (non-parametric) technique, Data Envelopment Analysis (DEA), which relates outputs to inputs by estimating efficiency directly from the data. This method has been preferred to an econometric (parametric) technique such as the Stochastic Frontier Analysis (SFA) in which assumptions are made about the relationship between inputs and outputs to estimate the parameters of a cost or a production function. The structure of container port production comprises different handling configurations and modes of operation, which makes the estimation of a functional form under SFA very difficult to apply. Programming techniques are less restricted to sample size than econometric models, and can estimate technical efficiency for both individual inputs and the overall production process. Moreover, both the multi-output nature of port production and the lack of detailed data are likely to limit the practicality and reliability of econometric methods.</w:t>
      </w:r>
    </w:p>
    <w:p w14:paraId="5987E315" w14:textId="77777777" w:rsidR="00965801" w:rsidRPr="004B2A73" w:rsidRDefault="00965801" w:rsidP="00965801">
      <w:pPr>
        <w:pStyle w:val="ListParagraph"/>
        <w:spacing w:after="0"/>
        <w:ind w:left="0"/>
        <w:rPr>
          <w:rFonts w:ascii="Calibri" w:hAnsi="Calibri"/>
          <w:sz w:val="24"/>
          <w:lang w:val="en-GB"/>
        </w:rPr>
      </w:pPr>
    </w:p>
    <w:p w14:paraId="4D1F8D19" w14:textId="77777777" w:rsidR="00965801" w:rsidRPr="004B2A73" w:rsidRDefault="00965801" w:rsidP="00965801">
      <w:pPr>
        <w:pStyle w:val="Numbered"/>
        <w:numPr>
          <w:ilvl w:val="0"/>
          <w:numId w:val="0"/>
        </w:numPr>
        <w:contextualSpacing w:val="0"/>
        <w:jc w:val="both"/>
        <w:rPr>
          <w:rFonts w:ascii="Calibri" w:hAnsi="Calibri"/>
          <w:lang w:val="en-GB"/>
        </w:rPr>
      </w:pPr>
      <w:r w:rsidRPr="004B2A73">
        <w:rPr>
          <w:rFonts w:ascii="Calibri" w:hAnsi="Calibri"/>
          <w:b/>
          <w:lang w:val="en-GB"/>
        </w:rPr>
        <w:t>Measuring port efficiency with such input-output function is common practice, and has been applied to numerous ports.</w:t>
      </w:r>
      <w:r w:rsidRPr="004B2A73">
        <w:rPr>
          <w:rFonts w:ascii="Calibri" w:hAnsi="Calibri"/>
          <w:lang w:val="en-GB"/>
        </w:rPr>
        <w:t xml:space="preserve"> Port efficiency in Africa was recently analysed with this method in two recent papers, one concerning 16 ports in Sub-Sahara Africa</w:t>
      </w:r>
      <w:r w:rsidRPr="004B2A73">
        <w:rPr>
          <w:rStyle w:val="FootnoteReference"/>
          <w:rFonts w:ascii="Calibri" w:hAnsi="Calibri"/>
          <w:lang w:val="en-GB"/>
        </w:rPr>
        <w:footnoteReference w:id="60"/>
      </w:r>
      <w:r w:rsidRPr="004B2A73">
        <w:rPr>
          <w:rFonts w:ascii="Calibri" w:hAnsi="Calibri"/>
          <w:lang w:val="en-GB"/>
        </w:rPr>
        <w:t>, but only for the year 2012, and a second for 6 West Africa ports</w:t>
      </w:r>
      <w:r w:rsidRPr="004B2A73">
        <w:rPr>
          <w:rStyle w:val="FootnoteReference"/>
          <w:rFonts w:ascii="Calibri" w:hAnsi="Calibri"/>
          <w:lang w:val="en-GB"/>
        </w:rPr>
        <w:footnoteReference w:id="61"/>
      </w:r>
      <w:r w:rsidRPr="004B2A73">
        <w:rPr>
          <w:rFonts w:ascii="Calibri" w:hAnsi="Calibri"/>
          <w:lang w:val="en-GB"/>
        </w:rPr>
        <w:t>, over the period 2006 to 2012. However, the focus of the two papers was to assess the ‘waste’ in resources to produce a given output, which is sound from a financial perspective, whereas from an economic perspective, what is perceived as ‘waste’ is actually room for growth. Considering the inertia inherent to the adjustments in container capacity (a few months for handling equipment, but up to a few years for infrastructure development) and the growth of the container volumes, some level of overcapacity is desirable. The issue then is to measure how efficient terminal operators are in managing the balance between inputs and output over time.</w:t>
      </w:r>
    </w:p>
    <w:p w14:paraId="4E74C435" w14:textId="77777777" w:rsidR="00965801" w:rsidRPr="004B2A73" w:rsidRDefault="00965801" w:rsidP="00965801">
      <w:pPr>
        <w:pStyle w:val="ListParagraph"/>
        <w:spacing w:after="0"/>
        <w:ind w:left="0"/>
        <w:rPr>
          <w:rFonts w:ascii="Calibri" w:hAnsi="Calibri"/>
          <w:sz w:val="24"/>
          <w:lang w:val="en-GB"/>
        </w:rPr>
      </w:pPr>
    </w:p>
    <w:p w14:paraId="70981412" w14:textId="77777777" w:rsidR="00965801" w:rsidRPr="004B2A73" w:rsidRDefault="00965801" w:rsidP="00965801">
      <w:pPr>
        <w:pStyle w:val="ListParagraph"/>
        <w:spacing w:after="0"/>
        <w:ind w:left="0"/>
        <w:jc w:val="both"/>
        <w:rPr>
          <w:rFonts w:ascii="Calibri" w:hAnsi="Calibri"/>
          <w:sz w:val="24"/>
          <w:lang w:val="en-GB"/>
        </w:rPr>
      </w:pPr>
      <w:r w:rsidRPr="004B2A73">
        <w:rPr>
          <w:rFonts w:ascii="Calibri" w:hAnsi="Calibri"/>
          <w:b/>
          <w:sz w:val="24"/>
          <w:lang w:val="en-GB"/>
        </w:rPr>
        <w:t>The dataset used in our analysis covers the 13 container terminals of the West Africa range between Dakar and Lagos, for a period of 10 years from 2004 to 2013</w:t>
      </w:r>
      <w:r w:rsidRPr="004B2A73">
        <w:rPr>
          <w:rFonts w:ascii="Calibri" w:hAnsi="Calibri"/>
          <w:sz w:val="24"/>
          <w:lang w:val="en-GB"/>
        </w:rPr>
        <w:t xml:space="preserve">: Dakar Container Terminal, Banjul Container and General Cargo Terminal, Conakry Container Terminal, Freetown Container Terminal, Monrovia Container Terminal, Abidjan Vridi Container Terminal, San Pedro Container and General Cargo Terminal, Tema MPS Container Terminal, Lomé </w:t>
      </w:r>
      <w:r w:rsidRPr="004B2A73">
        <w:rPr>
          <w:rFonts w:ascii="Calibri" w:hAnsi="Calibri"/>
          <w:sz w:val="24"/>
        </w:rPr>
        <w:t>Container</w:t>
      </w:r>
      <w:r w:rsidRPr="004B2A73">
        <w:rPr>
          <w:rFonts w:ascii="Calibri" w:hAnsi="Calibri"/>
          <w:sz w:val="24"/>
          <w:lang w:val="en-GB"/>
        </w:rPr>
        <w:t xml:space="preserve"> Terminal SE2M, Cotonou Container Terminal, Apapa APMT Container Terminal, and Tin Can Island’s TICT and PCHS Container Terminals. </w:t>
      </w:r>
      <w:r w:rsidRPr="004B2A73">
        <w:rPr>
          <w:rFonts w:ascii="Calibri" w:hAnsi="Calibri"/>
          <w:sz w:val="24"/>
        </w:rPr>
        <w:t xml:space="preserve">The definition of the dataset variables takes into account possible variations in handling configurations and technology, for instance by using indices that account for the variations of technological performance for </w:t>
      </w:r>
      <w:r w:rsidRPr="004B2A73">
        <w:rPr>
          <w:rFonts w:ascii="Calibri" w:hAnsi="Calibri"/>
          <w:bCs/>
          <w:sz w:val="24"/>
          <w:lang w:val="en-GB"/>
        </w:rPr>
        <w:t>Ship-to-Shore (</w:t>
      </w:r>
      <w:r w:rsidRPr="004B2A73">
        <w:rPr>
          <w:rFonts w:ascii="Calibri" w:hAnsi="Calibri"/>
          <w:sz w:val="24"/>
        </w:rPr>
        <w:t xml:space="preserve">STS) and yard-stacking cranes. </w:t>
      </w:r>
      <w:r w:rsidRPr="004B2A73">
        <w:rPr>
          <w:rFonts w:ascii="Calibri" w:hAnsi="Calibri"/>
          <w:sz w:val="24"/>
          <w:lang w:val="en-GB"/>
        </w:rPr>
        <w:t>STS and yard crane indices take into account the differences in handling technology and operating configuration among terminals in the sample.</w:t>
      </w:r>
      <w:r w:rsidRPr="004B2A73">
        <w:rPr>
          <w:rFonts w:ascii="Calibri" w:hAnsi="Calibri"/>
          <w:sz w:val="24"/>
        </w:rPr>
        <w:t xml:space="preserve"> Each </w:t>
      </w:r>
      <w:r w:rsidRPr="004B2A73">
        <w:rPr>
          <w:rFonts w:ascii="Calibri" w:hAnsi="Calibri"/>
          <w:sz w:val="24"/>
          <w:lang w:val="en-GB"/>
        </w:rPr>
        <w:t>generic port configuration usually incorporates a corresponding relationship between capital and labour inputs, thus no cost or labour data is required for benchmarking operational efficiency.</w:t>
      </w:r>
    </w:p>
    <w:p w14:paraId="1546E92F" w14:textId="77777777" w:rsidR="00965801" w:rsidRPr="004B2A73" w:rsidRDefault="00965801" w:rsidP="00965801">
      <w:pPr>
        <w:pStyle w:val="ListParagraph"/>
        <w:spacing w:after="0"/>
        <w:ind w:left="0"/>
        <w:rPr>
          <w:rFonts w:ascii="Calibri" w:hAnsi="Calibri"/>
          <w:sz w:val="24"/>
          <w:lang w:val="en-GB"/>
        </w:rPr>
      </w:pPr>
    </w:p>
    <w:p w14:paraId="5C6C6040" w14:textId="77777777" w:rsidR="00965801" w:rsidRPr="004B2A73" w:rsidRDefault="00965801" w:rsidP="00965801">
      <w:pPr>
        <w:pStyle w:val="ListParagraph"/>
        <w:spacing w:after="0"/>
        <w:ind w:left="0"/>
        <w:jc w:val="both"/>
        <w:rPr>
          <w:rFonts w:ascii="Calibri" w:hAnsi="Calibri"/>
          <w:sz w:val="24"/>
          <w:lang w:val="en-GB"/>
        </w:rPr>
      </w:pPr>
      <w:r w:rsidRPr="004B2A73">
        <w:rPr>
          <w:rFonts w:ascii="Calibri" w:hAnsi="Calibri"/>
          <w:b/>
          <w:sz w:val="24"/>
          <w:lang w:val="en-GB"/>
        </w:rPr>
        <w:t xml:space="preserve">The seven input variables selected for </w:t>
      </w:r>
      <w:r w:rsidRPr="004B2A73">
        <w:rPr>
          <w:rFonts w:ascii="Calibri" w:hAnsi="Calibri"/>
          <w:sz w:val="24"/>
        </w:rPr>
        <w:t>this</w:t>
      </w:r>
      <w:r w:rsidRPr="004B2A73">
        <w:rPr>
          <w:rFonts w:ascii="Calibri" w:hAnsi="Calibri"/>
          <w:b/>
          <w:sz w:val="24"/>
          <w:lang w:val="en-GB"/>
        </w:rPr>
        <w:t xml:space="preserve"> analysis are the main factors of the terminal capacity function defined by UNCTAD</w:t>
      </w:r>
      <w:r w:rsidRPr="004B2A73">
        <w:rPr>
          <w:rFonts w:ascii="Calibri" w:hAnsi="Calibri"/>
          <w:sz w:val="24"/>
          <w:lang w:val="en-GB"/>
        </w:rPr>
        <w:t>: quay length, maximum draft, terminal area, Ship-to-Shore cranes, yard stacking index, internal trucks and vehicles, and the number of gate lanes. The eighth variable, for output, is the terminal throughput measured in TEUs. The choice of variables is based on a high-level aggregation of container-terminal operations with a view to utilizing available and reliable data on operational performance and ensuring homogeneity between observations. The required data was collected from both primary and secondary data sources: primary data through websites, annual reports, telephone queries and interviews during port visits; and secondary data from subscribed databases and trade journals such as Containerisation International, Cargo World, Fair-play, and World Port Focus. The information was verified and crosschecked from all these sources. The final dataset consists of annual observations for the sampled container terminals over the period 2004 to 2013, in order to include a sufficient number of years to assess how productivity changes after the terminals have been taken over by a TOC. In a dynamic context, panel data are superior to times-series and cross-sectional data, and therefore a data point is defined as a container terminal-year, for instance Apapa-2009 or Lomé-2013. The combination of 13 terminals, 8 variables, and a 10-year timeframe has resulted into a panel dataset of 130 data points and 1,040 individual values.</w:t>
      </w:r>
      <w:r w:rsidRPr="004B2A73">
        <w:rPr>
          <w:rFonts w:ascii="Calibri" w:hAnsi="Calibri"/>
          <w:b/>
          <w:sz w:val="24"/>
          <w:lang w:val="en-GB"/>
        </w:rPr>
        <w:t xml:space="preserve"> </w:t>
      </w:r>
      <w:r w:rsidRPr="004B2A73">
        <w:rPr>
          <w:rFonts w:ascii="Calibri" w:hAnsi="Calibri"/>
          <w:sz w:val="24"/>
          <w:lang w:val="en-GB"/>
        </w:rPr>
        <w:t>The software DEA-Frontier (Zhu, 2003) was used to derive solutions to both the benchmarking and productivity change analyses</w:t>
      </w:r>
      <w:r w:rsidRPr="004B2A73">
        <w:rPr>
          <w:rStyle w:val="FootnoteReference"/>
          <w:rFonts w:ascii="Calibri" w:hAnsi="Calibri"/>
          <w:sz w:val="24"/>
          <w:lang w:val="en-GB"/>
        </w:rPr>
        <w:footnoteReference w:id="62"/>
      </w:r>
      <w:r w:rsidRPr="004B2A73">
        <w:rPr>
          <w:rFonts w:ascii="Calibri" w:hAnsi="Calibri"/>
          <w:sz w:val="24"/>
          <w:lang w:val="en-GB"/>
        </w:rPr>
        <w:t>.</w:t>
      </w:r>
    </w:p>
    <w:p w14:paraId="44B56F96" w14:textId="77777777" w:rsidR="00965801" w:rsidRPr="004B2A73" w:rsidRDefault="00965801" w:rsidP="00965801">
      <w:pPr>
        <w:pStyle w:val="ListParagraph"/>
        <w:spacing w:after="0"/>
        <w:ind w:left="0"/>
        <w:rPr>
          <w:rFonts w:ascii="Calibri" w:hAnsi="Calibri"/>
          <w:sz w:val="24"/>
        </w:rPr>
      </w:pPr>
    </w:p>
    <w:p w14:paraId="7D5A4B92" w14:textId="0A9BCB72" w:rsidR="00965801" w:rsidRPr="004B2A73" w:rsidRDefault="00965801" w:rsidP="00965801">
      <w:pPr>
        <w:pStyle w:val="ListParagraph"/>
        <w:ind w:left="0"/>
        <w:jc w:val="both"/>
        <w:rPr>
          <w:rFonts w:ascii="Calibri" w:hAnsi="Calibri"/>
          <w:sz w:val="24"/>
        </w:rPr>
      </w:pPr>
      <w:r w:rsidRPr="004B2A73">
        <w:rPr>
          <w:rFonts w:ascii="Calibri" w:hAnsi="Calibri"/>
          <w:b/>
          <w:sz w:val="24"/>
        </w:rPr>
        <w:t xml:space="preserve">The evolution over time of terminal efficiency for the period 2004 to 2013, covering before and after the wave of concessions, is illustrated in the following charts, ordered from west to east from Dakar to Lagos. </w:t>
      </w:r>
      <w:r w:rsidRPr="00BD02A1">
        <w:rPr>
          <w:rFonts w:ascii="Calibri" w:hAnsi="Calibri"/>
          <w:sz w:val="24"/>
          <w:szCs w:val="24"/>
        </w:rPr>
        <w:fldChar w:fldCharType="begin"/>
      </w:r>
      <w:r w:rsidRPr="00BD02A1">
        <w:rPr>
          <w:rFonts w:ascii="Calibri" w:hAnsi="Calibri"/>
          <w:b/>
          <w:sz w:val="24"/>
          <w:szCs w:val="24"/>
        </w:rPr>
        <w:instrText xml:space="preserve"> REF _Ref473105354 \h </w:instrText>
      </w:r>
      <w:r>
        <w:rPr>
          <w:rFonts w:ascii="Calibri" w:hAnsi="Calibri"/>
          <w:sz w:val="24"/>
          <w:szCs w:val="24"/>
        </w:rPr>
        <w:instrText xml:space="preserve"> \* MERGEFORMAT </w:instrText>
      </w:r>
      <w:r w:rsidRPr="00BD02A1">
        <w:rPr>
          <w:rFonts w:ascii="Calibri" w:hAnsi="Calibri"/>
          <w:sz w:val="24"/>
          <w:szCs w:val="24"/>
        </w:rPr>
      </w:r>
      <w:r w:rsidRPr="00BD02A1">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28</w:t>
      </w:r>
      <w:r w:rsidRPr="00BD02A1">
        <w:rPr>
          <w:rFonts w:ascii="Calibri" w:hAnsi="Calibri"/>
          <w:sz w:val="24"/>
          <w:szCs w:val="24"/>
        </w:rPr>
        <w:fldChar w:fldCharType="end"/>
      </w:r>
      <w:r w:rsidRPr="00BD02A1">
        <w:rPr>
          <w:rFonts w:ascii="Calibri" w:hAnsi="Calibri"/>
          <w:sz w:val="24"/>
          <w:szCs w:val="24"/>
        </w:rPr>
        <w:t xml:space="preserve"> covers all ports from Dakar to Abidjan, and </w:t>
      </w:r>
      <w:r w:rsidRPr="00BD02A1">
        <w:rPr>
          <w:rFonts w:ascii="Calibri" w:hAnsi="Calibri"/>
          <w:sz w:val="24"/>
          <w:szCs w:val="24"/>
        </w:rPr>
        <w:fldChar w:fldCharType="begin"/>
      </w:r>
      <w:r w:rsidRPr="00BD02A1">
        <w:rPr>
          <w:rFonts w:ascii="Calibri" w:hAnsi="Calibri"/>
          <w:sz w:val="24"/>
          <w:szCs w:val="24"/>
        </w:rPr>
        <w:instrText xml:space="preserve"> REF _Ref473105365 \h </w:instrText>
      </w:r>
      <w:r>
        <w:rPr>
          <w:rFonts w:ascii="Calibri" w:hAnsi="Calibri"/>
          <w:sz w:val="24"/>
          <w:szCs w:val="24"/>
        </w:rPr>
        <w:instrText xml:space="preserve"> \* MERGEFORMAT </w:instrText>
      </w:r>
      <w:r w:rsidRPr="00BD02A1">
        <w:rPr>
          <w:rFonts w:ascii="Calibri" w:hAnsi="Calibri"/>
          <w:sz w:val="24"/>
          <w:szCs w:val="24"/>
        </w:rPr>
      </w:r>
      <w:r w:rsidRPr="00BD02A1">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29</w:t>
      </w:r>
      <w:r w:rsidRPr="00BD02A1">
        <w:rPr>
          <w:rFonts w:ascii="Calibri" w:hAnsi="Calibri"/>
          <w:sz w:val="24"/>
          <w:szCs w:val="24"/>
        </w:rPr>
        <w:fldChar w:fldCharType="end"/>
      </w:r>
      <w:r w:rsidRPr="00BD02A1">
        <w:rPr>
          <w:rFonts w:ascii="Calibri" w:hAnsi="Calibri"/>
          <w:sz w:val="24"/>
          <w:szCs w:val="24"/>
        </w:rPr>
        <w:t xml:space="preserve"> a</w:t>
      </w:r>
      <w:r w:rsidRPr="004B2A73">
        <w:rPr>
          <w:rFonts w:ascii="Calibri" w:hAnsi="Calibri"/>
          <w:sz w:val="24"/>
        </w:rPr>
        <w:t xml:space="preserve">ll ports from Tema to Lagos. The date for the signature of the concession agreement does not necessarily coincide with the operational takeover of container handling or management of the terminal, </w:t>
      </w:r>
      <w:r w:rsidRPr="00120A53">
        <w:rPr>
          <w:rFonts w:ascii="Calibri" w:hAnsi="Calibri"/>
          <w:sz w:val="24"/>
          <w:szCs w:val="24"/>
        </w:rPr>
        <w:t>and</w:t>
      </w:r>
      <w:r>
        <w:rPr>
          <w:rFonts w:ascii="Calibri" w:hAnsi="Calibri"/>
          <w:sz w:val="24"/>
          <w:szCs w:val="24"/>
        </w:rPr>
        <w:t xml:space="preserve"> Table 10 </w:t>
      </w:r>
      <w:r w:rsidRPr="004B2A73">
        <w:rPr>
          <w:rFonts w:ascii="Calibri" w:hAnsi="Calibri"/>
          <w:sz w:val="24"/>
        </w:rPr>
        <w:t>provides the two dates.  Overall, there is no noticeable change in the efficiency trend before and after the takeover of the container facilities by TOCs. The global trend for terminal efficiency is upward, including for the period prior to the concession, and also for Banjul, which is still operated by the public port authority. Three ports, Dakar, Abidjan, and Tema, even show erratic moves in terminal efficiency after the concession.</w:t>
      </w:r>
    </w:p>
    <w:p w14:paraId="0C122AA9" w14:textId="56BA8F2A" w:rsidR="00965801" w:rsidRPr="004B2A73" w:rsidRDefault="00965801" w:rsidP="00965801">
      <w:pPr>
        <w:pStyle w:val="Caption"/>
        <w:rPr>
          <w:rFonts w:ascii="Calibri" w:hAnsi="Calibri"/>
        </w:rPr>
      </w:pPr>
      <w:bookmarkStart w:id="131" w:name="_Ref432666892"/>
      <w:bookmarkStart w:id="132" w:name="_Toc485381927"/>
      <w:bookmarkStart w:id="133" w:name="_Ref428284173"/>
      <w:r w:rsidRPr="004B2A73">
        <w:rPr>
          <w:rFonts w:ascii="Calibri" w:hAnsi="Calibri"/>
        </w:rPr>
        <w:t xml:space="preserve">Table </w:t>
      </w:r>
      <w:r w:rsidRPr="004B2A73">
        <w:rPr>
          <w:rFonts w:ascii="Calibri" w:hAnsi="Calibri"/>
        </w:rPr>
        <w:fldChar w:fldCharType="begin"/>
      </w:r>
      <w:r w:rsidRPr="004B2A73">
        <w:rPr>
          <w:rFonts w:ascii="Calibri" w:hAnsi="Calibri"/>
        </w:rPr>
        <w:instrText xml:space="preserve"> SEQ Table \* ARABIC </w:instrText>
      </w:r>
      <w:r w:rsidRPr="004B2A73">
        <w:rPr>
          <w:rFonts w:ascii="Calibri" w:hAnsi="Calibri"/>
        </w:rPr>
        <w:fldChar w:fldCharType="separate"/>
      </w:r>
      <w:r w:rsidR="00212D01">
        <w:rPr>
          <w:rFonts w:ascii="Calibri" w:hAnsi="Calibri"/>
          <w:noProof/>
        </w:rPr>
        <w:t>16</w:t>
      </w:r>
      <w:r w:rsidRPr="004B2A73">
        <w:rPr>
          <w:rFonts w:ascii="Calibri" w:hAnsi="Calibri"/>
          <w:noProof/>
        </w:rPr>
        <w:fldChar w:fldCharType="end"/>
      </w:r>
      <w:r w:rsidRPr="004B2A73">
        <w:rPr>
          <w:rFonts w:ascii="Calibri" w:hAnsi="Calibri"/>
        </w:rPr>
        <w:t>: Concession signature and takeover of operations for container terminals in West Africa</w:t>
      </w:r>
      <w:bookmarkEnd w:id="131"/>
      <w:bookmarkEnd w:id="132"/>
    </w:p>
    <w:tbl>
      <w:tblPr>
        <w:tblStyle w:val="ListTable3-Accent31"/>
        <w:tblW w:w="0" w:type="auto"/>
        <w:jc w:val="center"/>
        <w:tblLook w:val="04A0" w:firstRow="1" w:lastRow="0" w:firstColumn="1" w:lastColumn="0" w:noHBand="0" w:noVBand="1"/>
      </w:tblPr>
      <w:tblGrid>
        <w:gridCol w:w="1530"/>
        <w:gridCol w:w="1736"/>
        <w:gridCol w:w="1737"/>
        <w:gridCol w:w="4050"/>
      </w:tblGrid>
      <w:tr w:rsidR="00965801" w:rsidRPr="00BD02A1" w14:paraId="5EBD5923" w14:textId="77777777" w:rsidTr="00BA1B4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30" w:type="dxa"/>
          </w:tcPr>
          <w:bookmarkEnd w:id="133"/>
          <w:p w14:paraId="2FFB4A5F" w14:textId="77777777" w:rsidR="00965801" w:rsidRPr="00BD02A1" w:rsidRDefault="00965801" w:rsidP="00BA1B4D">
            <w:r w:rsidRPr="00BD02A1">
              <w:t>Port</w:t>
            </w:r>
          </w:p>
        </w:tc>
        <w:tc>
          <w:tcPr>
            <w:tcW w:w="1736" w:type="dxa"/>
          </w:tcPr>
          <w:p w14:paraId="5660E219" w14:textId="77777777" w:rsidR="00965801" w:rsidRPr="00BD02A1" w:rsidRDefault="00965801" w:rsidP="00BA1B4D">
            <w:pPr>
              <w:cnfStyle w:val="100000000000" w:firstRow="1" w:lastRow="0" w:firstColumn="0" w:lastColumn="0" w:oddVBand="0" w:evenVBand="0" w:oddHBand="0" w:evenHBand="0" w:firstRowFirstColumn="0" w:firstRowLastColumn="0" w:lastRowFirstColumn="0" w:lastRowLastColumn="0"/>
            </w:pPr>
            <w:r w:rsidRPr="00BD02A1">
              <w:t>Signature</w:t>
            </w:r>
          </w:p>
        </w:tc>
        <w:tc>
          <w:tcPr>
            <w:tcW w:w="1737" w:type="dxa"/>
          </w:tcPr>
          <w:p w14:paraId="5DCEACC7" w14:textId="77777777" w:rsidR="00965801" w:rsidRPr="00BD02A1" w:rsidRDefault="00965801" w:rsidP="00BA1B4D">
            <w:pPr>
              <w:cnfStyle w:val="100000000000" w:firstRow="1" w:lastRow="0" w:firstColumn="0" w:lastColumn="0" w:oddVBand="0" w:evenVBand="0" w:oddHBand="0" w:evenHBand="0" w:firstRowFirstColumn="0" w:firstRowLastColumn="0" w:lastRowFirstColumn="0" w:lastRowLastColumn="0"/>
            </w:pPr>
            <w:r w:rsidRPr="00BD02A1">
              <w:t>Operational take-over</w:t>
            </w:r>
          </w:p>
        </w:tc>
        <w:tc>
          <w:tcPr>
            <w:tcW w:w="4050" w:type="dxa"/>
          </w:tcPr>
          <w:p w14:paraId="5CC72402" w14:textId="77777777" w:rsidR="00965801" w:rsidRPr="00BD02A1" w:rsidRDefault="00965801" w:rsidP="00BA1B4D">
            <w:pPr>
              <w:cnfStyle w:val="100000000000" w:firstRow="1" w:lastRow="0" w:firstColumn="0" w:lastColumn="0" w:oddVBand="0" w:evenVBand="0" w:oddHBand="0" w:evenHBand="0" w:firstRowFirstColumn="0" w:firstRowLastColumn="0" w:lastRowFirstColumn="0" w:lastRowLastColumn="0"/>
            </w:pPr>
            <w:r w:rsidRPr="00BD02A1">
              <w:t>Remarks</w:t>
            </w:r>
          </w:p>
        </w:tc>
      </w:tr>
      <w:tr w:rsidR="00965801" w:rsidRPr="00BD02A1" w14:paraId="0C164B13" w14:textId="77777777" w:rsidTr="00BA1B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21116996" w14:textId="77777777" w:rsidR="00965801" w:rsidRPr="00BD02A1" w:rsidRDefault="00965801" w:rsidP="00BA1B4D">
            <w:r w:rsidRPr="00BD02A1">
              <w:t>Dakar</w:t>
            </w:r>
          </w:p>
        </w:tc>
        <w:tc>
          <w:tcPr>
            <w:tcW w:w="1736" w:type="dxa"/>
          </w:tcPr>
          <w:p w14:paraId="340C591D"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2007</w:t>
            </w:r>
          </w:p>
        </w:tc>
        <w:tc>
          <w:tcPr>
            <w:tcW w:w="1737" w:type="dxa"/>
          </w:tcPr>
          <w:p w14:paraId="58C37B29"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January 2008</w:t>
            </w:r>
          </w:p>
        </w:tc>
        <w:tc>
          <w:tcPr>
            <w:tcW w:w="4050" w:type="dxa"/>
          </w:tcPr>
          <w:p w14:paraId="5E58B4A0"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p>
        </w:tc>
      </w:tr>
      <w:tr w:rsidR="00965801" w:rsidRPr="00BD02A1" w14:paraId="3DC5CDF7" w14:textId="77777777" w:rsidTr="00BA1B4D">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4E4ACF6C" w14:textId="77777777" w:rsidR="00965801" w:rsidRPr="00BD02A1" w:rsidRDefault="00965801" w:rsidP="00BA1B4D">
            <w:r w:rsidRPr="00BD02A1">
              <w:t>Conakry</w:t>
            </w:r>
          </w:p>
        </w:tc>
        <w:tc>
          <w:tcPr>
            <w:tcW w:w="1736" w:type="dxa"/>
          </w:tcPr>
          <w:p w14:paraId="270452EE"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p>
        </w:tc>
        <w:tc>
          <w:tcPr>
            <w:tcW w:w="1737" w:type="dxa"/>
          </w:tcPr>
          <w:p w14:paraId="6BEE2F21"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September 2008</w:t>
            </w:r>
          </w:p>
        </w:tc>
        <w:tc>
          <w:tcPr>
            <w:tcW w:w="4050" w:type="dxa"/>
          </w:tcPr>
          <w:p w14:paraId="2B92E772"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Initial GETMA concession, Bolloré take-over in March 2011</w:t>
            </w:r>
          </w:p>
        </w:tc>
      </w:tr>
      <w:tr w:rsidR="00965801" w:rsidRPr="00BD02A1" w14:paraId="5179E299" w14:textId="77777777" w:rsidTr="00BA1B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687B567E" w14:textId="77777777" w:rsidR="00965801" w:rsidRPr="00BD02A1" w:rsidRDefault="00965801" w:rsidP="00BA1B4D">
            <w:r w:rsidRPr="00BD02A1">
              <w:t>Freetown</w:t>
            </w:r>
          </w:p>
        </w:tc>
        <w:tc>
          <w:tcPr>
            <w:tcW w:w="1736" w:type="dxa"/>
          </w:tcPr>
          <w:p w14:paraId="5EB210D7"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November 2010</w:t>
            </w:r>
          </w:p>
        </w:tc>
        <w:tc>
          <w:tcPr>
            <w:tcW w:w="1737" w:type="dxa"/>
          </w:tcPr>
          <w:p w14:paraId="703CE59D"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March 2011</w:t>
            </w:r>
          </w:p>
        </w:tc>
        <w:tc>
          <w:tcPr>
            <w:tcW w:w="4050" w:type="dxa"/>
          </w:tcPr>
          <w:p w14:paraId="6B41AC3F"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Rehabilitation of the port completed after the analysis period</w:t>
            </w:r>
          </w:p>
        </w:tc>
      </w:tr>
      <w:tr w:rsidR="00965801" w:rsidRPr="00BD02A1" w14:paraId="40AF97C4" w14:textId="77777777" w:rsidTr="00BA1B4D">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4BF6EF35" w14:textId="77777777" w:rsidR="00965801" w:rsidRPr="00BD02A1" w:rsidRDefault="00965801" w:rsidP="00BA1B4D">
            <w:r w:rsidRPr="00BD02A1">
              <w:t>Monrovia</w:t>
            </w:r>
          </w:p>
        </w:tc>
        <w:tc>
          <w:tcPr>
            <w:tcW w:w="1736" w:type="dxa"/>
          </w:tcPr>
          <w:p w14:paraId="5B43A61C"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March 2010</w:t>
            </w:r>
          </w:p>
        </w:tc>
        <w:tc>
          <w:tcPr>
            <w:tcW w:w="1737" w:type="dxa"/>
          </w:tcPr>
          <w:p w14:paraId="4D48628D"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October 2010</w:t>
            </w:r>
          </w:p>
        </w:tc>
        <w:tc>
          <w:tcPr>
            <w:tcW w:w="4050" w:type="dxa"/>
          </w:tcPr>
          <w:p w14:paraId="6CF9A804"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Rehabilitation of the port completed May 2013</w:t>
            </w:r>
          </w:p>
        </w:tc>
      </w:tr>
      <w:tr w:rsidR="00965801" w:rsidRPr="00BD02A1" w14:paraId="74C25540" w14:textId="77777777" w:rsidTr="00BA1B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2B5E0CDA" w14:textId="77777777" w:rsidR="00965801" w:rsidRPr="00BD02A1" w:rsidRDefault="00965801" w:rsidP="00BA1B4D">
            <w:r w:rsidRPr="00BD02A1">
              <w:t>San Pedro</w:t>
            </w:r>
          </w:p>
        </w:tc>
        <w:tc>
          <w:tcPr>
            <w:tcW w:w="1736" w:type="dxa"/>
          </w:tcPr>
          <w:p w14:paraId="521FC815"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September 2008</w:t>
            </w:r>
          </w:p>
        </w:tc>
        <w:tc>
          <w:tcPr>
            <w:tcW w:w="1737" w:type="dxa"/>
          </w:tcPr>
          <w:p w14:paraId="284BB302"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January 2009</w:t>
            </w:r>
          </w:p>
        </w:tc>
        <w:tc>
          <w:tcPr>
            <w:tcW w:w="4050" w:type="dxa"/>
          </w:tcPr>
          <w:p w14:paraId="7B1F2459"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p>
        </w:tc>
      </w:tr>
      <w:tr w:rsidR="00965801" w:rsidRPr="00BD02A1" w14:paraId="262E1FFC" w14:textId="77777777" w:rsidTr="00BA1B4D">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5E4D803E" w14:textId="77777777" w:rsidR="00965801" w:rsidRPr="00BD02A1" w:rsidRDefault="00965801" w:rsidP="00BA1B4D">
            <w:r w:rsidRPr="00BD02A1">
              <w:t>Abidjan</w:t>
            </w:r>
          </w:p>
        </w:tc>
        <w:tc>
          <w:tcPr>
            <w:tcW w:w="1736" w:type="dxa"/>
          </w:tcPr>
          <w:p w14:paraId="5E3DBE70"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December 2003</w:t>
            </w:r>
          </w:p>
        </w:tc>
        <w:tc>
          <w:tcPr>
            <w:tcW w:w="1737" w:type="dxa"/>
          </w:tcPr>
          <w:p w14:paraId="01BFA875"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March 2004</w:t>
            </w:r>
          </w:p>
        </w:tc>
        <w:tc>
          <w:tcPr>
            <w:tcW w:w="4050" w:type="dxa"/>
          </w:tcPr>
          <w:p w14:paraId="30AE34D8"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p>
        </w:tc>
      </w:tr>
      <w:tr w:rsidR="00965801" w:rsidRPr="00BD02A1" w14:paraId="2DFD42D7" w14:textId="77777777" w:rsidTr="00BA1B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528DC509" w14:textId="77777777" w:rsidR="00965801" w:rsidRPr="00BD02A1" w:rsidRDefault="00965801" w:rsidP="00BA1B4D">
            <w:r w:rsidRPr="00BD02A1">
              <w:t>Tema</w:t>
            </w:r>
          </w:p>
        </w:tc>
        <w:tc>
          <w:tcPr>
            <w:tcW w:w="1736" w:type="dxa"/>
          </w:tcPr>
          <w:p w14:paraId="23CCD6D8"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2004</w:t>
            </w:r>
          </w:p>
        </w:tc>
        <w:tc>
          <w:tcPr>
            <w:tcW w:w="1737" w:type="dxa"/>
          </w:tcPr>
          <w:p w14:paraId="045AD784"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April 2007</w:t>
            </w:r>
          </w:p>
        </w:tc>
        <w:tc>
          <w:tcPr>
            <w:tcW w:w="4050" w:type="dxa"/>
          </w:tcPr>
          <w:p w14:paraId="2C0A9B87" w14:textId="5AB627DC"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New container terminal partly operational, then fully operational in February 2008</w:t>
            </w:r>
          </w:p>
        </w:tc>
      </w:tr>
      <w:tr w:rsidR="00965801" w:rsidRPr="00BD02A1" w14:paraId="13C10371" w14:textId="77777777" w:rsidTr="00BA1B4D">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67F9FFCE" w14:textId="77777777" w:rsidR="00965801" w:rsidRPr="00BD02A1" w:rsidRDefault="00965801" w:rsidP="00BA1B4D">
            <w:r w:rsidRPr="00BD02A1">
              <w:t>Lomé</w:t>
            </w:r>
          </w:p>
        </w:tc>
        <w:tc>
          <w:tcPr>
            <w:tcW w:w="1736" w:type="dxa"/>
          </w:tcPr>
          <w:p w14:paraId="7CD76989"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2009</w:t>
            </w:r>
          </w:p>
        </w:tc>
        <w:tc>
          <w:tcPr>
            <w:tcW w:w="1737" w:type="dxa"/>
          </w:tcPr>
          <w:p w14:paraId="6EF89597"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p>
        </w:tc>
        <w:tc>
          <w:tcPr>
            <w:tcW w:w="4050" w:type="dxa"/>
          </w:tcPr>
          <w:p w14:paraId="518FC68D"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Togo Terminal (BAL), as the second terminal, LCT, was only operational end of 2014, not covered by analysis period</w:t>
            </w:r>
          </w:p>
        </w:tc>
      </w:tr>
      <w:tr w:rsidR="00965801" w:rsidRPr="00BD02A1" w14:paraId="45DDE1C6" w14:textId="77777777" w:rsidTr="00BA1B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6EADAEF6" w14:textId="77777777" w:rsidR="00965801" w:rsidRPr="00BD02A1" w:rsidRDefault="00965801" w:rsidP="00BA1B4D">
            <w:r w:rsidRPr="00BD02A1">
              <w:t>Cotonou</w:t>
            </w:r>
          </w:p>
        </w:tc>
        <w:tc>
          <w:tcPr>
            <w:tcW w:w="1736" w:type="dxa"/>
          </w:tcPr>
          <w:p w14:paraId="181DF3F4"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2009</w:t>
            </w:r>
          </w:p>
        </w:tc>
        <w:tc>
          <w:tcPr>
            <w:tcW w:w="1737" w:type="dxa"/>
          </w:tcPr>
          <w:p w14:paraId="5024905C"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September 2011</w:t>
            </w:r>
          </w:p>
        </w:tc>
        <w:tc>
          <w:tcPr>
            <w:tcW w:w="4050" w:type="dxa"/>
          </w:tcPr>
          <w:p w14:paraId="25C30685"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Opening new container terminal in April 2013</w:t>
            </w:r>
          </w:p>
        </w:tc>
      </w:tr>
      <w:tr w:rsidR="00965801" w:rsidRPr="00BD02A1" w14:paraId="056D8B61" w14:textId="77777777" w:rsidTr="00BA1B4D">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6C2B5161" w14:textId="77777777" w:rsidR="00965801" w:rsidRPr="00BD02A1" w:rsidRDefault="00965801" w:rsidP="00BA1B4D">
            <w:r w:rsidRPr="00BD02A1">
              <w:t>Lagos Apapa</w:t>
            </w:r>
          </w:p>
        </w:tc>
        <w:tc>
          <w:tcPr>
            <w:tcW w:w="1736" w:type="dxa"/>
          </w:tcPr>
          <w:p w14:paraId="54DDD805"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2005</w:t>
            </w:r>
          </w:p>
        </w:tc>
        <w:tc>
          <w:tcPr>
            <w:tcW w:w="1737" w:type="dxa"/>
          </w:tcPr>
          <w:p w14:paraId="5DB5134D"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r w:rsidRPr="00BD02A1">
              <w:t>April 2006</w:t>
            </w:r>
          </w:p>
        </w:tc>
        <w:tc>
          <w:tcPr>
            <w:tcW w:w="4050" w:type="dxa"/>
          </w:tcPr>
          <w:p w14:paraId="06B268DD" w14:textId="77777777" w:rsidR="00965801" w:rsidRPr="00BD02A1" w:rsidRDefault="00965801" w:rsidP="00BA1B4D">
            <w:pPr>
              <w:cnfStyle w:val="000000000000" w:firstRow="0" w:lastRow="0" w:firstColumn="0" w:lastColumn="0" w:oddVBand="0" w:evenVBand="0" w:oddHBand="0" w:evenHBand="0" w:firstRowFirstColumn="0" w:firstRowLastColumn="0" w:lastRowFirstColumn="0" w:lastRowLastColumn="0"/>
            </w:pPr>
          </w:p>
        </w:tc>
      </w:tr>
      <w:tr w:rsidR="00965801" w:rsidRPr="00BD02A1" w14:paraId="19965493" w14:textId="77777777" w:rsidTr="00BA1B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5688B857" w14:textId="77777777" w:rsidR="00965801" w:rsidRPr="00BD02A1" w:rsidRDefault="00965801" w:rsidP="00BA1B4D">
            <w:r w:rsidRPr="00BD02A1">
              <w:t>Lagos Tin Can Island</w:t>
            </w:r>
          </w:p>
        </w:tc>
        <w:tc>
          <w:tcPr>
            <w:tcW w:w="1736" w:type="dxa"/>
          </w:tcPr>
          <w:p w14:paraId="5614D2F9"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2005</w:t>
            </w:r>
          </w:p>
        </w:tc>
        <w:tc>
          <w:tcPr>
            <w:tcW w:w="1737" w:type="dxa"/>
          </w:tcPr>
          <w:p w14:paraId="77EE6D79"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r w:rsidRPr="00BD02A1">
              <w:t>June 2006</w:t>
            </w:r>
          </w:p>
        </w:tc>
        <w:tc>
          <w:tcPr>
            <w:tcW w:w="4050" w:type="dxa"/>
          </w:tcPr>
          <w:p w14:paraId="10EAC50E" w14:textId="77777777" w:rsidR="00965801" w:rsidRPr="00BD02A1" w:rsidRDefault="00965801" w:rsidP="00BA1B4D">
            <w:pPr>
              <w:cnfStyle w:val="000000100000" w:firstRow="0" w:lastRow="0" w:firstColumn="0" w:lastColumn="0" w:oddVBand="0" w:evenVBand="0" w:oddHBand="1" w:evenHBand="0" w:firstRowFirstColumn="0" w:firstRowLastColumn="0" w:lastRowFirstColumn="0" w:lastRowLastColumn="0"/>
            </w:pPr>
          </w:p>
        </w:tc>
      </w:tr>
    </w:tbl>
    <w:p w14:paraId="37373E81" w14:textId="77777777" w:rsidR="00965801" w:rsidRDefault="00965801" w:rsidP="00965801">
      <w:bookmarkStart w:id="134" w:name="_Ref432666835"/>
    </w:p>
    <w:p w14:paraId="5D65B00E" w14:textId="03F4DA68" w:rsidR="00965801" w:rsidRPr="004B2A73" w:rsidRDefault="00965801" w:rsidP="00965801">
      <w:pPr>
        <w:pStyle w:val="Caption"/>
        <w:rPr>
          <w:rFonts w:ascii="Calibri" w:hAnsi="Calibri"/>
        </w:rPr>
      </w:pPr>
      <w:bookmarkStart w:id="135" w:name="_Ref473105354"/>
      <w:bookmarkStart w:id="136" w:name="_Toc485377063"/>
      <w:r w:rsidRPr="004B2A73">
        <w:rPr>
          <w:rFonts w:ascii="Calibri" w:hAnsi="Calibri"/>
        </w:rPr>
        <w:t xml:space="preserve">Figure </w:t>
      </w:r>
      <w:r w:rsidRPr="004B2A73">
        <w:rPr>
          <w:rFonts w:ascii="Calibri" w:hAnsi="Calibri"/>
        </w:rPr>
        <w:fldChar w:fldCharType="begin"/>
      </w:r>
      <w:r w:rsidRPr="004B2A73">
        <w:rPr>
          <w:rFonts w:ascii="Calibri" w:hAnsi="Calibri"/>
        </w:rPr>
        <w:instrText xml:space="preserve"> SEQ Figure \* ARABIC </w:instrText>
      </w:r>
      <w:r w:rsidRPr="004B2A73">
        <w:rPr>
          <w:rFonts w:ascii="Calibri" w:hAnsi="Calibri"/>
        </w:rPr>
        <w:fldChar w:fldCharType="separate"/>
      </w:r>
      <w:r w:rsidR="00212D01">
        <w:rPr>
          <w:rFonts w:ascii="Calibri" w:hAnsi="Calibri"/>
          <w:noProof/>
        </w:rPr>
        <w:t>28</w:t>
      </w:r>
      <w:r w:rsidRPr="004B2A73">
        <w:rPr>
          <w:rFonts w:ascii="Calibri" w:hAnsi="Calibri"/>
          <w:noProof/>
        </w:rPr>
        <w:fldChar w:fldCharType="end"/>
      </w:r>
      <w:bookmarkEnd w:id="134"/>
      <w:bookmarkEnd w:id="135"/>
      <w:r w:rsidRPr="004B2A73">
        <w:rPr>
          <w:rFonts w:ascii="Calibri" w:hAnsi="Calibri"/>
        </w:rPr>
        <w:t>: Efficiency for ports in the range Dakar - Abidjan</w:t>
      </w:r>
      <w:bookmarkEnd w:id="136"/>
    </w:p>
    <w:p w14:paraId="211FF715" w14:textId="77777777" w:rsidR="00965801" w:rsidRPr="004B2A73" w:rsidRDefault="00965801" w:rsidP="00965801">
      <w:pPr>
        <w:rPr>
          <w:rFonts w:ascii="Calibri" w:hAnsi="Calibri"/>
          <w:sz w:val="24"/>
          <w:szCs w:val="24"/>
        </w:rPr>
      </w:pPr>
      <w:r w:rsidRPr="004B2A73">
        <w:rPr>
          <w:rFonts w:ascii="Calibri" w:hAnsi="Calibri"/>
          <w:noProof/>
          <w:sz w:val="24"/>
          <w:szCs w:val="24"/>
        </w:rPr>
        <w:drawing>
          <wp:inline distT="0" distB="0" distL="0" distR="0" wp14:anchorId="18B7C7F0" wp14:editId="5D7E07A5">
            <wp:extent cx="5924550" cy="23241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256ACFB" w14:textId="40A49F7D" w:rsidR="00965801" w:rsidRPr="004B2A73" w:rsidRDefault="00965801" w:rsidP="00965801">
      <w:pPr>
        <w:pStyle w:val="Caption"/>
        <w:rPr>
          <w:rFonts w:ascii="Calibri" w:hAnsi="Calibri"/>
        </w:rPr>
      </w:pPr>
      <w:bookmarkStart w:id="137" w:name="_Ref473105365"/>
      <w:bookmarkStart w:id="138" w:name="_Toc485377064"/>
      <w:bookmarkStart w:id="139" w:name="_Ref432666844"/>
      <w:r w:rsidRPr="004B2A73">
        <w:rPr>
          <w:rFonts w:ascii="Calibri" w:hAnsi="Calibri"/>
        </w:rPr>
        <w:t xml:space="preserve">Figure </w:t>
      </w:r>
      <w:r w:rsidRPr="004B2A73">
        <w:rPr>
          <w:rFonts w:ascii="Calibri" w:hAnsi="Calibri"/>
        </w:rPr>
        <w:fldChar w:fldCharType="begin"/>
      </w:r>
      <w:r w:rsidRPr="004B2A73">
        <w:rPr>
          <w:rFonts w:ascii="Calibri" w:hAnsi="Calibri"/>
        </w:rPr>
        <w:instrText xml:space="preserve"> SEQ Figure \* ARABIC </w:instrText>
      </w:r>
      <w:r w:rsidRPr="004B2A73">
        <w:rPr>
          <w:rFonts w:ascii="Calibri" w:hAnsi="Calibri"/>
        </w:rPr>
        <w:fldChar w:fldCharType="separate"/>
      </w:r>
      <w:r w:rsidR="00212D01">
        <w:rPr>
          <w:rFonts w:ascii="Calibri" w:hAnsi="Calibri"/>
          <w:noProof/>
        </w:rPr>
        <w:t>29</w:t>
      </w:r>
      <w:r w:rsidRPr="004B2A73">
        <w:rPr>
          <w:rFonts w:ascii="Calibri" w:hAnsi="Calibri"/>
          <w:noProof/>
        </w:rPr>
        <w:fldChar w:fldCharType="end"/>
      </w:r>
      <w:bookmarkEnd w:id="137"/>
      <w:r w:rsidRPr="004B2A73">
        <w:rPr>
          <w:rFonts w:ascii="Calibri" w:hAnsi="Calibri"/>
        </w:rPr>
        <w:t>: Efficiency for ports in the range Tema - Lagos</w:t>
      </w:r>
      <w:bookmarkEnd w:id="138"/>
    </w:p>
    <w:bookmarkEnd w:id="139"/>
    <w:p w14:paraId="3236F68C" w14:textId="77777777" w:rsidR="00965801" w:rsidRPr="004B2A73" w:rsidRDefault="00965801" w:rsidP="00965801">
      <w:pPr>
        <w:spacing w:before="120"/>
        <w:rPr>
          <w:rFonts w:ascii="Calibri" w:hAnsi="Calibri"/>
          <w:sz w:val="24"/>
          <w:szCs w:val="24"/>
        </w:rPr>
      </w:pPr>
      <w:r w:rsidRPr="004B2A73">
        <w:rPr>
          <w:rFonts w:ascii="Calibri" w:hAnsi="Calibri"/>
          <w:noProof/>
          <w:sz w:val="24"/>
          <w:szCs w:val="24"/>
        </w:rPr>
        <w:drawing>
          <wp:inline distT="0" distB="0" distL="0" distR="0" wp14:anchorId="46F82D64" wp14:editId="39F2371C">
            <wp:extent cx="5895975" cy="22383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19D18C7" w14:textId="57556E3F" w:rsidR="00965801" w:rsidRPr="004B2A73" w:rsidRDefault="00965801" w:rsidP="00965801">
      <w:pPr>
        <w:pStyle w:val="ListParagraph"/>
        <w:ind w:left="0"/>
        <w:jc w:val="both"/>
        <w:rPr>
          <w:rFonts w:ascii="Calibri" w:hAnsi="Calibri"/>
          <w:sz w:val="24"/>
        </w:rPr>
      </w:pPr>
      <w:r w:rsidRPr="004B2A73">
        <w:rPr>
          <w:rFonts w:ascii="Calibri" w:hAnsi="Calibri"/>
          <w:b/>
          <w:sz w:val="24"/>
        </w:rPr>
        <w:t>Terminal efficiency increases when throughput increases, irrespective of the mode of management</w:t>
      </w:r>
      <w:r w:rsidRPr="004B2A73">
        <w:rPr>
          <w:rFonts w:ascii="Calibri" w:hAnsi="Calibri"/>
          <w:sz w:val="24"/>
        </w:rPr>
        <w:t>. An increase in terminal throughput enables a better use of the inputs to achieve a higher level of activity. This result is largely expected.</w:t>
      </w:r>
      <w:r w:rsidRPr="004B2A73">
        <w:rPr>
          <w:rFonts w:ascii="Calibri" w:hAnsi="Calibri"/>
          <w:b/>
          <w:sz w:val="24"/>
        </w:rPr>
        <w:t xml:space="preserve"> </w:t>
      </w:r>
      <w:r w:rsidRPr="004B2A73">
        <w:rPr>
          <w:rFonts w:ascii="Calibri" w:hAnsi="Calibri"/>
          <w:sz w:val="24"/>
        </w:rPr>
        <w:t xml:space="preserve">By construction, a throughput increase with constant terminal characteristics translates into a better utilization of the resources.  Over the period selected for the analysis, most terminal adjustments were incremental, mostly additional handling equipment, in the form of additional ship-to-shore cranes or yard handling equipment, and very few major capacity increases in the form of new quays and yard area. </w:t>
      </w:r>
      <w:r w:rsidRPr="004B2A73">
        <w:rPr>
          <w:rFonts w:ascii="Calibri" w:hAnsi="Calibri"/>
          <w:sz w:val="24"/>
          <w:szCs w:val="24"/>
        </w:rPr>
        <w:fldChar w:fldCharType="begin"/>
      </w:r>
      <w:r w:rsidRPr="004B2A73">
        <w:rPr>
          <w:rFonts w:ascii="Calibri" w:hAnsi="Calibri"/>
          <w:sz w:val="24"/>
          <w:szCs w:val="24"/>
        </w:rPr>
        <w:instrText xml:space="preserve"> REF _Ref432669092 \h  \* MERGEFORMAT </w:instrText>
      </w:r>
      <w:r w:rsidRPr="004B2A73">
        <w:rPr>
          <w:rFonts w:ascii="Calibri" w:hAnsi="Calibri"/>
          <w:sz w:val="24"/>
          <w:szCs w:val="24"/>
        </w:rPr>
      </w:r>
      <w:r w:rsidRPr="004B2A73">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30</w:t>
      </w:r>
      <w:r w:rsidRPr="004B2A73">
        <w:rPr>
          <w:rFonts w:ascii="Calibri" w:hAnsi="Calibri"/>
          <w:sz w:val="24"/>
          <w:szCs w:val="24"/>
        </w:rPr>
        <w:fldChar w:fldCharType="end"/>
      </w:r>
      <w:r>
        <w:rPr>
          <w:rFonts w:ascii="Calibri" w:hAnsi="Calibri"/>
          <w:sz w:val="24"/>
          <w:szCs w:val="24"/>
        </w:rPr>
        <w:t xml:space="preserve"> </w:t>
      </w:r>
      <w:r w:rsidRPr="004B2A73">
        <w:rPr>
          <w:rFonts w:ascii="Calibri" w:hAnsi="Calibri"/>
          <w:sz w:val="24"/>
        </w:rPr>
        <w:t xml:space="preserve">illustrates the relationship between throughput and terminal efficiency over the period 2004-2013 for the main container terminals, in Dakar, Conakry, Abidjan, Tema, </w:t>
      </w:r>
      <w:r>
        <w:rPr>
          <w:rFonts w:ascii="Calibri" w:hAnsi="Calibri"/>
          <w:sz w:val="24"/>
        </w:rPr>
        <w:t>Lomé</w:t>
      </w:r>
      <w:r w:rsidRPr="004B2A73">
        <w:rPr>
          <w:rFonts w:ascii="Calibri" w:hAnsi="Calibri"/>
          <w:sz w:val="24"/>
        </w:rPr>
        <w:t>, Cotonou and Lagos (Apapa). Smaller ports have been omitted to avoid adding ‘noise’ at the lower end of this relationship.</w:t>
      </w:r>
    </w:p>
    <w:p w14:paraId="02CC3B73" w14:textId="0A186FED" w:rsidR="00965801" w:rsidRPr="004B2A73" w:rsidRDefault="00965801" w:rsidP="00965801">
      <w:pPr>
        <w:pStyle w:val="Caption"/>
        <w:rPr>
          <w:rFonts w:ascii="Calibri" w:hAnsi="Calibri"/>
        </w:rPr>
      </w:pPr>
      <w:bookmarkStart w:id="140" w:name="_Ref432669092"/>
      <w:bookmarkStart w:id="141" w:name="_Toc485377065"/>
      <w:bookmarkStart w:id="142" w:name="_Ref419719049"/>
      <w:r w:rsidRPr="004B2A73">
        <w:rPr>
          <w:rFonts w:ascii="Calibri" w:hAnsi="Calibri"/>
        </w:rPr>
        <w:t xml:space="preserve">Figure </w:t>
      </w:r>
      <w:r w:rsidRPr="004B2A73">
        <w:rPr>
          <w:rFonts w:ascii="Calibri" w:hAnsi="Calibri"/>
        </w:rPr>
        <w:fldChar w:fldCharType="begin"/>
      </w:r>
      <w:r w:rsidRPr="004B2A73">
        <w:rPr>
          <w:rFonts w:ascii="Calibri" w:hAnsi="Calibri"/>
        </w:rPr>
        <w:instrText xml:space="preserve"> SEQ Figure \* ARABIC </w:instrText>
      </w:r>
      <w:r w:rsidRPr="004B2A73">
        <w:rPr>
          <w:rFonts w:ascii="Calibri" w:hAnsi="Calibri"/>
        </w:rPr>
        <w:fldChar w:fldCharType="separate"/>
      </w:r>
      <w:r w:rsidR="00212D01">
        <w:rPr>
          <w:rFonts w:ascii="Calibri" w:hAnsi="Calibri"/>
          <w:noProof/>
        </w:rPr>
        <w:t>30</w:t>
      </w:r>
      <w:r w:rsidRPr="004B2A73">
        <w:rPr>
          <w:rFonts w:ascii="Calibri" w:hAnsi="Calibri"/>
          <w:noProof/>
        </w:rPr>
        <w:fldChar w:fldCharType="end"/>
      </w:r>
      <w:bookmarkEnd w:id="140"/>
      <w:r w:rsidRPr="004B2A73">
        <w:rPr>
          <w:rFonts w:ascii="Calibri" w:hAnsi="Calibri"/>
        </w:rPr>
        <w:t>: Relationship between throughput and terminal efficiency</w:t>
      </w:r>
      <w:bookmarkEnd w:id="141"/>
    </w:p>
    <w:bookmarkEnd w:id="142"/>
    <w:p w14:paraId="663FB670" w14:textId="7DFB4539" w:rsidR="00965801" w:rsidRPr="00525F08" w:rsidRDefault="00965801" w:rsidP="00965801">
      <w:pPr>
        <w:rPr>
          <w:rFonts w:ascii="Calibri" w:hAnsi="Calibri"/>
          <w:sz w:val="24"/>
          <w:szCs w:val="24"/>
        </w:rPr>
      </w:pPr>
      <w:r w:rsidRPr="004B2A73">
        <w:rPr>
          <w:rFonts w:ascii="Calibri" w:hAnsi="Calibri"/>
          <w:noProof/>
          <w:sz w:val="24"/>
          <w:szCs w:val="24"/>
        </w:rPr>
        <w:drawing>
          <wp:inline distT="0" distB="0" distL="0" distR="0" wp14:anchorId="1C390896" wp14:editId="530B2D0C">
            <wp:extent cx="5943600" cy="235458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4B2A73">
        <w:rPr>
          <w:rFonts w:ascii="Calibri" w:hAnsi="Calibri"/>
          <w:b/>
          <w:sz w:val="24"/>
        </w:rPr>
        <w:t xml:space="preserve">A finer analysis of efficiency gains over time, which eliminates the effect of volume, provides some evidence of improvements when TOCs took over the management of the container terminals.  </w:t>
      </w:r>
      <w:r w:rsidRPr="004B2A73">
        <w:rPr>
          <w:rFonts w:ascii="Calibri" w:hAnsi="Calibri"/>
          <w:sz w:val="24"/>
        </w:rPr>
        <w:t xml:space="preserve">Using a simple model linking efficiency and throughput, </w:t>
      </w:r>
      <w:r w:rsidRPr="00525F08">
        <w:rPr>
          <w:rFonts w:ascii="Calibri" w:hAnsi="Calibri"/>
          <w:sz w:val="24"/>
          <w:szCs w:val="24"/>
        </w:rPr>
        <w:t xml:space="preserve">illustrated in </w:t>
      </w:r>
      <w:r w:rsidRPr="00525F08">
        <w:rPr>
          <w:rFonts w:ascii="Calibri" w:hAnsi="Calibri"/>
          <w:sz w:val="24"/>
          <w:szCs w:val="24"/>
        </w:rPr>
        <w:fldChar w:fldCharType="begin"/>
      </w:r>
      <w:r w:rsidRPr="00525F08">
        <w:rPr>
          <w:rFonts w:ascii="Calibri" w:hAnsi="Calibri"/>
          <w:sz w:val="24"/>
          <w:szCs w:val="24"/>
        </w:rPr>
        <w:instrText xml:space="preserve"> REF _Ref432669092 \h  \* MERGEFORMAT </w:instrText>
      </w:r>
      <w:r w:rsidRPr="00525F08">
        <w:rPr>
          <w:rFonts w:ascii="Calibri" w:hAnsi="Calibri"/>
          <w:sz w:val="24"/>
          <w:szCs w:val="24"/>
        </w:rPr>
      </w:r>
      <w:r w:rsidRPr="00525F08">
        <w:rPr>
          <w:rFonts w:ascii="Calibri" w:hAnsi="Calibri"/>
          <w:sz w:val="24"/>
          <w:szCs w:val="24"/>
        </w:rPr>
        <w:fldChar w:fldCharType="separate"/>
      </w:r>
      <w:r w:rsidR="00212D01" w:rsidRPr="00212D01">
        <w:rPr>
          <w:rFonts w:ascii="Calibri" w:hAnsi="Calibri"/>
          <w:sz w:val="24"/>
          <w:szCs w:val="24"/>
        </w:rPr>
        <w:t>Figure 30</w:t>
      </w:r>
      <w:r w:rsidRPr="00525F08">
        <w:rPr>
          <w:rFonts w:ascii="Calibri" w:hAnsi="Calibri"/>
          <w:sz w:val="24"/>
          <w:szCs w:val="24"/>
        </w:rPr>
        <w:fldChar w:fldCharType="end"/>
      </w:r>
      <w:r w:rsidRPr="00525F08">
        <w:rPr>
          <w:rFonts w:ascii="Calibri" w:hAnsi="Calibri"/>
          <w:sz w:val="24"/>
          <w:szCs w:val="24"/>
        </w:rPr>
        <w:t xml:space="preserve">, differences between the calculated efficiency score and the efficiency predicted by the model according to throughput have been calculated for three groups of terminals illustrated in the following graphs: </w:t>
      </w:r>
      <w:r w:rsidRPr="00525F08">
        <w:rPr>
          <w:rFonts w:ascii="Calibri" w:hAnsi="Calibri"/>
          <w:sz w:val="24"/>
          <w:szCs w:val="24"/>
        </w:rPr>
        <w:fldChar w:fldCharType="begin"/>
      </w:r>
      <w:r w:rsidRPr="00525F08">
        <w:rPr>
          <w:rFonts w:ascii="Calibri" w:hAnsi="Calibri"/>
          <w:sz w:val="24"/>
          <w:szCs w:val="24"/>
        </w:rPr>
        <w:instrText xml:space="preserve"> REF _Ref449023923 \h  \* MERGEFORMAT </w:instrText>
      </w:r>
      <w:r w:rsidRPr="00525F08">
        <w:rPr>
          <w:rFonts w:ascii="Calibri" w:hAnsi="Calibri"/>
          <w:sz w:val="24"/>
          <w:szCs w:val="24"/>
        </w:rPr>
      </w:r>
      <w:r w:rsidRPr="00525F08">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31</w:t>
      </w:r>
      <w:r w:rsidRPr="00525F08">
        <w:rPr>
          <w:rFonts w:ascii="Calibri" w:hAnsi="Calibri"/>
          <w:sz w:val="24"/>
          <w:szCs w:val="24"/>
        </w:rPr>
        <w:fldChar w:fldCharType="end"/>
      </w:r>
      <w:r w:rsidRPr="00525F08">
        <w:rPr>
          <w:rFonts w:ascii="Calibri" w:hAnsi="Calibri"/>
          <w:sz w:val="24"/>
          <w:szCs w:val="24"/>
        </w:rPr>
        <w:t xml:space="preserve"> for Abidjan and Dakar, </w:t>
      </w:r>
      <w:r w:rsidRPr="00525F08">
        <w:rPr>
          <w:rFonts w:ascii="Calibri" w:hAnsi="Calibri"/>
          <w:sz w:val="24"/>
          <w:szCs w:val="24"/>
        </w:rPr>
        <w:fldChar w:fldCharType="begin"/>
      </w:r>
      <w:r w:rsidRPr="00525F08">
        <w:rPr>
          <w:rFonts w:ascii="Calibri" w:hAnsi="Calibri"/>
          <w:sz w:val="24"/>
          <w:szCs w:val="24"/>
        </w:rPr>
        <w:instrText xml:space="preserve"> REF _Ref432669353 \h  \* MERGEFORMAT </w:instrText>
      </w:r>
      <w:r w:rsidRPr="00525F08">
        <w:rPr>
          <w:rFonts w:ascii="Calibri" w:hAnsi="Calibri"/>
          <w:sz w:val="24"/>
          <w:szCs w:val="24"/>
        </w:rPr>
      </w:r>
      <w:r w:rsidRPr="00525F08">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32</w:t>
      </w:r>
      <w:r w:rsidRPr="00525F08">
        <w:rPr>
          <w:rFonts w:ascii="Calibri" w:hAnsi="Calibri"/>
          <w:sz w:val="24"/>
          <w:szCs w:val="24"/>
        </w:rPr>
        <w:fldChar w:fldCharType="end"/>
      </w:r>
      <w:r w:rsidRPr="00525F08">
        <w:rPr>
          <w:rFonts w:ascii="Calibri" w:hAnsi="Calibri"/>
          <w:sz w:val="24"/>
          <w:szCs w:val="24"/>
        </w:rPr>
        <w:t xml:space="preserve"> for Tema, Lagos Apapa and Lomé, and </w:t>
      </w:r>
      <w:r w:rsidRPr="00525F08">
        <w:rPr>
          <w:rFonts w:ascii="Calibri" w:hAnsi="Calibri"/>
          <w:sz w:val="24"/>
          <w:szCs w:val="24"/>
        </w:rPr>
        <w:fldChar w:fldCharType="begin"/>
      </w:r>
      <w:r w:rsidRPr="00525F08">
        <w:rPr>
          <w:rFonts w:ascii="Calibri" w:hAnsi="Calibri"/>
          <w:sz w:val="24"/>
          <w:szCs w:val="24"/>
        </w:rPr>
        <w:instrText xml:space="preserve"> REF _Ref432669364 \h  \* MERGEFORMAT </w:instrText>
      </w:r>
      <w:r w:rsidRPr="00525F08">
        <w:rPr>
          <w:rFonts w:ascii="Calibri" w:hAnsi="Calibri"/>
          <w:sz w:val="24"/>
          <w:szCs w:val="24"/>
        </w:rPr>
      </w:r>
      <w:r w:rsidRPr="00525F08">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33</w:t>
      </w:r>
      <w:r w:rsidRPr="00525F08">
        <w:rPr>
          <w:rFonts w:ascii="Calibri" w:hAnsi="Calibri"/>
          <w:sz w:val="24"/>
          <w:szCs w:val="24"/>
        </w:rPr>
        <w:fldChar w:fldCharType="end"/>
      </w:r>
      <w:r w:rsidRPr="00525F08">
        <w:rPr>
          <w:rFonts w:ascii="Calibri" w:hAnsi="Calibri"/>
          <w:sz w:val="24"/>
          <w:szCs w:val="24"/>
        </w:rPr>
        <w:t xml:space="preserve"> for Conakry and Cotonou. A positive score means that efficiency is lower than it should be for the level of activity of the terminal. For all terminals, efficiency over time becomes higher than the model estimated based purely on throughput, but each one of the three group correspond to a different situation:</w:t>
      </w:r>
    </w:p>
    <w:p w14:paraId="3546C76C" w14:textId="4126996A" w:rsidR="00965801" w:rsidRPr="00525F08" w:rsidRDefault="00965801" w:rsidP="00E826B9">
      <w:pPr>
        <w:pStyle w:val="ListParagraph"/>
        <w:numPr>
          <w:ilvl w:val="0"/>
          <w:numId w:val="4"/>
        </w:numPr>
        <w:jc w:val="both"/>
        <w:rPr>
          <w:rFonts w:ascii="Calibri" w:hAnsi="Calibri"/>
          <w:sz w:val="24"/>
          <w:szCs w:val="24"/>
        </w:rPr>
      </w:pPr>
      <w:r w:rsidRPr="00525F08">
        <w:rPr>
          <w:rFonts w:ascii="Calibri" w:hAnsi="Calibri"/>
          <w:sz w:val="24"/>
          <w:szCs w:val="24"/>
        </w:rPr>
        <w:t xml:space="preserve">In </w:t>
      </w:r>
      <w:r w:rsidRPr="00525F08">
        <w:rPr>
          <w:rFonts w:ascii="Calibri" w:hAnsi="Calibri"/>
          <w:sz w:val="24"/>
          <w:szCs w:val="24"/>
        </w:rPr>
        <w:fldChar w:fldCharType="begin"/>
      </w:r>
      <w:r w:rsidRPr="00525F08">
        <w:rPr>
          <w:rFonts w:ascii="Calibri" w:hAnsi="Calibri"/>
          <w:sz w:val="24"/>
          <w:szCs w:val="24"/>
        </w:rPr>
        <w:instrText xml:space="preserve"> REF _Ref449023923 \h  \* MERGEFORMAT </w:instrText>
      </w:r>
      <w:r w:rsidRPr="00525F08">
        <w:rPr>
          <w:rFonts w:ascii="Calibri" w:hAnsi="Calibri"/>
          <w:sz w:val="24"/>
          <w:szCs w:val="24"/>
        </w:rPr>
      </w:r>
      <w:r w:rsidRPr="00525F08">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31</w:t>
      </w:r>
      <w:r w:rsidRPr="00525F08">
        <w:rPr>
          <w:rFonts w:ascii="Calibri" w:hAnsi="Calibri"/>
          <w:sz w:val="24"/>
          <w:szCs w:val="24"/>
        </w:rPr>
        <w:fldChar w:fldCharType="end"/>
      </w:r>
      <w:r w:rsidRPr="00525F08">
        <w:rPr>
          <w:rFonts w:ascii="Calibri" w:hAnsi="Calibri"/>
          <w:sz w:val="24"/>
          <w:szCs w:val="24"/>
        </w:rPr>
        <w:t>, the evolution of the efficiency is erratic, and can be linked to substantial changes in the characteristics of the terminal, as terminal expansion in Dakar and new handling equipment in Abidjan significantly modified the ratio between input and output in the efficiency formula.</w:t>
      </w:r>
    </w:p>
    <w:p w14:paraId="775D40D0" w14:textId="265B6B00" w:rsidR="00965801" w:rsidRPr="00525F08" w:rsidRDefault="00965801" w:rsidP="00E826B9">
      <w:pPr>
        <w:pStyle w:val="ListParagraph"/>
        <w:numPr>
          <w:ilvl w:val="0"/>
          <w:numId w:val="4"/>
        </w:numPr>
        <w:jc w:val="both"/>
        <w:rPr>
          <w:rFonts w:ascii="Calibri" w:hAnsi="Calibri"/>
          <w:sz w:val="24"/>
          <w:szCs w:val="24"/>
        </w:rPr>
      </w:pPr>
      <w:r w:rsidRPr="00525F08">
        <w:rPr>
          <w:rFonts w:ascii="Calibri" w:hAnsi="Calibri"/>
          <w:sz w:val="24"/>
          <w:szCs w:val="24"/>
        </w:rPr>
        <w:t xml:space="preserve">In </w:t>
      </w:r>
      <w:r w:rsidRPr="00525F08">
        <w:rPr>
          <w:rFonts w:ascii="Calibri" w:hAnsi="Calibri"/>
          <w:sz w:val="24"/>
          <w:szCs w:val="24"/>
        </w:rPr>
        <w:fldChar w:fldCharType="begin"/>
      </w:r>
      <w:r w:rsidRPr="00525F08">
        <w:rPr>
          <w:rFonts w:ascii="Calibri" w:hAnsi="Calibri"/>
          <w:sz w:val="24"/>
          <w:szCs w:val="24"/>
        </w:rPr>
        <w:instrText xml:space="preserve"> REF _Ref432669353 \h  \* MERGEFORMAT </w:instrText>
      </w:r>
      <w:r w:rsidRPr="00525F08">
        <w:rPr>
          <w:rFonts w:ascii="Calibri" w:hAnsi="Calibri"/>
          <w:sz w:val="24"/>
          <w:szCs w:val="24"/>
        </w:rPr>
      </w:r>
      <w:r w:rsidRPr="00525F08">
        <w:rPr>
          <w:rFonts w:ascii="Calibri" w:hAnsi="Calibri"/>
          <w:sz w:val="24"/>
          <w:szCs w:val="24"/>
        </w:rPr>
        <w:fldChar w:fldCharType="separate"/>
      </w:r>
      <w:r w:rsidR="00212D01" w:rsidRPr="00212D01">
        <w:rPr>
          <w:rFonts w:ascii="Calibri" w:hAnsi="Calibri"/>
          <w:sz w:val="24"/>
          <w:szCs w:val="24"/>
        </w:rPr>
        <w:t>Figure 32</w:t>
      </w:r>
      <w:r w:rsidRPr="00525F08">
        <w:rPr>
          <w:rFonts w:ascii="Calibri" w:hAnsi="Calibri"/>
          <w:sz w:val="24"/>
          <w:szCs w:val="24"/>
        </w:rPr>
        <w:fldChar w:fldCharType="end"/>
      </w:r>
      <w:r w:rsidRPr="00525F08">
        <w:rPr>
          <w:rFonts w:ascii="Calibri" w:hAnsi="Calibri"/>
          <w:sz w:val="24"/>
          <w:szCs w:val="24"/>
        </w:rPr>
        <w:t>, the improvement in efficiency coincides with the transfer of container terminal operations from a public sector provider to a private sector TOC in 2006 for Lagos Apapa and after 2008 when the new container terminal was fully operational for Tema.  Efficiency also improved after the upgrade of the container terminal in Lomé.</w:t>
      </w:r>
    </w:p>
    <w:p w14:paraId="4F8C6FCF" w14:textId="23C3DF18" w:rsidR="00965801" w:rsidRPr="00525F08" w:rsidRDefault="00965801" w:rsidP="00E826B9">
      <w:pPr>
        <w:pStyle w:val="ListParagraph"/>
        <w:numPr>
          <w:ilvl w:val="0"/>
          <w:numId w:val="4"/>
        </w:numPr>
        <w:jc w:val="both"/>
        <w:rPr>
          <w:rFonts w:ascii="Calibri" w:hAnsi="Calibri"/>
          <w:sz w:val="24"/>
          <w:szCs w:val="24"/>
        </w:rPr>
      </w:pPr>
      <w:r w:rsidRPr="00525F08">
        <w:rPr>
          <w:rFonts w:ascii="Calibri" w:hAnsi="Calibri"/>
          <w:sz w:val="24"/>
          <w:szCs w:val="24"/>
        </w:rPr>
        <w:t xml:space="preserve">In </w:t>
      </w:r>
      <w:r w:rsidRPr="00525F08">
        <w:rPr>
          <w:rFonts w:ascii="Calibri" w:hAnsi="Calibri"/>
          <w:sz w:val="24"/>
          <w:szCs w:val="24"/>
        </w:rPr>
        <w:fldChar w:fldCharType="begin"/>
      </w:r>
      <w:r w:rsidRPr="00525F08">
        <w:rPr>
          <w:rFonts w:ascii="Calibri" w:hAnsi="Calibri"/>
          <w:sz w:val="24"/>
          <w:szCs w:val="24"/>
        </w:rPr>
        <w:instrText xml:space="preserve"> REF _Ref432669364 \h  \* MERGEFORMAT </w:instrText>
      </w:r>
      <w:r w:rsidRPr="00525F08">
        <w:rPr>
          <w:rFonts w:ascii="Calibri" w:hAnsi="Calibri"/>
          <w:sz w:val="24"/>
          <w:szCs w:val="24"/>
        </w:rPr>
      </w:r>
      <w:r w:rsidRPr="00525F08">
        <w:rPr>
          <w:rFonts w:ascii="Calibri" w:hAnsi="Calibri"/>
          <w:sz w:val="24"/>
          <w:szCs w:val="24"/>
        </w:rPr>
        <w:fldChar w:fldCharType="separate"/>
      </w:r>
      <w:r w:rsidR="00212D01" w:rsidRPr="00212D01">
        <w:rPr>
          <w:rFonts w:ascii="Calibri" w:hAnsi="Calibri"/>
          <w:sz w:val="24"/>
          <w:szCs w:val="24"/>
        </w:rPr>
        <w:t xml:space="preserve">Figure </w:t>
      </w:r>
      <w:r w:rsidR="00212D01" w:rsidRPr="00212D01">
        <w:rPr>
          <w:rFonts w:ascii="Calibri" w:hAnsi="Calibri"/>
          <w:noProof/>
          <w:sz w:val="24"/>
          <w:szCs w:val="24"/>
        </w:rPr>
        <w:t>33</w:t>
      </w:r>
      <w:r w:rsidRPr="00525F08">
        <w:rPr>
          <w:rFonts w:ascii="Calibri" w:hAnsi="Calibri"/>
          <w:sz w:val="24"/>
          <w:szCs w:val="24"/>
        </w:rPr>
        <w:fldChar w:fldCharType="end"/>
      </w:r>
      <w:r w:rsidRPr="00525F08">
        <w:rPr>
          <w:rFonts w:ascii="Calibri" w:hAnsi="Calibri"/>
          <w:sz w:val="24"/>
          <w:szCs w:val="24"/>
        </w:rPr>
        <w:t>, there is no clear change in trend before and after the concession, and the efficiency is better than the volume would predict. In both ports, private stevedoring companies were licensed to handle containers before the concession, and the modern container facilities were completed respectively only in 2013 for Cotonou, and 2014 in Conakry.</w:t>
      </w:r>
    </w:p>
    <w:p w14:paraId="59AA48F7" w14:textId="2A6292FA" w:rsidR="00965801" w:rsidRPr="004B2A73" w:rsidRDefault="00965801" w:rsidP="00965801">
      <w:pPr>
        <w:pStyle w:val="Caption"/>
        <w:rPr>
          <w:rFonts w:ascii="Calibri" w:hAnsi="Calibri"/>
        </w:rPr>
      </w:pPr>
      <w:bookmarkStart w:id="143" w:name="_Ref449023923"/>
      <w:bookmarkStart w:id="144" w:name="_Toc485377066"/>
      <w:bookmarkStart w:id="145" w:name="_Ref432669341"/>
      <w:r w:rsidRPr="004B2A73">
        <w:rPr>
          <w:rFonts w:ascii="Calibri" w:hAnsi="Calibri"/>
        </w:rPr>
        <w:t xml:space="preserve">Figure </w:t>
      </w:r>
      <w:r w:rsidRPr="004B2A73">
        <w:rPr>
          <w:rFonts w:ascii="Calibri" w:hAnsi="Calibri"/>
        </w:rPr>
        <w:fldChar w:fldCharType="begin"/>
      </w:r>
      <w:r w:rsidRPr="004B2A73">
        <w:rPr>
          <w:rFonts w:ascii="Calibri" w:hAnsi="Calibri"/>
        </w:rPr>
        <w:instrText xml:space="preserve"> SEQ Figure \* ARABIC </w:instrText>
      </w:r>
      <w:r w:rsidRPr="004B2A73">
        <w:rPr>
          <w:rFonts w:ascii="Calibri" w:hAnsi="Calibri"/>
        </w:rPr>
        <w:fldChar w:fldCharType="separate"/>
      </w:r>
      <w:r w:rsidR="00212D01">
        <w:rPr>
          <w:rFonts w:ascii="Calibri" w:hAnsi="Calibri"/>
          <w:noProof/>
        </w:rPr>
        <w:t>31</w:t>
      </w:r>
      <w:r w:rsidRPr="004B2A73">
        <w:rPr>
          <w:rFonts w:ascii="Calibri" w:hAnsi="Calibri"/>
          <w:noProof/>
        </w:rPr>
        <w:fldChar w:fldCharType="end"/>
      </w:r>
      <w:bookmarkEnd w:id="143"/>
      <w:r w:rsidRPr="004B2A73">
        <w:rPr>
          <w:rFonts w:ascii="Calibri" w:hAnsi="Calibri"/>
          <w:noProof/>
        </w:rPr>
        <w:t xml:space="preserve"> : Abidjan and Dakar</w:t>
      </w:r>
      <w:bookmarkEnd w:id="144"/>
    </w:p>
    <w:bookmarkEnd w:id="145"/>
    <w:p w14:paraId="74BE13BA" w14:textId="77777777" w:rsidR="00965801" w:rsidRPr="004B2A73" w:rsidRDefault="00965801" w:rsidP="00965801">
      <w:pPr>
        <w:jc w:val="center"/>
        <w:rPr>
          <w:rFonts w:ascii="Calibri" w:hAnsi="Calibri"/>
          <w:sz w:val="24"/>
          <w:szCs w:val="24"/>
        </w:rPr>
      </w:pPr>
      <w:r w:rsidRPr="004B2A73">
        <w:rPr>
          <w:rFonts w:ascii="Calibri" w:hAnsi="Calibri"/>
          <w:noProof/>
          <w:sz w:val="24"/>
          <w:szCs w:val="24"/>
        </w:rPr>
        <w:drawing>
          <wp:inline distT="0" distB="0" distL="0" distR="0" wp14:anchorId="6ECBF4EE" wp14:editId="21804AEB">
            <wp:extent cx="5829300" cy="1524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B07CB45" w14:textId="5315F441" w:rsidR="00965801" w:rsidRPr="004B2A73" w:rsidRDefault="00965801" w:rsidP="00965801">
      <w:pPr>
        <w:pStyle w:val="Caption"/>
        <w:rPr>
          <w:rFonts w:ascii="Calibri" w:hAnsi="Calibri"/>
        </w:rPr>
      </w:pPr>
      <w:bookmarkStart w:id="146" w:name="_Ref432669353"/>
      <w:bookmarkStart w:id="147" w:name="_Toc485377067"/>
      <w:r w:rsidRPr="004B2A73">
        <w:rPr>
          <w:rFonts w:ascii="Calibri" w:hAnsi="Calibri"/>
        </w:rPr>
        <w:t xml:space="preserve">Figure </w:t>
      </w:r>
      <w:r w:rsidRPr="004B2A73">
        <w:rPr>
          <w:rFonts w:ascii="Calibri" w:hAnsi="Calibri"/>
        </w:rPr>
        <w:fldChar w:fldCharType="begin"/>
      </w:r>
      <w:r w:rsidRPr="004B2A73">
        <w:rPr>
          <w:rFonts w:ascii="Calibri" w:hAnsi="Calibri"/>
        </w:rPr>
        <w:instrText xml:space="preserve"> SEQ Figure \* ARABIC </w:instrText>
      </w:r>
      <w:r w:rsidRPr="004B2A73">
        <w:rPr>
          <w:rFonts w:ascii="Calibri" w:hAnsi="Calibri"/>
        </w:rPr>
        <w:fldChar w:fldCharType="separate"/>
      </w:r>
      <w:r w:rsidR="00212D01">
        <w:rPr>
          <w:rFonts w:ascii="Calibri" w:hAnsi="Calibri"/>
          <w:noProof/>
        </w:rPr>
        <w:t>32</w:t>
      </w:r>
      <w:r w:rsidRPr="004B2A73">
        <w:rPr>
          <w:rFonts w:ascii="Calibri" w:hAnsi="Calibri"/>
          <w:noProof/>
        </w:rPr>
        <w:fldChar w:fldCharType="end"/>
      </w:r>
      <w:bookmarkEnd w:id="146"/>
      <w:r w:rsidRPr="004B2A73">
        <w:rPr>
          <w:rFonts w:ascii="Calibri" w:hAnsi="Calibri"/>
        </w:rPr>
        <w:t xml:space="preserve">: Tema, </w:t>
      </w:r>
      <w:r>
        <w:rPr>
          <w:rFonts w:ascii="Calibri" w:hAnsi="Calibri"/>
        </w:rPr>
        <w:t>Lomé</w:t>
      </w:r>
      <w:r w:rsidRPr="004B2A73">
        <w:rPr>
          <w:rFonts w:ascii="Calibri" w:hAnsi="Calibri"/>
        </w:rPr>
        <w:t xml:space="preserve"> and Lagos Apapa</w:t>
      </w:r>
      <w:bookmarkEnd w:id="147"/>
    </w:p>
    <w:p w14:paraId="350DE3EB" w14:textId="77777777" w:rsidR="00965801" w:rsidRPr="004B2A73" w:rsidRDefault="00965801" w:rsidP="00965801">
      <w:pPr>
        <w:jc w:val="center"/>
        <w:rPr>
          <w:rFonts w:ascii="Calibri" w:hAnsi="Calibri"/>
          <w:sz w:val="24"/>
          <w:szCs w:val="24"/>
        </w:rPr>
      </w:pPr>
      <w:r w:rsidRPr="004B2A73">
        <w:rPr>
          <w:rFonts w:ascii="Calibri" w:hAnsi="Calibri"/>
          <w:noProof/>
          <w:sz w:val="24"/>
          <w:szCs w:val="24"/>
        </w:rPr>
        <w:drawing>
          <wp:inline distT="0" distB="0" distL="0" distR="0" wp14:anchorId="51C6E7F8" wp14:editId="56BE03B0">
            <wp:extent cx="5734050" cy="14001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0ED7DA4" w14:textId="1EAF0CD8" w:rsidR="00965801" w:rsidRPr="004B2A73" w:rsidRDefault="00965801" w:rsidP="00965801">
      <w:pPr>
        <w:pStyle w:val="Caption"/>
        <w:rPr>
          <w:rFonts w:ascii="Calibri" w:hAnsi="Calibri"/>
        </w:rPr>
      </w:pPr>
      <w:bookmarkStart w:id="148" w:name="_Ref432669364"/>
      <w:bookmarkStart w:id="149" w:name="_Toc485377068"/>
      <w:r w:rsidRPr="004B2A73">
        <w:rPr>
          <w:rFonts w:ascii="Calibri" w:hAnsi="Calibri"/>
        </w:rPr>
        <w:t xml:space="preserve">Figure </w:t>
      </w:r>
      <w:r w:rsidRPr="004B2A73">
        <w:rPr>
          <w:rFonts w:ascii="Calibri" w:hAnsi="Calibri"/>
        </w:rPr>
        <w:fldChar w:fldCharType="begin"/>
      </w:r>
      <w:r w:rsidRPr="004B2A73">
        <w:rPr>
          <w:rFonts w:ascii="Calibri" w:hAnsi="Calibri"/>
        </w:rPr>
        <w:instrText xml:space="preserve"> SEQ Figure \* ARABIC </w:instrText>
      </w:r>
      <w:r w:rsidRPr="004B2A73">
        <w:rPr>
          <w:rFonts w:ascii="Calibri" w:hAnsi="Calibri"/>
        </w:rPr>
        <w:fldChar w:fldCharType="separate"/>
      </w:r>
      <w:r w:rsidR="00212D01">
        <w:rPr>
          <w:rFonts w:ascii="Calibri" w:hAnsi="Calibri"/>
          <w:noProof/>
        </w:rPr>
        <w:t>33</w:t>
      </w:r>
      <w:r w:rsidRPr="004B2A73">
        <w:rPr>
          <w:rFonts w:ascii="Calibri" w:hAnsi="Calibri"/>
          <w:noProof/>
        </w:rPr>
        <w:fldChar w:fldCharType="end"/>
      </w:r>
      <w:bookmarkEnd w:id="148"/>
      <w:r w:rsidRPr="004B2A73">
        <w:rPr>
          <w:rFonts w:ascii="Calibri" w:hAnsi="Calibri"/>
        </w:rPr>
        <w:t>: Conakry and Cotonou</w:t>
      </w:r>
      <w:bookmarkEnd w:id="149"/>
    </w:p>
    <w:p w14:paraId="61FA0386" w14:textId="77777777" w:rsidR="00965801" w:rsidRPr="004B2A73" w:rsidRDefault="00965801" w:rsidP="00965801">
      <w:pPr>
        <w:jc w:val="center"/>
        <w:rPr>
          <w:rFonts w:ascii="Calibri" w:hAnsi="Calibri"/>
          <w:sz w:val="24"/>
          <w:szCs w:val="24"/>
        </w:rPr>
      </w:pPr>
      <w:r w:rsidRPr="004B2A73">
        <w:rPr>
          <w:rFonts w:ascii="Calibri" w:hAnsi="Calibri"/>
          <w:noProof/>
          <w:sz w:val="24"/>
          <w:szCs w:val="24"/>
        </w:rPr>
        <w:drawing>
          <wp:inline distT="0" distB="0" distL="0" distR="0" wp14:anchorId="52A054AC" wp14:editId="6BDD2D3D">
            <wp:extent cx="5800725" cy="12668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F660AC3" w14:textId="77777777" w:rsidR="00965801" w:rsidRPr="004B2A73" w:rsidRDefault="00965801" w:rsidP="00965801">
      <w:pPr>
        <w:pStyle w:val="ListParagraph"/>
        <w:spacing w:after="0"/>
        <w:ind w:left="0"/>
        <w:rPr>
          <w:rFonts w:ascii="Calibri" w:hAnsi="Calibri"/>
          <w:sz w:val="24"/>
        </w:rPr>
      </w:pPr>
    </w:p>
    <w:p w14:paraId="0016156C" w14:textId="77777777" w:rsidR="00965801" w:rsidRDefault="00965801">
      <w:pPr>
        <w:rPr>
          <w:rFonts w:asciiTheme="majorHAnsi" w:eastAsiaTheme="majorEastAsia" w:hAnsiTheme="majorHAnsi" w:cstheme="majorBidi"/>
          <w:color w:val="2E74B5" w:themeColor="accent1" w:themeShade="BF"/>
          <w:sz w:val="32"/>
          <w:szCs w:val="32"/>
        </w:rPr>
      </w:pPr>
      <w:r>
        <w:br w:type="page"/>
      </w:r>
    </w:p>
    <w:p w14:paraId="55FDD458" w14:textId="4150BAE9" w:rsidR="00627628" w:rsidRPr="007460D3" w:rsidRDefault="00965801" w:rsidP="006161AC">
      <w:pPr>
        <w:pStyle w:val="Heading2"/>
        <w:numPr>
          <w:ilvl w:val="0"/>
          <w:numId w:val="0"/>
        </w:numPr>
        <w:rPr>
          <w:rFonts w:asciiTheme="minorHAnsi" w:hAnsiTheme="minorHAnsi" w:cstheme="minorHAnsi"/>
          <w:color w:val="auto"/>
          <w:sz w:val="28"/>
          <w:szCs w:val="28"/>
        </w:rPr>
      </w:pPr>
      <w:bookmarkStart w:id="150" w:name="_Toc485382009"/>
      <w:r w:rsidRPr="007460D3">
        <w:rPr>
          <w:rFonts w:asciiTheme="minorHAnsi" w:hAnsiTheme="minorHAnsi" w:cstheme="minorHAnsi"/>
          <w:color w:val="auto"/>
          <w:sz w:val="28"/>
          <w:szCs w:val="28"/>
        </w:rPr>
        <w:t xml:space="preserve">Annex 3: </w:t>
      </w:r>
      <w:r w:rsidR="007830C7" w:rsidRPr="007460D3">
        <w:rPr>
          <w:rFonts w:asciiTheme="minorHAnsi" w:hAnsiTheme="minorHAnsi" w:cstheme="minorHAnsi"/>
          <w:color w:val="auto"/>
          <w:sz w:val="28"/>
          <w:szCs w:val="28"/>
        </w:rPr>
        <w:t>The growing role of Asia in West African maritime trade</w:t>
      </w:r>
      <w:bookmarkEnd w:id="150"/>
    </w:p>
    <w:p w14:paraId="05C8196D" w14:textId="77777777" w:rsidR="004B6006" w:rsidRPr="004B2A73" w:rsidRDefault="004B6006" w:rsidP="004B6006">
      <w:pPr>
        <w:spacing w:after="0" w:line="240" w:lineRule="auto"/>
        <w:rPr>
          <w:rFonts w:ascii="Calibri" w:hAnsi="Calibri"/>
          <w:b/>
          <w:sz w:val="24"/>
          <w:szCs w:val="24"/>
          <w:lang w:val="en-GB"/>
        </w:rPr>
      </w:pPr>
    </w:p>
    <w:p w14:paraId="68841BD3" w14:textId="77777777" w:rsidR="007830C7" w:rsidRPr="004B2A73" w:rsidRDefault="007830C7" w:rsidP="00A80E3D">
      <w:pPr>
        <w:spacing w:after="0" w:line="240" w:lineRule="auto"/>
        <w:jc w:val="both"/>
        <w:rPr>
          <w:rFonts w:ascii="Calibri" w:hAnsi="Calibri"/>
          <w:sz w:val="24"/>
          <w:szCs w:val="24"/>
          <w:lang w:val="en-GB"/>
        </w:rPr>
      </w:pPr>
      <w:r w:rsidRPr="004B2A73">
        <w:rPr>
          <w:rFonts w:ascii="Calibri" w:hAnsi="Calibri"/>
          <w:b/>
          <w:sz w:val="24"/>
          <w:szCs w:val="24"/>
          <w:lang w:val="en-GB"/>
        </w:rPr>
        <w:t>Europe has historically been West Africa’s dominant trade partner, but the increasing importance of Asia from the second half of the 2000s triggered profound changes in shipping line patterns.</w:t>
      </w:r>
      <w:r w:rsidRPr="004B2A73">
        <w:rPr>
          <w:rFonts w:ascii="Calibri" w:hAnsi="Calibri"/>
          <w:sz w:val="24"/>
          <w:szCs w:val="24"/>
          <w:lang w:val="en-GB"/>
        </w:rPr>
        <w:t xml:space="preserve"> At the beginning of the 2000s, Europe - West Africa trade was modest, less than half a million TEUs southbound and half of that northbound, split between more than a dozen ports of unequal importance. The typical service then was end-to-end, from a range of ports in Northern Europe / Mediterranean to the West Africa coastline,</w:t>
      </w:r>
      <w:r w:rsidR="0083214B" w:rsidRPr="004B2A73">
        <w:rPr>
          <w:rFonts w:ascii="Calibri" w:hAnsi="Calibri"/>
          <w:sz w:val="24"/>
          <w:szCs w:val="24"/>
          <w:lang w:val="en-GB"/>
        </w:rPr>
        <w:t xml:space="preserve"> with ships typically</w:t>
      </w:r>
      <w:r w:rsidRPr="004B2A73">
        <w:rPr>
          <w:rFonts w:ascii="Calibri" w:hAnsi="Calibri"/>
          <w:sz w:val="24"/>
          <w:szCs w:val="24"/>
          <w:lang w:val="en-GB"/>
        </w:rPr>
        <w:t xml:space="preserve"> calling at most ports. The double constraint of long loops (because of the number of calls) and low volumes in individual ports translated into low frequency, with a maximum of two to three calls a month when weekly calls were the norm in the shipping industry. Vessels were of modest size, due to the shallow drafts of several West Africa ports. The West Africa market was the domain of specialist carriers, dominated by Delmas shipping line (taken over by the CMA CGM group in 2005), Maersk Line (including its subsidiary Safmarine) and MCS, where multipurpose services </w:t>
      </w:r>
      <w:r w:rsidR="0086095C" w:rsidRPr="004B2A73">
        <w:rPr>
          <w:rFonts w:ascii="Calibri" w:hAnsi="Calibri"/>
          <w:sz w:val="24"/>
          <w:szCs w:val="24"/>
          <w:lang w:val="en-GB"/>
        </w:rPr>
        <w:t xml:space="preserve">(with ships able to carry not only containers but also breakbulk cargoes) </w:t>
      </w:r>
      <w:r w:rsidRPr="004B2A73">
        <w:rPr>
          <w:rFonts w:ascii="Calibri" w:hAnsi="Calibri"/>
          <w:sz w:val="24"/>
          <w:szCs w:val="24"/>
          <w:lang w:val="en-GB"/>
        </w:rPr>
        <w:t xml:space="preserve">competed with </w:t>
      </w:r>
      <w:r w:rsidR="0086095C" w:rsidRPr="004B2A73">
        <w:rPr>
          <w:rFonts w:ascii="Calibri" w:hAnsi="Calibri"/>
          <w:sz w:val="24"/>
          <w:szCs w:val="24"/>
          <w:lang w:val="en-GB"/>
        </w:rPr>
        <w:t>pure container</w:t>
      </w:r>
      <w:r w:rsidRPr="004B2A73">
        <w:rPr>
          <w:rFonts w:ascii="Calibri" w:hAnsi="Calibri"/>
          <w:sz w:val="24"/>
          <w:szCs w:val="24"/>
          <w:lang w:val="en-GB"/>
        </w:rPr>
        <w:t xml:space="preserve"> ones. Trade volumes were even smaller on the Asia trade lanes, but </w:t>
      </w:r>
      <w:r w:rsidR="0086095C" w:rsidRPr="004B2A73">
        <w:rPr>
          <w:rFonts w:ascii="Calibri" w:hAnsi="Calibri"/>
          <w:sz w:val="24"/>
          <w:szCs w:val="24"/>
          <w:lang w:val="en-GB"/>
        </w:rPr>
        <w:t xml:space="preserve">geography gave </w:t>
      </w:r>
      <w:r w:rsidRPr="004B2A73">
        <w:rPr>
          <w:rFonts w:ascii="Calibri" w:hAnsi="Calibri"/>
          <w:sz w:val="24"/>
          <w:szCs w:val="24"/>
          <w:lang w:val="en-GB"/>
        </w:rPr>
        <w:t xml:space="preserve">the possibility to combine </w:t>
      </w:r>
      <w:r w:rsidR="0086095C" w:rsidRPr="004B2A73">
        <w:rPr>
          <w:rFonts w:ascii="Calibri" w:hAnsi="Calibri"/>
          <w:sz w:val="24"/>
          <w:szCs w:val="24"/>
          <w:lang w:val="en-GB"/>
        </w:rPr>
        <w:t xml:space="preserve">numerous </w:t>
      </w:r>
      <w:r w:rsidRPr="004B2A73">
        <w:rPr>
          <w:rFonts w:ascii="Calibri" w:hAnsi="Calibri"/>
          <w:sz w:val="24"/>
          <w:szCs w:val="24"/>
          <w:lang w:val="en-GB"/>
        </w:rPr>
        <w:t>trade</w:t>
      </w:r>
      <w:r w:rsidR="0086095C" w:rsidRPr="004B2A73">
        <w:rPr>
          <w:rFonts w:ascii="Calibri" w:hAnsi="Calibri"/>
          <w:sz w:val="24"/>
          <w:szCs w:val="24"/>
          <w:lang w:val="en-GB"/>
        </w:rPr>
        <w:t xml:space="preserve"> route</w:t>
      </w:r>
      <w:r w:rsidRPr="004B2A73">
        <w:rPr>
          <w:rFonts w:ascii="Calibri" w:hAnsi="Calibri"/>
          <w:sz w:val="24"/>
          <w:szCs w:val="24"/>
          <w:lang w:val="en-GB"/>
        </w:rPr>
        <w:t>s</w:t>
      </w:r>
      <w:r w:rsidR="0086095C" w:rsidRPr="004B2A73">
        <w:rPr>
          <w:rFonts w:ascii="Calibri" w:hAnsi="Calibri"/>
          <w:sz w:val="24"/>
          <w:szCs w:val="24"/>
          <w:lang w:val="en-GB"/>
        </w:rPr>
        <w:t>. Consequently, the Asia trade lanes displayed</w:t>
      </w:r>
      <w:r w:rsidRPr="004B2A73">
        <w:rPr>
          <w:rFonts w:ascii="Calibri" w:hAnsi="Calibri"/>
          <w:sz w:val="24"/>
          <w:szCs w:val="24"/>
          <w:lang w:val="en-GB"/>
        </w:rPr>
        <w:t xml:space="preserve"> a mix of direct services, usually a combined Asia - Southern Africa - West Africa service, and indirect services, with </w:t>
      </w:r>
      <w:r w:rsidR="00584134" w:rsidRPr="004B2A73">
        <w:rPr>
          <w:rFonts w:ascii="Calibri" w:hAnsi="Calibri"/>
          <w:sz w:val="24"/>
          <w:szCs w:val="24"/>
          <w:lang w:val="en-GB"/>
        </w:rPr>
        <w:t>transshipment</w:t>
      </w:r>
      <w:r w:rsidRPr="004B2A73">
        <w:rPr>
          <w:rFonts w:ascii="Calibri" w:hAnsi="Calibri"/>
          <w:sz w:val="24"/>
          <w:szCs w:val="24"/>
          <w:lang w:val="en-GB"/>
        </w:rPr>
        <w:t xml:space="preserve"> either in South Africa or in a Mediterranean hub port.</w:t>
      </w:r>
    </w:p>
    <w:p w14:paraId="2F2C5475" w14:textId="77777777" w:rsidR="004B6006" w:rsidRPr="004B2A73" w:rsidRDefault="004B6006" w:rsidP="004B6006">
      <w:pPr>
        <w:spacing w:after="0" w:line="240" w:lineRule="auto"/>
        <w:rPr>
          <w:rFonts w:ascii="Calibri" w:hAnsi="Calibri"/>
          <w:b/>
          <w:sz w:val="24"/>
          <w:szCs w:val="24"/>
          <w:lang w:val="en-GB"/>
        </w:rPr>
      </w:pPr>
    </w:p>
    <w:p w14:paraId="52B0C812" w14:textId="332D897B" w:rsidR="007830C7" w:rsidRPr="004B2A73" w:rsidRDefault="007830C7" w:rsidP="00A80E3D">
      <w:pPr>
        <w:spacing w:after="0" w:line="240" w:lineRule="auto"/>
        <w:jc w:val="both"/>
        <w:rPr>
          <w:rFonts w:ascii="Calibri" w:hAnsi="Calibri"/>
          <w:sz w:val="24"/>
          <w:szCs w:val="24"/>
          <w:lang w:val="en-GB"/>
        </w:rPr>
      </w:pPr>
      <w:r w:rsidRPr="004B2A73">
        <w:rPr>
          <w:rFonts w:ascii="Calibri" w:hAnsi="Calibri"/>
          <w:b/>
          <w:sz w:val="24"/>
          <w:szCs w:val="24"/>
          <w:lang w:val="en-GB"/>
        </w:rPr>
        <w:t xml:space="preserve">Shipping volumes have increased sharply over the past 10 years.  </w:t>
      </w:r>
      <w:r w:rsidRPr="004B2A73">
        <w:rPr>
          <w:rFonts w:ascii="Calibri" w:hAnsi="Calibri"/>
          <w:sz w:val="24"/>
          <w:szCs w:val="24"/>
          <w:lang w:val="en-GB"/>
        </w:rPr>
        <w:t>The annualised capacity</w:t>
      </w:r>
      <w:r w:rsidR="0086095C" w:rsidRPr="004B2A73">
        <w:rPr>
          <w:rStyle w:val="FootnoteReference"/>
          <w:rFonts w:ascii="Calibri" w:hAnsi="Calibri"/>
          <w:sz w:val="24"/>
          <w:szCs w:val="24"/>
          <w:lang w:val="en-GB"/>
        </w:rPr>
        <w:footnoteReference w:id="63"/>
      </w:r>
      <w:r w:rsidRPr="004B2A73">
        <w:rPr>
          <w:rFonts w:ascii="Calibri" w:hAnsi="Calibri"/>
          <w:sz w:val="24"/>
          <w:szCs w:val="24"/>
          <w:lang w:val="en-GB"/>
        </w:rPr>
        <w:t xml:space="preserve"> of ships serving the region rose from 2.7 million </w:t>
      </w:r>
      <w:r w:rsidR="0086095C" w:rsidRPr="004B2A73">
        <w:rPr>
          <w:rFonts w:ascii="Calibri" w:hAnsi="Calibri"/>
          <w:sz w:val="24"/>
          <w:szCs w:val="24"/>
          <w:lang w:val="en-GB"/>
        </w:rPr>
        <w:t xml:space="preserve">TEUs </w:t>
      </w:r>
      <w:r w:rsidRPr="004B2A73">
        <w:rPr>
          <w:rFonts w:ascii="Calibri" w:hAnsi="Calibri"/>
          <w:sz w:val="24"/>
          <w:szCs w:val="24"/>
          <w:lang w:val="en-GB"/>
        </w:rPr>
        <w:t xml:space="preserve">in 2005 to 9.2 million </w:t>
      </w:r>
      <w:r w:rsidR="0086095C" w:rsidRPr="004B2A73">
        <w:rPr>
          <w:rFonts w:ascii="Calibri" w:hAnsi="Calibri"/>
          <w:sz w:val="24"/>
          <w:szCs w:val="24"/>
          <w:lang w:val="en-GB"/>
        </w:rPr>
        <w:t xml:space="preserve">TEUs </w:t>
      </w:r>
      <w:r w:rsidR="0083214B" w:rsidRPr="004B2A73">
        <w:rPr>
          <w:rFonts w:ascii="Calibri" w:hAnsi="Calibri"/>
          <w:sz w:val="24"/>
          <w:szCs w:val="24"/>
          <w:lang w:val="en-GB"/>
        </w:rPr>
        <w:t xml:space="preserve">in 2014.  While </w:t>
      </w:r>
      <w:r w:rsidRPr="004B2A73">
        <w:rPr>
          <w:rFonts w:ascii="Calibri" w:hAnsi="Calibri"/>
          <w:sz w:val="24"/>
          <w:szCs w:val="24"/>
          <w:lang w:val="en-GB"/>
        </w:rPr>
        <w:t>the number of services connecting to Europe rose from 26 (of the regional total of 37) in 2005 to 34 (of the regional total of 98</w:t>
      </w:r>
      <w:r w:rsidR="005136E5" w:rsidRPr="004B2A73">
        <w:rPr>
          <w:rFonts w:ascii="Calibri" w:hAnsi="Calibri"/>
          <w:sz w:val="24"/>
          <w:szCs w:val="24"/>
          <w:lang w:val="en-GB"/>
        </w:rPr>
        <w:t>)</w:t>
      </w:r>
      <w:r w:rsidRPr="004B2A73">
        <w:rPr>
          <w:rFonts w:ascii="Calibri" w:hAnsi="Calibri"/>
          <w:sz w:val="24"/>
          <w:szCs w:val="24"/>
          <w:lang w:val="en-GB"/>
        </w:rPr>
        <w:t xml:space="preserve"> in 2014, services to Asia rose from 7 lines in 2005 to 64 in 2014.  And by 2014 the largest ship deployed was 2,841 TEU on the European route but 5,336 TEU on the Asian route. The share of capacity of the big three shipping lines (Delmas</w:t>
      </w:r>
      <w:r w:rsidR="0049586D">
        <w:rPr>
          <w:rFonts w:ascii="Calibri" w:hAnsi="Calibri"/>
          <w:sz w:val="24"/>
          <w:szCs w:val="24"/>
          <w:lang w:val="en-GB"/>
        </w:rPr>
        <w:t xml:space="preserve"> then absorbed by </w:t>
      </w:r>
      <w:r w:rsidR="00510EE7">
        <w:rPr>
          <w:rFonts w:ascii="Calibri" w:hAnsi="Calibri"/>
          <w:sz w:val="24"/>
          <w:szCs w:val="24"/>
          <w:lang w:val="en-GB"/>
        </w:rPr>
        <w:t xml:space="preserve">CMA </w:t>
      </w:r>
      <w:r w:rsidR="0049586D">
        <w:rPr>
          <w:rFonts w:ascii="Calibri" w:hAnsi="Calibri"/>
          <w:sz w:val="24"/>
          <w:szCs w:val="24"/>
          <w:lang w:val="en-GB"/>
        </w:rPr>
        <w:t>CGM</w:t>
      </w:r>
      <w:r w:rsidRPr="004B2A73">
        <w:rPr>
          <w:rFonts w:ascii="Calibri" w:hAnsi="Calibri"/>
          <w:sz w:val="24"/>
          <w:szCs w:val="24"/>
          <w:lang w:val="en-GB"/>
        </w:rPr>
        <w:t xml:space="preserve">, Maersk and MSC) rose from 70 percent in 2005 to 81 percent in 2014. </w:t>
      </w:r>
    </w:p>
    <w:p w14:paraId="62F843E3" w14:textId="77777777" w:rsidR="004B6006" w:rsidRPr="004B2A73" w:rsidRDefault="004B6006" w:rsidP="004B6006">
      <w:pPr>
        <w:spacing w:after="0" w:line="240" w:lineRule="auto"/>
        <w:rPr>
          <w:rFonts w:ascii="Calibri" w:hAnsi="Calibri"/>
          <w:b/>
          <w:sz w:val="24"/>
          <w:szCs w:val="24"/>
          <w:lang w:val="en-GB"/>
        </w:rPr>
      </w:pPr>
    </w:p>
    <w:p w14:paraId="69514423" w14:textId="1B96E07E" w:rsidR="007830C7" w:rsidRPr="004B2A73" w:rsidRDefault="007830C7" w:rsidP="00A80E3D">
      <w:pPr>
        <w:spacing w:after="0" w:line="240" w:lineRule="auto"/>
        <w:jc w:val="both"/>
        <w:rPr>
          <w:rFonts w:ascii="Calibri" w:hAnsi="Calibri"/>
          <w:sz w:val="24"/>
          <w:szCs w:val="24"/>
          <w:lang w:val="en-GB"/>
        </w:rPr>
      </w:pPr>
      <w:r w:rsidRPr="004B2A73">
        <w:rPr>
          <w:rFonts w:ascii="Calibri" w:hAnsi="Calibri"/>
          <w:b/>
          <w:sz w:val="24"/>
          <w:szCs w:val="24"/>
          <w:lang w:val="en-GB"/>
        </w:rPr>
        <w:t>Despite the shift towards Asia, services on the European trade lanes continued to dominate in terms of capacity deployed for a few more years, before the liner shipping networks reorganized.</w:t>
      </w:r>
      <w:r w:rsidRPr="004B2A73">
        <w:rPr>
          <w:rFonts w:ascii="Calibri" w:hAnsi="Calibri"/>
          <w:sz w:val="24"/>
          <w:szCs w:val="24"/>
          <w:lang w:val="en-GB"/>
        </w:rPr>
        <w:t xml:space="preserve"> </w:t>
      </w:r>
      <w:r w:rsidR="0049586D">
        <w:rPr>
          <w:rFonts w:ascii="Calibri" w:hAnsi="Calibri"/>
          <w:sz w:val="24"/>
          <w:szCs w:val="24"/>
          <w:lang w:val="en-GB"/>
        </w:rPr>
        <w:t>Figure 34</w:t>
      </w:r>
      <w:r w:rsidRPr="004B2A73">
        <w:rPr>
          <w:rFonts w:ascii="Calibri" w:hAnsi="Calibri"/>
          <w:sz w:val="24"/>
          <w:szCs w:val="24"/>
          <w:lang w:val="en-GB"/>
        </w:rPr>
        <w:t xml:space="preserve"> shows the total nominal TEU annual capacity on ships deployed for service between West Africa and its main trading partners in Europe and Asia. Until 2011, it was common to relay containers between Asia and West Africa through a Mediterranean hub, thus feeding the European lines with cargo that did not originate in Europe. However, after this date, and particularly since the introduction of the WAFMAX vessels on the Asia - West Africa trade, the direct southern route became more effective, marking the decline of the European services.</w:t>
      </w:r>
    </w:p>
    <w:p w14:paraId="6DAFE966" w14:textId="7A9FBC2F" w:rsidR="0086095C" w:rsidRPr="004B2A73" w:rsidRDefault="0086095C" w:rsidP="00AF33A5">
      <w:pPr>
        <w:pStyle w:val="Caption"/>
        <w:rPr>
          <w:rFonts w:ascii="Calibri" w:hAnsi="Calibri"/>
        </w:rPr>
      </w:pPr>
      <w:bookmarkStart w:id="151" w:name="_Ref434246848"/>
      <w:bookmarkStart w:id="152" w:name="_Toc485377069"/>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34</w:t>
      </w:r>
      <w:r w:rsidR="00520B46" w:rsidRPr="004B2A73">
        <w:rPr>
          <w:rFonts w:ascii="Calibri" w:hAnsi="Calibri"/>
          <w:noProof/>
        </w:rPr>
        <w:fldChar w:fldCharType="end"/>
      </w:r>
      <w:bookmarkEnd w:id="151"/>
      <w:r w:rsidRPr="004B2A73">
        <w:rPr>
          <w:rFonts w:ascii="Calibri" w:hAnsi="Calibri"/>
        </w:rPr>
        <w:t>: Annual capacity on West Africa main shipping trade lanes</w:t>
      </w:r>
      <w:bookmarkEnd w:id="152"/>
    </w:p>
    <w:p w14:paraId="1099E378" w14:textId="77777777" w:rsidR="007830C7" w:rsidRPr="004B2A73" w:rsidRDefault="00047F52" w:rsidP="00510EE7">
      <w:pPr>
        <w:pStyle w:val="NoSpacing"/>
        <w:rPr>
          <w:rFonts w:ascii="Calibri" w:hAnsi="Calibri" w:cs="Times New Roman"/>
          <w:sz w:val="24"/>
          <w:szCs w:val="24"/>
          <w:lang w:val="en-GB"/>
        </w:rPr>
      </w:pPr>
      <w:r w:rsidRPr="004B2A73">
        <w:rPr>
          <w:rFonts w:ascii="Calibri" w:hAnsi="Calibri" w:cs="Times New Roman"/>
          <w:noProof/>
          <w:sz w:val="24"/>
          <w:szCs w:val="24"/>
        </w:rPr>
        <w:drawing>
          <wp:inline distT="0" distB="0" distL="0" distR="0" wp14:anchorId="310B4313" wp14:editId="0B9CAF8C">
            <wp:extent cx="5553075" cy="1485900"/>
            <wp:effectExtent l="0" t="0" r="9525" b="0"/>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AB83E58" w14:textId="5BAFA8CF" w:rsidR="00E6290C" w:rsidRDefault="00510EE7" w:rsidP="00510EE7">
      <w:pPr>
        <w:rPr>
          <w:lang w:val="en-GB"/>
        </w:rPr>
      </w:pPr>
      <w:r>
        <w:rPr>
          <w:lang w:val="en-GB"/>
        </w:rPr>
        <w:t>Source: ECORYS calculation based on Drewry data</w:t>
      </w:r>
    </w:p>
    <w:p w14:paraId="093CA850" w14:textId="77777777" w:rsidR="007830C7" w:rsidRPr="004B2A73" w:rsidRDefault="007830C7" w:rsidP="00A80E3D">
      <w:pPr>
        <w:spacing w:line="240" w:lineRule="auto"/>
        <w:jc w:val="both"/>
        <w:rPr>
          <w:rFonts w:ascii="Calibri" w:hAnsi="Calibri"/>
          <w:sz w:val="24"/>
          <w:szCs w:val="24"/>
          <w:lang w:val="en-GB"/>
        </w:rPr>
      </w:pPr>
      <w:r w:rsidRPr="004B2A73">
        <w:rPr>
          <w:rFonts w:ascii="Calibri" w:hAnsi="Calibri"/>
          <w:b/>
          <w:sz w:val="24"/>
          <w:szCs w:val="24"/>
          <w:lang w:val="en-GB"/>
        </w:rPr>
        <w:t xml:space="preserve">The Asia - West Africa trade reached a critical mass that allowed for the </w:t>
      </w:r>
      <w:r w:rsidRPr="0008322F">
        <w:rPr>
          <w:rFonts w:ascii="Calibri" w:hAnsi="Calibri"/>
          <w:b/>
          <w:color w:val="000000" w:themeColor="text1"/>
          <w:sz w:val="24"/>
          <w:szCs w:val="24"/>
          <w:lang w:val="en-GB"/>
        </w:rPr>
        <w:t xml:space="preserve">deployment of larger vessels, increasing the competitiveness of the direct route over </w:t>
      </w:r>
      <w:r w:rsidR="00E6290C" w:rsidRPr="0008322F">
        <w:rPr>
          <w:rFonts w:ascii="Calibri" w:hAnsi="Calibri"/>
          <w:b/>
          <w:color w:val="000000" w:themeColor="text1"/>
          <w:sz w:val="24"/>
          <w:szCs w:val="24"/>
          <w:lang w:val="en-GB"/>
        </w:rPr>
        <w:t>tr</w:t>
      </w:r>
      <w:r w:rsidR="00E6290C" w:rsidRPr="004B2A73">
        <w:rPr>
          <w:rFonts w:ascii="Calibri" w:hAnsi="Calibri"/>
          <w:b/>
          <w:sz w:val="24"/>
          <w:szCs w:val="24"/>
          <w:lang w:val="en-GB"/>
        </w:rPr>
        <w:t>anshipment</w:t>
      </w:r>
      <w:r w:rsidRPr="004B2A73">
        <w:rPr>
          <w:rFonts w:ascii="Calibri" w:hAnsi="Calibri"/>
          <w:b/>
          <w:sz w:val="24"/>
          <w:szCs w:val="24"/>
          <w:lang w:val="en-GB"/>
        </w:rPr>
        <w:t>.</w:t>
      </w:r>
      <w:r w:rsidRPr="004B2A73">
        <w:rPr>
          <w:rFonts w:ascii="Calibri" w:hAnsi="Calibri"/>
          <w:sz w:val="24"/>
          <w:szCs w:val="24"/>
          <w:lang w:val="en-GB"/>
        </w:rPr>
        <w:t xml:space="preserve"> In 2011, Maersk line received the first WAFMAX vessels in a series of 22, all delivered between March 2011 and February 2013. These vessels were purpose-built for the Asia - West Africa trade, taking into account the access limitation of the main West Africa ports. The ships are 249.1m, with a 37.4m long beam, a 13.5m draft and a nominal capacity of 4,500 TEUs. According to analysis by Alphaliner</w:t>
      </w:r>
      <w:r w:rsidRPr="004B2A73">
        <w:rPr>
          <w:rStyle w:val="FootnoteReference"/>
          <w:rFonts w:ascii="Calibri" w:hAnsi="Calibri"/>
          <w:sz w:val="24"/>
          <w:szCs w:val="24"/>
          <w:lang w:val="en-GB"/>
        </w:rPr>
        <w:footnoteReference w:id="64"/>
      </w:r>
      <w:r w:rsidRPr="004B2A73">
        <w:rPr>
          <w:rFonts w:ascii="Calibri" w:hAnsi="Calibri"/>
          <w:sz w:val="24"/>
          <w:szCs w:val="24"/>
          <w:lang w:val="en-GB"/>
        </w:rPr>
        <w:t>, the largest vessel deployed on the trade increased in size by 87</w:t>
      </w:r>
      <w:r w:rsidR="00BD38AF" w:rsidRPr="004B2A73">
        <w:rPr>
          <w:rFonts w:ascii="Calibri" w:hAnsi="Calibri"/>
          <w:sz w:val="24"/>
          <w:szCs w:val="24"/>
          <w:lang w:val="en-GB"/>
        </w:rPr>
        <w:t xml:space="preserve"> percent</w:t>
      </w:r>
      <w:r w:rsidRPr="004B2A73">
        <w:rPr>
          <w:rFonts w:ascii="Calibri" w:hAnsi="Calibri"/>
          <w:sz w:val="24"/>
          <w:szCs w:val="24"/>
          <w:lang w:val="en-GB"/>
        </w:rPr>
        <w:t xml:space="preserve"> between 2009 and 2014. The movement accelerated in the last years, largely triggered by the launch of MSC’s West Africa Express service from Asia in April 2014 to replace its relay operation via Valencia, with 3,950 TEUs ships. Maersk Line and CMA-CGM followed with fleet upgrades. When MSC replaced its ships with 6,000+ TEUs in October, the rest of the shipping lines followed with size increase</w:t>
      </w:r>
      <w:r w:rsidR="0083214B" w:rsidRPr="004B2A73">
        <w:rPr>
          <w:rFonts w:ascii="Calibri" w:hAnsi="Calibri"/>
          <w:sz w:val="24"/>
          <w:szCs w:val="24"/>
          <w:lang w:val="en-GB"/>
        </w:rPr>
        <w:t>s</w:t>
      </w:r>
      <w:r w:rsidR="00A80056" w:rsidRPr="004B2A73">
        <w:rPr>
          <w:rFonts w:ascii="Calibri" w:hAnsi="Calibri"/>
          <w:sz w:val="24"/>
          <w:szCs w:val="24"/>
          <w:lang w:val="en-GB"/>
        </w:rPr>
        <w:t xml:space="preserve">. </w:t>
      </w:r>
      <w:r w:rsidRPr="004B2A73">
        <w:rPr>
          <w:rFonts w:ascii="Calibri" w:hAnsi="Calibri"/>
          <w:sz w:val="24"/>
          <w:szCs w:val="24"/>
          <w:lang w:val="en-GB"/>
        </w:rPr>
        <w:t xml:space="preserve"> Hapag Lloyd, </w:t>
      </w:r>
      <w:r w:rsidR="00A80056" w:rsidRPr="004B2A73">
        <w:rPr>
          <w:rFonts w:ascii="Calibri" w:hAnsi="Calibri"/>
          <w:sz w:val="24"/>
          <w:szCs w:val="24"/>
          <w:lang w:val="en-GB"/>
        </w:rPr>
        <w:t>China Shipping and NYK scrapped</w:t>
      </w:r>
      <w:r w:rsidRPr="004B2A73">
        <w:rPr>
          <w:rFonts w:ascii="Calibri" w:hAnsi="Calibri"/>
          <w:sz w:val="24"/>
          <w:szCs w:val="24"/>
          <w:lang w:val="en-GB"/>
        </w:rPr>
        <w:t xml:space="preserve"> their joint service to switch partners,</w:t>
      </w:r>
      <w:r w:rsidR="00A80056" w:rsidRPr="004B2A73">
        <w:rPr>
          <w:rFonts w:ascii="Calibri" w:hAnsi="Calibri"/>
          <w:sz w:val="24"/>
          <w:szCs w:val="24"/>
          <w:lang w:val="en-GB"/>
        </w:rPr>
        <w:t xml:space="preserve"> HL and NYK with Gold Star used</w:t>
      </w:r>
      <w:r w:rsidRPr="004B2A73">
        <w:rPr>
          <w:rFonts w:ascii="Calibri" w:hAnsi="Calibri"/>
          <w:sz w:val="24"/>
          <w:szCs w:val="24"/>
          <w:lang w:val="en-GB"/>
        </w:rPr>
        <w:t xml:space="preserve"> 3,400 TEUs ships, a</w:t>
      </w:r>
      <w:r w:rsidR="00A80056" w:rsidRPr="004B2A73">
        <w:rPr>
          <w:rFonts w:ascii="Calibri" w:hAnsi="Calibri"/>
          <w:sz w:val="24"/>
          <w:szCs w:val="24"/>
          <w:lang w:val="en-GB"/>
        </w:rPr>
        <w:t>nd China Shipping with PIL used</w:t>
      </w:r>
      <w:r w:rsidRPr="004B2A73">
        <w:rPr>
          <w:rFonts w:ascii="Calibri" w:hAnsi="Calibri"/>
          <w:sz w:val="24"/>
          <w:szCs w:val="24"/>
          <w:lang w:val="en-GB"/>
        </w:rPr>
        <w:t xml:space="preserve"> 4,000 TEUs vessels whereas the previous versions of the services were using 2,600 TEUs ships. </w:t>
      </w:r>
    </w:p>
    <w:p w14:paraId="7711BFBA" w14:textId="7C0115AA" w:rsidR="0086095C" w:rsidRPr="004B2A73" w:rsidRDefault="0086095C" w:rsidP="00AF33A5">
      <w:pPr>
        <w:pStyle w:val="Caption"/>
        <w:rPr>
          <w:rFonts w:ascii="Calibri" w:hAnsi="Calibri"/>
        </w:rPr>
      </w:pPr>
      <w:bookmarkStart w:id="153" w:name="_Ref434250047"/>
      <w:bookmarkStart w:id="154" w:name="_Toc485377070"/>
      <w:r w:rsidRPr="004B2A73">
        <w:rPr>
          <w:rFonts w:ascii="Calibri" w:hAnsi="Calibri"/>
        </w:rPr>
        <w:t xml:space="preserve">Figure </w:t>
      </w:r>
      <w:r w:rsidR="00520B46" w:rsidRPr="004B2A73">
        <w:rPr>
          <w:rFonts w:ascii="Calibri" w:hAnsi="Calibri"/>
        </w:rPr>
        <w:fldChar w:fldCharType="begin"/>
      </w:r>
      <w:r w:rsidR="00F359E5" w:rsidRPr="004B2A73">
        <w:rPr>
          <w:rFonts w:ascii="Calibri" w:hAnsi="Calibri"/>
        </w:rPr>
        <w:instrText xml:space="preserve"> SEQ Figure \* ARABIC </w:instrText>
      </w:r>
      <w:r w:rsidR="00520B46" w:rsidRPr="004B2A73">
        <w:rPr>
          <w:rFonts w:ascii="Calibri" w:hAnsi="Calibri"/>
        </w:rPr>
        <w:fldChar w:fldCharType="separate"/>
      </w:r>
      <w:r w:rsidR="00212D01">
        <w:rPr>
          <w:rFonts w:ascii="Calibri" w:hAnsi="Calibri"/>
          <w:noProof/>
        </w:rPr>
        <w:t>35</w:t>
      </w:r>
      <w:r w:rsidR="00520B46" w:rsidRPr="004B2A73">
        <w:rPr>
          <w:rFonts w:ascii="Calibri" w:hAnsi="Calibri"/>
          <w:noProof/>
        </w:rPr>
        <w:fldChar w:fldCharType="end"/>
      </w:r>
      <w:bookmarkEnd w:id="153"/>
      <w:r w:rsidRPr="004B2A73">
        <w:rPr>
          <w:rFonts w:ascii="Calibri" w:hAnsi="Calibri"/>
        </w:rPr>
        <w:t>: Evolution of shipping services on Asia - West Africa trade</w:t>
      </w:r>
      <w:bookmarkEnd w:id="154"/>
    </w:p>
    <w:p w14:paraId="7EF54B63" w14:textId="77777777" w:rsidR="007830C7" w:rsidRPr="004B2A73" w:rsidRDefault="00047F52" w:rsidP="007830C7">
      <w:pPr>
        <w:pStyle w:val="NoSpacing"/>
        <w:rPr>
          <w:rFonts w:ascii="Calibri" w:hAnsi="Calibri" w:cs="Times New Roman"/>
          <w:sz w:val="24"/>
          <w:szCs w:val="24"/>
          <w:lang w:val="en-GB"/>
        </w:rPr>
      </w:pPr>
      <w:r w:rsidRPr="004B2A73">
        <w:rPr>
          <w:rFonts w:ascii="Calibri" w:hAnsi="Calibri" w:cs="Times New Roman"/>
          <w:noProof/>
          <w:sz w:val="24"/>
          <w:szCs w:val="24"/>
        </w:rPr>
        <w:drawing>
          <wp:inline distT="0" distB="0" distL="0" distR="0" wp14:anchorId="0F5EC053" wp14:editId="141FF050">
            <wp:extent cx="5857875" cy="2438400"/>
            <wp:effectExtent l="0" t="0" r="0" b="0"/>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35A08E2" w14:textId="5416C3C6" w:rsidR="00E6290C" w:rsidRDefault="00510EE7" w:rsidP="00510EE7">
      <w:pPr>
        <w:rPr>
          <w:lang w:val="en-GB"/>
        </w:rPr>
      </w:pPr>
      <w:r>
        <w:rPr>
          <w:lang w:val="en-GB"/>
        </w:rPr>
        <w:t>Source: Alphaliner</w:t>
      </w:r>
    </w:p>
    <w:p w14:paraId="50137994" w14:textId="2250DD03" w:rsidR="007830C7" w:rsidRDefault="007830C7" w:rsidP="00A80E3D">
      <w:pPr>
        <w:spacing w:line="240" w:lineRule="auto"/>
        <w:jc w:val="both"/>
        <w:rPr>
          <w:rFonts w:ascii="Calibri" w:hAnsi="Calibri"/>
          <w:sz w:val="24"/>
          <w:szCs w:val="24"/>
          <w:lang w:val="en-GB"/>
        </w:rPr>
      </w:pPr>
      <w:r w:rsidRPr="004B2A73">
        <w:rPr>
          <w:rFonts w:ascii="Calibri" w:hAnsi="Calibri"/>
          <w:b/>
          <w:sz w:val="24"/>
          <w:szCs w:val="24"/>
          <w:lang w:val="en-GB"/>
        </w:rPr>
        <w:t xml:space="preserve">With large vessels and long loops on the Asia trade lane, the number of port calls in West Africa needed to be reduced, paving the way for the development of </w:t>
      </w:r>
      <w:r w:rsidR="00584134" w:rsidRPr="004B2A73">
        <w:rPr>
          <w:rFonts w:ascii="Calibri" w:hAnsi="Calibri"/>
          <w:b/>
          <w:sz w:val="24"/>
          <w:szCs w:val="24"/>
          <w:lang w:val="en-GB"/>
        </w:rPr>
        <w:t>transshipment</w:t>
      </w:r>
      <w:r w:rsidRPr="004B2A73">
        <w:rPr>
          <w:rFonts w:ascii="Calibri" w:hAnsi="Calibri"/>
          <w:b/>
          <w:sz w:val="24"/>
          <w:szCs w:val="24"/>
          <w:lang w:val="en-GB"/>
        </w:rPr>
        <w:t xml:space="preserve"> within the region.</w:t>
      </w:r>
      <w:r w:rsidRPr="004B2A73">
        <w:rPr>
          <w:rFonts w:ascii="Calibri" w:hAnsi="Calibri"/>
          <w:sz w:val="24"/>
          <w:szCs w:val="24"/>
          <w:lang w:val="en-GB"/>
        </w:rPr>
        <w:t xml:space="preserve"> The distance between Asia and West Africa on the southern route means that maintaining a weekly service requires usually 11 to 12 ships, to accommodate intermediate ports of call, for instance in Southern Africa or in the Indian </w:t>
      </w:r>
      <w:r w:rsidR="00A80056" w:rsidRPr="004B2A73">
        <w:rPr>
          <w:rFonts w:ascii="Calibri" w:hAnsi="Calibri"/>
          <w:sz w:val="24"/>
          <w:szCs w:val="24"/>
          <w:lang w:val="en-GB"/>
        </w:rPr>
        <w:t>O</w:t>
      </w:r>
      <w:r w:rsidRPr="004B2A73">
        <w:rPr>
          <w:rFonts w:ascii="Calibri" w:hAnsi="Calibri"/>
          <w:sz w:val="24"/>
          <w:szCs w:val="24"/>
          <w:lang w:val="en-GB"/>
        </w:rPr>
        <w:t xml:space="preserve">cean. In order to avoid expanding the required fleet to maintain a weekly service, ports are dropped, retaining only major ports on the main schedule and developing feeder services for the others. The case of the MSC express service is pushing this logic to its limit, with only one port of call in West Africa, </w:t>
      </w:r>
      <w:r w:rsidR="00C922CA">
        <w:rPr>
          <w:rFonts w:ascii="Calibri" w:hAnsi="Calibri"/>
          <w:sz w:val="24"/>
          <w:szCs w:val="24"/>
          <w:lang w:val="en-GB"/>
        </w:rPr>
        <w:t>Lomé</w:t>
      </w:r>
      <w:r w:rsidRPr="004B2A73">
        <w:rPr>
          <w:rFonts w:ascii="Calibri" w:hAnsi="Calibri"/>
          <w:sz w:val="24"/>
          <w:szCs w:val="24"/>
          <w:lang w:val="en-GB"/>
        </w:rPr>
        <w:t>, allowing MSC to maintain a weekly service with 10 ships only, but with an increased capacity ranging from 6,000 to 6,500 TEUs. A series of feeder services provides the connections to the rest of West Africa: a shuttle service to Lagos Apapa and Tin Can, one to Cotonou, one to Tema and Abidjan, one to Takoradi, one to Freetown and Monrovia, and two others to Central Africa.</w:t>
      </w:r>
    </w:p>
    <w:p w14:paraId="7311C277" w14:textId="45C0BF8A" w:rsidR="0049586D" w:rsidRPr="004B2A73" w:rsidRDefault="0049586D" w:rsidP="00A80E3D">
      <w:pPr>
        <w:spacing w:line="240" w:lineRule="auto"/>
        <w:jc w:val="both"/>
        <w:rPr>
          <w:rFonts w:ascii="Calibri" w:hAnsi="Calibri"/>
          <w:sz w:val="24"/>
          <w:szCs w:val="24"/>
          <w:lang w:val="en-GB"/>
        </w:rPr>
      </w:pPr>
      <w:r w:rsidRPr="0086304F">
        <w:rPr>
          <w:rFonts w:ascii="Calibri" w:hAnsi="Calibri"/>
          <w:b/>
          <w:sz w:val="24"/>
          <w:szCs w:val="24"/>
          <w:lang w:val="en-GB"/>
        </w:rPr>
        <w:t xml:space="preserve">Larger volumes on the West Africa trades and </w:t>
      </w:r>
      <w:r>
        <w:rPr>
          <w:rFonts w:ascii="Calibri" w:hAnsi="Calibri"/>
          <w:b/>
          <w:sz w:val="24"/>
          <w:szCs w:val="24"/>
          <w:lang w:val="en-GB"/>
        </w:rPr>
        <w:t xml:space="preserve">modern </w:t>
      </w:r>
      <w:r w:rsidRPr="0086304F">
        <w:rPr>
          <w:rFonts w:ascii="Calibri" w:hAnsi="Calibri"/>
          <w:b/>
          <w:sz w:val="24"/>
          <w:szCs w:val="24"/>
          <w:lang w:val="en-GB"/>
        </w:rPr>
        <w:t xml:space="preserve">container terminals </w:t>
      </w:r>
      <w:r>
        <w:rPr>
          <w:rFonts w:ascii="Calibri" w:hAnsi="Calibri"/>
          <w:b/>
          <w:sz w:val="24"/>
          <w:szCs w:val="24"/>
          <w:lang w:val="en-GB"/>
        </w:rPr>
        <w:t>equipped with over-panamax STS and deeper draft</w:t>
      </w:r>
      <w:r w:rsidRPr="0086304F">
        <w:rPr>
          <w:rFonts w:ascii="Calibri" w:hAnsi="Calibri"/>
          <w:b/>
          <w:sz w:val="24"/>
          <w:szCs w:val="24"/>
          <w:lang w:val="en-GB"/>
        </w:rPr>
        <w:t xml:space="preserve"> contributed to the reducing the perception of the region as a niche market</w:t>
      </w:r>
      <w:r>
        <w:rPr>
          <w:rFonts w:ascii="Calibri" w:hAnsi="Calibri"/>
          <w:sz w:val="24"/>
          <w:szCs w:val="24"/>
          <w:lang w:val="en-GB"/>
        </w:rPr>
        <w:t>, reserved to operators with a deep knowledge of the region gained over a long past involvement. Although Maersk, CMA CGM and MSC continue to dominate the West Africa trades, many other lines joined the trade, and the competitive pressure on the freight rates increased as larger vessels with a lower unit cost per TEU were deployed. The Shanghai Shipping Exchange is publishing a freight index on the main Chinese trade lanes: on the West Africa trade lane, the reference port for that index is Lagos. In 2010, the index was close to $2,500, decreasing to $1,800 mid-2014, and below $1,300 since the beginning of 2016. On the European trades, sample rates from a shipping line</w:t>
      </w:r>
      <w:r>
        <w:rPr>
          <w:rStyle w:val="FootnoteReference"/>
          <w:rFonts w:ascii="Calibri" w:hAnsi="Calibri"/>
          <w:sz w:val="24"/>
          <w:szCs w:val="24"/>
          <w:lang w:val="en-GB"/>
        </w:rPr>
        <w:footnoteReference w:id="65"/>
      </w:r>
      <w:r>
        <w:rPr>
          <w:rFonts w:ascii="Calibri" w:hAnsi="Calibri"/>
          <w:sz w:val="24"/>
          <w:szCs w:val="24"/>
          <w:lang w:val="en-GB"/>
        </w:rPr>
        <w:t xml:space="preserve"> show an even more important decrease, from around $1,200 for a 20’ container from Antwerp to West Africa in 2012, to $400 in 2016.</w:t>
      </w:r>
    </w:p>
    <w:p w14:paraId="088086D1" w14:textId="06221EED" w:rsidR="0049586D" w:rsidRDefault="0049586D" w:rsidP="0049586D">
      <w:pPr>
        <w:pStyle w:val="Caption"/>
        <w:jc w:val="both"/>
      </w:pPr>
      <w:bookmarkStart w:id="155" w:name="_Toc472430666"/>
      <w:bookmarkStart w:id="156" w:name="_Toc485377071"/>
      <w:r>
        <w:t xml:space="preserve">Figure </w:t>
      </w:r>
      <w:fldSimple w:instr=" SEQ Figure \* ARABIC ">
        <w:r w:rsidR="00212D01">
          <w:rPr>
            <w:noProof/>
          </w:rPr>
          <w:t>36</w:t>
        </w:r>
      </w:fldSimple>
      <w:r>
        <w:t>: Evolution of Freight rates (Shanghai Container Freight Index)</w:t>
      </w:r>
      <w:bookmarkEnd w:id="155"/>
      <w:bookmarkEnd w:id="156"/>
    </w:p>
    <w:p w14:paraId="162BF471" w14:textId="3C5693EC" w:rsidR="00627628" w:rsidRDefault="0049586D" w:rsidP="003A7F8E">
      <w:pPr>
        <w:rPr>
          <w:rFonts w:ascii="Calibri" w:hAnsi="Calibri"/>
          <w:sz w:val="24"/>
          <w:szCs w:val="24"/>
        </w:rPr>
      </w:pPr>
      <w:r>
        <w:rPr>
          <w:noProof/>
        </w:rPr>
        <w:drawing>
          <wp:inline distT="0" distB="0" distL="0" distR="0" wp14:anchorId="6075980E" wp14:editId="565EB89B">
            <wp:extent cx="5943600" cy="22098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7928D17" w14:textId="77777777" w:rsidR="0049586D" w:rsidRDefault="0049586D" w:rsidP="00510EE7">
      <w:pPr>
        <w:rPr>
          <w:lang w:val="en-GB"/>
        </w:rPr>
      </w:pPr>
      <w:r>
        <w:rPr>
          <w:lang w:val="en-GB"/>
        </w:rPr>
        <w:t>Source: UNCTAD Review of Maritime Transport 2016</w:t>
      </w:r>
    </w:p>
    <w:p w14:paraId="07C79E3A" w14:textId="77777777" w:rsidR="00510EE7" w:rsidRDefault="00510EE7" w:rsidP="0049586D">
      <w:pPr>
        <w:spacing w:line="240" w:lineRule="auto"/>
        <w:jc w:val="both"/>
        <w:rPr>
          <w:rFonts w:ascii="Calibri" w:hAnsi="Calibri"/>
          <w:sz w:val="24"/>
          <w:szCs w:val="24"/>
          <w:lang w:val="en-GB"/>
        </w:rPr>
      </w:pPr>
    </w:p>
    <w:p w14:paraId="03FC7609" w14:textId="77777777" w:rsidR="0049586D" w:rsidRPr="004B2A73" w:rsidRDefault="0049586D" w:rsidP="003A7F8E">
      <w:pPr>
        <w:rPr>
          <w:rFonts w:ascii="Calibri" w:hAnsi="Calibri"/>
          <w:sz w:val="24"/>
          <w:szCs w:val="24"/>
        </w:rPr>
        <w:sectPr w:rsidR="0049586D" w:rsidRPr="004B2A73" w:rsidSect="00835161">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cols w:space="720"/>
          <w:titlePg/>
          <w:docGrid w:linePitch="360"/>
        </w:sectPr>
      </w:pPr>
    </w:p>
    <w:p w14:paraId="2F4D4614" w14:textId="57045840" w:rsidR="006C3F77" w:rsidRPr="007460D3" w:rsidRDefault="006C3F77" w:rsidP="007460D3">
      <w:pPr>
        <w:pStyle w:val="Heading2"/>
        <w:numPr>
          <w:ilvl w:val="0"/>
          <w:numId w:val="0"/>
        </w:numPr>
        <w:rPr>
          <w:rFonts w:asciiTheme="minorHAnsi" w:hAnsiTheme="minorHAnsi" w:cstheme="minorHAnsi"/>
          <w:color w:val="auto"/>
          <w:sz w:val="28"/>
          <w:szCs w:val="28"/>
        </w:rPr>
      </w:pPr>
      <w:bookmarkStart w:id="157" w:name="_Toc485382010"/>
      <w:r w:rsidRPr="007460D3">
        <w:rPr>
          <w:rFonts w:asciiTheme="minorHAnsi" w:hAnsiTheme="minorHAnsi" w:cstheme="minorHAnsi"/>
          <w:color w:val="auto"/>
          <w:sz w:val="28"/>
          <w:szCs w:val="28"/>
        </w:rPr>
        <w:t xml:space="preserve">Annex </w:t>
      </w:r>
      <w:r w:rsidR="00965801" w:rsidRPr="007460D3">
        <w:rPr>
          <w:rFonts w:asciiTheme="minorHAnsi" w:hAnsiTheme="minorHAnsi" w:cstheme="minorHAnsi"/>
          <w:color w:val="auto"/>
          <w:sz w:val="28"/>
          <w:szCs w:val="28"/>
        </w:rPr>
        <w:t>4</w:t>
      </w:r>
      <w:r w:rsidRPr="007460D3">
        <w:rPr>
          <w:rFonts w:asciiTheme="minorHAnsi" w:hAnsiTheme="minorHAnsi" w:cstheme="minorHAnsi"/>
          <w:color w:val="auto"/>
          <w:sz w:val="28"/>
          <w:szCs w:val="28"/>
        </w:rPr>
        <w:t>: Nigeria Terminal Concessions</w:t>
      </w:r>
      <w:bookmarkEnd w:id="157"/>
    </w:p>
    <w:p w14:paraId="42863B7E" w14:textId="77777777" w:rsidR="00E6290C" w:rsidRPr="00E6290C" w:rsidRDefault="00E6290C" w:rsidP="00E6290C"/>
    <w:p w14:paraId="32A51C87" w14:textId="72AD9F1A" w:rsidR="006C3F77" w:rsidRPr="004B2A73" w:rsidRDefault="00975C05" w:rsidP="00AF33A5">
      <w:pPr>
        <w:pStyle w:val="Caption"/>
        <w:rPr>
          <w:rFonts w:ascii="Calibri" w:hAnsi="Calibri"/>
        </w:rPr>
      </w:pPr>
      <w:bookmarkStart w:id="158" w:name="_Ref431812845"/>
      <w:bookmarkStart w:id="159" w:name="_Toc485381928"/>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17</w:t>
      </w:r>
      <w:r w:rsidR="00811885" w:rsidRPr="004B2A73">
        <w:rPr>
          <w:rFonts w:ascii="Calibri" w:hAnsi="Calibri"/>
          <w:noProof/>
        </w:rPr>
        <w:fldChar w:fldCharType="end"/>
      </w:r>
      <w:r w:rsidRPr="004B2A73">
        <w:rPr>
          <w:rFonts w:ascii="Calibri" w:hAnsi="Calibri"/>
        </w:rPr>
        <w:t>: Nigeria Terminal Concessions</w:t>
      </w:r>
      <w:bookmarkEnd w:id="158"/>
      <w:bookmarkEnd w:id="159"/>
    </w:p>
    <w:tbl>
      <w:tblPr>
        <w:tblStyle w:val="ListTable3-Accent31"/>
        <w:tblW w:w="5000" w:type="pct"/>
        <w:tblLayout w:type="fixed"/>
        <w:tblLook w:val="04A0" w:firstRow="1" w:lastRow="0" w:firstColumn="1" w:lastColumn="0" w:noHBand="0" w:noVBand="1"/>
      </w:tblPr>
      <w:tblGrid>
        <w:gridCol w:w="1436"/>
        <w:gridCol w:w="1889"/>
        <w:gridCol w:w="3779"/>
        <w:gridCol w:w="1171"/>
        <w:gridCol w:w="1891"/>
        <w:gridCol w:w="1080"/>
        <w:gridCol w:w="1704"/>
      </w:tblGrid>
      <w:tr w:rsidR="006C3F77" w:rsidRPr="004B2A73" w14:paraId="0CB62DF0" w14:textId="77777777" w:rsidTr="00DF741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54" w:type="pct"/>
            <w:noWrap/>
            <w:hideMark/>
          </w:tcPr>
          <w:p w14:paraId="03443306" w14:textId="77777777" w:rsidR="006C3F77" w:rsidRPr="004B2A73" w:rsidRDefault="006C3F77" w:rsidP="00DF7415">
            <w:pPr>
              <w:rPr>
                <w:rFonts w:ascii="Calibri" w:hAnsi="Calibri"/>
              </w:rPr>
            </w:pPr>
            <w:r w:rsidRPr="004B2A73">
              <w:rPr>
                <w:rFonts w:ascii="Calibri" w:hAnsi="Calibri"/>
              </w:rPr>
              <w:t>Transaction</w:t>
            </w:r>
          </w:p>
        </w:tc>
        <w:tc>
          <w:tcPr>
            <w:tcW w:w="729" w:type="pct"/>
            <w:noWrap/>
            <w:hideMark/>
          </w:tcPr>
          <w:p w14:paraId="6A6627B2" w14:textId="77777777" w:rsidR="006C3F77" w:rsidRPr="004B2A73" w:rsidRDefault="006C3F77" w:rsidP="00DF7415">
            <w:pP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Terminal operator</w:t>
            </w:r>
          </w:p>
        </w:tc>
        <w:tc>
          <w:tcPr>
            <w:tcW w:w="1459" w:type="pct"/>
            <w:noWrap/>
            <w:hideMark/>
          </w:tcPr>
          <w:p w14:paraId="6C0DD28C" w14:textId="77777777" w:rsidR="006C3F77" w:rsidRPr="004B2A73" w:rsidRDefault="006C3F77" w:rsidP="00DF7415">
            <w:pP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Participation</w:t>
            </w:r>
          </w:p>
        </w:tc>
        <w:tc>
          <w:tcPr>
            <w:tcW w:w="452" w:type="pct"/>
            <w:noWrap/>
            <w:hideMark/>
          </w:tcPr>
          <w:p w14:paraId="69533181" w14:textId="77777777" w:rsidR="006C3F77" w:rsidRPr="004B2A73" w:rsidRDefault="006C3F77" w:rsidP="00DF7415">
            <w:pP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Port</w:t>
            </w:r>
          </w:p>
        </w:tc>
        <w:tc>
          <w:tcPr>
            <w:tcW w:w="730" w:type="pct"/>
            <w:noWrap/>
            <w:hideMark/>
          </w:tcPr>
          <w:p w14:paraId="379F0A64" w14:textId="77777777" w:rsidR="006C3F77" w:rsidRPr="004B2A73" w:rsidRDefault="006C3F77" w:rsidP="00DF7415">
            <w:pP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Concession rounds</w:t>
            </w:r>
          </w:p>
        </w:tc>
        <w:tc>
          <w:tcPr>
            <w:tcW w:w="417" w:type="pct"/>
            <w:noWrap/>
            <w:hideMark/>
          </w:tcPr>
          <w:p w14:paraId="6B5E60B6" w14:textId="77777777" w:rsidR="006C3F77" w:rsidRPr="004B2A73" w:rsidRDefault="006C3F77" w:rsidP="00DF7415">
            <w:pP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Duration</w:t>
            </w:r>
          </w:p>
        </w:tc>
        <w:tc>
          <w:tcPr>
            <w:tcW w:w="658" w:type="pct"/>
            <w:noWrap/>
            <w:hideMark/>
          </w:tcPr>
          <w:p w14:paraId="1EB123C6" w14:textId="77777777" w:rsidR="006C3F77" w:rsidRPr="004B2A73" w:rsidRDefault="006C3F77" w:rsidP="00DF7415">
            <w:pP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Amount (US$M)</w:t>
            </w:r>
          </w:p>
        </w:tc>
      </w:tr>
      <w:tr w:rsidR="006C3F77" w:rsidRPr="004B2A73" w14:paraId="53907859"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440CFCD8" w14:textId="77777777" w:rsidR="006C3F77" w:rsidRPr="004B2A73" w:rsidRDefault="006C3F77" w:rsidP="00DF7415">
            <w:pPr>
              <w:rPr>
                <w:rFonts w:ascii="Calibri" w:hAnsi="Calibri"/>
              </w:rPr>
            </w:pPr>
            <w:r w:rsidRPr="004B2A73">
              <w:rPr>
                <w:rFonts w:ascii="Calibri" w:hAnsi="Calibri"/>
              </w:rPr>
              <w:t>Apapa Container Terminal</w:t>
            </w:r>
          </w:p>
        </w:tc>
        <w:tc>
          <w:tcPr>
            <w:tcW w:w="729" w:type="pct"/>
            <w:noWrap/>
            <w:hideMark/>
          </w:tcPr>
          <w:p w14:paraId="414CCE33"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A.P. Moller Apapa Terminal Ltd.</w:t>
            </w:r>
          </w:p>
        </w:tc>
        <w:tc>
          <w:tcPr>
            <w:tcW w:w="1459" w:type="pct"/>
            <w:noWrap/>
            <w:hideMark/>
          </w:tcPr>
          <w:p w14:paraId="3A8F4B4D"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APM Terminals as Lead with local participation</w:t>
            </w:r>
          </w:p>
        </w:tc>
        <w:tc>
          <w:tcPr>
            <w:tcW w:w="452" w:type="pct"/>
            <w:noWrap/>
            <w:hideMark/>
          </w:tcPr>
          <w:p w14:paraId="26489B78"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Lagos Port Complex</w:t>
            </w:r>
          </w:p>
        </w:tc>
        <w:tc>
          <w:tcPr>
            <w:tcW w:w="730" w:type="pct"/>
            <w:noWrap/>
            <w:hideMark/>
          </w:tcPr>
          <w:p w14:paraId="4A8123E8"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1</w:t>
            </w:r>
          </w:p>
        </w:tc>
        <w:tc>
          <w:tcPr>
            <w:tcW w:w="417" w:type="pct"/>
            <w:noWrap/>
            <w:hideMark/>
          </w:tcPr>
          <w:p w14:paraId="574B68E6"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030435CC"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1,061.14</w:t>
            </w:r>
          </w:p>
        </w:tc>
      </w:tr>
      <w:tr w:rsidR="006C3F77" w:rsidRPr="004B2A73" w14:paraId="68BBC1C2"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6865D2BC" w14:textId="77777777" w:rsidR="006C3F77" w:rsidRPr="004B2A73" w:rsidRDefault="006C3F77" w:rsidP="00DF7415">
            <w:pPr>
              <w:rPr>
                <w:rFonts w:ascii="Calibri" w:hAnsi="Calibri"/>
              </w:rPr>
            </w:pPr>
            <w:r w:rsidRPr="004B2A73">
              <w:rPr>
                <w:rFonts w:ascii="Calibri" w:hAnsi="Calibri"/>
              </w:rPr>
              <w:t>Apapa Terminal 'A'</w:t>
            </w:r>
          </w:p>
        </w:tc>
        <w:tc>
          <w:tcPr>
            <w:tcW w:w="729" w:type="pct"/>
            <w:noWrap/>
            <w:hideMark/>
          </w:tcPr>
          <w:p w14:paraId="2552766D"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Apapa Bulk Terminal Ltd.</w:t>
            </w:r>
          </w:p>
        </w:tc>
        <w:tc>
          <w:tcPr>
            <w:tcW w:w="1459" w:type="pct"/>
            <w:noWrap/>
            <w:hideMark/>
          </w:tcPr>
          <w:p w14:paraId="6795FE4D"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lead with Atlantic Bulk Carriers Mgt. from Greece as Technical Partners</w:t>
            </w:r>
          </w:p>
        </w:tc>
        <w:tc>
          <w:tcPr>
            <w:tcW w:w="452" w:type="pct"/>
            <w:noWrap/>
            <w:hideMark/>
          </w:tcPr>
          <w:p w14:paraId="0049AD7D"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Lagos Port Complex</w:t>
            </w:r>
          </w:p>
        </w:tc>
        <w:tc>
          <w:tcPr>
            <w:tcW w:w="730" w:type="pct"/>
            <w:noWrap/>
            <w:hideMark/>
          </w:tcPr>
          <w:p w14:paraId="25913BE6"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4FB3B5D4"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3C5374FC"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18.1</w:t>
            </w:r>
          </w:p>
        </w:tc>
      </w:tr>
      <w:tr w:rsidR="006C3F77" w:rsidRPr="004B2A73" w14:paraId="57CCD291"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060523FE" w14:textId="77777777" w:rsidR="006C3F77" w:rsidRPr="004B2A73" w:rsidRDefault="006C3F77" w:rsidP="00DF7415">
            <w:pPr>
              <w:rPr>
                <w:rFonts w:ascii="Calibri" w:hAnsi="Calibri"/>
              </w:rPr>
            </w:pPr>
            <w:r w:rsidRPr="004B2A73">
              <w:rPr>
                <w:rFonts w:ascii="Calibri" w:hAnsi="Calibri"/>
              </w:rPr>
              <w:t>Apapa Terminal 'B'</w:t>
            </w:r>
          </w:p>
        </w:tc>
        <w:tc>
          <w:tcPr>
            <w:tcW w:w="729" w:type="pct"/>
            <w:noWrap/>
            <w:hideMark/>
          </w:tcPr>
          <w:p w14:paraId="0E428C10"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Apapa Bulk Terminal Ltd.</w:t>
            </w:r>
          </w:p>
        </w:tc>
        <w:tc>
          <w:tcPr>
            <w:tcW w:w="1459" w:type="pct"/>
            <w:noWrap/>
            <w:hideMark/>
          </w:tcPr>
          <w:p w14:paraId="2A03EB8D"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Local lead with Atlantic Bulk Carriers Mgt. from Greece as Technical Partners</w:t>
            </w:r>
          </w:p>
        </w:tc>
        <w:tc>
          <w:tcPr>
            <w:tcW w:w="452" w:type="pct"/>
            <w:noWrap/>
            <w:hideMark/>
          </w:tcPr>
          <w:p w14:paraId="73703A5D"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Lagos Port Complex</w:t>
            </w:r>
          </w:p>
        </w:tc>
        <w:tc>
          <w:tcPr>
            <w:tcW w:w="730" w:type="pct"/>
            <w:noWrap/>
            <w:hideMark/>
          </w:tcPr>
          <w:p w14:paraId="337C0031"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37201BC3"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65D5D803"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12.07</w:t>
            </w:r>
          </w:p>
        </w:tc>
      </w:tr>
      <w:tr w:rsidR="006C3F77" w:rsidRPr="004B2A73" w14:paraId="14067C0D"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67B6D898" w14:textId="77777777" w:rsidR="006C3F77" w:rsidRPr="004B2A73" w:rsidRDefault="006C3F77" w:rsidP="00DF7415">
            <w:pPr>
              <w:rPr>
                <w:rFonts w:ascii="Calibri" w:hAnsi="Calibri"/>
              </w:rPr>
            </w:pPr>
            <w:r w:rsidRPr="004B2A73">
              <w:rPr>
                <w:rFonts w:ascii="Calibri" w:hAnsi="Calibri"/>
              </w:rPr>
              <w:t>Apapa Terminal 'C'</w:t>
            </w:r>
          </w:p>
        </w:tc>
        <w:tc>
          <w:tcPr>
            <w:tcW w:w="729" w:type="pct"/>
            <w:noWrap/>
            <w:hideMark/>
          </w:tcPr>
          <w:p w14:paraId="6CA029D7"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ENL Consortium Limited</w:t>
            </w:r>
          </w:p>
        </w:tc>
        <w:tc>
          <w:tcPr>
            <w:tcW w:w="1459" w:type="pct"/>
            <w:noWrap/>
            <w:hideMark/>
          </w:tcPr>
          <w:p w14:paraId="57720927"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lead with Dublin Port Company and ICIL from Ireland and Civil &amp; Coastal from South Africa</w:t>
            </w:r>
          </w:p>
        </w:tc>
        <w:tc>
          <w:tcPr>
            <w:tcW w:w="452" w:type="pct"/>
            <w:noWrap/>
            <w:hideMark/>
          </w:tcPr>
          <w:p w14:paraId="4CD5F44F"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Lagos Port Complex</w:t>
            </w:r>
          </w:p>
        </w:tc>
        <w:tc>
          <w:tcPr>
            <w:tcW w:w="730" w:type="pct"/>
            <w:noWrap/>
            <w:hideMark/>
          </w:tcPr>
          <w:p w14:paraId="470A5E0E"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Round 1</w:t>
            </w:r>
          </w:p>
        </w:tc>
        <w:tc>
          <w:tcPr>
            <w:tcW w:w="417" w:type="pct"/>
            <w:noWrap/>
            <w:hideMark/>
          </w:tcPr>
          <w:p w14:paraId="73C71361"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w:t>
            </w:r>
          </w:p>
        </w:tc>
        <w:tc>
          <w:tcPr>
            <w:tcW w:w="658" w:type="pct"/>
            <w:noWrap/>
            <w:hideMark/>
          </w:tcPr>
          <w:p w14:paraId="373F5757"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13.58</w:t>
            </w:r>
          </w:p>
        </w:tc>
      </w:tr>
      <w:tr w:rsidR="006C3F77" w:rsidRPr="004B2A73" w14:paraId="2A6891B0"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57D1B139" w14:textId="77777777" w:rsidR="006C3F77" w:rsidRPr="004B2A73" w:rsidRDefault="006C3F77" w:rsidP="00DF7415">
            <w:pPr>
              <w:rPr>
                <w:rFonts w:ascii="Calibri" w:hAnsi="Calibri"/>
              </w:rPr>
            </w:pPr>
            <w:r w:rsidRPr="004B2A73">
              <w:rPr>
                <w:rFonts w:ascii="Calibri" w:hAnsi="Calibri"/>
              </w:rPr>
              <w:t>Apapa Terminal 'D'</w:t>
            </w:r>
          </w:p>
        </w:tc>
        <w:tc>
          <w:tcPr>
            <w:tcW w:w="729" w:type="pct"/>
            <w:noWrap/>
            <w:hideMark/>
          </w:tcPr>
          <w:p w14:paraId="2288C1E2"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ENL Consortium Limited</w:t>
            </w:r>
          </w:p>
        </w:tc>
        <w:tc>
          <w:tcPr>
            <w:tcW w:w="1459" w:type="pct"/>
            <w:noWrap/>
            <w:hideMark/>
          </w:tcPr>
          <w:p w14:paraId="7382BD56"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Local lead with Dublin Port Company and ICIL from Ireland and Civil &amp; Coastal from South Africa</w:t>
            </w:r>
          </w:p>
        </w:tc>
        <w:tc>
          <w:tcPr>
            <w:tcW w:w="452" w:type="pct"/>
            <w:noWrap/>
            <w:hideMark/>
          </w:tcPr>
          <w:p w14:paraId="79A67BF5"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Lagos Port Complex</w:t>
            </w:r>
          </w:p>
        </w:tc>
        <w:tc>
          <w:tcPr>
            <w:tcW w:w="730" w:type="pct"/>
            <w:noWrap/>
            <w:hideMark/>
          </w:tcPr>
          <w:p w14:paraId="02EE5F9E"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1</w:t>
            </w:r>
          </w:p>
        </w:tc>
        <w:tc>
          <w:tcPr>
            <w:tcW w:w="417" w:type="pct"/>
            <w:noWrap/>
            <w:hideMark/>
          </w:tcPr>
          <w:p w14:paraId="0DD6DC62"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w:t>
            </w:r>
          </w:p>
        </w:tc>
        <w:tc>
          <w:tcPr>
            <w:tcW w:w="658" w:type="pct"/>
            <w:noWrap/>
            <w:hideMark/>
          </w:tcPr>
          <w:p w14:paraId="06D166FC"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12.25</w:t>
            </w:r>
          </w:p>
        </w:tc>
      </w:tr>
      <w:tr w:rsidR="006C3F77" w:rsidRPr="004B2A73" w14:paraId="625A589A"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08A9D300" w14:textId="77777777" w:rsidR="006C3F77" w:rsidRPr="004B2A73" w:rsidRDefault="006C3F77" w:rsidP="00DF7415">
            <w:pPr>
              <w:rPr>
                <w:rFonts w:ascii="Calibri" w:hAnsi="Calibri"/>
              </w:rPr>
            </w:pPr>
            <w:r w:rsidRPr="004B2A73">
              <w:rPr>
                <w:rFonts w:ascii="Calibri" w:hAnsi="Calibri"/>
              </w:rPr>
              <w:t>Apapa Terminal 'E'</w:t>
            </w:r>
          </w:p>
        </w:tc>
        <w:tc>
          <w:tcPr>
            <w:tcW w:w="729" w:type="pct"/>
            <w:noWrap/>
            <w:hideMark/>
          </w:tcPr>
          <w:p w14:paraId="7610541B"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Greenview Dev. Nigeria Limited</w:t>
            </w:r>
          </w:p>
        </w:tc>
        <w:tc>
          <w:tcPr>
            <w:tcW w:w="1459" w:type="pct"/>
            <w:noWrap/>
            <w:hideMark/>
          </w:tcPr>
          <w:p w14:paraId="6B7776FC"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Dangote Group</w:t>
            </w:r>
          </w:p>
        </w:tc>
        <w:tc>
          <w:tcPr>
            <w:tcW w:w="452" w:type="pct"/>
            <w:noWrap/>
            <w:hideMark/>
          </w:tcPr>
          <w:p w14:paraId="611C8008"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Lagos Port Complex</w:t>
            </w:r>
          </w:p>
        </w:tc>
        <w:tc>
          <w:tcPr>
            <w:tcW w:w="730" w:type="pct"/>
            <w:noWrap/>
            <w:hideMark/>
          </w:tcPr>
          <w:p w14:paraId="1D688EB2"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4F3709B2"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0D7BD300"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25.07</w:t>
            </w:r>
          </w:p>
        </w:tc>
      </w:tr>
      <w:tr w:rsidR="006C3F77" w:rsidRPr="004B2A73" w14:paraId="5E8C2A34"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3F05EF3A" w14:textId="77777777" w:rsidR="006C3F77" w:rsidRPr="004B2A73" w:rsidRDefault="006C3F77" w:rsidP="00DF7415">
            <w:pPr>
              <w:rPr>
                <w:rFonts w:ascii="Calibri" w:hAnsi="Calibri"/>
              </w:rPr>
            </w:pPr>
            <w:r w:rsidRPr="004B2A73">
              <w:rPr>
                <w:rFonts w:ascii="Calibri" w:hAnsi="Calibri"/>
              </w:rPr>
              <w:t>Port Harcourt 'A'</w:t>
            </w:r>
          </w:p>
        </w:tc>
        <w:tc>
          <w:tcPr>
            <w:tcW w:w="729" w:type="pct"/>
            <w:noWrap/>
            <w:hideMark/>
          </w:tcPr>
          <w:p w14:paraId="61B75165"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Ports &amp; Terminal Operators Nig Ltd</w:t>
            </w:r>
          </w:p>
        </w:tc>
        <w:tc>
          <w:tcPr>
            <w:tcW w:w="1459" w:type="pct"/>
            <w:noWrap/>
            <w:hideMark/>
          </w:tcPr>
          <w:p w14:paraId="50BA7AEA"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Local Lead with P&amp;O Nedlloyd</w:t>
            </w:r>
          </w:p>
        </w:tc>
        <w:tc>
          <w:tcPr>
            <w:tcW w:w="452" w:type="pct"/>
            <w:noWrap/>
            <w:hideMark/>
          </w:tcPr>
          <w:p w14:paraId="1D0A3A14"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Port Harcourt</w:t>
            </w:r>
          </w:p>
        </w:tc>
        <w:tc>
          <w:tcPr>
            <w:tcW w:w="730" w:type="pct"/>
            <w:noWrap/>
            <w:hideMark/>
          </w:tcPr>
          <w:p w14:paraId="2C62C74A"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2</w:t>
            </w:r>
          </w:p>
        </w:tc>
        <w:tc>
          <w:tcPr>
            <w:tcW w:w="417" w:type="pct"/>
            <w:noWrap/>
            <w:hideMark/>
          </w:tcPr>
          <w:p w14:paraId="64843A4C"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15</w:t>
            </w:r>
          </w:p>
        </w:tc>
        <w:tc>
          <w:tcPr>
            <w:tcW w:w="658" w:type="pct"/>
            <w:noWrap/>
            <w:hideMark/>
          </w:tcPr>
          <w:p w14:paraId="3FBD5C56"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90.81</w:t>
            </w:r>
          </w:p>
        </w:tc>
      </w:tr>
      <w:tr w:rsidR="006C3F77" w:rsidRPr="004B2A73" w14:paraId="6798C999"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423BFA5C" w14:textId="77777777" w:rsidR="006C3F77" w:rsidRPr="004B2A73" w:rsidRDefault="006C3F77" w:rsidP="00DF7415">
            <w:pPr>
              <w:rPr>
                <w:rFonts w:ascii="Calibri" w:hAnsi="Calibri"/>
              </w:rPr>
            </w:pPr>
            <w:r w:rsidRPr="004B2A73">
              <w:rPr>
                <w:rFonts w:ascii="Calibri" w:hAnsi="Calibri"/>
              </w:rPr>
              <w:t>Port Harcourt 'B'</w:t>
            </w:r>
          </w:p>
        </w:tc>
        <w:tc>
          <w:tcPr>
            <w:tcW w:w="729" w:type="pct"/>
            <w:noWrap/>
            <w:hideMark/>
          </w:tcPr>
          <w:p w14:paraId="120083BA"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BUA International Limited</w:t>
            </w:r>
          </w:p>
        </w:tc>
        <w:tc>
          <w:tcPr>
            <w:tcW w:w="1459" w:type="pct"/>
            <w:noWrap/>
            <w:hideMark/>
          </w:tcPr>
          <w:p w14:paraId="38CA240D"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Lead with Apec Antwerp Port consultants</w:t>
            </w:r>
          </w:p>
        </w:tc>
        <w:tc>
          <w:tcPr>
            <w:tcW w:w="452" w:type="pct"/>
            <w:noWrap/>
            <w:hideMark/>
          </w:tcPr>
          <w:p w14:paraId="3DD5EA61"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Port Harcourt</w:t>
            </w:r>
          </w:p>
        </w:tc>
        <w:tc>
          <w:tcPr>
            <w:tcW w:w="730" w:type="pct"/>
            <w:noWrap/>
            <w:hideMark/>
          </w:tcPr>
          <w:p w14:paraId="528D550B"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Round 2</w:t>
            </w:r>
          </w:p>
        </w:tc>
        <w:tc>
          <w:tcPr>
            <w:tcW w:w="417" w:type="pct"/>
            <w:noWrap/>
            <w:hideMark/>
          </w:tcPr>
          <w:p w14:paraId="13045D9E"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20</w:t>
            </w:r>
          </w:p>
        </w:tc>
        <w:tc>
          <w:tcPr>
            <w:tcW w:w="658" w:type="pct"/>
            <w:noWrap/>
            <w:hideMark/>
          </w:tcPr>
          <w:p w14:paraId="298828FA"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12.36</w:t>
            </w:r>
          </w:p>
        </w:tc>
      </w:tr>
      <w:tr w:rsidR="006C3F77" w:rsidRPr="004B2A73" w14:paraId="34CA3159"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6B7AD70F" w14:textId="77777777" w:rsidR="006C3F77" w:rsidRPr="004B2A73" w:rsidRDefault="006C3F77" w:rsidP="00DF7415">
            <w:pPr>
              <w:rPr>
                <w:rFonts w:ascii="Calibri" w:hAnsi="Calibri"/>
              </w:rPr>
            </w:pPr>
            <w:r w:rsidRPr="004B2A73">
              <w:rPr>
                <w:rFonts w:ascii="Calibri" w:hAnsi="Calibri"/>
              </w:rPr>
              <w:t>Tin Can Island Port 'A'</w:t>
            </w:r>
          </w:p>
        </w:tc>
        <w:tc>
          <w:tcPr>
            <w:tcW w:w="729" w:type="pct"/>
            <w:noWrap/>
            <w:hideMark/>
          </w:tcPr>
          <w:p w14:paraId="62994A8A"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Josepdam &amp; Sons Ltd</w:t>
            </w:r>
          </w:p>
        </w:tc>
        <w:tc>
          <w:tcPr>
            <w:tcW w:w="1459" w:type="pct"/>
            <w:noWrap/>
            <w:hideMark/>
          </w:tcPr>
          <w:p w14:paraId="2DCD8625"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Local Lead with Techserve and South African Sugar Company from South Africa</w:t>
            </w:r>
          </w:p>
        </w:tc>
        <w:tc>
          <w:tcPr>
            <w:tcW w:w="452" w:type="pct"/>
            <w:noWrap/>
            <w:hideMark/>
          </w:tcPr>
          <w:p w14:paraId="40A01681"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Tin Can Island Port</w:t>
            </w:r>
          </w:p>
        </w:tc>
        <w:tc>
          <w:tcPr>
            <w:tcW w:w="730" w:type="pct"/>
            <w:noWrap/>
            <w:hideMark/>
          </w:tcPr>
          <w:p w14:paraId="588C1D44"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3</w:t>
            </w:r>
          </w:p>
        </w:tc>
        <w:tc>
          <w:tcPr>
            <w:tcW w:w="417" w:type="pct"/>
            <w:noWrap/>
            <w:hideMark/>
          </w:tcPr>
          <w:p w14:paraId="124BA1B5"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w:t>
            </w:r>
          </w:p>
        </w:tc>
        <w:tc>
          <w:tcPr>
            <w:tcW w:w="658" w:type="pct"/>
            <w:noWrap/>
            <w:hideMark/>
          </w:tcPr>
          <w:p w14:paraId="7A8754B9"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14.05</w:t>
            </w:r>
          </w:p>
        </w:tc>
      </w:tr>
      <w:tr w:rsidR="006C3F77" w:rsidRPr="004B2A73" w14:paraId="193FCFDC"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4BD3EBCA" w14:textId="77777777" w:rsidR="006C3F77" w:rsidRPr="004B2A73" w:rsidRDefault="006C3F77" w:rsidP="00DF7415">
            <w:pPr>
              <w:rPr>
                <w:rFonts w:ascii="Calibri" w:hAnsi="Calibri"/>
              </w:rPr>
            </w:pPr>
            <w:r w:rsidRPr="004B2A73">
              <w:rPr>
                <w:rFonts w:ascii="Calibri" w:hAnsi="Calibri"/>
              </w:rPr>
              <w:t>Tin Can Island Port 'B'</w:t>
            </w:r>
          </w:p>
        </w:tc>
        <w:tc>
          <w:tcPr>
            <w:tcW w:w="729" w:type="pct"/>
            <w:noWrap/>
            <w:hideMark/>
          </w:tcPr>
          <w:p w14:paraId="1C0970AA"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Tin Can Island Container Terminal Ltd</w:t>
            </w:r>
          </w:p>
        </w:tc>
        <w:tc>
          <w:tcPr>
            <w:tcW w:w="1459" w:type="pct"/>
            <w:noWrap/>
            <w:hideMark/>
          </w:tcPr>
          <w:p w14:paraId="3133D9CA" w14:textId="2F2115C2" w:rsidR="006C3F77" w:rsidRPr="004B2A73" w:rsidRDefault="003345CA"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Bolloré</w:t>
            </w:r>
            <w:r w:rsidR="006C3F77" w:rsidRPr="004B2A73">
              <w:rPr>
                <w:rFonts w:ascii="Calibri" w:hAnsi="Calibri"/>
              </w:rPr>
              <w:t xml:space="preserve"> Group as Lead with Zim Integrated Shipping Services and Local participation</w:t>
            </w:r>
          </w:p>
        </w:tc>
        <w:tc>
          <w:tcPr>
            <w:tcW w:w="452" w:type="pct"/>
            <w:noWrap/>
            <w:hideMark/>
          </w:tcPr>
          <w:p w14:paraId="2D36DE6B"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Tin Can Island Port</w:t>
            </w:r>
          </w:p>
        </w:tc>
        <w:tc>
          <w:tcPr>
            <w:tcW w:w="730" w:type="pct"/>
            <w:noWrap/>
            <w:hideMark/>
          </w:tcPr>
          <w:p w14:paraId="2CFF8604"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Round 3</w:t>
            </w:r>
          </w:p>
        </w:tc>
        <w:tc>
          <w:tcPr>
            <w:tcW w:w="417" w:type="pct"/>
            <w:noWrap/>
            <w:hideMark/>
          </w:tcPr>
          <w:p w14:paraId="61C50471"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w:t>
            </w:r>
          </w:p>
        </w:tc>
        <w:tc>
          <w:tcPr>
            <w:tcW w:w="658" w:type="pct"/>
            <w:noWrap/>
            <w:hideMark/>
          </w:tcPr>
          <w:p w14:paraId="5E485DB5"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83.31</w:t>
            </w:r>
          </w:p>
        </w:tc>
      </w:tr>
      <w:tr w:rsidR="006C3F77" w:rsidRPr="004B2A73" w14:paraId="051CFA39"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4015DC00" w14:textId="77777777" w:rsidR="006C3F77" w:rsidRPr="004B2A73" w:rsidRDefault="006C3F77" w:rsidP="00DF7415">
            <w:pPr>
              <w:rPr>
                <w:rFonts w:ascii="Calibri" w:hAnsi="Calibri"/>
              </w:rPr>
            </w:pPr>
            <w:r w:rsidRPr="004B2A73">
              <w:rPr>
                <w:rFonts w:ascii="Calibri" w:hAnsi="Calibri"/>
              </w:rPr>
              <w:t>Tin Can Island Port 'C'</w:t>
            </w:r>
          </w:p>
        </w:tc>
        <w:tc>
          <w:tcPr>
            <w:tcW w:w="729" w:type="pct"/>
            <w:noWrap/>
            <w:hideMark/>
          </w:tcPr>
          <w:p w14:paraId="21A5C4DE"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Sifax Nig Ltd</w:t>
            </w:r>
          </w:p>
        </w:tc>
        <w:tc>
          <w:tcPr>
            <w:tcW w:w="1459" w:type="pct"/>
            <w:noWrap/>
            <w:hideMark/>
          </w:tcPr>
          <w:p w14:paraId="6F7E3C75"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local firms as lead with Bremenports</w:t>
            </w:r>
          </w:p>
          <w:p w14:paraId="58E23D1A"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p>
          <w:p w14:paraId="7A4EFE29"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p>
          <w:p w14:paraId="4379646E"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b/>
            </w:r>
          </w:p>
        </w:tc>
        <w:tc>
          <w:tcPr>
            <w:tcW w:w="452" w:type="pct"/>
            <w:noWrap/>
            <w:hideMark/>
          </w:tcPr>
          <w:p w14:paraId="230E9B6A"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Tin Can Island Port</w:t>
            </w:r>
          </w:p>
        </w:tc>
        <w:tc>
          <w:tcPr>
            <w:tcW w:w="730" w:type="pct"/>
            <w:noWrap/>
            <w:hideMark/>
          </w:tcPr>
          <w:p w14:paraId="026D07FB"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3</w:t>
            </w:r>
          </w:p>
        </w:tc>
        <w:tc>
          <w:tcPr>
            <w:tcW w:w="417" w:type="pct"/>
            <w:noWrap/>
            <w:hideMark/>
          </w:tcPr>
          <w:p w14:paraId="2BD7CCD3"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w:t>
            </w:r>
          </w:p>
        </w:tc>
        <w:tc>
          <w:tcPr>
            <w:tcW w:w="658" w:type="pct"/>
            <w:noWrap/>
            <w:hideMark/>
          </w:tcPr>
          <w:p w14:paraId="10D98DAE"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104.42</w:t>
            </w:r>
          </w:p>
        </w:tc>
      </w:tr>
      <w:tr w:rsidR="006C3F77" w:rsidRPr="004B2A73" w14:paraId="5EB68ADE"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43B7FE0D" w14:textId="77777777" w:rsidR="006C3F77" w:rsidRPr="004B2A73" w:rsidRDefault="006C3F77" w:rsidP="00DF7415">
            <w:pPr>
              <w:rPr>
                <w:rFonts w:ascii="Calibri" w:hAnsi="Calibri"/>
              </w:rPr>
            </w:pPr>
            <w:r w:rsidRPr="004B2A73">
              <w:rPr>
                <w:rFonts w:ascii="Calibri" w:hAnsi="Calibri"/>
              </w:rPr>
              <w:t>Tin Can Island Port RoRo</w:t>
            </w:r>
          </w:p>
        </w:tc>
        <w:tc>
          <w:tcPr>
            <w:tcW w:w="729" w:type="pct"/>
            <w:noWrap/>
            <w:hideMark/>
          </w:tcPr>
          <w:p w14:paraId="049A0C0C"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Comet Consortium</w:t>
            </w:r>
          </w:p>
        </w:tc>
        <w:tc>
          <w:tcPr>
            <w:tcW w:w="1459" w:type="pct"/>
            <w:noWrap/>
            <w:hideMark/>
          </w:tcPr>
          <w:p w14:paraId="24CCDB3D"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Lead with Eurogate Int. and MSC</w:t>
            </w:r>
          </w:p>
        </w:tc>
        <w:tc>
          <w:tcPr>
            <w:tcW w:w="452" w:type="pct"/>
            <w:noWrap/>
            <w:hideMark/>
          </w:tcPr>
          <w:p w14:paraId="62037372"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Tin Can Island Port</w:t>
            </w:r>
          </w:p>
        </w:tc>
        <w:tc>
          <w:tcPr>
            <w:tcW w:w="730" w:type="pct"/>
            <w:noWrap/>
            <w:hideMark/>
          </w:tcPr>
          <w:p w14:paraId="3970D6C6"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Round 3</w:t>
            </w:r>
          </w:p>
        </w:tc>
        <w:tc>
          <w:tcPr>
            <w:tcW w:w="417" w:type="pct"/>
            <w:noWrap/>
            <w:hideMark/>
          </w:tcPr>
          <w:p w14:paraId="38EC3529"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w:t>
            </w:r>
          </w:p>
        </w:tc>
        <w:tc>
          <w:tcPr>
            <w:tcW w:w="658" w:type="pct"/>
            <w:noWrap/>
            <w:hideMark/>
          </w:tcPr>
          <w:p w14:paraId="58C02775"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86.63</w:t>
            </w:r>
          </w:p>
        </w:tc>
      </w:tr>
      <w:tr w:rsidR="006C3F77" w:rsidRPr="004B2A73" w14:paraId="53939EFD"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1BFA5EE9" w14:textId="77777777" w:rsidR="006C3F77" w:rsidRPr="004B2A73" w:rsidRDefault="006C3F77" w:rsidP="00DF7415">
            <w:pPr>
              <w:rPr>
                <w:rFonts w:ascii="Calibri" w:hAnsi="Calibri"/>
              </w:rPr>
            </w:pPr>
            <w:r w:rsidRPr="004B2A73">
              <w:rPr>
                <w:rFonts w:ascii="Calibri" w:hAnsi="Calibri"/>
              </w:rPr>
              <w:t>Lilypond ICD</w:t>
            </w:r>
          </w:p>
        </w:tc>
        <w:tc>
          <w:tcPr>
            <w:tcW w:w="729" w:type="pct"/>
            <w:noWrap/>
            <w:hideMark/>
          </w:tcPr>
          <w:p w14:paraId="6F17D893"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A.P Moller</w:t>
            </w:r>
          </w:p>
        </w:tc>
        <w:tc>
          <w:tcPr>
            <w:tcW w:w="1459" w:type="pct"/>
            <w:noWrap/>
            <w:hideMark/>
          </w:tcPr>
          <w:p w14:paraId="00DC67A2"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APM Terminals as Lead with local participation</w:t>
            </w:r>
          </w:p>
        </w:tc>
        <w:tc>
          <w:tcPr>
            <w:tcW w:w="452" w:type="pct"/>
            <w:noWrap/>
            <w:hideMark/>
          </w:tcPr>
          <w:p w14:paraId="22805871"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Lagos Port Complex</w:t>
            </w:r>
          </w:p>
        </w:tc>
        <w:tc>
          <w:tcPr>
            <w:tcW w:w="730" w:type="pct"/>
            <w:noWrap/>
            <w:hideMark/>
          </w:tcPr>
          <w:p w14:paraId="30CDAF6F"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3</w:t>
            </w:r>
          </w:p>
        </w:tc>
        <w:tc>
          <w:tcPr>
            <w:tcW w:w="417" w:type="pct"/>
            <w:noWrap/>
            <w:hideMark/>
          </w:tcPr>
          <w:p w14:paraId="5DD00622"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w:t>
            </w:r>
          </w:p>
        </w:tc>
        <w:tc>
          <w:tcPr>
            <w:tcW w:w="658" w:type="pct"/>
            <w:noWrap/>
            <w:hideMark/>
          </w:tcPr>
          <w:p w14:paraId="10882F84"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9.65</w:t>
            </w:r>
          </w:p>
        </w:tc>
      </w:tr>
      <w:tr w:rsidR="006C3F77" w:rsidRPr="004B2A73" w14:paraId="50F8B72C"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6147270D" w14:textId="77777777" w:rsidR="006C3F77" w:rsidRPr="004B2A73" w:rsidRDefault="006C3F77" w:rsidP="00DF7415">
            <w:pPr>
              <w:rPr>
                <w:rFonts w:ascii="Calibri" w:hAnsi="Calibri"/>
              </w:rPr>
            </w:pPr>
            <w:r w:rsidRPr="004B2A73">
              <w:rPr>
                <w:rFonts w:ascii="Calibri" w:hAnsi="Calibri"/>
              </w:rPr>
              <w:t>Onne FLT A</w:t>
            </w:r>
          </w:p>
        </w:tc>
        <w:tc>
          <w:tcPr>
            <w:tcW w:w="729" w:type="pct"/>
            <w:noWrap/>
            <w:hideMark/>
          </w:tcPr>
          <w:p w14:paraId="01B20115"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Brawals Nigeria Limited</w:t>
            </w:r>
          </w:p>
        </w:tc>
        <w:tc>
          <w:tcPr>
            <w:tcW w:w="1459" w:type="pct"/>
            <w:noWrap/>
            <w:hideMark/>
          </w:tcPr>
          <w:p w14:paraId="24E03090"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Group</w:t>
            </w:r>
          </w:p>
        </w:tc>
        <w:tc>
          <w:tcPr>
            <w:tcW w:w="452" w:type="pct"/>
            <w:noWrap/>
            <w:hideMark/>
          </w:tcPr>
          <w:p w14:paraId="47B3C50E"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Onne Port</w:t>
            </w:r>
          </w:p>
        </w:tc>
        <w:tc>
          <w:tcPr>
            <w:tcW w:w="730" w:type="pct"/>
            <w:noWrap/>
            <w:hideMark/>
          </w:tcPr>
          <w:p w14:paraId="569B722A"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2477AB6C"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1DF812DF"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16.66</w:t>
            </w:r>
          </w:p>
        </w:tc>
      </w:tr>
      <w:tr w:rsidR="006C3F77" w:rsidRPr="004B2A73" w14:paraId="4E916652"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7097FBBB" w14:textId="77777777" w:rsidR="006C3F77" w:rsidRPr="004B2A73" w:rsidRDefault="006C3F77" w:rsidP="00DF7415">
            <w:pPr>
              <w:rPr>
                <w:rFonts w:ascii="Calibri" w:hAnsi="Calibri"/>
              </w:rPr>
            </w:pPr>
            <w:r w:rsidRPr="004B2A73">
              <w:rPr>
                <w:rFonts w:ascii="Calibri" w:hAnsi="Calibri"/>
              </w:rPr>
              <w:t>Onne FLT B</w:t>
            </w:r>
          </w:p>
        </w:tc>
        <w:tc>
          <w:tcPr>
            <w:tcW w:w="729" w:type="pct"/>
            <w:noWrap/>
            <w:hideMark/>
          </w:tcPr>
          <w:p w14:paraId="11A13297"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Intels Nig Ltd</w:t>
            </w:r>
          </w:p>
        </w:tc>
        <w:tc>
          <w:tcPr>
            <w:tcW w:w="1459" w:type="pct"/>
            <w:noWrap/>
            <w:hideMark/>
          </w:tcPr>
          <w:p w14:paraId="701E95DB"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Local Group with International partners</w:t>
            </w:r>
          </w:p>
        </w:tc>
        <w:tc>
          <w:tcPr>
            <w:tcW w:w="452" w:type="pct"/>
            <w:noWrap/>
            <w:hideMark/>
          </w:tcPr>
          <w:p w14:paraId="6067EBF1"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Onne Port</w:t>
            </w:r>
          </w:p>
        </w:tc>
        <w:tc>
          <w:tcPr>
            <w:tcW w:w="730" w:type="pct"/>
            <w:noWrap/>
            <w:hideMark/>
          </w:tcPr>
          <w:p w14:paraId="0DD36049"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01217AEF"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7C75CEF4"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29.06</w:t>
            </w:r>
          </w:p>
        </w:tc>
      </w:tr>
      <w:tr w:rsidR="006C3F77" w:rsidRPr="004B2A73" w14:paraId="6C3E6FD7"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3B0F2A96" w14:textId="77777777" w:rsidR="006C3F77" w:rsidRPr="004B2A73" w:rsidRDefault="006C3F77" w:rsidP="00DF7415">
            <w:pPr>
              <w:rPr>
                <w:rFonts w:ascii="Calibri" w:hAnsi="Calibri"/>
              </w:rPr>
            </w:pPr>
            <w:r w:rsidRPr="004B2A73">
              <w:rPr>
                <w:rFonts w:ascii="Calibri" w:hAnsi="Calibri"/>
              </w:rPr>
              <w:t>Onne FOT A</w:t>
            </w:r>
          </w:p>
        </w:tc>
        <w:tc>
          <w:tcPr>
            <w:tcW w:w="729" w:type="pct"/>
            <w:noWrap/>
            <w:hideMark/>
          </w:tcPr>
          <w:p w14:paraId="4FE18B51"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Intels Nig Ltd</w:t>
            </w:r>
          </w:p>
        </w:tc>
        <w:tc>
          <w:tcPr>
            <w:tcW w:w="1459" w:type="pct"/>
            <w:noWrap/>
            <w:hideMark/>
          </w:tcPr>
          <w:p w14:paraId="1AAA7F90"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Group with International partners</w:t>
            </w:r>
          </w:p>
        </w:tc>
        <w:tc>
          <w:tcPr>
            <w:tcW w:w="452" w:type="pct"/>
            <w:noWrap/>
            <w:hideMark/>
          </w:tcPr>
          <w:p w14:paraId="19EC88B0"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Onne Port</w:t>
            </w:r>
          </w:p>
        </w:tc>
        <w:tc>
          <w:tcPr>
            <w:tcW w:w="730" w:type="pct"/>
            <w:noWrap/>
            <w:hideMark/>
          </w:tcPr>
          <w:p w14:paraId="22448575"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39C091DA"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2BA82273"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38.13</w:t>
            </w:r>
          </w:p>
        </w:tc>
      </w:tr>
      <w:tr w:rsidR="006C3F77" w:rsidRPr="004B2A73" w14:paraId="6395B856"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325571AF" w14:textId="77777777" w:rsidR="006C3F77" w:rsidRPr="004B2A73" w:rsidRDefault="006C3F77" w:rsidP="00DF7415">
            <w:pPr>
              <w:rPr>
                <w:rFonts w:ascii="Calibri" w:hAnsi="Calibri"/>
              </w:rPr>
            </w:pPr>
            <w:r w:rsidRPr="004B2A73">
              <w:rPr>
                <w:rFonts w:ascii="Calibri" w:hAnsi="Calibri"/>
              </w:rPr>
              <w:t>Calabar Old Port</w:t>
            </w:r>
          </w:p>
        </w:tc>
        <w:tc>
          <w:tcPr>
            <w:tcW w:w="729" w:type="pct"/>
            <w:noWrap/>
            <w:hideMark/>
          </w:tcPr>
          <w:p w14:paraId="12F713AE"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Addax Limited</w:t>
            </w:r>
          </w:p>
        </w:tc>
        <w:tc>
          <w:tcPr>
            <w:tcW w:w="1459" w:type="pct"/>
            <w:noWrap/>
            <w:hideMark/>
          </w:tcPr>
          <w:p w14:paraId="2BBAAA2B"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International Company with local base</w:t>
            </w:r>
          </w:p>
        </w:tc>
        <w:tc>
          <w:tcPr>
            <w:tcW w:w="452" w:type="pct"/>
            <w:noWrap/>
            <w:hideMark/>
          </w:tcPr>
          <w:p w14:paraId="331EF0B0"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Calabar Old Port</w:t>
            </w:r>
          </w:p>
        </w:tc>
        <w:tc>
          <w:tcPr>
            <w:tcW w:w="730" w:type="pct"/>
            <w:noWrap/>
            <w:hideMark/>
          </w:tcPr>
          <w:p w14:paraId="45046B33"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55916682"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4616610B"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2.01</w:t>
            </w:r>
          </w:p>
        </w:tc>
      </w:tr>
      <w:tr w:rsidR="006C3F77" w:rsidRPr="004B2A73" w14:paraId="340D816C"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01CDB72D" w14:textId="77777777" w:rsidR="006C3F77" w:rsidRPr="004B2A73" w:rsidRDefault="006C3F77" w:rsidP="00DF7415">
            <w:pPr>
              <w:rPr>
                <w:rFonts w:ascii="Calibri" w:hAnsi="Calibri"/>
              </w:rPr>
            </w:pPr>
            <w:r w:rsidRPr="004B2A73">
              <w:rPr>
                <w:rFonts w:ascii="Calibri" w:hAnsi="Calibri"/>
              </w:rPr>
              <w:t>Calabar New 'A'</w:t>
            </w:r>
          </w:p>
        </w:tc>
        <w:tc>
          <w:tcPr>
            <w:tcW w:w="729" w:type="pct"/>
            <w:noWrap/>
            <w:hideMark/>
          </w:tcPr>
          <w:p w14:paraId="4BF8FD75"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Intels Nig Ltd</w:t>
            </w:r>
          </w:p>
        </w:tc>
        <w:tc>
          <w:tcPr>
            <w:tcW w:w="1459" w:type="pct"/>
            <w:noWrap/>
            <w:hideMark/>
          </w:tcPr>
          <w:p w14:paraId="2A204F9E"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Group with International partners</w:t>
            </w:r>
          </w:p>
        </w:tc>
        <w:tc>
          <w:tcPr>
            <w:tcW w:w="452" w:type="pct"/>
            <w:noWrap/>
            <w:hideMark/>
          </w:tcPr>
          <w:p w14:paraId="349B3046"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Calabar New Port</w:t>
            </w:r>
          </w:p>
        </w:tc>
        <w:tc>
          <w:tcPr>
            <w:tcW w:w="730" w:type="pct"/>
            <w:noWrap/>
            <w:hideMark/>
          </w:tcPr>
          <w:p w14:paraId="4097B908"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17A24C50"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48565BD3"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2.51</w:t>
            </w:r>
          </w:p>
        </w:tc>
      </w:tr>
      <w:tr w:rsidR="006C3F77" w:rsidRPr="004B2A73" w14:paraId="31279F57"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052AE8ED" w14:textId="77777777" w:rsidR="006C3F77" w:rsidRPr="004B2A73" w:rsidRDefault="006C3F77" w:rsidP="00DF7415">
            <w:pPr>
              <w:rPr>
                <w:rFonts w:ascii="Calibri" w:hAnsi="Calibri"/>
              </w:rPr>
            </w:pPr>
            <w:r w:rsidRPr="004B2A73">
              <w:rPr>
                <w:rFonts w:ascii="Calibri" w:hAnsi="Calibri"/>
              </w:rPr>
              <w:t>Calabar New 'B'</w:t>
            </w:r>
          </w:p>
        </w:tc>
        <w:tc>
          <w:tcPr>
            <w:tcW w:w="729" w:type="pct"/>
            <w:noWrap/>
            <w:hideMark/>
          </w:tcPr>
          <w:p w14:paraId="5A3673A9"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Ecomarine Ltd.</w:t>
            </w:r>
          </w:p>
        </w:tc>
        <w:tc>
          <w:tcPr>
            <w:tcW w:w="1459" w:type="pct"/>
            <w:noWrap/>
            <w:hideMark/>
          </w:tcPr>
          <w:p w14:paraId="75FFF0A2"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West African Group</w:t>
            </w:r>
          </w:p>
        </w:tc>
        <w:tc>
          <w:tcPr>
            <w:tcW w:w="452" w:type="pct"/>
            <w:noWrap/>
            <w:hideMark/>
          </w:tcPr>
          <w:p w14:paraId="76BF79AC"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Calabar New Port</w:t>
            </w:r>
          </w:p>
        </w:tc>
        <w:tc>
          <w:tcPr>
            <w:tcW w:w="730" w:type="pct"/>
            <w:noWrap/>
            <w:hideMark/>
          </w:tcPr>
          <w:p w14:paraId="2AABC162"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4</w:t>
            </w:r>
          </w:p>
        </w:tc>
        <w:tc>
          <w:tcPr>
            <w:tcW w:w="417" w:type="pct"/>
            <w:noWrap/>
            <w:hideMark/>
          </w:tcPr>
          <w:p w14:paraId="1A2696DC"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w:t>
            </w:r>
          </w:p>
        </w:tc>
        <w:tc>
          <w:tcPr>
            <w:tcW w:w="658" w:type="pct"/>
            <w:noWrap/>
            <w:hideMark/>
          </w:tcPr>
          <w:p w14:paraId="5576299F"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30.03</w:t>
            </w:r>
          </w:p>
        </w:tc>
      </w:tr>
      <w:tr w:rsidR="006C3F77" w:rsidRPr="004B2A73" w14:paraId="0A26D11D"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581899A1" w14:textId="77777777" w:rsidR="006C3F77" w:rsidRPr="004B2A73" w:rsidRDefault="006C3F77" w:rsidP="00DF7415">
            <w:pPr>
              <w:rPr>
                <w:rFonts w:ascii="Calibri" w:hAnsi="Calibri"/>
              </w:rPr>
            </w:pPr>
            <w:r w:rsidRPr="004B2A73">
              <w:rPr>
                <w:rFonts w:ascii="Calibri" w:hAnsi="Calibri"/>
              </w:rPr>
              <w:t>Warri Old 'A'</w:t>
            </w:r>
          </w:p>
        </w:tc>
        <w:tc>
          <w:tcPr>
            <w:tcW w:w="729" w:type="pct"/>
            <w:noWrap/>
            <w:hideMark/>
          </w:tcPr>
          <w:p w14:paraId="42CAAB33"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Intels Nig Ltd</w:t>
            </w:r>
          </w:p>
        </w:tc>
        <w:tc>
          <w:tcPr>
            <w:tcW w:w="1459" w:type="pct"/>
            <w:noWrap/>
            <w:hideMark/>
          </w:tcPr>
          <w:p w14:paraId="7416AB13"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Group with International partners</w:t>
            </w:r>
          </w:p>
        </w:tc>
        <w:tc>
          <w:tcPr>
            <w:tcW w:w="452" w:type="pct"/>
            <w:noWrap/>
            <w:hideMark/>
          </w:tcPr>
          <w:p w14:paraId="24ADF928"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Warri Old Port</w:t>
            </w:r>
          </w:p>
        </w:tc>
        <w:tc>
          <w:tcPr>
            <w:tcW w:w="730" w:type="pct"/>
            <w:noWrap/>
            <w:hideMark/>
          </w:tcPr>
          <w:p w14:paraId="413C33BF"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3D99F36A"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561BF8DB"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2.55</w:t>
            </w:r>
          </w:p>
        </w:tc>
      </w:tr>
      <w:tr w:rsidR="006C3F77" w:rsidRPr="004B2A73" w14:paraId="7698F928"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0E30FA10" w14:textId="77777777" w:rsidR="006C3F77" w:rsidRPr="004B2A73" w:rsidRDefault="006C3F77" w:rsidP="00DF7415">
            <w:pPr>
              <w:rPr>
                <w:rFonts w:ascii="Calibri" w:hAnsi="Calibri"/>
              </w:rPr>
            </w:pPr>
            <w:r w:rsidRPr="004B2A73">
              <w:rPr>
                <w:rFonts w:ascii="Calibri" w:hAnsi="Calibri"/>
              </w:rPr>
              <w:t>Warri Old 'B'</w:t>
            </w:r>
          </w:p>
        </w:tc>
        <w:tc>
          <w:tcPr>
            <w:tcW w:w="729" w:type="pct"/>
            <w:noWrap/>
            <w:hideMark/>
          </w:tcPr>
          <w:p w14:paraId="07F5F7F4"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Associate Maritime Services</w:t>
            </w:r>
          </w:p>
        </w:tc>
        <w:tc>
          <w:tcPr>
            <w:tcW w:w="1459" w:type="pct"/>
            <w:noWrap/>
            <w:hideMark/>
          </w:tcPr>
          <w:p w14:paraId="023611B4"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Local Group with International partners</w:t>
            </w:r>
          </w:p>
        </w:tc>
        <w:tc>
          <w:tcPr>
            <w:tcW w:w="452" w:type="pct"/>
            <w:noWrap/>
            <w:hideMark/>
          </w:tcPr>
          <w:p w14:paraId="6F51D37F"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Warri Old Port</w:t>
            </w:r>
          </w:p>
        </w:tc>
        <w:tc>
          <w:tcPr>
            <w:tcW w:w="730" w:type="pct"/>
            <w:noWrap/>
            <w:hideMark/>
          </w:tcPr>
          <w:p w14:paraId="312B9651"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4</w:t>
            </w:r>
          </w:p>
        </w:tc>
        <w:tc>
          <w:tcPr>
            <w:tcW w:w="417" w:type="pct"/>
            <w:noWrap/>
            <w:hideMark/>
          </w:tcPr>
          <w:p w14:paraId="70327079"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w:t>
            </w:r>
          </w:p>
        </w:tc>
        <w:tc>
          <w:tcPr>
            <w:tcW w:w="658" w:type="pct"/>
            <w:noWrap/>
            <w:hideMark/>
          </w:tcPr>
          <w:p w14:paraId="5A11C3FF"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1.9</w:t>
            </w:r>
          </w:p>
        </w:tc>
      </w:tr>
      <w:tr w:rsidR="006C3F77" w:rsidRPr="004B2A73" w14:paraId="32BAA0E6"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659B6678" w14:textId="77777777" w:rsidR="006C3F77" w:rsidRPr="004B2A73" w:rsidRDefault="006C3F77" w:rsidP="00DF7415">
            <w:pPr>
              <w:rPr>
                <w:rFonts w:ascii="Calibri" w:hAnsi="Calibri"/>
              </w:rPr>
            </w:pPr>
            <w:r w:rsidRPr="004B2A73">
              <w:rPr>
                <w:rFonts w:ascii="Calibri" w:hAnsi="Calibri"/>
              </w:rPr>
              <w:t>Warri Old 'C'</w:t>
            </w:r>
          </w:p>
        </w:tc>
        <w:tc>
          <w:tcPr>
            <w:tcW w:w="729" w:type="pct"/>
            <w:noWrap/>
            <w:hideMark/>
          </w:tcPr>
          <w:p w14:paraId="15B6FC03"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Julius Berger Nigeria Limited</w:t>
            </w:r>
          </w:p>
        </w:tc>
        <w:tc>
          <w:tcPr>
            <w:tcW w:w="1459" w:type="pct"/>
            <w:noWrap/>
            <w:hideMark/>
          </w:tcPr>
          <w:p w14:paraId="27EEC094"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Sub. of an Int. firm with Bremenports</w:t>
            </w:r>
          </w:p>
        </w:tc>
        <w:tc>
          <w:tcPr>
            <w:tcW w:w="452" w:type="pct"/>
            <w:noWrap/>
            <w:hideMark/>
          </w:tcPr>
          <w:p w14:paraId="0D5EBE2B"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Warri Old Port</w:t>
            </w:r>
          </w:p>
        </w:tc>
        <w:tc>
          <w:tcPr>
            <w:tcW w:w="730" w:type="pct"/>
            <w:noWrap/>
            <w:hideMark/>
          </w:tcPr>
          <w:p w14:paraId="06B22748"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7B999659"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4E29C014"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5.5</w:t>
            </w:r>
          </w:p>
        </w:tc>
      </w:tr>
      <w:tr w:rsidR="006C3F77" w:rsidRPr="004B2A73" w14:paraId="2BB43161"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3CBB6508" w14:textId="77777777" w:rsidR="006C3F77" w:rsidRPr="004B2A73" w:rsidRDefault="006C3F77" w:rsidP="00DF7415">
            <w:pPr>
              <w:rPr>
                <w:rFonts w:ascii="Calibri" w:hAnsi="Calibri"/>
              </w:rPr>
            </w:pPr>
            <w:r w:rsidRPr="004B2A73">
              <w:rPr>
                <w:rFonts w:ascii="Calibri" w:hAnsi="Calibri"/>
              </w:rPr>
              <w:t>Warri New 'A'</w:t>
            </w:r>
          </w:p>
        </w:tc>
        <w:tc>
          <w:tcPr>
            <w:tcW w:w="729" w:type="pct"/>
            <w:noWrap/>
            <w:hideMark/>
          </w:tcPr>
          <w:p w14:paraId="7C1FB6B3"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Global Infrastructure Limited</w:t>
            </w:r>
          </w:p>
        </w:tc>
        <w:tc>
          <w:tcPr>
            <w:tcW w:w="1459" w:type="pct"/>
            <w:noWrap/>
            <w:hideMark/>
          </w:tcPr>
          <w:p w14:paraId="67B0E637"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An Indian Group based in UK</w:t>
            </w:r>
          </w:p>
        </w:tc>
        <w:tc>
          <w:tcPr>
            <w:tcW w:w="452" w:type="pct"/>
            <w:noWrap/>
            <w:hideMark/>
          </w:tcPr>
          <w:p w14:paraId="087CA91F"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Warri New Port</w:t>
            </w:r>
          </w:p>
        </w:tc>
        <w:tc>
          <w:tcPr>
            <w:tcW w:w="730" w:type="pct"/>
            <w:noWrap/>
            <w:hideMark/>
          </w:tcPr>
          <w:p w14:paraId="3170B546"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4BE6FBF2"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775C519F"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w:t>
            </w:r>
          </w:p>
        </w:tc>
      </w:tr>
      <w:tr w:rsidR="006C3F77" w:rsidRPr="004B2A73" w14:paraId="064CD61D" w14:textId="77777777" w:rsidTr="00DF7415">
        <w:trPr>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3AD73061" w14:textId="77777777" w:rsidR="006C3F77" w:rsidRPr="004B2A73" w:rsidRDefault="006C3F77" w:rsidP="00DF7415">
            <w:pPr>
              <w:rPr>
                <w:rFonts w:ascii="Calibri" w:hAnsi="Calibri"/>
              </w:rPr>
            </w:pPr>
            <w:r w:rsidRPr="004B2A73">
              <w:rPr>
                <w:rFonts w:ascii="Calibri" w:hAnsi="Calibri"/>
              </w:rPr>
              <w:t>Warri New 'B'</w:t>
            </w:r>
          </w:p>
        </w:tc>
        <w:tc>
          <w:tcPr>
            <w:tcW w:w="729" w:type="pct"/>
            <w:noWrap/>
            <w:hideMark/>
          </w:tcPr>
          <w:p w14:paraId="6C67C06B"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Intels Nig Ltd</w:t>
            </w:r>
          </w:p>
        </w:tc>
        <w:tc>
          <w:tcPr>
            <w:tcW w:w="1459" w:type="pct"/>
            <w:noWrap/>
            <w:hideMark/>
          </w:tcPr>
          <w:p w14:paraId="634DB823"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Local Group with International partners</w:t>
            </w:r>
          </w:p>
        </w:tc>
        <w:tc>
          <w:tcPr>
            <w:tcW w:w="452" w:type="pct"/>
            <w:noWrap/>
            <w:hideMark/>
          </w:tcPr>
          <w:p w14:paraId="379E0CE1"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Warri New Port</w:t>
            </w:r>
          </w:p>
        </w:tc>
        <w:tc>
          <w:tcPr>
            <w:tcW w:w="730" w:type="pct"/>
            <w:noWrap/>
            <w:hideMark/>
          </w:tcPr>
          <w:p w14:paraId="4560D85F"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Direct negotiation</w:t>
            </w:r>
          </w:p>
        </w:tc>
        <w:tc>
          <w:tcPr>
            <w:tcW w:w="417" w:type="pct"/>
            <w:noWrap/>
            <w:hideMark/>
          </w:tcPr>
          <w:p w14:paraId="2F599D0A"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w:t>
            </w:r>
          </w:p>
        </w:tc>
        <w:tc>
          <w:tcPr>
            <w:tcW w:w="658" w:type="pct"/>
            <w:noWrap/>
            <w:hideMark/>
          </w:tcPr>
          <w:p w14:paraId="1BEA4B06" w14:textId="77777777" w:rsidR="006C3F77" w:rsidRPr="004B2A73" w:rsidRDefault="006C3F77" w:rsidP="00DF7415">
            <w:pP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6.6</w:t>
            </w:r>
          </w:p>
        </w:tc>
      </w:tr>
      <w:tr w:rsidR="006C3F77" w:rsidRPr="004B2A73" w14:paraId="7F9CD3FC" w14:textId="77777777" w:rsidTr="00DF74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 w:type="pct"/>
            <w:noWrap/>
            <w:hideMark/>
          </w:tcPr>
          <w:p w14:paraId="4CBEBB1A" w14:textId="77777777" w:rsidR="006C3F77" w:rsidRPr="004B2A73" w:rsidRDefault="006C3F77" w:rsidP="00DF7415">
            <w:pPr>
              <w:rPr>
                <w:rFonts w:ascii="Calibri" w:hAnsi="Calibri"/>
              </w:rPr>
            </w:pPr>
            <w:r w:rsidRPr="004B2A73">
              <w:rPr>
                <w:rFonts w:ascii="Calibri" w:hAnsi="Calibri"/>
              </w:rPr>
              <w:t>Koko Port</w:t>
            </w:r>
          </w:p>
        </w:tc>
        <w:tc>
          <w:tcPr>
            <w:tcW w:w="729" w:type="pct"/>
            <w:noWrap/>
            <w:hideMark/>
          </w:tcPr>
          <w:p w14:paraId="4C1CA07F"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Gulftainer Bel consortium</w:t>
            </w:r>
          </w:p>
        </w:tc>
        <w:tc>
          <w:tcPr>
            <w:tcW w:w="1459" w:type="pct"/>
            <w:noWrap/>
            <w:hideMark/>
          </w:tcPr>
          <w:p w14:paraId="01460FFE"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Local Group with International partners</w:t>
            </w:r>
          </w:p>
        </w:tc>
        <w:tc>
          <w:tcPr>
            <w:tcW w:w="452" w:type="pct"/>
            <w:noWrap/>
            <w:hideMark/>
          </w:tcPr>
          <w:p w14:paraId="77E02D4E"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Koko Port</w:t>
            </w:r>
          </w:p>
        </w:tc>
        <w:tc>
          <w:tcPr>
            <w:tcW w:w="730" w:type="pct"/>
            <w:noWrap/>
            <w:hideMark/>
          </w:tcPr>
          <w:p w14:paraId="6E3705B7"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Round 4</w:t>
            </w:r>
          </w:p>
        </w:tc>
        <w:tc>
          <w:tcPr>
            <w:tcW w:w="417" w:type="pct"/>
            <w:noWrap/>
            <w:hideMark/>
          </w:tcPr>
          <w:p w14:paraId="4FE336F0"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w:t>
            </w:r>
          </w:p>
        </w:tc>
        <w:tc>
          <w:tcPr>
            <w:tcW w:w="658" w:type="pct"/>
            <w:noWrap/>
            <w:hideMark/>
          </w:tcPr>
          <w:p w14:paraId="5ABF7FF6" w14:textId="77777777" w:rsidR="006C3F77" w:rsidRPr="004B2A73" w:rsidRDefault="006C3F77" w:rsidP="00DF7415">
            <w:pP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2.9</w:t>
            </w:r>
          </w:p>
        </w:tc>
      </w:tr>
    </w:tbl>
    <w:p w14:paraId="3E7D5FA9" w14:textId="77777777" w:rsidR="00C6196D" w:rsidRPr="004B2A73" w:rsidRDefault="00C6196D" w:rsidP="00510EE7"/>
    <w:p w14:paraId="6ACBACA2" w14:textId="77777777" w:rsidR="00C6196D" w:rsidRPr="004B2A73" w:rsidRDefault="00C6196D">
      <w:pPr>
        <w:rPr>
          <w:rFonts w:ascii="Calibri" w:eastAsiaTheme="majorEastAsia" w:hAnsi="Calibri"/>
          <w:b/>
          <w:sz w:val="24"/>
          <w:szCs w:val="24"/>
        </w:rPr>
      </w:pPr>
      <w:r w:rsidRPr="004B2A73">
        <w:rPr>
          <w:rFonts w:ascii="Calibri" w:hAnsi="Calibri"/>
        </w:rPr>
        <w:br w:type="page"/>
      </w:r>
    </w:p>
    <w:p w14:paraId="22AAC5AE" w14:textId="18B0973F" w:rsidR="003D778E" w:rsidRPr="007460D3" w:rsidRDefault="003D778E" w:rsidP="007460D3">
      <w:pPr>
        <w:pStyle w:val="Heading2"/>
        <w:numPr>
          <w:ilvl w:val="0"/>
          <w:numId w:val="0"/>
        </w:numPr>
        <w:rPr>
          <w:rFonts w:asciiTheme="minorHAnsi" w:hAnsiTheme="minorHAnsi" w:cstheme="minorHAnsi"/>
          <w:color w:val="auto"/>
          <w:sz w:val="28"/>
          <w:szCs w:val="28"/>
        </w:rPr>
      </w:pPr>
      <w:bookmarkStart w:id="160" w:name="_Toc485382011"/>
      <w:r w:rsidRPr="007460D3">
        <w:rPr>
          <w:rFonts w:asciiTheme="minorHAnsi" w:hAnsiTheme="minorHAnsi" w:cstheme="minorHAnsi"/>
          <w:color w:val="auto"/>
          <w:sz w:val="28"/>
          <w:szCs w:val="28"/>
        </w:rPr>
        <w:t xml:space="preserve">Annex </w:t>
      </w:r>
      <w:r w:rsidR="00965801" w:rsidRPr="007460D3">
        <w:rPr>
          <w:rFonts w:asciiTheme="minorHAnsi" w:hAnsiTheme="minorHAnsi" w:cstheme="minorHAnsi"/>
          <w:color w:val="auto"/>
          <w:sz w:val="28"/>
          <w:szCs w:val="28"/>
        </w:rPr>
        <w:t>5</w:t>
      </w:r>
      <w:r w:rsidRPr="007460D3">
        <w:rPr>
          <w:rFonts w:asciiTheme="minorHAnsi" w:hAnsiTheme="minorHAnsi" w:cstheme="minorHAnsi"/>
          <w:color w:val="auto"/>
          <w:sz w:val="28"/>
          <w:szCs w:val="28"/>
        </w:rPr>
        <w:t>: Characteristics of the main West African container terminals</w:t>
      </w:r>
      <w:bookmarkEnd w:id="160"/>
    </w:p>
    <w:p w14:paraId="0C6E5D62" w14:textId="77777777" w:rsidR="00E6290C" w:rsidRPr="007460D3" w:rsidRDefault="00E6290C" w:rsidP="007460D3">
      <w:pPr>
        <w:pStyle w:val="Heading2"/>
        <w:numPr>
          <w:ilvl w:val="0"/>
          <w:numId w:val="0"/>
        </w:numPr>
        <w:rPr>
          <w:rFonts w:asciiTheme="minorHAnsi" w:hAnsiTheme="minorHAnsi" w:cstheme="minorHAnsi"/>
          <w:color w:val="auto"/>
          <w:sz w:val="28"/>
          <w:szCs w:val="28"/>
        </w:rPr>
      </w:pPr>
    </w:p>
    <w:p w14:paraId="010142C9" w14:textId="427E4FA0" w:rsidR="00627628" w:rsidRPr="004B2A73" w:rsidRDefault="00975C05" w:rsidP="00AF33A5">
      <w:pPr>
        <w:pStyle w:val="Caption"/>
        <w:rPr>
          <w:rFonts w:ascii="Calibri" w:hAnsi="Calibri"/>
        </w:rPr>
      </w:pPr>
      <w:bookmarkStart w:id="161" w:name="_Toc485381929"/>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18</w:t>
      </w:r>
      <w:r w:rsidR="00811885" w:rsidRPr="004B2A73">
        <w:rPr>
          <w:rFonts w:ascii="Calibri" w:hAnsi="Calibri"/>
          <w:noProof/>
        </w:rPr>
        <w:fldChar w:fldCharType="end"/>
      </w:r>
      <w:r w:rsidRPr="004B2A73">
        <w:rPr>
          <w:rFonts w:ascii="Calibri" w:hAnsi="Calibri"/>
        </w:rPr>
        <w:t>: Characteristics of the main West African container terminals</w:t>
      </w:r>
      <w:bookmarkEnd w:id="161"/>
    </w:p>
    <w:tbl>
      <w:tblPr>
        <w:tblStyle w:val="ListTable3-Accent31"/>
        <w:tblW w:w="12325" w:type="dxa"/>
        <w:jc w:val="center"/>
        <w:tblLayout w:type="fixed"/>
        <w:tblLook w:val="04A0" w:firstRow="1" w:lastRow="0" w:firstColumn="1" w:lastColumn="0" w:noHBand="0" w:noVBand="1"/>
      </w:tblPr>
      <w:tblGrid>
        <w:gridCol w:w="1705"/>
        <w:gridCol w:w="1080"/>
        <w:gridCol w:w="1350"/>
        <w:gridCol w:w="1260"/>
        <w:gridCol w:w="990"/>
        <w:gridCol w:w="900"/>
        <w:gridCol w:w="900"/>
        <w:gridCol w:w="1080"/>
        <w:gridCol w:w="1080"/>
        <w:gridCol w:w="990"/>
        <w:gridCol w:w="990"/>
      </w:tblGrid>
      <w:tr w:rsidR="00627628" w:rsidRPr="004B2A73" w14:paraId="78D4C1C5" w14:textId="77777777" w:rsidTr="004C4D36">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100" w:firstRow="0" w:lastRow="0" w:firstColumn="1" w:lastColumn="0" w:oddVBand="0" w:evenVBand="0" w:oddHBand="0" w:evenHBand="0" w:firstRowFirstColumn="1" w:firstRowLastColumn="0" w:lastRowFirstColumn="0" w:lastRowLastColumn="0"/>
            <w:tcW w:w="1705" w:type="dxa"/>
            <w:vMerge w:val="restart"/>
            <w:vAlign w:val="center"/>
          </w:tcPr>
          <w:p w14:paraId="286BC5C1" w14:textId="77777777" w:rsidR="00627628" w:rsidRPr="004B2A73" w:rsidRDefault="00627628" w:rsidP="004C4D36">
            <w:pPr>
              <w:jc w:val="center"/>
              <w:rPr>
                <w:rFonts w:ascii="Calibri" w:hAnsi="Calibri"/>
              </w:rPr>
            </w:pPr>
            <w:r w:rsidRPr="004B2A73">
              <w:rPr>
                <w:rFonts w:ascii="Calibri" w:hAnsi="Calibri"/>
              </w:rPr>
              <w:t>Terminal</w:t>
            </w:r>
          </w:p>
        </w:tc>
        <w:tc>
          <w:tcPr>
            <w:tcW w:w="1080" w:type="dxa"/>
            <w:vMerge w:val="restart"/>
            <w:vAlign w:val="center"/>
          </w:tcPr>
          <w:p w14:paraId="498E4173" w14:textId="77777777" w:rsidR="00627628" w:rsidRPr="004B2A73" w:rsidRDefault="00627628" w:rsidP="004C4D3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Quay length (meters)</w:t>
            </w:r>
          </w:p>
        </w:tc>
        <w:tc>
          <w:tcPr>
            <w:tcW w:w="1350" w:type="dxa"/>
            <w:vMerge w:val="restart"/>
            <w:vAlign w:val="center"/>
          </w:tcPr>
          <w:p w14:paraId="7171B0EE" w14:textId="77777777" w:rsidR="00627628" w:rsidRPr="004B2A73" w:rsidRDefault="00627628" w:rsidP="004C4D3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Draft (meters)</w:t>
            </w:r>
          </w:p>
        </w:tc>
        <w:tc>
          <w:tcPr>
            <w:tcW w:w="4050" w:type="dxa"/>
            <w:gridSpan w:val="4"/>
            <w:vAlign w:val="center"/>
          </w:tcPr>
          <w:p w14:paraId="319D7C05" w14:textId="77777777" w:rsidR="00627628" w:rsidRPr="004B2A73" w:rsidRDefault="00627628" w:rsidP="004C4D3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Handling equipment</w:t>
            </w:r>
          </w:p>
        </w:tc>
        <w:tc>
          <w:tcPr>
            <w:tcW w:w="2160" w:type="dxa"/>
            <w:gridSpan w:val="2"/>
            <w:vAlign w:val="center"/>
          </w:tcPr>
          <w:p w14:paraId="01AB927A" w14:textId="77777777" w:rsidR="00627628" w:rsidRPr="004B2A73" w:rsidRDefault="00627628" w:rsidP="004C4D3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Yard</w:t>
            </w:r>
          </w:p>
        </w:tc>
        <w:tc>
          <w:tcPr>
            <w:tcW w:w="1980" w:type="dxa"/>
            <w:gridSpan w:val="2"/>
            <w:vAlign w:val="center"/>
          </w:tcPr>
          <w:p w14:paraId="2E1F10D0" w14:textId="77777777" w:rsidR="00627628" w:rsidRPr="004B2A73" w:rsidRDefault="00627628" w:rsidP="004C4D36">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Annual capacity (kTEUs)</w:t>
            </w:r>
          </w:p>
        </w:tc>
      </w:tr>
      <w:tr w:rsidR="00627628" w:rsidRPr="004B2A73" w14:paraId="7466F8D5" w14:textId="77777777" w:rsidTr="004C4D36">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705" w:type="dxa"/>
            <w:vMerge/>
          </w:tcPr>
          <w:p w14:paraId="151A9AFB" w14:textId="77777777" w:rsidR="00627628" w:rsidRPr="004B2A73" w:rsidRDefault="00627628" w:rsidP="004C4D36">
            <w:pPr>
              <w:rPr>
                <w:rFonts w:ascii="Calibri" w:hAnsi="Calibri"/>
              </w:rPr>
            </w:pPr>
          </w:p>
        </w:tc>
        <w:tc>
          <w:tcPr>
            <w:tcW w:w="1080" w:type="dxa"/>
            <w:vMerge/>
          </w:tcPr>
          <w:p w14:paraId="38B83EC4"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350" w:type="dxa"/>
            <w:vMerge/>
          </w:tcPr>
          <w:p w14:paraId="0F4CA5CB"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260" w:type="dxa"/>
          </w:tcPr>
          <w:p w14:paraId="0A812641"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STS</w:t>
            </w:r>
          </w:p>
        </w:tc>
        <w:tc>
          <w:tcPr>
            <w:tcW w:w="990" w:type="dxa"/>
          </w:tcPr>
          <w:p w14:paraId="17A5465C"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RTG</w:t>
            </w:r>
          </w:p>
        </w:tc>
        <w:tc>
          <w:tcPr>
            <w:tcW w:w="900" w:type="dxa"/>
          </w:tcPr>
          <w:p w14:paraId="3A88FA7C"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Mobile crane</w:t>
            </w:r>
          </w:p>
        </w:tc>
        <w:tc>
          <w:tcPr>
            <w:tcW w:w="900" w:type="dxa"/>
          </w:tcPr>
          <w:p w14:paraId="33FE3054"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Reach stacker</w:t>
            </w:r>
          </w:p>
        </w:tc>
        <w:tc>
          <w:tcPr>
            <w:tcW w:w="1080" w:type="dxa"/>
          </w:tcPr>
          <w:p w14:paraId="3990D2B8"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Area (ha)</w:t>
            </w:r>
          </w:p>
        </w:tc>
        <w:tc>
          <w:tcPr>
            <w:tcW w:w="1080" w:type="dxa"/>
          </w:tcPr>
          <w:p w14:paraId="03F0AC46"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Capacity (kTEUs)</w:t>
            </w:r>
          </w:p>
        </w:tc>
        <w:tc>
          <w:tcPr>
            <w:tcW w:w="990" w:type="dxa"/>
          </w:tcPr>
          <w:p w14:paraId="430D9B39"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Current</w:t>
            </w:r>
          </w:p>
        </w:tc>
        <w:tc>
          <w:tcPr>
            <w:tcW w:w="990" w:type="dxa"/>
          </w:tcPr>
          <w:p w14:paraId="7C08B078" w14:textId="77777777" w:rsidR="00627628" w:rsidRPr="004B2A73" w:rsidRDefault="00627628" w:rsidP="004C4D36">
            <w:pPr>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Planned</w:t>
            </w:r>
          </w:p>
        </w:tc>
      </w:tr>
      <w:tr w:rsidR="00627628" w:rsidRPr="004B2A73" w14:paraId="7955DDDD" w14:textId="77777777" w:rsidTr="004C4D36">
        <w:trPr>
          <w:trHeight w:val="261"/>
          <w:jc w:val="center"/>
        </w:trPr>
        <w:tc>
          <w:tcPr>
            <w:cnfStyle w:val="001000000000" w:firstRow="0" w:lastRow="0" w:firstColumn="1" w:lastColumn="0" w:oddVBand="0" w:evenVBand="0" w:oddHBand="0" w:evenHBand="0" w:firstRowFirstColumn="0" w:firstRowLastColumn="0" w:lastRowFirstColumn="0" w:lastRowLastColumn="0"/>
            <w:tcW w:w="1705" w:type="dxa"/>
          </w:tcPr>
          <w:p w14:paraId="2D64EC5B" w14:textId="77777777" w:rsidR="00627628" w:rsidRPr="004B2A73" w:rsidRDefault="00627628" w:rsidP="004C4D36">
            <w:pPr>
              <w:rPr>
                <w:rFonts w:ascii="Calibri" w:hAnsi="Calibri"/>
              </w:rPr>
            </w:pPr>
            <w:r w:rsidRPr="004B2A73">
              <w:rPr>
                <w:rFonts w:ascii="Calibri" w:hAnsi="Calibri"/>
              </w:rPr>
              <w:t>Dakar</w:t>
            </w:r>
          </w:p>
        </w:tc>
        <w:tc>
          <w:tcPr>
            <w:tcW w:w="1080" w:type="dxa"/>
            <w:vAlign w:val="center"/>
          </w:tcPr>
          <w:p w14:paraId="13CC24F8"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660</w:t>
            </w:r>
          </w:p>
        </w:tc>
        <w:tc>
          <w:tcPr>
            <w:tcW w:w="1350" w:type="dxa"/>
            <w:vAlign w:val="center"/>
          </w:tcPr>
          <w:p w14:paraId="19B303A1"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13.5</w:t>
            </w:r>
          </w:p>
        </w:tc>
        <w:tc>
          <w:tcPr>
            <w:tcW w:w="1260" w:type="dxa"/>
            <w:vAlign w:val="center"/>
          </w:tcPr>
          <w:p w14:paraId="039F008C"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4</w:t>
            </w:r>
          </w:p>
        </w:tc>
        <w:tc>
          <w:tcPr>
            <w:tcW w:w="990" w:type="dxa"/>
            <w:vAlign w:val="center"/>
          </w:tcPr>
          <w:p w14:paraId="05E4B229"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w:t>
            </w:r>
          </w:p>
        </w:tc>
        <w:tc>
          <w:tcPr>
            <w:tcW w:w="900" w:type="dxa"/>
            <w:vAlign w:val="center"/>
          </w:tcPr>
          <w:p w14:paraId="31938452"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4</w:t>
            </w:r>
          </w:p>
        </w:tc>
        <w:tc>
          <w:tcPr>
            <w:tcW w:w="900" w:type="dxa"/>
            <w:vAlign w:val="center"/>
          </w:tcPr>
          <w:p w14:paraId="034804D3"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w:t>
            </w:r>
          </w:p>
        </w:tc>
        <w:tc>
          <w:tcPr>
            <w:tcW w:w="1080" w:type="dxa"/>
            <w:vAlign w:val="center"/>
          </w:tcPr>
          <w:p w14:paraId="7CEDCD9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24 (+ 2 ICDs</w:t>
            </w:r>
          </w:p>
        </w:tc>
        <w:tc>
          <w:tcPr>
            <w:tcW w:w="1080" w:type="dxa"/>
            <w:vAlign w:val="center"/>
          </w:tcPr>
          <w:p w14:paraId="49F624BB"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0" w:type="dxa"/>
            <w:vAlign w:val="center"/>
          </w:tcPr>
          <w:p w14:paraId="02EBEDEF"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600</w:t>
            </w:r>
          </w:p>
        </w:tc>
        <w:tc>
          <w:tcPr>
            <w:tcW w:w="990" w:type="dxa"/>
            <w:vAlign w:val="center"/>
          </w:tcPr>
          <w:p w14:paraId="30138EB1"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627628" w:rsidRPr="004B2A73" w14:paraId="27520B8C" w14:textId="77777777" w:rsidTr="004C4D36">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705" w:type="dxa"/>
          </w:tcPr>
          <w:p w14:paraId="6E2D55A7" w14:textId="77777777" w:rsidR="00627628" w:rsidRPr="004B2A73" w:rsidRDefault="00627628" w:rsidP="004C4D36">
            <w:pPr>
              <w:rPr>
                <w:rFonts w:ascii="Calibri" w:hAnsi="Calibri"/>
                <w:lang w:val="fr-FR"/>
              </w:rPr>
            </w:pPr>
            <w:r w:rsidRPr="004B2A73">
              <w:rPr>
                <w:rFonts w:ascii="Calibri" w:hAnsi="Calibri"/>
                <w:lang w:val="fr-FR"/>
              </w:rPr>
              <w:t>Dakar - Port du Futur (project)</w:t>
            </w:r>
          </w:p>
        </w:tc>
        <w:tc>
          <w:tcPr>
            <w:tcW w:w="1080" w:type="dxa"/>
            <w:vAlign w:val="center"/>
          </w:tcPr>
          <w:p w14:paraId="5C3BD6EF"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1,150</w:t>
            </w:r>
          </w:p>
        </w:tc>
        <w:tc>
          <w:tcPr>
            <w:tcW w:w="1350" w:type="dxa"/>
            <w:vAlign w:val="center"/>
          </w:tcPr>
          <w:p w14:paraId="7EB184F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15</w:t>
            </w:r>
          </w:p>
        </w:tc>
        <w:tc>
          <w:tcPr>
            <w:tcW w:w="1260" w:type="dxa"/>
            <w:vAlign w:val="center"/>
          </w:tcPr>
          <w:p w14:paraId="7B47A28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06339706"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00" w:type="dxa"/>
            <w:vAlign w:val="center"/>
          </w:tcPr>
          <w:p w14:paraId="043583A5"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00" w:type="dxa"/>
            <w:vAlign w:val="center"/>
          </w:tcPr>
          <w:p w14:paraId="140808D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0" w:type="dxa"/>
            <w:vAlign w:val="center"/>
          </w:tcPr>
          <w:p w14:paraId="1347E6EA"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0" w:type="dxa"/>
            <w:vAlign w:val="center"/>
          </w:tcPr>
          <w:p w14:paraId="48726B6F"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689065A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069899D4"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1,500</w:t>
            </w:r>
          </w:p>
        </w:tc>
      </w:tr>
      <w:tr w:rsidR="00627628" w:rsidRPr="004B2A73" w14:paraId="00EC9E67" w14:textId="77777777" w:rsidTr="004C4D36">
        <w:trPr>
          <w:trHeight w:val="197"/>
          <w:jc w:val="center"/>
        </w:trPr>
        <w:tc>
          <w:tcPr>
            <w:cnfStyle w:val="001000000000" w:firstRow="0" w:lastRow="0" w:firstColumn="1" w:lastColumn="0" w:oddVBand="0" w:evenVBand="0" w:oddHBand="0" w:evenHBand="0" w:firstRowFirstColumn="0" w:firstRowLastColumn="0" w:lastRowFirstColumn="0" w:lastRowLastColumn="0"/>
            <w:tcW w:w="1705" w:type="dxa"/>
          </w:tcPr>
          <w:p w14:paraId="1191AFD0" w14:textId="77777777" w:rsidR="00627628" w:rsidRPr="004B2A73" w:rsidRDefault="00627628" w:rsidP="004C4D36">
            <w:pPr>
              <w:rPr>
                <w:rFonts w:ascii="Calibri" w:hAnsi="Calibri"/>
              </w:rPr>
            </w:pPr>
            <w:r w:rsidRPr="004B2A73">
              <w:rPr>
                <w:rFonts w:ascii="Calibri" w:hAnsi="Calibri"/>
              </w:rPr>
              <w:t>Banjul</w:t>
            </w:r>
          </w:p>
        </w:tc>
        <w:tc>
          <w:tcPr>
            <w:tcW w:w="1080" w:type="dxa"/>
            <w:vAlign w:val="center"/>
          </w:tcPr>
          <w:p w14:paraId="1D1269A6"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600</w:t>
            </w:r>
          </w:p>
        </w:tc>
        <w:tc>
          <w:tcPr>
            <w:tcW w:w="1350" w:type="dxa"/>
            <w:vAlign w:val="center"/>
          </w:tcPr>
          <w:p w14:paraId="666BC9CA"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10.5 - 13</w:t>
            </w:r>
          </w:p>
        </w:tc>
        <w:tc>
          <w:tcPr>
            <w:tcW w:w="1260" w:type="dxa"/>
            <w:vAlign w:val="center"/>
          </w:tcPr>
          <w:p w14:paraId="502924F8"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None</w:t>
            </w:r>
          </w:p>
        </w:tc>
        <w:tc>
          <w:tcPr>
            <w:tcW w:w="990" w:type="dxa"/>
            <w:vAlign w:val="center"/>
          </w:tcPr>
          <w:p w14:paraId="557C2F16"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None</w:t>
            </w:r>
          </w:p>
        </w:tc>
        <w:tc>
          <w:tcPr>
            <w:tcW w:w="900" w:type="dxa"/>
            <w:vAlign w:val="center"/>
          </w:tcPr>
          <w:p w14:paraId="1827358A"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w:t>
            </w:r>
          </w:p>
        </w:tc>
        <w:tc>
          <w:tcPr>
            <w:tcW w:w="900" w:type="dxa"/>
            <w:vAlign w:val="center"/>
          </w:tcPr>
          <w:p w14:paraId="333D9AB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w:t>
            </w:r>
          </w:p>
        </w:tc>
        <w:tc>
          <w:tcPr>
            <w:tcW w:w="1080" w:type="dxa"/>
            <w:vAlign w:val="center"/>
          </w:tcPr>
          <w:p w14:paraId="5D6639EC"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20</w:t>
            </w:r>
          </w:p>
        </w:tc>
        <w:tc>
          <w:tcPr>
            <w:tcW w:w="1080" w:type="dxa"/>
            <w:vAlign w:val="center"/>
          </w:tcPr>
          <w:p w14:paraId="35C8F6D7"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w:t>
            </w:r>
          </w:p>
        </w:tc>
        <w:tc>
          <w:tcPr>
            <w:tcW w:w="990" w:type="dxa"/>
            <w:vAlign w:val="center"/>
          </w:tcPr>
          <w:p w14:paraId="79B2635A"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0" w:type="dxa"/>
            <w:vAlign w:val="center"/>
          </w:tcPr>
          <w:p w14:paraId="4B9A7E50"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627628" w:rsidRPr="004B2A73" w14:paraId="302F00F4" w14:textId="77777777" w:rsidTr="004C4D36">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705" w:type="dxa"/>
          </w:tcPr>
          <w:p w14:paraId="10859902" w14:textId="77777777" w:rsidR="00627628" w:rsidRPr="004B2A73" w:rsidRDefault="00627628" w:rsidP="004C4D36">
            <w:pPr>
              <w:rPr>
                <w:rFonts w:ascii="Calibri" w:hAnsi="Calibri"/>
              </w:rPr>
            </w:pPr>
            <w:r w:rsidRPr="004B2A73">
              <w:rPr>
                <w:rFonts w:ascii="Calibri" w:hAnsi="Calibri"/>
              </w:rPr>
              <w:t>Bissau</w:t>
            </w:r>
          </w:p>
        </w:tc>
        <w:tc>
          <w:tcPr>
            <w:tcW w:w="1080" w:type="dxa"/>
            <w:vAlign w:val="center"/>
          </w:tcPr>
          <w:p w14:paraId="704B8F0F"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350" w:type="dxa"/>
            <w:vAlign w:val="center"/>
          </w:tcPr>
          <w:p w14:paraId="1DBC13A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7</w:t>
            </w:r>
          </w:p>
        </w:tc>
        <w:tc>
          <w:tcPr>
            <w:tcW w:w="1260" w:type="dxa"/>
            <w:vAlign w:val="center"/>
          </w:tcPr>
          <w:p w14:paraId="534B67DA"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None</w:t>
            </w:r>
          </w:p>
        </w:tc>
        <w:tc>
          <w:tcPr>
            <w:tcW w:w="990" w:type="dxa"/>
            <w:vAlign w:val="center"/>
          </w:tcPr>
          <w:p w14:paraId="0EDC0325"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None</w:t>
            </w:r>
          </w:p>
        </w:tc>
        <w:tc>
          <w:tcPr>
            <w:tcW w:w="900" w:type="dxa"/>
            <w:vAlign w:val="center"/>
          </w:tcPr>
          <w:p w14:paraId="297159F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00" w:type="dxa"/>
            <w:vAlign w:val="center"/>
          </w:tcPr>
          <w:p w14:paraId="7C95230E"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0" w:type="dxa"/>
            <w:vAlign w:val="center"/>
          </w:tcPr>
          <w:p w14:paraId="006ED77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0" w:type="dxa"/>
            <w:vAlign w:val="center"/>
          </w:tcPr>
          <w:p w14:paraId="374D6C3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303D4E5A"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3AF3A5DE"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627628" w:rsidRPr="004B2A73" w14:paraId="6FC975E5" w14:textId="77777777" w:rsidTr="004C4D36">
        <w:trPr>
          <w:trHeight w:val="77"/>
          <w:jc w:val="center"/>
        </w:trPr>
        <w:tc>
          <w:tcPr>
            <w:cnfStyle w:val="001000000000" w:firstRow="0" w:lastRow="0" w:firstColumn="1" w:lastColumn="0" w:oddVBand="0" w:evenVBand="0" w:oddHBand="0" w:evenHBand="0" w:firstRowFirstColumn="0" w:firstRowLastColumn="0" w:lastRowFirstColumn="0" w:lastRowLastColumn="0"/>
            <w:tcW w:w="1705" w:type="dxa"/>
          </w:tcPr>
          <w:p w14:paraId="1644592D" w14:textId="77777777" w:rsidR="00627628" w:rsidRPr="004B2A73" w:rsidRDefault="00627628" w:rsidP="004C4D36">
            <w:pPr>
              <w:rPr>
                <w:rFonts w:ascii="Calibri" w:hAnsi="Calibri"/>
              </w:rPr>
            </w:pPr>
            <w:r w:rsidRPr="004B2A73">
              <w:rPr>
                <w:rFonts w:ascii="Calibri" w:hAnsi="Calibri"/>
              </w:rPr>
              <w:t>Conakry</w:t>
            </w:r>
          </w:p>
        </w:tc>
        <w:tc>
          <w:tcPr>
            <w:tcW w:w="1080" w:type="dxa"/>
            <w:vAlign w:val="center"/>
          </w:tcPr>
          <w:p w14:paraId="571DC03B"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600</w:t>
            </w:r>
          </w:p>
        </w:tc>
        <w:tc>
          <w:tcPr>
            <w:tcW w:w="1350" w:type="dxa"/>
            <w:vAlign w:val="center"/>
          </w:tcPr>
          <w:p w14:paraId="2B6469B5"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13</w:t>
            </w:r>
          </w:p>
        </w:tc>
        <w:tc>
          <w:tcPr>
            <w:tcW w:w="1260" w:type="dxa"/>
            <w:vAlign w:val="center"/>
          </w:tcPr>
          <w:p w14:paraId="4638092A"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 (to come)</w:t>
            </w:r>
          </w:p>
        </w:tc>
        <w:tc>
          <w:tcPr>
            <w:tcW w:w="990" w:type="dxa"/>
            <w:vAlign w:val="center"/>
          </w:tcPr>
          <w:p w14:paraId="6EC463E0"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w:t>
            </w:r>
          </w:p>
        </w:tc>
        <w:tc>
          <w:tcPr>
            <w:tcW w:w="900" w:type="dxa"/>
            <w:vAlign w:val="center"/>
          </w:tcPr>
          <w:p w14:paraId="7F387D7C"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w:t>
            </w:r>
          </w:p>
        </w:tc>
        <w:tc>
          <w:tcPr>
            <w:tcW w:w="900" w:type="dxa"/>
            <w:vAlign w:val="center"/>
          </w:tcPr>
          <w:p w14:paraId="3532FAA7"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12</w:t>
            </w:r>
          </w:p>
        </w:tc>
        <w:tc>
          <w:tcPr>
            <w:tcW w:w="1080" w:type="dxa"/>
            <w:vAlign w:val="center"/>
          </w:tcPr>
          <w:p w14:paraId="7FC6B533"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23</w:t>
            </w:r>
          </w:p>
        </w:tc>
        <w:tc>
          <w:tcPr>
            <w:tcW w:w="1080" w:type="dxa"/>
            <w:vAlign w:val="center"/>
          </w:tcPr>
          <w:p w14:paraId="0522723F"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w:t>
            </w:r>
          </w:p>
        </w:tc>
        <w:tc>
          <w:tcPr>
            <w:tcW w:w="990" w:type="dxa"/>
            <w:vAlign w:val="center"/>
          </w:tcPr>
          <w:p w14:paraId="15859329"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150</w:t>
            </w:r>
          </w:p>
        </w:tc>
        <w:tc>
          <w:tcPr>
            <w:tcW w:w="990" w:type="dxa"/>
            <w:vAlign w:val="center"/>
          </w:tcPr>
          <w:p w14:paraId="406B4F2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627628" w:rsidRPr="004B2A73" w14:paraId="5C670077" w14:textId="77777777" w:rsidTr="004C4D36">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705" w:type="dxa"/>
          </w:tcPr>
          <w:p w14:paraId="1EBCB865" w14:textId="77777777" w:rsidR="00627628" w:rsidRPr="004B2A73" w:rsidRDefault="00627628" w:rsidP="004C4D36">
            <w:pPr>
              <w:rPr>
                <w:rFonts w:ascii="Calibri" w:hAnsi="Calibri"/>
              </w:rPr>
            </w:pPr>
            <w:r w:rsidRPr="004B2A73">
              <w:rPr>
                <w:rFonts w:ascii="Calibri" w:hAnsi="Calibri"/>
              </w:rPr>
              <w:t>Freetown</w:t>
            </w:r>
          </w:p>
        </w:tc>
        <w:tc>
          <w:tcPr>
            <w:tcW w:w="1080" w:type="dxa"/>
            <w:vAlign w:val="center"/>
          </w:tcPr>
          <w:p w14:paraId="48FACB3D"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707</w:t>
            </w:r>
          </w:p>
        </w:tc>
        <w:tc>
          <w:tcPr>
            <w:tcW w:w="1350" w:type="dxa"/>
            <w:vAlign w:val="center"/>
          </w:tcPr>
          <w:p w14:paraId="5853C71D"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w:t>
            </w:r>
          </w:p>
        </w:tc>
        <w:tc>
          <w:tcPr>
            <w:tcW w:w="1260" w:type="dxa"/>
            <w:vAlign w:val="center"/>
          </w:tcPr>
          <w:p w14:paraId="210A893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w:t>
            </w:r>
          </w:p>
        </w:tc>
        <w:tc>
          <w:tcPr>
            <w:tcW w:w="990" w:type="dxa"/>
            <w:vAlign w:val="center"/>
          </w:tcPr>
          <w:p w14:paraId="2C3EC91D"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None</w:t>
            </w:r>
          </w:p>
        </w:tc>
        <w:tc>
          <w:tcPr>
            <w:tcW w:w="900" w:type="dxa"/>
            <w:vAlign w:val="center"/>
          </w:tcPr>
          <w:p w14:paraId="7FB637F8"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w:t>
            </w:r>
          </w:p>
        </w:tc>
        <w:tc>
          <w:tcPr>
            <w:tcW w:w="900" w:type="dxa"/>
            <w:vAlign w:val="center"/>
          </w:tcPr>
          <w:p w14:paraId="0C8E2E84"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9</w:t>
            </w:r>
          </w:p>
        </w:tc>
        <w:tc>
          <w:tcPr>
            <w:tcW w:w="1080" w:type="dxa"/>
            <w:vAlign w:val="center"/>
          </w:tcPr>
          <w:p w14:paraId="459B3686"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0" w:type="dxa"/>
            <w:vAlign w:val="center"/>
          </w:tcPr>
          <w:p w14:paraId="6E8791D6"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4.8</w:t>
            </w:r>
          </w:p>
        </w:tc>
        <w:tc>
          <w:tcPr>
            <w:tcW w:w="990" w:type="dxa"/>
            <w:vAlign w:val="center"/>
          </w:tcPr>
          <w:p w14:paraId="61F2B2CE"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150</w:t>
            </w:r>
          </w:p>
        </w:tc>
        <w:tc>
          <w:tcPr>
            <w:tcW w:w="990" w:type="dxa"/>
            <w:vAlign w:val="center"/>
          </w:tcPr>
          <w:p w14:paraId="36C2709D"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627628" w:rsidRPr="004B2A73" w14:paraId="66C10C8A" w14:textId="77777777" w:rsidTr="004C4D36">
        <w:trPr>
          <w:trHeight w:val="261"/>
          <w:jc w:val="center"/>
        </w:trPr>
        <w:tc>
          <w:tcPr>
            <w:cnfStyle w:val="001000000000" w:firstRow="0" w:lastRow="0" w:firstColumn="1" w:lastColumn="0" w:oddVBand="0" w:evenVBand="0" w:oddHBand="0" w:evenHBand="0" w:firstRowFirstColumn="0" w:firstRowLastColumn="0" w:lastRowFirstColumn="0" w:lastRowLastColumn="0"/>
            <w:tcW w:w="1705" w:type="dxa"/>
          </w:tcPr>
          <w:p w14:paraId="7689AF5E" w14:textId="77777777" w:rsidR="00627628" w:rsidRPr="004B2A73" w:rsidRDefault="00627628" w:rsidP="004C4D36">
            <w:pPr>
              <w:rPr>
                <w:rFonts w:ascii="Calibri" w:hAnsi="Calibri"/>
              </w:rPr>
            </w:pPr>
            <w:r w:rsidRPr="004B2A73">
              <w:rPr>
                <w:rFonts w:ascii="Calibri" w:hAnsi="Calibri"/>
              </w:rPr>
              <w:t>Monrovia</w:t>
            </w:r>
          </w:p>
        </w:tc>
        <w:tc>
          <w:tcPr>
            <w:tcW w:w="1080" w:type="dxa"/>
            <w:vAlign w:val="center"/>
          </w:tcPr>
          <w:p w14:paraId="1B1996B2"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600</w:t>
            </w:r>
          </w:p>
        </w:tc>
        <w:tc>
          <w:tcPr>
            <w:tcW w:w="1350" w:type="dxa"/>
            <w:vAlign w:val="center"/>
          </w:tcPr>
          <w:p w14:paraId="3FB6F3B8"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7.5 - 11</w:t>
            </w:r>
          </w:p>
        </w:tc>
        <w:tc>
          <w:tcPr>
            <w:tcW w:w="1260" w:type="dxa"/>
            <w:vAlign w:val="center"/>
          </w:tcPr>
          <w:p w14:paraId="68B0B781"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None</w:t>
            </w:r>
          </w:p>
        </w:tc>
        <w:tc>
          <w:tcPr>
            <w:tcW w:w="990" w:type="dxa"/>
            <w:vAlign w:val="center"/>
          </w:tcPr>
          <w:p w14:paraId="5E7CABA6"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None</w:t>
            </w:r>
          </w:p>
        </w:tc>
        <w:tc>
          <w:tcPr>
            <w:tcW w:w="900" w:type="dxa"/>
            <w:vAlign w:val="center"/>
          </w:tcPr>
          <w:p w14:paraId="6FD1ECB3"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None</w:t>
            </w:r>
          </w:p>
        </w:tc>
        <w:tc>
          <w:tcPr>
            <w:tcW w:w="900" w:type="dxa"/>
            <w:vAlign w:val="center"/>
          </w:tcPr>
          <w:p w14:paraId="6372705B"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80" w:type="dxa"/>
            <w:vAlign w:val="center"/>
          </w:tcPr>
          <w:p w14:paraId="384D5177"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13</w:t>
            </w:r>
          </w:p>
        </w:tc>
        <w:tc>
          <w:tcPr>
            <w:tcW w:w="1080" w:type="dxa"/>
            <w:vAlign w:val="center"/>
          </w:tcPr>
          <w:p w14:paraId="093B061F"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0" w:type="dxa"/>
            <w:vAlign w:val="center"/>
          </w:tcPr>
          <w:p w14:paraId="3866761B"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75</w:t>
            </w:r>
          </w:p>
        </w:tc>
        <w:tc>
          <w:tcPr>
            <w:tcW w:w="990" w:type="dxa"/>
            <w:vAlign w:val="center"/>
          </w:tcPr>
          <w:p w14:paraId="4DCDAF0B"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627628" w:rsidRPr="004B2A73" w14:paraId="5F331E75" w14:textId="77777777" w:rsidTr="004C4D3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705" w:type="dxa"/>
          </w:tcPr>
          <w:p w14:paraId="170AF848" w14:textId="77777777" w:rsidR="00627628" w:rsidRPr="004B2A73" w:rsidRDefault="00627628" w:rsidP="004C4D36">
            <w:pPr>
              <w:rPr>
                <w:rFonts w:ascii="Calibri" w:hAnsi="Calibri"/>
              </w:rPr>
            </w:pPr>
            <w:r w:rsidRPr="004B2A73">
              <w:rPr>
                <w:rFonts w:ascii="Calibri" w:hAnsi="Calibri"/>
              </w:rPr>
              <w:t>San Pedro</w:t>
            </w:r>
          </w:p>
        </w:tc>
        <w:tc>
          <w:tcPr>
            <w:tcW w:w="1080" w:type="dxa"/>
            <w:vAlign w:val="center"/>
          </w:tcPr>
          <w:p w14:paraId="1AE39616"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350" w:type="dxa"/>
            <w:vAlign w:val="center"/>
          </w:tcPr>
          <w:p w14:paraId="280178C0"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15</w:t>
            </w:r>
          </w:p>
        </w:tc>
        <w:tc>
          <w:tcPr>
            <w:tcW w:w="1260" w:type="dxa"/>
            <w:vAlign w:val="center"/>
          </w:tcPr>
          <w:p w14:paraId="5B821E69"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29D598F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00" w:type="dxa"/>
            <w:vAlign w:val="center"/>
          </w:tcPr>
          <w:p w14:paraId="025AB22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w:t>
            </w:r>
          </w:p>
        </w:tc>
        <w:tc>
          <w:tcPr>
            <w:tcW w:w="900" w:type="dxa"/>
            <w:vAlign w:val="center"/>
          </w:tcPr>
          <w:p w14:paraId="6C72056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11</w:t>
            </w:r>
          </w:p>
        </w:tc>
        <w:tc>
          <w:tcPr>
            <w:tcW w:w="1080" w:type="dxa"/>
            <w:vAlign w:val="center"/>
          </w:tcPr>
          <w:p w14:paraId="6D46C5FE"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5 (23 planned)</w:t>
            </w:r>
          </w:p>
        </w:tc>
        <w:tc>
          <w:tcPr>
            <w:tcW w:w="1080" w:type="dxa"/>
            <w:vAlign w:val="center"/>
          </w:tcPr>
          <w:p w14:paraId="4F26963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165E6A78"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330</w:t>
            </w:r>
          </w:p>
        </w:tc>
        <w:tc>
          <w:tcPr>
            <w:tcW w:w="990" w:type="dxa"/>
            <w:vAlign w:val="center"/>
          </w:tcPr>
          <w:p w14:paraId="3F273BEF"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720</w:t>
            </w:r>
          </w:p>
        </w:tc>
      </w:tr>
      <w:tr w:rsidR="00627628" w:rsidRPr="004B2A73" w14:paraId="1C611604" w14:textId="77777777" w:rsidTr="004C4D36">
        <w:trPr>
          <w:trHeight w:val="537"/>
          <w:jc w:val="center"/>
        </w:trPr>
        <w:tc>
          <w:tcPr>
            <w:cnfStyle w:val="001000000000" w:firstRow="0" w:lastRow="0" w:firstColumn="1" w:lastColumn="0" w:oddVBand="0" w:evenVBand="0" w:oddHBand="0" w:evenHBand="0" w:firstRowFirstColumn="0" w:firstRowLastColumn="0" w:lastRowFirstColumn="0" w:lastRowLastColumn="0"/>
            <w:tcW w:w="1705" w:type="dxa"/>
          </w:tcPr>
          <w:p w14:paraId="47245827" w14:textId="77777777" w:rsidR="00627628" w:rsidRPr="004B2A73" w:rsidRDefault="00627628" w:rsidP="004C4D36">
            <w:pPr>
              <w:rPr>
                <w:rFonts w:ascii="Calibri" w:hAnsi="Calibri"/>
              </w:rPr>
            </w:pPr>
            <w:r w:rsidRPr="004B2A73">
              <w:rPr>
                <w:rFonts w:ascii="Calibri" w:hAnsi="Calibri"/>
              </w:rPr>
              <w:t>Abidjan - SETV</w:t>
            </w:r>
          </w:p>
        </w:tc>
        <w:tc>
          <w:tcPr>
            <w:tcW w:w="1080" w:type="dxa"/>
            <w:vAlign w:val="center"/>
          </w:tcPr>
          <w:p w14:paraId="5856AE5A"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1,000</w:t>
            </w:r>
          </w:p>
        </w:tc>
        <w:tc>
          <w:tcPr>
            <w:tcW w:w="1350" w:type="dxa"/>
            <w:vAlign w:val="center"/>
          </w:tcPr>
          <w:p w14:paraId="106B98E7"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11.5-12.5</w:t>
            </w:r>
          </w:p>
        </w:tc>
        <w:tc>
          <w:tcPr>
            <w:tcW w:w="1260" w:type="dxa"/>
            <w:vAlign w:val="center"/>
          </w:tcPr>
          <w:p w14:paraId="0AD5801B"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w:t>
            </w:r>
          </w:p>
        </w:tc>
        <w:tc>
          <w:tcPr>
            <w:tcW w:w="990" w:type="dxa"/>
            <w:vAlign w:val="center"/>
          </w:tcPr>
          <w:p w14:paraId="3BA04966"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16</w:t>
            </w:r>
          </w:p>
        </w:tc>
        <w:tc>
          <w:tcPr>
            <w:tcW w:w="900" w:type="dxa"/>
            <w:vAlign w:val="center"/>
          </w:tcPr>
          <w:p w14:paraId="0F2CB3BC"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w:t>
            </w:r>
          </w:p>
        </w:tc>
        <w:tc>
          <w:tcPr>
            <w:tcW w:w="900" w:type="dxa"/>
            <w:vAlign w:val="center"/>
          </w:tcPr>
          <w:p w14:paraId="40F7F96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12</w:t>
            </w:r>
          </w:p>
        </w:tc>
        <w:tc>
          <w:tcPr>
            <w:tcW w:w="1080" w:type="dxa"/>
            <w:vAlign w:val="center"/>
          </w:tcPr>
          <w:p w14:paraId="0428CB67"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34</w:t>
            </w:r>
          </w:p>
        </w:tc>
        <w:tc>
          <w:tcPr>
            <w:tcW w:w="1080" w:type="dxa"/>
            <w:vAlign w:val="center"/>
          </w:tcPr>
          <w:p w14:paraId="2C0FEB1D"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20</w:t>
            </w:r>
          </w:p>
        </w:tc>
        <w:tc>
          <w:tcPr>
            <w:tcW w:w="990" w:type="dxa"/>
            <w:vAlign w:val="center"/>
          </w:tcPr>
          <w:p w14:paraId="79BB6FF4"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1,500</w:t>
            </w:r>
          </w:p>
        </w:tc>
        <w:tc>
          <w:tcPr>
            <w:tcW w:w="990" w:type="dxa"/>
            <w:vAlign w:val="center"/>
          </w:tcPr>
          <w:p w14:paraId="26C2DB3A"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627628" w:rsidRPr="004B2A73" w14:paraId="1616B9B5" w14:textId="77777777" w:rsidTr="004C4D36">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705" w:type="dxa"/>
          </w:tcPr>
          <w:p w14:paraId="5396580A" w14:textId="77777777" w:rsidR="00627628" w:rsidRPr="004B2A73" w:rsidRDefault="00627628" w:rsidP="004C4D36">
            <w:pPr>
              <w:rPr>
                <w:rFonts w:ascii="Calibri" w:hAnsi="Calibri"/>
              </w:rPr>
            </w:pPr>
            <w:r w:rsidRPr="004B2A73">
              <w:rPr>
                <w:rFonts w:ascii="Calibri" w:hAnsi="Calibri"/>
              </w:rPr>
              <w:t>Abidjan - TC2</w:t>
            </w:r>
            <w:r w:rsidRPr="004B2A73">
              <w:rPr>
                <w:rFonts w:ascii="Calibri" w:hAnsi="Calibri"/>
                <w:lang w:val="fr-FR"/>
              </w:rPr>
              <w:t xml:space="preserve"> (project)</w:t>
            </w:r>
          </w:p>
        </w:tc>
        <w:tc>
          <w:tcPr>
            <w:tcW w:w="1080" w:type="dxa"/>
            <w:vAlign w:val="center"/>
          </w:tcPr>
          <w:p w14:paraId="49BC6780"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1,100</w:t>
            </w:r>
          </w:p>
        </w:tc>
        <w:tc>
          <w:tcPr>
            <w:tcW w:w="1350" w:type="dxa"/>
            <w:vAlign w:val="center"/>
          </w:tcPr>
          <w:p w14:paraId="5BDB7A9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18</w:t>
            </w:r>
          </w:p>
        </w:tc>
        <w:tc>
          <w:tcPr>
            <w:tcW w:w="1260" w:type="dxa"/>
            <w:vAlign w:val="center"/>
          </w:tcPr>
          <w:p w14:paraId="0DFB75B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9</w:t>
            </w:r>
          </w:p>
        </w:tc>
        <w:tc>
          <w:tcPr>
            <w:tcW w:w="990" w:type="dxa"/>
            <w:vAlign w:val="center"/>
          </w:tcPr>
          <w:p w14:paraId="02E07695"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26</w:t>
            </w:r>
          </w:p>
        </w:tc>
        <w:tc>
          <w:tcPr>
            <w:tcW w:w="900" w:type="dxa"/>
            <w:vAlign w:val="center"/>
          </w:tcPr>
          <w:p w14:paraId="7831D7F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00" w:type="dxa"/>
            <w:vAlign w:val="center"/>
          </w:tcPr>
          <w:p w14:paraId="2B371486"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0" w:type="dxa"/>
            <w:vAlign w:val="center"/>
          </w:tcPr>
          <w:p w14:paraId="7B1B118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37.5</w:t>
            </w:r>
          </w:p>
        </w:tc>
        <w:tc>
          <w:tcPr>
            <w:tcW w:w="1080" w:type="dxa"/>
            <w:vAlign w:val="center"/>
          </w:tcPr>
          <w:p w14:paraId="587D22E4"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53B0688F"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2,100</w:t>
            </w:r>
          </w:p>
        </w:tc>
        <w:tc>
          <w:tcPr>
            <w:tcW w:w="990" w:type="dxa"/>
            <w:vAlign w:val="center"/>
          </w:tcPr>
          <w:p w14:paraId="31A806B9"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627628" w:rsidRPr="004B2A73" w14:paraId="3BCCB52B" w14:textId="77777777" w:rsidTr="004C4D36">
        <w:trPr>
          <w:trHeight w:val="512"/>
          <w:jc w:val="center"/>
        </w:trPr>
        <w:tc>
          <w:tcPr>
            <w:cnfStyle w:val="001000000000" w:firstRow="0" w:lastRow="0" w:firstColumn="1" w:lastColumn="0" w:oddVBand="0" w:evenVBand="0" w:oddHBand="0" w:evenHBand="0" w:firstRowFirstColumn="0" w:firstRowLastColumn="0" w:lastRowFirstColumn="0" w:lastRowLastColumn="0"/>
            <w:tcW w:w="1705" w:type="dxa"/>
          </w:tcPr>
          <w:p w14:paraId="00DF07B6" w14:textId="77777777" w:rsidR="00627628" w:rsidRPr="004B2A73" w:rsidRDefault="00627628" w:rsidP="004C4D36">
            <w:pPr>
              <w:rPr>
                <w:rFonts w:ascii="Calibri" w:hAnsi="Calibri"/>
              </w:rPr>
            </w:pPr>
            <w:r w:rsidRPr="004B2A73">
              <w:rPr>
                <w:rFonts w:ascii="Calibri" w:hAnsi="Calibri"/>
              </w:rPr>
              <w:t>Takoradi</w:t>
            </w:r>
          </w:p>
        </w:tc>
        <w:tc>
          <w:tcPr>
            <w:tcW w:w="1080" w:type="dxa"/>
            <w:vAlign w:val="center"/>
          </w:tcPr>
          <w:p w14:paraId="07377204"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190</w:t>
            </w:r>
          </w:p>
        </w:tc>
        <w:tc>
          <w:tcPr>
            <w:tcW w:w="1350" w:type="dxa"/>
            <w:vAlign w:val="center"/>
          </w:tcPr>
          <w:p w14:paraId="751DACF6"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9</w:t>
            </w:r>
          </w:p>
        </w:tc>
        <w:tc>
          <w:tcPr>
            <w:tcW w:w="1260" w:type="dxa"/>
            <w:vAlign w:val="center"/>
          </w:tcPr>
          <w:p w14:paraId="0E8156D7"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0" w:type="dxa"/>
            <w:vAlign w:val="center"/>
          </w:tcPr>
          <w:p w14:paraId="12ED1C8C"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00" w:type="dxa"/>
            <w:vAlign w:val="center"/>
          </w:tcPr>
          <w:p w14:paraId="2D6CE14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00" w:type="dxa"/>
            <w:vAlign w:val="center"/>
          </w:tcPr>
          <w:p w14:paraId="450C3AE3"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80" w:type="dxa"/>
            <w:vAlign w:val="center"/>
          </w:tcPr>
          <w:p w14:paraId="013BF03C"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28</w:t>
            </w:r>
          </w:p>
        </w:tc>
        <w:tc>
          <w:tcPr>
            <w:tcW w:w="1080" w:type="dxa"/>
            <w:vAlign w:val="center"/>
          </w:tcPr>
          <w:p w14:paraId="737BD222"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20</w:t>
            </w:r>
          </w:p>
        </w:tc>
        <w:tc>
          <w:tcPr>
            <w:tcW w:w="990" w:type="dxa"/>
            <w:vAlign w:val="center"/>
          </w:tcPr>
          <w:p w14:paraId="70396639"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200</w:t>
            </w:r>
          </w:p>
        </w:tc>
        <w:tc>
          <w:tcPr>
            <w:tcW w:w="990" w:type="dxa"/>
            <w:vAlign w:val="center"/>
          </w:tcPr>
          <w:p w14:paraId="65139875"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627628" w:rsidRPr="004B2A73" w14:paraId="1C05E396" w14:textId="77777777" w:rsidTr="004C4D36">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705" w:type="dxa"/>
          </w:tcPr>
          <w:p w14:paraId="374F0558" w14:textId="77777777" w:rsidR="00627628" w:rsidRPr="004B2A73" w:rsidRDefault="00627628" w:rsidP="004C4D36">
            <w:pPr>
              <w:rPr>
                <w:rFonts w:ascii="Calibri" w:hAnsi="Calibri"/>
              </w:rPr>
            </w:pPr>
            <w:r w:rsidRPr="004B2A73">
              <w:rPr>
                <w:rFonts w:ascii="Calibri" w:hAnsi="Calibri"/>
              </w:rPr>
              <w:t>Tema</w:t>
            </w:r>
          </w:p>
        </w:tc>
        <w:tc>
          <w:tcPr>
            <w:tcW w:w="1080" w:type="dxa"/>
            <w:vAlign w:val="center"/>
          </w:tcPr>
          <w:p w14:paraId="6D8CC8D3"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575</w:t>
            </w:r>
          </w:p>
        </w:tc>
        <w:tc>
          <w:tcPr>
            <w:tcW w:w="1350" w:type="dxa"/>
            <w:vAlign w:val="center"/>
          </w:tcPr>
          <w:p w14:paraId="4D0127E9"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11.5</w:t>
            </w:r>
          </w:p>
        </w:tc>
        <w:tc>
          <w:tcPr>
            <w:tcW w:w="1260" w:type="dxa"/>
            <w:vAlign w:val="center"/>
          </w:tcPr>
          <w:p w14:paraId="4064E6C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5</w:t>
            </w:r>
          </w:p>
        </w:tc>
        <w:tc>
          <w:tcPr>
            <w:tcW w:w="990" w:type="dxa"/>
            <w:vAlign w:val="center"/>
          </w:tcPr>
          <w:p w14:paraId="79F6C8B8"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13</w:t>
            </w:r>
          </w:p>
        </w:tc>
        <w:tc>
          <w:tcPr>
            <w:tcW w:w="900" w:type="dxa"/>
            <w:vAlign w:val="center"/>
          </w:tcPr>
          <w:p w14:paraId="0B7F25E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w:t>
            </w:r>
          </w:p>
        </w:tc>
        <w:tc>
          <w:tcPr>
            <w:tcW w:w="900" w:type="dxa"/>
            <w:vAlign w:val="center"/>
          </w:tcPr>
          <w:p w14:paraId="27DE7194"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23</w:t>
            </w:r>
          </w:p>
        </w:tc>
        <w:tc>
          <w:tcPr>
            <w:tcW w:w="1080" w:type="dxa"/>
            <w:vAlign w:val="center"/>
          </w:tcPr>
          <w:p w14:paraId="1BB80000"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 (+3 ICDs)</w:t>
            </w:r>
          </w:p>
        </w:tc>
        <w:tc>
          <w:tcPr>
            <w:tcW w:w="1080" w:type="dxa"/>
            <w:vAlign w:val="center"/>
          </w:tcPr>
          <w:p w14:paraId="7CE4D38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20</w:t>
            </w:r>
          </w:p>
        </w:tc>
        <w:tc>
          <w:tcPr>
            <w:tcW w:w="990" w:type="dxa"/>
            <w:vAlign w:val="center"/>
          </w:tcPr>
          <w:p w14:paraId="719469A3"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1,000</w:t>
            </w:r>
          </w:p>
        </w:tc>
        <w:tc>
          <w:tcPr>
            <w:tcW w:w="990" w:type="dxa"/>
            <w:vAlign w:val="center"/>
          </w:tcPr>
          <w:p w14:paraId="65A59304"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3,500</w:t>
            </w:r>
          </w:p>
        </w:tc>
      </w:tr>
      <w:tr w:rsidR="00627628" w:rsidRPr="004B2A73" w14:paraId="591758EE" w14:textId="77777777" w:rsidTr="004C4D36">
        <w:trPr>
          <w:trHeight w:val="1075"/>
          <w:jc w:val="center"/>
        </w:trPr>
        <w:tc>
          <w:tcPr>
            <w:cnfStyle w:val="001000000000" w:firstRow="0" w:lastRow="0" w:firstColumn="1" w:lastColumn="0" w:oddVBand="0" w:evenVBand="0" w:oddHBand="0" w:evenHBand="0" w:firstRowFirstColumn="0" w:firstRowLastColumn="0" w:lastRowFirstColumn="0" w:lastRowLastColumn="0"/>
            <w:tcW w:w="1705" w:type="dxa"/>
          </w:tcPr>
          <w:p w14:paraId="28F8B0E2" w14:textId="77777777" w:rsidR="00627628" w:rsidRPr="004B2A73" w:rsidRDefault="00627628" w:rsidP="004C4D36">
            <w:pPr>
              <w:rPr>
                <w:rFonts w:ascii="Calibri" w:hAnsi="Calibri"/>
              </w:rPr>
            </w:pPr>
            <w:r w:rsidRPr="004B2A73">
              <w:rPr>
                <w:rFonts w:ascii="Calibri" w:hAnsi="Calibri"/>
              </w:rPr>
              <w:t>Lomé - Togo Terminal</w:t>
            </w:r>
          </w:p>
        </w:tc>
        <w:tc>
          <w:tcPr>
            <w:tcW w:w="1080" w:type="dxa"/>
            <w:vAlign w:val="center"/>
          </w:tcPr>
          <w:p w14:paraId="67A69B33"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920</w:t>
            </w:r>
          </w:p>
        </w:tc>
        <w:tc>
          <w:tcPr>
            <w:tcW w:w="1350" w:type="dxa"/>
            <w:vAlign w:val="center"/>
          </w:tcPr>
          <w:p w14:paraId="7D9CF034"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w:t>
            </w:r>
          </w:p>
        </w:tc>
        <w:tc>
          <w:tcPr>
            <w:tcW w:w="1260" w:type="dxa"/>
            <w:vAlign w:val="center"/>
          </w:tcPr>
          <w:p w14:paraId="08B804B0"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 (5 planned)</w:t>
            </w:r>
          </w:p>
        </w:tc>
        <w:tc>
          <w:tcPr>
            <w:tcW w:w="990" w:type="dxa"/>
            <w:vAlign w:val="center"/>
          </w:tcPr>
          <w:p w14:paraId="169888EA"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4</w:t>
            </w:r>
          </w:p>
        </w:tc>
        <w:tc>
          <w:tcPr>
            <w:tcW w:w="900" w:type="dxa"/>
            <w:vAlign w:val="center"/>
          </w:tcPr>
          <w:p w14:paraId="74C93C97"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w:t>
            </w:r>
          </w:p>
        </w:tc>
        <w:tc>
          <w:tcPr>
            <w:tcW w:w="900" w:type="dxa"/>
            <w:vAlign w:val="center"/>
          </w:tcPr>
          <w:p w14:paraId="672666E9"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19</w:t>
            </w:r>
          </w:p>
        </w:tc>
        <w:tc>
          <w:tcPr>
            <w:tcW w:w="1080" w:type="dxa"/>
            <w:vAlign w:val="center"/>
          </w:tcPr>
          <w:p w14:paraId="4746F4CD"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38</w:t>
            </w:r>
          </w:p>
        </w:tc>
        <w:tc>
          <w:tcPr>
            <w:tcW w:w="1080" w:type="dxa"/>
            <w:vAlign w:val="center"/>
          </w:tcPr>
          <w:p w14:paraId="082A357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w:t>
            </w:r>
          </w:p>
        </w:tc>
        <w:tc>
          <w:tcPr>
            <w:tcW w:w="990" w:type="dxa"/>
            <w:vAlign w:val="center"/>
          </w:tcPr>
          <w:p w14:paraId="5652CE28"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350</w:t>
            </w:r>
          </w:p>
        </w:tc>
        <w:tc>
          <w:tcPr>
            <w:tcW w:w="990" w:type="dxa"/>
            <w:vAlign w:val="center"/>
          </w:tcPr>
          <w:p w14:paraId="41BBB4E4"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1,200</w:t>
            </w:r>
          </w:p>
        </w:tc>
      </w:tr>
      <w:tr w:rsidR="00627628" w:rsidRPr="004B2A73" w14:paraId="064D9930" w14:textId="77777777" w:rsidTr="004C4D36">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705" w:type="dxa"/>
          </w:tcPr>
          <w:p w14:paraId="6FBB94F3" w14:textId="77777777" w:rsidR="00627628" w:rsidRPr="004B2A73" w:rsidRDefault="00627628" w:rsidP="004C4D36">
            <w:pPr>
              <w:rPr>
                <w:rFonts w:ascii="Calibri" w:hAnsi="Calibri"/>
              </w:rPr>
            </w:pPr>
            <w:r w:rsidRPr="004B2A73">
              <w:rPr>
                <w:rFonts w:ascii="Calibri" w:hAnsi="Calibri"/>
              </w:rPr>
              <w:t>Lomé – LCT</w:t>
            </w:r>
          </w:p>
        </w:tc>
        <w:tc>
          <w:tcPr>
            <w:tcW w:w="1080" w:type="dxa"/>
            <w:vAlign w:val="center"/>
          </w:tcPr>
          <w:p w14:paraId="0A4E1D1A"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1,050</w:t>
            </w:r>
          </w:p>
        </w:tc>
        <w:tc>
          <w:tcPr>
            <w:tcW w:w="1350" w:type="dxa"/>
            <w:vAlign w:val="center"/>
          </w:tcPr>
          <w:p w14:paraId="71BF146E"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16.6</w:t>
            </w:r>
          </w:p>
        </w:tc>
        <w:tc>
          <w:tcPr>
            <w:tcW w:w="1260" w:type="dxa"/>
            <w:vAlign w:val="center"/>
          </w:tcPr>
          <w:p w14:paraId="4A7FC3AF"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6 (12 planned)</w:t>
            </w:r>
          </w:p>
        </w:tc>
        <w:tc>
          <w:tcPr>
            <w:tcW w:w="990" w:type="dxa"/>
            <w:vAlign w:val="center"/>
          </w:tcPr>
          <w:p w14:paraId="2282F701"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12 (22 planned)</w:t>
            </w:r>
          </w:p>
        </w:tc>
        <w:tc>
          <w:tcPr>
            <w:tcW w:w="900" w:type="dxa"/>
            <w:vAlign w:val="center"/>
          </w:tcPr>
          <w:p w14:paraId="154AA075"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00" w:type="dxa"/>
            <w:vAlign w:val="center"/>
          </w:tcPr>
          <w:p w14:paraId="6AFA59B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0" w:type="dxa"/>
            <w:vAlign w:val="center"/>
          </w:tcPr>
          <w:p w14:paraId="215141BD"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54</w:t>
            </w:r>
          </w:p>
        </w:tc>
        <w:tc>
          <w:tcPr>
            <w:tcW w:w="1080" w:type="dxa"/>
            <w:vAlign w:val="center"/>
          </w:tcPr>
          <w:p w14:paraId="4553AB3A"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35DCB96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6FC2268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2,200</w:t>
            </w:r>
          </w:p>
        </w:tc>
      </w:tr>
      <w:tr w:rsidR="00627628" w:rsidRPr="004B2A73" w14:paraId="0AD229BA" w14:textId="77777777" w:rsidTr="004C4D36">
        <w:trPr>
          <w:trHeight w:val="70"/>
          <w:jc w:val="center"/>
        </w:trPr>
        <w:tc>
          <w:tcPr>
            <w:cnfStyle w:val="001000000000" w:firstRow="0" w:lastRow="0" w:firstColumn="1" w:lastColumn="0" w:oddVBand="0" w:evenVBand="0" w:oddHBand="0" w:evenHBand="0" w:firstRowFirstColumn="0" w:firstRowLastColumn="0" w:lastRowFirstColumn="0" w:lastRowLastColumn="0"/>
            <w:tcW w:w="1705" w:type="dxa"/>
          </w:tcPr>
          <w:p w14:paraId="69FA6F1F" w14:textId="77777777" w:rsidR="00627628" w:rsidRPr="004B2A73" w:rsidRDefault="00627628" w:rsidP="004C4D36">
            <w:pPr>
              <w:rPr>
                <w:rFonts w:ascii="Calibri" w:hAnsi="Calibri"/>
              </w:rPr>
            </w:pPr>
            <w:r w:rsidRPr="004B2A73">
              <w:rPr>
                <w:rFonts w:ascii="Calibri" w:hAnsi="Calibri"/>
              </w:rPr>
              <w:t>Cotonou - Bénin Terminal</w:t>
            </w:r>
          </w:p>
        </w:tc>
        <w:tc>
          <w:tcPr>
            <w:tcW w:w="1080" w:type="dxa"/>
            <w:vAlign w:val="center"/>
          </w:tcPr>
          <w:p w14:paraId="4785EA4D"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540</w:t>
            </w:r>
          </w:p>
        </w:tc>
        <w:tc>
          <w:tcPr>
            <w:tcW w:w="1350" w:type="dxa"/>
            <w:vAlign w:val="center"/>
          </w:tcPr>
          <w:p w14:paraId="777A7758"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13.5 - 15</w:t>
            </w:r>
          </w:p>
        </w:tc>
        <w:tc>
          <w:tcPr>
            <w:tcW w:w="1260" w:type="dxa"/>
            <w:vAlign w:val="center"/>
          </w:tcPr>
          <w:p w14:paraId="30414FF9"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4</w:t>
            </w:r>
          </w:p>
        </w:tc>
        <w:tc>
          <w:tcPr>
            <w:tcW w:w="990" w:type="dxa"/>
            <w:vAlign w:val="center"/>
          </w:tcPr>
          <w:p w14:paraId="54A5D79A"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w:t>
            </w:r>
          </w:p>
        </w:tc>
        <w:tc>
          <w:tcPr>
            <w:tcW w:w="900" w:type="dxa"/>
            <w:vAlign w:val="center"/>
          </w:tcPr>
          <w:p w14:paraId="794D081B"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w:t>
            </w:r>
          </w:p>
        </w:tc>
        <w:tc>
          <w:tcPr>
            <w:tcW w:w="900" w:type="dxa"/>
            <w:vAlign w:val="center"/>
          </w:tcPr>
          <w:p w14:paraId="1B3CF9DC"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w:t>
            </w:r>
          </w:p>
        </w:tc>
        <w:tc>
          <w:tcPr>
            <w:tcW w:w="1080" w:type="dxa"/>
            <w:vAlign w:val="center"/>
          </w:tcPr>
          <w:p w14:paraId="0D4A1EC1"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20 (+20 planned)</w:t>
            </w:r>
          </w:p>
        </w:tc>
        <w:tc>
          <w:tcPr>
            <w:tcW w:w="1080" w:type="dxa"/>
            <w:vAlign w:val="center"/>
          </w:tcPr>
          <w:p w14:paraId="6F8A7D92"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15</w:t>
            </w:r>
          </w:p>
        </w:tc>
        <w:tc>
          <w:tcPr>
            <w:tcW w:w="990" w:type="dxa"/>
            <w:vAlign w:val="center"/>
          </w:tcPr>
          <w:p w14:paraId="2F00315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0" w:type="dxa"/>
            <w:vAlign w:val="center"/>
          </w:tcPr>
          <w:p w14:paraId="3572A935"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627628" w:rsidRPr="004B2A73" w14:paraId="62B2DB9F" w14:textId="77777777" w:rsidTr="004C4D3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705" w:type="dxa"/>
          </w:tcPr>
          <w:p w14:paraId="3B978562" w14:textId="77777777" w:rsidR="00627628" w:rsidRPr="004B2A73" w:rsidRDefault="00627628" w:rsidP="004C4D36">
            <w:pPr>
              <w:rPr>
                <w:rFonts w:ascii="Calibri" w:hAnsi="Calibri"/>
              </w:rPr>
            </w:pPr>
            <w:r w:rsidRPr="004B2A73">
              <w:rPr>
                <w:rFonts w:ascii="Calibri" w:hAnsi="Calibri"/>
              </w:rPr>
              <w:t xml:space="preserve">Badagry </w:t>
            </w:r>
            <w:r w:rsidRPr="004B2A73">
              <w:rPr>
                <w:rFonts w:ascii="Calibri" w:hAnsi="Calibri"/>
                <w:lang w:val="fr-FR"/>
              </w:rPr>
              <w:t>(project)</w:t>
            </w:r>
          </w:p>
        </w:tc>
        <w:tc>
          <w:tcPr>
            <w:tcW w:w="1080" w:type="dxa"/>
            <w:vAlign w:val="center"/>
          </w:tcPr>
          <w:p w14:paraId="3EE4DF03"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775 (2,600 final phase)</w:t>
            </w:r>
          </w:p>
        </w:tc>
        <w:tc>
          <w:tcPr>
            <w:tcW w:w="1350" w:type="dxa"/>
            <w:vAlign w:val="center"/>
          </w:tcPr>
          <w:p w14:paraId="6D4C4AD5"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14.5 - 17</w:t>
            </w:r>
          </w:p>
        </w:tc>
        <w:tc>
          <w:tcPr>
            <w:tcW w:w="1260" w:type="dxa"/>
            <w:vAlign w:val="center"/>
          </w:tcPr>
          <w:p w14:paraId="22DFB7EE"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7B9FE453"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00" w:type="dxa"/>
            <w:vAlign w:val="center"/>
          </w:tcPr>
          <w:p w14:paraId="40072D34"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00" w:type="dxa"/>
            <w:vAlign w:val="center"/>
          </w:tcPr>
          <w:p w14:paraId="6E5DF0D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0" w:type="dxa"/>
            <w:vAlign w:val="center"/>
          </w:tcPr>
          <w:p w14:paraId="24ED56DA"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46 (149 final phase)</w:t>
            </w:r>
          </w:p>
        </w:tc>
        <w:tc>
          <w:tcPr>
            <w:tcW w:w="1080" w:type="dxa"/>
            <w:vAlign w:val="center"/>
          </w:tcPr>
          <w:p w14:paraId="4029AEA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1A1E251F"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vAlign w:val="center"/>
          </w:tcPr>
          <w:p w14:paraId="1182D1AF"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1,800 to 2,000</w:t>
            </w:r>
          </w:p>
        </w:tc>
      </w:tr>
      <w:tr w:rsidR="00627628" w:rsidRPr="004B2A73" w14:paraId="3267CD43" w14:textId="77777777" w:rsidTr="004C4D36">
        <w:trPr>
          <w:trHeight w:val="332"/>
          <w:jc w:val="center"/>
        </w:trPr>
        <w:tc>
          <w:tcPr>
            <w:cnfStyle w:val="001000000000" w:firstRow="0" w:lastRow="0" w:firstColumn="1" w:lastColumn="0" w:oddVBand="0" w:evenVBand="0" w:oddHBand="0" w:evenHBand="0" w:firstRowFirstColumn="0" w:firstRowLastColumn="0" w:lastRowFirstColumn="0" w:lastRowLastColumn="0"/>
            <w:tcW w:w="1705" w:type="dxa"/>
          </w:tcPr>
          <w:p w14:paraId="02A053AF" w14:textId="77777777" w:rsidR="00627628" w:rsidRPr="004B2A73" w:rsidRDefault="00627628" w:rsidP="004C4D36">
            <w:pPr>
              <w:rPr>
                <w:rFonts w:ascii="Calibri" w:hAnsi="Calibri"/>
              </w:rPr>
            </w:pPr>
            <w:r w:rsidRPr="004B2A73">
              <w:rPr>
                <w:rFonts w:ascii="Calibri" w:hAnsi="Calibri"/>
              </w:rPr>
              <w:t>Lagos – Apapa</w:t>
            </w:r>
          </w:p>
        </w:tc>
        <w:tc>
          <w:tcPr>
            <w:tcW w:w="1080" w:type="dxa"/>
            <w:vAlign w:val="center"/>
          </w:tcPr>
          <w:p w14:paraId="5BB709C9"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1,005</w:t>
            </w:r>
          </w:p>
        </w:tc>
        <w:tc>
          <w:tcPr>
            <w:tcW w:w="1350" w:type="dxa"/>
            <w:vAlign w:val="center"/>
          </w:tcPr>
          <w:p w14:paraId="17FF3A1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12.5</w:t>
            </w:r>
          </w:p>
        </w:tc>
        <w:tc>
          <w:tcPr>
            <w:tcW w:w="1260" w:type="dxa"/>
            <w:vAlign w:val="center"/>
          </w:tcPr>
          <w:p w14:paraId="35655010"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7</w:t>
            </w:r>
          </w:p>
        </w:tc>
        <w:tc>
          <w:tcPr>
            <w:tcW w:w="990" w:type="dxa"/>
            <w:vAlign w:val="center"/>
          </w:tcPr>
          <w:p w14:paraId="0ABD5460"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 (14 planned)</w:t>
            </w:r>
          </w:p>
        </w:tc>
        <w:tc>
          <w:tcPr>
            <w:tcW w:w="900" w:type="dxa"/>
            <w:vAlign w:val="center"/>
          </w:tcPr>
          <w:p w14:paraId="1C5AA332"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00" w:type="dxa"/>
            <w:vAlign w:val="center"/>
          </w:tcPr>
          <w:p w14:paraId="5C33711B"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80" w:type="dxa"/>
            <w:vAlign w:val="center"/>
          </w:tcPr>
          <w:p w14:paraId="3C86FEA3"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55</w:t>
            </w:r>
          </w:p>
        </w:tc>
        <w:tc>
          <w:tcPr>
            <w:tcW w:w="1080" w:type="dxa"/>
            <w:vAlign w:val="center"/>
          </w:tcPr>
          <w:p w14:paraId="21E38749"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32</w:t>
            </w:r>
          </w:p>
        </w:tc>
        <w:tc>
          <w:tcPr>
            <w:tcW w:w="990" w:type="dxa"/>
            <w:vAlign w:val="center"/>
          </w:tcPr>
          <w:p w14:paraId="30C9CDB8"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1,000</w:t>
            </w:r>
          </w:p>
        </w:tc>
        <w:tc>
          <w:tcPr>
            <w:tcW w:w="990" w:type="dxa"/>
            <w:vAlign w:val="center"/>
          </w:tcPr>
          <w:p w14:paraId="48E5C949"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627628" w:rsidRPr="004B2A73" w14:paraId="5394DB54" w14:textId="77777777" w:rsidTr="004C4D3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705" w:type="dxa"/>
          </w:tcPr>
          <w:p w14:paraId="533A51B7" w14:textId="77777777" w:rsidR="00627628" w:rsidRPr="004B2A73" w:rsidRDefault="00627628" w:rsidP="004C4D36">
            <w:pPr>
              <w:rPr>
                <w:rFonts w:ascii="Calibri" w:hAnsi="Calibri"/>
              </w:rPr>
            </w:pPr>
            <w:r w:rsidRPr="004B2A73">
              <w:rPr>
                <w:rFonts w:ascii="Calibri" w:hAnsi="Calibri"/>
              </w:rPr>
              <w:t>Lagos – TICT</w:t>
            </w:r>
          </w:p>
        </w:tc>
        <w:tc>
          <w:tcPr>
            <w:tcW w:w="1080" w:type="dxa"/>
            <w:vAlign w:val="center"/>
          </w:tcPr>
          <w:p w14:paraId="7F5DB32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770</w:t>
            </w:r>
          </w:p>
        </w:tc>
        <w:tc>
          <w:tcPr>
            <w:tcW w:w="1350" w:type="dxa"/>
            <w:vAlign w:val="center"/>
          </w:tcPr>
          <w:p w14:paraId="48AF62B8"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11.5</w:t>
            </w:r>
          </w:p>
        </w:tc>
        <w:tc>
          <w:tcPr>
            <w:tcW w:w="1260" w:type="dxa"/>
            <w:vAlign w:val="center"/>
          </w:tcPr>
          <w:p w14:paraId="0B6B0E7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w:t>
            </w:r>
          </w:p>
        </w:tc>
        <w:tc>
          <w:tcPr>
            <w:tcW w:w="990" w:type="dxa"/>
            <w:vAlign w:val="center"/>
          </w:tcPr>
          <w:p w14:paraId="25172BCC"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12</w:t>
            </w:r>
          </w:p>
        </w:tc>
        <w:tc>
          <w:tcPr>
            <w:tcW w:w="900" w:type="dxa"/>
            <w:vAlign w:val="center"/>
          </w:tcPr>
          <w:p w14:paraId="04F803E9"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9</w:t>
            </w:r>
          </w:p>
        </w:tc>
        <w:tc>
          <w:tcPr>
            <w:tcW w:w="900" w:type="dxa"/>
            <w:vAlign w:val="center"/>
          </w:tcPr>
          <w:p w14:paraId="39BAAA1B"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23</w:t>
            </w:r>
          </w:p>
        </w:tc>
        <w:tc>
          <w:tcPr>
            <w:tcW w:w="1080" w:type="dxa"/>
            <w:vAlign w:val="center"/>
          </w:tcPr>
          <w:p w14:paraId="491CAAF2"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24</w:t>
            </w:r>
          </w:p>
        </w:tc>
        <w:tc>
          <w:tcPr>
            <w:tcW w:w="1080" w:type="dxa"/>
            <w:vAlign w:val="center"/>
          </w:tcPr>
          <w:p w14:paraId="6BD6D749"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20</w:t>
            </w:r>
          </w:p>
        </w:tc>
        <w:tc>
          <w:tcPr>
            <w:tcW w:w="990" w:type="dxa"/>
            <w:vAlign w:val="center"/>
          </w:tcPr>
          <w:p w14:paraId="2C0DEF6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400</w:t>
            </w:r>
          </w:p>
        </w:tc>
        <w:tc>
          <w:tcPr>
            <w:tcW w:w="990" w:type="dxa"/>
            <w:vAlign w:val="center"/>
          </w:tcPr>
          <w:p w14:paraId="2DA5FAD7" w14:textId="77777777" w:rsidR="00627628" w:rsidRPr="004B2A73" w:rsidRDefault="00627628" w:rsidP="004C4D36">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627628" w:rsidRPr="004B2A73" w14:paraId="2B834B11" w14:textId="77777777" w:rsidTr="004C4D36">
        <w:trPr>
          <w:trHeight w:val="261"/>
          <w:jc w:val="center"/>
        </w:trPr>
        <w:tc>
          <w:tcPr>
            <w:cnfStyle w:val="001000000000" w:firstRow="0" w:lastRow="0" w:firstColumn="1" w:lastColumn="0" w:oddVBand="0" w:evenVBand="0" w:oddHBand="0" w:evenHBand="0" w:firstRowFirstColumn="0" w:firstRowLastColumn="0" w:lastRowFirstColumn="0" w:lastRowLastColumn="0"/>
            <w:tcW w:w="1705" w:type="dxa"/>
          </w:tcPr>
          <w:p w14:paraId="10AEFB76" w14:textId="77777777" w:rsidR="00627628" w:rsidRPr="004B2A73" w:rsidRDefault="00627628" w:rsidP="004C4D36">
            <w:pPr>
              <w:rPr>
                <w:rFonts w:ascii="Calibri" w:hAnsi="Calibri"/>
              </w:rPr>
            </w:pPr>
            <w:r w:rsidRPr="004B2A73">
              <w:rPr>
                <w:rFonts w:ascii="Calibri" w:hAnsi="Calibri"/>
              </w:rPr>
              <w:t xml:space="preserve">Lekki </w:t>
            </w:r>
            <w:r w:rsidRPr="004B2A73">
              <w:rPr>
                <w:rFonts w:ascii="Calibri" w:hAnsi="Calibri"/>
                <w:lang w:val="fr-FR"/>
              </w:rPr>
              <w:t>(project)</w:t>
            </w:r>
          </w:p>
        </w:tc>
        <w:tc>
          <w:tcPr>
            <w:tcW w:w="1080" w:type="dxa"/>
            <w:vAlign w:val="center"/>
          </w:tcPr>
          <w:p w14:paraId="23F19E75"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1,200</w:t>
            </w:r>
          </w:p>
        </w:tc>
        <w:tc>
          <w:tcPr>
            <w:tcW w:w="1350" w:type="dxa"/>
            <w:vAlign w:val="center"/>
          </w:tcPr>
          <w:p w14:paraId="0758B803"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14 – 16.5</w:t>
            </w:r>
          </w:p>
        </w:tc>
        <w:tc>
          <w:tcPr>
            <w:tcW w:w="1260" w:type="dxa"/>
            <w:vAlign w:val="center"/>
          </w:tcPr>
          <w:p w14:paraId="719805D5"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14</w:t>
            </w:r>
          </w:p>
        </w:tc>
        <w:tc>
          <w:tcPr>
            <w:tcW w:w="990" w:type="dxa"/>
            <w:vAlign w:val="center"/>
          </w:tcPr>
          <w:p w14:paraId="7024A5CD"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00" w:type="dxa"/>
            <w:vAlign w:val="center"/>
          </w:tcPr>
          <w:p w14:paraId="48F99931"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00" w:type="dxa"/>
            <w:vAlign w:val="center"/>
          </w:tcPr>
          <w:p w14:paraId="2A76C00C"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80" w:type="dxa"/>
            <w:vAlign w:val="center"/>
          </w:tcPr>
          <w:p w14:paraId="28B25EA2"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66</w:t>
            </w:r>
          </w:p>
        </w:tc>
        <w:tc>
          <w:tcPr>
            <w:tcW w:w="1080" w:type="dxa"/>
            <w:vAlign w:val="center"/>
          </w:tcPr>
          <w:p w14:paraId="5DE53142"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0" w:type="dxa"/>
            <w:vAlign w:val="center"/>
          </w:tcPr>
          <w:p w14:paraId="3C9FAAF6"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0" w:type="dxa"/>
            <w:vAlign w:val="center"/>
          </w:tcPr>
          <w:p w14:paraId="546E6E1E" w14:textId="77777777" w:rsidR="00627628" w:rsidRPr="004B2A73" w:rsidRDefault="00627628" w:rsidP="004C4D36">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2,500</w:t>
            </w:r>
          </w:p>
        </w:tc>
      </w:tr>
    </w:tbl>
    <w:p w14:paraId="66E3A0AB" w14:textId="77777777" w:rsidR="00627628" w:rsidRPr="004B2A73" w:rsidRDefault="00627628" w:rsidP="003A7F8E">
      <w:pPr>
        <w:rPr>
          <w:rFonts w:ascii="Calibri" w:hAnsi="Calibri"/>
          <w:sz w:val="24"/>
          <w:szCs w:val="24"/>
        </w:rPr>
      </w:pPr>
    </w:p>
    <w:p w14:paraId="4597A3A0" w14:textId="6DC55CD2" w:rsidR="00627628" w:rsidRDefault="00627628" w:rsidP="003A7F8E">
      <w:pPr>
        <w:rPr>
          <w:rFonts w:ascii="Calibri" w:hAnsi="Calibri"/>
          <w:sz w:val="24"/>
          <w:szCs w:val="24"/>
        </w:rPr>
      </w:pPr>
    </w:p>
    <w:p w14:paraId="4786D26F" w14:textId="77777777" w:rsidR="00510EE7" w:rsidRPr="004B2A73" w:rsidRDefault="00510EE7" w:rsidP="003A7F8E">
      <w:pPr>
        <w:rPr>
          <w:rFonts w:ascii="Calibri" w:hAnsi="Calibri"/>
          <w:sz w:val="24"/>
          <w:szCs w:val="24"/>
        </w:rPr>
        <w:sectPr w:rsidR="00510EE7" w:rsidRPr="004B2A73" w:rsidSect="00C84EA4">
          <w:pgSz w:w="15840" w:h="12240" w:orient="landscape"/>
          <w:pgMar w:top="1440" w:right="1440" w:bottom="1440" w:left="1440" w:header="720" w:footer="720" w:gutter="0"/>
          <w:cols w:space="720"/>
          <w:titlePg/>
          <w:docGrid w:linePitch="360"/>
        </w:sectPr>
      </w:pPr>
    </w:p>
    <w:p w14:paraId="656D135B" w14:textId="0DC5289C" w:rsidR="003D778E" w:rsidRPr="007460D3" w:rsidRDefault="003D778E" w:rsidP="006161AC">
      <w:pPr>
        <w:pStyle w:val="Heading2"/>
        <w:numPr>
          <w:ilvl w:val="0"/>
          <w:numId w:val="0"/>
        </w:numPr>
        <w:rPr>
          <w:rFonts w:asciiTheme="minorHAnsi" w:hAnsiTheme="minorHAnsi" w:cstheme="minorHAnsi"/>
          <w:color w:val="auto"/>
          <w:sz w:val="28"/>
          <w:szCs w:val="28"/>
        </w:rPr>
      </w:pPr>
      <w:bookmarkStart w:id="162" w:name="_Toc485382012"/>
      <w:bookmarkStart w:id="163" w:name="_Toc418805902"/>
      <w:r w:rsidRPr="007460D3">
        <w:rPr>
          <w:rFonts w:asciiTheme="minorHAnsi" w:hAnsiTheme="minorHAnsi" w:cstheme="minorHAnsi"/>
          <w:color w:val="auto"/>
          <w:sz w:val="28"/>
          <w:szCs w:val="28"/>
        </w:rPr>
        <w:t xml:space="preserve">Annex </w:t>
      </w:r>
      <w:r w:rsidR="00965801" w:rsidRPr="007460D3">
        <w:rPr>
          <w:rFonts w:asciiTheme="minorHAnsi" w:hAnsiTheme="minorHAnsi" w:cstheme="minorHAnsi"/>
          <w:color w:val="auto"/>
          <w:sz w:val="28"/>
          <w:szCs w:val="28"/>
        </w:rPr>
        <w:t>6</w:t>
      </w:r>
      <w:r w:rsidRPr="007460D3">
        <w:rPr>
          <w:rFonts w:asciiTheme="minorHAnsi" w:hAnsiTheme="minorHAnsi" w:cstheme="minorHAnsi"/>
          <w:color w:val="auto"/>
          <w:sz w:val="28"/>
          <w:szCs w:val="28"/>
        </w:rPr>
        <w:t xml:space="preserve">: </w:t>
      </w:r>
      <w:r w:rsidR="000A0EC7" w:rsidRPr="007460D3">
        <w:rPr>
          <w:rFonts w:asciiTheme="minorHAnsi" w:hAnsiTheme="minorHAnsi" w:cstheme="minorHAnsi"/>
          <w:color w:val="auto"/>
          <w:sz w:val="28"/>
          <w:szCs w:val="28"/>
        </w:rPr>
        <w:t>Tables for container traffic forecast</w:t>
      </w:r>
      <w:bookmarkEnd w:id="162"/>
    </w:p>
    <w:p w14:paraId="248C68EB" w14:textId="77777777" w:rsidR="000A0EC7" w:rsidRPr="004B2A73" w:rsidRDefault="000A0EC7" w:rsidP="000A0EC7">
      <w:pPr>
        <w:rPr>
          <w:rFonts w:ascii="Calibri" w:hAnsi="Calibri"/>
        </w:rPr>
      </w:pPr>
    </w:p>
    <w:p w14:paraId="39A1D790" w14:textId="4920E2F0" w:rsidR="00627628" w:rsidRPr="004B2A73" w:rsidRDefault="00C662B7" w:rsidP="00AF33A5">
      <w:pPr>
        <w:pStyle w:val="Caption"/>
        <w:rPr>
          <w:rFonts w:ascii="Calibri" w:hAnsi="Calibri"/>
        </w:rPr>
      </w:pPr>
      <w:bookmarkStart w:id="164" w:name="_Toc485381930"/>
      <w:bookmarkEnd w:id="163"/>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19</w:t>
      </w:r>
      <w:r w:rsidR="00811885" w:rsidRPr="004B2A73">
        <w:rPr>
          <w:rFonts w:ascii="Calibri" w:hAnsi="Calibri"/>
          <w:noProof/>
        </w:rPr>
        <w:fldChar w:fldCharType="end"/>
      </w:r>
      <w:r w:rsidRPr="004B2A73">
        <w:rPr>
          <w:rFonts w:ascii="Calibri" w:hAnsi="Calibri"/>
        </w:rPr>
        <w:t>: Evolution of traffic at the main West African ports (</w:t>
      </w:r>
      <w:r w:rsidR="00456BC5" w:rsidRPr="004B2A73">
        <w:rPr>
          <w:rFonts w:ascii="Calibri" w:hAnsi="Calibri"/>
        </w:rPr>
        <w:t>1996 – 2006 – 2011</w:t>
      </w:r>
      <w:r w:rsidRPr="004B2A73">
        <w:rPr>
          <w:rFonts w:ascii="Calibri" w:hAnsi="Calibri"/>
        </w:rPr>
        <w:t>)</w:t>
      </w:r>
      <w:r w:rsidR="00781324" w:rsidRPr="004B2A73">
        <w:rPr>
          <w:rFonts w:ascii="Calibri" w:hAnsi="Calibri"/>
        </w:rPr>
        <w:t xml:space="preserve"> in 000s TEUs</w:t>
      </w:r>
      <w:bookmarkEnd w:id="164"/>
    </w:p>
    <w:tbl>
      <w:tblPr>
        <w:tblStyle w:val="ListTable3-Accent31"/>
        <w:tblW w:w="9521" w:type="dxa"/>
        <w:tblLayout w:type="fixed"/>
        <w:tblLook w:val="04E0" w:firstRow="1" w:lastRow="1" w:firstColumn="1" w:lastColumn="0" w:noHBand="0" w:noVBand="1"/>
      </w:tblPr>
      <w:tblGrid>
        <w:gridCol w:w="1871"/>
        <w:gridCol w:w="850"/>
        <w:gridCol w:w="850"/>
        <w:gridCol w:w="850"/>
        <w:gridCol w:w="850"/>
        <w:gridCol w:w="850"/>
        <w:gridCol w:w="850"/>
        <w:gridCol w:w="850"/>
        <w:gridCol w:w="850"/>
        <w:gridCol w:w="850"/>
      </w:tblGrid>
      <w:tr w:rsidR="00781324" w:rsidRPr="004B2A73" w14:paraId="339FF40E" w14:textId="77777777" w:rsidTr="007B40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1" w:type="dxa"/>
          </w:tcPr>
          <w:p w14:paraId="10D78123" w14:textId="77777777" w:rsidR="00781324" w:rsidRPr="004B2A73" w:rsidRDefault="00781324" w:rsidP="00456BC5">
            <w:pPr>
              <w:rPr>
                <w:rFonts w:ascii="Calibri" w:hAnsi="Calibri"/>
              </w:rPr>
            </w:pPr>
          </w:p>
        </w:tc>
        <w:tc>
          <w:tcPr>
            <w:tcW w:w="850" w:type="dxa"/>
          </w:tcPr>
          <w:p w14:paraId="3681DCAE" w14:textId="77777777" w:rsidR="00781324" w:rsidRPr="004B2A73" w:rsidRDefault="00781324" w:rsidP="00456BC5">
            <w:pP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1996</w:t>
            </w:r>
          </w:p>
        </w:tc>
        <w:tc>
          <w:tcPr>
            <w:tcW w:w="3400" w:type="dxa"/>
            <w:gridSpan w:val="4"/>
          </w:tcPr>
          <w:p w14:paraId="2EFBC532" w14:textId="77777777" w:rsidR="00781324" w:rsidRPr="004B2A73" w:rsidRDefault="00781324" w:rsidP="00781324">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2006</w:t>
            </w:r>
          </w:p>
        </w:tc>
        <w:tc>
          <w:tcPr>
            <w:tcW w:w="3400" w:type="dxa"/>
            <w:gridSpan w:val="4"/>
          </w:tcPr>
          <w:p w14:paraId="0BC8DBAB" w14:textId="77777777" w:rsidR="00781324" w:rsidRPr="004B2A73" w:rsidRDefault="00781324" w:rsidP="00781324">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2011</w:t>
            </w:r>
          </w:p>
        </w:tc>
      </w:tr>
      <w:tr w:rsidR="00456BC5" w:rsidRPr="004B2A73" w14:paraId="5F49A163" w14:textId="77777777" w:rsidTr="007B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1A629B20" w14:textId="77777777" w:rsidR="00456BC5" w:rsidRPr="004B2A73" w:rsidRDefault="00456BC5" w:rsidP="00456BC5">
            <w:pPr>
              <w:rPr>
                <w:rFonts w:ascii="Calibri" w:hAnsi="Calibri"/>
              </w:rPr>
            </w:pPr>
          </w:p>
        </w:tc>
        <w:tc>
          <w:tcPr>
            <w:tcW w:w="850" w:type="dxa"/>
          </w:tcPr>
          <w:p w14:paraId="53E5CC87"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Total</w:t>
            </w:r>
          </w:p>
        </w:tc>
        <w:tc>
          <w:tcPr>
            <w:tcW w:w="850" w:type="dxa"/>
          </w:tcPr>
          <w:p w14:paraId="31E42FD6"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Base</w:t>
            </w:r>
          </w:p>
        </w:tc>
        <w:tc>
          <w:tcPr>
            <w:tcW w:w="850" w:type="dxa"/>
          </w:tcPr>
          <w:p w14:paraId="1A0BE196"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Transit</w:t>
            </w:r>
          </w:p>
        </w:tc>
        <w:tc>
          <w:tcPr>
            <w:tcW w:w="850" w:type="dxa"/>
          </w:tcPr>
          <w:p w14:paraId="54D9FDD9"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Trshp.</w:t>
            </w:r>
          </w:p>
        </w:tc>
        <w:tc>
          <w:tcPr>
            <w:tcW w:w="850" w:type="dxa"/>
          </w:tcPr>
          <w:p w14:paraId="49EC5D2D"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Total</w:t>
            </w:r>
          </w:p>
        </w:tc>
        <w:tc>
          <w:tcPr>
            <w:tcW w:w="850" w:type="dxa"/>
          </w:tcPr>
          <w:p w14:paraId="0BBF5E0B"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Base</w:t>
            </w:r>
          </w:p>
        </w:tc>
        <w:tc>
          <w:tcPr>
            <w:tcW w:w="850" w:type="dxa"/>
          </w:tcPr>
          <w:p w14:paraId="4787858A"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Transit</w:t>
            </w:r>
          </w:p>
        </w:tc>
        <w:tc>
          <w:tcPr>
            <w:tcW w:w="850" w:type="dxa"/>
          </w:tcPr>
          <w:p w14:paraId="351AEC28"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Trshp.</w:t>
            </w:r>
          </w:p>
        </w:tc>
        <w:tc>
          <w:tcPr>
            <w:tcW w:w="850" w:type="dxa"/>
          </w:tcPr>
          <w:p w14:paraId="64E27905"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Total</w:t>
            </w:r>
          </w:p>
        </w:tc>
      </w:tr>
      <w:tr w:rsidR="00456BC5" w:rsidRPr="004B2A73" w14:paraId="7CE57A84" w14:textId="77777777" w:rsidTr="007B40D0">
        <w:tc>
          <w:tcPr>
            <w:cnfStyle w:val="001000000000" w:firstRow="0" w:lastRow="0" w:firstColumn="1" w:lastColumn="0" w:oddVBand="0" w:evenVBand="0" w:oddHBand="0" w:evenHBand="0" w:firstRowFirstColumn="0" w:firstRowLastColumn="0" w:lastRowFirstColumn="0" w:lastRowLastColumn="0"/>
            <w:tcW w:w="1871" w:type="dxa"/>
          </w:tcPr>
          <w:p w14:paraId="26C13460" w14:textId="77777777" w:rsidR="00456BC5" w:rsidRPr="004B2A73" w:rsidRDefault="00456BC5" w:rsidP="00456BC5">
            <w:pPr>
              <w:rPr>
                <w:rFonts w:ascii="Calibri" w:hAnsi="Calibri"/>
              </w:rPr>
            </w:pPr>
            <w:r w:rsidRPr="004B2A73">
              <w:rPr>
                <w:rFonts w:ascii="Calibri" w:hAnsi="Calibri"/>
              </w:rPr>
              <w:t>Dakar</w:t>
            </w:r>
          </w:p>
        </w:tc>
        <w:tc>
          <w:tcPr>
            <w:tcW w:w="850" w:type="dxa"/>
          </w:tcPr>
          <w:p w14:paraId="5D02FF72"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99</w:t>
            </w:r>
          </w:p>
        </w:tc>
        <w:tc>
          <w:tcPr>
            <w:tcW w:w="850" w:type="dxa"/>
          </w:tcPr>
          <w:p w14:paraId="570E9792"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277</w:t>
            </w:r>
          </w:p>
        </w:tc>
        <w:tc>
          <w:tcPr>
            <w:tcW w:w="850" w:type="dxa"/>
          </w:tcPr>
          <w:p w14:paraId="65D9B01A"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63</w:t>
            </w:r>
          </w:p>
        </w:tc>
        <w:tc>
          <w:tcPr>
            <w:tcW w:w="850" w:type="dxa"/>
          </w:tcPr>
          <w:p w14:paraId="6B45BD25"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63</w:t>
            </w:r>
          </w:p>
        </w:tc>
        <w:tc>
          <w:tcPr>
            <w:tcW w:w="850" w:type="dxa"/>
          </w:tcPr>
          <w:p w14:paraId="6D761D43"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376</w:t>
            </w:r>
          </w:p>
        </w:tc>
        <w:tc>
          <w:tcPr>
            <w:tcW w:w="850" w:type="dxa"/>
          </w:tcPr>
          <w:p w14:paraId="674D9809"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311</w:t>
            </w:r>
          </w:p>
        </w:tc>
        <w:tc>
          <w:tcPr>
            <w:tcW w:w="850" w:type="dxa"/>
          </w:tcPr>
          <w:p w14:paraId="26CE857C"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53</w:t>
            </w:r>
          </w:p>
        </w:tc>
        <w:tc>
          <w:tcPr>
            <w:tcW w:w="850" w:type="dxa"/>
          </w:tcPr>
          <w:p w14:paraId="5BE3B552"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52</w:t>
            </w:r>
          </w:p>
        </w:tc>
        <w:tc>
          <w:tcPr>
            <w:tcW w:w="850" w:type="dxa"/>
          </w:tcPr>
          <w:p w14:paraId="49AFEB5F"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416</w:t>
            </w:r>
          </w:p>
        </w:tc>
      </w:tr>
      <w:tr w:rsidR="00456BC5" w:rsidRPr="004B2A73" w14:paraId="609F472C" w14:textId="77777777" w:rsidTr="007B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0A9A2672" w14:textId="77777777" w:rsidR="00456BC5" w:rsidRPr="004B2A73" w:rsidRDefault="00456BC5" w:rsidP="00456BC5">
            <w:pPr>
              <w:rPr>
                <w:rFonts w:ascii="Calibri" w:hAnsi="Calibri"/>
              </w:rPr>
            </w:pPr>
            <w:r w:rsidRPr="004B2A73">
              <w:rPr>
                <w:rFonts w:ascii="Calibri" w:hAnsi="Calibri"/>
              </w:rPr>
              <w:t>Banjul</w:t>
            </w:r>
          </w:p>
        </w:tc>
        <w:tc>
          <w:tcPr>
            <w:tcW w:w="850" w:type="dxa"/>
          </w:tcPr>
          <w:p w14:paraId="56C1AD11"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18</w:t>
            </w:r>
          </w:p>
        </w:tc>
        <w:tc>
          <w:tcPr>
            <w:tcW w:w="850" w:type="dxa"/>
          </w:tcPr>
          <w:p w14:paraId="5F195438"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60</w:t>
            </w:r>
          </w:p>
        </w:tc>
        <w:tc>
          <w:tcPr>
            <w:tcW w:w="850" w:type="dxa"/>
          </w:tcPr>
          <w:p w14:paraId="69C0C986"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24000A13"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308F4010"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60</w:t>
            </w:r>
          </w:p>
        </w:tc>
        <w:tc>
          <w:tcPr>
            <w:tcW w:w="850" w:type="dxa"/>
          </w:tcPr>
          <w:p w14:paraId="02997265"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90</w:t>
            </w:r>
          </w:p>
        </w:tc>
        <w:tc>
          <w:tcPr>
            <w:tcW w:w="850" w:type="dxa"/>
          </w:tcPr>
          <w:p w14:paraId="53C6323B"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7581DB59"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11C8D4FA"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90</w:t>
            </w:r>
          </w:p>
        </w:tc>
      </w:tr>
      <w:tr w:rsidR="00456BC5" w:rsidRPr="004B2A73" w14:paraId="3C37DDAC" w14:textId="77777777" w:rsidTr="007B40D0">
        <w:tc>
          <w:tcPr>
            <w:cnfStyle w:val="001000000000" w:firstRow="0" w:lastRow="0" w:firstColumn="1" w:lastColumn="0" w:oddVBand="0" w:evenVBand="0" w:oddHBand="0" w:evenHBand="0" w:firstRowFirstColumn="0" w:firstRowLastColumn="0" w:lastRowFirstColumn="0" w:lastRowLastColumn="0"/>
            <w:tcW w:w="1871" w:type="dxa"/>
          </w:tcPr>
          <w:p w14:paraId="597A4058" w14:textId="77777777" w:rsidR="00456BC5" w:rsidRPr="004B2A73" w:rsidRDefault="00456BC5" w:rsidP="00456BC5">
            <w:pPr>
              <w:rPr>
                <w:rFonts w:ascii="Calibri" w:hAnsi="Calibri"/>
              </w:rPr>
            </w:pPr>
            <w:r w:rsidRPr="004B2A73">
              <w:rPr>
                <w:rFonts w:ascii="Calibri" w:hAnsi="Calibri"/>
              </w:rPr>
              <w:t>Conakry</w:t>
            </w:r>
          </w:p>
        </w:tc>
        <w:tc>
          <w:tcPr>
            <w:tcW w:w="850" w:type="dxa"/>
          </w:tcPr>
          <w:p w14:paraId="4203563F"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28</w:t>
            </w:r>
          </w:p>
        </w:tc>
        <w:tc>
          <w:tcPr>
            <w:tcW w:w="850" w:type="dxa"/>
          </w:tcPr>
          <w:p w14:paraId="15108668"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81</w:t>
            </w:r>
          </w:p>
        </w:tc>
        <w:tc>
          <w:tcPr>
            <w:tcW w:w="850" w:type="dxa"/>
          </w:tcPr>
          <w:p w14:paraId="3600FD41"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w:t>
            </w:r>
          </w:p>
        </w:tc>
        <w:tc>
          <w:tcPr>
            <w:tcW w:w="850" w:type="dxa"/>
          </w:tcPr>
          <w:p w14:paraId="5F00664D"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2D6180F3"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85</w:t>
            </w:r>
          </w:p>
        </w:tc>
        <w:tc>
          <w:tcPr>
            <w:tcW w:w="850" w:type="dxa"/>
          </w:tcPr>
          <w:p w14:paraId="109CB01D"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118</w:t>
            </w:r>
          </w:p>
        </w:tc>
        <w:tc>
          <w:tcPr>
            <w:tcW w:w="850" w:type="dxa"/>
          </w:tcPr>
          <w:p w14:paraId="661D0719"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2</w:t>
            </w:r>
          </w:p>
        </w:tc>
        <w:tc>
          <w:tcPr>
            <w:tcW w:w="850" w:type="dxa"/>
          </w:tcPr>
          <w:p w14:paraId="02A63DA0"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3E96DA0C"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120</w:t>
            </w:r>
          </w:p>
        </w:tc>
      </w:tr>
      <w:tr w:rsidR="00456BC5" w:rsidRPr="004B2A73" w14:paraId="71301F0C" w14:textId="77777777" w:rsidTr="007B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463FDBC3" w14:textId="77777777" w:rsidR="00456BC5" w:rsidRPr="004B2A73" w:rsidRDefault="00456BC5" w:rsidP="00456BC5">
            <w:pPr>
              <w:rPr>
                <w:rFonts w:ascii="Calibri" w:hAnsi="Calibri"/>
              </w:rPr>
            </w:pPr>
            <w:r w:rsidRPr="004B2A73">
              <w:rPr>
                <w:rFonts w:ascii="Calibri" w:hAnsi="Calibri"/>
              </w:rPr>
              <w:t>Freetown</w:t>
            </w:r>
          </w:p>
        </w:tc>
        <w:tc>
          <w:tcPr>
            <w:tcW w:w="850" w:type="dxa"/>
          </w:tcPr>
          <w:p w14:paraId="1ADE9E3C"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15</w:t>
            </w:r>
          </w:p>
        </w:tc>
        <w:tc>
          <w:tcPr>
            <w:tcW w:w="850" w:type="dxa"/>
          </w:tcPr>
          <w:p w14:paraId="696927D4"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36</w:t>
            </w:r>
          </w:p>
        </w:tc>
        <w:tc>
          <w:tcPr>
            <w:tcW w:w="850" w:type="dxa"/>
          </w:tcPr>
          <w:p w14:paraId="0229ED86"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1D89EAAC"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4EFC9CC8"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36</w:t>
            </w:r>
          </w:p>
        </w:tc>
        <w:tc>
          <w:tcPr>
            <w:tcW w:w="850" w:type="dxa"/>
          </w:tcPr>
          <w:p w14:paraId="4C177C66"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75</w:t>
            </w:r>
          </w:p>
        </w:tc>
        <w:tc>
          <w:tcPr>
            <w:tcW w:w="850" w:type="dxa"/>
          </w:tcPr>
          <w:p w14:paraId="3C0C236E"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38B80CA7"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07CA2668"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75</w:t>
            </w:r>
          </w:p>
        </w:tc>
      </w:tr>
      <w:tr w:rsidR="00456BC5" w:rsidRPr="004B2A73" w14:paraId="6BF36F34" w14:textId="77777777" w:rsidTr="007B40D0">
        <w:tc>
          <w:tcPr>
            <w:cnfStyle w:val="001000000000" w:firstRow="0" w:lastRow="0" w:firstColumn="1" w:lastColumn="0" w:oddVBand="0" w:evenVBand="0" w:oddHBand="0" w:evenHBand="0" w:firstRowFirstColumn="0" w:firstRowLastColumn="0" w:lastRowFirstColumn="0" w:lastRowLastColumn="0"/>
            <w:tcW w:w="1871" w:type="dxa"/>
          </w:tcPr>
          <w:p w14:paraId="5E240332" w14:textId="77777777" w:rsidR="00456BC5" w:rsidRPr="004B2A73" w:rsidRDefault="00456BC5" w:rsidP="00456BC5">
            <w:pPr>
              <w:rPr>
                <w:rFonts w:ascii="Calibri" w:hAnsi="Calibri"/>
              </w:rPr>
            </w:pPr>
            <w:r w:rsidRPr="004B2A73">
              <w:rPr>
                <w:rFonts w:ascii="Calibri" w:hAnsi="Calibri"/>
              </w:rPr>
              <w:t>Monrovia</w:t>
            </w:r>
          </w:p>
        </w:tc>
        <w:tc>
          <w:tcPr>
            <w:tcW w:w="850" w:type="dxa"/>
          </w:tcPr>
          <w:p w14:paraId="269B8E7A"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p>
        </w:tc>
        <w:tc>
          <w:tcPr>
            <w:tcW w:w="850" w:type="dxa"/>
          </w:tcPr>
          <w:p w14:paraId="38B594B8"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37</w:t>
            </w:r>
          </w:p>
        </w:tc>
        <w:tc>
          <w:tcPr>
            <w:tcW w:w="850" w:type="dxa"/>
          </w:tcPr>
          <w:p w14:paraId="29172BBD"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78F5C3C7"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0764AC7F"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37</w:t>
            </w:r>
          </w:p>
        </w:tc>
        <w:tc>
          <w:tcPr>
            <w:tcW w:w="850" w:type="dxa"/>
          </w:tcPr>
          <w:p w14:paraId="3C3A39B6"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53</w:t>
            </w:r>
          </w:p>
        </w:tc>
        <w:tc>
          <w:tcPr>
            <w:tcW w:w="850" w:type="dxa"/>
          </w:tcPr>
          <w:p w14:paraId="20C4D017"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396FB515"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0D82BF59"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53</w:t>
            </w:r>
          </w:p>
        </w:tc>
      </w:tr>
      <w:tr w:rsidR="00456BC5" w:rsidRPr="004B2A73" w14:paraId="0B1A73AF" w14:textId="77777777" w:rsidTr="007B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74FE0EBB" w14:textId="77777777" w:rsidR="00456BC5" w:rsidRPr="004B2A73" w:rsidRDefault="00456BC5" w:rsidP="00456BC5">
            <w:pPr>
              <w:rPr>
                <w:rFonts w:ascii="Calibri" w:hAnsi="Calibri"/>
              </w:rPr>
            </w:pPr>
            <w:r w:rsidRPr="004B2A73">
              <w:rPr>
                <w:rFonts w:ascii="Calibri" w:hAnsi="Calibri"/>
              </w:rPr>
              <w:t>San Pedro</w:t>
            </w:r>
          </w:p>
        </w:tc>
        <w:tc>
          <w:tcPr>
            <w:tcW w:w="850" w:type="dxa"/>
          </w:tcPr>
          <w:p w14:paraId="51880B0D"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p>
        </w:tc>
        <w:tc>
          <w:tcPr>
            <w:tcW w:w="850" w:type="dxa"/>
          </w:tcPr>
          <w:p w14:paraId="6B1CD9F2"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50</w:t>
            </w:r>
          </w:p>
        </w:tc>
        <w:tc>
          <w:tcPr>
            <w:tcW w:w="850" w:type="dxa"/>
          </w:tcPr>
          <w:p w14:paraId="4CE20C27"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16F91C19"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6DB79C15"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50</w:t>
            </w:r>
          </w:p>
        </w:tc>
        <w:tc>
          <w:tcPr>
            <w:tcW w:w="850" w:type="dxa"/>
          </w:tcPr>
          <w:p w14:paraId="37EBC9E4"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118</w:t>
            </w:r>
          </w:p>
        </w:tc>
        <w:tc>
          <w:tcPr>
            <w:tcW w:w="850" w:type="dxa"/>
          </w:tcPr>
          <w:p w14:paraId="6BACF7D5"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65AC9592"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28F2F129"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118</w:t>
            </w:r>
          </w:p>
        </w:tc>
      </w:tr>
      <w:tr w:rsidR="00456BC5" w:rsidRPr="004B2A73" w14:paraId="08D902AF" w14:textId="77777777" w:rsidTr="007B40D0">
        <w:tc>
          <w:tcPr>
            <w:cnfStyle w:val="001000000000" w:firstRow="0" w:lastRow="0" w:firstColumn="1" w:lastColumn="0" w:oddVBand="0" w:evenVBand="0" w:oddHBand="0" w:evenHBand="0" w:firstRowFirstColumn="0" w:firstRowLastColumn="0" w:lastRowFirstColumn="0" w:lastRowLastColumn="0"/>
            <w:tcW w:w="1871" w:type="dxa"/>
          </w:tcPr>
          <w:p w14:paraId="10D4C67C" w14:textId="77777777" w:rsidR="00456BC5" w:rsidRPr="004B2A73" w:rsidRDefault="00456BC5" w:rsidP="00456BC5">
            <w:pPr>
              <w:rPr>
                <w:rFonts w:ascii="Calibri" w:hAnsi="Calibri"/>
              </w:rPr>
            </w:pPr>
            <w:r w:rsidRPr="004B2A73">
              <w:rPr>
                <w:rFonts w:ascii="Calibri" w:hAnsi="Calibri"/>
              </w:rPr>
              <w:t>Abidjan</w:t>
            </w:r>
          </w:p>
        </w:tc>
        <w:tc>
          <w:tcPr>
            <w:tcW w:w="850" w:type="dxa"/>
          </w:tcPr>
          <w:p w14:paraId="4DCF4894"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310</w:t>
            </w:r>
          </w:p>
        </w:tc>
        <w:tc>
          <w:tcPr>
            <w:tcW w:w="850" w:type="dxa"/>
          </w:tcPr>
          <w:p w14:paraId="24204530"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468</w:t>
            </w:r>
          </w:p>
        </w:tc>
        <w:tc>
          <w:tcPr>
            <w:tcW w:w="850" w:type="dxa"/>
          </w:tcPr>
          <w:p w14:paraId="050AF9BD"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39</w:t>
            </w:r>
          </w:p>
        </w:tc>
        <w:tc>
          <w:tcPr>
            <w:tcW w:w="850" w:type="dxa"/>
          </w:tcPr>
          <w:p w14:paraId="111B7D16"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669A7C06"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507</w:t>
            </w:r>
          </w:p>
        </w:tc>
        <w:tc>
          <w:tcPr>
            <w:tcW w:w="850" w:type="dxa"/>
          </w:tcPr>
          <w:p w14:paraId="4F94D383"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386</w:t>
            </w:r>
          </w:p>
        </w:tc>
        <w:tc>
          <w:tcPr>
            <w:tcW w:w="850" w:type="dxa"/>
          </w:tcPr>
          <w:p w14:paraId="1B83208F"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42</w:t>
            </w:r>
          </w:p>
        </w:tc>
        <w:tc>
          <w:tcPr>
            <w:tcW w:w="850" w:type="dxa"/>
          </w:tcPr>
          <w:p w14:paraId="1084CADF"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118</w:t>
            </w:r>
          </w:p>
        </w:tc>
        <w:tc>
          <w:tcPr>
            <w:tcW w:w="850" w:type="dxa"/>
          </w:tcPr>
          <w:p w14:paraId="516773F9"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546</w:t>
            </w:r>
          </w:p>
        </w:tc>
      </w:tr>
      <w:tr w:rsidR="00456BC5" w:rsidRPr="004B2A73" w14:paraId="0462091A" w14:textId="77777777" w:rsidTr="007B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0848A448" w14:textId="77777777" w:rsidR="00456BC5" w:rsidRPr="004B2A73" w:rsidRDefault="00456BC5" w:rsidP="00456BC5">
            <w:pPr>
              <w:rPr>
                <w:rFonts w:ascii="Calibri" w:hAnsi="Calibri"/>
              </w:rPr>
            </w:pPr>
            <w:r w:rsidRPr="004B2A73">
              <w:rPr>
                <w:rFonts w:ascii="Calibri" w:hAnsi="Calibri"/>
              </w:rPr>
              <w:t>Takoradi</w:t>
            </w:r>
          </w:p>
        </w:tc>
        <w:tc>
          <w:tcPr>
            <w:tcW w:w="850" w:type="dxa"/>
          </w:tcPr>
          <w:p w14:paraId="65D3142D"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23</w:t>
            </w:r>
          </w:p>
        </w:tc>
        <w:tc>
          <w:tcPr>
            <w:tcW w:w="850" w:type="dxa"/>
          </w:tcPr>
          <w:p w14:paraId="6DBA0120"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51</w:t>
            </w:r>
          </w:p>
        </w:tc>
        <w:tc>
          <w:tcPr>
            <w:tcW w:w="850" w:type="dxa"/>
          </w:tcPr>
          <w:p w14:paraId="13CA0F5B"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49BBCABC"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445D5C5F"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51</w:t>
            </w:r>
          </w:p>
        </w:tc>
        <w:tc>
          <w:tcPr>
            <w:tcW w:w="850" w:type="dxa"/>
          </w:tcPr>
          <w:p w14:paraId="4CAD8CB1"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33</w:t>
            </w:r>
          </w:p>
        </w:tc>
        <w:tc>
          <w:tcPr>
            <w:tcW w:w="850" w:type="dxa"/>
          </w:tcPr>
          <w:p w14:paraId="38FB3685"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24</w:t>
            </w:r>
          </w:p>
        </w:tc>
        <w:tc>
          <w:tcPr>
            <w:tcW w:w="850" w:type="dxa"/>
          </w:tcPr>
          <w:p w14:paraId="18676C74"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52B85357"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57</w:t>
            </w:r>
          </w:p>
        </w:tc>
      </w:tr>
      <w:tr w:rsidR="00456BC5" w:rsidRPr="004B2A73" w14:paraId="0594CDF7" w14:textId="77777777" w:rsidTr="007B40D0">
        <w:tc>
          <w:tcPr>
            <w:cnfStyle w:val="001000000000" w:firstRow="0" w:lastRow="0" w:firstColumn="1" w:lastColumn="0" w:oddVBand="0" w:evenVBand="0" w:oddHBand="0" w:evenHBand="0" w:firstRowFirstColumn="0" w:firstRowLastColumn="0" w:lastRowFirstColumn="0" w:lastRowLastColumn="0"/>
            <w:tcW w:w="1871" w:type="dxa"/>
          </w:tcPr>
          <w:p w14:paraId="4003CB6A" w14:textId="77777777" w:rsidR="00456BC5" w:rsidRPr="004B2A73" w:rsidRDefault="00456BC5" w:rsidP="00456BC5">
            <w:pPr>
              <w:rPr>
                <w:rFonts w:ascii="Calibri" w:hAnsi="Calibri"/>
              </w:rPr>
            </w:pPr>
            <w:r w:rsidRPr="004B2A73">
              <w:rPr>
                <w:rFonts w:ascii="Calibri" w:hAnsi="Calibri"/>
              </w:rPr>
              <w:t>Tema</w:t>
            </w:r>
          </w:p>
        </w:tc>
        <w:tc>
          <w:tcPr>
            <w:tcW w:w="850" w:type="dxa"/>
          </w:tcPr>
          <w:p w14:paraId="6C9F7859"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126</w:t>
            </w:r>
          </w:p>
        </w:tc>
        <w:tc>
          <w:tcPr>
            <w:tcW w:w="850" w:type="dxa"/>
          </w:tcPr>
          <w:p w14:paraId="3CD8DC2D"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340</w:t>
            </w:r>
          </w:p>
        </w:tc>
        <w:tc>
          <w:tcPr>
            <w:tcW w:w="850" w:type="dxa"/>
          </w:tcPr>
          <w:p w14:paraId="66838F46"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53</w:t>
            </w:r>
          </w:p>
        </w:tc>
        <w:tc>
          <w:tcPr>
            <w:tcW w:w="850" w:type="dxa"/>
          </w:tcPr>
          <w:p w14:paraId="601C63F8"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3C33FE61"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393</w:t>
            </w:r>
          </w:p>
        </w:tc>
        <w:tc>
          <w:tcPr>
            <w:tcW w:w="850" w:type="dxa"/>
          </w:tcPr>
          <w:p w14:paraId="31B2AE8C"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741</w:t>
            </w:r>
          </w:p>
        </w:tc>
        <w:tc>
          <w:tcPr>
            <w:tcW w:w="850" w:type="dxa"/>
          </w:tcPr>
          <w:p w14:paraId="2EDF0C80"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9</w:t>
            </w:r>
          </w:p>
        </w:tc>
        <w:tc>
          <w:tcPr>
            <w:tcW w:w="850" w:type="dxa"/>
          </w:tcPr>
          <w:p w14:paraId="3DEF4399"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5</w:t>
            </w:r>
          </w:p>
        </w:tc>
        <w:tc>
          <w:tcPr>
            <w:tcW w:w="850" w:type="dxa"/>
          </w:tcPr>
          <w:p w14:paraId="1F0107CC"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755</w:t>
            </w:r>
          </w:p>
        </w:tc>
      </w:tr>
      <w:tr w:rsidR="00456BC5" w:rsidRPr="004B2A73" w14:paraId="266FDCEE" w14:textId="77777777" w:rsidTr="007B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38AE40B1" w14:textId="59D48C4C" w:rsidR="00456BC5" w:rsidRPr="004B2A73" w:rsidRDefault="00C922CA" w:rsidP="00456BC5">
            <w:pPr>
              <w:rPr>
                <w:rFonts w:ascii="Calibri" w:hAnsi="Calibri"/>
              </w:rPr>
            </w:pPr>
            <w:r>
              <w:rPr>
                <w:rFonts w:ascii="Calibri" w:hAnsi="Calibri"/>
              </w:rPr>
              <w:t>Lomé</w:t>
            </w:r>
          </w:p>
        </w:tc>
        <w:tc>
          <w:tcPr>
            <w:tcW w:w="850" w:type="dxa"/>
          </w:tcPr>
          <w:p w14:paraId="0FF4967A"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33</w:t>
            </w:r>
          </w:p>
        </w:tc>
        <w:tc>
          <w:tcPr>
            <w:tcW w:w="850" w:type="dxa"/>
          </w:tcPr>
          <w:p w14:paraId="353D876F"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148</w:t>
            </w:r>
          </w:p>
        </w:tc>
        <w:tc>
          <w:tcPr>
            <w:tcW w:w="850" w:type="dxa"/>
          </w:tcPr>
          <w:p w14:paraId="1481813F"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49</w:t>
            </w:r>
          </w:p>
        </w:tc>
        <w:tc>
          <w:tcPr>
            <w:tcW w:w="850" w:type="dxa"/>
          </w:tcPr>
          <w:p w14:paraId="47481225"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20</w:t>
            </w:r>
          </w:p>
        </w:tc>
        <w:tc>
          <w:tcPr>
            <w:tcW w:w="850" w:type="dxa"/>
          </w:tcPr>
          <w:p w14:paraId="32ED017D"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216</w:t>
            </w:r>
          </w:p>
        </w:tc>
        <w:tc>
          <w:tcPr>
            <w:tcW w:w="850" w:type="dxa"/>
          </w:tcPr>
          <w:p w14:paraId="495EEF67"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177</w:t>
            </w:r>
          </w:p>
        </w:tc>
        <w:tc>
          <w:tcPr>
            <w:tcW w:w="850" w:type="dxa"/>
          </w:tcPr>
          <w:p w14:paraId="5A1317D6"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85</w:t>
            </w:r>
          </w:p>
        </w:tc>
        <w:tc>
          <w:tcPr>
            <w:tcW w:w="850" w:type="dxa"/>
          </w:tcPr>
          <w:p w14:paraId="29864948"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88</w:t>
            </w:r>
          </w:p>
        </w:tc>
        <w:tc>
          <w:tcPr>
            <w:tcW w:w="850" w:type="dxa"/>
          </w:tcPr>
          <w:p w14:paraId="1FB60F26"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350</w:t>
            </w:r>
          </w:p>
        </w:tc>
      </w:tr>
      <w:tr w:rsidR="00456BC5" w:rsidRPr="004B2A73" w14:paraId="6CE71F6D" w14:textId="77777777" w:rsidTr="007B40D0">
        <w:tc>
          <w:tcPr>
            <w:cnfStyle w:val="001000000000" w:firstRow="0" w:lastRow="0" w:firstColumn="1" w:lastColumn="0" w:oddVBand="0" w:evenVBand="0" w:oddHBand="0" w:evenHBand="0" w:firstRowFirstColumn="0" w:firstRowLastColumn="0" w:lastRowFirstColumn="0" w:lastRowLastColumn="0"/>
            <w:tcW w:w="1871" w:type="dxa"/>
          </w:tcPr>
          <w:p w14:paraId="2C7B4BD0" w14:textId="77777777" w:rsidR="00456BC5" w:rsidRPr="004B2A73" w:rsidRDefault="00456BC5" w:rsidP="00456BC5">
            <w:pPr>
              <w:rPr>
                <w:rFonts w:ascii="Calibri" w:hAnsi="Calibri"/>
              </w:rPr>
            </w:pPr>
            <w:r w:rsidRPr="004B2A73">
              <w:rPr>
                <w:rFonts w:ascii="Calibri" w:hAnsi="Calibri"/>
              </w:rPr>
              <w:t>Cotonou</w:t>
            </w:r>
          </w:p>
        </w:tc>
        <w:tc>
          <w:tcPr>
            <w:tcW w:w="850" w:type="dxa"/>
          </w:tcPr>
          <w:p w14:paraId="11182AA1"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55</w:t>
            </w:r>
          </w:p>
        </w:tc>
        <w:tc>
          <w:tcPr>
            <w:tcW w:w="850" w:type="dxa"/>
          </w:tcPr>
          <w:p w14:paraId="67282193" w14:textId="77777777" w:rsidR="00456BC5" w:rsidRPr="004B2A73" w:rsidRDefault="00456BC5" w:rsidP="00781324">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124</w:t>
            </w:r>
          </w:p>
        </w:tc>
        <w:tc>
          <w:tcPr>
            <w:tcW w:w="850" w:type="dxa"/>
          </w:tcPr>
          <w:p w14:paraId="099D025C" w14:textId="77777777" w:rsidR="00456BC5" w:rsidRPr="004B2A73" w:rsidRDefault="00456BC5" w:rsidP="00781324">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10</w:t>
            </w:r>
            <w:r w:rsidR="00781324" w:rsidRPr="004B2A73">
              <w:rPr>
                <w:rFonts w:ascii="Calibri" w:hAnsi="Calibri"/>
              </w:rPr>
              <w:t>6</w:t>
            </w:r>
          </w:p>
        </w:tc>
        <w:tc>
          <w:tcPr>
            <w:tcW w:w="850" w:type="dxa"/>
          </w:tcPr>
          <w:p w14:paraId="677043DC"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58E830DA"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230</w:t>
            </w:r>
          </w:p>
        </w:tc>
        <w:tc>
          <w:tcPr>
            <w:tcW w:w="850" w:type="dxa"/>
          </w:tcPr>
          <w:p w14:paraId="5EA7048B"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164</w:t>
            </w:r>
          </w:p>
        </w:tc>
        <w:tc>
          <w:tcPr>
            <w:tcW w:w="850" w:type="dxa"/>
          </w:tcPr>
          <w:p w14:paraId="4866312C"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164</w:t>
            </w:r>
          </w:p>
        </w:tc>
        <w:tc>
          <w:tcPr>
            <w:tcW w:w="850" w:type="dxa"/>
          </w:tcPr>
          <w:p w14:paraId="13793550"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0</w:t>
            </w:r>
          </w:p>
        </w:tc>
        <w:tc>
          <w:tcPr>
            <w:tcW w:w="850" w:type="dxa"/>
          </w:tcPr>
          <w:p w14:paraId="2BFEE6C0"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328</w:t>
            </w:r>
          </w:p>
        </w:tc>
      </w:tr>
      <w:tr w:rsidR="00456BC5" w:rsidRPr="004B2A73" w14:paraId="7C0F987B" w14:textId="77777777" w:rsidTr="007B4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79AD83F7" w14:textId="77777777" w:rsidR="00456BC5" w:rsidRPr="004B2A73" w:rsidRDefault="00456BC5" w:rsidP="00456BC5">
            <w:pPr>
              <w:rPr>
                <w:rFonts w:ascii="Calibri" w:hAnsi="Calibri"/>
              </w:rPr>
            </w:pPr>
            <w:r w:rsidRPr="004B2A73">
              <w:rPr>
                <w:rFonts w:ascii="Calibri" w:hAnsi="Calibri"/>
              </w:rPr>
              <w:t>Apapa/Lagos/TCI</w:t>
            </w:r>
          </w:p>
        </w:tc>
        <w:tc>
          <w:tcPr>
            <w:tcW w:w="850" w:type="dxa"/>
          </w:tcPr>
          <w:p w14:paraId="10ACA62D"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290</w:t>
            </w:r>
          </w:p>
        </w:tc>
        <w:tc>
          <w:tcPr>
            <w:tcW w:w="850" w:type="dxa"/>
          </w:tcPr>
          <w:p w14:paraId="4A6FC12C"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588</w:t>
            </w:r>
          </w:p>
        </w:tc>
        <w:tc>
          <w:tcPr>
            <w:tcW w:w="850" w:type="dxa"/>
          </w:tcPr>
          <w:p w14:paraId="3C5290FF"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46916293"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527F765F"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588</w:t>
            </w:r>
          </w:p>
        </w:tc>
        <w:tc>
          <w:tcPr>
            <w:tcW w:w="850" w:type="dxa"/>
          </w:tcPr>
          <w:p w14:paraId="7EECF399"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1413</w:t>
            </w:r>
          </w:p>
        </w:tc>
        <w:tc>
          <w:tcPr>
            <w:tcW w:w="850" w:type="dxa"/>
          </w:tcPr>
          <w:p w14:paraId="634A33A9"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30ACB6A2"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4B2A73">
              <w:rPr>
                <w:rFonts w:ascii="Calibri" w:hAnsi="Calibri"/>
              </w:rPr>
              <w:t>-</w:t>
            </w:r>
          </w:p>
        </w:tc>
        <w:tc>
          <w:tcPr>
            <w:tcW w:w="850" w:type="dxa"/>
          </w:tcPr>
          <w:p w14:paraId="6CE72F54" w14:textId="77777777" w:rsidR="00456BC5" w:rsidRPr="004B2A73" w:rsidRDefault="00456BC5" w:rsidP="00456BC5">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4B2A73">
              <w:rPr>
                <w:rFonts w:ascii="Calibri" w:hAnsi="Calibri"/>
                <w:b/>
              </w:rPr>
              <w:t>1413</w:t>
            </w:r>
          </w:p>
        </w:tc>
      </w:tr>
      <w:tr w:rsidR="00456BC5" w:rsidRPr="004B2A73" w14:paraId="1ABE266D" w14:textId="77777777" w:rsidTr="007B40D0">
        <w:tc>
          <w:tcPr>
            <w:cnfStyle w:val="001000000000" w:firstRow="0" w:lastRow="0" w:firstColumn="1" w:lastColumn="0" w:oddVBand="0" w:evenVBand="0" w:oddHBand="0" w:evenHBand="0" w:firstRowFirstColumn="0" w:firstRowLastColumn="0" w:lastRowFirstColumn="0" w:lastRowLastColumn="0"/>
            <w:tcW w:w="1871" w:type="dxa"/>
          </w:tcPr>
          <w:p w14:paraId="7D59A755" w14:textId="77777777" w:rsidR="00456BC5" w:rsidRPr="004B2A73" w:rsidRDefault="00456BC5" w:rsidP="00781324">
            <w:pPr>
              <w:rPr>
                <w:rFonts w:ascii="Calibri" w:hAnsi="Calibri"/>
              </w:rPr>
            </w:pPr>
            <w:r w:rsidRPr="004B2A73">
              <w:rPr>
                <w:rFonts w:ascii="Calibri" w:hAnsi="Calibri"/>
              </w:rPr>
              <w:t>Onne/Pt</w:t>
            </w:r>
            <w:r w:rsidR="00781324" w:rsidRPr="004B2A73">
              <w:rPr>
                <w:rFonts w:ascii="Calibri" w:hAnsi="Calibri"/>
              </w:rPr>
              <w:t xml:space="preserve"> </w:t>
            </w:r>
            <w:r w:rsidRPr="004B2A73">
              <w:rPr>
                <w:rFonts w:ascii="Calibri" w:hAnsi="Calibri"/>
              </w:rPr>
              <w:t>Harcourt</w:t>
            </w:r>
          </w:p>
        </w:tc>
        <w:tc>
          <w:tcPr>
            <w:tcW w:w="850" w:type="dxa"/>
          </w:tcPr>
          <w:p w14:paraId="7375636F"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10</w:t>
            </w:r>
          </w:p>
        </w:tc>
        <w:tc>
          <w:tcPr>
            <w:tcW w:w="850" w:type="dxa"/>
          </w:tcPr>
          <w:p w14:paraId="79748764"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65</w:t>
            </w:r>
          </w:p>
        </w:tc>
        <w:tc>
          <w:tcPr>
            <w:tcW w:w="850" w:type="dxa"/>
          </w:tcPr>
          <w:p w14:paraId="067B0117"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37E58947"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7BD02BED"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65</w:t>
            </w:r>
          </w:p>
        </w:tc>
        <w:tc>
          <w:tcPr>
            <w:tcW w:w="850" w:type="dxa"/>
          </w:tcPr>
          <w:p w14:paraId="7C3219B5"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98</w:t>
            </w:r>
          </w:p>
        </w:tc>
        <w:tc>
          <w:tcPr>
            <w:tcW w:w="850" w:type="dxa"/>
          </w:tcPr>
          <w:p w14:paraId="29112346"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11830B46"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w:t>
            </w:r>
          </w:p>
        </w:tc>
        <w:tc>
          <w:tcPr>
            <w:tcW w:w="850" w:type="dxa"/>
          </w:tcPr>
          <w:p w14:paraId="6B5443E9" w14:textId="77777777" w:rsidR="00456BC5" w:rsidRPr="004B2A73" w:rsidRDefault="00456BC5" w:rsidP="00456BC5">
            <w:pPr>
              <w:jc w:val="right"/>
              <w:cnfStyle w:val="000000000000" w:firstRow="0" w:lastRow="0" w:firstColumn="0" w:lastColumn="0" w:oddVBand="0" w:evenVBand="0" w:oddHBand="0" w:evenHBand="0" w:firstRowFirstColumn="0" w:firstRowLastColumn="0" w:lastRowFirstColumn="0" w:lastRowLastColumn="0"/>
              <w:rPr>
                <w:rFonts w:ascii="Calibri" w:hAnsi="Calibri"/>
                <w:b/>
              </w:rPr>
            </w:pPr>
            <w:r w:rsidRPr="004B2A73">
              <w:rPr>
                <w:rFonts w:ascii="Calibri" w:hAnsi="Calibri"/>
                <w:b/>
              </w:rPr>
              <w:t>98</w:t>
            </w:r>
          </w:p>
        </w:tc>
      </w:tr>
      <w:tr w:rsidR="00456BC5" w:rsidRPr="004B2A73" w14:paraId="02B045A1" w14:textId="77777777" w:rsidTr="007B40D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71" w:type="dxa"/>
          </w:tcPr>
          <w:p w14:paraId="0BD4E2EA" w14:textId="77777777" w:rsidR="00456BC5" w:rsidRPr="004B2A73" w:rsidRDefault="00781324" w:rsidP="00456BC5">
            <w:pPr>
              <w:rPr>
                <w:rFonts w:ascii="Calibri" w:hAnsi="Calibri"/>
              </w:rPr>
            </w:pPr>
            <w:r w:rsidRPr="004B2A73">
              <w:rPr>
                <w:rFonts w:ascii="Calibri" w:hAnsi="Calibri"/>
              </w:rPr>
              <w:t>West Africa</w:t>
            </w:r>
          </w:p>
        </w:tc>
        <w:tc>
          <w:tcPr>
            <w:tcW w:w="850" w:type="dxa"/>
          </w:tcPr>
          <w:p w14:paraId="0111F125" w14:textId="77777777" w:rsidR="00456BC5" w:rsidRPr="004B2A73" w:rsidRDefault="00456BC5" w:rsidP="00456BC5">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1007</w:t>
            </w:r>
          </w:p>
        </w:tc>
        <w:tc>
          <w:tcPr>
            <w:tcW w:w="850" w:type="dxa"/>
          </w:tcPr>
          <w:p w14:paraId="285CCC85" w14:textId="77777777" w:rsidR="00456BC5" w:rsidRPr="004B2A73" w:rsidRDefault="00456BC5" w:rsidP="00781324">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2325</w:t>
            </w:r>
          </w:p>
        </w:tc>
        <w:tc>
          <w:tcPr>
            <w:tcW w:w="850" w:type="dxa"/>
          </w:tcPr>
          <w:p w14:paraId="0B1EC703" w14:textId="77777777" w:rsidR="00456BC5" w:rsidRPr="004B2A73" w:rsidRDefault="00456BC5" w:rsidP="00781324">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31</w:t>
            </w:r>
            <w:r w:rsidR="00781324" w:rsidRPr="004B2A73">
              <w:rPr>
                <w:rFonts w:ascii="Calibri" w:hAnsi="Calibri"/>
              </w:rPr>
              <w:t>5</w:t>
            </w:r>
          </w:p>
        </w:tc>
        <w:tc>
          <w:tcPr>
            <w:tcW w:w="850" w:type="dxa"/>
          </w:tcPr>
          <w:p w14:paraId="36C58203" w14:textId="77777777" w:rsidR="00456BC5" w:rsidRPr="004B2A73" w:rsidRDefault="00456BC5" w:rsidP="00456BC5">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83</w:t>
            </w:r>
          </w:p>
        </w:tc>
        <w:tc>
          <w:tcPr>
            <w:tcW w:w="850" w:type="dxa"/>
          </w:tcPr>
          <w:p w14:paraId="52198CF6" w14:textId="77777777" w:rsidR="00456BC5" w:rsidRPr="004B2A73" w:rsidRDefault="00456BC5" w:rsidP="00456BC5">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2694</w:t>
            </w:r>
          </w:p>
        </w:tc>
        <w:tc>
          <w:tcPr>
            <w:tcW w:w="850" w:type="dxa"/>
          </w:tcPr>
          <w:p w14:paraId="39418FAF" w14:textId="77777777" w:rsidR="00456BC5" w:rsidRPr="004B2A73" w:rsidRDefault="00456BC5" w:rsidP="00456BC5">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3777</w:t>
            </w:r>
          </w:p>
        </w:tc>
        <w:tc>
          <w:tcPr>
            <w:tcW w:w="850" w:type="dxa"/>
          </w:tcPr>
          <w:p w14:paraId="23321002" w14:textId="77777777" w:rsidR="00456BC5" w:rsidRPr="004B2A73" w:rsidRDefault="00456BC5" w:rsidP="00456BC5">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379</w:t>
            </w:r>
          </w:p>
        </w:tc>
        <w:tc>
          <w:tcPr>
            <w:tcW w:w="850" w:type="dxa"/>
          </w:tcPr>
          <w:p w14:paraId="529CD1A0" w14:textId="77777777" w:rsidR="00456BC5" w:rsidRPr="004B2A73" w:rsidRDefault="00456BC5" w:rsidP="00456BC5">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263</w:t>
            </w:r>
          </w:p>
        </w:tc>
        <w:tc>
          <w:tcPr>
            <w:tcW w:w="850" w:type="dxa"/>
          </w:tcPr>
          <w:p w14:paraId="6522CA1A" w14:textId="77777777" w:rsidR="00456BC5" w:rsidRPr="004B2A73" w:rsidRDefault="00456BC5" w:rsidP="00456BC5">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4B2A73">
              <w:rPr>
                <w:rFonts w:ascii="Calibri" w:hAnsi="Calibri"/>
              </w:rPr>
              <w:t>4419</w:t>
            </w:r>
          </w:p>
        </w:tc>
      </w:tr>
    </w:tbl>
    <w:p w14:paraId="3F6BE078" w14:textId="77777777" w:rsidR="003D778E" w:rsidRPr="004B2A73" w:rsidRDefault="003D778E">
      <w:pPr>
        <w:rPr>
          <w:rFonts w:ascii="Calibri" w:eastAsiaTheme="majorEastAsia" w:hAnsi="Calibri"/>
          <w:b/>
          <w:sz w:val="24"/>
          <w:szCs w:val="24"/>
        </w:rPr>
      </w:pPr>
    </w:p>
    <w:p w14:paraId="09D4918E" w14:textId="082CB5BA" w:rsidR="00390D06" w:rsidRPr="00390D06" w:rsidRDefault="00390D06" w:rsidP="00390D06">
      <w:pPr>
        <w:keepNext/>
        <w:spacing w:after="0" w:line="240" w:lineRule="auto"/>
        <w:rPr>
          <w:rFonts w:ascii="Calibri" w:hAnsi="Calibri"/>
          <w:bCs/>
          <w:smallCaps/>
          <w:color w:val="44546A" w:themeColor="text2"/>
        </w:rPr>
      </w:pPr>
      <w:bookmarkStart w:id="165" w:name="_Ref472425089"/>
      <w:bookmarkStart w:id="166" w:name="_Toc472430629"/>
      <w:bookmarkStart w:id="167" w:name="_Toc485381931"/>
      <w:r w:rsidRPr="00390D06">
        <w:rPr>
          <w:rFonts w:ascii="Calibri" w:hAnsi="Calibri"/>
          <w:bCs/>
          <w:smallCaps/>
          <w:color w:val="44546A" w:themeColor="text2"/>
        </w:rPr>
        <w:t xml:space="preserve">Table </w:t>
      </w:r>
      <w:r w:rsidRPr="00390D06">
        <w:rPr>
          <w:rFonts w:ascii="Calibri" w:hAnsi="Calibri"/>
          <w:bCs/>
          <w:smallCaps/>
          <w:color w:val="44546A" w:themeColor="text2"/>
        </w:rPr>
        <w:fldChar w:fldCharType="begin"/>
      </w:r>
      <w:r w:rsidRPr="00390D06">
        <w:rPr>
          <w:rFonts w:ascii="Calibri" w:hAnsi="Calibri"/>
          <w:bCs/>
          <w:smallCaps/>
          <w:color w:val="44546A" w:themeColor="text2"/>
        </w:rPr>
        <w:instrText xml:space="preserve"> SEQ Table \* ARABIC </w:instrText>
      </w:r>
      <w:r w:rsidRPr="00390D06">
        <w:rPr>
          <w:rFonts w:ascii="Calibri" w:hAnsi="Calibri"/>
          <w:bCs/>
          <w:smallCaps/>
          <w:color w:val="44546A" w:themeColor="text2"/>
        </w:rPr>
        <w:fldChar w:fldCharType="separate"/>
      </w:r>
      <w:r w:rsidR="00212D01">
        <w:rPr>
          <w:rFonts w:ascii="Calibri" w:hAnsi="Calibri"/>
          <w:bCs/>
          <w:smallCaps/>
          <w:noProof/>
          <w:color w:val="44546A" w:themeColor="text2"/>
        </w:rPr>
        <w:t>20</w:t>
      </w:r>
      <w:r w:rsidRPr="00390D06">
        <w:rPr>
          <w:rFonts w:ascii="Calibri" w:hAnsi="Calibri"/>
          <w:bCs/>
          <w:smallCaps/>
          <w:color w:val="44546A" w:themeColor="text2"/>
        </w:rPr>
        <w:fldChar w:fldCharType="end"/>
      </w:r>
      <w:bookmarkEnd w:id="165"/>
      <w:r w:rsidRPr="00390D06">
        <w:rPr>
          <w:rFonts w:ascii="Calibri" w:hAnsi="Calibri"/>
          <w:bCs/>
          <w:smallCaps/>
          <w:color w:val="44546A" w:themeColor="text2"/>
        </w:rPr>
        <w:t>: GDP and GDP Growth</w:t>
      </w:r>
      <w:bookmarkEnd w:id="166"/>
      <w:bookmarkEnd w:id="167"/>
    </w:p>
    <w:tbl>
      <w:tblPr>
        <w:tblStyle w:val="ListTable3-Accent311"/>
        <w:tblW w:w="8847" w:type="dxa"/>
        <w:tblLook w:val="04E0" w:firstRow="1" w:lastRow="1" w:firstColumn="1" w:lastColumn="0" w:noHBand="0" w:noVBand="1"/>
      </w:tblPr>
      <w:tblGrid>
        <w:gridCol w:w="1701"/>
        <w:gridCol w:w="794"/>
        <w:gridCol w:w="794"/>
        <w:gridCol w:w="794"/>
        <w:gridCol w:w="794"/>
        <w:gridCol w:w="794"/>
        <w:gridCol w:w="794"/>
        <w:gridCol w:w="794"/>
        <w:gridCol w:w="794"/>
        <w:gridCol w:w="794"/>
      </w:tblGrid>
      <w:tr w:rsidR="00390D06" w:rsidRPr="00390D06" w14:paraId="15644935" w14:textId="77777777" w:rsidTr="006161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3AE0A5AA" w14:textId="77777777" w:rsidR="00390D06" w:rsidRPr="00390D06" w:rsidRDefault="00390D06" w:rsidP="00390D06">
            <w:pPr>
              <w:rPr>
                <w:rFonts w:ascii="Calibri" w:hAnsi="Calibri"/>
              </w:rPr>
            </w:pPr>
            <w:r w:rsidRPr="00390D06">
              <w:rPr>
                <w:rFonts w:ascii="Calibri" w:hAnsi="Calibri"/>
              </w:rPr>
              <w:t>Country</w:t>
            </w:r>
          </w:p>
        </w:tc>
        <w:tc>
          <w:tcPr>
            <w:tcW w:w="794" w:type="dxa"/>
          </w:tcPr>
          <w:p w14:paraId="5740439F"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1996</w:t>
            </w:r>
          </w:p>
        </w:tc>
        <w:tc>
          <w:tcPr>
            <w:tcW w:w="794" w:type="dxa"/>
          </w:tcPr>
          <w:p w14:paraId="576F14EF"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2006</w:t>
            </w:r>
          </w:p>
        </w:tc>
        <w:tc>
          <w:tcPr>
            <w:tcW w:w="794" w:type="dxa"/>
          </w:tcPr>
          <w:p w14:paraId="5B82FD6C"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2011</w:t>
            </w:r>
          </w:p>
        </w:tc>
        <w:tc>
          <w:tcPr>
            <w:tcW w:w="794" w:type="dxa"/>
          </w:tcPr>
          <w:p w14:paraId="4B4107F4"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2017</w:t>
            </w:r>
          </w:p>
        </w:tc>
        <w:tc>
          <w:tcPr>
            <w:tcW w:w="794" w:type="dxa"/>
          </w:tcPr>
          <w:p w14:paraId="18DAEED0"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2020</w:t>
            </w:r>
          </w:p>
        </w:tc>
        <w:tc>
          <w:tcPr>
            <w:tcW w:w="794" w:type="dxa"/>
          </w:tcPr>
          <w:p w14:paraId="22086CDE"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96/06</w:t>
            </w:r>
          </w:p>
        </w:tc>
        <w:tc>
          <w:tcPr>
            <w:tcW w:w="794" w:type="dxa"/>
          </w:tcPr>
          <w:p w14:paraId="3845492E"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06/11</w:t>
            </w:r>
          </w:p>
        </w:tc>
        <w:tc>
          <w:tcPr>
            <w:tcW w:w="794" w:type="dxa"/>
          </w:tcPr>
          <w:p w14:paraId="55153CF5"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11/17</w:t>
            </w:r>
          </w:p>
        </w:tc>
        <w:tc>
          <w:tcPr>
            <w:tcW w:w="794" w:type="dxa"/>
          </w:tcPr>
          <w:p w14:paraId="2AD05547" w14:textId="77777777" w:rsidR="00390D06" w:rsidRPr="00390D06" w:rsidRDefault="00390D06" w:rsidP="00390D06">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17/20</w:t>
            </w:r>
          </w:p>
        </w:tc>
      </w:tr>
      <w:tr w:rsidR="00390D06" w:rsidRPr="00390D06" w14:paraId="4061B92D" w14:textId="77777777" w:rsidTr="00616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3592383" w14:textId="77777777" w:rsidR="00390D06" w:rsidRPr="00390D06" w:rsidRDefault="00390D06" w:rsidP="00390D06">
            <w:pPr>
              <w:rPr>
                <w:rFonts w:ascii="Calibri" w:hAnsi="Calibri"/>
              </w:rPr>
            </w:pPr>
            <w:r w:rsidRPr="00390D06">
              <w:rPr>
                <w:rFonts w:ascii="Calibri" w:hAnsi="Calibri"/>
              </w:rPr>
              <w:t>Benin</w:t>
            </w:r>
          </w:p>
        </w:tc>
        <w:tc>
          <w:tcPr>
            <w:tcW w:w="794" w:type="dxa"/>
          </w:tcPr>
          <w:p w14:paraId="4DB42757"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2.4</w:t>
            </w:r>
          </w:p>
        </w:tc>
        <w:tc>
          <w:tcPr>
            <w:tcW w:w="794" w:type="dxa"/>
          </w:tcPr>
          <w:p w14:paraId="13560AC7"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5.1</w:t>
            </w:r>
          </w:p>
        </w:tc>
        <w:tc>
          <w:tcPr>
            <w:tcW w:w="794" w:type="dxa"/>
          </w:tcPr>
          <w:p w14:paraId="66E8236C"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7.8</w:t>
            </w:r>
          </w:p>
        </w:tc>
        <w:tc>
          <w:tcPr>
            <w:tcW w:w="794" w:type="dxa"/>
          </w:tcPr>
          <w:p w14:paraId="72A3C9BD"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9.6</w:t>
            </w:r>
          </w:p>
        </w:tc>
        <w:tc>
          <w:tcPr>
            <w:tcW w:w="794" w:type="dxa"/>
          </w:tcPr>
          <w:p w14:paraId="107F39E5"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12.1</w:t>
            </w:r>
          </w:p>
        </w:tc>
        <w:tc>
          <w:tcPr>
            <w:tcW w:w="794" w:type="dxa"/>
          </w:tcPr>
          <w:p w14:paraId="7BDCBEC2"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8.1%</w:t>
            </w:r>
          </w:p>
        </w:tc>
        <w:tc>
          <w:tcPr>
            <w:tcW w:w="794" w:type="dxa"/>
          </w:tcPr>
          <w:p w14:paraId="5E8F1DFF"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8.7%</w:t>
            </w:r>
          </w:p>
        </w:tc>
        <w:tc>
          <w:tcPr>
            <w:tcW w:w="794" w:type="dxa"/>
          </w:tcPr>
          <w:p w14:paraId="337EB3DA"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3.5%</w:t>
            </w:r>
          </w:p>
        </w:tc>
        <w:tc>
          <w:tcPr>
            <w:tcW w:w="794" w:type="dxa"/>
          </w:tcPr>
          <w:p w14:paraId="1EC68179"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7.9%</w:t>
            </w:r>
          </w:p>
        </w:tc>
      </w:tr>
      <w:tr w:rsidR="00390D06" w:rsidRPr="00390D06" w14:paraId="14E7AC26" w14:textId="77777777" w:rsidTr="006161AC">
        <w:tc>
          <w:tcPr>
            <w:cnfStyle w:val="001000000000" w:firstRow="0" w:lastRow="0" w:firstColumn="1" w:lastColumn="0" w:oddVBand="0" w:evenVBand="0" w:oddHBand="0" w:evenHBand="0" w:firstRowFirstColumn="0" w:firstRowLastColumn="0" w:lastRowFirstColumn="0" w:lastRowLastColumn="0"/>
            <w:tcW w:w="1701" w:type="dxa"/>
          </w:tcPr>
          <w:p w14:paraId="0009D25C" w14:textId="77777777" w:rsidR="00390D06" w:rsidRPr="00390D06" w:rsidRDefault="00390D06" w:rsidP="00390D06">
            <w:pPr>
              <w:rPr>
                <w:rFonts w:ascii="Calibri" w:hAnsi="Calibri"/>
              </w:rPr>
            </w:pPr>
            <w:r w:rsidRPr="00390D06">
              <w:rPr>
                <w:rFonts w:ascii="Calibri" w:hAnsi="Calibri"/>
              </w:rPr>
              <w:t>Burkina Faso</w:t>
            </w:r>
          </w:p>
        </w:tc>
        <w:tc>
          <w:tcPr>
            <w:tcW w:w="794" w:type="dxa"/>
          </w:tcPr>
          <w:p w14:paraId="13D7D33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2.6</w:t>
            </w:r>
          </w:p>
        </w:tc>
        <w:tc>
          <w:tcPr>
            <w:tcW w:w="794" w:type="dxa"/>
          </w:tcPr>
          <w:p w14:paraId="59CDA204"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5.8</w:t>
            </w:r>
          </w:p>
        </w:tc>
        <w:tc>
          <w:tcPr>
            <w:tcW w:w="794" w:type="dxa"/>
          </w:tcPr>
          <w:p w14:paraId="40CD692F"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10.7</w:t>
            </w:r>
          </w:p>
        </w:tc>
        <w:tc>
          <w:tcPr>
            <w:tcW w:w="794" w:type="dxa"/>
          </w:tcPr>
          <w:p w14:paraId="23490FC2"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13.1</w:t>
            </w:r>
          </w:p>
        </w:tc>
        <w:tc>
          <w:tcPr>
            <w:tcW w:w="794" w:type="dxa"/>
          </w:tcPr>
          <w:p w14:paraId="44EE5D98"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16.8</w:t>
            </w:r>
          </w:p>
        </w:tc>
        <w:tc>
          <w:tcPr>
            <w:tcW w:w="794" w:type="dxa"/>
          </w:tcPr>
          <w:p w14:paraId="07895B13"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8.4%</w:t>
            </w:r>
          </w:p>
        </w:tc>
        <w:tc>
          <w:tcPr>
            <w:tcW w:w="794" w:type="dxa"/>
          </w:tcPr>
          <w:p w14:paraId="3B77ACFD"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13.0%</w:t>
            </w:r>
          </w:p>
        </w:tc>
        <w:tc>
          <w:tcPr>
            <w:tcW w:w="794" w:type="dxa"/>
          </w:tcPr>
          <w:p w14:paraId="79342B84"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3.4%</w:t>
            </w:r>
          </w:p>
        </w:tc>
        <w:tc>
          <w:tcPr>
            <w:tcW w:w="794" w:type="dxa"/>
          </w:tcPr>
          <w:p w14:paraId="61765D57"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8.7%</w:t>
            </w:r>
          </w:p>
        </w:tc>
      </w:tr>
      <w:tr w:rsidR="00390D06" w:rsidRPr="00390D06" w14:paraId="1BCF904E" w14:textId="77777777" w:rsidTr="00616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6C3E39B" w14:textId="77777777" w:rsidR="00390D06" w:rsidRPr="00390D06" w:rsidRDefault="00390D06" w:rsidP="00390D06">
            <w:pPr>
              <w:rPr>
                <w:rFonts w:ascii="Calibri" w:hAnsi="Calibri"/>
              </w:rPr>
            </w:pPr>
            <w:r w:rsidRPr="00390D06">
              <w:rPr>
                <w:rFonts w:ascii="Calibri" w:hAnsi="Calibri"/>
              </w:rPr>
              <w:t>Cabo Verde</w:t>
            </w:r>
          </w:p>
        </w:tc>
        <w:tc>
          <w:tcPr>
            <w:tcW w:w="794" w:type="dxa"/>
          </w:tcPr>
          <w:p w14:paraId="73FF74D1"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0.6</w:t>
            </w:r>
          </w:p>
        </w:tc>
        <w:tc>
          <w:tcPr>
            <w:tcW w:w="794" w:type="dxa"/>
          </w:tcPr>
          <w:p w14:paraId="2A316904"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1.2</w:t>
            </w:r>
          </w:p>
        </w:tc>
        <w:tc>
          <w:tcPr>
            <w:tcW w:w="794" w:type="dxa"/>
          </w:tcPr>
          <w:p w14:paraId="4496984B"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1.9</w:t>
            </w:r>
          </w:p>
        </w:tc>
        <w:tc>
          <w:tcPr>
            <w:tcW w:w="794" w:type="dxa"/>
          </w:tcPr>
          <w:p w14:paraId="605D46EB"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1.8</w:t>
            </w:r>
          </w:p>
        </w:tc>
        <w:tc>
          <w:tcPr>
            <w:tcW w:w="794" w:type="dxa"/>
          </w:tcPr>
          <w:p w14:paraId="75767EC2"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2.2</w:t>
            </w:r>
          </w:p>
        </w:tc>
        <w:tc>
          <w:tcPr>
            <w:tcW w:w="794" w:type="dxa"/>
          </w:tcPr>
          <w:p w14:paraId="5DE9CD10"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8.4%</w:t>
            </w:r>
          </w:p>
        </w:tc>
        <w:tc>
          <w:tcPr>
            <w:tcW w:w="794" w:type="dxa"/>
          </w:tcPr>
          <w:p w14:paraId="6D6CD0ED"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8.6%</w:t>
            </w:r>
          </w:p>
        </w:tc>
        <w:tc>
          <w:tcPr>
            <w:tcW w:w="794" w:type="dxa"/>
          </w:tcPr>
          <w:p w14:paraId="02980671"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-0.8%</w:t>
            </w:r>
          </w:p>
        </w:tc>
        <w:tc>
          <w:tcPr>
            <w:tcW w:w="794" w:type="dxa"/>
          </w:tcPr>
          <w:p w14:paraId="1D3BD7B9"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7.1%</w:t>
            </w:r>
          </w:p>
        </w:tc>
      </w:tr>
      <w:tr w:rsidR="00390D06" w:rsidRPr="00390D06" w14:paraId="3EDA8104" w14:textId="77777777" w:rsidTr="006161AC">
        <w:tc>
          <w:tcPr>
            <w:cnfStyle w:val="001000000000" w:firstRow="0" w:lastRow="0" w:firstColumn="1" w:lastColumn="0" w:oddVBand="0" w:evenVBand="0" w:oddHBand="0" w:evenHBand="0" w:firstRowFirstColumn="0" w:firstRowLastColumn="0" w:lastRowFirstColumn="0" w:lastRowLastColumn="0"/>
            <w:tcW w:w="1701" w:type="dxa"/>
          </w:tcPr>
          <w:p w14:paraId="04DFBE61" w14:textId="77777777" w:rsidR="00390D06" w:rsidRPr="00390D06" w:rsidRDefault="00390D06" w:rsidP="00390D06">
            <w:pPr>
              <w:rPr>
                <w:rFonts w:ascii="Calibri" w:hAnsi="Calibri"/>
              </w:rPr>
            </w:pPr>
            <w:r w:rsidRPr="00390D06">
              <w:rPr>
                <w:rFonts w:ascii="Calibri" w:hAnsi="Calibri"/>
              </w:rPr>
              <w:t>Côte d'Ivoire</w:t>
            </w:r>
          </w:p>
        </w:tc>
        <w:tc>
          <w:tcPr>
            <w:tcW w:w="794" w:type="dxa"/>
          </w:tcPr>
          <w:p w14:paraId="16975201"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12.1</w:t>
            </w:r>
          </w:p>
        </w:tc>
        <w:tc>
          <w:tcPr>
            <w:tcW w:w="794" w:type="dxa"/>
          </w:tcPr>
          <w:p w14:paraId="46319DC5"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17.8</w:t>
            </w:r>
          </w:p>
        </w:tc>
        <w:tc>
          <w:tcPr>
            <w:tcW w:w="794" w:type="dxa"/>
          </w:tcPr>
          <w:p w14:paraId="787E6B4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25.7</w:t>
            </w:r>
          </w:p>
        </w:tc>
        <w:tc>
          <w:tcPr>
            <w:tcW w:w="794" w:type="dxa"/>
          </w:tcPr>
          <w:p w14:paraId="24E56A8A"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38.4</w:t>
            </w:r>
          </w:p>
        </w:tc>
        <w:tc>
          <w:tcPr>
            <w:tcW w:w="794" w:type="dxa"/>
          </w:tcPr>
          <w:p w14:paraId="10350661"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51.5</w:t>
            </w:r>
          </w:p>
        </w:tc>
        <w:tc>
          <w:tcPr>
            <w:tcW w:w="794" w:type="dxa"/>
          </w:tcPr>
          <w:p w14:paraId="5D426D56"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3.9%</w:t>
            </w:r>
          </w:p>
        </w:tc>
        <w:tc>
          <w:tcPr>
            <w:tcW w:w="794" w:type="dxa"/>
          </w:tcPr>
          <w:p w14:paraId="58695BA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7.6%</w:t>
            </w:r>
          </w:p>
        </w:tc>
        <w:tc>
          <w:tcPr>
            <w:tcW w:w="794" w:type="dxa"/>
          </w:tcPr>
          <w:p w14:paraId="5CECEBBB"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6.9%</w:t>
            </w:r>
          </w:p>
        </w:tc>
        <w:tc>
          <w:tcPr>
            <w:tcW w:w="794" w:type="dxa"/>
          </w:tcPr>
          <w:p w14:paraId="081C4046"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10.3%</w:t>
            </w:r>
          </w:p>
        </w:tc>
      </w:tr>
      <w:tr w:rsidR="00390D06" w:rsidRPr="00390D06" w14:paraId="73BCEAEC" w14:textId="77777777" w:rsidTr="00616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F944A25" w14:textId="77777777" w:rsidR="00390D06" w:rsidRPr="00390D06" w:rsidRDefault="00390D06" w:rsidP="00390D06">
            <w:pPr>
              <w:rPr>
                <w:rFonts w:ascii="Calibri" w:hAnsi="Calibri"/>
              </w:rPr>
            </w:pPr>
            <w:r w:rsidRPr="00390D06">
              <w:rPr>
                <w:rFonts w:ascii="Calibri" w:hAnsi="Calibri"/>
              </w:rPr>
              <w:t>Ghana</w:t>
            </w:r>
          </w:p>
        </w:tc>
        <w:tc>
          <w:tcPr>
            <w:tcW w:w="794" w:type="dxa"/>
          </w:tcPr>
          <w:p w14:paraId="56ED6986"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11.3</w:t>
            </w:r>
          </w:p>
        </w:tc>
        <w:tc>
          <w:tcPr>
            <w:tcW w:w="794" w:type="dxa"/>
          </w:tcPr>
          <w:p w14:paraId="6CF60BB9"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20.4</w:t>
            </w:r>
          </w:p>
        </w:tc>
        <w:tc>
          <w:tcPr>
            <w:tcW w:w="794" w:type="dxa"/>
          </w:tcPr>
          <w:p w14:paraId="362CB470"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39.6</w:t>
            </w:r>
          </w:p>
        </w:tc>
        <w:tc>
          <w:tcPr>
            <w:tcW w:w="794" w:type="dxa"/>
          </w:tcPr>
          <w:p w14:paraId="6C130CD1"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46.6</w:t>
            </w:r>
          </w:p>
        </w:tc>
        <w:tc>
          <w:tcPr>
            <w:tcW w:w="794" w:type="dxa"/>
          </w:tcPr>
          <w:p w14:paraId="31DFAFDA"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60.2</w:t>
            </w:r>
          </w:p>
        </w:tc>
        <w:tc>
          <w:tcPr>
            <w:tcW w:w="794" w:type="dxa"/>
          </w:tcPr>
          <w:p w14:paraId="6D6A16D5"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6.1%</w:t>
            </w:r>
          </w:p>
        </w:tc>
        <w:tc>
          <w:tcPr>
            <w:tcW w:w="794" w:type="dxa"/>
          </w:tcPr>
          <w:p w14:paraId="19FAE503"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14.2%</w:t>
            </w:r>
          </w:p>
        </w:tc>
        <w:tc>
          <w:tcPr>
            <w:tcW w:w="794" w:type="dxa"/>
          </w:tcPr>
          <w:p w14:paraId="493072D7"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2.8%</w:t>
            </w:r>
          </w:p>
        </w:tc>
        <w:tc>
          <w:tcPr>
            <w:tcW w:w="794" w:type="dxa"/>
          </w:tcPr>
          <w:p w14:paraId="62B27845"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8.9%</w:t>
            </w:r>
          </w:p>
        </w:tc>
      </w:tr>
      <w:tr w:rsidR="00390D06" w:rsidRPr="00390D06" w14:paraId="36E2792C" w14:textId="77777777" w:rsidTr="006161AC">
        <w:tc>
          <w:tcPr>
            <w:cnfStyle w:val="001000000000" w:firstRow="0" w:lastRow="0" w:firstColumn="1" w:lastColumn="0" w:oddVBand="0" w:evenVBand="0" w:oddHBand="0" w:evenHBand="0" w:firstRowFirstColumn="0" w:firstRowLastColumn="0" w:lastRowFirstColumn="0" w:lastRowLastColumn="0"/>
            <w:tcW w:w="1701" w:type="dxa"/>
          </w:tcPr>
          <w:p w14:paraId="318D433E" w14:textId="77777777" w:rsidR="00390D06" w:rsidRPr="00390D06" w:rsidRDefault="00390D06" w:rsidP="00390D06">
            <w:pPr>
              <w:rPr>
                <w:rFonts w:ascii="Calibri" w:hAnsi="Calibri"/>
              </w:rPr>
            </w:pPr>
            <w:r w:rsidRPr="00390D06">
              <w:rPr>
                <w:rFonts w:ascii="Calibri" w:hAnsi="Calibri"/>
              </w:rPr>
              <w:t>Guinea</w:t>
            </w:r>
          </w:p>
        </w:tc>
        <w:tc>
          <w:tcPr>
            <w:tcW w:w="794" w:type="dxa"/>
          </w:tcPr>
          <w:p w14:paraId="13595D65"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3.9</w:t>
            </w:r>
          </w:p>
        </w:tc>
        <w:tc>
          <w:tcPr>
            <w:tcW w:w="794" w:type="dxa"/>
          </w:tcPr>
          <w:p w14:paraId="6660A42F"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2.9</w:t>
            </w:r>
          </w:p>
        </w:tc>
        <w:tc>
          <w:tcPr>
            <w:tcW w:w="794" w:type="dxa"/>
          </w:tcPr>
          <w:p w14:paraId="24879DA1"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4.5</w:t>
            </w:r>
          </w:p>
        </w:tc>
        <w:tc>
          <w:tcPr>
            <w:tcW w:w="794" w:type="dxa"/>
          </w:tcPr>
          <w:p w14:paraId="01B6FB5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6.9</w:t>
            </w:r>
          </w:p>
        </w:tc>
        <w:tc>
          <w:tcPr>
            <w:tcW w:w="794" w:type="dxa"/>
          </w:tcPr>
          <w:p w14:paraId="63D3ED06"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8.3</w:t>
            </w:r>
          </w:p>
        </w:tc>
        <w:tc>
          <w:tcPr>
            <w:tcW w:w="794" w:type="dxa"/>
          </w:tcPr>
          <w:p w14:paraId="5438EB87"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-2.8%</w:t>
            </w:r>
          </w:p>
        </w:tc>
        <w:tc>
          <w:tcPr>
            <w:tcW w:w="794" w:type="dxa"/>
          </w:tcPr>
          <w:p w14:paraId="26B07D8D"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9.1%</w:t>
            </w:r>
          </w:p>
        </w:tc>
        <w:tc>
          <w:tcPr>
            <w:tcW w:w="794" w:type="dxa"/>
          </w:tcPr>
          <w:p w14:paraId="5BCD4617"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7.4%</w:t>
            </w:r>
          </w:p>
        </w:tc>
        <w:tc>
          <w:tcPr>
            <w:tcW w:w="794" w:type="dxa"/>
          </w:tcPr>
          <w:p w14:paraId="6D06BF36"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6.4%</w:t>
            </w:r>
          </w:p>
        </w:tc>
      </w:tr>
      <w:tr w:rsidR="00390D06" w:rsidRPr="00390D06" w14:paraId="1C3A28A3" w14:textId="77777777" w:rsidTr="00616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94F5EE2" w14:textId="77777777" w:rsidR="00390D06" w:rsidRPr="00390D06" w:rsidRDefault="00390D06" w:rsidP="00390D06">
            <w:pPr>
              <w:rPr>
                <w:rFonts w:ascii="Calibri" w:hAnsi="Calibri"/>
              </w:rPr>
            </w:pPr>
            <w:r w:rsidRPr="00390D06">
              <w:rPr>
                <w:rFonts w:ascii="Calibri" w:hAnsi="Calibri"/>
              </w:rPr>
              <w:t>Guinea-Bissau</w:t>
            </w:r>
          </w:p>
        </w:tc>
        <w:tc>
          <w:tcPr>
            <w:tcW w:w="794" w:type="dxa"/>
          </w:tcPr>
          <w:p w14:paraId="64F7CC08"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0.4</w:t>
            </w:r>
          </w:p>
        </w:tc>
        <w:tc>
          <w:tcPr>
            <w:tcW w:w="794" w:type="dxa"/>
          </w:tcPr>
          <w:p w14:paraId="115B3722"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0.6</w:t>
            </w:r>
          </w:p>
        </w:tc>
        <w:tc>
          <w:tcPr>
            <w:tcW w:w="794" w:type="dxa"/>
          </w:tcPr>
          <w:p w14:paraId="735EE03A"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1.1</w:t>
            </w:r>
          </w:p>
        </w:tc>
        <w:tc>
          <w:tcPr>
            <w:tcW w:w="794" w:type="dxa"/>
          </w:tcPr>
          <w:p w14:paraId="19CCF8D9"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1.2</w:t>
            </w:r>
          </w:p>
        </w:tc>
        <w:tc>
          <w:tcPr>
            <w:tcW w:w="794" w:type="dxa"/>
          </w:tcPr>
          <w:p w14:paraId="67736656"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1.6</w:t>
            </w:r>
          </w:p>
        </w:tc>
        <w:tc>
          <w:tcPr>
            <w:tcW w:w="794" w:type="dxa"/>
          </w:tcPr>
          <w:p w14:paraId="5129D259"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3.1%</w:t>
            </w:r>
          </w:p>
        </w:tc>
        <w:tc>
          <w:tcPr>
            <w:tcW w:w="794" w:type="dxa"/>
          </w:tcPr>
          <w:p w14:paraId="4C7789C1"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13.3%</w:t>
            </w:r>
          </w:p>
        </w:tc>
        <w:tc>
          <w:tcPr>
            <w:tcW w:w="794" w:type="dxa"/>
          </w:tcPr>
          <w:p w14:paraId="20ECA0C2"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1.9%</w:t>
            </w:r>
          </w:p>
        </w:tc>
        <w:tc>
          <w:tcPr>
            <w:tcW w:w="794" w:type="dxa"/>
          </w:tcPr>
          <w:p w14:paraId="30DFFEAE"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7.9%</w:t>
            </w:r>
          </w:p>
        </w:tc>
      </w:tr>
      <w:tr w:rsidR="00390D06" w:rsidRPr="00390D06" w14:paraId="7F08AC63" w14:textId="77777777" w:rsidTr="006161AC">
        <w:tc>
          <w:tcPr>
            <w:cnfStyle w:val="001000000000" w:firstRow="0" w:lastRow="0" w:firstColumn="1" w:lastColumn="0" w:oddVBand="0" w:evenVBand="0" w:oddHBand="0" w:evenHBand="0" w:firstRowFirstColumn="0" w:firstRowLastColumn="0" w:lastRowFirstColumn="0" w:lastRowLastColumn="0"/>
            <w:tcW w:w="1701" w:type="dxa"/>
          </w:tcPr>
          <w:p w14:paraId="7E35BD5E" w14:textId="77777777" w:rsidR="00390D06" w:rsidRPr="00390D06" w:rsidRDefault="00390D06" w:rsidP="00390D06">
            <w:pPr>
              <w:rPr>
                <w:rFonts w:ascii="Calibri" w:hAnsi="Calibri"/>
              </w:rPr>
            </w:pPr>
            <w:r w:rsidRPr="00390D06">
              <w:rPr>
                <w:rFonts w:ascii="Calibri" w:hAnsi="Calibri"/>
              </w:rPr>
              <w:t>Liberia (*)</w:t>
            </w:r>
          </w:p>
        </w:tc>
        <w:tc>
          <w:tcPr>
            <w:tcW w:w="794" w:type="dxa"/>
          </w:tcPr>
          <w:p w14:paraId="6EAEBC47"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0.6</w:t>
            </w:r>
          </w:p>
        </w:tc>
        <w:tc>
          <w:tcPr>
            <w:tcW w:w="794" w:type="dxa"/>
          </w:tcPr>
          <w:p w14:paraId="4079D6D2"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0.8</w:t>
            </w:r>
          </w:p>
        </w:tc>
        <w:tc>
          <w:tcPr>
            <w:tcW w:w="794" w:type="dxa"/>
          </w:tcPr>
          <w:p w14:paraId="1D3306D7"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1.5</w:t>
            </w:r>
          </w:p>
        </w:tc>
        <w:tc>
          <w:tcPr>
            <w:tcW w:w="794" w:type="dxa"/>
          </w:tcPr>
          <w:p w14:paraId="499A23B2"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2.3</w:t>
            </w:r>
          </w:p>
        </w:tc>
        <w:tc>
          <w:tcPr>
            <w:tcW w:w="794" w:type="dxa"/>
          </w:tcPr>
          <w:p w14:paraId="39584958"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3.0</w:t>
            </w:r>
          </w:p>
        </w:tc>
        <w:tc>
          <w:tcPr>
            <w:tcW w:w="794" w:type="dxa"/>
          </w:tcPr>
          <w:p w14:paraId="0B027B1B"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4.3%</w:t>
            </w:r>
          </w:p>
        </w:tc>
        <w:tc>
          <w:tcPr>
            <w:tcW w:w="794" w:type="dxa"/>
          </w:tcPr>
          <w:p w14:paraId="79396EE1"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15.3%</w:t>
            </w:r>
          </w:p>
        </w:tc>
        <w:tc>
          <w:tcPr>
            <w:tcW w:w="794" w:type="dxa"/>
          </w:tcPr>
          <w:p w14:paraId="2B5FB729"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7.2%</w:t>
            </w:r>
          </w:p>
        </w:tc>
        <w:tc>
          <w:tcPr>
            <w:tcW w:w="794" w:type="dxa"/>
          </w:tcPr>
          <w:p w14:paraId="12025878"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9.3%</w:t>
            </w:r>
          </w:p>
        </w:tc>
      </w:tr>
      <w:tr w:rsidR="00390D06" w:rsidRPr="00390D06" w14:paraId="1FC9B2D9" w14:textId="77777777" w:rsidTr="00616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ACA4608" w14:textId="77777777" w:rsidR="00390D06" w:rsidRPr="00390D06" w:rsidRDefault="00390D06" w:rsidP="00390D06">
            <w:pPr>
              <w:rPr>
                <w:rFonts w:ascii="Calibri" w:hAnsi="Calibri"/>
              </w:rPr>
            </w:pPr>
            <w:r w:rsidRPr="00390D06">
              <w:rPr>
                <w:rFonts w:ascii="Calibri" w:hAnsi="Calibri"/>
              </w:rPr>
              <w:t>Mali</w:t>
            </w:r>
          </w:p>
        </w:tc>
        <w:tc>
          <w:tcPr>
            <w:tcW w:w="794" w:type="dxa"/>
          </w:tcPr>
          <w:p w14:paraId="0CED6252"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3.4</w:t>
            </w:r>
          </w:p>
        </w:tc>
        <w:tc>
          <w:tcPr>
            <w:tcW w:w="794" w:type="dxa"/>
          </w:tcPr>
          <w:p w14:paraId="09E1AD39"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6.9</w:t>
            </w:r>
          </w:p>
        </w:tc>
        <w:tc>
          <w:tcPr>
            <w:tcW w:w="794" w:type="dxa"/>
          </w:tcPr>
          <w:p w14:paraId="31BF177C"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13.0</w:t>
            </w:r>
          </w:p>
        </w:tc>
        <w:tc>
          <w:tcPr>
            <w:tcW w:w="794" w:type="dxa"/>
          </w:tcPr>
          <w:p w14:paraId="0AF4B73B"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15.2</w:t>
            </w:r>
          </w:p>
        </w:tc>
        <w:tc>
          <w:tcPr>
            <w:tcW w:w="794" w:type="dxa"/>
          </w:tcPr>
          <w:p w14:paraId="69261B56"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18.1</w:t>
            </w:r>
          </w:p>
        </w:tc>
        <w:tc>
          <w:tcPr>
            <w:tcW w:w="794" w:type="dxa"/>
          </w:tcPr>
          <w:p w14:paraId="75F3A854"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7.3%</w:t>
            </w:r>
          </w:p>
        </w:tc>
        <w:tc>
          <w:tcPr>
            <w:tcW w:w="794" w:type="dxa"/>
          </w:tcPr>
          <w:p w14:paraId="1F8D828C"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13.5%</w:t>
            </w:r>
          </w:p>
        </w:tc>
        <w:tc>
          <w:tcPr>
            <w:tcW w:w="794" w:type="dxa"/>
          </w:tcPr>
          <w:p w14:paraId="12D5FB38"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2.6%</w:t>
            </w:r>
          </w:p>
        </w:tc>
        <w:tc>
          <w:tcPr>
            <w:tcW w:w="794" w:type="dxa"/>
          </w:tcPr>
          <w:p w14:paraId="36135C53"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6.1%</w:t>
            </w:r>
          </w:p>
        </w:tc>
      </w:tr>
      <w:tr w:rsidR="00390D06" w:rsidRPr="00390D06" w14:paraId="7D9EE437" w14:textId="77777777" w:rsidTr="006161AC">
        <w:tc>
          <w:tcPr>
            <w:cnfStyle w:val="001000000000" w:firstRow="0" w:lastRow="0" w:firstColumn="1" w:lastColumn="0" w:oddVBand="0" w:evenVBand="0" w:oddHBand="0" w:evenHBand="0" w:firstRowFirstColumn="0" w:firstRowLastColumn="0" w:lastRowFirstColumn="0" w:lastRowLastColumn="0"/>
            <w:tcW w:w="1701" w:type="dxa"/>
          </w:tcPr>
          <w:p w14:paraId="17DEE861" w14:textId="77777777" w:rsidR="00390D06" w:rsidRPr="00390D06" w:rsidRDefault="00390D06" w:rsidP="00390D06">
            <w:pPr>
              <w:rPr>
                <w:rFonts w:ascii="Calibri" w:hAnsi="Calibri"/>
              </w:rPr>
            </w:pPr>
            <w:r w:rsidRPr="00390D06">
              <w:rPr>
                <w:rFonts w:ascii="Calibri" w:hAnsi="Calibri"/>
              </w:rPr>
              <w:t>Niger</w:t>
            </w:r>
          </w:p>
        </w:tc>
        <w:tc>
          <w:tcPr>
            <w:tcW w:w="794" w:type="dxa"/>
          </w:tcPr>
          <w:p w14:paraId="5D8597E5"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1.9</w:t>
            </w:r>
          </w:p>
        </w:tc>
        <w:tc>
          <w:tcPr>
            <w:tcW w:w="794" w:type="dxa"/>
          </w:tcPr>
          <w:p w14:paraId="6921110B"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3.7</w:t>
            </w:r>
          </w:p>
        </w:tc>
        <w:tc>
          <w:tcPr>
            <w:tcW w:w="794" w:type="dxa"/>
          </w:tcPr>
          <w:p w14:paraId="3497BF91"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6.4</w:t>
            </w:r>
          </w:p>
        </w:tc>
        <w:tc>
          <w:tcPr>
            <w:tcW w:w="794" w:type="dxa"/>
          </w:tcPr>
          <w:p w14:paraId="3C9CFF15"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8.1</w:t>
            </w:r>
          </w:p>
        </w:tc>
        <w:tc>
          <w:tcPr>
            <w:tcW w:w="794" w:type="dxa"/>
          </w:tcPr>
          <w:p w14:paraId="6DF2A79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10.5</w:t>
            </w:r>
          </w:p>
        </w:tc>
        <w:tc>
          <w:tcPr>
            <w:tcW w:w="794" w:type="dxa"/>
          </w:tcPr>
          <w:p w14:paraId="11131E7A"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6.9%</w:t>
            </w:r>
          </w:p>
        </w:tc>
        <w:tc>
          <w:tcPr>
            <w:tcW w:w="794" w:type="dxa"/>
          </w:tcPr>
          <w:p w14:paraId="2584D5CF"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11.9%</w:t>
            </w:r>
          </w:p>
        </w:tc>
        <w:tc>
          <w:tcPr>
            <w:tcW w:w="794" w:type="dxa"/>
          </w:tcPr>
          <w:p w14:paraId="740B3578"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4.1%</w:t>
            </w:r>
          </w:p>
        </w:tc>
        <w:tc>
          <w:tcPr>
            <w:tcW w:w="794" w:type="dxa"/>
          </w:tcPr>
          <w:p w14:paraId="6D0F438A"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color w:val="000000"/>
              </w:rPr>
              <w:t>8.9%</w:t>
            </w:r>
          </w:p>
        </w:tc>
      </w:tr>
      <w:tr w:rsidR="00390D06" w:rsidRPr="00390D06" w14:paraId="7975B165" w14:textId="77777777" w:rsidTr="00616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3A5FF26" w14:textId="77777777" w:rsidR="00390D06" w:rsidRPr="00390D06" w:rsidRDefault="00390D06" w:rsidP="00390D06">
            <w:pPr>
              <w:rPr>
                <w:rFonts w:ascii="Calibri" w:hAnsi="Calibri"/>
              </w:rPr>
            </w:pPr>
            <w:r w:rsidRPr="00390D06">
              <w:rPr>
                <w:rFonts w:ascii="Calibri" w:hAnsi="Calibri"/>
              </w:rPr>
              <w:t>Nigeria</w:t>
            </w:r>
          </w:p>
        </w:tc>
        <w:tc>
          <w:tcPr>
            <w:tcW w:w="794" w:type="dxa"/>
          </w:tcPr>
          <w:p w14:paraId="223A47AC"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172.7</w:t>
            </w:r>
          </w:p>
        </w:tc>
        <w:tc>
          <w:tcPr>
            <w:tcW w:w="794" w:type="dxa"/>
          </w:tcPr>
          <w:p w14:paraId="30DC566B"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222.8</w:t>
            </w:r>
          </w:p>
        </w:tc>
        <w:tc>
          <w:tcPr>
            <w:tcW w:w="794" w:type="dxa"/>
          </w:tcPr>
          <w:p w14:paraId="0FEC24E9"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414.1</w:t>
            </w:r>
          </w:p>
        </w:tc>
        <w:tc>
          <w:tcPr>
            <w:tcW w:w="794" w:type="dxa"/>
          </w:tcPr>
          <w:p w14:paraId="7150B08B"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413.7</w:t>
            </w:r>
          </w:p>
        </w:tc>
        <w:tc>
          <w:tcPr>
            <w:tcW w:w="794" w:type="dxa"/>
          </w:tcPr>
          <w:p w14:paraId="3F91C3A6"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482.7</w:t>
            </w:r>
          </w:p>
        </w:tc>
        <w:tc>
          <w:tcPr>
            <w:tcW w:w="794" w:type="dxa"/>
          </w:tcPr>
          <w:p w14:paraId="560B9A95"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2.6%</w:t>
            </w:r>
          </w:p>
        </w:tc>
        <w:tc>
          <w:tcPr>
            <w:tcW w:w="794" w:type="dxa"/>
          </w:tcPr>
          <w:p w14:paraId="163639D2"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13.2%</w:t>
            </w:r>
          </w:p>
        </w:tc>
        <w:tc>
          <w:tcPr>
            <w:tcW w:w="794" w:type="dxa"/>
          </w:tcPr>
          <w:p w14:paraId="3954F226"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0.0%</w:t>
            </w:r>
          </w:p>
        </w:tc>
        <w:tc>
          <w:tcPr>
            <w:tcW w:w="794" w:type="dxa"/>
          </w:tcPr>
          <w:p w14:paraId="0ADA72E0"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color w:val="000000"/>
              </w:rPr>
              <w:t>5.3%</w:t>
            </w:r>
          </w:p>
        </w:tc>
      </w:tr>
      <w:tr w:rsidR="00390D06" w:rsidRPr="00390D06" w14:paraId="480B5DD9" w14:textId="77777777" w:rsidTr="006161AC">
        <w:tc>
          <w:tcPr>
            <w:cnfStyle w:val="001000000000" w:firstRow="0" w:lastRow="0" w:firstColumn="1" w:lastColumn="0" w:oddVBand="0" w:evenVBand="0" w:oddHBand="0" w:evenHBand="0" w:firstRowFirstColumn="0" w:firstRowLastColumn="0" w:lastRowFirstColumn="0" w:lastRowLastColumn="0"/>
            <w:tcW w:w="1701" w:type="dxa"/>
          </w:tcPr>
          <w:p w14:paraId="33236E79" w14:textId="77777777" w:rsidR="00390D06" w:rsidRPr="00390D06" w:rsidRDefault="00390D06" w:rsidP="00390D06">
            <w:pPr>
              <w:rPr>
                <w:rFonts w:ascii="Calibri" w:hAnsi="Calibri"/>
              </w:rPr>
            </w:pPr>
            <w:r w:rsidRPr="00390D06">
              <w:rPr>
                <w:rFonts w:ascii="Calibri" w:hAnsi="Calibri"/>
              </w:rPr>
              <w:t>Senegal</w:t>
            </w:r>
          </w:p>
        </w:tc>
        <w:tc>
          <w:tcPr>
            <w:tcW w:w="794" w:type="dxa"/>
          </w:tcPr>
          <w:p w14:paraId="7151D851"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5.1</w:t>
            </w:r>
          </w:p>
        </w:tc>
        <w:tc>
          <w:tcPr>
            <w:tcW w:w="794" w:type="dxa"/>
          </w:tcPr>
          <w:p w14:paraId="6BE49CC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9.4</w:t>
            </w:r>
          </w:p>
        </w:tc>
        <w:tc>
          <w:tcPr>
            <w:tcW w:w="794" w:type="dxa"/>
          </w:tcPr>
          <w:p w14:paraId="3C5E5F5F"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14.4</w:t>
            </w:r>
          </w:p>
        </w:tc>
        <w:tc>
          <w:tcPr>
            <w:tcW w:w="794" w:type="dxa"/>
          </w:tcPr>
          <w:p w14:paraId="0B7D8F77"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16.2</w:t>
            </w:r>
          </w:p>
        </w:tc>
        <w:tc>
          <w:tcPr>
            <w:tcW w:w="794" w:type="dxa"/>
          </w:tcPr>
          <w:p w14:paraId="6AF5747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21.2</w:t>
            </w:r>
          </w:p>
        </w:tc>
        <w:tc>
          <w:tcPr>
            <w:tcW w:w="794" w:type="dxa"/>
          </w:tcPr>
          <w:p w14:paraId="6580CCF8"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6.3%</w:t>
            </w:r>
          </w:p>
        </w:tc>
        <w:tc>
          <w:tcPr>
            <w:tcW w:w="794" w:type="dxa"/>
          </w:tcPr>
          <w:p w14:paraId="19442FAC"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9.0%</w:t>
            </w:r>
          </w:p>
        </w:tc>
        <w:tc>
          <w:tcPr>
            <w:tcW w:w="794" w:type="dxa"/>
          </w:tcPr>
          <w:p w14:paraId="67E58A56"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1.7%</w:t>
            </w:r>
          </w:p>
        </w:tc>
        <w:tc>
          <w:tcPr>
            <w:tcW w:w="794" w:type="dxa"/>
          </w:tcPr>
          <w:p w14:paraId="6BF8EF9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9.2%</w:t>
            </w:r>
          </w:p>
        </w:tc>
      </w:tr>
      <w:tr w:rsidR="00390D06" w:rsidRPr="00390D06" w14:paraId="0F0A958C" w14:textId="77777777" w:rsidTr="00616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71C3574" w14:textId="77777777" w:rsidR="00390D06" w:rsidRPr="00390D06" w:rsidRDefault="00390D06" w:rsidP="00390D06">
            <w:pPr>
              <w:rPr>
                <w:rFonts w:ascii="Calibri" w:hAnsi="Calibri"/>
              </w:rPr>
            </w:pPr>
            <w:r w:rsidRPr="00390D06">
              <w:rPr>
                <w:rFonts w:ascii="Calibri" w:hAnsi="Calibri"/>
              </w:rPr>
              <w:t>Sierra Leone</w:t>
            </w:r>
          </w:p>
        </w:tc>
        <w:tc>
          <w:tcPr>
            <w:tcW w:w="794" w:type="dxa"/>
          </w:tcPr>
          <w:p w14:paraId="103BAB5D"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1.3</w:t>
            </w:r>
          </w:p>
        </w:tc>
        <w:tc>
          <w:tcPr>
            <w:tcW w:w="794" w:type="dxa"/>
          </w:tcPr>
          <w:p w14:paraId="5C29CAF4"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1.9</w:t>
            </w:r>
          </w:p>
        </w:tc>
        <w:tc>
          <w:tcPr>
            <w:tcW w:w="794" w:type="dxa"/>
          </w:tcPr>
          <w:p w14:paraId="4A5BC702"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2.9</w:t>
            </w:r>
          </w:p>
        </w:tc>
        <w:tc>
          <w:tcPr>
            <w:tcW w:w="794" w:type="dxa"/>
          </w:tcPr>
          <w:p w14:paraId="3DEE85CC"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4.4</w:t>
            </w:r>
          </w:p>
        </w:tc>
        <w:tc>
          <w:tcPr>
            <w:tcW w:w="794" w:type="dxa"/>
          </w:tcPr>
          <w:p w14:paraId="028FB66F"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5.5</w:t>
            </w:r>
          </w:p>
        </w:tc>
        <w:tc>
          <w:tcPr>
            <w:tcW w:w="794" w:type="dxa"/>
          </w:tcPr>
          <w:p w14:paraId="5E567333"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rPr>
              <w:t>3.8%</w:t>
            </w:r>
          </w:p>
        </w:tc>
        <w:tc>
          <w:tcPr>
            <w:tcW w:w="794" w:type="dxa"/>
          </w:tcPr>
          <w:p w14:paraId="358E522F"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rPr>
              <w:t>9.2%</w:t>
            </w:r>
          </w:p>
        </w:tc>
        <w:tc>
          <w:tcPr>
            <w:tcW w:w="794" w:type="dxa"/>
          </w:tcPr>
          <w:p w14:paraId="2FF399B6"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rPr>
              <w:t>6.0%</w:t>
            </w:r>
          </w:p>
        </w:tc>
        <w:tc>
          <w:tcPr>
            <w:tcW w:w="794" w:type="dxa"/>
          </w:tcPr>
          <w:p w14:paraId="2F5C9D48"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rPr>
              <w:t>6.6%</w:t>
            </w:r>
          </w:p>
        </w:tc>
      </w:tr>
      <w:tr w:rsidR="00390D06" w:rsidRPr="00390D06" w14:paraId="27DF53F3" w14:textId="77777777" w:rsidTr="006161AC">
        <w:tc>
          <w:tcPr>
            <w:cnfStyle w:val="001000000000" w:firstRow="0" w:lastRow="0" w:firstColumn="1" w:lastColumn="0" w:oddVBand="0" w:evenVBand="0" w:oddHBand="0" w:evenHBand="0" w:firstRowFirstColumn="0" w:firstRowLastColumn="0" w:lastRowFirstColumn="0" w:lastRowLastColumn="0"/>
            <w:tcW w:w="1701" w:type="dxa"/>
          </w:tcPr>
          <w:p w14:paraId="2417CCCA" w14:textId="77777777" w:rsidR="00390D06" w:rsidRPr="00390D06" w:rsidRDefault="00390D06" w:rsidP="00390D06">
            <w:pPr>
              <w:rPr>
                <w:rFonts w:ascii="Calibri" w:hAnsi="Calibri"/>
              </w:rPr>
            </w:pPr>
            <w:r w:rsidRPr="00390D06">
              <w:rPr>
                <w:rFonts w:ascii="Calibri" w:hAnsi="Calibri"/>
              </w:rPr>
              <w:t>The Gambia</w:t>
            </w:r>
          </w:p>
        </w:tc>
        <w:tc>
          <w:tcPr>
            <w:tcW w:w="794" w:type="dxa"/>
          </w:tcPr>
          <w:p w14:paraId="40182C50"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0.6</w:t>
            </w:r>
          </w:p>
        </w:tc>
        <w:tc>
          <w:tcPr>
            <w:tcW w:w="794" w:type="dxa"/>
          </w:tcPr>
          <w:p w14:paraId="7A68C51D"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0.7</w:t>
            </w:r>
          </w:p>
        </w:tc>
        <w:tc>
          <w:tcPr>
            <w:tcW w:w="794" w:type="dxa"/>
          </w:tcPr>
          <w:p w14:paraId="205ED163"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0.9</w:t>
            </w:r>
          </w:p>
        </w:tc>
        <w:tc>
          <w:tcPr>
            <w:tcW w:w="794" w:type="dxa"/>
          </w:tcPr>
          <w:p w14:paraId="70939383"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0.8</w:t>
            </w:r>
          </w:p>
        </w:tc>
        <w:tc>
          <w:tcPr>
            <w:tcW w:w="794" w:type="dxa"/>
          </w:tcPr>
          <w:p w14:paraId="688EEC8B"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t>1.0</w:t>
            </w:r>
          </w:p>
        </w:tc>
        <w:tc>
          <w:tcPr>
            <w:tcW w:w="794" w:type="dxa"/>
          </w:tcPr>
          <w:p w14:paraId="4E157653"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1.4%</w:t>
            </w:r>
          </w:p>
        </w:tc>
        <w:tc>
          <w:tcPr>
            <w:tcW w:w="794" w:type="dxa"/>
          </w:tcPr>
          <w:p w14:paraId="28692239"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6.5%</w:t>
            </w:r>
          </w:p>
        </w:tc>
        <w:tc>
          <w:tcPr>
            <w:tcW w:w="794" w:type="dxa"/>
          </w:tcPr>
          <w:p w14:paraId="6452B6E7"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-1.2%</w:t>
            </w:r>
          </w:p>
        </w:tc>
        <w:tc>
          <w:tcPr>
            <w:tcW w:w="794" w:type="dxa"/>
          </w:tcPr>
          <w:p w14:paraId="543F9FB9" w14:textId="77777777" w:rsidR="00390D06" w:rsidRPr="00390D06" w:rsidRDefault="00390D06" w:rsidP="00390D06">
            <w:pPr>
              <w:jc w:val="right"/>
              <w:cnfStyle w:val="000000000000" w:firstRow="0" w:lastRow="0" w:firstColumn="0" w:lastColumn="0" w:oddVBand="0" w:evenVBand="0" w:oddHBand="0" w:evenHBand="0" w:firstRowFirstColumn="0" w:firstRowLastColumn="0" w:lastRowFirstColumn="0" w:lastRowLastColumn="0"/>
              <w:rPr>
                <w:rFonts w:ascii="Calibri" w:hAnsi="Calibri"/>
              </w:rPr>
            </w:pPr>
            <w:r w:rsidRPr="00390D06">
              <w:rPr>
                <w:rFonts w:ascii="Calibri" w:hAnsi="Calibri"/>
              </w:rPr>
              <w:t>6.9%</w:t>
            </w:r>
          </w:p>
        </w:tc>
      </w:tr>
      <w:tr w:rsidR="00390D06" w:rsidRPr="00390D06" w14:paraId="54E08233" w14:textId="77777777" w:rsidTr="00616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DA45FA7" w14:textId="77777777" w:rsidR="00390D06" w:rsidRPr="00390D06" w:rsidRDefault="00390D06" w:rsidP="00390D06">
            <w:pPr>
              <w:rPr>
                <w:rFonts w:ascii="Calibri" w:hAnsi="Calibri"/>
              </w:rPr>
            </w:pPr>
            <w:r w:rsidRPr="00390D06">
              <w:rPr>
                <w:rFonts w:ascii="Calibri" w:hAnsi="Calibri"/>
              </w:rPr>
              <w:t>Togo</w:t>
            </w:r>
          </w:p>
        </w:tc>
        <w:tc>
          <w:tcPr>
            <w:tcW w:w="794" w:type="dxa"/>
          </w:tcPr>
          <w:p w14:paraId="65F6635B"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1.6</w:t>
            </w:r>
          </w:p>
        </w:tc>
        <w:tc>
          <w:tcPr>
            <w:tcW w:w="794" w:type="dxa"/>
          </w:tcPr>
          <w:p w14:paraId="384E8428"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2.2</w:t>
            </w:r>
          </w:p>
        </w:tc>
        <w:tc>
          <w:tcPr>
            <w:tcW w:w="794" w:type="dxa"/>
          </w:tcPr>
          <w:p w14:paraId="3730D42A"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3.8</w:t>
            </w:r>
          </w:p>
        </w:tc>
        <w:tc>
          <w:tcPr>
            <w:tcW w:w="794" w:type="dxa"/>
          </w:tcPr>
          <w:p w14:paraId="67481CBB"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4.9</w:t>
            </w:r>
          </w:p>
        </w:tc>
        <w:tc>
          <w:tcPr>
            <w:tcW w:w="794" w:type="dxa"/>
          </w:tcPr>
          <w:p w14:paraId="54832B17"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t>6.1</w:t>
            </w:r>
          </w:p>
        </w:tc>
        <w:tc>
          <w:tcPr>
            <w:tcW w:w="794" w:type="dxa"/>
          </w:tcPr>
          <w:p w14:paraId="4719068B"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rPr>
              <w:t>3.5%</w:t>
            </w:r>
          </w:p>
        </w:tc>
        <w:tc>
          <w:tcPr>
            <w:tcW w:w="794" w:type="dxa"/>
          </w:tcPr>
          <w:p w14:paraId="261CDFA2"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rPr>
              <w:t>11.1%</w:t>
            </w:r>
          </w:p>
        </w:tc>
        <w:tc>
          <w:tcPr>
            <w:tcW w:w="794" w:type="dxa"/>
          </w:tcPr>
          <w:p w14:paraId="3CBC1B39"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rPr>
              <w:t>4.0%</w:t>
            </w:r>
          </w:p>
        </w:tc>
        <w:tc>
          <w:tcPr>
            <w:tcW w:w="794" w:type="dxa"/>
          </w:tcPr>
          <w:p w14:paraId="176D3D97" w14:textId="77777777" w:rsidR="00390D06" w:rsidRPr="00390D06" w:rsidRDefault="00390D06" w:rsidP="00390D06">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390D06">
              <w:rPr>
                <w:rFonts w:ascii="Calibri" w:hAnsi="Calibri"/>
              </w:rPr>
              <w:t>7.9%</w:t>
            </w:r>
          </w:p>
        </w:tc>
      </w:tr>
      <w:tr w:rsidR="00390D06" w:rsidRPr="00390D06" w14:paraId="7B953E16" w14:textId="77777777" w:rsidTr="006161A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01" w:type="dxa"/>
          </w:tcPr>
          <w:p w14:paraId="43EFCF25" w14:textId="77777777" w:rsidR="00390D06" w:rsidRPr="00390D06" w:rsidRDefault="00390D06" w:rsidP="00390D06">
            <w:pPr>
              <w:rPr>
                <w:rFonts w:ascii="Calibri" w:hAnsi="Calibri"/>
              </w:rPr>
            </w:pPr>
            <w:r w:rsidRPr="00390D06">
              <w:rPr>
                <w:rFonts w:ascii="Calibri" w:hAnsi="Calibri"/>
              </w:rPr>
              <w:t>Grand Total</w:t>
            </w:r>
          </w:p>
        </w:tc>
        <w:tc>
          <w:tcPr>
            <w:tcW w:w="794" w:type="dxa"/>
          </w:tcPr>
          <w:p w14:paraId="61EA9881"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t>220.3</w:t>
            </w:r>
          </w:p>
        </w:tc>
        <w:tc>
          <w:tcPr>
            <w:tcW w:w="794" w:type="dxa"/>
          </w:tcPr>
          <w:p w14:paraId="7FE97370"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t>302.1</w:t>
            </w:r>
          </w:p>
        </w:tc>
        <w:tc>
          <w:tcPr>
            <w:tcW w:w="794" w:type="dxa"/>
          </w:tcPr>
          <w:p w14:paraId="39FE8314"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t>548.3</w:t>
            </w:r>
          </w:p>
        </w:tc>
        <w:tc>
          <w:tcPr>
            <w:tcW w:w="794" w:type="dxa"/>
          </w:tcPr>
          <w:p w14:paraId="73F7659D"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t>583.3</w:t>
            </w:r>
          </w:p>
        </w:tc>
        <w:tc>
          <w:tcPr>
            <w:tcW w:w="794" w:type="dxa"/>
          </w:tcPr>
          <w:p w14:paraId="75021F95"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t>700.9</w:t>
            </w:r>
          </w:p>
        </w:tc>
        <w:tc>
          <w:tcPr>
            <w:tcW w:w="794" w:type="dxa"/>
          </w:tcPr>
          <w:p w14:paraId="6D829887"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rPr>
                <w:rFonts w:ascii="Calibri" w:hAnsi="Calibri"/>
              </w:rPr>
              <w:t>4.0%</w:t>
            </w:r>
          </w:p>
        </w:tc>
        <w:tc>
          <w:tcPr>
            <w:tcW w:w="794" w:type="dxa"/>
          </w:tcPr>
          <w:p w14:paraId="4622678E"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rPr>
                <w:rFonts w:ascii="Calibri" w:hAnsi="Calibri"/>
              </w:rPr>
              <w:t>13.2%</w:t>
            </w:r>
          </w:p>
        </w:tc>
        <w:tc>
          <w:tcPr>
            <w:tcW w:w="794" w:type="dxa"/>
          </w:tcPr>
          <w:p w14:paraId="30EB9DCF"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rPr>
                <w:rFonts w:ascii="Calibri" w:hAnsi="Calibri"/>
              </w:rPr>
              <w:t>6.0%</w:t>
            </w:r>
          </w:p>
        </w:tc>
        <w:tc>
          <w:tcPr>
            <w:tcW w:w="794" w:type="dxa"/>
          </w:tcPr>
          <w:p w14:paraId="5A11E544" w14:textId="77777777" w:rsidR="00390D06" w:rsidRPr="00390D06" w:rsidRDefault="00390D06" w:rsidP="00390D06">
            <w:pPr>
              <w:jc w:val="right"/>
              <w:cnfStyle w:val="010000000000" w:firstRow="0" w:lastRow="1" w:firstColumn="0" w:lastColumn="0" w:oddVBand="0" w:evenVBand="0" w:oddHBand="0" w:evenHBand="0" w:firstRowFirstColumn="0" w:firstRowLastColumn="0" w:lastRowFirstColumn="0" w:lastRowLastColumn="0"/>
              <w:rPr>
                <w:rFonts w:ascii="Calibri" w:hAnsi="Calibri"/>
              </w:rPr>
            </w:pPr>
            <w:r w:rsidRPr="00390D06">
              <w:rPr>
                <w:rFonts w:ascii="Calibri" w:hAnsi="Calibri"/>
              </w:rPr>
              <w:t>6.4%</w:t>
            </w:r>
          </w:p>
        </w:tc>
      </w:tr>
    </w:tbl>
    <w:p w14:paraId="277BD0C6" w14:textId="77777777" w:rsidR="00390D06" w:rsidRPr="00390D06" w:rsidRDefault="00390D06" w:rsidP="00390D06">
      <w:pPr>
        <w:rPr>
          <w:rFonts w:ascii="Calibri" w:hAnsi="Calibri"/>
        </w:rPr>
      </w:pPr>
      <w:r w:rsidRPr="00390D06">
        <w:rPr>
          <w:rFonts w:ascii="Calibri" w:hAnsi="Calibri"/>
        </w:rPr>
        <w:t>Note (*): for Liberia, the first recorded value is 2000. GDP growth calculated on the period 2000 to 2006</w:t>
      </w:r>
    </w:p>
    <w:p w14:paraId="5404FC4B" w14:textId="77777777" w:rsidR="00390D06" w:rsidRPr="00390D06" w:rsidRDefault="00390D06" w:rsidP="00390D06">
      <w:pPr>
        <w:rPr>
          <w:rFonts w:ascii="Calibri" w:hAnsi="Calibri"/>
        </w:rPr>
      </w:pPr>
      <w:r w:rsidRPr="00390D06">
        <w:rPr>
          <w:rFonts w:ascii="Calibri" w:hAnsi="Calibri"/>
        </w:rPr>
        <w:t>Source: IMF World Economic Outlook Database October 2016 (data code NGDPD)</w:t>
      </w:r>
    </w:p>
    <w:p w14:paraId="6CEABA89" w14:textId="77777777" w:rsidR="005C3494" w:rsidRPr="004B2A73" w:rsidRDefault="005C3494">
      <w:pPr>
        <w:rPr>
          <w:rFonts w:ascii="Calibri" w:hAnsi="Calibri"/>
        </w:rPr>
      </w:pPr>
      <w:r w:rsidRPr="004B2A73">
        <w:rPr>
          <w:rFonts w:ascii="Calibri" w:hAnsi="Calibri"/>
        </w:rPr>
        <w:br w:type="page"/>
      </w:r>
    </w:p>
    <w:p w14:paraId="04031614" w14:textId="77777777" w:rsidR="005C3494" w:rsidRPr="004B2A73" w:rsidRDefault="005C3494" w:rsidP="005C3494">
      <w:pPr>
        <w:rPr>
          <w:rFonts w:ascii="Calibri" w:hAnsi="Calibri"/>
        </w:rPr>
      </w:pPr>
    </w:p>
    <w:p w14:paraId="0572BDEF" w14:textId="1531842A" w:rsidR="00792619" w:rsidRPr="004B2A73" w:rsidRDefault="00C662B7" w:rsidP="00AF33A5">
      <w:pPr>
        <w:pStyle w:val="Caption"/>
        <w:rPr>
          <w:rFonts w:ascii="Calibri" w:hAnsi="Calibri"/>
          <w:lang w:val="en-GB"/>
        </w:rPr>
      </w:pPr>
      <w:bookmarkStart w:id="168" w:name="_Ref448937294"/>
      <w:bookmarkStart w:id="169" w:name="_Toc485381932"/>
      <w:r w:rsidRPr="004B2A73">
        <w:rPr>
          <w:rFonts w:ascii="Calibri" w:hAnsi="Calibri"/>
        </w:rPr>
        <w:t xml:space="preserve">Table </w:t>
      </w:r>
      <w:r w:rsidR="00811885" w:rsidRPr="004B2A73">
        <w:rPr>
          <w:rFonts w:ascii="Calibri" w:hAnsi="Calibri"/>
        </w:rPr>
        <w:fldChar w:fldCharType="begin"/>
      </w:r>
      <w:r w:rsidR="00811885" w:rsidRPr="004B2A73">
        <w:rPr>
          <w:rFonts w:ascii="Calibri" w:hAnsi="Calibri"/>
        </w:rPr>
        <w:instrText xml:space="preserve"> SEQ Table \* ARABIC </w:instrText>
      </w:r>
      <w:r w:rsidR="00811885" w:rsidRPr="004B2A73">
        <w:rPr>
          <w:rFonts w:ascii="Calibri" w:hAnsi="Calibri"/>
        </w:rPr>
        <w:fldChar w:fldCharType="separate"/>
      </w:r>
      <w:r w:rsidR="00212D01">
        <w:rPr>
          <w:rFonts w:ascii="Calibri" w:hAnsi="Calibri"/>
          <w:noProof/>
        </w:rPr>
        <w:t>21</w:t>
      </w:r>
      <w:r w:rsidR="00811885" w:rsidRPr="004B2A73">
        <w:rPr>
          <w:rFonts w:ascii="Calibri" w:hAnsi="Calibri"/>
          <w:noProof/>
        </w:rPr>
        <w:fldChar w:fldCharType="end"/>
      </w:r>
      <w:bookmarkEnd w:id="168"/>
      <w:r w:rsidRPr="004B2A73">
        <w:rPr>
          <w:rFonts w:ascii="Calibri" w:hAnsi="Calibri"/>
        </w:rPr>
        <w:t xml:space="preserve">: </w:t>
      </w:r>
      <w:r w:rsidRPr="004B2A73">
        <w:rPr>
          <w:rFonts w:ascii="Calibri" w:hAnsi="Calibri"/>
          <w:lang w:val="en-GB"/>
        </w:rPr>
        <w:t xml:space="preserve">Container </w:t>
      </w:r>
      <w:r w:rsidR="006E20BF" w:rsidRPr="004B2A73">
        <w:rPr>
          <w:rFonts w:ascii="Calibri" w:hAnsi="Calibri"/>
          <w:lang w:val="en-GB"/>
        </w:rPr>
        <w:t xml:space="preserve">growth </w:t>
      </w:r>
      <w:r w:rsidRPr="004B2A73">
        <w:rPr>
          <w:rFonts w:ascii="Calibri" w:hAnsi="Calibri"/>
          <w:lang w:val="en-GB"/>
        </w:rPr>
        <w:t>to GDP</w:t>
      </w:r>
      <w:r w:rsidR="006E20BF" w:rsidRPr="004B2A73">
        <w:rPr>
          <w:rFonts w:ascii="Calibri" w:hAnsi="Calibri"/>
          <w:lang w:val="en-GB"/>
        </w:rPr>
        <w:t xml:space="preserve"> growth</w:t>
      </w:r>
      <w:r w:rsidRPr="004B2A73">
        <w:rPr>
          <w:rFonts w:ascii="Calibri" w:hAnsi="Calibri"/>
          <w:lang w:val="en-GB"/>
        </w:rPr>
        <w:t xml:space="preserve"> elasticity</w:t>
      </w:r>
      <w:bookmarkEnd w:id="169"/>
    </w:p>
    <w:tbl>
      <w:tblPr>
        <w:tblStyle w:val="ListTable3-Accent31"/>
        <w:tblW w:w="9129" w:type="dxa"/>
        <w:tblLook w:val="04E0" w:firstRow="1" w:lastRow="1" w:firstColumn="1" w:lastColumn="0" w:noHBand="0" w:noVBand="1"/>
      </w:tblPr>
      <w:tblGrid>
        <w:gridCol w:w="2835"/>
        <w:gridCol w:w="2098"/>
        <w:gridCol w:w="2098"/>
        <w:gridCol w:w="2098"/>
      </w:tblGrid>
      <w:tr w:rsidR="006E20BF" w:rsidRPr="004B2A73" w14:paraId="47C71C70" w14:textId="77777777" w:rsidTr="006E20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1DED23F0" w14:textId="77777777" w:rsidR="006E20BF" w:rsidRPr="004B2A73" w:rsidRDefault="006E20BF" w:rsidP="006E20BF">
            <w:pPr>
              <w:rPr>
                <w:rFonts w:ascii="Calibri" w:hAnsi="Calibri"/>
              </w:rPr>
            </w:pPr>
            <w:r w:rsidRPr="004B2A73">
              <w:rPr>
                <w:rFonts w:ascii="Calibri" w:hAnsi="Calibri"/>
              </w:rPr>
              <w:t>Port</w:t>
            </w:r>
          </w:p>
        </w:tc>
        <w:tc>
          <w:tcPr>
            <w:tcW w:w="2098" w:type="dxa"/>
          </w:tcPr>
          <w:p w14:paraId="2D8864D0" w14:textId="77777777" w:rsidR="006E20BF" w:rsidRPr="004B2A73" w:rsidRDefault="006E20BF" w:rsidP="006E20BF">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Period 1996 to 2006</w:t>
            </w:r>
          </w:p>
        </w:tc>
        <w:tc>
          <w:tcPr>
            <w:tcW w:w="2098" w:type="dxa"/>
          </w:tcPr>
          <w:p w14:paraId="649042FF" w14:textId="77777777" w:rsidR="006E20BF" w:rsidRPr="004B2A73" w:rsidRDefault="006E20BF" w:rsidP="006E20BF">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Period 2006 to 2011</w:t>
            </w:r>
          </w:p>
        </w:tc>
        <w:tc>
          <w:tcPr>
            <w:tcW w:w="2098" w:type="dxa"/>
          </w:tcPr>
          <w:p w14:paraId="0D671CC3" w14:textId="77777777" w:rsidR="006E20BF" w:rsidRPr="004B2A73" w:rsidRDefault="006E20BF" w:rsidP="006E20BF">
            <w:pPr>
              <w:jc w:val="right"/>
              <w:cnfStyle w:val="100000000000" w:firstRow="1" w:lastRow="0" w:firstColumn="0" w:lastColumn="0" w:oddVBand="0" w:evenVBand="0" w:oddHBand="0" w:evenHBand="0" w:firstRowFirstColumn="0" w:firstRowLastColumn="0" w:lastRowFirstColumn="0" w:lastRowLastColumn="0"/>
              <w:rPr>
                <w:rFonts w:ascii="Calibri" w:hAnsi="Calibri"/>
              </w:rPr>
            </w:pPr>
            <w:r w:rsidRPr="004B2A73">
              <w:rPr>
                <w:rFonts w:ascii="Calibri" w:hAnsi="Calibri"/>
              </w:rPr>
              <w:t>Period 1996 to 2011</w:t>
            </w:r>
          </w:p>
        </w:tc>
      </w:tr>
      <w:tr w:rsidR="003D68C0" w:rsidRPr="004B2A73" w14:paraId="2C8F53D9" w14:textId="77777777" w:rsidTr="006E2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C9AC5FC" w14:textId="77777777" w:rsidR="003D68C0" w:rsidRPr="004B2A73" w:rsidRDefault="003D68C0" w:rsidP="003D68C0">
            <w:pPr>
              <w:rPr>
                <w:rFonts w:ascii="Calibri" w:hAnsi="Calibri"/>
                <w:lang w:val="en-GB"/>
              </w:rPr>
            </w:pPr>
            <w:r w:rsidRPr="004B2A73">
              <w:rPr>
                <w:rFonts w:ascii="Calibri" w:hAnsi="Calibri"/>
              </w:rPr>
              <w:t>Dakar</w:t>
            </w:r>
          </w:p>
        </w:tc>
        <w:tc>
          <w:tcPr>
            <w:tcW w:w="2098" w:type="dxa"/>
          </w:tcPr>
          <w:p w14:paraId="18AA3176"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1.71</w:t>
            </w:r>
          </w:p>
        </w:tc>
        <w:tc>
          <w:tcPr>
            <w:tcW w:w="2098" w:type="dxa"/>
          </w:tcPr>
          <w:p w14:paraId="54383855"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0.26</w:t>
            </w:r>
          </w:p>
        </w:tc>
        <w:tc>
          <w:tcPr>
            <w:tcW w:w="2098" w:type="dxa"/>
          </w:tcPr>
          <w:p w14:paraId="0BD60520"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1.10</w:t>
            </w:r>
          </w:p>
        </w:tc>
      </w:tr>
      <w:tr w:rsidR="003D68C0" w:rsidRPr="004B2A73" w14:paraId="0C870624" w14:textId="77777777" w:rsidTr="006E20BF">
        <w:tc>
          <w:tcPr>
            <w:cnfStyle w:val="001000000000" w:firstRow="0" w:lastRow="0" w:firstColumn="1" w:lastColumn="0" w:oddVBand="0" w:evenVBand="0" w:oddHBand="0" w:evenHBand="0" w:firstRowFirstColumn="0" w:firstRowLastColumn="0" w:lastRowFirstColumn="0" w:lastRowLastColumn="0"/>
            <w:tcW w:w="2835" w:type="dxa"/>
          </w:tcPr>
          <w:p w14:paraId="119080A7" w14:textId="77777777" w:rsidR="003D68C0" w:rsidRPr="004B2A73" w:rsidRDefault="003D68C0" w:rsidP="003D68C0">
            <w:pPr>
              <w:rPr>
                <w:rFonts w:ascii="Calibri" w:hAnsi="Calibri"/>
                <w:lang w:val="en-GB"/>
              </w:rPr>
            </w:pPr>
            <w:r w:rsidRPr="004B2A73">
              <w:rPr>
                <w:rFonts w:ascii="Calibri" w:hAnsi="Calibri"/>
              </w:rPr>
              <w:t>Banjul</w:t>
            </w:r>
          </w:p>
        </w:tc>
        <w:tc>
          <w:tcPr>
            <w:tcW w:w="2098" w:type="dxa"/>
          </w:tcPr>
          <w:p w14:paraId="6FA451D2"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9.26</w:t>
            </w:r>
          </w:p>
        </w:tc>
        <w:tc>
          <w:tcPr>
            <w:tcW w:w="2098" w:type="dxa"/>
          </w:tcPr>
          <w:p w14:paraId="0DE3C640"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1.30</w:t>
            </w:r>
          </w:p>
        </w:tc>
        <w:tc>
          <w:tcPr>
            <w:tcW w:w="2098" w:type="dxa"/>
          </w:tcPr>
          <w:p w14:paraId="76393A85"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3.70</w:t>
            </w:r>
          </w:p>
        </w:tc>
      </w:tr>
      <w:tr w:rsidR="003D68C0" w:rsidRPr="004B2A73" w14:paraId="7D5664DA" w14:textId="77777777" w:rsidTr="006E2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3035671" w14:textId="77777777" w:rsidR="003D68C0" w:rsidRPr="004B2A73" w:rsidRDefault="003D68C0" w:rsidP="003D68C0">
            <w:pPr>
              <w:rPr>
                <w:rFonts w:ascii="Calibri" w:hAnsi="Calibri"/>
                <w:lang w:val="en-GB"/>
              </w:rPr>
            </w:pPr>
            <w:r w:rsidRPr="004B2A73">
              <w:rPr>
                <w:rFonts w:ascii="Calibri" w:hAnsi="Calibri"/>
              </w:rPr>
              <w:t>Conakry</w:t>
            </w:r>
          </w:p>
        </w:tc>
        <w:tc>
          <w:tcPr>
            <w:tcW w:w="2098" w:type="dxa"/>
          </w:tcPr>
          <w:p w14:paraId="2217EBD8"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-3.96</w:t>
            </w:r>
          </w:p>
        </w:tc>
        <w:tc>
          <w:tcPr>
            <w:tcW w:w="2098" w:type="dxa"/>
          </w:tcPr>
          <w:p w14:paraId="0ABF7931"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0.90</w:t>
            </w:r>
          </w:p>
        </w:tc>
        <w:tc>
          <w:tcPr>
            <w:tcW w:w="2098" w:type="dxa"/>
          </w:tcPr>
          <w:p w14:paraId="6E98F75C"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11.44</w:t>
            </w:r>
          </w:p>
        </w:tc>
      </w:tr>
      <w:tr w:rsidR="003D68C0" w:rsidRPr="004B2A73" w14:paraId="436EFE43" w14:textId="77777777" w:rsidTr="006E20BF">
        <w:tc>
          <w:tcPr>
            <w:cnfStyle w:val="001000000000" w:firstRow="0" w:lastRow="0" w:firstColumn="1" w:lastColumn="0" w:oddVBand="0" w:evenVBand="0" w:oddHBand="0" w:evenHBand="0" w:firstRowFirstColumn="0" w:firstRowLastColumn="0" w:lastRowFirstColumn="0" w:lastRowLastColumn="0"/>
            <w:tcW w:w="2835" w:type="dxa"/>
          </w:tcPr>
          <w:p w14:paraId="7667F6B4" w14:textId="77777777" w:rsidR="003D68C0" w:rsidRPr="004B2A73" w:rsidRDefault="003D68C0" w:rsidP="003D68C0">
            <w:pPr>
              <w:rPr>
                <w:rFonts w:ascii="Calibri" w:hAnsi="Calibri"/>
                <w:lang w:val="en-GB"/>
              </w:rPr>
            </w:pPr>
            <w:r w:rsidRPr="004B2A73">
              <w:rPr>
                <w:rFonts w:ascii="Calibri" w:hAnsi="Calibri"/>
              </w:rPr>
              <w:t>Freetown</w:t>
            </w:r>
          </w:p>
        </w:tc>
        <w:tc>
          <w:tcPr>
            <w:tcW w:w="2098" w:type="dxa"/>
          </w:tcPr>
          <w:p w14:paraId="0D704CCF"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2.40</w:t>
            </w:r>
          </w:p>
        </w:tc>
        <w:tc>
          <w:tcPr>
            <w:tcW w:w="2098" w:type="dxa"/>
          </w:tcPr>
          <w:p w14:paraId="283F4697"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1.71</w:t>
            </w:r>
          </w:p>
        </w:tc>
        <w:tc>
          <w:tcPr>
            <w:tcW w:w="2098" w:type="dxa"/>
          </w:tcPr>
          <w:p w14:paraId="1E83DAD6"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2.02</w:t>
            </w:r>
          </w:p>
        </w:tc>
      </w:tr>
      <w:tr w:rsidR="003D68C0" w:rsidRPr="004B2A73" w14:paraId="1E408522" w14:textId="77777777" w:rsidTr="006E2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41D24DD" w14:textId="77777777" w:rsidR="003D68C0" w:rsidRPr="004B2A73" w:rsidRDefault="003D68C0" w:rsidP="003D68C0">
            <w:pPr>
              <w:rPr>
                <w:rFonts w:ascii="Calibri" w:hAnsi="Calibri"/>
                <w:lang w:val="en-GB"/>
              </w:rPr>
            </w:pPr>
            <w:r w:rsidRPr="004B2A73">
              <w:rPr>
                <w:rFonts w:ascii="Calibri" w:hAnsi="Calibri"/>
              </w:rPr>
              <w:t>Monrovia</w:t>
            </w:r>
          </w:p>
        </w:tc>
        <w:tc>
          <w:tcPr>
            <w:tcW w:w="2098" w:type="dxa"/>
          </w:tcPr>
          <w:p w14:paraId="3D1BE191"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p>
        </w:tc>
        <w:tc>
          <w:tcPr>
            <w:tcW w:w="2098" w:type="dxa"/>
          </w:tcPr>
          <w:p w14:paraId="71A942C0"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0.49</w:t>
            </w:r>
          </w:p>
        </w:tc>
        <w:tc>
          <w:tcPr>
            <w:tcW w:w="2098" w:type="dxa"/>
          </w:tcPr>
          <w:p w14:paraId="0572C01B"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p>
        </w:tc>
      </w:tr>
      <w:tr w:rsidR="003D68C0" w:rsidRPr="004B2A73" w14:paraId="5851CA4A" w14:textId="77777777" w:rsidTr="006E20BF">
        <w:tc>
          <w:tcPr>
            <w:cnfStyle w:val="001000000000" w:firstRow="0" w:lastRow="0" w:firstColumn="1" w:lastColumn="0" w:oddVBand="0" w:evenVBand="0" w:oddHBand="0" w:evenHBand="0" w:firstRowFirstColumn="0" w:firstRowLastColumn="0" w:lastRowFirstColumn="0" w:lastRowLastColumn="0"/>
            <w:tcW w:w="2835" w:type="dxa"/>
          </w:tcPr>
          <w:p w14:paraId="2C401B1B" w14:textId="77777777" w:rsidR="003D68C0" w:rsidRPr="004B2A73" w:rsidRDefault="003D68C0" w:rsidP="003D68C0">
            <w:pPr>
              <w:rPr>
                <w:rFonts w:ascii="Calibri" w:hAnsi="Calibri"/>
                <w:lang w:val="en-GB"/>
              </w:rPr>
            </w:pPr>
            <w:r w:rsidRPr="004B2A73">
              <w:rPr>
                <w:rFonts w:ascii="Calibri" w:hAnsi="Calibri"/>
              </w:rPr>
              <w:t>San Pedro</w:t>
            </w:r>
          </w:p>
        </w:tc>
        <w:tc>
          <w:tcPr>
            <w:tcW w:w="2098" w:type="dxa"/>
          </w:tcPr>
          <w:p w14:paraId="325CA5AA"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p>
        </w:tc>
        <w:tc>
          <w:tcPr>
            <w:tcW w:w="2098" w:type="dxa"/>
          </w:tcPr>
          <w:p w14:paraId="274C2FD8"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2.55</w:t>
            </w:r>
          </w:p>
        </w:tc>
        <w:tc>
          <w:tcPr>
            <w:tcW w:w="2098" w:type="dxa"/>
          </w:tcPr>
          <w:p w14:paraId="30D43714"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p>
        </w:tc>
      </w:tr>
      <w:tr w:rsidR="003D68C0" w:rsidRPr="004B2A73" w14:paraId="31E9C921" w14:textId="77777777" w:rsidTr="006E2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4CA526C" w14:textId="77777777" w:rsidR="003D68C0" w:rsidRPr="004B2A73" w:rsidRDefault="003D68C0" w:rsidP="003D68C0">
            <w:pPr>
              <w:rPr>
                <w:rFonts w:ascii="Calibri" w:hAnsi="Calibri"/>
                <w:lang w:val="en-GB"/>
              </w:rPr>
            </w:pPr>
            <w:r w:rsidRPr="004B2A73">
              <w:rPr>
                <w:rFonts w:ascii="Calibri" w:hAnsi="Calibri"/>
              </w:rPr>
              <w:t>Abidjan</w:t>
            </w:r>
          </w:p>
        </w:tc>
        <w:tc>
          <w:tcPr>
            <w:tcW w:w="2098" w:type="dxa"/>
          </w:tcPr>
          <w:p w14:paraId="70C8D565"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1.07</w:t>
            </w:r>
          </w:p>
        </w:tc>
        <w:tc>
          <w:tcPr>
            <w:tcW w:w="2098" w:type="dxa"/>
          </w:tcPr>
          <w:p w14:paraId="63AF6D90"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-0.51</w:t>
            </w:r>
          </w:p>
        </w:tc>
        <w:tc>
          <w:tcPr>
            <w:tcW w:w="2098" w:type="dxa"/>
          </w:tcPr>
          <w:p w14:paraId="5C0B207A"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0.29</w:t>
            </w:r>
          </w:p>
        </w:tc>
      </w:tr>
      <w:tr w:rsidR="003D68C0" w:rsidRPr="004B2A73" w14:paraId="47EBF30B" w14:textId="77777777" w:rsidTr="006E20BF">
        <w:tc>
          <w:tcPr>
            <w:cnfStyle w:val="001000000000" w:firstRow="0" w:lastRow="0" w:firstColumn="1" w:lastColumn="0" w:oddVBand="0" w:evenVBand="0" w:oddHBand="0" w:evenHBand="0" w:firstRowFirstColumn="0" w:firstRowLastColumn="0" w:lastRowFirstColumn="0" w:lastRowLastColumn="0"/>
            <w:tcW w:w="2835" w:type="dxa"/>
          </w:tcPr>
          <w:p w14:paraId="70D5C489" w14:textId="77777777" w:rsidR="003D68C0" w:rsidRPr="004B2A73" w:rsidRDefault="003D68C0" w:rsidP="003D68C0">
            <w:pPr>
              <w:rPr>
                <w:rFonts w:ascii="Calibri" w:hAnsi="Calibri"/>
                <w:lang w:val="en-GB"/>
              </w:rPr>
            </w:pPr>
            <w:r w:rsidRPr="004B2A73">
              <w:rPr>
                <w:rFonts w:ascii="Calibri" w:hAnsi="Calibri"/>
              </w:rPr>
              <w:t>Takoradi</w:t>
            </w:r>
          </w:p>
        </w:tc>
        <w:tc>
          <w:tcPr>
            <w:tcW w:w="2098" w:type="dxa"/>
          </w:tcPr>
          <w:p w14:paraId="53E1BBE5"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1.36</w:t>
            </w:r>
          </w:p>
        </w:tc>
        <w:tc>
          <w:tcPr>
            <w:tcW w:w="2098" w:type="dxa"/>
          </w:tcPr>
          <w:p w14:paraId="15F23169"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-0.59</w:t>
            </w:r>
          </w:p>
        </w:tc>
        <w:tc>
          <w:tcPr>
            <w:tcW w:w="2098" w:type="dxa"/>
          </w:tcPr>
          <w:p w14:paraId="075E4E3B"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0.28</w:t>
            </w:r>
          </w:p>
        </w:tc>
      </w:tr>
      <w:tr w:rsidR="003D68C0" w:rsidRPr="004B2A73" w14:paraId="23EF8826" w14:textId="77777777" w:rsidTr="006E2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1D7BD05" w14:textId="77777777" w:rsidR="003D68C0" w:rsidRPr="004B2A73" w:rsidRDefault="003D68C0" w:rsidP="003D68C0">
            <w:pPr>
              <w:rPr>
                <w:rFonts w:ascii="Calibri" w:hAnsi="Calibri"/>
                <w:lang w:val="en-GB"/>
              </w:rPr>
            </w:pPr>
            <w:r w:rsidRPr="004B2A73">
              <w:rPr>
                <w:rFonts w:ascii="Calibri" w:hAnsi="Calibri"/>
              </w:rPr>
              <w:t>Tema</w:t>
            </w:r>
          </w:p>
        </w:tc>
        <w:tc>
          <w:tcPr>
            <w:tcW w:w="2098" w:type="dxa"/>
          </w:tcPr>
          <w:p w14:paraId="0C7B425C"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1.71</w:t>
            </w:r>
          </w:p>
        </w:tc>
        <w:tc>
          <w:tcPr>
            <w:tcW w:w="2098" w:type="dxa"/>
          </w:tcPr>
          <w:p w14:paraId="6FAD7938"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1.19</w:t>
            </w:r>
          </w:p>
        </w:tc>
        <w:tc>
          <w:tcPr>
            <w:tcW w:w="2098" w:type="dxa"/>
          </w:tcPr>
          <w:p w14:paraId="6D104337"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1.44</w:t>
            </w:r>
          </w:p>
        </w:tc>
      </w:tr>
      <w:tr w:rsidR="003D68C0" w:rsidRPr="004B2A73" w14:paraId="39C8F32A" w14:textId="77777777" w:rsidTr="006E20BF">
        <w:tc>
          <w:tcPr>
            <w:cnfStyle w:val="001000000000" w:firstRow="0" w:lastRow="0" w:firstColumn="1" w:lastColumn="0" w:oddVBand="0" w:evenVBand="0" w:oddHBand="0" w:evenHBand="0" w:firstRowFirstColumn="0" w:firstRowLastColumn="0" w:lastRowFirstColumn="0" w:lastRowLastColumn="0"/>
            <w:tcW w:w="2835" w:type="dxa"/>
          </w:tcPr>
          <w:p w14:paraId="3746D453" w14:textId="765A1E5D" w:rsidR="003D68C0" w:rsidRPr="004B2A73" w:rsidRDefault="00C922CA" w:rsidP="003D68C0">
            <w:pPr>
              <w:rPr>
                <w:rFonts w:ascii="Calibri" w:hAnsi="Calibri"/>
                <w:lang w:val="en-GB"/>
              </w:rPr>
            </w:pPr>
            <w:r>
              <w:rPr>
                <w:rFonts w:ascii="Calibri" w:hAnsi="Calibri"/>
              </w:rPr>
              <w:t>Lomé</w:t>
            </w:r>
          </w:p>
        </w:tc>
        <w:tc>
          <w:tcPr>
            <w:tcW w:w="2098" w:type="dxa"/>
          </w:tcPr>
          <w:p w14:paraId="334C48AC"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4.68</w:t>
            </w:r>
          </w:p>
        </w:tc>
        <w:tc>
          <w:tcPr>
            <w:tcW w:w="2098" w:type="dxa"/>
          </w:tcPr>
          <w:p w14:paraId="108CC421"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0.33</w:t>
            </w:r>
          </w:p>
        </w:tc>
        <w:tc>
          <w:tcPr>
            <w:tcW w:w="2098" w:type="dxa"/>
          </w:tcPr>
          <w:p w14:paraId="034CF112"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1.99</w:t>
            </w:r>
          </w:p>
        </w:tc>
      </w:tr>
      <w:tr w:rsidR="003D68C0" w:rsidRPr="004B2A73" w14:paraId="017167B5" w14:textId="77777777" w:rsidTr="006E2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D2571DE" w14:textId="77777777" w:rsidR="003D68C0" w:rsidRPr="004B2A73" w:rsidRDefault="003D68C0" w:rsidP="003D68C0">
            <w:pPr>
              <w:rPr>
                <w:rFonts w:ascii="Calibri" w:hAnsi="Calibri"/>
                <w:lang w:val="en-GB"/>
              </w:rPr>
            </w:pPr>
            <w:r w:rsidRPr="004B2A73">
              <w:rPr>
                <w:rFonts w:ascii="Calibri" w:hAnsi="Calibri"/>
              </w:rPr>
              <w:t>Cotonou</w:t>
            </w:r>
          </w:p>
        </w:tc>
        <w:tc>
          <w:tcPr>
            <w:tcW w:w="2098" w:type="dxa"/>
          </w:tcPr>
          <w:p w14:paraId="508E39CC"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1.05</w:t>
            </w:r>
          </w:p>
        </w:tc>
        <w:tc>
          <w:tcPr>
            <w:tcW w:w="2098" w:type="dxa"/>
          </w:tcPr>
          <w:p w14:paraId="7B4C3387"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0.66</w:t>
            </w:r>
          </w:p>
        </w:tc>
        <w:tc>
          <w:tcPr>
            <w:tcW w:w="2098" w:type="dxa"/>
          </w:tcPr>
          <w:p w14:paraId="3561BBE1"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0.91</w:t>
            </w:r>
          </w:p>
        </w:tc>
      </w:tr>
      <w:tr w:rsidR="003D68C0" w:rsidRPr="004B2A73" w14:paraId="66780622" w14:textId="77777777" w:rsidTr="006E20BF">
        <w:tc>
          <w:tcPr>
            <w:cnfStyle w:val="001000000000" w:firstRow="0" w:lastRow="0" w:firstColumn="1" w:lastColumn="0" w:oddVBand="0" w:evenVBand="0" w:oddHBand="0" w:evenHBand="0" w:firstRowFirstColumn="0" w:firstRowLastColumn="0" w:lastRowFirstColumn="0" w:lastRowLastColumn="0"/>
            <w:tcW w:w="2835" w:type="dxa"/>
          </w:tcPr>
          <w:p w14:paraId="76A42A5F" w14:textId="77777777" w:rsidR="003D68C0" w:rsidRPr="004B2A73" w:rsidRDefault="003D68C0" w:rsidP="003D68C0">
            <w:pPr>
              <w:rPr>
                <w:rFonts w:ascii="Calibri" w:hAnsi="Calibri"/>
                <w:lang w:val="en-GB"/>
              </w:rPr>
            </w:pPr>
            <w:r w:rsidRPr="004B2A73">
              <w:rPr>
                <w:rFonts w:ascii="Calibri" w:hAnsi="Calibri"/>
              </w:rPr>
              <w:t>Lagos Apapa / Tin Can Island</w:t>
            </w:r>
          </w:p>
        </w:tc>
        <w:tc>
          <w:tcPr>
            <w:tcW w:w="2098" w:type="dxa"/>
          </w:tcPr>
          <w:p w14:paraId="12FA7162"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2.08</w:t>
            </w:r>
          </w:p>
        </w:tc>
        <w:tc>
          <w:tcPr>
            <w:tcW w:w="2098" w:type="dxa"/>
          </w:tcPr>
          <w:p w14:paraId="2CDC66CA"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1.37</w:t>
            </w:r>
          </w:p>
        </w:tc>
        <w:tc>
          <w:tcPr>
            <w:tcW w:w="2098" w:type="dxa"/>
          </w:tcPr>
          <w:p w14:paraId="1E6010FA" w14:textId="77777777" w:rsidR="003D68C0" w:rsidRPr="004B2A73" w:rsidRDefault="003D68C0" w:rsidP="003D68C0">
            <w:pPr>
              <w:jc w:val="right"/>
              <w:cnfStyle w:val="000000000000" w:firstRow="0" w:lastRow="0"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1.62</w:t>
            </w:r>
          </w:p>
        </w:tc>
      </w:tr>
      <w:tr w:rsidR="003D68C0" w:rsidRPr="004B2A73" w14:paraId="7103C8A7" w14:textId="77777777" w:rsidTr="006E2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59032DA" w14:textId="77777777" w:rsidR="003D68C0" w:rsidRPr="004B2A73" w:rsidRDefault="003D68C0" w:rsidP="003D68C0">
            <w:pPr>
              <w:rPr>
                <w:rFonts w:ascii="Calibri" w:hAnsi="Calibri"/>
                <w:lang w:val="en-GB"/>
              </w:rPr>
            </w:pPr>
            <w:r w:rsidRPr="004B2A73">
              <w:rPr>
                <w:rFonts w:ascii="Calibri" w:hAnsi="Calibri"/>
              </w:rPr>
              <w:t>Onne / Port Harcourt</w:t>
            </w:r>
          </w:p>
        </w:tc>
        <w:tc>
          <w:tcPr>
            <w:tcW w:w="2098" w:type="dxa"/>
          </w:tcPr>
          <w:p w14:paraId="27FB8946"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5.85</w:t>
            </w:r>
          </w:p>
        </w:tc>
        <w:tc>
          <w:tcPr>
            <w:tcW w:w="2098" w:type="dxa"/>
          </w:tcPr>
          <w:p w14:paraId="77CDFF1E"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0.61</w:t>
            </w:r>
          </w:p>
        </w:tc>
        <w:tc>
          <w:tcPr>
            <w:tcW w:w="2098" w:type="dxa"/>
          </w:tcPr>
          <w:p w14:paraId="34C1270C" w14:textId="77777777" w:rsidR="003D68C0" w:rsidRPr="004B2A73" w:rsidRDefault="003D68C0" w:rsidP="003D68C0">
            <w:pPr>
              <w:jc w:val="right"/>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4B2A73">
              <w:rPr>
                <w:rFonts w:ascii="Calibri" w:hAnsi="Calibri"/>
              </w:rPr>
              <w:t>2.38</w:t>
            </w:r>
          </w:p>
        </w:tc>
      </w:tr>
      <w:tr w:rsidR="003D68C0" w:rsidRPr="004B2A73" w14:paraId="31A649E3" w14:textId="77777777" w:rsidTr="006E20B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835" w:type="dxa"/>
          </w:tcPr>
          <w:p w14:paraId="3935B1F1" w14:textId="77777777" w:rsidR="003D68C0" w:rsidRPr="004B2A73" w:rsidRDefault="003D68C0" w:rsidP="003D68C0">
            <w:pPr>
              <w:rPr>
                <w:rFonts w:ascii="Calibri" w:hAnsi="Calibri"/>
                <w:lang w:val="en-GB"/>
              </w:rPr>
            </w:pPr>
            <w:r w:rsidRPr="004B2A73">
              <w:rPr>
                <w:rFonts w:ascii="Calibri" w:hAnsi="Calibri"/>
              </w:rPr>
              <w:t>West Africa coast</w:t>
            </w:r>
          </w:p>
        </w:tc>
        <w:tc>
          <w:tcPr>
            <w:tcW w:w="2098" w:type="dxa"/>
          </w:tcPr>
          <w:p w14:paraId="5BF84D61" w14:textId="77777777" w:rsidR="003D68C0" w:rsidRPr="004B2A73" w:rsidRDefault="003D68C0" w:rsidP="003D68C0">
            <w:pPr>
              <w:jc w:val="right"/>
              <w:cnfStyle w:val="010000000000" w:firstRow="0" w:lastRow="1"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2.55</w:t>
            </w:r>
          </w:p>
        </w:tc>
        <w:tc>
          <w:tcPr>
            <w:tcW w:w="2098" w:type="dxa"/>
          </w:tcPr>
          <w:p w14:paraId="5FBD727B" w14:textId="77777777" w:rsidR="003D68C0" w:rsidRPr="004B2A73" w:rsidRDefault="003D68C0" w:rsidP="003D68C0">
            <w:pPr>
              <w:jc w:val="right"/>
              <w:cnfStyle w:val="010000000000" w:firstRow="0" w:lastRow="1"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0.72</w:t>
            </w:r>
          </w:p>
        </w:tc>
        <w:tc>
          <w:tcPr>
            <w:tcW w:w="2098" w:type="dxa"/>
          </w:tcPr>
          <w:p w14:paraId="01DDB646" w14:textId="77777777" w:rsidR="003D68C0" w:rsidRPr="004B2A73" w:rsidRDefault="003D68C0" w:rsidP="003D68C0">
            <w:pPr>
              <w:jc w:val="right"/>
              <w:cnfStyle w:val="010000000000" w:firstRow="0" w:lastRow="1" w:firstColumn="0" w:lastColumn="0" w:oddVBand="0" w:evenVBand="0" w:oddHBand="0" w:evenHBand="0" w:firstRowFirstColumn="0" w:firstRowLastColumn="0" w:lastRowFirstColumn="0" w:lastRowLastColumn="0"/>
              <w:rPr>
                <w:rFonts w:ascii="Calibri" w:hAnsi="Calibri"/>
                <w:lang w:val="en-GB"/>
              </w:rPr>
            </w:pPr>
            <w:r w:rsidRPr="004B2A73">
              <w:rPr>
                <w:rFonts w:ascii="Calibri" w:hAnsi="Calibri"/>
              </w:rPr>
              <w:t>1.65</w:t>
            </w:r>
          </w:p>
        </w:tc>
      </w:tr>
    </w:tbl>
    <w:p w14:paraId="536D549F" w14:textId="77777777" w:rsidR="006E20BF" w:rsidRPr="004B2A73" w:rsidRDefault="006E20BF" w:rsidP="006E20BF">
      <w:pPr>
        <w:rPr>
          <w:rFonts w:ascii="Calibri" w:hAnsi="Calibri"/>
          <w:lang w:val="en-GB"/>
        </w:rPr>
      </w:pPr>
      <w:r w:rsidRPr="004B2A73">
        <w:rPr>
          <w:rFonts w:ascii="Calibri" w:hAnsi="Calibri"/>
          <w:lang w:val="en-GB"/>
        </w:rPr>
        <w:t>Source: author’s calculation based on the two previous tables</w:t>
      </w:r>
    </w:p>
    <w:p w14:paraId="2454295C" w14:textId="77777777" w:rsidR="003D68C0" w:rsidRPr="004B2A73" w:rsidRDefault="003D68C0" w:rsidP="006E20BF">
      <w:pPr>
        <w:rPr>
          <w:rFonts w:ascii="Calibri" w:hAnsi="Calibri"/>
          <w:lang w:val="en-GB"/>
        </w:rPr>
      </w:pPr>
      <w:r w:rsidRPr="004B2A73">
        <w:rPr>
          <w:rFonts w:ascii="Calibri" w:hAnsi="Calibri"/>
          <w:lang w:val="en-GB"/>
        </w:rPr>
        <w:t>Note: Container growth excludes transit and transhipment for individual ports. GDP growth for the West Africa coast includes all 15 ECOWAS countries, and includes transit traffic for ports, but excludes transhipment.</w:t>
      </w:r>
    </w:p>
    <w:p w14:paraId="4BC380D8" w14:textId="77777777" w:rsidR="006E20BF" w:rsidRPr="004B2A73" w:rsidRDefault="006E20BF" w:rsidP="006E20BF">
      <w:pPr>
        <w:rPr>
          <w:rFonts w:ascii="Calibri" w:hAnsi="Calibri"/>
          <w:lang w:val="en-GB"/>
        </w:rPr>
      </w:pPr>
    </w:p>
    <w:p w14:paraId="2632B0D1" w14:textId="77777777" w:rsidR="0065562B" w:rsidRPr="004B2A73" w:rsidRDefault="0065562B" w:rsidP="009454BE">
      <w:pPr>
        <w:tabs>
          <w:tab w:val="left" w:pos="4035"/>
        </w:tabs>
        <w:rPr>
          <w:rFonts w:ascii="Calibri" w:hAnsi="Calibri"/>
          <w:sz w:val="24"/>
          <w:szCs w:val="24"/>
        </w:rPr>
      </w:pPr>
    </w:p>
    <w:sectPr w:rsidR="0065562B" w:rsidRPr="004B2A73" w:rsidSect="0082355B">
      <w:footerReference w:type="default" r:id="rId89"/>
      <w:footerReference w:type="first" r:id="rI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09D5B" w14:textId="77777777" w:rsidR="000042F6" w:rsidRDefault="000042F6" w:rsidP="003A7F8E">
      <w:r>
        <w:separator/>
      </w:r>
    </w:p>
    <w:p w14:paraId="47419A2A" w14:textId="77777777" w:rsidR="000042F6" w:rsidRDefault="000042F6" w:rsidP="003A7F8E"/>
    <w:p w14:paraId="3AC42735" w14:textId="77777777" w:rsidR="000042F6" w:rsidRDefault="000042F6" w:rsidP="003A7F8E"/>
  </w:endnote>
  <w:endnote w:type="continuationSeparator" w:id="0">
    <w:p w14:paraId="14A21300" w14:textId="77777777" w:rsidR="000042F6" w:rsidRDefault="000042F6" w:rsidP="003A7F8E">
      <w:r>
        <w:continuationSeparator/>
      </w:r>
    </w:p>
    <w:p w14:paraId="28BF92AF" w14:textId="77777777" w:rsidR="000042F6" w:rsidRDefault="000042F6" w:rsidP="003A7F8E"/>
    <w:p w14:paraId="586B1971" w14:textId="77777777" w:rsidR="000042F6" w:rsidRDefault="000042F6" w:rsidP="003A7F8E"/>
  </w:endnote>
  <w:endnote w:type="continuationNotice" w:id="1">
    <w:p w14:paraId="0627FAE6" w14:textId="77777777" w:rsidR="000042F6" w:rsidRDefault="000042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XLKFP+Garamond">
    <w:altName w:val="Garamond"/>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Zapf Dingbats">
    <w:altName w:val="Wingdings 2"/>
    <w:charset w:val="02"/>
    <w:family w:val="auto"/>
    <w:pitch w:val="variable"/>
    <w:sig w:usb0="00000000" w:usb1="10000000" w:usb2="00000000" w:usb3="00000000" w:csb0="80000000"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D7C58" w14:textId="77777777" w:rsidR="008A4EEE" w:rsidRDefault="008A4EEE">
    <w:pPr>
      <w:pStyle w:val="Footer"/>
      <w:jc w:val="center"/>
    </w:pPr>
  </w:p>
  <w:p w14:paraId="0E0802EE" w14:textId="77777777" w:rsidR="008A4EEE" w:rsidRPr="00F3281D" w:rsidRDefault="008A4EEE" w:rsidP="003A7F8E">
    <w:pPr>
      <w:pStyle w:val="Footer"/>
      <w:rPr>
        <w:rFonts w:ascii="Times New Roman" w:hAnsi="Times New Roman" w:cs="Times New Roman"/>
      </w:rPr>
    </w:pPr>
  </w:p>
  <w:p w14:paraId="245D02CB" w14:textId="77777777" w:rsidR="008A4EEE" w:rsidRDefault="008A4EEE"/>
  <w:p w14:paraId="3ADE1168" w14:textId="77777777" w:rsidR="008A4EEE" w:rsidRDefault="008A4E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44D37" w14:textId="77777777" w:rsidR="008A4EEE" w:rsidRDefault="008A4EEE">
    <w:pPr>
      <w:pStyle w:val="Footer"/>
      <w:jc w:val="center"/>
    </w:pPr>
  </w:p>
  <w:p w14:paraId="3C73328A" w14:textId="77777777" w:rsidR="008A4EEE" w:rsidRPr="00063010" w:rsidRDefault="008A4EEE" w:rsidP="003A7F8E">
    <w:pPr>
      <w:pStyle w:val="Footer"/>
    </w:pPr>
  </w:p>
  <w:p w14:paraId="450AFA39" w14:textId="77777777" w:rsidR="008A4EEE" w:rsidRDefault="008A4EEE"/>
  <w:p w14:paraId="548FED52" w14:textId="77777777" w:rsidR="008A4EEE" w:rsidRDefault="008A4E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55B18" w14:textId="77777777" w:rsidR="008A4EEE" w:rsidRDefault="008A4EEE" w:rsidP="003A7F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984729698"/>
      <w:docPartObj>
        <w:docPartGallery w:val="Page Numbers (Bottom of Page)"/>
        <w:docPartUnique/>
      </w:docPartObj>
    </w:sdtPr>
    <w:sdtEndPr>
      <w:rPr>
        <w:noProof/>
      </w:rPr>
    </w:sdtEndPr>
    <w:sdtContent>
      <w:p w14:paraId="06B3A588" w14:textId="6AA968F3" w:rsidR="008A4EEE" w:rsidRPr="003D778E" w:rsidRDefault="008A4EEE">
        <w:pPr>
          <w:pStyle w:val="Footer"/>
          <w:jc w:val="center"/>
          <w:rPr>
            <w:rFonts w:ascii="Times New Roman" w:hAnsi="Times New Roman" w:cs="Times New Roman"/>
          </w:rPr>
        </w:pPr>
        <w:r w:rsidRPr="003D778E">
          <w:rPr>
            <w:rFonts w:ascii="Times New Roman" w:hAnsi="Times New Roman" w:cs="Times New Roman"/>
          </w:rPr>
          <w:fldChar w:fldCharType="begin"/>
        </w:r>
        <w:r w:rsidRPr="003D778E">
          <w:rPr>
            <w:rFonts w:ascii="Times New Roman" w:hAnsi="Times New Roman" w:cs="Times New Roman"/>
          </w:rPr>
          <w:instrText xml:space="preserve"> PAGE   \* MERGEFORMAT </w:instrText>
        </w:r>
        <w:r w:rsidRPr="003D778E">
          <w:rPr>
            <w:rFonts w:ascii="Times New Roman" w:hAnsi="Times New Roman" w:cs="Times New Roman"/>
          </w:rPr>
          <w:fldChar w:fldCharType="separate"/>
        </w:r>
        <w:r w:rsidR="00212D01">
          <w:rPr>
            <w:rFonts w:ascii="Times New Roman" w:hAnsi="Times New Roman" w:cs="Times New Roman"/>
            <w:noProof/>
          </w:rPr>
          <w:t>14</w:t>
        </w:r>
        <w:r w:rsidRPr="003D778E">
          <w:rPr>
            <w:rFonts w:ascii="Times New Roman" w:hAnsi="Times New Roman" w:cs="Times New Roman"/>
            <w:noProof/>
          </w:rPr>
          <w:fldChar w:fldCharType="end"/>
        </w:r>
      </w:p>
    </w:sdtContent>
  </w:sdt>
  <w:p w14:paraId="34E20E94" w14:textId="77777777" w:rsidR="008A4EEE" w:rsidRPr="003D778E" w:rsidRDefault="008A4EEE" w:rsidP="003A7F8E">
    <w:pPr>
      <w:pStyle w:val="Foo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983810"/>
      <w:docPartObj>
        <w:docPartGallery w:val="Page Numbers (Bottom of Page)"/>
        <w:docPartUnique/>
      </w:docPartObj>
    </w:sdtPr>
    <w:sdtEndPr>
      <w:rPr>
        <w:noProof/>
      </w:rPr>
    </w:sdtEndPr>
    <w:sdtContent>
      <w:p w14:paraId="7EB4444C" w14:textId="540B94A9" w:rsidR="008A4EEE" w:rsidRDefault="008A4EEE">
        <w:pPr>
          <w:pStyle w:val="Footer"/>
          <w:jc w:val="center"/>
        </w:pPr>
        <w:r>
          <w:fldChar w:fldCharType="begin"/>
        </w:r>
        <w:r>
          <w:instrText xml:space="preserve"> PAGE   \* MERGEFORMAT </w:instrText>
        </w:r>
        <w:r>
          <w:fldChar w:fldCharType="separate"/>
        </w:r>
        <w:r w:rsidR="00212D01">
          <w:rPr>
            <w:noProof/>
          </w:rPr>
          <w:t>7</w:t>
        </w:r>
        <w:r>
          <w:rPr>
            <w:noProof/>
          </w:rPr>
          <w:fldChar w:fldCharType="end"/>
        </w:r>
      </w:p>
    </w:sdtContent>
  </w:sdt>
  <w:p w14:paraId="187AB1B7" w14:textId="77777777" w:rsidR="008A4EEE" w:rsidRDefault="008A4EEE" w:rsidP="003A7F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imes New Roman"/>
      </w:rPr>
      <w:id w:val="1816060405"/>
      <w:docPartObj>
        <w:docPartGallery w:val="Page Numbers (Bottom of Page)"/>
        <w:docPartUnique/>
      </w:docPartObj>
    </w:sdtPr>
    <w:sdtEndPr>
      <w:rPr>
        <w:noProof/>
      </w:rPr>
    </w:sdtEndPr>
    <w:sdtContent>
      <w:p w14:paraId="4BB3C9E8" w14:textId="41B21D44" w:rsidR="008A4EEE" w:rsidRPr="00650472" w:rsidRDefault="008A4EEE" w:rsidP="009454BE">
        <w:pPr>
          <w:pStyle w:val="Footer"/>
          <w:jc w:val="center"/>
          <w:rPr>
            <w:rFonts w:asciiTheme="minorHAnsi" w:hAnsiTheme="minorHAnsi" w:cs="Times New Roman"/>
          </w:rPr>
        </w:pPr>
        <w:r w:rsidRPr="00650472">
          <w:rPr>
            <w:rFonts w:asciiTheme="minorHAnsi" w:hAnsiTheme="minorHAnsi" w:cs="Times New Roman"/>
          </w:rPr>
          <w:fldChar w:fldCharType="begin"/>
        </w:r>
        <w:r w:rsidRPr="00650472">
          <w:rPr>
            <w:rFonts w:asciiTheme="minorHAnsi" w:hAnsiTheme="minorHAnsi" w:cs="Times New Roman"/>
          </w:rPr>
          <w:instrText xml:space="preserve"> PAGE   \* MERGEFORMAT </w:instrText>
        </w:r>
        <w:r w:rsidRPr="00650472">
          <w:rPr>
            <w:rFonts w:asciiTheme="minorHAnsi" w:hAnsiTheme="minorHAnsi" w:cs="Times New Roman"/>
          </w:rPr>
          <w:fldChar w:fldCharType="separate"/>
        </w:r>
        <w:r w:rsidR="00212D01">
          <w:rPr>
            <w:rFonts w:asciiTheme="minorHAnsi" w:hAnsiTheme="minorHAnsi" w:cs="Times New Roman"/>
            <w:noProof/>
          </w:rPr>
          <w:t>116</w:t>
        </w:r>
        <w:r w:rsidRPr="00650472">
          <w:rPr>
            <w:rFonts w:asciiTheme="minorHAnsi" w:hAnsiTheme="minorHAnsi" w:cs="Times New Roman"/>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532481"/>
      <w:docPartObj>
        <w:docPartGallery w:val="Page Numbers (Bottom of Page)"/>
        <w:docPartUnique/>
      </w:docPartObj>
    </w:sdtPr>
    <w:sdtEndPr>
      <w:rPr>
        <w:noProof/>
      </w:rPr>
    </w:sdtEndPr>
    <w:sdtContent>
      <w:p w14:paraId="2DF29E5C" w14:textId="77777777" w:rsidR="008A4EEE" w:rsidRDefault="008A4EEE" w:rsidP="003A7F8E">
        <w:pPr>
          <w:pStyle w:val="Footer"/>
        </w:pPr>
        <w:r>
          <w:fldChar w:fldCharType="begin"/>
        </w:r>
        <w:r>
          <w:instrText xml:space="preserve"> PAGE   \* MERGEFORMAT </w:instrText>
        </w:r>
        <w:r>
          <w:fldChar w:fldCharType="separate"/>
        </w:r>
        <w:r>
          <w:rPr>
            <w:noProof/>
          </w:rPr>
          <w:t>31</w:t>
        </w:r>
        <w:r>
          <w:rPr>
            <w:noProof/>
          </w:rPr>
          <w:fldChar w:fldCharType="end"/>
        </w:r>
      </w:p>
    </w:sdtContent>
  </w:sdt>
  <w:p w14:paraId="4FB1FB19" w14:textId="77777777" w:rsidR="008A4EEE" w:rsidRDefault="008A4EEE" w:rsidP="003A7F8E">
    <w:pPr>
      <w:pStyle w:val="Footer"/>
    </w:pPr>
  </w:p>
  <w:p w14:paraId="79FAD973" w14:textId="77777777" w:rsidR="008A4EEE" w:rsidRDefault="008A4EEE" w:rsidP="003A7F8E"/>
  <w:p w14:paraId="27751C25" w14:textId="77777777" w:rsidR="008A4EEE" w:rsidRDefault="008A4EEE" w:rsidP="003A7F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DD27F" w14:textId="77777777" w:rsidR="000042F6" w:rsidRDefault="000042F6" w:rsidP="00743C0C">
      <w:pPr>
        <w:spacing w:after="0"/>
      </w:pPr>
      <w:r>
        <w:separator/>
      </w:r>
    </w:p>
  </w:footnote>
  <w:footnote w:type="continuationSeparator" w:id="0">
    <w:p w14:paraId="68FE5EA4" w14:textId="77777777" w:rsidR="000042F6" w:rsidRDefault="000042F6" w:rsidP="003A7F8E">
      <w:r>
        <w:continuationSeparator/>
      </w:r>
    </w:p>
    <w:p w14:paraId="01819BD0" w14:textId="77777777" w:rsidR="000042F6" w:rsidRDefault="000042F6" w:rsidP="003A7F8E"/>
    <w:p w14:paraId="6443330E" w14:textId="77777777" w:rsidR="000042F6" w:rsidRDefault="000042F6" w:rsidP="003A7F8E"/>
  </w:footnote>
  <w:footnote w:type="continuationNotice" w:id="1">
    <w:p w14:paraId="0F74D6DE" w14:textId="77777777" w:rsidR="000042F6" w:rsidRDefault="000042F6">
      <w:pPr>
        <w:spacing w:after="0" w:line="240" w:lineRule="auto"/>
      </w:pPr>
    </w:p>
  </w:footnote>
  <w:footnote w:id="2">
    <w:p w14:paraId="3F0656B7" w14:textId="77777777" w:rsidR="008A4EEE" w:rsidRPr="00B87710" w:rsidRDefault="008A4EEE" w:rsidP="00743C0C">
      <w:pPr>
        <w:pStyle w:val="FootnoteText"/>
        <w:rPr>
          <w:rFonts w:asciiTheme="minorHAnsi" w:hAnsiTheme="minorHAnsi" w:cs="Times New Roman"/>
          <w:sz w:val="20"/>
        </w:rPr>
      </w:pPr>
      <w:r w:rsidRPr="00B87710">
        <w:rPr>
          <w:rStyle w:val="FootnoteReference"/>
          <w:rFonts w:asciiTheme="minorHAnsi" w:hAnsiTheme="minorHAnsi" w:cs="Times New Roman"/>
          <w:sz w:val="20"/>
        </w:rPr>
        <w:footnoteRef/>
      </w:r>
      <w:r w:rsidRPr="00B87710">
        <w:rPr>
          <w:rFonts w:asciiTheme="minorHAnsi" w:hAnsiTheme="minorHAnsi" w:cs="Times New Roman"/>
          <w:sz w:val="20"/>
        </w:rPr>
        <w:t xml:space="preserve"> Unless stated otherwise, “West Africa” refers in this report to the region made up of the 15 member countries of the Economic Community of West African States (ECOWAS), namely Benin, Burkina Faso, Cabo Verde, Cote d’Ivoire, the Gambia, Ghana, Guinea, Guinea Bissau, Liberia, Mali, Niger, Nigeria, Senegal, Sierra Leone, and Togo.</w:t>
      </w:r>
    </w:p>
  </w:footnote>
  <w:footnote w:id="3">
    <w:p w14:paraId="713982AB" w14:textId="77777777" w:rsidR="008A4EEE" w:rsidRPr="00B87710" w:rsidRDefault="008A4EEE" w:rsidP="00743C0C">
      <w:pPr>
        <w:pStyle w:val="FootnoteText"/>
        <w:rPr>
          <w:rFonts w:asciiTheme="minorHAnsi" w:hAnsiTheme="minorHAnsi" w:cs="Times New Roman"/>
          <w:sz w:val="20"/>
        </w:rPr>
      </w:pPr>
      <w:r w:rsidRPr="00B87710">
        <w:rPr>
          <w:rStyle w:val="FootnoteReference"/>
          <w:rFonts w:asciiTheme="minorHAnsi" w:hAnsiTheme="minorHAnsi" w:cs="Times New Roman"/>
          <w:sz w:val="20"/>
        </w:rPr>
        <w:footnoteRef/>
      </w:r>
      <w:r w:rsidRPr="00B87710">
        <w:rPr>
          <w:rFonts w:asciiTheme="minorHAnsi" w:hAnsiTheme="minorHAnsi" w:cs="Times New Roman"/>
          <w:sz w:val="20"/>
        </w:rPr>
        <w:t xml:space="preserve"> United Nations, World Population Prospects, 2012 Revision.</w:t>
      </w:r>
    </w:p>
  </w:footnote>
  <w:footnote w:id="4">
    <w:p w14:paraId="7F7802CB" w14:textId="77777777" w:rsidR="008A4EEE" w:rsidRPr="00757064" w:rsidRDefault="008A4EEE" w:rsidP="00E00641">
      <w:pPr>
        <w:pStyle w:val="FootnoteText"/>
      </w:pPr>
      <w:r w:rsidRPr="00757064">
        <w:rPr>
          <w:rStyle w:val="FootnoteReference"/>
        </w:rPr>
        <w:footnoteRef/>
      </w:r>
      <w:r w:rsidRPr="00757064">
        <w:t xml:space="preserve"> </w:t>
      </w:r>
      <w:r>
        <w:t>IMF World</w:t>
      </w:r>
      <w:r w:rsidRPr="00757064">
        <w:t xml:space="preserve"> Economic Outlook </w:t>
      </w:r>
      <w:r>
        <w:t>dataset for October 2016</w:t>
      </w:r>
      <w:r w:rsidRPr="00757064">
        <w:t xml:space="preserve"> </w:t>
      </w:r>
    </w:p>
  </w:footnote>
  <w:footnote w:id="5">
    <w:p w14:paraId="1AB3FCBE" w14:textId="77777777" w:rsidR="008A4EEE" w:rsidRPr="00B87710" w:rsidRDefault="008A4EEE" w:rsidP="00743C0C">
      <w:pPr>
        <w:pStyle w:val="FootnoteText"/>
        <w:rPr>
          <w:rFonts w:asciiTheme="minorHAnsi" w:hAnsiTheme="minorHAnsi" w:cs="Times New Roman"/>
          <w:sz w:val="20"/>
        </w:rPr>
      </w:pPr>
      <w:r w:rsidRPr="00B87710">
        <w:rPr>
          <w:rStyle w:val="FootnoteReference"/>
          <w:rFonts w:asciiTheme="minorHAnsi" w:hAnsiTheme="minorHAnsi" w:cs="Times New Roman"/>
          <w:sz w:val="20"/>
        </w:rPr>
        <w:footnoteRef/>
      </w:r>
      <w:r w:rsidRPr="00B87710">
        <w:rPr>
          <w:rFonts w:asciiTheme="minorHAnsi" w:hAnsiTheme="minorHAnsi" w:cs="Times New Roman"/>
          <w:sz w:val="20"/>
        </w:rPr>
        <w:t xml:space="preserve"> In comparison, poor infrastructure and services on West African railways have exposed them to intense competition from road transport.</w:t>
      </w:r>
    </w:p>
  </w:footnote>
  <w:footnote w:id="6">
    <w:p w14:paraId="05F3D187" w14:textId="77777777" w:rsidR="008A4EEE" w:rsidRPr="00B87710" w:rsidRDefault="008A4EEE" w:rsidP="00743C0C">
      <w:pPr>
        <w:pStyle w:val="FootnoteText"/>
        <w:rPr>
          <w:rFonts w:asciiTheme="minorHAnsi" w:hAnsiTheme="minorHAnsi" w:cs="Times New Roman"/>
          <w:sz w:val="20"/>
        </w:rPr>
      </w:pPr>
      <w:r w:rsidRPr="00B87710">
        <w:rPr>
          <w:rStyle w:val="FootnoteReference"/>
          <w:rFonts w:asciiTheme="minorHAnsi" w:hAnsiTheme="minorHAnsi" w:cs="Times New Roman"/>
          <w:sz w:val="20"/>
        </w:rPr>
        <w:footnoteRef/>
      </w:r>
      <w:r w:rsidRPr="00B87710">
        <w:rPr>
          <w:rFonts w:asciiTheme="minorHAnsi" w:hAnsiTheme="minorHAnsi" w:cs="Times New Roman"/>
          <w:sz w:val="20"/>
        </w:rPr>
        <w:t xml:space="preserve"> See Annex 1 for a brief presentation of each of the main West African container terminals.</w:t>
      </w:r>
    </w:p>
  </w:footnote>
  <w:footnote w:id="7">
    <w:p w14:paraId="75B9ECF9" w14:textId="77777777" w:rsidR="008A4EEE" w:rsidRPr="00347FA7" w:rsidRDefault="008A4EEE" w:rsidP="00347FA7">
      <w:pPr>
        <w:rPr>
          <w:sz w:val="20"/>
          <w:szCs w:val="20"/>
        </w:rPr>
      </w:pPr>
      <w:r w:rsidRPr="00347FA7">
        <w:rPr>
          <w:rStyle w:val="FootnoteReference"/>
          <w:rFonts w:cs="Times New Roman"/>
          <w:sz w:val="20"/>
          <w:szCs w:val="20"/>
        </w:rPr>
        <w:footnoteRef/>
      </w:r>
      <w:r w:rsidRPr="00347FA7">
        <w:rPr>
          <w:sz w:val="20"/>
          <w:szCs w:val="20"/>
        </w:rPr>
        <w:t xml:space="preserve"> Roll-on/Roll-off, for ships designed to carry vehicles.</w:t>
      </w:r>
    </w:p>
  </w:footnote>
  <w:footnote w:id="8">
    <w:p w14:paraId="3B2479E6" w14:textId="77777777" w:rsidR="008A4EEE" w:rsidRPr="008C7B24" w:rsidRDefault="008A4EEE" w:rsidP="00FD4F56">
      <w:pPr>
        <w:pStyle w:val="FootnoteText"/>
        <w:rPr>
          <w:rFonts w:asciiTheme="minorHAnsi" w:hAnsiTheme="minorHAnsi"/>
          <w:sz w:val="20"/>
        </w:rPr>
      </w:pPr>
      <w:r w:rsidRPr="008C7B24">
        <w:rPr>
          <w:rStyle w:val="FootnoteReference"/>
          <w:rFonts w:asciiTheme="minorHAnsi" w:hAnsiTheme="minorHAnsi"/>
          <w:sz w:val="20"/>
        </w:rPr>
        <w:footnoteRef/>
      </w:r>
      <w:r w:rsidRPr="008C7B24">
        <w:rPr>
          <w:rFonts w:asciiTheme="minorHAnsi" w:hAnsiTheme="minorHAnsi"/>
          <w:sz w:val="20"/>
        </w:rPr>
        <w:t xml:space="preserve"> Africa’s Infrastructure: A Time for Transformation, edited by Vivien Foster, Cecilia Briceno-Garmendia</w:t>
      </w:r>
    </w:p>
  </w:footnote>
  <w:footnote w:id="9">
    <w:p w14:paraId="01654C64" w14:textId="7A309D58" w:rsidR="008A4EEE" w:rsidRDefault="008A4EEE" w:rsidP="00DC5EF8">
      <w:pPr>
        <w:pStyle w:val="FootnoteText"/>
      </w:pPr>
      <w:r w:rsidRPr="008C7B24">
        <w:rPr>
          <w:rStyle w:val="FootnoteReference"/>
          <w:rFonts w:asciiTheme="minorHAnsi" w:hAnsiTheme="minorHAnsi"/>
          <w:sz w:val="20"/>
        </w:rPr>
        <w:footnoteRef/>
      </w:r>
      <w:r w:rsidRPr="008C7B24">
        <w:rPr>
          <w:rFonts w:asciiTheme="minorHAnsi" w:hAnsiTheme="minorHAnsi"/>
          <w:sz w:val="20"/>
        </w:rPr>
        <w:t xml:space="preserve"> Proportion calculated for the ports of Dakar, Abidjan, Tema, </w:t>
      </w:r>
      <w:r>
        <w:rPr>
          <w:rFonts w:asciiTheme="minorHAnsi" w:hAnsiTheme="minorHAnsi"/>
          <w:sz w:val="20"/>
        </w:rPr>
        <w:t>Lomé</w:t>
      </w:r>
      <w:r w:rsidRPr="008C7B24">
        <w:rPr>
          <w:rFonts w:asciiTheme="minorHAnsi" w:hAnsiTheme="minorHAnsi"/>
          <w:sz w:val="20"/>
        </w:rPr>
        <w:t xml:space="preserve"> and Cotonou, for which the decomposition of the container traffic between full in and full out were available</w:t>
      </w:r>
    </w:p>
  </w:footnote>
  <w:footnote w:id="10">
    <w:p w14:paraId="2CA1FC22" w14:textId="764FDE17" w:rsidR="008A4EEE" w:rsidRDefault="008A4EEE">
      <w:pPr>
        <w:pStyle w:val="FootnoteText"/>
      </w:pPr>
      <w:r>
        <w:rPr>
          <w:rStyle w:val="FootnoteReference"/>
        </w:rPr>
        <w:footnoteRef/>
      </w:r>
      <w:r>
        <w:t xml:space="preserve"> IFC Handshake Issue No. 6 (July 2012)</w:t>
      </w:r>
    </w:p>
  </w:footnote>
  <w:footnote w:id="11">
    <w:p w14:paraId="26305805" w14:textId="77777777" w:rsidR="008A4EEE" w:rsidRPr="008C7B24" w:rsidRDefault="008A4EEE" w:rsidP="003E1BFC">
      <w:pPr>
        <w:pStyle w:val="FootnoteText"/>
        <w:rPr>
          <w:rFonts w:asciiTheme="minorHAnsi" w:hAnsiTheme="minorHAnsi" w:cs="Times New Roman"/>
          <w:sz w:val="20"/>
        </w:rPr>
      </w:pPr>
      <w:r w:rsidRPr="00B13159">
        <w:rPr>
          <w:rStyle w:val="FootnoteReference"/>
          <w:rFonts w:ascii="Times New Roman" w:hAnsi="Times New Roman" w:cs="Times New Roman"/>
          <w:sz w:val="22"/>
          <w:szCs w:val="22"/>
        </w:rPr>
        <w:footnoteRef/>
      </w:r>
      <w:r w:rsidRPr="00B13159">
        <w:rPr>
          <w:rFonts w:ascii="Times New Roman" w:hAnsi="Times New Roman" w:cs="Times New Roman"/>
          <w:sz w:val="22"/>
          <w:szCs w:val="22"/>
        </w:rPr>
        <w:t xml:space="preserve"> </w:t>
      </w:r>
      <w:r w:rsidRPr="008C7B24">
        <w:rPr>
          <w:rFonts w:asciiTheme="minorHAnsi" w:hAnsiTheme="minorHAnsi" w:cs="Times New Roman"/>
          <w:sz w:val="20"/>
        </w:rPr>
        <w:t>Economies of scale cause the long run average unit costs to decrease over most of the market making it uneconomical for other firms to enter the market.</w:t>
      </w:r>
    </w:p>
  </w:footnote>
  <w:footnote w:id="12">
    <w:p w14:paraId="27AD7A6E" w14:textId="77777777" w:rsidR="008A4EEE" w:rsidRPr="008C7B24" w:rsidRDefault="008A4EEE" w:rsidP="003E1BFC">
      <w:pPr>
        <w:pStyle w:val="FootnoteText"/>
        <w:rPr>
          <w:rFonts w:asciiTheme="minorHAnsi" w:hAnsiTheme="minorHAnsi"/>
          <w:sz w:val="20"/>
        </w:rPr>
      </w:pPr>
      <w:r w:rsidRPr="008C7B24">
        <w:rPr>
          <w:rStyle w:val="FootnoteReference"/>
          <w:rFonts w:asciiTheme="minorHAnsi" w:hAnsiTheme="minorHAnsi"/>
          <w:sz w:val="20"/>
        </w:rPr>
        <w:footnoteRef/>
      </w:r>
      <w:r w:rsidRPr="008C7B24">
        <w:rPr>
          <w:rFonts w:asciiTheme="minorHAnsi" w:hAnsiTheme="minorHAnsi"/>
          <w:sz w:val="20"/>
        </w:rPr>
        <w:t xml:space="preserve"> </w:t>
      </w:r>
      <w:r w:rsidRPr="008C7B24">
        <w:rPr>
          <w:rFonts w:asciiTheme="minorHAnsi" w:hAnsiTheme="minorHAnsi" w:cs="Times New Roman"/>
          <w:sz w:val="20"/>
        </w:rPr>
        <w:t>Regulation of Natural Monopolies , Paul L. Joskow,  MIT.  A. Mitchell Polinsky &amp; Steven Shavell (eds) Handbook of Law and Economics, 2007</w:t>
      </w:r>
    </w:p>
  </w:footnote>
  <w:footnote w:id="13">
    <w:p w14:paraId="453E9F4C" w14:textId="77777777" w:rsidR="008A4EEE" w:rsidRPr="00E52BDA" w:rsidRDefault="008A4EEE" w:rsidP="003E1BFC">
      <w:pPr>
        <w:pStyle w:val="FootnoteText"/>
        <w:rPr>
          <w:rFonts w:asciiTheme="minorHAnsi" w:hAnsiTheme="minorHAnsi"/>
          <w:sz w:val="22"/>
          <w:szCs w:val="22"/>
        </w:rPr>
      </w:pPr>
      <w:r w:rsidRPr="008C7B24">
        <w:rPr>
          <w:rStyle w:val="FootnoteReference"/>
          <w:rFonts w:asciiTheme="minorHAnsi" w:hAnsiTheme="minorHAnsi"/>
          <w:sz w:val="20"/>
        </w:rPr>
        <w:footnoteRef/>
      </w:r>
      <w:r w:rsidRPr="008C7B24">
        <w:rPr>
          <w:rFonts w:asciiTheme="minorHAnsi" w:hAnsiTheme="minorHAnsi"/>
          <w:sz w:val="20"/>
        </w:rPr>
        <w:t xml:space="preserve"> Port Reform Toolkit, Second Edition. The World Bank, 2007.</w:t>
      </w:r>
      <w:r w:rsidRPr="00E52BDA">
        <w:rPr>
          <w:rFonts w:asciiTheme="minorHAnsi" w:hAnsiTheme="minorHAnsi"/>
          <w:sz w:val="22"/>
          <w:szCs w:val="22"/>
        </w:rPr>
        <w:t xml:space="preserve"> </w:t>
      </w:r>
    </w:p>
  </w:footnote>
  <w:footnote w:id="14">
    <w:p w14:paraId="0E71F3D4" w14:textId="77777777" w:rsidR="008A4EEE" w:rsidRPr="00347FA7" w:rsidRDefault="008A4EEE" w:rsidP="00743C0C">
      <w:pPr>
        <w:pStyle w:val="FootnoteText"/>
        <w:rPr>
          <w:rFonts w:asciiTheme="minorHAnsi" w:hAnsiTheme="minorHAnsi" w:cs="Times New Roman"/>
          <w:sz w:val="20"/>
        </w:rPr>
      </w:pPr>
      <w:r w:rsidRPr="00347FA7">
        <w:rPr>
          <w:rStyle w:val="FootnoteReference"/>
          <w:rFonts w:asciiTheme="minorHAnsi" w:hAnsiTheme="minorHAnsi" w:cs="Times New Roman"/>
          <w:sz w:val="20"/>
        </w:rPr>
        <w:footnoteRef/>
      </w:r>
      <w:r w:rsidRPr="00347FA7">
        <w:rPr>
          <w:rFonts w:asciiTheme="minorHAnsi" w:hAnsiTheme="minorHAnsi" w:cs="Times New Roman"/>
          <w:sz w:val="20"/>
        </w:rPr>
        <w:t xml:space="preserve"> Alphaliner Top 100 – operated fleets as of October 14 2015 </w:t>
      </w:r>
      <w:hyperlink r:id="rId1" w:history="1">
        <w:r w:rsidRPr="00347FA7">
          <w:rPr>
            <w:rStyle w:val="Hyperlink"/>
            <w:rFonts w:asciiTheme="minorHAnsi" w:hAnsiTheme="minorHAnsi" w:cs="Times New Roman"/>
            <w:sz w:val="20"/>
          </w:rPr>
          <w:t>http://www.alphaliner.com/top100/</w:t>
        </w:r>
      </w:hyperlink>
      <w:r w:rsidRPr="00347FA7">
        <w:rPr>
          <w:rFonts w:asciiTheme="minorHAnsi" w:hAnsiTheme="minorHAnsi" w:cs="Times New Roman"/>
          <w:sz w:val="20"/>
        </w:rPr>
        <w:t xml:space="preserve"> </w:t>
      </w:r>
    </w:p>
  </w:footnote>
  <w:footnote w:id="15">
    <w:p w14:paraId="44A3B347" w14:textId="77777777" w:rsidR="008A4EEE" w:rsidRPr="006C3F77" w:rsidRDefault="008A4EEE" w:rsidP="00743C0C">
      <w:pPr>
        <w:pStyle w:val="FootnoteText"/>
        <w:rPr>
          <w:rFonts w:ascii="Times New Roman" w:hAnsi="Times New Roman" w:cs="Times New Roman"/>
          <w:sz w:val="20"/>
        </w:rPr>
      </w:pPr>
      <w:r w:rsidRPr="00347FA7">
        <w:rPr>
          <w:rStyle w:val="FootnoteReference"/>
          <w:rFonts w:asciiTheme="minorHAnsi" w:hAnsiTheme="minorHAnsi" w:cs="Times New Roman"/>
          <w:sz w:val="20"/>
        </w:rPr>
        <w:footnoteRef/>
      </w:r>
      <w:r w:rsidRPr="00347FA7">
        <w:rPr>
          <w:rFonts w:asciiTheme="minorHAnsi" w:hAnsiTheme="minorHAnsi" w:cs="Times New Roman"/>
          <w:sz w:val="20"/>
        </w:rPr>
        <w:t xml:space="preserve"> Blog published by Yann Alix https://www.linkedin.com/pulse/analyse-du-top-20-des-compagnies-maritimes-de-conteneurs-yann-alix?trk=prof-post</w:t>
      </w:r>
    </w:p>
  </w:footnote>
  <w:footnote w:id="16">
    <w:p w14:paraId="2385331C" w14:textId="77777777" w:rsidR="008A4EEE" w:rsidRPr="00C624FF" w:rsidRDefault="008A4EEE" w:rsidP="005A757B">
      <w:pPr>
        <w:pStyle w:val="FootnoteText"/>
        <w:rPr>
          <w:rFonts w:asciiTheme="minorHAnsi" w:hAnsiTheme="minorHAnsi" w:cs="Times New Roman"/>
          <w:sz w:val="20"/>
        </w:rPr>
      </w:pPr>
      <w:r w:rsidRPr="006C3F77">
        <w:rPr>
          <w:rStyle w:val="FootnoteReference"/>
          <w:rFonts w:ascii="Times New Roman" w:hAnsi="Times New Roman" w:cs="Times New Roman"/>
          <w:sz w:val="20"/>
        </w:rPr>
        <w:footnoteRef/>
      </w:r>
      <w:r w:rsidRPr="006C3F77">
        <w:rPr>
          <w:rFonts w:ascii="Times New Roman" w:hAnsi="Times New Roman" w:cs="Times New Roman"/>
          <w:sz w:val="20"/>
        </w:rPr>
        <w:t xml:space="preserve"> </w:t>
      </w:r>
      <w:r w:rsidRPr="00C624FF">
        <w:rPr>
          <w:rFonts w:asciiTheme="minorHAnsi" w:hAnsiTheme="minorHAnsi" w:cs="Times New Roman"/>
          <w:sz w:val="20"/>
        </w:rPr>
        <w:t>Based on equity shares in the various terminals, i.e. if the equity share in a terminal is 50%, only 50% of its throughput is counted</w:t>
      </w:r>
    </w:p>
  </w:footnote>
  <w:footnote w:id="17">
    <w:p w14:paraId="3CF280A0" w14:textId="0C18E5B6" w:rsidR="008A4EEE" w:rsidRPr="006010C8" w:rsidRDefault="008A4EEE" w:rsidP="0021001B">
      <w:pPr>
        <w:pStyle w:val="FootnoteText"/>
        <w:rPr>
          <w:rFonts w:asciiTheme="minorHAnsi" w:hAnsiTheme="minorHAnsi"/>
          <w:sz w:val="20"/>
        </w:rPr>
      </w:pPr>
      <w:r w:rsidRPr="006010C8">
        <w:rPr>
          <w:rStyle w:val="FootnoteReference"/>
          <w:rFonts w:asciiTheme="minorHAnsi" w:hAnsiTheme="minorHAnsi"/>
          <w:sz w:val="20"/>
        </w:rPr>
        <w:footnoteRef/>
      </w:r>
      <w:r w:rsidRPr="006010C8">
        <w:rPr>
          <w:rFonts w:asciiTheme="minorHAnsi" w:hAnsiTheme="minorHAnsi"/>
          <w:sz w:val="20"/>
        </w:rPr>
        <w:t xml:space="preserve"> For more information on how this toolkit is applied, refer notably to: Promoting Faster Growth and Poverty Alleviation through Competition- Competition in South Africa Cartels, </w:t>
      </w:r>
      <w:r w:rsidRPr="006010C8">
        <w:rPr>
          <w:rFonts w:asciiTheme="minorHAnsi" w:eastAsia="Times New Roman" w:hAnsiTheme="minorHAnsi"/>
          <w:sz w:val="20"/>
        </w:rPr>
        <w:t>The World Bank Group. February 2016.</w:t>
      </w:r>
    </w:p>
    <w:p w14:paraId="3E3D5803" w14:textId="77777777" w:rsidR="008A4EEE" w:rsidRDefault="00A15383" w:rsidP="0021001B">
      <w:pPr>
        <w:pStyle w:val="FootnoteText"/>
      </w:pPr>
      <w:hyperlink r:id="rId2" w:tgtFrame="_blank" w:history="1">
        <w:r w:rsidR="008A4EEE" w:rsidRPr="006010C8">
          <w:rPr>
            <w:rStyle w:val="Hyperlink"/>
            <w:rFonts w:asciiTheme="minorHAnsi" w:hAnsiTheme="minorHAnsi"/>
            <w:sz w:val="20"/>
          </w:rPr>
          <w:t>http://www-wds.worldbank.org/external/default/WDSContentServer/WDSP/IB/2016/02/02/090224b08412c4ae/1_0/Rendered/PDF/South0Africa0e00through0competition.pdf</w:t>
        </w:r>
      </w:hyperlink>
    </w:p>
  </w:footnote>
  <w:footnote w:id="18">
    <w:p w14:paraId="5266356B" w14:textId="77777777" w:rsidR="008A4EEE" w:rsidRPr="006010C8" w:rsidRDefault="008A4EEE" w:rsidP="00DC5EF8">
      <w:pPr>
        <w:pStyle w:val="FootnoteText"/>
        <w:rPr>
          <w:rFonts w:asciiTheme="minorHAnsi" w:hAnsiTheme="minorHAnsi" w:cs="Times New Roman"/>
          <w:sz w:val="20"/>
        </w:rPr>
      </w:pPr>
      <w:r w:rsidRPr="006010C8">
        <w:rPr>
          <w:rStyle w:val="FootnoteReference"/>
          <w:rFonts w:asciiTheme="minorHAnsi" w:hAnsiTheme="minorHAnsi" w:cs="Times New Roman"/>
          <w:sz w:val="20"/>
        </w:rPr>
        <w:footnoteRef/>
      </w:r>
      <w:r w:rsidRPr="006010C8">
        <w:rPr>
          <w:rFonts w:asciiTheme="minorHAnsi" w:hAnsiTheme="minorHAnsi" w:cs="Times New Roman"/>
          <w:sz w:val="20"/>
        </w:rPr>
        <w:t xml:space="preserve"> A similar monopoly was in place at the port of Dakar, but the port authority took resolute action to introduce competition in the container delivery activity, which resulted in a price reduction. Ivoirian authorities are now also seeking to address the problem in Abidjan.</w:t>
      </w:r>
    </w:p>
  </w:footnote>
  <w:footnote w:id="19">
    <w:p w14:paraId="32313FA6" w14:textId="77777777" w:rsidR="008A4EEE" w:rsidRDefault="008A4EEE" w:rsidP="00EF6D4A">
      <w:pPr>
        <w:pStyle w:val="FootnoteText"/>
        <w:rPr>
          <w:rFonts w:asciiTheme="minorHAnsi" w:hAnsiTheme="minorHAnsi"/>
          <w:sz w:val="20"/>
        </w:rPr>
      </w:pPr>
      <w:r w:rsidRPr="006010C8">
        <w:rPr>
          <w:rStyle w:val="FootnoteReference"/>
          <w:rFonts w:asciiTheme="minorHAnsi" w:hAnsiTheme="minorHAnsi"/>
          <w:sz w:val="20"/>
        </w:rPr>
        <w:footnoteRef/>
      </w:r>
      <w:r w:rsidRPr="006010C8">
        <w:rPr>
          <w:rFonts w:asciiTheme="minorHAnsi" w:hAnsiTheme="minorHAnsi"/>
          <w:sz w:val="20"/>
        </w:rPr>
        <w:t xml:space="preserve"> For further information on the methodology, see</w:t>
      </w:r>
    </w:p>
    <w:p w14:paraId="361C2AE7" w14:textId="5593717E" w:rsidR="008A4EEE" w:rsidRPr="006010C8" w:rsidRDefault="00A15383" w:rsidP="00EF6D4A">
      <w:pPr>
        <w:pStyle w:val="FootnoteText"/>
        <w:rPr>
          <w:rFonts w:asciiTheme="minorHAnsi" w:hAnsiTheme="minorHAnsi"/>
          <w:sz w:val="20"/>
        </w:rPr>
      </w:pPr>
      <w:hyperlink r:id="rId3" w:history="1">
        <w:r w:rsidR="008A4EEE" w:rsidRPr="006010C8">
          <w:rPr>
            <w:rStyle w:val="Hyperlink"/>
            <w:rFonts w:asciiTheme="minorHAnsi" w:hAnsiTheme="minorHAnsi"/>
            <w:sz w:val="20"/>
          </w:rPr>
          <w:t>http://www.doingbusiness.org/methodology/trading-across-borders</w:t>
        </w:r>
      </w:hyperlink>
    </w:p>
  </w:footnote>
  <w:footnote w:id="20">
    <w:p w14:paraId="71A6C25F" w14:textId="77777777" w:rsidR="008A4EEE" w:rsidRPr="006010C8" w:rsidRDefault="008A4EEE" w:rsidP="00A65A12">
      <w:pPr>
        <w:pStyle w:val="FootnoteText"/>
        <w:rPr>
          <w:rFonts w:asciiTheme="minorHAnsi" w:hAnsiTheme="minorHAnsi"/>
          <w:sz w:val="20"/>
        </w:rPr>
      </w:pPr>
      <w:r w:rsidRPr="006010C8">
        <w:rPr>
          <w:rStyle w:val="FootnoteReference"/>
          <w:rFonts w:asciiTheme="minorHAnsi" w:hAnsiTheme="minorHAnsi"/>
          <w:sz w:val="20"/>
        </w:rPr>
        <w:footnoteRef/>
      </w:r>
      <w:r w:rsidRPr="006010C8">
        <w:rPr>
          <w:rFonts w:asciiTheme="minorHAnsi" w:hAnsiTheme="minorHAnsi"/>
          <w:sz w:val="20"/>
        </w:rPr>
        <w:t xml:space="preserve"> In 2000, Maersk Lines shifted its operations from Singapore, including its regional transshipment to the newly developed terminal at Port of Tanjung Pelepas (PTP), in which it had acquired a 30% stake. The volume represented an activity of 2 million TEUs a year for PTP</w:t>
      </w:r>
    </w:p>
  </w:footnote>
  <w:footnote w:id="21">
    <w:p w14:paraId="257BAA47" w14:textId="77777777" w:rsidR="008A4EEE" w:rsidRPr="006010C8" w:rsidRDefault="008A4EEE" w:rsidP="00C354FB">
      <w:pPr>
        <w:pStyle w:val="FootnoteText"/>
        <w:rPr>
          <w:rFonts w:asciiTheme="minorHAnsi" w:hAnsiTheme="minorHAnsi" w:cs="Times New Roman"/>
          <w:sz w:val="20"/>
        </w:rPr>
      </w:pPr>
      <w:r w:rsidRPr="006010C8">
        <w:rPr>
          <w:rStyle w:val="FootnoteReference"/>
          <w:rFonts w:asciiTheme="minorHAnsi" w:hAnsiTheme="minorHAnsi" w:cs="Times New Roman"/>
          <w:sz w:val="20"/>
        </w:rPr>
        <w:footnoteRef/>
      </w:r>
      <w:r w:rsidRPr="006010C8">
        <w:rPr>
          <w:rFonts w:asciiTheme="minorHAnsi" w:hAnsiTheme="minorHAnsi" w:cs="Times New Roman"/>
          <w:sz w:val="20"/>
        </w:rPr>
        <w:t xml:space="preserve"> There are possible variations from this base scenario, with for instance transfer of the containers into a dry port in the port vicinity, or additional handling for consolidating / stripping containers in port and loading / offloading vehicles</w:t>
      </w:r>
    </w:p>
  </w:footnote>
  <w:footnote w:id="22">
    <w:p w14:paraId="144031B3" w14:textId="77777777" w:rsidR="008A4EEE" w:rsidRPr="006010C8" w:rsidRDefault="008A4EEE" w:rsidP="00743C0C">
      <w:pPr>
        <w:pStyle w:val="FootnoteText"/>
        <w:rPr>
          <w:rFonts w:asciiTheme="minorHAnsi" w:hAnsiTheme="minorHAnsi" w:cs="Times New Roman"/>
          <w:sz w:val="20"/>
        </w:rPr>
      </w:pPr>
      <w:r w:rsidRPr="006010C8">
        <w:rPr>
          <w:rStyle w:val="FootnoteReference"/>
          <w:rFonts w:asciiTheme="minorHAnsi" w:hAnsiTheme="minorHAnsi" w:cs="Times New Roman"/>
          <w:sz w:val="20"/>
        </w:rPr>
        <w:footnoteRef/>
      </w:r>
      <w:r w:rsidRPr="006010C8">
        <w:rPr>
          <w:rFonts w:asciiTheme="minorHAnsi" w:hAnsiTheme="minorHAnsi" w:cs="Times New Roman"/>
          <w:sz w:val="20"/>
        </w:rPr>
        <w:t xml:space="preserve"> See the OECD Policy Round Table on Competition in ports and port service, December 2011 available at </w:t>
      </w:r>
      <w:hyperlink r:id="rId4" w:history="1">
        <w:r w:rsidRPr="006010C8">
          <w:rPr>
            <w:rStyle w:val="Hyperlink"/>
            <w:rFonts w:asciiTheme="minorHAnsi" w:hAnsiTheme="minorHAnsi" w:cs="Times New Roman"/>
            <w:sz w:val="20"/>
          </w:rPr>
          <w:t>http://www.oecd.org/regreform/sectors/48837794.pdf</w:t>
        </w:r>
      </w:hyperlink>
      <w:r w:rsidRPr="006010C8">
        <w:rPr>
          <w:rFonts w:asciiTheme="minorHAnsi" w:hAnsiTheme="minorHAnsi" w:cs="Times New Roman"/>
          <w:sz w:val="20"/>
        </w:rPr>
        <w:t xml:space="preserve"> </w:t>
      </w:r>
    </w:p>
  </w:footnote>
  <w:footnote w:id="23">
    <w:p w14:paraId="7DBF5393" w14:textId="77777777" w:rsidR="008A4EEE" w:rsidRDefault="008A4EEE">
      <w:pPr>
        <w:pStyle w:val="FootnoteText"/>
      </w:pPr>
      <w:r w:rsidRPr="006010C8">
        <w:rPr>
          <w:rStyle w:val="FootnoteReference"/>
          <w:rFonts w:asciiTheme="minorHAnsi" w:hAnsiTheme="minorHAnsi"/>
          <w:sz w:val="20"/>
        </w:rPr>
        <w:footnoteRef/>
      </w:r>
      <w:r w:rsidRPr="006010C8">
        <w:rPr>
          <w:rFonts w:asciiTheme="minorHAnsi" w:hAnsiTheme="minorHAnsi"/>
          <w:sz w:val="20"/>
        </w:rPr>
        <w:t xml:space="preserve"> See Klein (1996) for a taxonomy of approaches to encouraging competition in natural monopolies.</w:t>
      </w:r>
      <w:r>
        <w:t xml:space="preserve"> </w:t>
      </w:r>
    </w:p>
  </w:footnote>
  <w:footnote w:id="24">
    <w:p w14:paraId="2FF62D68" w14:textId="7E3ED414" w:rsidR="008A4EEE" w:rsidRPr="006010C8" w:rsidRDefault="008A4EEE" w:rsidP="00743C0C">
      <w:pPr>
        <w:pStyle w:val="FootnoteText"/>
        <w:rPr>
          <w:rFonts w:asciiTheme="minorHAnsi" w:hAnsiTheme="minorHAnsi" w:cs="Times New Roman"/>
          <w:sz w:val="20"/>
        </w:rPr>
      </w:pPr>
      <w:r w:rsidRPr="006010C8">
        <w:rPr>
          <w:rStyle w:val="FootnoteReference"/>
          <w:rFonts w:asciiTheme="minorHAnsi" w:hAnsiTheme="minorHAnsi" w:cs="Times New Roman"/>
          <w:sz w:val="20"/>
        </w:rPr>
        <w:footnoteRef/>
      </w:r>
      <w:r w:rsidRPr="006010C8">
        <w:rPr>
          <w:rFonts w:asciiTheme="minorHAnsi" w:hAnsiTheme="minorHAnsi" w:cs="Times New Roman"/>
          <w:sz w:val="20"/>
        </w:rPr>
        <w:t xml:space="preserve"> The Diamond Cement Ghana Limited factory produces around 35% of Ghana needs for cement. A 2.5 km railway line linking the port of Lomé to the factory was opened in February 2014.</w:t>
      </w:r>
    </w:p>
  </w:footnote>
  <w:footnote w:id="25">
    <w:p w14:paraId="26C8D532" w14:textId="77777777" w:rsidR="008A4EEE" w:rsidRPr="006010C8" w:rsidRDefault="008A4EEE" w:rsidP="00743C0C">
      <w:pPr>
        <w:pStyle w:val="FootnoteText"/>
        <w:rPr>
          <w:rFonts w:asciiTheme="minorHAnsi" w:hAnsiTheme="minorHAnsi" w:cs="Times New Roman"/>
          <w:sz w:val="20"/>
        </w:rPr>
      </w:pPr>
      <w:r w:rsidRPr="006010C8">
        <w:rPr>
          <w:rStyle w:val="FootnoteReference"/>
          <w:rFonts w:asciiTheme="minorHAnsi" w:hAnsiTheme="minorHAnsi" w:cs="Times New Roman"/>
          <w:sz w:val="20"/>
        </w:rPr>
        <w:footnoteRef/>
      </w:r>
      <w:r w:rsidRPr="006010C8">
        <w:rPr>
          <w:rFonts w:asciiTheme="minorHAnsi" w:hAnsiTheme="minorHAnsi" w:cs="Times New Roman"/>
          <w:sz w:val="20"/>
        </w:rPr>
        <w:t xml:space="preserve"> Cote d’Ivoire initiated this movement in 2004 and only Cape Verde, the Gambia and Guinea-Bissau have not established port concessions with terminal operators so far, despite discussions for several years. Existing concessions mostly concern container terminals.</w:t>
      </w:r>
    </w:p>
  </w:footnote>
  <w:footnote w:id="26">
    <w:p w14:paraId="01A7A347" w14:textId="77777777" w:rsidR="008A4EEE" w:rsidRPr="006010C8" w:rsidRDefault="008A4EEE" w:rsidP="00743C0C">
      <w:pPr>
        <w:pStyle w:val="FootnoteText"/>
        <w:rPr>
          <w:rStyle w:val="FootnoteReference"/>
          <w:rFonts w:asciiTheme="minorHAnsi" w:hAnsiTheme="minorHAnsi" w:cs="Times New Roman"/>
          <w:sz w:val="20"/>
        </w:rPr>
      </w:pPr>
      <w:r w:rsidRPr="006010C8">
        <w:rPr>
          <w:rStyle w:val="FootnoteReference"/>
          <w:rFonts w:asciiTheme="minorHAnsi" w:hAnsiTheme="minorHAnsi" w:cs="Times New Roman"/>
          <w:sz w:val="20"/>
        </w:rPr>
        <w:footnoteRef/>
      </w:r>
      <w:r w:rsidRPr="006010C8">
        <w:rPr>
          <w:rStyle w:val="FootnoteReference"/>
          <w:rFonts w:asciiTheme="minorHAnsi" w:hAnsiTheme="minorHAnsi" w:cs="Times New Roman"/>
          <w:sz w:val="20"/>
        </w:rPr>
        <w:t xml:space="preserve"> </w:t>
      </w:r>
      <w:r w:rsidRPr="006010C8">
        <w:rPr>
          <w:rStyle w:val="FootnoteReference"/>
          <w:rFonts w:asciiTheme="minorHAnsi" w:hAnsiTheme="minorHAnsi" w:cs="Times New Roman"/>
          <w:sz w:val="20"/>
          <w:vertAlign w:val="baseline"/>
        </w:rPr>
        <w:t>See T</w:t>
      </w:r>
      <w:r w:rsidRPr="006010C8">
        <w:rPr>
          <w:rFonts w:asciiTheme="minorHAnsi" w:hAnsiTheme="minorHAnsi" w:cs="Times New Roman"/>
          <w:sz w:val="20"/>
        </w:rPr>
        <w:t>able 3</w:t>
      </w:r>
      <w:r w:rsidRPr="006010C8">
        <w:rPr>
          <w:rStyle w:val="FootnoteReference"/>
          <w:rFonts w:asciiTheme="minorHAnsi" w:hAnsiTheme="minorHAnsi" w:cs="Times New Roman"/>
          <w:sz w:val="20"/>
          <w:vertAlign w:val="baseline"/>
        </w:rPr>
        <w:t xml:space="preserve"> for</w:t>
      </w:r>
      <w:r w:rsidRPr="006010C8">
        <w:rPr>
          <w:rFonts w:asciiTheme="minorHAnsi" w:hAnsiTheme="minorHAnsi" w:cs="Times New Roman"/>
          <w:sz w:val="20"/>
        </w:rPr>
        <w:t xml:space="preserve"> public/private responsibilities under the </w:t>
      </w:r>
      <w:r w:rsidRPr="006010C8">
        <w:rPr>
          <w:rStyle w:val="FootnoteReference"/>
          <w:rFonts w:asciiTheme="minorHAnsi" w:hAnsiTheme="minorHAnsi" w:cs="Times New Roman"/>
          <w:sz w:val="20"/>
          <w:vertAlign w:val="baseline"/>
        </w:rPr>
        <w:t>different port models</w:t>
      </w:r>
    </w:p>
  </w:footnote>
  <w:footnote w:id="27">
    <w:p w14:paraId="172F928B" w14:textId="77777777" w:rsidR="008A4EEE" w:rsidRPr="006C3F77" w:rsidRDefault="008A4EEE" w:rsidP="00743C0C">
      <w:pPr>
        <w:pStyle w:val="FootnoteText"/>
        <w:rPr>
          <w:rFonts w:ascii="Times New Roman" w:hAnsi="Times New Roman" w:cs="Times New Roman"/>
          <w:sz w:val="20"/>
        </w:rPr>
      </w:pPr>
      <w:r w:rsidRPr="006010C8">
        <w:rPr>
          <w:rStyle w:val="FootnoteReference"/>
          <w:rFonts w:asciiTheme="minorHAnsi" w:hAnsiTheme="minorHAnsi" w:cs="Times New Roman"/>
          <w:sz w:val="20"/>
        </w:rPr>
        <w:footnoteRef/>
      </w:r>
      <w:r w:rsidRPr="006010C8">
        <w:rPr>
          <w:rFonts w:asciiTheme="minorHAnsi" w:hAnsiTheme="minorHAnsi" w:cs="Times New Roman"/>
          <w:sz w:val="20"/>
        </w:rPr>
        <w:t xml:space="preserve"> Even in the case of autonomous ports, central governments usually retain significant control for major decisions, notably for the terminal concession process.</w:t>
      </w:r>
    </w:p>
  </w:footnote>
  <w:footnote w:id="28">
    <w:p w14:paraId="1715975F" w14:textId="77777777" w:rsidR="008A4EEE" w:rsidRPr="006010C8" w:rsidRDefault="008A4EEE" w:rsidP="00F92E55">
      <w:pPr>
        <w:pStyle w:val="FootnoteText"/>
        <w:rPr>
          <w:rFonts w:asciiTheme="minorHAnsi" w:hAnsiTheme="minorHAnsi" w:cs="Times New Roman"/>
          <w:sz w:val="20"/>
        </w:rPr>
      </w:pPr>
      <w:r w:rsidRPr="006010C8">
        <w:rPr>
          <w:rStyle w:val="FootnoteReference"/>
          <w:rFonts w:asciiTheme="minorHAnsi" w:hAnsiTheme="minorHAnsi" w:cs="Times New Roman"/>
          <w:sz w:val="20"/>
        </w:rPr>
        <w:footnoteRef/>
      </w:r>
      <w:r w:rsidRPr="006010C8">
        <w:rPr>
          <w:rFonts w:asciiTheme="minorHAnsi" w:hAnsiTheme="minorHAnsi" w:cs="Times New Roman"/>
          <w:sz w:val="20"/>
        </w:rPr>
        <w:t xml:space="preserve"> Cf. Annex 3 for the detailed list of all terminal concessions in Nigeria.</w:t>
      </w:r>
    </w:p>
  </w:footnote>
  <w:footnote w:id="29">
    <w:p w14:paraId="325CD152" w14:textId="63E1FD5E" w:rsidR="008A4EEE" w:rsidRPr="006010C8" w:rsidRDefault="008A4EEE">
      <w:pPr>
        <w:pStyle w:val="FootnoteText"/>
        <w:rPr>
          <w:rFonts w:asciiTheme="minorHAnsi" w:hAnsiTheme="minorHAnsi"/>
          <w:sz w:val="20"/>
        </w:rPr>
      </w:pPr>
      <w:r w:rsidRPr="006010C8">
        <w:rPr>
          <w:rStyle w:val="FootnoteReference"/>
          <w:rFonts w:asciiTheme="minorHAnsi" w:hAnsiTheme="minorHAnsi"/>
          <w:sz w:val="20"/>
        </w:rPr>
        <w:footnoteRef/>
      </w:r>
      <w:r w:rsidRPr="006010C8">
        <w:rPr>
          <w:rFonts w:asciiTheme="minorHAnsi" w:hAnsiTheme="minorHAnsi"/>
          <w:sz w:val="20"/>
        </w:rPr>
        <w:t xml:space="preserve"> DP World used to managed the port of Doraleh in Djibouti until the Government cancelled the concession in July 2014</w:t>
      </w:r>
      <w:r>
        <w:rPr>
          <w:rFonts w:asciiTheme="minorHAnsi" w:hAnsiTheme="minorHAnsi"/>
          <w:sz w:val="20"/>
        </w:rPr>
        <w:t>, and the case is still under arbitration</w:t>
      </w:r>
    </w:p>
  </w:footnote>
  <w:footnote w:id="30">
    <w:p w14:paraId="782F4388" w14:textId="77777777" w:rsidR="008A4EEE" w:rsidRDefault="008A4EEE" w:rsidP="007A173D">
      <w:pPr>
        <w:pStyle w:val="FootnoteText"/>
      </w:pPr>
      <w:r>
        <w:rPr>
          <w:rStyle w:val="FootnoteReference"/>
        </w:rPr>
        <w:footnoteRef/>
      </w:r>
      <w:r>
        <w:t xml:space="preserve"> The concession of the ports in Cape Verde was planned to be completed in February 2016, but the process is still pending.</w:t>
      </w:r>
    </w:p>
  </w:footnote>
  <w:footnote w:id="31">
    <w:p w14:paraId="2DD702A8" w14:textId="77777777" w:rsidR="008A4EEE" w:rsidRDefault="008A4EEE" w:rsidP="00B67270">
      <w:pPr>
        <w:pStyle w:val="FootnoteText"/>
      </w:pPr>
      <w:r>
        <w:rPr>
          <w:rStyle w:val="FootnoteReference"/>
        </w:rPr>
        <w:footnoteRef/>
      </w:r>
      <w:r>
        <w:t xml:space="preserve"> Quarterly / Annual performance report October 2012 – September 2013 available at </w:t>
      </w:r>
      <w:hyperlink r:id="rId5" w:history="1">
        <w:r w:rsidRPr="00717151">
          <w:rPr>
            <w:rStyle w:val="Hyperlink"/>
          </w:rPr>
          <w:t>http://pdf.usaid.gov/pdf_docs/PA00KJMM.pdf</w:t>
        </w:r>
      </w:hyperlink>
    </w:p>
  </w:footnote>
  <w:footnote w:id="32">
    <w:p w14:paraId="2C8DAA48" w14:textId="77777777" w:rsidR="008A4EEE" w:rsidRPr="00131772" w:rsidRDefault="008A4EEE" w:rsidP="00B67270">
      <w:pPr>
        <w:pStyle w:val="FootnoteText"/>
        <w:rPr>
          <w:rFonts w:asciiTheme="minorHAnsi" w:hAnsiTheme="minorHAnsi"/>
          <w:sz w:val="20"/>
        </w:rPr>
      </w:pPr>
      <w:r w:rsidRPr="00131772">
        <w:rPr>
          <w:rStyle w:val="FootnoteReference"/>
          <w:rFonts w:asciiTheme="minorHAnsi" w:hAnsiTheme="minorHAnsi"/>
          <w:sz w:val="20"/>
        </w:rPr>
        <w:footnoteRef/>
      </w:r>
      <w:r w:rsidRPr="00131772">
        <w:rPr>
          <w:rFonts w:asciiTheme="minorHAnsi" w:hAnsiTheme="minorHAnsi"/>
          <w:sz w:val="20"/>
        </w:rPr>
        <w:t xml:space="preserve"> The payment is recorded in the Revised Budget for the Government of Senegal, available at </w:t>
      </w:r>
      <w:hyperlink r:id="rId6" w:history="1">
        <w:r w:rsidRPr="00131772">
          <w:rPr>
            <w:rStyle w:val="Hyperlink"/>
            <w:rFonts w:asciiTheme="minorHAnsi" w:hAnsiTheme="minorHAnsi"/>
            <w:sz w:val="20"/>
          </w:rPr>
          <w:t>http://www.finances.gouv.sn/webmef/LFI/LFR_2013_2.pdf</w:t>
        </w:r>
      </w:hyperlink>
    </w:p>
  </w:footnote>
  <w:footnote w:id="33">
    <w:p w14:paraId="3F198CE5" w14:textId="332B8986" w:rsidR="008A4EEE" w:rsidRPr="00131772" w:rsidRDefault="008A4EEE" w:rsidP="00B67270">
      <w:pPr>
        <w:pStyle w:val="FootnoteText"/>
        <w:rPr>
          <w:rFonts w:asciiTheme="minorHAnsi" w:hAnsiTheme="minorHAnsi"/>
          <w:sz w:val="20"/>
        </w:rPr>
      </w:pPr>
      <w:r w:rsidRPr="00131772">
        <w:rPr>
          <w:rStyle w:val="FootnoteReference"/>
          <w:rFonts w:asciiTheme="minorHAnsi" w:hAnsiTheme="minorHAnsi"/>
          <w:sz w:val="20"/>
        </w:rPr>
        <w:footnoteRef/>
      </w:r>
      <w:r w:rsidRPr="00131772">
        <w:rPr>
          <w:rFonts w:asciiTheme="minorHAnsi" w:hAnsiTheme="minorHAnsi"/>
          <w:sz w:val="20"/>
        </w:rPr>
        <w:t xml:space="preserve"> Visit</w:t>
      </w:r>
    </w:p>
    <w:p w14:paraId="51CA53AD" w14:textId="523F0B27" w:rsidR="008A4EEE" w:rsidRDefault="00A15383" w:rsidP="00B67270">
      <w:pPr>
        <w:pStyle w:val="FootnoteText"/>
      </w:pPr>
      <w:hyperlink r:id="rId7" w:history="1">
        <w:r w:rsidR="008A4EEE" w:rsidRPr="00131772">
          <w:rPr>
            <w:rStyle w:val="Hyperlink"/>
            <w:rFonts w:asciiTheme="minorHAnsi" w:hAnsiTheme="minorHAnsi"/>
            <w:sz w:val="20"/>
          </w:rPr>
          <w:t>https://icsid.worldbank.org/ICSID/FrontServlet?requestType=CasesRH&amp;actionVal=showDoc&amp;docId=DC2912_Fr&amp;caseId=C1900</w:t>
        </w:r>
      </w:hyperlink>
    </w:p>
  </w:footnote>
  <w:footnote w:id="34">
    <w:p w14:paraId="3B3A363E" w14:textId="77777777" w:rsidR="008A4EEE" w:rsidRDefault="008A4EEE" w:rsidP="00F72354">
      <w:pPr>
        <w:pStyle w:val="FootnoteText"/>
      </w:pPr>
      <w:r>
        <w:rPr>
          <w:rStyle w:val="FootnoteReference"/>
        </w:rPr>
        <w:footnoteRef/>
      </w:r>
      <w:r>
        <w:t xml:space="preserve"> Although the original concession was for 15 years. The concession was extended with the revision of the handling tariffs in 2013.</w:t>
      </w:r>
    </w:p>
  </w:footnote>
  <w:footnote w:id="35">
    <w:p w14:paraId="59F8E8ED" w14:textId="77777777" w:rsidR="008A4EEE" w:rsidRPr="00131772" w:rsidRDefault="008A4EEE" w:rsidP="00743C0C">
      <w:pPr>
        <w:pStyle w:val="FootnoteText"/>
        <w:rPr>
          <w:rFonts w:asciiTheme="minorHAnsi" w:hAnsiTheme="minorHAnsi" w:cs="Times New Roman"/>
          <w:sz w:val="20"/>
        </w:rPr>
      </w:pPr>
      <w:r w:rsidRPr="00131772">
        <w:rPr>
          <w:rStyle w:val="FootnoteReference"/>
          <w:rFonts w:asciiTheme="minorHAnsi" w:hAnsiTheme="minorHAnsi" w:cs="Times New Roman"/>
          <w:sz w:val="20"/>
        </w:rPr>
        <w:footnoteRef/>
      </w:r>
      <w:r w:rsidRPr="00131772">
        <w:rPr>
          <w:rFonts w:asciiTheme="minorHAnsi" w:hAnsiTheme="minorHAnsi" w:cs="Times New Roman"/>
          <w:sz w:val="20"/>
        </w:rPr>
        <w:t xml:space="preserve"> Pallis, A.A. , Notteboom, T. and De Langen P.W. Concession Agreements and market entry in the Container Terminal Industry (2010). Maritime Economics and Logistics, vol. 10, no. 3, pp. 209-228.  </w:t>
      </w:r>
    </w:p>
    <w:p w14:paraId="3D0CC2C9" w14:textId="77777777" w:rsidR="008A4EEE" w:rsidRPr="006C3F77" w:rsidRDefault="008A4EEE" w:rsidP="00743C0C">
      <w:pPr>
        <w:pStyle w:val="FootnoteText"/>
        <w:rPr>
          <w:rFonts w:ascii="Times New Roman" w:hAnsi="Times New Roman" w:cs="Times New Roman"/>
          <w:sz w:val="20"/>
        </w:rPr>
      </w:pPr>
      <w:r w:rsidRPr="00131772">
        <w:rPr>
          <w:rFonts w:asciiTheme="minorHAnsi" w:hAnsiTheme="minorHAnsi" w:cs="Times New Roman"/>
          <w:sz w:val="20"/>
        </w:rPr>
        <w:t>Essoh, Nome P. Cote d’ivoire Commodities Export and Shipping: Challenges for Port Traffic and Regional market Size. American Jornal of Industrial and business management, 2014, 4, 234-245.</w:t>
      </w:r>
      <w:r w:rsidRPr="006C3F77">
        <w:rPr>
          <w:rFonts w:ascii="Times New Roman" w:hAnsi="Times New Roman" w:cs="Times New Roman"/>
          <w:sz w:val="20"/>
        </w:rPr>
        <w:t xml:space="preserve"> </w:t>
      </w:r>
    </w:p>
  </w:footnote>
  <w:footnote w:id="36">
    <w:p w14:paraId="2D996812" w14:textId="77777777" w:rsidR="008A4EEE" w:rsidRPr="00131772" w:rsidRDefault="008A4EEE" w:rsidP="00AD2E83">
      <w:pPr>
        <w:pStyle w:val="FootnoteText"/>
        <w:rPr>
          <w:rFonts w:asciiTheme="minorHAnsi" w:hAnsiTheme="minorHAnsi"/>
          <w:sz w:val="20"/>
        </w:rPr>
      </w:pPr>
      <w:r w:rsidRPr="00131772">
        <w:rPr>
          <w:rStyle w:val="FootnoteReference"/>
          <w:rFonts w:asciiTheme="minorHAnsi" w:hAnsiTheme="minorHAnsi"/>
          <w:sz w:val="20"/>
        </w:rPr>
        <w:footnoteRef/>
      </w:r>
      <w:r w:rsidRPr="00131772">
        <w:rPr>
          <w:rFonts w:asciiTheme="minorHAnsi" w:hAnsiTheme="minorHAnsi"/>
          <w:sz w:val="20"/>
        </w:rPr>
        <w:t xml:space="preserve"> </w:t>
      </w:r>
      <w:hyperlink r:id="rId8" w:history="1">
        <w:r w:rsidRPr="00131772">
          <w:rPr>
            <w:rStyle w:val="Hyperlink"/>
            <w:rFonts w:asciiTheme="minorHAnsi" w:hAnsiTheme="minorHAnsi"/>
            <w:sz w:val="20"/>
          </w:rPr>
          <w:t>http://www.guineeconakry.info/article/detail/affaire-terminal-conteneurs-mais-quelle-est-la-version-officielle/</w:t>
        </w:r>
      </w:hyperlink>
    </w:p>
  </w:footnote>
  <w:footnote w:id="37">
    <w:p w14:paraId="713A4637" w14:textId="77777777" w:rsidR="008A4EEE" w:rsidRPr="00131772" w:rsidRDefault="008A4EEE" w:rsidP="00AD2E83">
      <w:pPr>
        <w:pStyle w:val="FootnoteText"/>
        <w:rPr>
          <w:rFonts w:asciiTheme="minorHAnsi" w:hAnsiTheme="minorHAnsi"/>
          <w:sz w:val="20"/>
        </w:rPr>
      </w:pPr>
      <w:r w:rsidRPr="00131772">
        <w:rPr>
          <w:rStyle w:val="FootnoteReference"/>
          <w:rFonts w:asciiTheme="minorHAnsi" w:hAnsiTheme="minorHAnsi"/>
          <w:sz w:val="20"/>
        </w:rPr>
        <w:footnoteRef/>
      </w:r>
      <w:r w:rsidRPr="00131772">
        <w:rPr>
          <w:rFonts w:asciiTheme="minorHAnsi" w:hAnsiTheme="minorHAnsi"/>
          <w:sz w:val="20"/>
        </w:rPr>
        <w:t xml:space="preserve"> </w:t>
      </w:r>
      <w:hyperlink r:id="rId9" w:history="1">
        <w:r w:rsidRPr="00131772">
          <w:rPr>
            <w:rStyle w:val="Hyperlink"/>
            <w:rFonts w:asciiTheme="minorHAnsi" w:hAnsiTheme="minorHAnsi"/>
            <w:sz w:val="20"/>
          </w:rPr>
          <w:t>http://www.anrmp.ci/contentieux-77111/decisions-26968/file/138-decision-n-009-2013-anrmp-crs-du-08-mai-2013-sur-la-denonciation-faite-par-le-groupement-international-container-terminal-services-inc-ictsi-cma-cgmt-terminal-link-movis-necotrans-pour-irregularites-commises-dans-la-procedure-de-passation-de-l-appel-d-off?start=80</w:t>
        </w:r>
      </w:hyperlink>
    </w:p>
  </w:footnote>
  <w:footnote w:id="38">
    <w:p w14:paraId="63A4975A" w14:textId="77777777" w:rsidR="008A4EEE" w:rsidRDefault="008A4EEE" w:rsidP="00AD2E83">
      <w:pPr>
        <w:pStyle w:val="FootnoteText"/>
      </w:pPr>
      <w:r w:rsidRPr="00131772">
        <w:rPr>
          <w:rStyle w:val="FootnoteReference"/>
          <w:rFonts w:asciiTheme="minorHAnsi" w:hAnsiTheme="minorHAnsi"/>
          <w:sz w:val="20"/>
        </w:rPr>
        <w:footnoteRef/>
      </w:r>
      <w:r w:rsidRPr="00131772">
        <w:rPr>
          <w:rFonts w:asciiTheme="minorHAnsi" w:hAnsiTheme="minorHAnsi"/>
          <w:sz w:val="20"/>
        </w:rPr>
        <w:t xml:space="preserve"> </w:t>
      </w:r>
      <w:hyperlink r:id="rId10" w:history="1">
        <w:r w:rsidRPr="00131772">
          <w:rPr>
            <w:rStyle w:val="Hyperlink"/>
            <w:rFonts w:asciiTheme="minorHAnsi" w:hAnsiTheme="minorHAnsi"/>
            <w:sz w:val="20"/>
          </w:rPr>
          <w:t>http://portfinanceinternational.com/categories/emerging-economies/item/904-bollor%C3%A9-and-apmt-sign-concession-agreement-for-abidjan%E2%80%99s-second-container-terminal</w:t>
        </w:r>
      </w:hyperlink>
    </w:p>
  </w:footnote>
  <w:footnote w:id="39">
    <w:p w14:paraId="3257398D" w14:textId="77777777" w:rsidR="008A4EEE" w:rsidRPr="002A2BE5" w:rsidRDefault="008A4EEE" w:rsidP="004669E3">
      <w:pPr>
        <w:pStyle w:val="FootnoteText"/>
      </w:pPr>
      <w:r>
        <w:rPr>
          <w:rStyle w:val="FootnoteReference"/>
        </w:rPr>
        <w:footnoteRef/>
      </w:r>
      <w:r>
        <w:t xml:space="preserve"> BAL has, in a separate development, won the concession for the Benin Niger railway, and is currently extending the railway line from its current end in Parakou (Benin) to Niamey</w:t>
      </w:r>
    </w:p>
  </w:footnote>
  <w:footnote w:id="40">
    <w:p w14:paraId="46DB530B" w14:textId="77777777" w:rsidR="008A4EEE" w:rsidRPr="00131772" w:rsidRDefault="008A4EEE">
      <w:pPr>
        <w:pStyle w:val="FootnoteText"/>
        <w:rPr>
          <w:rFonts w:asciiTheme="minorHAnsi" w:hAnsiTheme="minorHAnsi"/>
          <w:sz w:val="20"/>
        </w:rPr>
      </w:pPr>
      <w:r w:rsidRPr="00131772">
        <w:rPr>
          <w:rStyle w:val="FootnoteReference"/>
          <w:rFonts w:asciiTheme="minorHAnsi" w:hAnsiTheme="minorHAnsi"/>
          <w:sz w:val="20"/>
        </w:rPr>
        <w:footnoteRef/>
      </w:r>
      <w:r w:rsidRPr="00131772">
        <w:rPr>
          <w:rFonts w:asciiTheme="minorHAnsi" w:hAnsiTheme="minorHAnsi"/>
          <w:sz w:val="20"/>
        </w:rPr>
        <w:t xml:space="preserve"> Switching from reach-stacker to RTG operation allows for a more compact design of the container stacking areas, and higher stacking of containers on the same ground slot.</w:t>
      </w:r>
    </w:p>
  </w:footnote>
  <w:footnote w:id="41">
    <w:p w14:paraId="670DA20A" w14:textId="77777777" w:rsidR="008A4EEE" w:rsidRPr="00131772" w:rsidRDefault="008A4EEE" w:rsidP="00FB6F86">
      <w:pPr>
        <w:pStyle w:val="FootnoteText"/>
        <w:rPr>
          <w:rFonts w:asciiTheme="minorHAnsi" w:hAnsiTheme="minorHAnsi" w:cs="Times New Roman"/>
          <w:sz w:val="20"/>
        </w:rPr>
      </w:pPr>
      <w:r w:rsidRPr="00131772">
        <w:rPr>
          <w:rStyle w:val="FootnoteReference"/>
          <w:rFonts w:asciiTheme="minorHAnsi" w:hAnsiTheme="minorHAnsi" w:cs="Times New Roman"/>
          <w:sz w:val="20"/>
        </w:rPr>
        <w:footnoteRef/>
      </w:r>
      <w:r w:rsidRPr="00131772">
        <w:rPr>
          <w:rFonts w:asciiTheme="minorHAnsi" w:hAnsiTheme="minorHAnsi" w:cs="Times New Roman"/>
          <w:sz w:val="20"/>
        </w:rPr>
        <w:t xml:space="preserve"> Port productivity considers the total time in port, including waiting time before berthing, while berth productivity measures only performance at berth.</w:t>
      </w:r>
    </w:p>
  </w:footnote>
  <w:footnote w:id="42">
    <w:p w14:paraId="110E39B2" w14:textId="77777777" w:rsidR="008A4EEE" w:rsidRPr="00131772" w:rsidRDefault="008A4EEE" w:rsidP="002061E4">
      <w:pPr>
        <w:pStyle w:val="FootnoteText"/>
        <w:rPr>
          <w:rFonts w:asciiTheme="minorHAnsi" w:hAnsiTheme="minorHAnsi"/>
          <w:sz w:val="20"/>
        </w:rPr>
      </w:pPr>
      <w:r w:rsidRPr="00131772">
        <w:rPr>
          <w:rStyle w:val="FootnoteReference"/>
          <w:rFonts w:asciiTheme="minorHAnsi" w:hAnsiTheme="minorHAnsi"/>
          <w:sz w:val="20"/>
        </w:rPr>
        <w:footnoteRef/>
      </w:r>
      <w:r w:rsidRPr="00131772">
        <w:rPr>
          <w:rFonts w:asciiTheme="minorHAnsi" w:hAnsiTheme="minorHAnsi"/>
          <w:sz w:val="20"/>
        </w:rPr>
        <w:t xml:space="preserve"> See notably Raballand, Gaël, Salim Refas, Monica Beuran and Gözde Isik. 2012. Why Does Cargo Spend Weeks in Sub-Saharan African Ports? Lessons from Six Countries. Washington DC: The World Bank</w:t>
      </w:r>
    </w:p>
  </w:footnote>
  <w:footnote w:id="43">
    <w:p w14:paraId="43B42969" w14:textId="77777777" w:rsidR="008A4EEE" w:rsidRPr="00426430" w:rsidRDefault="008A4EEE" w:rsidP="00743C0C">
      <w:pPr>
        <w:pStyle w:val="FootnoteText"/>
        <w:rPr>
          <w:rFonts w:asciiTheme="minorHAnsi" w:hAnsiTheme="minorHAnsi" w:cs="Times New Roman"/>
          <w:sz w:val="20"/>
        </w:rPr>
      </w:pPr>
      <w:r w:rsidRPr="00426430">
        <w:rPr>
          <w:rStyle w:val="FootnoteReference"/>
          <w:rFonts w:asciiTheme="minorHAnsi" w:hAnsiTheme="minorHAnsi" w:cs="Times New Roman"/>
          <w:sz w:val="20"/>
        </w:rPr>
        <w:footnoteRef/>
      </w:r>
      <w:r w:rsidRPr="00426430">
        <w:rPr>
          <w:rFonts w:asciiTheme="minorHAnsi" w:hAnsiTheme="minorHAnsi" w:cs="Times New Roman"/>
          <w:sz w:val="20"/>
        </w:rPr>
        <w:t xml:space="preserve"> Delivery of the fourth STS crane in 2009, RTGs in 2011, followed by two new STS cranes in 2013</w:t>
      </w:r>
    </w:p>
  </w:footnote>
  <w:footnote w:id="44">
    <w:p w14:paraId="71A56BB2" w14:textId="77777777" w:rsidR="008A4EEE" w:rsidRPr="00426430" w:rsidRDefault="008A4EEE" w:rsidP="00743C0C">
      <w:pPr>
        <w:pStyle w:val="FootnoteText"/>
        <w:rPr>
          <w:rFonts w:asciiTheme="minorHAnsi" w:hAnsiTheme="minorHAnsi" w:cs="Times New Roman"/>
          <w:sz w:val="20"/>
        </w:rPr>
      </w:pPr>
      <w:r w:rsidRPr="00426430">
        <w:rPr>
          <w:rStyle w:val="FootnoteReference"/>
          <w:rFonts w:asciiTheme="minorHAnsi" w:hAnsiTheme="minorHAnsi" w:cs="Times New Roman"/>
          <w:sz w:val="20"/>
        </w:rPr>
        <w:footnoteRef/>
      </w:r>
      <w:r w:rsidRPr="00426430">
        <w:rPr>
          <w:rFonts w:asciiTheme="minorHAnsi" w:hAnsiTheme="minorHAnsi" w:cs="Times New Roman"/>
          <w:sz w:val="20"/>
        </w:rPr>
        <w:t xml:space="preserve"> In Togo, container handling was opened to private stevedoring companies in 2002, with the licensing of SE2M, followed by the licensing of a second operator, GETMA, in 2008</w:t>
      </w:r>
    </w:p>
  </w:footnote>
  <w:footnote w:id="45">
    <w:p w14:paraId="72218199" w14:textId="77777777" w:rsidR="008A4EEE" w:rsidRPr="00426430" w:rsidRDefault="008A4EEE" w:rsidP="00743C0C">
      <w:pPr>
        <w:pStyle w:val="FootnoteText"/>
        <w:rPr>
          <w:rFonts w:asciiTheme="minorHAnsi" w:hAnsiTheme="minorHAnsi" w:cs="Times New Roman"/>
          <w:sz w:val="20"/>
        </w:rPr>
      </w:pPr>
      <w:r w:rsidRPr="00426430">
        <w:rPr>
          <w:rStyle w:val="FootnoteReference"/>
          <w:rFonts w:asciiTheme="minorHAnsi" w:hAnsiTheme="minorHAnsi" w:cs="Times New Roman"/>
          <w:sz w:val="20"/>
        </w:rPr>
        <w:footnoteRef/>
      </w:r>
      <w:r w:rsidRPr="00426430">
        <w:rPr>
          <w:rFonts w:asciiTheme="minorHAnsi" w:hAnsiTheme="minorHAnsi" w:cs="Times New Roman"/>
          <w:sz w:val="20"/>
        </w:rPr>
        <w:t xml:space="preserve"> When different rates apply for stripped or closed containers, the rate for closed container has been selected</w:t>
      </w:r>
    </w:p>
  </w:footnote>
  <w:footnote w:id="46">
    <w:p w14:paraId="0A75C731" w14:textId="77777777" w:rsidR="008A4EEE" w:rsidRPr="00650472" w:rsidRDefault="008A4EEE" w:rsidP="00D23EC8">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Abidjan is the only port for which published tariffs detail some of the items borne by the shipping lines: the ship handling for loaded and empty containers.</w:t>
      </w:r>
    </w:p>
  </w:footnote>
  <w:footnote w:id="47">
    <w:p w14:paraId="07EC9A40" w14:textId="77777777" w:rsidR="008A4EEE" w:rsidRPr="00650472" w:rsidRDefault="008A4EEE" w:rsidP="00B4787E">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See for instance ‘The Economist’ April 12</w:t>
      </w:r>
      <w:r w:rsidRPr="00650472">
        <w:rPr>
          <w:rFonts w:asciiTheme="minorHAnsi" w:hAnsiTheme="minorHAnsi"/>
          <w:sz w:val="20"/>
          <w:vertAlign w:val="superscript"/>
        </w:rPr>
        <w:t>th</w:t>
      </w:r>
      <w:r w:rsidRPr="00650472">
        <w:rPr>
          <w:rFonts w:asciiTheme="minorHAnsi" w:hAnsiTheme="minorHAnsi"/>
          <w:sz w:val="20"/>
        </w:rPr>
        <w:t xml:space="preserve"> 2014 </w:t>
      </w:r>
      <w:hyperlink r:id="rId11" w:history="1">
        <w:r w:rsidRPr="00650472">
          <w:rPr>
            <w:rStyle w:val="Hyperlink"/>
            <w:rFonts w:asciiTheme="minorHAnsi" w:hAnsiTheme="minorHAnsi"/>
            <w:sz w:val="20"/>
          </w:rPr>
          <w:t>http://www.economist.com/news/finance-and-economics/21600734-revised-figures-show-nigeria-africas-largest-economy-step-change</w:t>
        </w:r>
      </w:hyperlink>
    </w:p>
  </w:footnote>
  <w:footnote w:id="48">
    <w:p w14:paraId="2C010CEB" w14:textId="77777777" w:rsidR="008A4EEE" w:rsidRPr="00650472" w:rsidRDefault="008A4EEE" w:rsidP="00536863">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Alphaliner Volume 2013, Issue 17. </w:t>
      </w:r>
      <w:hyperlink r:id="rId12" w:history="1">
        <w:r w:rsidRPr="00650472">
          <w:rPr>
            <w:rStyle w:val="Hyperlink"/>
            <w:rFonts w:asciiTheme="minorHAnsi" w:hAnsiTheme="minorHAnsi"/>
            <w:sz w:val="20"/>
          </w:rPr>
          <w:t>www.alphaliner.com</w:t>
        </w:r>
      </w:hyperlink>
    </w:p>
  </w:footnote>
  <w:footnote w:id="49">
    <w:p w14:paraId="0ECD2ED0" w14:textId="69732520" w:rsidR="008A4EEE" w:rsidRPr="00EA214B" w:rsidRDefault="008A4EEE" w:rsidP="00626F3C">
      <w:pPr>
        <w:pStyle w:val="FootnoteText"/>
        <w:rPr>
          <w:rFonts w:asciiTheme="minorHAnsi" w:hAnsiTheme="minorHAnsi" w:cs="Times New Roman"/>
          <w:sz w:val="20"/>
        </w:rPr>
      </w:pPr>
      <w:r w:rsidRPr="00EA214B">
        <w:rPr>
          <w:rStyle w:val="FootnoteReference"/>
          <w:rFonts w:asciiTheme="minorHAnsi" w:hAnsiTheme="minorHAnsi" w:cs="Times New Roman"/>
          <w:sz w:val="20"/>
        </w:rPr>
        <w:footnoteRef/>
      </w:r>
      <w:r w:rsidRPr="00EA214B">
        <w:rPr>
          <w:rFonts w:asciiTheme="minorHAnsi" w:hAnsiTheme="minorHAnsi" w:cs="Times New Roman"/>
          <w:sz w:val="20"/>
        </w:rPr>
        <w:t xml:space="preserve"> Logistics costs in Central and West Africa, SSATP 2013</w:t>
      </w:r>
      <w:r>
        <w:rPr>
          <w:rFonts w:asciiTheme="minorHAnsi" w:hAnsiTheme="minorHAnsi" w:cs="Times New Roman"/>
          <w:sz w:val="20"/>
        </w:rPr>
        <w:t>.</w:t>
      </w:r>
    </w:p>
  </w:footnote>
  <w:footnote w:id="50">
    <w:p w14:paraId="708999AE" w14:textId="77777777" w:rsidR="008A4EEE" w:rsidRPr="00650472" w:rsidRDefault="008A4EEE" w:rsidP="00175BFF">
      <w:pPr>
        <w:pStyle w:val="FootnoteText"/>
        <w:rPr>
          <w:rFonts w:asciiTheme="minorHAnsi" w:hAnsiTheme="minorHAnsi" w:cs="Times New Roman"/>
          <w:sz w:val="20"/>
        </w:rPr>
      </w:pPr>
      <w:r w:rsidRPr="00650472">
        <w:rPr>
          <w:rStyle w:val="FootnoteReference"/>
          <w:rFonts w:asciiTheme="minorHAnsi" w:hAnsiTheme="minorHAnsi" w:cs="Times New Roman"/>
          <w:sz w:val="20"/>
        </w:rPr>
        <w:footnoteRef/>
      </w:r>
      <w:r w:rsidRPr="00650472">
        <w:rPr>
          <w:rFonts w:asciiTheme="minorHAnsi" w:hAnsiTheme="minorHAnsi" w:cs="Times New Roman"/>
          <w:sz w:val="20"/>
        </w:rPr>
        <w:t xml:space="preserve"> Ministries, provincial or regional governments, port authorities</w:t>
      </w:r>
    </w:p>
  </w:footnote>
  <w:footnote w:id="51">
    <w:p w14:paraId="5E6698F2" w14:textId="77777777" w:rsidR="008A4EEE" w:rsidRPr="00650472" w:rsidRDefault="008A4EEE">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Private Infrastructure Development Group profile on the Dakar concession, </w:t>
      </w:r>
      <w:hyperlink r:id="rId13" w:history="1">
        <w:r w:rsidRPr="00650472">
          <w:rPr>
            <w:rStyle w:val="Hyperlink"/>
            <w:rFonts w:asciiTheme="minorHAnsi" w:hAnsiTheme="minorHAnsi"/>
            <w:sz w:val="20"/>
          </w:rPr>
          <w:t>http://www.pidg.org/resource-library/case-studies/pidg-case-study-dakar-container-terminal.pdf</w:t>
        </w:r>
      </w:hyperlink>
      <w:r w:rsidRPr="00650472">
        <w:rPr>
          <w:rFonts w:asciiTheme="minorHAnsi" w:hAnsiTheme="minorHAnsi"/>
          <w:sz w:val="20"/>
        </w:rPr>
        <w:t xml:space="preserve">  </w:t>
      </w:r>
    </w:p>
  </w:footnote>
  <w:footnote w:id="52">
    <w:p w14:paraId="2106615F" w14:textId="77777777" w:rsidR="008A4EEE" w:rsidRPr="00650472" w:rsidRDefault="008A4EEE" w:rsidP="00EE2A02">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w:t>
      </w:r>
      <w:hyperlink r:id="rId14" w:history="1">
        <w:r w:rsidRPr="00650472">
          <w:rPr>
            <w:rStyle w:val="Hyperlink"/>
            <w:rFonts w:asciiTheme="minorHAnsi" w:hAnsiTheme="minorHAnsi"/>
            <w:sz w:val="20"/>
          </w:rPr>
          <w:t>www.lekkiport.com</w:t>
        </w:r>
      </w:hyperlink>
    </w:p>
  </w:footnote>
  <w:footnote w:id="53">
    <w:p w14:paraId="0CD22ABE" w14:textId="77777777" w:rsidR="008A4EEE" w:rsidRPr="00650472" w:rsidRDefault="008A4EEE" w:rsidP="00EE2A02">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CMA-CGM later acquired a 25% stake in the terminal</w:t>
      </w:r>
    </w:p>
  </w:footnote>
  <w:footnote w:id="54">
    <w:p w14:paraId="75BE7B75" w14:textId="77777777" w:rsidR="008A4EEE" w:rsidRPr="00650472" w:rsidRDefault="008A4EEE" w:rsidP="00EE2A02">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http://www.jeuneafrique.com/4561/economie/largement-financ-par-eximbank-le-port-d-abidjan-cherche-encore-quelques-milliards/</w:t>
      </w:r>
    </w:p>
  </w:footnote>
  <w:footnote w:id="55">
    <w:p w14:paraId="27933FCD" w14:textId="77777777" w:rsidR="008A4EEE" w:rsidRPr="00650472" w:rsidRDefault="008A4EEE" w:rsidP="00EE2A02">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As of October 2015</w:t>
      </w:r>
    </w:p>
  </w:footnote>
  <w:footnote w:id="56">
    <w:p w14:paraId="57035E88" w14:textId="77777777" w:rsidR="008A4EEE" w:rsidRPr="00650472" w:rsidRDefault="008A4EEE" w:rsidP="00EE2A02">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The first announcements for Badagry were putting the start of the construction work in 2012, but in practice, the project is still in discussion</w:t>
      </w:r>
    </w:p>
  </w:footnote>
  <w:footnote w:id="57">
    <w:p w14:paraId="374E770D" w14:textId="77777777" w:rsidR="008A4EEE" w:rsidRPr="00650472" w:rsidRDefault="008A4EEE" w:rsidP="00EE2A02">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Notably the announcement of the development of a 750,000 TEUs terminal in Freetown, in September 2015.</w:t>
      </w:r>
    </w:p>
  </w:footnote>
  <w:footnote w:id="58">
    <w:p w14:paraId="5839F9EC" w14:textId="77777777" w:rsidR="008A4EEE" w:rsidRPr="006C3F77" w:rsidRDefault="008A4EEE" w:rsidP="00743C0C">
      <w:pPr>
        <w:pStyle w:val="FootnoteText"/>
        <w:rPr>
          <w:rFonts w:ascii="Times New Roman" w:hAnsi="Times New Roman" w:cs="Times New Roman"/>
          <w:sz w:val="20"/>
        </w:rPr>
      </w:pPr>
      <w:r w:rsidRPr="006C3F77">
        <w:rPr>
          <w:rStyle w:val="FootnoteReference"/>
          <w:rFonts w:ascii="Times New Roman" w:hAnsi="Times New Roman" w:cs="Times New Roman"/>
          <w:sz w:val="20"/>
        </w:rPr>
        <w:footnoteRef/>
      </w:r>
      <w:r w:rsidRPr="006C3F77">
        <w:rPr>
          <w:rFonts w:ascii="Times New Roman" w:hAnsi="Times New Roman" w:cs="Times New Roman"/>
          <w:sz w:val="20"/>
        </w:rPr>
        <w:t xml:space="preserve"> Given the geographical position of the Gambia, which is wholly surrounded by Senegal, and large price differentials due to disparities in trade policies, the Gambia has historically served as an “</w:t>
      </w:r>
      <w:r w:rsidRPr="006C3F77">
        <w:rPr>
          <w:rFonts w:ascii="Times New Roman" w:hAnsi="Times New Roman" w:cs="Times New Roman"/>
          <w:i/>
          <w:sz w:val="20"/>
        </w:rPr>
        <w:t>entrepot</w:t>
      </w:r>
      <w:r w:rsidRPr="006C3F77">
        <w:rPr>
          <w:rFonts w:ascii="Times New Roman" w:hAnsi="Times New Roman" w:cs="Times New Roman"/>
          <w:sz w:val="20"/>
        </w:rPr>
        <w:t>” for largely informal re-exports from the port of Banjul to Senegal and other neighboring countries. In the recent period, declining differential in import taxation and efforts by the Senegalese authorities to curb informal trade have lowered these re-exports. The higher operational and procedural efficiency of the port of Banjul vis-à-vis Dakar had also encouraged this trade, but this advantage has waned in recent years as Dakar improved and Banjul deteriorated.</w:t>
      </w:r>
    </w:p>
  </w:footnote>
  <w:footnote w:id="59">
    <w:p w14:paraId="1F1D6670" w14:textId="77777777" w:rsidR="008A4EEE" w:rsidRPr="006C3F77" w:rsidRDefault="008A4EEE" w:rsidP="00965801">
      <w:pPr>
        <w:pStyle w:val="FootnoteText"/>
        <w:rPr>
          <w:rFonts w:ascii="Times New Roman" w:hAnsi="Times New Roman" w:cs="Times New Roman"/>
          <w:sz w:val="20"/>
        </w:rPr>
      </w:pPr>
      <w:r w:rsidRPr="00131772">
        <w:rPr>
          <w:rStyle w:val="FootnoteReference"/>
          <w:rFonts w:asciiTheme="minorHAnsi" w:hAnsiTheme="minorHAnsi" w:cs="Times New Roman"/>
          <w:sz w:val="20"/>
        </w:rPr>
        <w:footnoteRef/>
      </w:r>
      <w:r w:rsidRPr="00131772">
        <w:rPr>
          <w:rFonts w:asciiTheme="minorHAnsi" w:hAnsiTheme="minorHAnsi" w:cs="Times New Roman"/>
          <w:sz w:val="20"/>
        </w:rPr>
        <w:t xml:space="preserve"> Window berthing scheme gives priority berthing to ships arriving at the port at the scheduled time, as opposed to a first-come first-served scheme</w:t>
      </w:r>
    </w:p>
  </w:footnote>
  <w:footnote w:id="60">
    <w:p w14:paraId="45EF921B" w14:textId="77777777" w:rsidR="008A4EEE" w:rsidRPr="00650472" w:rsidRDefault="008A4EEE" w:rsidP="00965801">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Carine, A.C.F. (2015) Analyzing the Operational Efficiency of Container Ports in Sub-Saharan Africa. Open Journal of Social Sciences, 3, 10-17. </w:t>
      </w:r>
      <w:hyperlink r:id="rId15" w:history="1">
        <w:r w:rsidRPr="00650472">
          <w:rPr>
            <w:rStyle w:val="Hyperlink"/>
            <w:rFonts w:asciiTheme="minorHAnsi" w:hAnsiTheme="minorHAnsi"/>
            <w:sz w:val="20"/>
          </w:rPr>
          <w:t>http://dx.doi.org/10.4236/jss.2015.310002</w:t>
        </w:r>
      </w:hyperlink>
    </w:p>
  </w:footnote>
  <w:footnote w:id="61">
    <w:p w14:paraId="12C4F139" w14:textId="77777777" w:rsidR="008A4EEE" w:rsidRPr="00650472" w:rsidRDefault="008A4EEE" w:rsidP="00965801">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van Dyck, G.K. (2015) Assessment of Port Efficiency in West Africa Using Data Envelopment Analysis. American Journal of Industrial and Business Management, 5, 208-218. </w:t>
      </w:r>
      <w:hyperlink r:id="rId16" w:history="1">
        <w:r w:rsidRPr="00650472">
          <w:rPr>
            <w:rStyle w:val="Hyperlink"/>
            <w:rFonts w:asciiTheme="minorHAnsi" w:hAnsiTheme="minorHAnsi"/>
            <w:sz w:val="20"/>
          </w:rPr>
          <w:t>http://dx.doi.org/10.4236/ajibm.2015.54023</w:t>
        </w:r>
      </w:hyperlink>
    </w:p>
  </w:footnote>
  <w:footnote w:id="62">
    <w:p w14:paraId="2866E243" w14:textId="77777777" w:rsidR="008A4EEE" w:rsidRPr="00426430" w:rsidRDefault="008A4EEE" w:rsidP="00965801">
      <w:pPr>
        <w:pStyle w:val="FootnoteText"/>
        <w:rPr>
          <w:rFonts w:asciiTheme="minorHAnsi" w:hAnsiTheme="minorHAnsi" w:cs="Times New Roman"/>
          <w:sz w:val="20"/>
        </w:rPr>
      </w:pPr>
      <w:r w:rsidRPr="00426430">
        <w:rPr>
          <w:rStyle w:val="FootnoteReference"/>
          <w:rFonts w:asciiTheme="minorHAnsi" w:hAnsiTheme="minorHAnsi" w:cs="Times New Roman"/>
          <w:sz w:val="20"/>
        </w:rPr>
        <w:footnoteRef/>
      </w:r>
      <w:r w:rsidRPr="00426430">
        <w:rPr>
          <w:rFonts w:asciiTheme="minorHAnsi" w:hAnsiTheme="minorHAnsi" w:cs="Times New Roman"/>
          <w:sz w:val="20"/>
        </w:rPr>
        <w:t xml:space="preserve"> All DEA and MPI analysis have been conducted by ECORYS, as preparatory work for this publication.</w:t>
      </w:r>
    </w:p>
  </w:footnote>
  <w:footnote w:id="63">
    <w:p w14:paraId="4335C886" w14:textId="77777777" w:rsidR="008A4EEE" w:rsidRPr="00650472" w:rsidRDefault="008A4EEE">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The annualized capacity of a shipping service if defined as the average capacity of the ships deployed on the service by the number of sailing per year (for instance 52 for a weekly service)</w:t>
      </w:r>
    </w:p>
  </w:footnote>
  <w:footnote w:id="64">
    <w:p w14:paraId="015A84D7" w14:textId="77777777" w:rsidR="008A4EEE" w:rsidRPr="00650472" w:rsidRDefault="008A4EEE" w:rsidP="007830C7">
      <w:pPr>
        <w:pStyle w:val="FootnoteText"/>
        <w:rPr>
          <w:rFonts w:asciiTheme="minorHAnsi" w:hAnsiTheme="minorHAnsi" w:cs="Times New Roman"/>
          <w:sz w:val="20"/>
        </w:rPr>
      </w:pPr>
      <w:r w:rsidRPr="00650472">
        <w:rPr>
          <w:rStyle w:val="FootnoteReference"/>
          <w:rFonts w:asciiTheme="minorHAnsi" w:hAnsiTheme="minorHAnsi" w:cs="Times New Roman"/>
          <w:sz w:val="20"/>
        </w:rPr>
        <w:footnoteRef/>
      </w:r>
      <w:r w:rsidRPr="00650472">
        <w:rPr>
          <w:rFonts w:asciiTheme="minorHAnsi" w:hAnsiTheme="minorHAnsi" w:cs="Times New Roman"/>
          <w:sz w:val="20"/>
        </w:rPr>
        <w:t xml:space="preserve"> Alphaliner Newsletter Volume 2014, issue 45.</w:t>
      </w:r>
    </w:p>
  </w:footnote>
  <w:footnote w:id="65">
    <w:p w14:paraId="199A8DC9" w14:textId="77777777" w:rsidR="008A4EEE" w:rsidRPr="00650472" w:rsidRDefault="008A4EEE" w:rsidP="0049586D">
      <w:pPr>
        <w:pStyle w:val="FootnoteText"/>
        <w:rPr>
          <w:rFonts w:asciiTheme="minorHAnsi" w:hAnsiTheme="minorHAnsi"/>
          <w:sz w:val="20"/>
        </w:rPr>
      </w:pPr>
      <w:r w:rsidRPr="00650472">
        <w:rPr>
          <w:rStyle w:val="FootnoteReference"/>
          <w:rFonts w:asciiTheme="minorHAnsi" w:hAnsiTheme="minorHAnsi"/>
          <w:sz w:val="20"/>
        </w:rPr>
        <w:footnoteRef/>
      </w:r>
      <w:r w:rsidRPr="00650472">
        <w:rPr>
          <w:rFonts w:asciiTheme="minorHAnsi" w:hAnsiTheme="minorHAnsi"/>
          <w:sz w:val="20"/>
        </w:rPr>
        <w:t xml:space="preserve"> Anonymous data provided by BAL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42F5" w14:textId="77777777" w:rsidR="008A4EEE" w:rsidRDefault="008A4EEE">
    <w:pPr>
      <w:pStyle w:val="Header"/>
      <w:jc w:val="center"/>
    </w:pPr>
  </w:p>
  <w:p w14:paraId="5BDD6D8B" w14:textId="77777777" w:rsidR="008A4EEE" w:rsidRDefault="008A4EEE">
    <w:pPr>
      <w:pStyle w:val="Header"/>
    </w:pPr>
  </w:p>
  <w:p w14:paraId="458E2466" w14:textId="77777777" w:rsidR="008A4EEE" w:rsidRDefault="008A4EEE"/>
  <w:p w14:paraId="4EE400C5" w14:textId="77777777" w:rsidR="008A4EEE" w:rsidRDefault="008A4E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3C9B9" w14:textId="77777777" w:rsidR="008A4EEE" w:rsidRDefault="008A4EEE" w:rsidP="003A7F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25CF" w14:textId="77777777" w:rsidR="008A4EEE" w:rsidRDefault="008A4EEE" w:rsidP="003A7F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B1CF6" w14:textId="77777777" w:rsidR="008A4EEE" w:rsidRDefault="008A4EEE" w:rsidP="003A7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41FD1"/>
    <w:multiLevelType w:val="multilevel"/>
    <w:tmpl w:val="84D8DA4C"/>
    <w:lvl w:ilvl="0">
      <w:start w:val="1"/>
      <w:numFmt w:val="decimal"/>
      <w:lvlText w:val="%1."/>
      <w:lvlJc w:val="right"/>
      <w:pPr>
        <w:ind w:left="540" w:hanging="360"/>
      </w:pPr>
      <w:rPr>
        <w:rFonts w:hint="default"/>
      </w:rPr>
    </w:lvl>
    <w:lvl w:ilvl="1">
      <w:start w:val="1"/>
      <w:numFmt w:val="upperLetter"/>
      <w:lvlText w:val="%2."/>
      <w:lvlJc w:val="left"/>
      <w:pPr>
        <w:ind w:left="90" w:firstLine="0"/>
      </w:pPr>
    </w:lvl>
    <w:lvl w:ilvl="2">
      <w:start w:val="1"/>
      <w:numFmt w:val="upperLetter"/>
      <w:lvlText w:val="%3."/>
      <w:lvlJc w:val="left"/>
      <w:pPr>
        <w:ind w:left="90" w:firstLine="0"/>
      </w:pPr>
    </w:lvl>
    <w:lvl w:ilvl="3">
      <w:start w:val="1"/>
      <w:numFmt w:val="none"/>
      <w:suff w:val="nothing"/>
      <w:lvlText w:val=""/>
      <w:lvlJc w:val="left"/>
      <w:pPr>
        <w:ind w:left="90" w:firstLine="0"/>
      </w:pPr>
    </w:lvl>
    <w:lvl w:ilvl="4">
      <w:start w:val="1"/>
      <w:numFmt w:val="none"/>
      <w:suff w:val="nothing"/>
      <w:lvlText w:val=""/>
      <w:lvlJc w:val="left"/>
      <w:pPr>
        <w:ind w:left="90" w:firstLine="0"/>
      </w:pPr>
    </w:lvl>
    <w:lvl w:ilvl="5">
      <w:start w:val="1"/>
      <w:numFmt w:val="none"/>
      <w:suff w:val="nothing"/>
      <w:lvlText w:val=""/>
      <w:lvlJc w:val="left"/>
      <w:pPr>
        <w:ind w:left="90" w:firstLine="0"/>
      </w:pPr>
    </w:lvl>
    <w:lvl w:ilvl="6">
      <w:start w:val="1"/>
      <w:numFmt w:val="none"/>
      <w:suff w:val="nothing"/>
      <w:lvlText w:val=""/>
      <w:lvlJc w:val="left"/>
      <w:pPr>
        <w:ind w:left="90" w:firstLine="0"/>
      </w:pPr>
    </w:lvl>
    <w:lvl w:ilvl="7">
      <w:start w:val="1"/>
      <w:numFmt w:val="none"/>
      <w:suff w:val="nothing"/>
      <w:lvlText w:val=""/>
      <w:lvlJc w:val="left"/>
      <w:pPr>
        <w:ind w:left="90" w:firstLine="0"/>
      </w:pPr>
    </w:lvl>
    <w:lvl w:ilvl="8">
      <w:start w:val="1"/>
      <w:numFmt w:val="none"/>
      <w:suff w:val="nothing"/>
      <w:lvlText w:val=""/>
      <w:lvlJc w:val="left"/>
      <w:pPr>
        <w:ind w:left="90" w:firstLine="0"/>
      </w:pPr>
    </w:lvl>
  </w:abstractNum>
  <w:abstractNum w:abstractNumId="1" w15:restartNumberingAfterBreak="0">
    <w:nsid w:val="1FC573E8"/>
    <w:multiLevelType w:val="hybridMultilevel"/>
    <w:tmpl w:val="F7AE53DC"/>
    <w:lvl w:ilvl="0" w:tplc="A5181DFE">
      <w:start w:val="1"/>
      <w:numFmt w:val="decimal"/>
      <w:pStyle w:val="Numbered"/>
      <w:lvlText w:val="%1."/>
      <w:lvlJc w:val="left"/>
      <w:pPr>
        <w:ind w:left="540" w:hanging="360"/>
      </w:pPr>
      <w:rPr>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504AE8"/>
    <w:multiLevelType w:val="hybridMultilevel"/>
    <w:tmpl w:val="05DACDDC"/>
    <w:lvl w:ilvl="0" w:tplc="0409000F">
      <w:start w:val="1"/>
      <w:numFmt w:val="decimal"/>
      <w:lvlText w:val="%1."/>
      <w:lvlJc w:val="left"/>
      <w:pPr>
        <w:ind w:left="5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5961B1D"/>
    <w:multiLevelType w:val="hybridMultilevel"/>
    <w:tmpl w:val="D004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D21725"/>
    <w:multiLevelType w:val="hybridMultilevel"/>
    <w:tmpl w:val="527A6364"/>
    <w:lvl w:ilvl="0" w:tplc="B798B7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DF4EDB"/>
    <w:multiLevelType w:val="multilevel"/>
    <w:tmpl w:val="167007B6"/>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cs="Times New Roman"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cs="Times New Roman"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cs="Times New Roman" w:hint="default"/>
        <w:color w:val="006DB6"/>
      </w:rPr>
    </w:lvl>
    <w:lvl w:ilvl="8">
      <w:start w:val="1"/>
      <w:numFmt w:val="bullet"/>
      <w:lvlText w:val=""/>
      <w:lvlJc w:val="left"/>
      <w:pPr>
        <w:ind w:left="2556" w:hanging="284"/>
      </w:pPr>
      <w:rPr>
        <w:rFonts w:ascii="Symbol" w:hAnsi="Symbol" w:hint="default"/>
        <w:color w:val="006DB6"/>
      </w:rPr>
    </w:lvl>
  </w:abstractNum>
  <w:abstractNum w:abstractNumId="6" w15:restartNumberingAfterBreak="0">
    <w:nsid w:val="6A9C2954"/>
    <w:multiLevelType w:val="multilevel"/>
    <w:tmpl w:val="E864C290"/>
    <w:lvl w:ilvl="0">
      <w:start w:val="1"/>
      <w:numFmt w:val="decimal"/>
      <w:pStyle w:val="Heading1"/>
      <w:lvlText w:val="%1."/>
      <w:lvlJc w:val="right"/>
      <w:pPr>
        <w:ind w:left="540" w:hanging="360"/>
      </w:pPr>
      <w:rPr>
        <w:rFonts w:hint="default"/>
      </w:rPr>
    </w:lvl>
    <w:lvl w:ilvl="1">
      <w:start w:val="1"/>
      <w:numFmt w:val="upperLetter"/>
      <w:pStyle w:val="Heading2"/>
      <w:lvlText w:val="%2."/>
      <w:lvlJc w:val="left"/>
      <w:pPr>
        <w:ind w:left="90" w:firstLine="0"/>
      </w:pPr>
    </w:lvl>
    <w:lvl w:ilvl="2">
      <w:start w:val="1"/>
      <w:numFmt w:val="none"/>
      <w:pStyle w:val="Heading3"/>
      <w:suff w:val="nothing"/>
      <w:lvlText w:val=""/>
      <w:lvlJc w:val="left"/>
      <w:pPr>
        <w:ind w:left="90" w:firstLine="0"/>
      </w:pPr>
    </w:lvl>
    <w:lvl w:ilvl="3">
      <w:start w:val="1"/>
      <w:numFmt w:val="none"/>
      <w:pStyle w:val="Heading4"/>
      <w:suff w:val="nothing"/>
      <w:lvlText w:val=""/>
      <w:lvlJc w:val="left"/>
      <w:pPr>
        <w:ind w:left="90" w:firstLine="0"/>
      </w:pPr>
    </w:lvl>
    <w:lvl w:ilvl="4">
      <w:start w:val="1"/>
      <w:numFmt w:val="none"/>
      <w:pStyle w:val="Heading5"/>
      <w:suff w:val="nothing"/>
      <w:lvlText w:val=""/>
      <w:lvlJc w:val="left"/>
      <w:pPr>
        <w:ind w:left="90" w:firstLine="0"/>
      </w:pPr>
    </w:lvl>
    <w:lvl w:ilvl="5">
      <w:start w:val="1"/>
      <w:numFmt w:val="none"/>
      <w:pStyle w:val="Heading6"/>
      <w:suff w:val="nothing"/>
      <w:lvlText w:val=""/>
      <w:lvlJc w:val="left"/>
      <w:pPr>
        <w:ind w:left="90" w:firstLine="0"/>
      </w:pPr>
    </w:lvl>
    <w:lvl w:ilvl="6">
      <w:start w:val="1"/>
      <w:numFmt w:val="none"/>
      <w:pStyle w:val="Heading7"/>
      <w:suff w:val="nothing"/>
      <w:lvlText w:val=""/>
      <w:lvlJc w:val="left"/>
      <w:pPr>
        <w:ind w:left="90" w:firstLine="0"/>
      </w:pPr>
    </w:lvl>
    <w:lvl w:ilvl="7">
      <w:start w:val="1"/>
      <w:numFmt w:val="none"/>
      <w:pStyle w:val="Heading8"/>
      <w:suff w:val="nothing"/>
      <w:lvlText w:val=""/>
      <w:lvlJc w:val="left"/>
      <w:pPr>
        <w:ind w:left="90" w:firstLine="0"/>
      </w:pPr>
    </w:lvl>
    <w:lvl w:ilvl="8">
      <w:start w:val="1"/>
      <w:numFmt w:val="none"/>
      <w:pStyle w:val="Heading9"/>
      <w:suff w:val="nothing"/>
      <w:lvlText w:val=""/>
      <w:lvlJc w:val="left"/>
      <w:pPr>
        <w:ind w:left="90" w:firstLine="0"/>
      </w:pPr>
    </w:lvl>
  </w:abstractNum>
  <w:abstractNum w:abstractNumId="7" w15:restartNumberingAfterBreak="0">
    <w:nsid w:val="75342BD3"/>
    <w:multiLevelType w:val="hybridMultilevel"/>
    <w:tmpl w:val="DC124C58"/>
    <w:lvl w:ilvl="0" w:tplc="DDBE45D8">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8B6EA2"/>
    <w:multiLevelType w:val="hybridMultilevel"/>
    <w:tmpl w:val="62524AAA"/>
    <w:lvl w:ilvl="0" w:tplc="EC9800E4">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7"/>
  </w:num>
  <w:num w:numId="5">
    <w:abstractNumId w:val="8"/>
  </w:num>
  <w:num w:numId="6">
    <w:abstractNumId w:val="1"/>
  </w:num>
  <w:num w:numId="7">
    <w:abstractNumId w:val="6"/>
  </w:num>
  <w:num w:numId="8">
    <w:abstractNumId w:val="2"/>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65"/>
    <w:rsid w:val="00000692"/>
    <w:rsid w:val="00000DBB"/>
    <w:rsid w:val="00000FA3"/>
    <w:rsid w:val="00002B69"/>
    <w:rsid w:val="000035E8"/>
    <w:rsid w:val="00003B78"/>
    <w:rsid w:val="000042F6"/>
    <w:rsid w:val="00005914"/>
    <w:rsid w:val="00005C33"/>
    <w:rsid w:val="00005C73"/>
    <w:rsid w:val="00010327"/>
    <w:rsid w:val="00011F87"/>
    <w:rsid w:val="00013DB6"/>
    <w:rsid w:val="00017162"/>
    <w:rsid w:val="00017657"/>
    <w:rsid w:val="00017695"/>
    <w:rsid w:val="00017720"/>
    <w:rsid w:val="00021D0A"/>
    <w:rsid w:val="000225AE"/>
    <w:rsid w:val="00022CDC"/>
    <w:rsid w:val="000259A3"/>
    <w:rsid w:val="00025AE1"/>
    <w:rsid w:val="000270B1"/>
    <w:rsid w:val="00030BF9"/>
    <w:rsid w:val="000332E1"/>
    <w:rsid w:val="00034729"/>
    <w:rsid w:val="00035FFA"/>
    <w:rsid w:val="00036580"/>
    <w:rsid w:val="00036EDD"/>
    <w:rsid w:val="000379E1"/>
    <w:rsid w:val="00040EDD"/>
    <w:rsid w:val="00041EF0"/>
    <w:rsid w:val="0004268B"/>
    <w:rsid w:val="00042C2C"/>
    <w:rsid w:val="00044129"/>
    <w:rsid w:val="00044495"/>
    <w:rsid w:val="00045106"/>
    <w:rsid w:val="000453CF"/>
    <w:rsid w:val="00046E93"/>
    <w:rsid w:val="00046F76"/>
    <w:rsid w:val="00047731"/>
    <w:rsid w:val="00047D7C"/>
    <w:rsid w:val="00047F52"/>
    <w:rsid w:val="0005191F"/>
    <w:rsid w:val="00052EE3"/>
    <w:rsid w:val="000547CC"/>
    <w:rsid w:val="00054CE7"/>
    <w:rsid w:val="00057CA7"/>
    <w:rsid w:val="00062106"/>
    <w:rsid w:val="00062664"/>
    <w:rsid w:val="00063010"/>
    <w:rsid w:val="00063561"/>
    <w:rsid w:val="000643AB"/>
    <w:rsid w:val="00065686"/>
    <w:rsid w:val="000658AB"/>
    <w:rsid w:val="00066B61"/>
    <w:rsid w:val="00067E4A"/>
    <w:rsid w:val="00074DA9"/>
    <w:rsid w:val="0007525A"/>
    <w:rsid w:val="00076012"/>
    <w:rsid w:val="0007710C"/>
    <w:rsid w:val="0007718A"/>
    <w:rsid w:val="00077458"/>
    <w:rsid w:val="00077F79"/>
    <w:rsid w:val="00077FA9"/>
    <w:rsid w:val="00080099"/>
    <w:rsid w:val="00080A82"/>
    <w:rsid w:val="000810A6"/>
    <w:rsid w:val="00081B22"/>
    <w:rsid w:val="00081D69"/>
    <w:rsid w:val="00081F9A"/>
    <w:rsid w:val="00082ED1"/>
    <w:rsid w:val="0008322F"/>
    <w:rsid w:val="00083D4D"/>
    <w:rsid w:val="0008495F"/>
    <w:rsid w:val="00085767"/>
    <w:rsid w:val="000857EE"/>
    <w:rsid w:val="00086905"/>
    <w:rsid w:val="000909E6"/>
    <w:rsid w:val="00090F6E"/>
    <w:rsid w:val="00091D92"/>
    <w:rsid w:val="000923D1"/>
    <w:rsid w:val="00092CC6"/>
    <w:rsid w:val="00093700"/>
    <w:rsid w:val="0009370B"/>
    <w:rsid w:val="000949A9"/>
    <w:rsid w:val="00094A72"/>
    <w:rsid w:val="000961C6"/>
    <w:rsid w:val="000969F4"/>
    <w:rsid w:val="000A0EC7"/>
    <w:rsid w:val="000A1F7B"/>
    <w:rsid w:val="000A2AFE"/>
    <w:rsid w:val="000A3780"/>
    <w:rsid w:val="000A4226"/>
    <w:rsid w:val="000A6C81"/>
    <w:rsid w:val="000A7291"/>
    <w:rsid w:val="000A768F"/>
    <w:rsid w:val="000A7A77"/>
    <w:rsid w:val="000B162A"/>
    <w:rsid w:val="000B217C"/>
    <w:rsid w:val="000B2CD0"/>
    <w:rsid w:val="000B31B9"/>
    <w:rsid w:val="000B3CE7"/>
    <w:rsid w:val="000B49FE"/>
    <w:rsid w:val="000B561A"/>
    <w:rsid w:val="000B78F9"/>
    <w:rsid w:val="000C04CD"/>
    <w:rsid w:val="000C1478"/>
    <w:rsid w:val="000C17B8"/>
    <w:rsid w:val="000C222F"/>
    <w:rsid w:val="000C29BF"/>
    <w:rsid w:val="000C30D1"/>
    <w:rsid w:val="000C37B8"/>
    <w:rsid w:val="000C3B14"/>
    <w:rsid w:val="000C756C"/>
    <w:rsid w:val="000C75FF"/>
    <w:rsid w:val="000D06CB"/>
    <w:rsid w:val="000D17CF"/>
    <w:rsid w:val="000D18F0"/>
    <w:rsid w:val="000D1CBD"/>
    <w:rsid w:val="000D27D8"/>
    <w:rsid w:val="000D2D8F"/>
    <w:rsid w:val="000D3A94"/>
    <w:rsid w:val="000D3CEB"/>
    <w:rsid w:val="000D3DB1"/>
    <w:rsid w:val="000D4871"/>
    <w:rsid w:val="000D4DE1"/>
    <w:rsid w:val="000D5A46"/>
    <w:rsid w:val="000D5E07"/>
    <w:rsid w:val="000D6A1F"/>
    <w:rsid w:val="000D6F44"/>
    <w:rsid w:val="000E227E"/>
    <w:rsid w:val="000E2677"/>
    <w:rsid w:val="000E40DD"/>
    <w:rsid w:val="000E4FC0"/>
    <w:rsid w:val="000E5C4D"/>
    <w:rsid w:val="000E6252"/>
    <w:rsid w:val="000E6C15"/>
    <w:rsid w:val="000E76FD"/>
    <w:rsid w:val="000F00E3"/>
    <w:rsid w:val="000F0BB1"/>
    <w:rsid w:val="000F14AB"/>
    <w:rsid w:val="000F1633"/>
    <w:rsid w:val="000F165E"/>
    <w:rsid w:val="000F2C37"/>
    <w:rsid w:val="000F33A0"/>
    <w:rsid w:val="000F443A"/>
    <w:rsid w:val="000F5586"/>
    <w:rsid w:val="000F6FD6"/>
    <w:rsid w:val="000F7C16"/>
    <w:rsid w:val="001014A0"/>
    <w:rsid w:val="00103CD5"/>
    <w:rsid w:val="0010478B"/>
    <w:rsid w:val="00104E65"/>
    <w:rsid w:val="00104EE9"/>
    <w:rsid w:val="00105611"/>
    <w:rsid w:val="0010579C"/>
    <w:rsid w:val="001069BD"/>
    <w:rsid w:val="00107315"/>
    <w:rsid w:val="00107A48"/>
    <w:rsid w:val="00111C9D"/>
    <w:rsid w:val="00113A6D"/>
    <w:rsid w:val="0011418C"/>
    <w:rsid w:val="00114306"/>
    <w:rsid w:val="001145E7"/>
    <w:rsid w:val="00115BBE"/>
    <w:rsid w:val="00115E66"/>
    <w:rsid w:val="00116703"/>
    <w:rsid w:val="00116884"/>
    <w:rsid w:val="0012057E"/>
    <w:rsid w:val="001209A5"/>
    <w:rsid w:val="00121843"/>
    <w:rsid w:val="0012218D"/>
    <w:rsid w:val="001221FE"/>
    <w:rsid w:val="001222EC"/>
    <w:rsid w:val="00122A69"/>
    <w:rsid w:val="00123BDA"/>
    <w:rsid w:val="00126686"/>
    <w:rsid w:val="00126C5F"/>
    <w:rsid w:val="00127116"/>
    <w:rsid w:val="00131772"/>
    <w:rsid w:val="00131C5E"/>
    <w:rsid w:val="001330CD"/>
    <w:rsid w:val="001331D5"/>
    <w:rsid w:val="00133278"/>
    <w:rsid w:val="0013369B"/>
    <w:rsid w:val="001336F8"/>
    <w:rsid w:val="00134B5A"/>
    <w:rsid w:val="00134BE8"/>
    <w:rsid w:val="00135393"/>
    <w:rsid w:val="00135866"/>
    <w:rsid w:val="00135B3F"/>
    <w:rsid w:val="0013763D"/>
    <w:rsid w:val="00137E18"/>
    <w:rsid w:val="00142615"/>
    <w:rsid w:val="00142C68"/>
    <w:rsid w:val="00142E93"/>
    <w:rsid w:val="0014306C"/>
    <w:rsid w:val="001448D9"/>
    <w:rsid w:val="00145F3E"/>
    <w:rsid w:val="001467FA"/>
    <w:rsid w:val="00146BEB"/>
    <w:rsid w:val="00147984"/>
    <w:rsid w:val="00147A82"/>
    <w:rsid w:val="0015174A"/>
    <w:rsid w:val="0015180E"/>
    <w:rsid w:val="001526A7"/>
    <w:rsid w:val="001526BE"/>
    <w:rsid w:val="0015346E"/>
    <w:rsid w:val="001538BF"/>
    <w:rsid w:val="00155AD5"/>
    <w:rsid w:val="0015716A"/>
    <w:rsid w:val="00160D36"/>
    <w:rsid w:val="001619C8"/>
    <w:rsid w:val="00161CA9"/>
    <w:rsid w:val="00161D7A"/>
    <w:rsid w:val="00165A8A"/>
    <w:rsid w:val="00165EDE"/>
    <w:rsid w:val="0016696D"/>
    <w:rsid w:val="001675C6"/>
    <w:rsid w:val="00170446"/>
    <w:rsid w:val="00171090"/>
    <w:rsid w:val="00173092"/>
    <w:rsid w:val="0017412F"/>
    <w:rsid w:val="00174E2A"/>
    <w:rsid w:val="0017553D"/>
    <w:rsid w:val="00175BFF"/>
    <w:rsid w:val="00177AA6"/>
    <w:rsid w:val="001808BB"/>
    <w:rsid w:val="0018123A"/>
    <w:rsid w:val="00181D64"/>
    <w:rsid w:val="00183794"/>
    <w:rsid w:val="00183A88"/>
    <w:rsid w:val="00185AFB"/>
    <w:rsid w:val="0019102B"/>
    <w:rsid w:val="001918A9"/>
    <w:rsid w:val="00191948"/>
    <w:rsid w:val="00192B9E"/>
    <w:rsid w:val="0019353E"/>
    <w:rsid w:val="00193EC3"/>
    <w:rsid w:val="001941DF"/>
    <w:rsid w:val="001944D3"/>
    <w:rsid w:val="00194B32"/>
    <w:rsid w:val="00195409"/>
    <w:rsid w:val="001973E0"/>
    <w:rsid w:val="001A0AB4"/>
    <w:rsid w:val="001A142B"/>
    <w:rsid w:val="001A282B"/>
    <w:rsid w:val="001A2A0E"/>
    <w:rsid w:val="001A331F"/>
    <w:rsid w:val="001A3DB1"/>
    <w:rsid w:val="001A5CE1"/>
    <w:rsid w:val="001A666E"/>
    <w:rsid w:val="001A6B49"/>
    <w:rsid w:val="001A6CE1"/>
    <w:rsid w:val="001A6E03"/>
    <w:rsid w:val="001A77A7"/>
    <w:rsid w:val="001B0B92"/>
    <w:rsid w:val="001B2423"/>
    <w:rsid w:val="001B252F"/>
    <w:rsid w:val="001B303A"/>
    <w:rsid w:val="001B32D1"/>
    <w:rsid w:val="001B38F9"/>
    <w:rsid w:val="001B5694"/>
    <w:rsid w:val="001B57B2"/>
    <w:rsid w:val="001B6895"/>
    <w:rsid w:val="001B69F8"/>
    <w:rsid w:val="001B6CC1"/>
    <w:rsid w:val="001B6EAB"/>
    <w:rsid w:val="001B7C79"/>
    <w:rsid w:val="001C10DF"/>
    <w:rsid w:val="001C1363"/>
    <w:rsid w:val="001C14B1"/>
    <w:rsid w:val="001C2970"/>
    <w:rsid w:val="001C2FD7"/>
    <w:rsid w:val="001C33A9"/>
    <w:rsid w:val="001C3F4C"/>
    <w:rsid w:val="001C3FBA"/>
    <w:rsid w:val="001C4F48"/>
    <w:rsid w:val="001C6F2C"/>
    <w:rsid w:val="001C7C5A"/>
    <w:rsid w:val="001D044A"/>
    <w:rsid w:val="001D2DB8"/>
    <w:rsid w:val="001D3F6B"/>
    <w:rsid w:val="001D4AB2"/>
    <w:rsid w:val="001D4DE2"/>
    <w:rsid w:val="001D7028"/>
    <w:rsid w:val="001D7CF4"/>
    <w:rsid w:val="001D7E70"/>
    <w:rsid w:val="001E023D"/>
    <w:rsid w:val="001E0425"/>
    <w:rsid w:val="001E0A2B"/>
    <w:rsid w:val="001E0CD1"/>
    <w:rsid w:val="001E1CAC"/>
    <w:rsid w:val="001E1E76"/>
    <w:rsid w:val="001E231A"/>
    <w:rsid w:val="001E2A8F"/>
    <w:rsid w:val="001E2CC6"/>
    <w:rsid w:val="001E38D6"/>
    <w:rsid w:val="001E38FB"/>
    <w:rsid w:val="001E3A72"/>
    <w:rsid w:val="001E4371"/>
    <w:rsid w:val="001E49FB"/>
    <w:rsid w:val="001E5A71"/>
    <w:rsid w:val="001E7DA4"/>
    <w:rsid w:val="001F0AB9"/>
    <w:rsid w:val="001F0E50"/>
    <w:rsid w:val="001F0ED9"/>
    <w:rsid w:val="001F2A4E"/>
    <w:rsid w:val="001F385D"/>
    <w:rsid w:val="001F42A3"/>
    <w:rsid w:val="001F43E7"/>
    <w:rsid w:val="001F4EDD"/>
    <w:rsid w:val="001F53E0"/>
    <w:rsid w:val="001F5FCC"/>
    <w:rsid w:val="001F6EE8"/>
    <w:rsid w:val="001F78EF"/>
    <w:rsid w:val="00200545"/>
    <w:rsid w:val="0020092B"/>
    <w:rsid w:val="00201434"/>
    <w:rsid w:val="00203592"/>
    <w:rsid w:val="002038ED"/>
    <w:rsid w:val="00204462"/>
    <w:rsid w:val="002045C9"/>
    <w:rsid w:val="002049CE"/>
    <w:rsid w:val="00204A7F"/>
    <w:rsid w:val="00205167"/>
    <w:rsid w:val="00205E1F"/>
    <w:rsid w:val="002061C0"/>
    <w:rsid w:val="002061E4"/>
    <w:rsid w:val="0021001B"/>
    <w:rsid w:val="0021211F"/>
    <w:rsid w:val="002123A4"/>
    <w:rsid w:val="00212D01"/>
    <w:rsid w:val="00213C52"/>
    <w:rsid w:val="0021434A"/>
    <w:rsid w:val="00214A67"/>
    <w:rsid w:val="00215411"/>
    <w:rsid w:val="002154DC"/>
    <w:rsid w:val="002155C5"/>
    <w:rsid w:val="002156D6"/>
    <w:rsid w:val="00216934"/>
    <w:rsid w:val="00217D10"/>
    <w:rsid w:val="00217EBC"/>
    <w:rsid w:val="002205F4"/>
    <w:rsid w:val="002225FC"/>
    <w:rsid w:val="002248D0"/>
    <w:rsid w:val="00224C9A"/>
    <w:rsid w:val="00225300"/>
    <w:rsid w:val="00225ABF"/>
    <w:rsid w:val="002263C2"/>
    <w:rsid w:val="00230B08"/>
    <w:rsid w:val="00231E32"/>
    <w:rsid w:val="00231FD0"/>
    <w:rsid w:val="00232DD5"/>
    <w:rsid w:val="00234978"/>
    <w:rsid w:val="00235F5B"/>
    <w:rsid w:val="002378FD"/>
    <w:rsid w:val="00237908"/>
    <w:rsid w:val="00237C90"/>
    <w:rsid w:val="0024280B"/>
    <w:rsid w:val="002430C9"/>
    <w:rsid w:val="002444E6"/>
    <w:rsid w:val="00244C5A"/>
    <w:rsid w:val="002458BB"/>
    <w:rsid w:val="00246E58"/>
    <w:rsid w:val="00247A73"/>
    <w:rsid w:val="00250466"/>
    <w:rsid w:val="002507E0"/>
    <w:rsid w:val="002516FD"/>
    <w:rsid w:val="00251AFD"/>
    <w:rsid w:val="00251C30"/>
    <w:rsid w:val="00252395"/>
    <w:rsid w:val="0025290F"/>
    <w:rsid w:val="002538D7"/>
    <w:rsid w:val="00253E1E"/>
    <w:rsid w:val="002547A9"/>
    <w:rsid w:val="002547DB"/>
    <w:rsid w:val="00255EDE"/>
    <w:rsid w:val="00256FD9"/>
    <w:rsid w:val="00257056"/>
    <w:rsid w:val="00257102"/>
    <w:rsid w:val="0025767C"/>
    <w:rsid w:val="00257CC4"/>
    <w:rsid w:val="00260BE1"/>
    <w:rsid w:val="00260CFF"/>
    <w:rsid w:val="0026386B"/>
    <w:rsid w:val="00263BBE"/>
    <w:rsid w:val="00263DC5"/>
    <w:rsid w:val="00264EFC"/>
    <w:rsid w:val="00267761"/>
    <w:rsid w:val="00267B2B"/>
    <w:rsid w:val="00267C46"/>
    <w:rsid w:val="002704DF"/>
    <w:rsid w:val="00272C83"/>
    <w:rsid w:val="0027304E"/>
    <w:rsid w:val="002736F4"/>
    <w:rsid w:val="00273AA3"/>
    <w:rsid w:val="00273D85"/>
    <w:rsid w:val="002744E2"/>
    <w:rsid w:val="00275069"/>
    <w:rsid w:val="00276B00"/>
    <w:rsid w:val="00277D71"/>
    <w:rsid w:val="002812B9"/>
    <w:rsid w:val="00282365"/>
    <w:rsid w:val="00282DAE"/>
    <w:rsid w:val="002830B5"/>
    <w:rsid w:val="002838B4"/>
    <w:rsid w:val="00283F24"/>
    <w:rsid w:val="0028494F"/>
    <w:rsid w:val="00285214"/>
    <w:rsid w:val="00286692"/>
    <w:rsid w:val="00286B35"/>
    <w:rsid w:val="00286E5C"/>
    <w:rsid w:val="0029012A"/>
    <w:rsid w:val="0029052E"/>
    <w:rsid w:val="00290C5E"/>
    <w:rsid w:val="00291ADE"/>
    <w:rsid w:val="0029336F"/>
    <w:rsid w:val="00293A99"/>
    <w:rsid w:val="00293F94"/>
    <w:rsid w:val="00294DB6"/>
    <w:rsid w:val="00295BE6"/>
    <w:rsid w:val="00297359"/>
    <w:rsid w:val="002A02A5"/>
    <w:rsid w:val="002A035F"/>
    <w:rsid w:val="002A0588"/>
    <w:rsid w:val="002A21B1"/>
    <w:rsid w:val="002A25C4"/>
    <w:rsid w:val="002A331D"/>
    <w:rsid w:val="002A35CB"/>
    <w:rsid w:val="002A3843"/>
    <w:rsid w:val="002A476E"/>
    <w:rsid w:val="002A70C8"/>
    <w:rsid w:val="002B0449"/>
    <w:rsid w:val="002B0D11"/>
    <w:rsid w:val="002B10AB"/>
    <w:rsid w:val="002B3E1B"/>
    <w:rsid w:val="002B4959"/>
    <w:rsid w:val="002B5328"/>
    <w:rsid w:val="002C0C66"/>
    <w:rsid w:val="002C1090"/>
    <w:rsid w:val="002C176E"/>
    <w:rsid w:val="002C2A39"/>
    <w:rsid w:val="002C2ECD"/>
    <w:rsid w:val="002C3258"/>
    <w:rsid w:val="002C39BB"/>
    <w:rsid w:val="002C48DF"/>
    <w:rsid w:val="002C6796"/>
    <w:rsid w:val="002C6C6B"/>
    <w:rsid w:val="002C7400"/>
    <w:rsid w:val="002D03A1"/>
    <w:rsid w:val="002D1180"/>
    <w:rsid w:val="002D1395"/>
    <w:rsid w:val="002D22D2"/>
    <w:rsid w:val="002D2954"/>
    <w:rsid w:val="002D2A8F"/>
    <w:rsid w:val="002D3489"/>
    <w:rsid w:val="002D41FB"/>
    <w:rsid w:val="002D52AE"/>
    <w:rsid w:val="002D5437"/>
    <w:rsid w:val="002D547B"/>
    <w:rsid w:val="002D6178"/>
    <w:rsid w:val="002D643F"/>
    <w:rsid w:val="002D7642"/>
    <w:rsid w:val="002D788A"/>
    <w:rsid w:val="002E09C6"/>
    <w:rsid w:val="002E16E8"/>
    <w:rsid w:val="002E1DA1"/>
    <w:rsid w:val="002E1DDD"/>
    <w:rsid w:val="002E3F2E"/>
    <w:rsid w:val="002E4233"/>
    <w:rsid w:val="002E4306"/>
    <w:rsid w:val="002E440E"/>
    <w:rsid w:val="002E4744"/>
    <w:rsid w:val="002E476F"/>
    <w:rsid w:val="002E49C5"/>
    <w:rsid w:val="002E5C97"/>
    <w:rsid w:val="002E64C4"/>
    <w:rsid w:val="002E78BA"/>
    <w:rsid w:val="002F0147"/>
    <w:rsid w:val="002F0178"/>
    <w:rsid w:val="002F0CE1"/>
    <w:rsid w:val="002F1222"/>
    <w:rsid w:val="002F1589"/>
    <w:rsid w:val="002F1B9B"/>
    <w:rsid w:val="002F3176"/>
    <w:rsid w:val="002F4D51"/>
    <w:rsid w:val="002F5B27"/>
    <w:rsid w:val="002F640C"/>
    <w:rsid w:val="00302B22"/>
    <w:rsid w:val="00303530"/>
    <w:rsid w:val="0030358A"/>
    <w:rsid w:val="00303858"/>
    <w:rsid w:val="00303EAD"/>
    <w:rsid w:val="00305075"/>
    <w:rsid w:val="003066CF"/>
    <w:rsid w:val="00306D86"/>
    <w:rsid w:val="0030735A"/>
    <w:rsid w:val="00307BBB"/>
    <w:rsid w:val="00310086"/>
    <w:rsid w:val="00311FEE"/>
    <w:rsid w:val="00313A40"/>
    <w:rsid w:val="003152D7"/>
    <w:rsid w:val="003161D4"/>
    <w:rsid w:val="0032084D"/>
    <w:rsid w:val="003220E4"/>
    <w:rsid w:val="00323037"/>
    <w:rsid w:val="00325B23"/>
    <w:rsid w:val="003302A5"/>
    <w:rsid w:val="003309B5"/>
    <w:rsid w:val="00332A6F"/>
    <w:rsid w:val="003337E9"/>
    <w:rsid w:val="00333AF3"/>
    <w:rsid w:val="003345CA"/>
    <w:rsid w:val="003345FE"/>
    <w:rsid w:val="003352B4"/>
    <w:rsid w:val="00340649"/>
    <w:rsid w:val="00341C59"/>
    <w:rsid w:val="00341ED6"/>
    <w:rsid w:val="00342272"/>
    <w:rsid w:val="00344040"/>
    <w:rsid w:val="00344DCF"/>
    <w:rsid w:val="00344EA1"/>
    <w:rsid w:val="00344EEE"/>
    <w:rsid w:val="00346171"/>
    <w:rsid w:val="00346337"/>
    <w:rsid w:val="00346916"/>
    <w:rsid w:val="00346A98"/>
    <w:rsid w:val="00346D0F"/>
    <w:rsid w:val="00346D2D"/>
    <w:rsid w:val="00347B5B"/>
    <w:rsid w:val="00347D36"/>
    <w:rsid w:val="00347FA7"/>
    <w:rsid w:val="00350283"/>
    <w:rsid w:val="00350C12"/>
    <w:rsid w:val="00352345"/>
    <w:rsid w:val="00354180"/>
    <w:rsid w:val="003548B0"/>
    <w:rsid w:val="00355587"/>
    <w:rsid w:val="00357172"/>
    <w:rsid w:val="0035740B"/>
    <w:rsid w:val="003603D4"/>
    <w:rsid w:val="00360520"/>
    <w:rsid w:val="00360600"/>
    <w:rsid w:val="00360699"/>
    <w:rsid w:val="00360AEC"/>
    <w:rsid w:val="00361354"/>
    <w:rsid w:val="003614E3"/>
    <w:rsid w:val="00361629"/>
    <w:rsid w:val="003629C4"/>
    <w:rsid w:val="00363B2D"/>
    <w:rsid w:val="003648E6"/>
    <w:rsid w:val="00365168"/>
    <w:rsid w:val="00366354"/>
    <w:rsid w:val="0037150D"/>
    <w:rsid w:val="0037252F"/>
    <w:rsid w:val="00372EC5"/>
    <w:rsid w:val="00372FFE"/>
    <w:rsid w:val="0037303C"/>
    <w:rsid w:val="00373BFF"/>
    <w:rsid w:val="00373D53"/>
    <w:rsid w:val="00373E93"/>
    <w:rsid w:val="00377D30"/>
    <w:rsid w:val="00377E42"/>
    <w:rsid w:val="0038043A"/>
    <w:rsid w:val="00381B43"/>
    <w:rsid w:val="0038292F"/>
    <w:rsid w:val="00382A8C"/>
    <w:rsid w:val="00382B8A"/>
    <w:rsid w:val="00383017"/>
    <w:rsid w:val="0038386C"/>
    <w:rsid w:val="00384BF0"/>
    <w:rsid w:val="00385010"/>
    <w:rsid w:val="00386E16"/>
    <w:rsid w:val="00386E4C"/>
    <w:rsid w:val="003874ED"/>
    <w:rsid w:val="00387A1F"/>
    <w:rsid w:val="00390CC9"/>
    <w:rsid w:val="00390D06"/>
    <w:rsid w:val="00390ED2"/>
    <w:rsid w:val="00392E7D"/>
    <w:rsid w:val="00392FCF"/>
    <w:rsid w:val="00393A14"/>
    <w:rsid w:val="00393C51"/>
    <w:rsid w:val="0039449C"/>
    <w:rsid w:val="00394642"/>
    <w:rsid w:val="00395387"/>
    <w:rsid w:val="003953B1"/>
    <w:rsid w:val="00395ABA"/>
    <w:rsid w:val="003964D3"/>
    <w:rsid w:val="00397930"/>
    <w:rsid w:val="003A00C7"/>
    <w:rsid w:val="003A1B8D"/>
    <w:rsid w:val="003A2274"/>
    <w:rsid w:val="003A24C5"/>
    <w:rsid w:val="003A2501"/>
    <w:rsid w:val="003A26C2"/>
    <w:rsid w:val="003A26EC"/>
    <w:rsid w:val="003A2D8B"/>
    <w:rsid w:val="003A2E57"/>
    <w:rsid w:val="003A3F63"/>
    <w:rsid w:val="003A411C"/>
    <w:rsid w:val="003A48E6"/>
    <w:rsid w:val="003A6643"/>
    <w:rsid w:val="003A7F8E"/>
    <w:rsid w:val="003B0225"/>
    <w:rsid w:val="003B0439"/>
    <w:rsid w:val="003B07AA"/>
    <w:rsid w:val="003B0C2F"/>
    <w:rsid w:val="003B12F0"/>
    <w:rsid w:val="003B34B9"/>
    <w:rsid w:val="003B3C1C"/>
    <w:rsid w:val="003B4717"/>
    <w:rsid w:val="003B5082"/>
    <w:rsid w:val="003B5981"/>
    <w:rsid w:val="003B7658"/>
    <w:rsid w:val="003B7B33"/>
    <w:rsid w:val="003C133B"/>
    <w:rsid w:val="003C1F2B"/>
    <w:rsid w:val="003C2021"/>
    <w:rsid w:val="003C2649"/>
    <w:rsid w:val="003C325D"/>
    <w:rsid w:val="003C5E2E"/>
    <w:rsid w:val="003C77A6"/>
    <w:rsid w:val="003C7E4A"/>
    <w:rsid w:val="003C7E7B"/>
    <w:rsid w:val="003D1214"/>
    <w:rsid w:val="003D23F5"/>
    <w:rsid w:val="003D250F"/>
    <w:rsid w:val="003D415C"/>
    <w:rsid w:val="003D4E5D"/>
    <w:rsid w:val="003D4FED"/>
    <w:rsid w:val="003D51E3"/>
    <w:rsid w:val="003D54B8"/>
    <w:rsid w:val="003D582E"/>
    <w:rsid w:val="003D594D"/>
    <w:rsid w:val="003D68C0"/>
    <w:rsid w:val="003D68E7"/>
    <w:rsid w:val="003D778E"/>
    <w:rsid w:val="003E02B3"/>
    <w:rsid w:val="003E0C13"/>
    <w:rsid w:val="003E1BFC"/>
    <w:rsid w:val="003E1CE9"/>
    <w:rsid w:val="003E27C1"/>
    <w:rsid w:val="003E2F9E"/>
    <w:rsid w:val="003E343E"/>
    <w:rsid w:val="003E4360"/>
    <w:rsid w:val="003E4791"/>
    <w:rsid w:val="003E501C"/>
    <w:rsid w:val="003E57D5"/>
    <w:rsid w:val="003E6935"/>
    <w:rsid w:val="003F02A9"/>
    <w:rsid w:val="003F0735"/>
    <w:rsid w:val="003F154D"/>
    <w:rsid w:val="003F1B3E"/>
    <w:rsid w:val="003F1F76"/>
    <w:rsid w:val="003F205D"/>
    <w:rsid w:val="003F2F61"/>
    <w:rsid w:val="003F34F5"/>
    <w:rsid w:val="003F46A9"/>
    <w:rsid w:val="003F48D6"/>
    <w:rsid w:val="00401002"/>
    <w:rsid w:val="00402038"/>
    <w:rsid w:val="00403E25"/>
    <w:rsid w:val="00404219"/>
    <w:rsid w:val="004043FD"/>
    <w:rsid w:val="00404958"/>
    <w:rsid w:val="00404A88"/>
    <w:rsid w:val="00404DE8"/>
    <w:rsid w:val="00404EFA"/>
    <w:rsid w:val="00404FAE"/>
    <w:rsid w:val="00405756"/>
    <w:rsid w:val="0040579A"/>
    <w:rsid w:val="00405B29"/>
    <w:rsid w:val="004068C5"/>
    <w:rsid w:val="0040746F"/>
    <w:rsid w:val="004107B6"/>
    <w:rsid w:val="00411CF2"/>
    <w:rsid w:val="004126C1"/>
    <w:rsid w:val="00412706"/>
    <w:rsid w:val="004130BC"/>
    <w:rsid w:val="004131C9"/>
    <w:rsid w:val="00413CCF"/>
    <w:rsid w:val="00413E8B"/>
    <w:rsid w:val="0041506D"/>
    <w:rsid w:val="0041608B"/>
    <w:rsid w:val="00420426"/>
    <w:rsid w:val="00420CAF"/>
    <w:rsid w:val="00421888"/>
    <w:rsid w:val="00421D5B"/>
    <w:rsid w:val="00421EBD"/>
    <w:rsid w:val="004224C5"/>
    <w:rsid w:val="00425BF5"/>
    <w:rsid w:val="004260E2"/>
    <w:rsid w:val="00426430"/>
    <w:rsid w:val="00427518"/>
    <w:rsid w:val="0043105C"/>
    <w:rsid w:val="004318FF"/>
    <w:rsid w:val="0043209D"/>
    <w:rsid w:val="004339FE"/>
    <w:rsid w:val="00433C4C"/>
    <w:rsid w:val="00435B4B"/>
    <w:rsid w:val="004368A4"/>
    <w:rsid w:val="00436CAF"/>
    <w:rsid w:val="004379E4"/>
    <w:rsid w:val="004407FB"/>
    <w:rsid w:val="00440B7E"/>
    <w:rsid w:val="00440D5D"/>
    <w:rsid w:val="0044259A"/>
    <w:rsid w:val="00442CB4"/>
    <w:rsid w:val="00444A78"/>
    <w:rsid w:val="00445E07"/>
    <w:rsid w:val="00446589"/>
    <w:rsid w:val="00446CE7"/>
    <w:rsid w:val="00446F87"/>
    <w:rsid w:val="00450442"/>
    <w:rsid w:val="00450EE7"/>
    <w:rsid w:val="0045101D"/>
    <w:rsid w:val="00451A2B"/>
    <w:rsid w:val="004523A6"/>
    <w:rsid w:val="00453614"/>
    <w:rsid w:val="00453B6F"/>
    <w:rsid w:val="00454017"/>
    <w:rsid w:val="00455CD1"/>
    <w:rsid w:val="0045649C"/>
    <w:rsid w:val="00456BC5"/>
    <w:rsid w:val="00456F75"/>
    <w:rsid w:val="00460132"/>
    <w:rsid w:val="0046028B"/>
    <w:rsid w:val="004610E9"/>
    <w:rsid w:val="00461C96"/>
    <w:rsid w:val="00462AD3"/>
    <w:rsid w:val="0046333F"/>
    <w:rsid w:val="00463700"/>
    <w:rsid w:val="00463C56"/>
    <w:rsid w:val="00463D73"/>
    <w:rsid w:val="0046549F"/>
    <w:rsid w:val="00465A5A"/>
    <w:rsid w:val="00465CF0"/>
    <w:rsid w:val="00466895"/>
    <w:rsid w:val="00466914"/>
    <w:rsid w:val="004669E3"/>
    <w:rsid w:val="004675BD"/>
    <w:rsid w:val="00470806"/>
    <w:rsid w:val="0047117A"/>
    <w:rsid w:val="00472A61"/>
    <w:rsid w:val="00472F83"/>
    <w:rsid w:val="00474B24"/>
    <w:rsid w:val="00474FA0"/>
    <w:rsid w:val="00480D22"/>
    <w:rsid w:val="00482590"/>
    <w:rsid w:val="00483D04"/>
    <w:rsid w:val="00484576"/>
    <w:rsid w:val="00484CFC"/>
    <w:rsid w:val="00490E97"/>
    <w:rsid w:val="00491011"/>
    <w:rsid w:val="004910F2"/>
    <w:rsid w:val="00491ECB"/>
    <w:rsid w:val="004922FC"/>
    <w:rsid w:val="00492B02"/>
    <w:rsid w:val="00493369"/>
    <w:rsid w:val="00493528"/>
    <w:rsid w:val="00493FCE"/>
    <w:rsid w:val="004953D4"/>
    <w:rsid w:val="0049586D"/>
    <w:rsid w:val="00496477"/>
    <w:rsid w:val="004A265D"/>
    <w:rsid w:val="004A2790"/>
    <w:rsid w:val="004A29E1"/>
    <w:rsid w:val="004A30A6"/>
    <w:rsid w:val="004A4F53"/>
    <w:rsid w:val="004A6738"/>
    <w:rsid w:val="004A67F4"/>
    <w:rsid w:val="004A75E4"/>
    <w:rsid w:val="004A7BF0"/>
    <w:rsid w:val="004A7C18"/>
    <w:rsid w:val="004B067B"/>
    <w:rsid w:val="004B292A"/>
    <w:rsid w:val="004B2A73"/>
    <w:rsid w:val="004B2E3C"/>
    <w:rsid w:val="004B3C8F"/>
    <w:rsid w:val="004B6006"/>
    <w:rsid w:val="004B6CD8"/>
    <w:rsid w:val="004B7C2E"/>
    <w:rsid w:val="004C08C5"/>
    <w:rsid w:val="004C1F8C"/>
    <w:rsid w:val="004C2B7C"/>
    <w:rsid w:val="004C4041"/>
    <w:rsid w:val="004C4587"/>
    <w:rsid w:val="004C4994"/>
    <w:rsid w:val="004C49CD"/>
    <w:rsid w:val="004C4D36"/>
    <w:rsid w:val="004C5189"/>
    <w:rsid w:val="004C5866"/>
    <w:rsid w:val="004C616E"/>
    <w:rsid w:val="004D0136"/>
    <w:rsid w:val="004D08BF"/>
    <w:rsid w:val="004D1A55"/>
    <w:rsid w:val="004D34AF"/>
    <w:rsid w:val="004D34C8"/>
    <w:rsid w:val="004D4032"/>
    <w:rsid w:val="004D4524"/>
    <w:rsid w:val="004D4809"/>
    <w:rsid w:val="004D5454"/>
    <w:rsid w:val="004D5457"/>
    <w:rsid w:val="004D561F"/>
    <w:rsid w:val="004D5753"/>
    <w:rsid w:val="004D5AF4"/>
    <w:rsid w:val="004D6057"/>
    <w:rsid w:val="004E04D1"/>
    <w:rsid w:val="004E17FA"/>
    <w:rsid w:val="004E1D62"/>
    <w:rsid w:val="004E1D8C"/>
    <w:rsid w:val="004E59D5"/>
    <w:rsid w:val="004E7E2D"/>
    <w:rsid w:val="004F0249"/>
    <w:rsid w:val="004F0284"/>
    <w:rsid w:val="004F02FF"/>
    <w:rsid w:val="004F13F9"/>
    <w:rsid w:val="004F1E44"/>
    <w:rsid w:val="004F2944"/>
    <w:rsid w:val="004F78E1"/>
    <w:rsid w:val="00500800"/>
    <w:rsid w:val="00500FC5"/>
    <w:rsid w:val="00502489"/>
    <w:rsid w:val="00502D2A"/>
    <w:rsid w:val="0050388C"/>
    <w:rsid w:val="00503E8F"/>
    <w:rsid w:val="00504366"/>
    <w:rsid w:val="00505725"/>
    <w:rsid w:val="00505751"/>
    <w:rsid w:val="0050727A"/>
    <w:rsid w:val="00507672"/>
    <w:rsid w:val="00507ABB"/>
    <w:rsid w:val="00510BB4"/>
    <w:rsid w:val="00510EE7"/>
    <w:rsid w:val="00511DBB"/>
    <w:rsid w:val="00512C0F"/>
    <w:rsid w:val="005136E5"/>
    <w:rsid w:val="00513B8B"/>
    <w:rsid w:val="00513CCE"/>
    <w:rsid w:val="00513F6F"/>
    <w:rsid w:val="005141CB"/>
    <w:rsid w:val="0051640F"/>
    <w:rsid w:val="00516652"/>
    <w:rsid w:val="005171F8"/>
    <w:rsid w:val="00517B62"/>
    <w:rsid w:val="00520223"/>
    <w:rsid w:val="00520B46"/>
    <w:rsid w:val="00521B1A"/>
    <w:rsid w:val="0052240E"/>
    <w:rsid w:val="00522DDB"/>
    <w:rsid w:val="00523674"/>
    <w:rsid w:val="00525EC1"/>
    <w:rsid w:val="00525F08"/>
    <w:rsid w:val="005263E9"/>
    <w:rsid w:val="005304E9"/>
    <w:rsid w:val="005305E2"/>
    <w:rsid w:val="005311A2"/>
    <w:rsid w:val="005317FB"/>
    <w:rsid w:val="00532DF1"/>
    <w:rsid w:val="00535CF7"/>
    <w:rsid w:val="00536863"/>
    <w:rsid w:val="00536FD4"/>
    <w:rsid w:val="005372D4"/>
    <w:rsid w:val="00540016"/>
    <w:rsid w:val="00542838"/>
    <w:rsid w:val="00542A0C"/>
    <w:rsid w:val="005433AF"/>
    <w:rsid w:val="00543E8D"/>
    <w:rsid w:val="0054402E"/>
    <w:rsid w:val="00544935"/>
    <w:rsid w:val="00545880"/>
    <w:rsid w:val="005460E2"/>
    <w:rsid w:val="00546EC3"/>
    <w:rsid w:val="00547215"/>
    <w:rsid w:val="005479BB"/>
    <w:rsid w:val="00547FFD"/>
    <w:rsid w:val="00554060"/>
    <w:rsid w:val="00554F72"/>
    <w:rsid w:val="00555714"/>
    <w:rsid w:val="00557217"/>
    <w:rsid w:val="00560A94"/>
    <w:rsid w:val="00560EDD"/>
    <w:rsid w:val="005612EE"/>
    <w:rsid w:val="005619D5"/>
    <w:rsid w:val="00561CD9"/>
    <w:rsid w:val="005627A7"/>
    <w:rsid w:val="00562AD8"/>
    <w:rsid w:val="00563A4E"/>
    <w:rsid w:val="00564739"/>
    <w:rsid w:val="00564B3F"/>
    <w:rsid w:val="00564F6A"/>
    <w:rsid w:val="00565382"/>
    <w:rsid w:val="005658CF"/>
    <w:rsid w:val="00565D1D"/>
    <w:rsid w:val="00565D74"/>
    <w:rsid w:val="005662FC"/>
    <w:rsid w:val="0056675B"/>
    <w:rsid w:val="005675E4"/>
    <w:rsid w:val="00570A3D"/>
    <w:rsid w:val="00572489"/>
    <w:rsid w:val="00572571"/>
    <w:rsid w:val="005731B5"/>
    <w:rsid w:val="00573778"/>
    <w:rsid w:val="00573879"/>
    <w:rsid w:val="00574284"/>
    <w:rsid w:val="005742F5"/>
    <w:rsid w:val="00574DEA"/>
    <w:rsid w:val="00577FE1"/>
    <w:rsid w:val="00581088"/>
    <w:rsid w:val="00581B40"/>
    <w:rsid w:val="00583894"/>
    <w:rsid w:val="00583A7B"/>
    <w:rsid w:val="00584134"/>
    <w:rsid w:val="00585245"/>
    <w:rsid w:val="00586EFD"/>
    <w:rsid w:val="00587727"/>
    <w:rsid w:val="00587930"/>
    <w:rsid w:val="00587DC9"/>
    <w:rsid w:val="0059128D"/>
    <w:rsid w:val="00591780"/>
    <w:rsid w:val="0059185E"/>
    <w:rsid w:val="00592782"/>
    <w:rsid w:val="00593128"/>
    <w:rsid w:val="005939A2"/>
    <w:rsid w:val="0059454F"/>
    <w:rsid w:val="0059480A"/>
    <w:rsid w:val="00594F15"/>
    <w:rsid w:val="00594FE0"/>
    <w:rsid w:val="005957D2"/>
    <w:rsid w:val="00596F30"/>
    <w:rsid w:val="005A04F4"/>
    <w:rsid w:val="005A0AEF"/>
    <w:rsid w:val="005A17FD"/>
    <w:rsid w:val="005A1CA2"/>
    <w:rsid w:val="005A362D"/>
    <w:rsid w:val="005A395E"/>
    <w:rsid w:val="005A4091"/>
    <w:rsid w:val="005A4805"/>
    <w:rsid w:val="005A5281"/>
    <w:rsid w:val="005A6F9E"/>
    <w:rsid w:val="005A757B"/>
    <w:rsid w:val="005A7B4B"/>
    <w:rsid w:val="005B027C"/>
    <w:rsid w:val="005B0290"/>
    <w:rsid w:val="005B0CE6"/>
    <w:rsid w:val="005B1935"/>
    <w:rsid w:val="005B2D5A"/>
    <w:rsid w:val="005B3D14"/>
    <w:rsid w:val="005B43F6"/>
    <w:rsid w:val="005B48EE"/>
    <w:rsid w:val="005B54C0"/>
    <w:rsid w:val="005B5FE7"/>
    <w:rsid w:val="005B7669"/>
    <w:rsid w:val="005C3494"/>
    <w:rsid w:val="005C3B01"/>
    <w:rsid w:val="005C46A9"/>
    <w:rsid w:val="005C49CB"/>
    <w:rsid w:val="005C4FB1"/>
    <w:rsid w:val="005C76F7"/>
    <w:rsid w:val="005C770B"/>
    <w:rsid w:val="005C7AFC"/>
    <w:rsid w:val="005C7FCA"/>
    <w:rsid w:val="005D022E"/>
    <w:rsid w:val="005D07B2"/>
    <w:rsid w:val="005D0D49"/>
    <w:rsid w:val="005D1091"/>
    <w:rsid w:val="005D20DE"/>
    <w:rsid w:val="005D2BF3"/>
    <w:rsid w:val="005D3B06"/>
    <w:rsid w:val="005D460D"/>
    <w:rsid w:val="005D4814"/>
    <w:rsid w:val="005D5593"/>
    <w:rsid w:val="005D55DA"/>
    <w:rsid w:val="005D5937"/>
    <w:rsid w:val="005D5BDF"/>
    <w:rsid w:val="005D79C7"/>
    <w:rsid w:val="005E06F3"/>
    <w:rsid w:val="005E0844"/>
    <w:rsid w:val="005E10BD"/>
    <w:rsid w:val="005E1ABA"/>
    <w:rsid w:val="005E1D06"/>
    <w:rsid w:val="005E1D79"/>
    <w:rsid w:val="005E337E"/>
    <w:rsid w:val="005E355A"/>
    <w:rsid w:val="005E3635"/>
    <w:rsid w:val="005E407B"/>
    <w:rsid w:val="005E4575"/>
    <w:rsid w:val="005E6138"/>
    <w:rsid w:val="005E6D8F"/>
    <w:rsid w:val="005F0130"/>
    <w:rsid w:val="005F0E51"/>
    <w:rsid w:val="005F1952"/>
    <w:rsid w:val="005F2973"/>
    <w:rsid w:val="005F33E8"/>
    <w:rsid w:val="005F37E1"/>
    <w:rsid w:val="005F43FC"/>
    <w:rsid w:val="005F4440"/>
    <w:rsid w:val="005F4D06"/>
    <w:rsid w:val="005F4E58"/>
    <w:rsid w:val="005F5070"/>
    <w:rsid w:val="005F59DF"/>
    <w:rsid w:val="005F5D47"/>
    <w:rsid w:val="005F6FA5"/>
    <w:rsid w:val="006010C8"/>
    <w:rsid w:val="0060262C"/>
    <w:rsid w:val="00603117"/>
    <w:rsid w:val="00604C98"/>
    <w:rsid w:val="006056B4"/>
    <w:rsid w:val="00607DB9"/>
    <w:rsid w:val="00607EC9"/>
    <w:rsid w:val="00612067"/>
    <w:rsid w:val="00612D29"/>
    <w:rsid w:val="00613433"/>
    <w:rsid w:val="0061349B"/>
    <w:rsid w:val="0061370F"/>
    <w:rsid w:val="00613C87"/>
    <w:rsid w:val="00615AD0"/>
    <w:rsid w:val="006161AC"/>
    <w:rsid w:val="006166BD"/>
    <w:rsid w:val="00617AE2"/>
    <w:rsid w:val="006205BC"/>
    <w:rsid w:val="00620DD1"/>
    <w:rsid w:val="00620F7F"/>
    <w:rsid w:val="006213B0"/>
    <w:rsid w:val="00621ACE"/>
    <w:rsid w:val="006227AB"/>
    <w:rsid w:val="00622ECB"/>
    <w:rsid w:val="00622FB0"/>
    <w:rsid w:val="006234E0"/>
    <w:rsid w:val="00623CF8"/>
    <w:rsid w:val="00625836"/>
    <w:rsid w:val="006265EF"/>
    <w:rsid w:val="00626AA4"/>
    <w:rsid w:val="00626F3C"/>
    <w:rsid w:val="00627628"/>
    <w:rsid w:val="0063045F"/>
    <w:rsid w:val="00630EFE"/>
    <w:rsid w:val="006318B0"/>
    <w:rsid w:val="00631DCA"/>
    <w:rsid w:val="00631E10"/>
    <w:rsid w:val="00634183"/>
    <w:rsid w:val="00634243"/>
    <w:rsid w:val="00634CED"/>
    <w:rsid w:val="006352D8"/>
    <w:rsid w:val="006367EA"/>
    <w:rsid w:val="006372BA"/>
    <w:rsid w:val="0063790C"/>
    <w:rsid w:val="00641E3E"/>
    <w:rsid w:val="006420D5"/>
    <w:rsid w:val="00643803"/>
    <w:rsid w:val="006438E2"/>
    <w:rsid w:val="00643F6F"/>
    <w:rsid w:val="0064492C"/>
    <w:rsid w:val="0064574A"/>
    <w:rsid w:val="00645AE2"/>
    <w:rsid w:val="00647654"/>
    <w:rsid w:val="00647756"/>
    <w:rsid w:val="00650472"/>
    <w:rsid w:val="00650573"/>
    <w:rsid w:val="0065077F"/>
    <w:rsid w:val="00650DBB"/>
    <w:rsid w:val="00651327"/>
    <w:rsid w:val="0065142E"/>
    <w:rsid w:val="0065169B"/>
    <w:rsid w:val="00651B9A"/>
    <w:rsid w:val="00652E4B"/>
    <w:rsid w:val="00652ECB"/>
    <w:rsid w:val="006533B2"/>
    <w:rsid w:val="00653D5E"/>
    <w:rsid w:val="0065562B"/>
    <w:rsid w:val="00657193"/>
    <w:rsid w:val="0066075F"/>
    <w:rsid w:val="00660DF7"/>
    <w:rsid w:val="006615DA"/>
    <w:rsid w:val="00661E63"/>
    <w:rsid w:val="00662A34"/>
    <w:rsid w:val="00662B3E"/>
    <w:rsid w:val="00663407"/>
    <w:rsid w:val="006638E7"/>
    <w:rsid w:val="00664B7B"/>
    <w:rsid w:val="00665A30"/>
    <w:rsid w:val="00665CAB"/>
    <w:rsid w:val="006667AA"/>
    <w:rsid w:val="006677B7"/>
    <w:rsid w:val="00670292"/>
    <w:rsid w:val="00670910"/>
    <w:rsid w:val="00672144"/>
    <w:rsid w:val="00672679"/>
    <w:rsid w:val="00673BEC"/>
    <w:rsid w:val="00673CDF"/>
    <w:rsid w:val="00674176"/>
    <w:rsid w:val="006748CD"/>
    <w:rsid w:val="00676545"/>
    <w:rsid w:val="0067682C"/>
    <w:rsid w:val="006771C2"/>
    <w:rsid w:val="00677752"/>
    <w:rsid w:val="0068085B"/>
    <w:rsid w:val="00680B58"/>
    <w:rsid w:val="00680C46"/>
    <w:rsid w:val="00680FF4"/>
    <w:rsid w:val="00681402"/>
    <w:rsid w:val="0068265C"/>
    <w:rsid w:val="00682D17"/>
    <w:rsid w:val="006843CB"/>
    <w:rsid w:val="0068481F"/>
    <w:rsid w:val="006856D7"/>
    <w:rsid w:val="00685860"/>
    <w:rsid w:val="00685DF1"/>
    <w:rsid w:val="00685F0E"/>
    <w:rsid w:val="00687B43"/>
    <w:rsid w:val="00687B55"/>
    <w:rsid w:val="006902D8"/>
    <w:rsid w:val="00690408"/>
    <w:rsid w:val="006904A9"/>
    <w:rsid w:val="00690736"/>
    <w:rsid w:val="0069125F"/>
    <w:rsid w:val="00692471"/>
    <w:rsid w:val="00692B08"/>
    <w:rsid w:val="006936A8"/>
    <w:rsid w:val="00694494"/>
    <w:rsid w:val="00694677"/>
    <w:rsid w:val="00694D33"/>
    <w:rsid w:val="00695D88"/>
    <w:rsid w:val="00696703"/>
    <w:rsid w:val="00696DF1"/>
    <w:rsid w:val="006970F2"/>
    <w:rsid w:val="006A0D00"/>
    <w:rsid w:val="006A146B"/>
    <w:rsid w:val="006A18BF"/>
    <w:rsid w:val="006A1AA2"/>
    <w:rsid w:val="006A1BDE"/>
    <w:rsid w:val="006A1F49"/>
    <w:rsid w:val="006A2194"/>
    <w:rsid w:val="006A53CD"/>
    <w:rsid w:val="006A78CF"/>
    <w:rsid w:val="006B0FDF"/>
    <w:rsid w:val="006B11D0"/>
    <w:rsid w:val="006B161C"/>
    <w:rsid w:val="006B18D4"/>
    <w:rsid w:val="006B23D5"/>
    <w:rsid w:val="006B34F1"/>
    <w:rsid w:val="006B5567"/>
    <w:rsid w:val="006B597D"/>
    <w:rsid w:val="006B66CB"/>
    <w:rsid w:val="006B708D"/>
    <w:rsid w:val="006B734D"/>
    <w:rsid w:val="006C060A"/>
    <w:rsid w:val="006C06EF"/>
    <w:rsid w:val="006C07E3"/>
    <w:rsid w:val="006C1685"/>
    <w:rsid w:val="006C1931"/>
    <w:rsid w:val="006C1F6E"/>
    <w:rsid w:val="006C27F6"/>
    <w:rsid w:val="006C3F77"/>
    <w:rsid w:val="006C428A"/>
    <w:rsid w:val="006C530E"/>
    <w:rsid w:val="006C57AA"/>
    <w:rsid w:val="006D26CD"/>
    <w:rsid w:val="006D27A6"/>
    <w:rsid w:val="006D3964"/>
    <w:rsid w:val="006D4195"/>
    <w:rsid w:val="006D528A"/>
    <w:rsid w:val="006D5428"/>
    <w:rsid w:val="006D5DCD"/>
    <w:rsid w:val="006D7893"/>
    <w:rsid w:val="006D7C24"/>
    <w:rsid w:val="006E0F87"/>
    <w:rsid w:val="006E12A3"/>
    <w:rsid w:val="006E1671"/>
    <w:rsid w:val="006E17D4"/>
    <w:rsid w:val="006E20BF"/>
    <w:rsid w:val="006E2294"/>
    <w:rsid w:val="006E28F5"/>
    <w:rsid w:val="006E4E7D"/>
    <w:rsid w:val="006E5905"/>
    <w:rsid w:val="006E6CFC"/>
    <w:rsid w:val="006E6D97"/>
    <w:rsid w:val="006E6E3F"/>
    <w:rsid w:val="006F203C"/>
    <w:rsid w:val="006F2125"/>
    <w:rsid w:val="006F3266"/>
    <w:rsid w:val="006F399F"/>
    <w:rsid w:val="006F4759"/>
    <w:rsid w:val="006F4918"/>
    <w:rsid w:val="006F4A80"/>
    <w:rsid w:val="006F6F67"/>
    <w:rsid w:val="006F742F"/>
    <w:rsid w:val="006F757D"/>
    <w:rsid w:val="007009F9"/>
    <w:rsid w:val="00701335"/>
    <w:rsid w:val="0070213C"/>
    <w:rsid w:val="00702F0A"/>
    <w:rsid w:val="00703579"/>
    <w:rsid w:val="007042EE"/>
    <w:rsid w:val="0070451F"/>
    <w:rsid w:val="00704811"/>
    <w:rsid w:val="007048D6"/>
    <w:rsid w:val="00704AA2"/>
    <w:rsid w:val="00704E60"/>
    <w:rsid w:val="00705BFB"/>
    <w:rsid w:val="00705F7A"/>
    <w:rsid w:val="0070614F"/>
    <w:rsid w:val="00710A31"/>
    <w:rsid w:val="00710F49"/>
    <w:rsid w:val="00711004"/>
    <w:rsid w:val="007120C5"/>
    <w:rsid w:val="00712256"/>
    <w:rsid w:val="007128A5"/>
    <w:rsid w:val="00713ADD"/>
    <w:rsid w:val="00715ACE"/>
    <w:rsid w:val="00715B52"/>
    <w:rsid w:val="0071624B"/>
    <w:rsid w:val="007166FE"/>
    <w:rsid w:val="007167D7"/>
    <w:rsid w:val="00716A92"/>
    <w:rsid w:val="00716ABE"/>
    <w:rsid w:val="00717BD1"/>
    <w:rsid w:val="00720D4B"/>
    <w:rsid w:val="00721176"/>
    <w:rsid w:val="00722C5D"/>
    <w:rsid w:val="00722EC9"/>
    <w:rsid w:val="00723FC8"/>
    <w:rsid w:val="00724C76"/>
    <w:rsid w:val="00726441"/>
    <w:rsid w:val="00726841"/>
    <w:rsid w:val="00732D79"/>
    <w:rsid w:val="0073316F"/>
    <w:rsid w:val="007332D0"/>
    <w:rsid w:val="0073342A"/>
    <w:rsid w:val="007366B0"/>
    <w:rsid w:val="00736CDC"/>
    <w:rsid w:val="00741E71"/>
    <w:rsid w:val="0074342D"/>
    <w:rsid w:val="00743483"/>
    <w:rsid w:val="00743772"/>
    <w:rsid w:val="00743C0C"/>
    <w:rsid w:val="00745E99"/>
    <w:rsid w:val="007460D3"/>
    <w:rsid w:val="007460D8"/>
    <w:rsid w:val="0074630D"/>
    <w:rsid w:val="0075144C"/>
    <w:rsid w:val="00751C61"/>
    <w:rsid w:val="00751E68"/>
    <w:rsid w:val="0075263E"/>
    <w:rsid w:val="00752983"/>
    <w:rsid w:val="00753437"/>
    <w:rsid w:val="00754A2E"/>
    <w:rsid w:val="0075513D"/>
    <w:rsid w:val="00755AE8"/>
    <w:rsid w:val="00756360"/>
    <w:rsid w:val="00757064"/>
    <w:rsid w:val="007571A1"/>
    <w:rsid w:val="00760CB4"/>
    <w:rsid w:val="00760F9A"/>
    <w:rsid w:val="00761C85"/>
    <w:rsid w:val="00762718"/>
    <w:rsid w:val="00762CF7"/>
    <w:rsid w:val="007650E2"/>
    <w:rsid w:val="00766414"/>
    <w:rsid w:val="007674A0"/>
    <w:rsid w:val="0076766F"/>
    <w:rsid w:val="00767E85"/>
    <w:rsid w:val="00771AC2"/>
    <w:rsid w:val="0077381F"/>
    <w:rsid w:val="00774324"/>
    <w:rsid w:val="00775C23"/>
    <w:rsid w:val="00775FF9"/>
    <w:rsid w:val="00776597"/>
    <w:rsid w:val="007766DE"/>
    <w:rsid w:val="00776CD4"/>
    <w:rsid w:val="007808C1"/>
    <w:rsid w:val="0078092D"/>
    <w:rsid w:val="00780B6F"/>
    <w:rsid w:val="00780BE9"/>
    <w:rsid w:val="00781324"/>
    <w:rsid w:val="0078295D"/>
    <w:rsid w:val="007830C7"/>
    <w:rsid w:val="00783FF4"/>
    <w:rsid w:val="00784783"/>
    <w:rsid w:val="00784784"/>
    <w:rsid w:val="007851F2"/>
    <w:rsid w:val="00785751"/>
    <w:rsid w:val="00785A7D"/>
    <w:rsid w:val="00785C66"/>
    <w:rsid w:val="00786477"/>
    <w:rsid w:val="00787C9C"/>
    <w:rsid w:val="00787E18"/>
    <w:rsid w:val="00787F84"/>
    <w:rsid w:val="0079107C"/>
    <w:rsid w:val="00791BEA"/>
    <w:rsid w:val="00792619"/>
    <w:rsid w:val="00794993"/>
    <w:rsid w:val="0079633F"/>
    <w:rsid w:val="00796934"/>
    <w:rsid w:val="0079778E"/>
    <w:rsid w:val="00797E99"/>
    <w:rsid w:val="007A0AE4"/>
    <w:rsid w:val="007A14AA"/>
    <w:rsid w:val="007A173D"/>
    <w:rsid w:val="007A22A8"/>
    <w:rsid w:val="007A22A9"/>
    <w:rsid w:val="007A5191"/>
    <w:rsid w:val="007A6198"/>
    <w:rsid w:val="007A62A9"/>
    <w:rsid w:val="007A730A"/>
    <w:rsid w:val="007A7625"/>
    <w:rsid w:val="007A7ADB"/>
    <w:rsid w:val="007A7CA7"/>
    <w:rsid w:val="007A7DCD"/>
    <w:rsid w:val="007B06B0"/>
    <w:rsid w:val="007B0885"/>
    <w:rsid w:val="007B122B"/>
    <w:rsid w:val="007B139F"/>
    <w:rsid w:val="007B20EE"/>
    <w:rsid w:val="007B24F3"/>
    <w:rsid w:val="007B40D0"/>
    <w:rsid w:val="007B47EC"/>
    <w:rsid w:val="007B518D"/>
    <w:rsid w:val="007B51F8"/>
    <w:rsid w:val="007B539E"/>
    <w:rsid w:val="007B5B4D"/>
    <w:rsid w:val="007B6827"/>
    <w:rsid w:val="007C0D61"/>
    <w:rsid w:val="007C18BE"/>
    <w:rsid w:val="007C23AF"/>
    <w:rsid w:val="007C251C"/>
    <w:rsid w:val="007C2EFB"/>
    <w:rsid w:val="007C334E"/>
    <w:rsid w:val="007C3A75"/>
    <w:rsid w:val="007C4DA5"/>
    <w:rsid w:val="007C7A6B"/>
    <w:rsid w:val="007D2EA6"/>
    <w:rsid w:val="007D36D9"/>
    <w:rsid w:val="007D4262"/>
    <w:rsid w:val="007D5531"/>
    <w:rsid w:val="007D5819"/>
    <w:rsid w:val="007D585C"/>
    <w:rsid w:val="007D5D49"/>
    <w:rsid w:val="007D669A"/>
    <w:rsid w:val="007D6CC7"/>
    <w:rsid w:val="007D74F6"/>
    <w:rsid w:val="007D74FE"/>
    <w:rsid w:val="007D7FDA"/>
    <w:rsid w:val="007E01C5"/>
    <w:rsid w:val="007E060E"/>
    <w:rsid w:val="007E063E"/>
    <w:rsid w:val="007E098E"/>
    <w:rsid w:val="007E0D3F"/>
    <w:rsid w:val="007E1118"/>
    <w:rsid w:val="007E1152"/>
    <w:rsid w:val="007E1E3D"/>
    <w:rsid w:val="007E2642"/>
    <w:rsid w:val="007E28BD"/>
    <w:rsid w:val="007E3510"/>
    <w:rsid w:val="007E3E54"/>
    <w:rsid w:val="007E43C0"/>
    <w:rsid w:val="007E4EB3"/>
    <w:rsid w:val="007E4F32"/>
    <w:rsid w:val="007E56F9"/>
    <w:rsid w:val="007E60CB"/>
    <w:rsid w:val="007E6F8D"/>
    <w:rsid w:val="007F0329"/>
    <w:rsid w:val="007F0956"/>
    <w:rsid w:val="007F0F34"/>
    <w:rsid w:val="007F280B"/>
    <w:rsid w:val="007F2EC7"/>
    <w:rsid w:val="007F3068"/>
    <w:rsid w:val="007F4F65"/>
    <w:rsid w:val="007F5545"/>
    <w:rsid w:val="007F64C3"/>
    <w:rsid w:val="007F79D1"/>
    <w:rsid w:val="007F7CEF"/>
    <w:rsid w:val="00802414"/>
    <w:rsid w:val="00802ACF"/>
    <w:rsid w:val="00803EB7"/>
    <w:rsid w:val="0080431D"/>
    <w:rsid w:val="00804EA8"/>
    <w:rsid w:val="008050AB"/>
    <w:rsid w:val="00806646"/>
    <w:rsid w:val="00806B2A"/>
    <w:rsid w:val="0080752C"/>
    <w:rsid w:val="008076BA"/>
    <w:rsid w:val="008101A5"/>
    <w:rsid w:val="00811885"/>
    <w:rsid w:val="00812833"/>
    <w:rsid w:val="00812A45"/>
    <w:rsid w:val="00813001"/>
    <w:rsid w:val="008157D3"/>
    <w:rsid w:val="00815BD9"/>
    <w:rsid w:val="00816A05"/>
    <w:rsid w:val="00820897"/>
    <w:rsid w:val="00820AD8"/>
    <w:rsid w:val="008227B4"/>
    <w:rsid w:val="00822973"/>
    <w:rsid w:val="00823313"/>
    <w:rsid w:val="0082355B"/>
    <w:rsid w:val="00824836"/>
    <w:rsid w:val="00825E04"/>
    <w:rsid w:val="00825E18"/>
    <w:rsid w:val="00826131"/>
    <w:rsid w:val="00827A9C"/>
    <w:rsid w:val="00830BAB"/>
    <w:rsid w:val="00831145"/>
    <w:rsid w:val="00831C96"/>
    <w:rsid w:val="0083214B"/>
    <w:rsid w:val="00832360"/>
    <w:rsid w:val="00832393"/>
    <w:rsid w:val="00832717"/>
    <w:rsid w:val="00835161"/>
    <w:rsid w:val="0083532F"/>
    <w:rsid w:val="0083575A"/>
    <w:rsid w:val="008362F4"/>
    <w:rsid w:val="00836418"/>
    <w:rsid w:val="00837379"/>
    <w:rsid w:val="008405AB"/>
    <w:rsid w:val="00840C80"/>
    <w:rsid w:val="00840D22"/>
    <w:rsid w:val="00842254"/>
    <w:rsid w:val="008422C4"/>
    <w:rsid w:val="00842682"/>
    <w:rsid w:val="0084325C"/>
    <w:rsid w:val="00843312"/>
    <w:rsid w:val="0084361F"/>
    <w:rsid w:val="00843678"/>
    <w:rsid w:val="008443A4"/>
    <w:rsid w:val="0084504E"/>
    <w:rsid w:val="008451C1"/>
    <w:rsid w:val="0084557C"/>
    <w:rsid w:val="0084632D"/>
    <w:rsid w:val="008464B0"/>
    <w:rsid w:val="0085059C"/>
    <w:rsid w:val="00850AAB"/>
    <w:rsid w:val="0085247F"/>
    <w:rsid w:val="00853148"/>
    <w:rsid w:val="00853294"/>
    <w:rsid w:val="0085355B"/>
    <w:rsid w:val="008541B7"/>
    <w:rsid w:val="008545D3"/>
    <w:rsid w:val="008569FC"/>
    <w:rsid w:val="00856B2B"/>
    <w:rsid w:val="00856E9A"/>
    <w:rsid w:val="00857F94"/>
    <w:rsid w:val="008602F7"/>
    <w:rsid w:val="008603E5"/>
    <w:rsid w:val="0086095C"/>
    <w:rsid w:val="0086288A"/>
    <w:rsid w:val="0086344E"/>
    <w:rsid w:val="008638D0"/>
    <w:rsid w:val="00863A6B"/>
    <w:rsid w:val="0086485D"/>
    <w:rsid w:val="00864DCE"/>
    <w:rsid w:val="00864E00"/>
    <w:rsid w:val="008673A3"/>
    <w:rsid w:val="00870080"/>
    <w:rsid w:val="00870DB0"/>
    <w:rsid w:val="00870E18"/>
    <w:rsid w:val="008710B4"/>
    <w:rsid w:val="00871B5E"/>
    <w:rsid w:val="008732D3"/>
    <w:rsid w:val="00873636"/>
    <w:rsid w:val="008749BD"/>
    <w:rsid w:val="00874F47"/>
    <w:rsid w:val="00876C96"/>
    <w:rsid w:val="00877037"/>
    <w:rsid w:val="008770C5"/>
    <w:rsid w:val="00877F64"/>
    <w:rsid w:val="00880586"/>
    <w:rsid w:val="008824D5"/>
    <w:rsid w:val="00882854"/>
    <w:rsid w:val="00882F53"/>
    <w:rsid w:val="00883586"/>
    <w:rsid w:val="00883766"/>
    <w:rsid w:val="008837BF"/>
    <w:rsid w:val="00884303"/>
    <w:rsid w:val="008846B4"/>
    <w:rsid w:val="00885D83"/>
    <w:rsid w:val="0088652B"/>
    <w:rsid w:val="00886D48"/>
    <w:rsid w:val="00890443"/>
    <w:rsid w:val="00890818"/>
    <w:rsid w:val="00891460"/>
    <w:rsid w:val="0089211D"/>
    <w:rsid w:val="00892973"/>
    <w:rsid w:val="008955F5"/>
    <w:rsid w:val="00895651"/>
    <w:rsid w:val="00896B05"/>
    <w:rsid w:val="00897059"/>
    <w:rsid w:val="008A0340"/>
    <w:rsid w:val="008A224F"/>
    <w:rsid w:val="008A2938"/>
    <w:rsid w:val="008A356F"/>
    <w:rsid w:val="008A4723"/>
    <w:rsid w:val="008A4EEE"/>
    <w:rsid w:val="008A5E76"/>
    <w:rsid w:val="008B119B"/>
    <w:rsid w:val="008B13E0"/>
    <w:rsid w:val="008B1FB4"/>
    <w:rsid w:val="008B3BA4"/>
    <w:rsid w:val="008B43C2"/>
    <w:rsid w:val="008B4ADA"/>
    <w:rsid w:val="008B55D4"/>
    <w:rsid w:val="008B59FB"/>
    <w:rsid w:val="008B6BC6"/>
    <w:rsid w:val="008B7807"/>
    <w:rsid w:val="008B7D79"/>
    <w:rsid w:val="008B7EA1"/>
    <w:rsid w:val="008C04E9"/>
    <w:rsid w:val="008C0CA2"/>
    <w:rsid w:val="008C1854"/>
    <w:rsid w:val="008C3223"/>
    <w:rsid w:val="008C3F7E"/>
    <w:rsid w:val="008C487C"/>
    <w:rsid w:val="008C4DC8"/>
    <w:rsid w:val="008C4ECC"/>
    <w:rsid w:val="008C7566"/>
    <w:rsid w:val="008C7B24"/>
    <w:rsid w:val="008D08BD"/>
    <w:rsid w:val="008D18BA"/>
    <w:rsid w:val="008D1E64"/>
    <w:rsid w:val="008D2345"/>
    <w:rsid w:val="008D2624"/>
    <w:rsid w:val="008D333C"/>
    <w:rsid w:val="008D34AE"/>
    <w:rsid w:val="008D38C1"/>
    <w:rsid w:val="008D3BBA"/>
    <w:rsid w:val="008D3DDA"/>
    <w:rsid w:val="008D408F"/>
    <w:rsid w:val="008D5FD6"/>
    <w:rsid w:val="008D6303"/>
    <w:rsid w:val="008D788C"/>
    <w:rsid w:val="008E0BA6"/>
    <w:rsid w:val="008E24A9"/>
    <w:rsid w:val="008E4031"/>
    <w:rsid w:val="008E4290"/>
    <w:rsid w:val="008E5380"/>
    <w:rsid w:val="008E59C0"/>
    <w:rsid w:val="008E63CA"/>
    <w:rsid w:val="008E6EBF"/>
    <w:rsid w:val="008E7C49"/>
    <w:rsid w:val="008E7D0A"/>
    <w:rsid w:val="008F08CA"/>
    <w:rsid w:val="008F1E1C"/>
    <w:rsid w:val="008F254D"/>
    <w:rsid w:val="008F2B3C"/>
    <w:rsid w:val="008F3C51"/>
    <w:rsid w:val="008F49E6"/>
    <w:rsid w:val="008F552E"/>
    <w:rsid w:val="008F7B3A"/>
    <w:rsid w:val="00900688"/>
    <w:rsid w:val="009017AF"/>
    <w:rsid w:val="00902EE3"/>
    <w:rsid w:val="00903384"/>
    <w:rsid w:val="009038B3"/>
    <w:rsid w:val="009048C4"/>
    <w:rsid w:val="00906311"/>
    <w:rsid w:val="00906DB4"/>
    <w:rsid w:val="009105C6"/>
    <w:rsid w:val="00911650"/>
    <w:rsid w:val="00912073"/>
    <w:rsid w:val="00912C64"/>
    <w:rsid w:val="009138BF"/>
    <w:rsid w:val="00913B1C"/>
    <w:rsid w:val="00916940"/>
    <w:rsid w:val="009172A9"/>
    <w:rsid w:val="00920BD7"/>
    <w:rsid w:val="00921E78"/>
    <w:rsid w:val="00922C9A"/>
    <w:rsid w:val="00924368"/>
    <w:rsid w:val="00924AE7"/>
    <w:rsid w:val="009263AC"/>
    <w:rsid w:val="009305D1"/>
    <w:rsid w:val="009313CF"/>
    <w:rsid w:val="0093165B"/>
    <w:rsid w:val="00931AC0"/>
    <w:rsid w:val="00931C81"/>
    <w:rsid w:val="0093281D"/>
    <w:rsid w:val="0093497C"/>
    <w:rsid w:val="0093505A"/>
    <w:rsid w:val="00935232"/>
    <w:rsid w:val="009353BC"/>
    <w:rsid w:val="00936641"/>
    <w:rsid w:val="00940AB9"/>
    <w:rsid w:val="00941E80"/>
    <w:rsid w:val="009421CD"/>
    <w:rsid w:val="00944E63"/>
    <w:rsid w:val="009454BE"/>
    <w:rsid w:val="00945814"/>
    <w:rsid w:val="00951E4B"/>
    <w:rsid w:val="00952382"/>
    <w:rsid w:val="009553B1"/>
    <w:rsid w:val="0096051D"/>
    <w:rsid w:val="00963BBC"/>
    <w:rsid w:val="00965801"/>
    <w:rsid w:val="009658CA"/>
    <w:rsid w:val="00965930"/>
    <w:rsid w:val="00966A5B"/>
    <w:rsid w:val="00966F26"/>
    <w:rsid w:val="00966FA7"/>
    <w:rsid w:val="0096724B"/>
    <w:rsid w:val="00967B75"/>
    <w:rsid w:val="00967BB4"/>
    <w:rsid w:val="00972E81"/>
    <w:rsid w:val="00973FBB"/>
    <w:rsid w:val="00975C05"/>
    <w:rsid w:val="009765C0"/>
    <w:rsid w:val="00977045"/>
    <w:rsid w:val="009778E0"/>
    <w:rsid w:val="00980082"/>
    <w:rsid w:val="009806A1"/>
    <w:rsid w:val="0098087E"/>
    <w:rsid w:val="00980FB2"/>
    <w:rsid w:val="009813EC"/>
    <w:rsid w:val="00981E3A"/>
    <w:rsid w:val="00981E58"/>
    <w:rsid w:val="0098211F"/>
    <w:rsid w:val="009825AB"/>
    <w:rsid w:val="0098549C"/>
    <w:rsid w:val="009866CB"/>
    <w:rsid w:val="00986A69"/>
    <w:rsid w:val="00986A77"/>
    <w:rsid w:val="00986E92"/>
    <w:rsid w:val="009904D3"/>
    <w:rsid w:val="0099114F"/>
    <w:rsid w:val="00991F8E"/>
    <w:rsid w:val="00994AB5"/>
    <w:rsid w:val="00995B41"/>
    <w:rsid w:val="0099613A"/>
    <w:rsid w:val="0099660B"/>
    <w:rsid w:val="00996A8A"/>
    <w:rsid w:val="00996F24"/>
    <w:rsid w:val="009A06C4"/>
    <w:rsid w:val="009A0BD5"/>
    <w:rsid w:val="009A16DF"/>
    <w:rsid w:val="009A18DA"/>
    <w:rsid w:val="009A2EAB"/>
    <w:rsid w:val="009A34A4"/>
    <w:rsid w:val="009A36E4"/>
    <w:rsid w:val="009A440F"/>
    <w:rsid w:val="009A4EB7"/>
    <w:rsid w:val="009A54C8"/>
    <w:rsid w:val="009A565E"/>
    <w:rsid w:val="009A66F7"/>
    <w:rsid w:val="009A78D4"/>
    <w:rsid w:val="009B260C"/>
    <w:rsid w:val="009B2E19"/>
    <w:rsid w:val="009B410B"/>
    <w:rsid w:val="009B5DC3"/>
    <w:rsid w:val="009B5E6C"/>
    <w:rsid w:val="009B643F"/>
    <w:rsid w:val="009C0F51"/>
    <w:rsid w:val="009C1367"/>
    <w:rsid w:val="009C32CF"/>
    <w:rsid w:val="009C35A9"/>
    <w:rsid w:val="009C4567"/>
    <w:rsid w:val="009C556B"/>
    <w:rsid w:val="009C56A3"/>
    <w:rsid w:val="009C56C4"/>
    <w:rsid w:val="009C6051"/>
    <w:rsid w:val="009C60EE"/>
    <w:rsid w:val="009C664D"/>
    <w:rsid w:val="009C6E8E"/>
    <w:rsid w:val="009C74B8"/>
    <w:rsid w:val="009D117C"/>
    <w:rsid w:val="009D1771"/>
    <w:rsid w:val="009D2347"/>
    <w:rsid w:val="009D2BE7"/>
    <w:rsid w:val="009D2C91"/>
    <w:rsid w:val="009D31F8"/>
    <w:rsid w:val="009D4C06"/>
    <w:rsid w:val="009D5AD8"/>
    <w:rsid w:val="009D5C77"/>
    <w:rsid w:val="009D6B8A"/>
    <w:rsid w:val="009D7054"/>
    <w:rsid w:val="009D7141"/>
    <w:rsid w:val="009D7D58"/>
    <w:rsid w:val="009D7EB0"/>
    <w:rsid w:val="009E1C3D"/>
    <w:rsid w:val="009E21BD"/>
    <w:rsid w:val="009E2306"/>
    <w:rsid w:val="009E3AE0"/>
    <w:rsid w:val="009E4264"/>
    <w:rsid w:val="009E44F5"/>
    <w:rsid w:val="009E45C7"/>
    <w:rsid w:val="009E4E5A"/>
    <w:rsid w:val="009E5096"/>
    <w:rsid w:val="009E57DA"/>
    <w:rsid w:val="009E5D5C"/>
    <w:rsid w:val="009E5FCF"/>
    <w:rsid w:val="009E60B6"/>
    <w:rsid w:val="009E6AA8"/>
    <w:rsid w:val="009F025D"/>
    <w:rsid w:val="009F07DF"/>
    <w:rsid w:val="009F127D"/>
    <w:rsid w:val="009F1EBF"/>
    <w:rsid w:val="009F4B5C"/>
    <w:rsid w:val="009F55F9"/>
    <w:rsid w:val="009F67BD"/>
    <w:rsid w:val="009F7183"/>
    <w:rsid w:val="00A00CF4"/>
    <w:rsid w:val="00A01533"/>
    <w:rsid w:val="00A0163A"/>
    <w:rsid w:val="00A01714"/>
    <w:rsid w:val="00A0187B"/>
    <w:rsid w:val="00A01E1E"/>
    <w:rsid w:val="00A02DBC"/>
    <w:rsid w:val="00A02E92"/>
    <w:rsid w:val="00A035B2"/>
    <w:rsid w:val="00A03CFA"/>
    <w:rsid w:val="00A04B67"/>
    <w:rsid w:val="00A04CF5"/>
    <w:rsid w:val="00A069C2"/>
    <w:rsid w:val="00A07462"/>
    <w:rsid w:val="00A07EDA"/>
    <w:rsid w:val="00A10414"/>
    <w:rsid w:val="00A1126F"/>
    <w:rsid w:val="00A13E1D"/>
    <w:rsid w:val="00A15383"/>
    <w:rsid w:val="00A1694F"/>
    <w:rsid w:val="00A17BAC"/>
    <w:rsid w:val="00A20AB4"/>
    <w:rsid w:val="00A21B05"/>
    <w:rsid w:val="00A22483"/>
    <w:rsid w:val="00A24427"/>
    <w:rsid w:val="00A25310"/>
    <w:rsid w:val="00A25D75"/>
    <w:rsid w:val="00A2632B"/>
    <w:rsid w:val="00A31EDE"/>
    <w:rsid w:val="00A326EE"/>
    <w:rsid w:val="00A32B9E"/>
    <w:rsid w:val="00A33E9C"/>
    <w:rsid w:val="00A342E0"/>
    <w:rsid w:val="00A34F3A"/>
    <w:rsid w:val="00A35CD7"/>
    <w:rsid w:val="00A35F9B"/>
    <w:rsid w:val="00A3705B"/>
    <w:rsid w:val="00A400DC"/>
    <w:rsid w:val="00A411FF"/>
    <w:rsid w:val="00A41ADD"/>
    <w:rsid w:val="00A42C3A"/>
    <w:rsid w:val="00A42E8A"/>
    <w:rsid w:val="00A436A0"/>
    <w:rsid w:val="00A443D5"/>
    <w:rsid w:val="00A44542"/>
    <w:rsid w:val="00A44574"/>
    <w:rsid w:val="00A45B99"/>
    <w:rsid w:val="00A471E2"/>
    <w:rsid w:val="00A50387"/>
    <w:rsid w:val="00A505E0"/>
    <w:rsid w:val="00A51B6D"/>
    <w:rsid w:val="00A5297E"/>
    <w:rsid w:val="00A53E95"/>
    <w:rsid w:val="00A549C0"/>
    <w:rsid w:val="00A54F31"/>
    <w:rsid w:val="00A5559F"/>
    <w:rsid w:val="00A57078"/>
    <w:rsid w:val="00A57852"/>
    <w:rsid w:val="00A5795E"/>
    <w:rsid w:val="00A57E94"/>
    <w:rsid w:val="00A57ECD"/>
    <w:rsid w:val="00A61E25"/>
    <w:rsid w:val="00A647C6"/>
    <w:rsid w:val="00A6562E"/>
    <w:rsid w:val="00A65A12"/>
    <w:rsid w:val="00A67235"/>
    <w:rsid w:val="00A67C75"/>
    <w:rsid w:val="00A67C86"/>
    <w:rsid w:val="00A7097E"/>
    <w:rsid w:val="00A711AA"/>
    <w:rsid w:val="00A718DF"/>
    <w:rsid w:val="00A71AC5"/>
    <w:rsid w:val="00A71D9A"/>
    <w:rsid w:val="00A721FF"/>
    <w:rsid w:val="00A722E9"/>
    <w:rsid w:val="00A72A89"/>
    <w:rsid w:val="00A72BB5"/>
    <w:rsid w:val="00A730E4"/>
    <w:rsid w:val="00A73907"/>
    <w:rsid w:val="00A740C0"/>
    <w:rsid w:val="00A74461"/>
    <w:rsid w:val="00A74905"/>
    <w:rsid w:val="00A75111"/>
    <w:rsid w:val="00A80056"/>
    <w:rsid w:val="00A80C31"/>
    <w:rsid w:val="00A80E3D"/>
    <w:rsid w:val="00A81469"/>
    <w:rsid w:val="00A819D9"/>
    <w:rsid w:val="00A827CD"/>
    <w:rsid w:val="00A8282B"/>
    <w:rsid w:val="00A835B9"/>
    <w:rsid w:val="00A8389E"/>
    <w:rsid w:val="00A84635"/>
    <w:rsid w:val="00A849C7"/>
    <w:rsid w:val="00A856AB"/>
    <w:rsid w:val="00A870E7"/>
    <w:rsid w:val="00A8767D"/>
    <w:rsid w:val="00A919DC"/>
    <w:rsid w:val="00A92668"/>
    <w:rsid w:val="00A9276F"/>
    <w:rsid w:val="00A92F9A"/>
    <w:rsid w:val="00A92FDB"/>
    <w:rsid w:val="00A92FFD"/>
    <w:rsid w:val="00A946AC"/>
    <w:rsid w:val="00A949E7"/>
    <w:rsid w:val="00A95D25"/>
    <w:rsid w:val="00A9764D"/>
    <w:rsid w:val="00A97E89"/>
    <w:rsid w:val="00A97F0B"/>
    <w:rsid w:val="00AA06CB"/>
    <w:rsid w:val="00AA09FC"/>
    <w:rsid w:val="00AA1CBB"/>
    <w:rsid w:val="00AA272F"/>
    <w:rsid w:val="00AA3FD1"/>
    <w:rsid w:val="00AA4E6D"/>
    <w:rsid w:val="00AA5978"/>
    <w:rsid w:val="00AA637E"/>
    <w:rsid w:val="00AA700C"/>
    <w:rsid w:val="00AA75BE"/>
    <w:rsid w:val="00AB14EE"/>
    <w:rsid w:val="00AB1DA6"/>
    <w:rsid w:val="00AB2B0A"/>
    <w:rsid w:val="00AB30EA"/>
    <w:rsid w:val="00AB3971"/>
    <w:rsid w:val="00AB4741"/>
    <w:rsid w:val="00AB68AB"/>
    <w:rsid w:val="00AB74A8"/>
    <w:rsid w:val="00AC028C"/>
    <w:rsid w:val="00AC065A"/>
    <w:rsid w:val="00AC0B37"/>
    <w:rsid w:val="00AC2CAC"/>
    <w:rsid w:val="00AC32CB"/>
    <w:rsid w:val="00AC36EF"/>
    <w:rsid w:val="00AC4644"/>
    <w:rsid w:val="00AC4C9C"/>
    <w:rsid w:val="00AC5B0D"/>
    <w:rsid w:val="00AC5B1F"/>
    <w:rsid w:val="00AC5D8A"/>
    <w:rsid w:val="00AC65CD"/>
    <w:rsid w:val="00AD0816"/>
    <w:rsid w:val="00AD1152"/>
    <w:rsid w:val="00AD2BB4"/>
    <w:rsid w:val="00AD2E83"/>
    <w:rsid w:val="00AD3B2D"/>
    <w:rsid w:val="00AD5D37"/>
    <w:rsid w:val="00AD630E"/>
    <w:rsid w:val="00AD6D90"/>
    <w:rsid w:val="00AD7A4B"/>
    <w:rsid w:val="00AE0940"/>
    <w:rsid w:val="00AE0D69"/>
    <w:rsid w:val="00AE0D72"/>
    <w:rsid w:val="00AE3D3F"/>
    <w:rsid w:val="00AE4DB0"/>
    <w:rsid w:val="00AE72D0"/>
    <w:rsid w:val="00AF1665"/>
    <w:rsid w:val="00AF263E"/>
    <w:rsid w:val="00AF33A5"/>
    <w:rsid w:val="00AF38AF"/>
    <w:rsid w:val="00AF4185"/>
    <w:rsid w:val="00AF4733"/>
    <w:rsid w:val="00AF506F"/>
    <w:rsid w:val="00AF50EB"/>
    <w:rsid w:val="00AF7956"/>
    <w:rsid w:val="00B00526"/>
    <w:rsid w:val="00B02B91"/>
    <w:rsid w:val="00B030B9"/>
    <w:rsid w:val="00B03518"/>
    <w:rsid w:val="00B04B93"/>
    <w:rsid w:val="00B07359"/>
    <w:rsid w:val="00B07D6F"/>
    <w:rsid w:val="00B1051D"/>
    <w:rsid w:val="00B11006"/>
    <w:rsid w:val="00B12B10"/>
    <w:rsid w:val="00B13B4A"/>
    <w:rsid w:val="00B14087"/>
    <w:rsid w:val="00B14BEE"/>
    <w:rsid w:val="00B14CA4"/>
    <w:rsid w:val="00B154CB"/>
    <w:rsid w:val="00B162D6"/>
    <w:rsid w:val="00B16B48"/>
    <w:rsid w:val="00B16B8A"/>
    <w:rsid w:val="00B16EA4"/>
    <w:rsid w:val="00B216F1"/>
    <w:rsid w:val="00B223F4"/>
    <w:rsid w:val="00B22A8F"/>
    <w:rsid w:val="00B231A7"/>
    <w:rsid w:val="00B25229"/>
    <w:rsid w:val="00B26958"/>
    <w:rsid w:val="00B26D13"/>
    <w:rsid w:val="00B306AA"/>
    <w:rsid w:val="00B3544D"/>
    <w:rsid w:val="00B35D55"/>
    <w:rsid w:val="00B36EE4"/>
    <w:rsid w:val="00B37928"/>
    <w:rsid w:val="00B37FBF"/>
    <w:rsid w:val="00B40161"/>
    <w:rsid w:val="00B41198"/>
    <w:rsid w:val="00B424C1"/>
    <w:rsid w:val="00B42D08"/>
    <w:rsid w:val="00B42D0A"/>
    <w:rsid w:val="00B43EE5"/>
    <w:rsid w:val="00B44580"/>
    <w:rsid w:val="00B45F18"/>
    <w:rsid w:val="00B4695E"/>
    <w:rsid w:val="00B471EF"/>
    <w:rsid w:val="00B4787E"/>
    <w:rsid w:val="00B47EB0"/>
    <w:rsid w:val="00B5017B"/>
    <w:rsid w:val="00B5041B"/>
    <w:rsid w:val="00B50D16"/>
    <w:rsid w:val="00B517F3"/>
    <w:rsid w:val="00B51CD5"/>
    <w:rsid w:val="00B530E8"/>
    <w:rsid w:val="00B5410B"/>
    <w:rsid w:val="00B54553"/>
    <w:rsid w:val="00B54E69"/>
    <w:rsid w:val="00B55060"/>
    <w:rsid w:val="00B56398"/>
    <w:rsid w:val="00B56642"/>
    <w:rsid w:val="00B62776"/>
    <w:rsid w:val="00B62F1E"/>
    <w:rsid w:val="00B63A94"/>
    <w:rsid w:val="00B649BB"/>
    <w:rsid w:val="00B65CB7"/>
    <w:rsid w:val="00B65D2E"/>
    <w:rsid w:val="00B65D4F"/>
    <w:rsid w:val="00B66784"/>
    <w:rsid w:val="00B67270"/>
    <w:rsid w:val="00B717BA"/>
    <w:rsid w:val="00B726A6"/>
    <w:rsid w:val="00B738E5"/>
    <w:rsid w:val="00B73C6E"/>
    <w:rsid w:val="00B748D3"/>
    <w:rsid w:val="00B74A26"/>
    <w:rsid w:val="00B76C14"/>
    <w:rsid w:val="00B77F3F"/>
    <w:rsid w:val="00B805F9"/>
    <w:rsid w:val="00B80E5B"/>
    <w:rsid w:val="00B81638"/>
    <w:rsid w:val="00B81F89"/>
    <w:rsid w:val="00B81FB7"/>
    <w:rsid w:val="00B8275F"/>
    <w:rsid w:val="00B832CB"/>
    <w:rsid w:val="00B83902"/>
    <w:rsid w:val="00B839CF"/>
    <w:rsid w:val="00B842AC"/>
    <w:rsid w:val="00B870FE"/>
    <w:rsid w:val="00B87710"/>
    <w:rsid w:val="00B91B03"/>
    <w:rsid w:val="00B931DB"/>
    <w:rsid w:val="00B93ABD"/>
    <w:rsid w:val="00B95438"/>
    <w:rsid w:val="00B96BEA"/>
    <w:rsid w:val="00B96E0F"/>
    <w:rsid w:val="00BA04EC"/>
    <w:rsid w:val="00BA0F77"/>
    <w:rsid w:val="00BA1664"/>
    <w:rsid w:val="00BA1B4D"/>
    <w:rsid w:val="00BA22D0"/>
    <w:rsid w:val="00BA58C4"/>
    <w:rsid w:val="00BA6C6B"/>
    <w:rsid w:val="00BA6D4C"/>
    <w:rsid w:val="00BA7693"/>
    <w:rsid w:val="00BA7734"/>
    <w:rsid w:val="00BA7B2C"/>
    <w:rsid w:val="00BA7C5F"/>
    <w:rsid w:val="00BB0225"/>
    <w:rsid w:val="00BB0F40"/>
    <w:rsid w:val="00BB11A2"/>
    <w:rsid w:val="00BB12CF"/>
    <w:rsid w:val="00BB148D"/>
    <w:rsid w:val="00BB25F8"/>
    <w:rsid w:val="00BB2C86"/>
    <w:rsid w:val="00BB3349"/>
    <w:rsid w:val="00BB3539"/>
    <w:rsid w:val="00BB36D3"/>
    <w:rsid w:val="00BB39FD"/>
    <w:rsid w:val="00BB3E82"/>
    <w:rsid w:val="00BB4BDA"/>
    <w:rsid w:val="00BB4F41"/>
    <w:rsid w:val="00BB5E46"/>
    <w:rsid w:val="00BB601E"/>
    <w:rsid w:val="00BB6298"/>
    <w:rsid w:val="00BB6E0E"/>
    <w:rsid w:val="00BB7018"/>
    <w:rsid w:val="00BC010A"/>
    <w:rsid w:val="00BC10CC"/>
    <w:rsid w:val="00BC18F8"/>
    <w:rsid w:val="00BC1F6F"/>
    <w:rsid w:val="00BC302F"/>
    <w:rsid w:val="00BC3F59"/>
    <w:rsid w:val="00BC736D"/>
    <w:rsid w:val="00BD02A1"/>
    <w:rsid w:val="00BD0588"/>
    <w:rsid w:val="00BD13CA"/>
    <w:rsid w:val="00BD2616"/>
    <w:rsid w:val="00BD38AF"/>
    <w:rsid w:val="00BD4539"/>
    <w:rsid w:val="00BD4BF7"/>
    <w:rsid w:val="00BD67A8"/>
    <w:rsid w:val="00BD6981"/>
    <w:rsid w:val="00BD71DE"/>
    <w:rsid w:val="00BE113B"/>
    <w:rsid w:val="00BE27A7"/>
    <w:rsid w:val="00BE2A5B"/>
    <w:rsid w:val="00BE583A"/>
    <w:rsid w:val="00BE5902"/>
    <w:rsid w:val="00BE7CC3"/>
    <w:rsid w:val="00BF03F1"/>
    <w:rsid w:val="00BF0D59"/>
    <w:rsid w:val="00BF10A2"/>
    <w:rsid w:val="00BF10F7"/>
    <w:rsid w:val="00BF26F9"/>
    <w:rsid w:val="00BF2991"/>
    <w:rsid w:val="00BF3415"/>
    <w:rsid w:val="00BF35EB"/>
    <w:rsid w:val="00BF47DA"/>
    <w:rsid w:val="00BF4DB3"/>
    <w:rsid w:val="00BF651C"/>
    <w:rsid w:val="00C00223"/>
    <w:rsid w:val="00C00E41"/>
    <w:rsid w:val="00C02E9B"/>
    <w:rsid w:val="00C038A0"/>
    <w:rsid w:val="00C060FD"/>
    <w:rsid w:val="00C06459"/>
    <w:rsid w:val="00C06A75"/>
    <w:rsid w:val="00C06B25"/>
    <w:rsid w:val="00C07A9D"/>
    <w:rsid w:val="00C1088C"/>
    <w:rsid w:val="00C111CA"/>
    <w:rsid w:val="00C11CEA"/>
    <w:rsid w:val="00C12115"/>
    <w:rsid w:val="00C12152"/>
    <w:rsid w:val="00C12421"/>
    <w:rsid w:val="00C12735"/>
    <w:rsid w:val="00C1436D"/>
    <w:rsid w:val="00C15921"/>
    <w:rsid w:val="00C15DF0"/>
    <w:rsid w:val="00C16C6B"/>
    <w:rsid w:val="00C17C3E"/>
    <w:rsid w:val="00C17D7B"/>
    <w:rsid w:val="00C17DFA"/>
    <w:rsid w:val="00C2057A"/>
    <w:rsid w:val="00C21009"/>
    <w:rsid w:val="00C213B1"/>
    <w:rsid w:val="00C21C9D"/>
    <w:rsid w:val="00C22C2E"/>
    <w:rsid w:val="00C23635"/>
    <w:rsid w:val="00C24AC0"/>
    <w:rsid w:val="00C24B11"/>
    <w:rsid w:val="00C24E23"/>
    <w:rsid w:val="00C25A46"/>
    <w:rsid w:val="00C30F67"/>
    <w:rsid w:val="00C32899"/>
    <w:rsid w:val="00C32D47"/>
    <w:rsid w:val="00C3326F"/>
    <w:rsid w:val="00C336DC"/>
    <w:rsid w:val="00C33B11"/>
    <w:rsid w:val="00C354FB"/>
    <w:rsid w:val="00C356D3"/>
    <w:rsid w:val="00C36B77"/>
    <w:rsid w:val="00C3739A"/>
    <w:rsid w:val="00C408A6"/>
    <w:rsid w:val="00C409E7"/>
    <w:rsid w:val="00C4275A"/>
    <w:rsid w:val="00C42E28"/>
    <w:rsid w:val="00C43871"/>
    <w:rsid w:val="00C44889"/>
    <w:rsid w:val="00C460C4"/>
    <w:rsid w:val="00C4671E"/>
    <w:rsid w:val="00C46B68"/>
    <w:rsid w:val="00C46E79"/>
    <w:rsid w:val="00C47DD2"/>
    <w:rsid w:val="00C518D0"/>
    <w:rsid w:val="00C51C6D"/>
    <w:rsid w:val="00C52A41"/>
    <w:rsid w:val="00C5439E"/>
    <w:rsid w:val="00C554F2"/>
    <w:rsid w:val="00C5665C"/>
    <w:rsid w:val="00C56B84"/>
    <w:rsid w:val="00C57DD9"/>
    <w:rsid w:val="00C60164"/>
    <w:rsid w:val="00C605CA"/>
    <w:rsid w:val="00C612DD"/>
    <w:rsid w:val="00C612DE"/>
    <w:rsid w:val="00C613FE"/>
    <w:rsid w:val="00C6196D"/>
    <w:rsid w:val="00C61ACB"/>
    <w:rsid w:val="00C61AED"/>
    <w:rsid w:val="00C624FF"/>
    <w:rsid w:val="00C6545A"/>
    <w:rsid w:val="00C65805"/>
    <w:rsid w:val="00C662B7"/>
    <w:rsid w:val="00C66AE3"/>
    <w:rsid w:val="00C66D5F"/>
    <w:rsid w:val="00C677F8"/>
    <w:rsid w:val="00C67804"/>
    <w:rsid w:val="00C70818"/>
    <w:rsid w:val="00C70C2D"/>
    <w:rsid w:val="00C70D60"/>
    <w:rsid w:val="00C7102A"/>
    <w:rsid w:val="00C71710"/>
    <w:rsid w:val="00C73853"/>
    <w:rsid w:val="00C74E19"/>
    <w:rsid w:val="00C757FC"/>
    <w:rsid w:val="00C75F80"/>
    <w:rsid w:val="00C77008"/>
    <w:rsid w:val="00C7775D"/>
    <w:rsid w:val="00C77D94"/>
    <w:rsid w:val="00C80FA6"/>
    <w:rsid w:val="00C8220B"/>
    <w:rsid w:val="00C82EB4"/>
    <w:rsid w:val="00C83C51"/>
    <w:rsid w:val="00C84EA4"/>
    <w:rsid w:val="00C87642"/>
    <w:rsid w:val="00C90341"/>
    <w:rsid w:val="00C9121C"/>
    <w:rsid w:val="00C91CDE"/>
    <w:rsid w:val="00C922CA"/>
    <w:rsid w:val="00C94B10"/>
    <w:rsid w:val="00C94E3E"/>
    <w:rsid w:val="00C95168"/>
    <w:rsid w:val="00C956EB"/>
    <w:rsid w:val="00C972E7"/>
    <w:rsid w:val="00C9749B"/>
    <w:rsid w:val="00CA0036"/>
    <w:rsid w:val="00CA040F"/>
    <w:rsid w:val="00CA1245"/>
    <w:rsid w:val="00CA1686"/>
    <w:rsid w:val="00CA29C4"/>
    <w:rsid w:val="00CA685A"/>
    <w:rsid w:val="00CA79D9"/>
    <w:rsid w:val="00CA7E8A"/>
    <w:rsid w:val="00CB0EB8"/>
    <w:rsid w:val="00CB1C9D"/>
    <w:rsid w:val="00CB1DF7"/>
    <w:rsid w:val="00CB2DC4"/>
    <w:rsid w:val="00CB3AC6"/>
    <w:rsid w:val="00CB43CA"/>
    <w:rsid w:val="00CB5F7C"/>
    <w:rsid w:val="00CB77EF"/>
    <w:rsid w:val="00CC04A6"/>
    <w:rsid w:val="00CC1363"/>
    <w:rsid w:val="00CC1761"/>
    <w:rsid w:val="00CC3609"/>
    <w:rsid w:val="00CC3869"/>
    <w:rsid w:val="00CC4019"/>
    <w:rsid w:val="00CC5AC8"/>
    <w:rsid w:val="00CC5B69"/>
    <w:rsid w:val="00CC67DD"/>
    <w:rsid w:val="00CD2066"/>
    <w:rsid w:val="00CD259C"/>
    <w:rsid w:val="00CD2CC0"/>
    <w:rsid w:val="00CD32BF"/>
    <w:rsid w:val="00CD5514"/>
    <w:rsid w:val="00CD577F"/>
    <w:rsid w:val="00CD5F03"/>
    <w:rsid w:val="00CD726F"/>
    <w:rsid w:val="00CD7AC3"/>
    <w:rsid w:val="00CD7EBE"/>
    <w:rsid w:val="00CE0FC4"/>
    <w:rsid w:val="00CE1042"/>
    <w:rsid w:val="00CE1483"/>
    <w:rsid w:val="00CE1826"/>
    <w:rsid w:val="00CE2BF7"/>
    <w:rsid w:val="00CE3030"/>
    <w:rsid w:val="00CE381B"/>
    <w:rsid w:val="00CE4905"/>
    <w:rsid w:val="00CE4CB3"/>
    <w:rsid w:val="00CE50AF"/>
    <w:rsid w:val="00CE58D8"/>
    <w:rsid w:val="00CE6EEE"/>
    <w:rsid w:val="00CE7DC0"/>
    <w:rsid w:val="00CF0062"/>
    <w:rsid w:val="00CF035A"/>
    <w:rsid w:val="00CF0464"/>
    <w:rsid w:val="00CF23BE"/>
    <w:rsid w:val="00CF2FA3"/>
    <w:rsid w:val="00CF3136"/>
    <w:rsid w:val="00CF3B72"/>
    <w:rsid w:val="00CF423C"/>
    <w:rsid w:val="00CF439C"/>
    <w:rsid w:val="00CF545D"/>
    <w:rsid w:val="00CF56F9"/>
    <w:rsid w:val="00CF6328"/>
    <w:rsid w:val="00CF6AE1"/>
    <w:rsid w:val="00CF6DA8"/>
    <w:rsid w:val="00CF6DE6"/>
    <w:rsid w:val="00CF7E9A"/>
    <w:rsid w:val="00CF7F8E"/>
    <w:rsid w:val="00D031CD"/>
    <w:rsid w:val="00D03A46"/>
    <w:rsid w:val="00D047A7"/>
    <w:rsid w:val="00D04A70"/>
    <w:rsid w:val="00D05586"/>
    <w:rsid w:val="00D05826"/>
    <w:rsid w:val="00D05E49"/>
    <w:rsid w:val="00D060B2"/>
    <w:rsid w:val="00D110E8"/>
    <w:rsid w:val="00D11C75"/>
    <w:rsid w:val="00D11E67"/>
    <w:rsid w:val="00D122C2"/>
    <w:rsid w:val="00D12966"/>
    <w:rsid w:val="00D129AB"/>
    <w:rsid w:val="00D13230"/>
    <w:rsid w:val="00D14B06"/>
    <w:rsid w:val="00D16287"/>
    <w:rsid w:val="00D16849"/>
    <w:rsid w:val="00D1751E"/>
    <w:rsid w:val="00D212AF"/>
    <w:rsid w:val="00D22FAF"/>
    <w:rsid w:val="00D23566"/>
    <w:rsid w:val="00D23EC8"/>
    <w:rsid w:val="00D2433B"/>
    <w:rsid w:val="00D250E5"/>
    <w:rsid w:val="00D263F9"/>
    <w:rsid w:val="00D26BA6"/>
    <w:rsid w:val="00D27ECE"/>
    <w:rsid w:val="00D30B29"/>
    <w:rsid w:val="00D31F73"/>
    <w:rsid w:val="00D33D83"/>
    <w:rsid w:val="00D33F77"/>
    <w:rsid w:val="00D37062"/>
    <w:rsid w:val="00D37CA2"/>
    <w:rsid w:val="00D40122"/>
    <w:rsid w:val="00D4131A"/>
    <w:rsid w:val="00D43EF6"/>
    <w:rsid w:val="00D44C23"/>
    <w:rsid w:val="00D44D32"/>
    <w:rsid w:val="00D45A60"/>
    <w:rsid w:val="00D45B77"/>
    <w:rsid w:val="00D46421"/>
    <w:rsid w:val="00D467BC"/>
    <w:rsid w:val="00D46A75"/>
    <w:rsid w:val="00D46E57"/>
    <w:rsid w:val="00D4736C"/>
    <w:rsid w:val="00D47417"/>
    <w:rsid w:val="00D47DBD"/>
    <w:rsid w:val="00D50B74"/>
    <w:rsid w:val="00D51E1C"/>
    <w:rsid w:val="00D528BA"/>
    <w:rsid w:val="00D53523"/>
    <w:rsid w:val="00D53FAC"/>
    <w:rsid w:val="00D54309"/>
    <w:rsid w:val="00D544A9"/>
    <w:rsid w:val="00D55C42"/>
    <w:rsid w:val="00D577D2"/>
    <w:rsid w:val="00D629BF"/>
    <w:rsid w:val="00D63127"/>
    <w:rsid w:val="00D6341D"/>
    <w:rsid w:val="00D643D0"/>
    <w:rsid w:val="00D6544B"/>
    <w:rsid w:val="00D66721"/>
    <w:rsid w:val="00D66ADA"/>
    <w:rsid w:val="00D66B5C"/>
    <w:rsid w:val="00D671BD"/>
    <w:rsid w:val="00D674BE"/>
    <w:rsid w:val="00D700AD"/>
    <w:rsid w:val="00D7039A"/>
    <w:rsid w:val="00D708B1"/>
    <w:rsid w:val="00D715F6"/>
    <w:rsid w:val="00D7187B"/>
    <w:rsid w:val="00D72C6E"/>
    <w:rsid w:val="00D735BD"/>
    <w:rsid w:val="00D73A1C"/>
    <w:rsid w:val="00D73D44"/>
    <w:rsid w:val="00D73EC6"/>
    <w:rsid w:val="00D75C31"/>
    <w:rsid w:val="00D762A8"/>
    <w:rsid w:val="00D76CCE"/>
    <w:rsid w:val="00D77DFE"/>
    <w:rsid w:val="00D8132D"/>
    <w:rsid w:val="00D815A3"/>
    <w:rsid w:val="00D82ED3"/>
    <w:rsid w:val="00D8363D"/>
    <w:rsid w:val="00D85049"/>
    <w:rsid w:val="00D8550D"/>
    <w:rsid w:val="00D861A7"/>
    <w:rsid w:val="00D86BDF"/>
    <w:rsid w:val="00D87103"/>
    <w:rsid w:val="00D908AD"/>
    <w:rsid w:val="00D9155C"/>
    <w:rsid w:val="00D91C0B"/>
    <w:rsid w:val="00D94983"/>
    <w:rsid w:val="00D95275"/>
    <w:rsid w:val="00D95866"/>
    <w:rsid w:val="00D96206"/>
    <w:rsid w:val="00D9666A"/>
    <w:rsid w:val="00D96ADC"/>
    <w:rsid w:val="00DA0F94"/>
    <w:rsid w:val="00DA13D1"/>
    <w:rsid w:val="00DA1713"/>
    <w:rsid w:val="00DA1A07"/>
    <w:rsid w:val="00DA1B9B"/>
    <w:rsid w:val="00DA2F03"/>
    <w:rsid w:val="00DA31DB"/>
    <w:rsid w:val="00DA3685"/>
    <w:rsid w:val="00DA3C78"/>
    <w:rsid w:val="00DA3D83"/>
    <w:rsid w:val="00DA4D83"/>
    <w:rsid w:val="00DA5129"/>
    <w:rsid w:val="00DA548F"/>
    <w:rsid w:val="00DA5DDE"/>
    <w:rsid w:val="00DA5F01"/>
    <w:rsid w:val="00DA5F93"/>
    <w:rsid w:val="00DA6746"/>
    <w:rsid w:val="00DA78D0"/>
    <w:rsid w:val="00DB0510"/>
    <w:rsid w:val="00DB0922"/>
    <w:rsid w:val="00DB1F72"/>
    <w:rsid w:val="00DB2A0C"/>
    <w:rsid w:val="00DB507E"/>
    <w:rsid w:val="00DB5808"/>
    <w:rsid w:val="00DB58E4"/>
    <w:rsid w:val="00DB6002"/>
    <w:rsid w:val="00DB60B3"/>
    <w:rsid w:val="00DB66C3"/>
    <w:rsid w:val="00DB7AE7"/>
    <w:rsid w:val="00DC122E"/>
    <w:rsid w:val="00DC4BB2"/>
    <w:rsid w:val="00DC5EF8"/>
    <w:rsid w:val="00DC6F92"/>
    <w:rsid w:val="00DD1A3D"/>
    <w:rsid w:val="00DD25F6"/>
    <w:rsid w:val="00DD3DDE"/>
    <w:rsid w:val="00DD4008"/>
    <w:rsid w:val="00DD4320"/>
    <w:rsid w:val="00DD48AB"/>
    <w:rsid w:val="00DD4E14"/>
    <w:rsid w:val="00DD5E55"/>
    <w:rsid w:val="00DD6AD3"/>
    <w:rsid w:val="00DE2182"/>
    <w:rsid w:val="00DE3AD3"/>
    <w:rsid w:val="00DE4353"/>
    <w:rsid w:val="00DE49A3"/>
    <w:rsid w:val="00DE596A"/>
    <w:rsid w:val="00DE5BB1"/>
    <w:rsid w:val="00DE5E4B"/>
    <w:rsid w:val="00DE6122"/>
    <w:rsid w:val="00DE6731"/>
    <w:rsid w:val="00DE705A"/>
    <w:rsid w:val="00DE70CF"/>
    <w:rsid w:val="00DF07F7"/>
    <w:rsid w:val="00DF214C"/>
    <w:rsid w:val="00DF2F07"/>
    <w:rsid w:val="00DF3596"/>
    <w:rsid w:val="00DF3631"/>
    <w:rsid w:val="00DF491D"/>
    <w:rsid w:val="00DF661F"/>
    <w:rsid w:val="00DF68DA"/>
    <w:rsid w:val="00DF7415"/>
    <w:rsid w:val="00DF7FF0"/>
    <w:rsid w:val="00E00641"/>
    <w:rsid w:val="00E015F4"/>
    <w:rsid w:val="00E018F3"/>
    <w:rsid w:val="00E01B60"/>
    <w:rsid w:val="00E02139"/>
    <w:rsid w:val="00E02185"/>
    <w:rsid w:val="00E030E0"/>
    <w:rsid w:val="00E03AA2"/>
    <w:rsid w:val="00E040A4"/>
    <w:rsid w:val="00E041DE"/>
    <w:rsid w:val="00E0468B"/>
    <w:rsid w:val="00E04A05"/>
    <w:rsid w:val="00E057F4"/>
    <w:rsid w:val="00E0600E"/>
    <w:rsid w:val="00E06FCA"/>
    <w:rsid w:val="00E07345"/>
    <w:rsid w:val="00E074A9"/>
    <w:rsid w:val="00E07F0A"/>
    <w:rsid w:val="00E119E1"/>
    <w:rsid w:val="00E128BE"/>
    <w:rsid w:val="00E12F57"/>
    <w:rsid w:val="00E13B98"/>
    <w:rsid w:val="00E147DB"/>
    <w:rsid w:val="00E15CA9"/>
    <w:rsid w:val="00E15E98"/>
    <w:rsid w:val="00E17724"/>
    <w:rsid w:val="00E17DB0"/>
    <w:rsid w:val="00E2017C"/>
    <w:rsid w:val="00E201C7"/>
    <w:rsid w:val="00E20703"/>
    <w:rsid w:val="00E21408"/>
    <w:rsid w:val="00E22808"/>
    <w:rsid w:val="00E23C91"/>
    <w:rsid w:val="00E27002"/>
    <w:rsid w:val="00E27175"/>
    <w:rsid w:val="00E273C1"/>
    <w:rsid w:val="00E2765E"/>
    <w:rsid w:val="00E277C6"/>
    <w:rsid w:val="00E316B7"/>
    <w:rsid w:val="00E31ABE"/>
    <w:rsid w:val="00E32272"/>
    <w:rsid w:val="00E34451"/>
    <w:rsid w:val="00E35191"/>
    <w:rsid w:val="00E36770"/>
    <w:rsid w:val="00E37449"/>
    <w:rsid w:val="00E4001C"/>
    <w:rsid w:val="00E40750"/>
    <w:rsid w:val="00E40E59"/>
    <w:rsid w:val="00E4199E"/>
    <w:rsid w:val="00E41AC6"/>
    <w:rsid w:val="00E42430"/>
    <w:rsid w:val="00E429A6"/>
    <w:rsid w:val="00E42EAB"/>
    <w:rsid w:val="00E431E4"/>
    <w:rsid w:val="00E44B3A"/>
    <w:rsid w:val="00E44DF0"/>
    <w:rsid w:val="00E451B1"/>
    <w:rsid w:val="00E45581"/>
    <w:rsid w:val="00E4603A"/>
    <w:rsid w:val="00E46867"/>
    <w:rsid w:val="00E46DD4"/>
    <w:rsid w:val="00E50733"/>
    <w:rsid w:val="00E5115D"/>
    <w:rsid w:val="00E5134F"/>
    <w:rsid w:val="00E5188E"/>
    <w:rsid w:val="00E51947"/>
    <w:rsid w:val="00E52DC5"/>
    <w:rsid w:val="00E53A57"/>
    <w:rsid w:val="00E541FB"/>
    <w:rsid w:val="00E54869"/>
    <w:rsid w:val="00E54CBF"/>
    <w:rsid w:val="00E563AB"/>
    <w:rsid w:val="00E5661C"/>
    <w:rsid w:val="00E56CA9"/>
    <w:rsid w:val="00E56CB7"/>
    <w:rsid w:val="00E5736B"/>
    <w:rsid w:val="00E57654"/>
    <w:rsid w:val="00E57D79"/>
    <w:rsid w:val="00E57D99"/>
    <w:rsid w:val="00E60DC9"/>
    <w:rsid w:val="00E61CF3"/>
    <w:rsid w:val="00E61D74"/>
    <w:rsid w:val="00E6290C"/>
    <w:rsid w:val="00E62C66"/>
    <w:rsid w:val="00E6303D"/>
    <w:rsid w:val="00E63856"/>
    <w:rsid w:val="00E65390"/>
    <w:rsid w:val="00E65E33"/>
    <w:rsid w:val="00E66AE7"/>
    <w:rsid w:val="00E67098"/>
    <w:rsid w:val="00E673E1"/>
    <w:rsid w:val="00E70029"/>
    <w:rsid w:val="00E71C49"/>
    <w:rsid w:val="00E71CC1"/>
    <w:rsid w:val="00E71F97"/>
    <w:rsid w:val="00E72391"/>
    <w:rsid w:val="00E72F47"/>
    <w:rsid w:val="00E75871"/>
    <w:rsid w:val="00E75991"/>
    <w:rsid w:val="00E76014"/>
    <w:rsid w:val="00E77557"/>
    <w:rsid w:val="00E77C40"/>
    <w:rsid w:val="00E77FE7"/>
    <w:rsid w:val="00E80E04"/>
    <w:rsid w:val="00E81BA8"/>
    <w:rsid w:val="00E826B9"/>
    <w:rsid w:val="00E82719"/>
    <w:rsid w:val="00E83033"/>
    <w:rsid w:val="00E830F5"/>
    <w:rsid w:val="00E847A5"/>
    <w:rsid w:val="00E86286"/>
    <w:rsid w:val="00E86A33"/>
    <w:rsid w:val="00E87521"/>
    <w:rsid w:val="00E9016E"/>
    <w:rsid w:val="00E90630"/>
    <w:rsid w:val="00E92786"/>
    <w:rsid w:val="00E940D6"/>
    <w:rsid w:val="00E94423"/>
    <w:rsid w:val="00E95DFC"/>
    <w:rsid w:val="00E962A6"/>
    <w:rsid w:val="00EA06D1"/>
    <w:rsid w:val="00EA1AB3"/>
    <w:rsid w:val="00EA214B"/>
    <w:rsid w:val="00EA2811"/>
    <w:rsid w:val="00EA33E8"/>
    <w:rsid w:val="00EA4F01"/>
    <w:rsid w:val="00EA5977"/>
    <w:rsid w:val="00EA64BD"/>
    <w:rsid w:val="00EA7114"/>
    <w:rsid w:val="00EA7B8A"/>
    <w:rsid w:val="00EA7FDF"/>
    <w:rsid w:val="00EB023F"/>
    <w:rsid w:val="00EB0883"/>
    <w:rsid w:val="00EB0BBA"/>
    <w:rsid w:val="00EB135E"/>
    <w:rsid w:val="00EB23AA"/>
    <w:rsid w:val="00EB2F0E"/>
    <w:rsid w:val="00EB302C"/>
    <w:rsid w:val="00EB3C1D"/>
    <w:rsid w:val="00EB4FC4"/>
    <w:rsid w:val="00EC130C"/>
    <w:rsid w:val="00EC21B9"/>
    <w:rsid w:val="00EC23DB"/>
    <w:rsid w:val="00EC346A"/>
    <w:rsid w:val="00EC38A7"/>
    <w:rsid w:val="00EC472B"/>
    <w:rsid w:val="00EC4995"/>
    <w:rsid w:val="00EC646D"/>
    <w:rsid w:val="00EC7703"/>
    <w:rsid w:val="00EC79ED"/>
    <w:rsid w:val="00EC7AD0"/>
    <w:rsid w:val="00ED1C35"/>
    <w:rsid w:val="00ED206A"/>
    <w:rsid w:val="00ED34AA"/>
    <w:rsid w:val="00ED4AC5"/>
    <w:rsid w:val="00ED4B11"/>
    <w:rsid w:val="00ED5100"/>
    <w:rsid w:val="00ED52F1"/>
    <w:rsid w:val="00ED57E2"/>
    <w:rsid w:val="00ED5AB7"/>
    <w:rsid w:val="00ED6614"/>
    <w:rsid w:val="00EE0983"/>
    <w:rsid w:val="00EE0BC1"/>
    <w:rsid w:val="00EE16B0"/>
    <w:rsid w:val="00EE1CFC"/>
    <w:rsid w:val="00EE2A02"/>
    <w:rsid w:val="00EE46FD"/>
    <w:rsid w:val="00EE55D2"/>
    <w:rsid w:val="00EE59EB"/>
    <w:rsid w:val="00EE5A0A"/>
    <w:rsid w:val="00EE6425"/>
    <w:rsid w:val="00EE65C4"/>
    <w:rsid w:val="00EE72AB"/>
    <w:rsid w:val="00EE7677"/>
    <w:rsid w:val="00EE7E0E"/>
    <w:rsid w:val="00EF09B6"/>
    <w:rsid w:val="00EF2FDE"/>
    <w:rsid w:val="00EF5637"/>
    <w:rsid w:val="00EF6583"/>
    <w:rsid w:val="00EF6991"/>
    <w:rsid w:val="00EF6D4A"/>
    <w:rsid w:val="00EF7D1A"/>
    <w:rsid w:val="00F00731"/>
    <w:rsid w:val="00F01324"/>
    <w:rsid w:val="00F0207D"/>
    <w:rsid w:val="00F027DA"/>
    <w:rsid w:val="00F04C7D"/>
    <w:rsid w:val="00F0626C"/>
    <w:rsid w:val="00F06916"/>
    <w:rsid w:val="00F0774D"/>
    <w:rsid w:val="00F10080"/>
    <w:rsid w:val="00F101E0"/>
    <w:rsid w:val="00F10291"/>
    <w:rsid w:val="00F103B8"/>
    <w:rsid w:val="00F10498"/>
    <w:rsid w:val="00F10836"/>
    <w:rsid w:val="00F10A8C"/>
    <w:rsid w:val="00F11638"/>
    <w:rsid w:val="00F11726"/>
    <w:rsid w:val="00F136C0"/>
    <w:rsid w:val="00F13C35"/>
    <w:rsid w:val="00F147B3"/>
    <w:rsid w:val="00F21923"/>
    <w:rsid w:val="00F21E53"/>
    <w:rsid w:val="00F22740"/>
    <w:rsid w:val="00F228B8"/>
    <w:rsid w:val="00F22FD9"/>
    <w:rsid w:val="00F237DA"/>
    <w:rsid w:val="00F243BC"/>
    <w:rsid w:val="00F25D19"/>
    <w:rsid w:val="00F27FA6"/>
    <w:rsid w:val="00F31655"/>
    <w:rsid w:val="00F3281D"/>
    <w:rsid w:val="00F33047"/>
    <w:rsid w:val="00F33560"/>
    <w:rsid w:val="00F359E5"/>
    <w:rsid w:val="00F37CDD"/>
    <w:rsid w:val="00F37FAE"/>
    <w:rsid w:val="00F40478"/>
    <w:rsid w:val="00F406DA"/>
    <w:rsid w:val="00F40827"/>
    <w:rsid w:val="00F40A9A"/>
    <w:rsid w:val="00F40F3F"/>
    <w:rsid w:val="00F41A0A"/>
    <w:rsid w:val="00F41C71"/>
    <w:rsid w:val="00F4212F"/>
    <w:rsid w:val="00F42498"/>
    <w:rsid w:val="00F43754"/>
    <w:rsid w:val="00F44337"/>
    <w:rsid w:val="00F44929"/>
    <w:rsid w:val="00F457E6"/>
    <w:rsid w:val="00F46470"/>
    <w:rsid w:val="00F464CD"/>
    <w:rsid w:val="00F46AAC"/>
    <w:rsid w:val="00F46C32"/>
    <w:rsid w:val="00F4748C"/>
    <w:rsid w:val="00F475E2"/>
    <w:rsid w:val="00F4782F"/>
    <w:rsid w:val="00F506F4"/>
    <w:rsid w:val="00F50A54"/>
    <w:rsid w:val="00F50CC7"/>
    <w:rsid w:val="00F5193C"/>
    <w:rsid w:val="00F51FCE"/>
    <w:rsid w:val="00F52A8D"/>
    <w:rsid w:val="00F5394A"/>
    <w:rsid w:val="00F55EFF"/>
    <w:rsid w:val="00F5606C"/>
    <w:rsid w:val="00F5623A"/>
    <w:rsid w:val="00F56F69"/>
    <w:rsid w:val="00F579D7"/>
    <w:rsid w:val="00F60173"/>
    <w:rsid w:val="00F61035"/>
    <w:rsid w:val="00F620DB"/>
    <w:rsid w:val="00F62970"/>
    <w:rsid w:val="00F63C94"/>
    <w:rsid w:val="00F645D4"/>
    <w:rsid w:val="00F65242"/>
    <w:rsid w:val="00F7039B"/>
    <w:rsid w:val="00F711AB"/>
    <w:rsid w:val="00F71DDE"/>
    <w:rsid w:val="00F71E28"/>
    <w:rsid w:val="00F72354"/>
    <w:rsid w:val="00F725EA"/>
    <w:rsid w:val="00F72D47"/>
    <w:rsid w:val="00F7334F"/>
    <w:rsid w:val="00F73BDB"/>
    <w:rsid w:val="00F741B8"/>
    <w:rsid w:val="00F74D70"/>
    <w:rsid w:val="00F758E1"/>
    <w:rsid w:val="00F76079"/>
    <w:rsid w:val="00F7777B"/>
    <w:rsid w:val="00F800D4"/>
    <w:rsid w:val="00F811A7"/>
    <w:rsid w:val="00F81921"/>
    <w:rsid w:val="00F81F57"/>
    <w:rsid w:val="00F826C0"/>
    <w:rsid w:val="00F82CE9"/>
    <w:rsid w:val="00F8387E"/>
    <w:rsid w:val="00F83A9A"/>
    <w:rsid w:val="00F84048"/>
    <w:rsid w:val="00F8654F"/>
    <w:rsid w:val="00F86BDD"/>
    <w:rsid w:val="00F9042A"/>
    <w:rsid w:val="00F919ED"/>
    <w:rsid w:val="00F926E3"/>
    <w:rsid w:val="00F92AA7"/>
    <w:rsid w:val="00F92E55"/>
    <w:rsid w:val="00F93FB9"/>
    <w:rsid w:val="00F94C45"/>
    <w:rsid w:val="00F9568A"/>
    <w:rsid w:val="00F95A16"/>
    <w:rsid w:val="00F9746C"/>
    <w:rsid w:val="00F97E2E"/>
    <w:rsid w:val="00FA0259"/>
    <w:rsid w:val="00FA0766"/>
    <w:rsid w:val="00FA22FB"/>
    <w:rsid w:val="00FA23FE"/>
    <w:rsid w:val="00FA2EF2"/>
    <w:rsid w:val="00FA3608"/>
    <w:rsid w:val="00FA3E87"/>
    <w:rsid w:val="00FA40DB"/>
    <w:rsid w:val="00FA518B"/>
    <w:rsid w:val="00FA63A2"/>
    <w:rsid w:val="00FA6548"/>
    <w:rsid w:val="00FA680F"/>
    <w:rsid w:val="00FA7758"/>
    <w:rsid w:val="00FA7ADA"/>
    <w:rsid w:val="00FB0516"/>
    <w:rsid w:val="00FB0703"/>
    <w:rsid w:val="00FB0C15"/>
    <w:rsid w:val="00FB3135"/>
    <w:rsid w:val="00FB3FBE"/>
    <w:rsid w:val="00FB4F72"/>
    <w:rsid w:val="00FB5708"/>
    <w:rsid w:val="00FB6822"/>
    <w:rsid w:val="00FB6AA7"/>
    <w:rsid w:val="00FB6F86"/>
    <w:rsid w:val="00FB78CB"/>
    <w:rsid w:val="00FB7D11"/>
    <w:rsid w:val="00FC05E3"/>
    <w:rsid w:val="00FC1045"/>
    <w:rsid w:val="00FC1EC2"/>
    <w:rsid w:val="00FC578A"/>
    <w:rsid w:val="00FC5F1E"/>
    <w:rsid w:val="00FC6CFD"/>
    <w:rsid w:val="00FC734F"/>
    <w:rsid w:val="00FC74D1"/>
    <w:rsid w:val="00FC7E40"/>
    <w:rsid w:val="00FD0E13"/>
    <w:rsid w:val="00FD1672"/>
    <w:rsid w:val="00FD1B03"/>
    <w:rsid w:val="00FD2FC1"/>
    <w:rsid w:val="00FD357E"/>
    <w:rsid w:val="00FD3B65"/>
    <w:rsid w:val="00FD4F56"/>
    <w:rsid w:val="00FD5158"/>
    <w:rsid w:val="00FD5501"/>
    <w:rsid w:val="00FD55F5"/>
    <w:rsid w:val="00FD6EFA"/>
    <w:rsid w:val="00FD745C"/>
    <w:rsid w:val="00FE048F"/>
    <w:rsid w:val="00FE0ABC"/>
    <w:rsid w:val="00FE1382"/>
    <w:rsid w:val="00FE434B"/>
    <w:rsid w:val="00FE5207"/>
    <w:rsid w:val="00FE65A1"/>
    <w:rsid w:val="00FE6AB9"/>
    <w:rsid w:val="00FE79EE"/>
    <w:rsid w:val="00FE7BF4"/>
    <w:rsid w:val="00FF000C"/>
    <w:rsid w:val="00FF0F21"/>
    <w:rsid w:val="00FF16AF"/>
    <w:rsid w:val="00FF2CFE"/>
    <w:rsid w:val="00FF576E"/>
    <w:rsid w:val="00FF5DD9"/>
    <w:rsid w:val="00FF6B9C"/>
    <w:rsid w:val="00FF7B92"/>
    <w:rsid w:val="00FF7C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0E41B0"/>
  <w15:docId w15:val="{3FE9FE5F-6403-46EC-9D96-60226F7B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4366"/>
  </w:style>
  <w:style w:type="paragraph" w:styleId="Heading1">
    <w:name w:val="heading 1"/>
    <w:basedOn w:val="Normal"/>
    <w:next w:val="Normal"/>
    <w:link w:val="Heading1Char"/>
    <w:uiPriority w:val="9"/>
    <w:qFormat/>
    <w:rsid w:val="006161AC"/>
    <w:pPr>
      <w:keepNext/>
      <w:keepLines/>
      <w:numPr>
        <w:numId w:val="7"/>
      </w:numPr>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6161AC"/>
    <w:pPr>
      <w:keepNext/>
      <w:keepLines/>
      <w:numPr>
        <w:ilvl w:val="1"/>
        <w:numId w:val="7"/>
      </w:numPr>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6161AC"/>
    <w:pPr>
      <w:keepNext/>
      <w:keepLines/>
      <w:numPr>
        <w:ilvl w:val="2"/>
        <w:numId w:val="7"/>
      </w:numPr>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504366"/>
    <w:pPr>
      <w:keepNext/>
      <w:keepLines/>
      <w:numPr>
        <w:ilvl w:val="3"/>
        <w:numId w:val="7"/>
      </w:numPr>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504366"/>
    <w:pPr>
      <w:keepNext/>
      <w:keepLines/>
      <w:numPr>
        <w:ilvl w:val="4"/>
        <w:numId w:val="7"/>
      </w:numPr>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504366"/>
    <w:pPr>
      <w:keepNext/>
      <w:keepLines/>
      <w:numPr>
        <w:ilvl w:val="5"/>
        <w:numId w:val="7"/>
      </w:numPr>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504366"/>
    <w:pPr>
      <w:keepNext/>
      <w:keepLines/>
      <w:numPr>
        <w:ilvl w:val="6"/>
        <w:numId w:val="7"/>
      </w:numPr>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504366"/>
    <w:pPr>
      <w:keepNext/>
      <w:keepLines/>
      <w:numPr>
        <w:ilvl w:val="7"/>
        <w:numId w:val="7"/>
      </w:numPr>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504366"/>
    <w:pPr>
      <w:keepNext/>
      <w:keepLines/>
      <w:numPr>
        <w:ilvl w:val="8"/>
        <w:numId w:val="7"/>
      </w:numPr>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link w:val="ListParagraphChar"/>
    <w:uiPriority w:val="34"/>
    <w:qFormat/>
    <w:rsid w:val="003A7F8E"/>
    <w:pPr>
      <w:ind w:left="720"/>
      <w:contextualSpacing/>
    </w:pPr>
  </w:style>
  <w:style w:type="character" w:customStyle="1" w:styleId="Heading1Char">
    <w:name w:val="Heading 1 Char"/>
    <w:basedOn w:val="DefaultParagraphFont"/>
    <w:link w:val="Heading1"/>
    <w:uiPriority w:val="9"/>
    <w:rsid w:val="006161AC"/>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6161A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161AC"/>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504366"/>
    <w:rPr>
      <w:rFonts w:asciiTheme="majorHAnsi" w:eastAsiaTheme="majorEastAsia" w:hAnsiTheme="majorHAnsi" w:cstheme="majorBidi"/>
      <w:color w:val="2E74B5" w:themeColor="accent1" w:themeShade="BF"/>
      <w:sz w:val="24"/>
      <w:szCs w:val="24"/>
    </w:rPr>
  </w:style>
  <w:style w:type="numbering" w:customStyle="1" w:styleId="NoList1">
    <w:name w:val="No List1"/>
    <w:next w:val="NoList"/>
    <w:uiPriority w:val="99"/>
    <w:semiHidden/>
    <w:unhideWhenUsed/>
    <w:rsid w:val="00627628"/>
  </w:style>
  <w:style w:type="paragraph" w:styleId="Title">
    <w:name w:val="Title"/>
    <w:basedOn w:val="Normal"/>
    <w:next w:val="Normal"/>
    <w:link w:val="TitleChar"/>
    <w:uiPriority w:val="10"/>
    <w:qFormat/>
    <w:rsid w:val="0050436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04366"/>
    <w:rPr>
      <w:rFonts w:asciiTheme="majorHAnsi" w:eastAsiaTheme="majorEastAsia" w:hAnsiTheme="majorHAnsi" w:cstheme="majorBidi"/>
      <w:caps/>
      <w:color w:val="44546A" w:themeColor="text2"/>
      <w:spacing w:val="-15"/>
      <w:sz w:val="72"/>
      <w:szCs w:val="72"/>
    </w:rPr>
  </w:style>
  <w:style w:type="character" w:styleId="Hyperlink">
    <w:name w:val="Hyperlink"/>
    <w:basedOn w:val="DefaultParagraphFont"/>
    <w:uiPriority w:val="99"/>
    <w:unhideWhenUsed/>
    <w:rsid w:val="00627628"/>
    <w:rPr>
      <w:color w:val="0563C1" w:themeColor="hyperlink"/>
      <w:u w:val="single"/>
    </w:rPr>
  </w:style>
  <w:style w:type="paragraph" w:styleId="FootnoteText">
    <w:name w:val="footnote text"/>
    <w:aliases w:val="RG Footnote Text,single space,FOOTNOTES,fn,Footnote Text 1,Footnote Text Char Char,Footnote Text Char Char Char,Char Char Char Char Char,ALTS FOOTNOTE,Note de bas de page2,footnote,footnote text,ft,texto de nota al pie,Char,ft Char Char"/>
    <w:basedOn w:val="Normal"/>
    <w:link w:val="FootnoteTextChar"/>
    <w:uiPriority w:val="99"/>
    <w:unhideWhenUsed/>
    <w:qFormat/>
    <w:rsid w:val="00C17C3E"/>
    <w:pPr>
      <w:spacing w:after="0" w:line="240" w:lineRule="auto"/>
    </w:pPr>
    <w:rPr>
      <w:rFonts w:ascii="Arial" w:hAnsi="Arial" w:cs="Arial"/>
      <w:sz w:val="16"/>
      <w:szCs w:val="20"/>
    </w:rPr>
  </w:style>
  <w:style w:type="character" w:customStyle="1" w:styleId="FootnoteTextChar">
    <w:name w:val="Footnote Text Char"/>
    <w:aliases w:val="RG Footnote Text Char,single space Char,FOOTNOTES Char,fn Char,Footnote Text 1 Char,Footnote Text Char Char Char1,Footnote Text Char Char Char Char,Char Char Char Char Char Char,ALTS FOOTNOTE Char,Note de bas de page2 Char,ft Char"/>
    <w:basedOn w:val="DefaultParagraphFont"/>
    <w:link w:val="FootnoteText"/>
    <w:uiPriority w:val="99"/>
    <w:rsid w:val="00C17C3E"/>
    <w:rPr>
      <w:rFonts w:ascii="Arial" w:hAnsi="Arial" w:cs="Arial"/>
      <w:sz w:val="16"/>
      <w:szCs w:val="20"/>
    </w:rPr>
  </w:style>
  <w:style w:type="character" w:styleId="FootnoteReference">
    <w:name w:val="footnote reference"/>
    <w:aliases w:val="ftref,16 Point,Superscript 6 Point, BVI fnr,Ref,de nota al pie,BVI fnr,Footnote Reference1,Error-Fußnotenzeichen5,Error-Fußnotenzeichen6,Error-Fußnotenzeichen3,Footnote Reference Number,referencia nota al pie,Footnote Reference_LVL6"/>
    <w:basedOn w:val="DefaultParagraphFont"/>
    <w:uiPriority w:val="99"/>
    <w:unhideWhenUsed/>
    <w:qFormat/>
    <w:rsid w:val="00627628"/>
    <w:rPr>
      <w:vertAlign w:val="superscript"/>
    </w:rPr>
  </w:style>
  <w:style w:type="paragraph" w:styleId="Caption">
    <w:name w:val="caption"/>
    <w:basedOn w:val="Normal"/>
    <w:next w:val="Normal"/>
    <w:uiPriority w:val="35"/>
    <w:unhideWhenUsed/>
    <w:qFormat/>
    <w:rsid w:val="00AF33A5"/>
    <w:pPr>
      <w:keepNext/>
      <w:spacing w:after="0" w:line="240" w:lineRule="auto"/>
    </w:pPr>
    <w:rPr>
      <w:b/>
      <w:bCs/>
      <w:smallCaps/>
      <w:color w:val="44546A" w:themeColor="text2"/>
    </w:rPr>
  </w:style>
  <w:style w:type="paragraph" w:styleId="Footer">
    <w:name w:val="footer"/>
    <w:basedOn w:val="Normal"/>
    <w:link w:val="FooterChar"/>
    <w:uiPriority w:val="99"/>
    <w:unhideWhenUsed/>
    <w:rsid w:val="00627628"/>
    <w:pPr>
      <w:tabs>
        <w:tab w:val="center" w:pos="4680"/>
        <w:tab w:val="right" w:pos="9360"/>
      </w:tabs>
      <w:spacing w:after="0" w:line="240" w:lineRule="auto"/>
    </w:pPr>
    <w:rPr>
      <w:rFonts w:ascii="Arial" w:hAnsi="Arial" w:cs="Arial"/>
      <w:sz w:val="20"/>
    </w:rPr>
  </w:style>
  <w:style w:type="character" w:customStyle="1" w:styleId="FooterChar">
    <w:name w:val="Footer Char"/>
    <w:basedOn w:val="DefaultParagraphFont"/>
    <w:link w:val="Footer"/>
    <w:uiPriority w:val="99"/>
    <w:rsid w:val="00627628"/>
    <w:rPr>
      <w:rFonts w:ascii="Arial" w:hAnsi="Arial" w:cs="Arial"/>
      <w:sz w:val="20"/>
    </w:rPr>
  </w:style>
  <w:style w:type="character" w:customStyle="1" w:styleId="ListParagraphChar">
    <w:name w:val="List Paragraph Char"/>
    <w:aliases w:val="Bullets Char"/>
    <w:basedOn w:val="DefaultParagraphFont"/>
    <w:link w:val="ListParagraph"/>
    <w:uiPriority w:val="34"/>
    <w:rsid w:val="003A7F8E"/>
  </w:style>
  <w:style w:type="table" w:styleId="TableGrid">
    <w:name w:val="Table Grid"/>
    <w:basedOn w:val="TableNormal"/>
    <w:uiPriority w:val="39"/>
    <w:rsid w:val="00627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04366"/>
    <w:pPr>
      <w:spacing w:after="0" w:line="240" w:lineRule="auto"/>
    </w:pPr>
  </w:style>
  <w:style w:type="character" w:customStyle="1" w:styleId="NoSpacingChar">
    <w:name w:val="No Spacing Char"/>
    <w:basedOn w:val="DefaultParagraphFont"/>
    <w:link w:val="NoSpacing"/>
    <w:uiPriority w:val="1"/>
    <w:rsid w:val="00627628"/>
  </w:style>
  <w:style w:type="paragraph" w:styleId="TOCHeading">
    <w:name w:val="TOC Heading"/>
    <w:basedOn w:val="Heading1"/>
    <w:next w:val="Normal"/>
    <w:uiPriority w:val="39"/>
    <w:unhideWhenUsed/>
    <w:qFormat/>
    <w:rsid w:val="00504366"/>
    <w:pPr>
      <w:outlineLvl w:val="9"/>
    </w:pPr>
  </w:style>
  <w:style w:type="paragraph" w:styleId="TOC1">
    <w:name w:val="toc 1"/>
    <w:basedOn w:val="Normal"/>
    <w:next w:val="Normal"/>
    <w:autoRedefine/>
    <w:uiPriority w:val="39"/>
    <w:unhideWhenUsed/>
    <w:rsid w:val="00FF2CFE"/>
    <w:pPr>
      <w:tabs>
        <w:tab w:val="left" w:pos="270"/>
        <w:tab w:val="right" w:leader="dot" w:pos="9350"/>
      </w:tabs>
      <w:spacing w:after="0"/>
    </w:pPr>
    <w:rPr>
      <w:rFonts w:ascii="Arial" w:hAnsi="Arial" w:cs="Arial"/>
      <w:sz w:val="20"/>
    </w:rPr>
  </w:style>
  <w:style w:type="paragraph" w:styleId="TOC2">
    <w:name w:val="toc 2"/>
    <w:basedOn w:val="Normal"/>
    <w:next w:val="Normal"/>
    <w:autoRedefine/>
    <w:uiPriority w:val="39"/>
    <w:unhideWhenUsed/>
    <w:rsid w:val="003A7F8E"/>
    <w:pPr>
      <w:tabs>
        <w:tab w:val="left" w:pos="900"/>
        <w:tab w:val="right" w:leader="dot" w:pos="9350"/>
      </w:tabs>
      <w:spacing w:after="0"/>
      <w:ind w:left="450"/>
    </w:pPr>
    <w:rPr>
      <w:rFonts w:ascii="Arial" w:hAnsi="Arial" w:cs="Arial"/>
      <w:i/>
      <w:noProof/>
      <w:sz w:val="20"/>
    </w:rPr>
  </w:style>
  <w:style w:type="paragraph" w:styleId="TOC3">
    <w:name w:val="toc 3"/>
    <w:basedOn w:val="Normal"/>
    <w:next w:val="Normal"/>
    <w:autoRedefine/>
    <w:uiPriority w:val="39"/>
    <w:unhideWhenUsed/>
    <w:rsid w:val="00627628"/>
    <w:pPr>
      <w:spacing w:after="100"/>
      <w:ind w:left="400"/>
    </w:pPr>
    <w:rPr>
      <w:rFonts w:ascii="Arial" w:hAnsi="Arial" w:cs="Arial"/>
      <w:sz w:val="20"/>
    </w:rPr>
  </w:style>
  <w:style w:type="paragraph" w:styleId="Header">
    <w:name w:val="header"/>
    <w:basedOn w:val="Normal"/>
    <w:link w:val="HeaderChar"/>
    <w:uiPriority w:val="99"/>
    <w:unhideWhenUsed/>
    <w:rsid w:val="00627628"/>
    <w:pPr>
      <w:tabs>
        <w:tab w:val="center" w:pos="4680"/>
        <w:tab w:val="right" w:pos="9360"/>
      </w:tabs>
      <w:spacing w:after="0" w:line="240" w:lineRule="auto"/>
    </w:pPr>
    <w:rPr>
      <w:rFonts w:ascii="Arial" w:hAnsi="Arial" w:cs="Arial"/>
      <w:sz w:val="20"/>
    </w:rPr>
  </w:style>
  <w:style w:type="character" w:customStyle="1" w:styleId="HeaderChar">
    <w:name w:val="Header Char"/>
    <w:basedOn w:val="DefaultParagraphFont"/>
    <w:link w:val="Header"/>
    <w:uiPriority w:val="99"/>
    <w:rsid w:val="00627628"/>
    <w:rPr>
      <w:rFonts w:ascii="Arial" w:hAnsi="Arial" w:cs="Arial"/>
      <w:sz w:val="20"/>
    </w:rPr>
  </w:style>
  <w:style w:type="paragraph" w:customStyle="1" w:styleId="DefaultText">
    <w:name w:val="Default Text"/>
    <w:basedOn w:val="Normal"/>
    <w:link w:val="DefaultTextChar"/>
    <w:uiPriority w:val="99"/>
    <w:rsid w:val="00627628"/>
    <w:pPr>
      <w:spacing w:after="0" w:line="280" w:lineRule="atLeast"/>
    </w:pPr>
    <w:rPr>
      <w:rFonts w:ascii="Arial" w:eastAsia="Times New Roman" w:hAnsi="Arial"/>
      <w:sz w:val="18"/>
      <w:szCs w:val="24"/>
      <w:lang w:val="en-GB" w:eastAsia="nl-NL"/>
    </w:rPr>
  </w:style>
  <w:style w:type="character" w:customStyle="1" w:styleId="DefaultTextChar">
    <w:name w:val="Default Text Char"/>
    <w:basedOn w:val="DefaultParagraphFont"/>
    <w:link w:val="DefaultText"/>
    <w:uiPriority w:val="99"/>
    <w:rsid w:val="00627628"/>
    <w:rPr>
      <w:rFonts w:ascii="Arial" w:eastAsia="Times New Roman" w:hAnsi="Arial" w:cs="Times New Roman"/>
      <w:sz w:val="18"/>
      <w:szCs w:val="24"/>
      <w:lang w:val="en-GB" w:eastAsia="nl-NL"/>
    </w:rPr>
  </w:style>
  <w:style w:type="character" w:styleId="FollowedHyperlink">
    <w:name w:val="FollowedHyperlink"/>
    <w:basedOn w:val="DefaultParagraphFont"/>
    <w:uiPriority w:val="99"/>
    <w:semiHidden/>
    <w:unhideWhenUsed/>
    <w:rsid w:val="00627628"/>
    <w:rPr>
      <w:color w:val="954F72" w:themeColor="followedHyperlink"/>
      <w:u w:val="single"/>
    </w:rPr>
  </w:style>
  <w:style w:type="paragraph" w:styleId="TableofFigures">
    <w:name w:val="table of figures"/>
    <w:basedOn w:val="Normal"/>
    <w:next w:val="Normal"/>
    <w:uiPriority w:val="99"/>
    <w:unhideWhenUsed/>
    <w:rsid w:val="00627628"/>
    <w:pPr>
      <w:spacing w:after="0"/>
    </w:pPr>
    <w:rPr>
      <w:rFonts w:ascii="Arial" w:hAnsi="Arial" w:cs="Arial"/>
      <w:sz w:val="20"/>
    </w:rPr>
  </w:style>
  <w:style w:type="character" w:customStyle="1" w:styleId="list-bullet-colorChar">
    <w:name w:val="list-bullet-color Char"/>
    <w:basedOn w:val="DefaultParagraphFont"/>
    <w:link w:val="list-bullet-color"/>
    <w:locked/>
    <w:rsid w:val="001330CD"/>
    <w:rPr>
      <w:rFonts w:ascii="Arial" w:eastAsia="Times New Roman" w:hAnsi="Arial"/>
      <w:sz w:val="18"/>
      <w:szCs w:val="24"/>
      <w:lang w:val="en-GB" w:eastAsia="nl-NL"/>
    </w:rPr>
  </w:style>
  <w:style w:type="paragraph" w:customStyle="1" w:styleId="list-bullet-color">
    <w:name w:val="list-bullet-color"/>
    <w:basedOn w:val="Normal"/>
    <w:link w:val="list-bullet-colorChar"/>
    <w:rsid w:val="001330CD"/>
    <w:pPr>
      <w:numPr>
        <w:numId w:val="2"/>
      </w:numPr>
      <w:spacing w:after="0" w:line="280" w:lineRule="atLeast"/>
    </w:pPr>
    <w:rPr>
      <w:rFonts w:ascii="Arial" w:eastAsia="Times New Roman" w:hAnsi="Arial"/>
      <w:sz w:val="18"/>
      <w:szCs w:val="24"/>
      <w:lang w:val="en-GB" w:eastAsia="nl-NL"/>
    </w:rPr>
  </w:style>
  <w:style w:type="table" w:styleId="LightShading-Accent1">
    <w:name w:val="Light Shading Accent 1"/>
    <w:basedOn w:val="TableNormal"/>
    <w:uiPriority w:val="60"/>
    <w:rsid w:val="001330C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stTable6Colorful-Accent11">
    <w:name w:val="List Table 6 Colorful - Accent 11"/>
    <w:basedOn w:val="TableNormal"/>
    <w:uiPriority w:val="51"/>
    <w:rsid w:val="007E3E5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A721FF"/>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680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B58"/>
    <w:rPr>
      <w:rFonts w:ascii="Segoe UI" w:hAnsi="Segoe UI" w:cs="Segoe UI"/>
      <w:sz w:val="18"/>
      <w:szCs w:val="18"/>
    </w:rPr>
  </w:style>
  <w:style w:type="character" w:styleId="CommentReference">
    <w:name w:val="annotation reference"/>
    <w:basedOn w:val="DefaultParagraphFont"/>
    <w:uiPriority w:val="99"/>
    <w:semiHidden/>
    <w:unhideWhenUsed/>
    <w:rsid w:val="003D250F"/>
    <w:rPr>
      <w:sz w:val="16"/>
      <w:szCs w:val="16"/>
    </w:rPr>
  </w:style>
  <w:style w:type="paragraph" w:styleId="CommentText">
    <w:name w:val="annotation text"/>
    <w:basedOn w:val="Normal"/>
    <w:link w:val="CommentTextChar"/>
    <w:uiPriority w:val="99"/>
    <w:unhideWhenUsed/>
    <w:rsid w:val="003D250F"/>
    <w:pPr>
      <w:spacing w:line="240" w:lineRule="auto"/>
    </w:pPr>
    <w:rPr>
      <w:sz w:val="20"/>
      <w:szCs w:val="20"/>
    </w:rPr>
  </w:style>
  <w:style w:type="character" w:customStyle="1" w:styleId="CommentTextChar">
    <w:name w:val="Comment Text Char"/>
    <w:basedOn w:val="DefaultParagraphFont"/>
    <w:link w:val="CommentText"/>
    <w:uiPriority w:val="99"/>
    <w:rsid w:val="003D250F"/>
    <w:rPr>
      <w:sz w:val="20"/>
      <w:szCs w:val="20"/>
    </w:rPr>
  </w:style>
  <w:style w:type="paragraph" w:styleId="CommentSubject">
    <w:name w:val="annotation subject"/>
    <w:basedOn w:val="CommentText"/>
    <w:next w:val="CommentText"/>
    <w:link w:val="CommentSubjectChar"/>
    <w:uiPriority w:val="99"/>
    <w:semiHidden/>
    <w:unhideWhenUsed/>
    <w:rsid w:val="003D250F"/>
    <w:rPr>
      <w:b/>
      <w:bCs/>
    </w:rPr>
  </w:style>
  <w:style w:type="character" w:customStyle="1" w:styleId="CommentSubjectChar">
    <w:name w:val="Comment Subject Char"/>
    <w:basedOn w:val="CommentTextChar"/>
    <w:link w:val="CommentSubject"/>
    <w:uiPriority w:val="99"/>
    <w:semiHidden/>
    <w:rsid w:val="003D250F"/>
    <w:rPr>
      <w:b/>
      <w:bCs/>
      <w:sz w:val="20"/>
      <w:szCs w:val="20"/>
    </w:rPr>
  </w:style>
  <w:style w:type="table" w:customStyle="1" w:styleId="PlainTable21">
    <w:name w:val="Plain Table 21"/>
    <w:basedOn w:val="TableNormal"/>
    <w:uiPriority w:val="42"/>
    <w:rsid w:val="009E60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Accent11">
    <w:name w:val="List Table 1 Light - Accent 11"/>
    <w:basedOn w:val="TableNormal"/>
    <w:uiPriority w:val="46"/>
    <w:rsid w:val="00F3356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06B2A"/>
    <w:pPr>
      <w:autoSpaceDE w:val="0"/>
      <w:autoSpaceDN w:val="0"/>
      <w:adjustRightInd w:val="0"/>
      <w:spacing w:after="0" w:line="240" w:lineRule="auto"/>
    </w:pPr>
    <w:rPr>
      <w:rFonts w:ascii="MXLKFP+Garamond" w:hAnsi="MXLKFP+Garamond" w:cs="MXLKFP+Garamond"/>
      <w:color w:val="000000"/>
      <w:sz w:val="24"/>
      <w:szCs w:val="24"/>
      <w:lang w:bidi="hi-IN"/>
    </w:rPr>
  </w:style>
  <w:style w:type="table" w:customStyle="1" w:styleId="table-style-blauw-100-outline">
    <w:name w:val="table-style-blauw-100-outline"/>
    <w:basedOn w:val="TableNormal"/>
    <w:rsid w:val="00806B2A"/>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806B2A"/>
    <w:rPr>
      <w:sz w:val="16"/>
    </w:rPr>
  </w:style>
  <w:style w:type="paragraph" w:customStyle="1" w:styleId="kaderkop">
    <w:name w:val="kaderkop"/>
    <w:basedOn w:val="Normal"/>
    <w:rsid w:val="00806B2A"/>
    <w:pPr>
      <w:spacing w:after="0" w:line="280" w:lineRule="atLeast"/>
      <w:ind w:left="340"/>
    </w:pPr>
    <w:rPr>
      <w:rFonts w:ascii="Arial" w:eastAsia="Times New Roman" w:hAnsi="Arial"/>
      <w:b/>
      <w:color w:val="006DB6"/>
      <w:sz w:val="16"/>
      <w:szCs w:val="24"/>
      <w:lang w:val="en-GB" w:eastAsia="nl-NL"/>
    </w:rPr>
  </w:style>
  <w:style w:type="paragraph" w:customStyle="1" w:styleId="kadertekst">
    <w:name w:val="kadertekst"/>
    <w:basedOn w:val="Normal"/>
    <w:rsid w:val="00806B2A"/>
    <w:pPr>
      <w:spacing w:after="0" w:line="280" w:lineRule="atLeast"/>
      <w:ind w:left="346"/>
    </w:pPr>
    <w:rPr>
      <w:rFonts w:ascii="Arial" w:eastAsia="Times New Roman" w:hAnsi="Arial"/>
      <w:color w:val="006DB6"/>
      <w:sz w:val="16"/>
      <w:szCs w:val="24"/>
      <w:lang w:val="en-GB" w:eastAsia="nl-NL"/>
    </w:rPr>
  </w:style>
  <w:style w:type="table" w:customStyle="1" w:styleId="ListTable3-Accent31">
    <w:name w:val="List Table 3 - Accent 31"/>
    <w:basedOn w:val="TableNormal"/>
    <w:uiPriority w:val="48"/>
    <w:rsid w:val="00620F7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xlist-bullet-color">
    <w:name w:val="x_list-bullet-color"/>
    <w:basedOn w:val="Normal"/>
    <w:rsid w:val="009D117C"/>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9D117C"/>
  </w:style>
  <w:style w:type="paragraph" w:customStyle="1" w:styleId="Numbered">
    <w:name w:val="Numbered"/>
    <w:basedOn w:val="ListParagraph"/>
    <w:link w:val="NumberedChar"/>
    <w:qFormat/>
    <w:rsid w:val="00B67270"/>
    <w:pPr>
      <w:numPr>
        <w:numId w:val="6"/>
      </w:numPr>
      <w:spacing w:after="0"/>
    </w:pPr>
    <w:rPr>
      <w:sz w:val="24"/>
    </w:rPr>
  </w:style>
  <w:style w:type="character" w:customStyle="1" w:styleId="NumberedChar">
    <w:name w:val="Numbered Char"/>
    <w:basedOn w:val="ListParagraphChar"/>
    <w:link w:val="Numbered"/>
    <w:rsid w:val="00B67270"/>
    <w:rPr>
      <w:sz w:val="24"/>
    </w:rPr>
  </w:style>
  <w:style w:type="paragraph" w:styleId="Revision">
    <w:name w:val="Revision"/>
    <w:hidden/>
    <w:uiPriority w:val="99"/>
    <w:semiHidden/>
    <w:rsid w:val="00857F94"/>
    <w:pPr>
      <w:spacing w:after="0" w:line="240" w:lineRule="auto"/>
    </w:pPr>
    <w:rPr>
      <w:rFonts w:ascii="Times New Roman" w:hAnsi="Times New Roman" w:cs="Times New Roman"/>
    </w:rPr>
  </w:style>
  <w:style w:type="table" w:customStyle="1" w:styleId="ListTable4-Accent11">
    <w:name w:val="List Table 4 - Accent 11"/>
    <w:basedOn w:val="TableNormal"/>
    <w:uiPriority w:val="49"/>
    <w:rsid w:val="00D23EC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eNormal"/>
    <w:uiPriority w:val="50"/>
    <w:rsid w:val="00D23E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5Char">
    <w:name w:val="Heading 5 Char"/>
    <w:basedOn w:val="DefaultParagraphFont"/>
    <w:link w:val="Heading5"/>
    <w:uiPriority w:val="9"/>
    <w:semiHidden/>
    <w:rsid w:val="00504366"/>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504366"/>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50436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50436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504366"/>
    <w:rPr>
      <w:rFonts w:asciiTheme="majorHAnsi" w:eastAsiaTheme="majorEastAsia" w:hAnsiTheme="majorHAnsi" w:cstheme="majorBidi"/>
      <w:i/>
      <w:iCs/>
      <w:color w:val="1F4E79" w:themeColor="accent1" w:themeShade="80"/>
    </w:rPr>
  </w:style>
  <w:style w:type="paragraph" w:styleId="Subtitle">
    <w:name w:val="Subtitle"/>
    <w:basedOn w:val="Normal"/>
    <w:next w:val="Normal"/>
    <w:link w:val="SubtitleChar"/>
    <w:uiPriority w:val="11"/>
    <w:qFormat/>
    <w:rsid w:val="0050436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504366"/>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504366"/>
    <w:rPr>
      <w:b/>
      <w:bCs/>
    </w:rPr>
  </w:style>
  <w:style w:type="character" w:styleId="Emphasis">
    <w:name w:val="Emphasis"/>
    <w:basedOn w:val="DefaultParagraphFont"/>
    <w:uiPriority w:val="20"/>
    <w:qFormat/>
    <w:rsid w:val="00504366"/>
    <w:rPr>
      <w:i/>
      <w:iCs/>
    </w:rPr>
  </w:style>
  <w:style w:type="paragraph" w:styleId="Quote">
    <w:name w:val="Quote"/>
    <w:basedOn w:val="Normal"/>
    <w:next w:val="Normal"/>
    <w:link w:val="QuoteChar"/>
    <w:uiPriority w:val="29"/>
    <w:qFormat/>
    <w:rsid w:val="0050436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04366"/>
    <w:rPr>
      <w:color w:val="44546A" w:themeColor="text2"/>
      <w:sz w:val="24"/>
      <w:szCs w:val="24"/>
    </w:rPr>
  </w:style>
  <w:style w:type="paragraph" w:styleId="IntenseQuote">
    <w:name w:val="Intense Quote"/>
    <w:basedOn w:val="Normal"/>
    <w:next w:val="Normal"/>
    <w:link w:val="IntenseQuoteChar"/>
    <w:uiPriority w:val="30"/>
    <w:qFormat/>
    <w:rsid w:val="0050436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0436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04366"/>
    <w:rPr>
      <w:i/>
      <w:iCs/>
      <w:color w:val="595959" w:themeColor="text1" w:themeTint="A6"/>
    </w:rPr>
  </w:style>
  <w:style w:type="character" w:styleId="IntenseEmphasis">
    <w:name w:val="Intense Emphasis"/>
    <w:basedOn w:val="DefaultParagraphFont"/>
    <w:uiPriority w:val="21"/>
    <w:qFormat/>
    <w:rsid w:val="00504366"/>
    <w:rPr>
      <w:b/>
      <w:bCs/>
      <w:i/>
      <w:iCs/>
    </w:rPr>
  </w:style>
  <w:style w:type="character" w:styleId="SubtleReference">
    <w:name w:val="Subtle Reference"/>
    <w:basedOn w:val="DefaultParagraphFont"/>
    <w:uiPriority w:val="31"/>
    <w:qFormat/>
    <w:rsid w:val="0050436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04366"/>
    <w:rPr>
      <w:b/>
      <w:bCs/>
      <w:smallCaps/>
      <w:color w:val="44546A" w:themeColor="text2"/>
      <w:u w:val="single"/>
    </w:rPr>
  </w:style>
  <w:style w:type="character" w:styleId="BookTitle">
    <w:name w:val="Book Title"/>
    <w:basedOn w:val="DefaultParagraphFont"/>
    <w:uiPriority w:val="33"/>
    <w:qFormat/>
    <w:rsid w:val="00504366"/>
    <w:rPr>
      <w:b/>
      <w:bCs/>
      <w:smallCaps/>
      <w:spacing w:val="10"/>
    </w:rPr>
  </w:style>
  <w:style w:type="table" w:customStyle="1" w:styleId="TableGrid1">
    <w:name w:val="Table Grid1"/>
    <w:basedOn w:val="TableNormal"/>
    <w:next w:val="TableGrid"/>
    <w:uiPriority w:val="39"/>
    <w:rsid w:val="00586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11">
    <w:name w:val="List Table 3 - Accent 311"/>
    <w:basedOn w:val="TableNormal"/>
    <w:uiPriority w:val="48"/>
    <w:rsid w:val="00390D0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0177">
      <w:bodyDiv w:val="1"/>
      <w:marLeft w:val="0"/>
      <w:marRight w:val="0"/>
      <w:marTop w:val="0"/>
      <w:marBottom w:val="0"/>
      <w:divBdr>
        <w:top w:val="none" w:sz="0" w:space="0" w:color="auto"/>
        <w:left w:val="none" w:sz="0" w:space="0" w:color="auto"/>
        <w:bottom w:val="none" w:sz="0" w:space="0" w:color="auto"/>
        <w:right w:val="none" w:sz="0" w:space="0" w:color="auto"/>
      </w:divBdr>
    </w:div>
    <w:div w:id="36710869">
      <w:bodyDiv w:val="1"/>
      <w:marLeft w:val="0"/>
      <w:marRight w:val="0"/>
      <w:marTop w:val="0"/>
      <w:marBottom w:val="0"/>
      <w:divBdr>
        <w:top w:val="none" w:sz="0" w:space="0" w:color="auto"/>
        <w:left w:val="none" w:sz="0" w:space="0" w:color="auto"/>
        <w:bottom w:val="none" w:sz="0" w:space="0" w:color="auto"/>
        <w:right w:val="none" w:sz="0" w:space="0" w:color="auto"/>
      </w:divBdr>
    </w:div>
    <w:div w:id="174660588">
      <w:bodyDiv w:val="1"/>
      <w:marLeft w:val="0"/>
      <w:marRight w:val="0"/>
      <w:marTop w:val="0"/>
      <w:marBottom w:val="0"/>
      <w:divBdr>
        <w:top w:val="none" w:sz="0" w:space="0" w:color="auto"/>
        <w:left w:val="none" w:sz="0" w:space="0" w:color="auto"/>
        <w:bottom w:val="none" w:sz="0" w:space="0" w:color="auto"/>
        <w:right w:val="none" w:sz="0" w:space="0" w:color="auto"/>
      </w:divBdr>
    </w:div>
    <w:div w:id="245039808">
      <w:bodyDiv w:val="1"/>
      <w:marLeft w:val="0"/>
      <w:marRight w:val="0"/>
      <w:marTop w:val="0"/>
      <w:marBottom w:val="0"/>
      <w:divBdr>
        <w:top w:val="none" w:sz="0" w:space="0" w:color="auto"/>
        <w:left w:val="none" w:sz="0" w:space="0" w:color="auto"/>
        <w:bottom w:val="none" w:sz="0" w:space="0" w:color="auto"/>
        <w:right w:val="none" w:sz="0" w:space="0" w:color="auto"/>
      </w:divBdr>
    </w:div>
    <w:div w:id="327253403">
      <w:bodyDiv w:val="1"/>
      <w:marLeft w:val="0"/>
      <w:marRight w:val="0"/>
      <w:marTop w:val="0"/>
      <w:marBottom w:val="0"/>
      <w:divBdr>
        <w:top w:val="none" w:sz="0" w:space="0" w:color="auto"/>
        <w:left w:val="none" w:sz="0" w:space="0" w:color="auto"/>
        <w:bottom w:val="none" w:sz="0" w:space="0" w:color="auto"/>
        <w:right w:val="none" w:sz="0" w:space="0" w:color="auto"/>
      </w:divBdr>
      <w:divsChild>
        <w:div w:id="147325328">
          <w:marLeft w:val="1080"/>
          <w:marRight w:val="0"/>
          <w:marTop w:val="100"/>
          <w:marBottom w:val="0"/>
          <w:divBdr>
            <w:top w:val="none" w:sz="0" w:space="0" w:color="auto"/>
            <w:left w:val="none" w:sz="0" w:space="0" w:color="auto"/>
            <w:bottom w:val="none" w:sz="0" w:space="0" w:color="auto"/>
            <w:right w:val="none" w:sz="0" w:space="0" w:color="auto"/>
          </w:divBdr>
        </w:div>
        <w:div w:id="489174667">
          <w:marLeft w:val="1080"/>
          <w:marRight w:val="0"/>
          <w:marTop w:val="100"/>
          <w:marBottom w:val="0"/>
          <w:divBdr>
            <w:top w:val="none" w:sz="0" w:space="0" w:color="auto"/>
            <w:left w:val="none" w:sz="0" w:space="0" w:color="auto"/>
            <w:bottom w:val="none" w:sz="0" w:space="0" w:color="auto"/>
            <w:right w:val="none" w:sz="0" w:space="0" w:color="auto"/>
          </w:divBdr>
        </w:div>
        <w:div w:id="963776255">
          <w:marLeft w:val="360"/>
          <w:marRight w:val="0"/>
          <w:marTop w:val="200"/>
          <w:marBottom w:val="0"/>
          <w:divBdr>
            <w:top w:val="none" w:sz="0" w:space="0" w:color="auto"/>
            <w:left w:val="none" w:sz="0" w:space="0" w:color="auto"/>
            <w:bottom w:val="none" w:sz="0" w:space="0" w:color="auto"/>
            <w:right w:val="none" w:sz="0" w:space="0" w:color="auto"/>
          </w:divBdr>
        </w:div>
        <w:div w:id="990789482">
          <w:marLeft w:val="360"/>
          <w:marRight w:val="0"/>
          <w:marTop w:val="200"/>
          <w:marBottom w:val="0"/>
          <w:divBdr>
            <w:top w:val="none" w:sz="0" w:space="0" w:color="auto"/>
            <w:left w:val="none" w:sz="0" w:space="0" w:color="auto"/>
            <w:bottom w:val="none" w:sz="0" w:space="0" w:color="auto"/>
            <w:right w:val="none" w:sz="0" w:space="0" w:color="auto"/>
          </w:divBdr>
        </w:div>
        <w:div w:id="1099449059">
          <w:marLeft w:val="1080"/>
          <w:marRight w:val="0"/>
          <w:marTop w:val="100"/>
          <w:marBottom w:val="0"/>
          <w:divBdr>
            <w:top w:val="none" w:sz="0" w:space="0" w:color="auto"/>
            <w:left w:val="none" w:sz="0" w:space="0" w:color="auto"/>
            <w:bottom w:val="none" w:sz="0" w:space="0" w:color="auto"/>
            <w:right w:val="none" w:sz="0" w:space="0" w:color="auto"/>
          </w:divBdr>
        </w:div>
        <w:div w:id="1466119198">
          <w:marLeft w:val="360"/>
          <w:marRight w:val="0"/>
          <w:marTop w:val="200"/>
          <w:marBottom w:val="0"/>
          <w:divBdr>
            <w:top w:val="none" w:sz="0" w:space="0" w:color="auto"/>
            <w:left w:val="none" w:sz="0" w:space="0" w:color="auto"/>
            <w:bottom w:val="none" w:sz="0" w:space="0" w:color="auto"/>
            <w:right w:val="none" w:sz="0" w:space="0" w:color="auto"/>
          </w:divBdr>
        </w:div>
        <w:div w:id="1537234253">
          <w:marLeft w:val="1080"/>
          <w:marRight w:val="0"/>
          <w:marTop w:val="100"/>
          <w:marBottom w:val="0"/>
          <w:divBdr>
            <w:top w:val="none" w:sz="0" w:space="0" w:color="auto"/>
            <w:left w:val="none" w:sz="0" w:space="0" w:color="auto"/>
            <w:bottom w:val="none" w:sz="0" w:space="0" w:color="auto"/>
            <w:right w:val="none" w:sz="0" w:space="0" w:color="auto"/>
          </w:divBdr>
        </w:div>
        <w:div w:id="1958098576">
          <w:marLeft w:val="1080"/>
          <w:marRight w:val="0"/>
          <w:marTop w:val="100"/>
          <w:marBottom w:val="0"/>
          <w:divBdr>
            <w:top w:val="none" w:sz="0" w:space="0" w:color="auto"/>
            <w:left w:val="none" w:sz="0" w:space="0" w:color="auto"/>
            <w:bottom w:val="none" w:sz="0" w:space="0" w:color="auto"/>
            <w:right w:val="none" w:sz="0" w:space="0" w:color="auto"/>
          </w:divBdr>
        </w:div>
      </w:divsChild>
    </w:div>
    <w:div w:id="332799059">
      <w:bodyDiv w:val="1"/>
      <w:marLeft w:val="0"/>
      <w:marRight w:val="0"/>
      <w:marTop w:val="0"/>
      <w:marBottom w:val="0"/>
      <w:divBdr>
        <w:top w:val="none" w:sz="0" w:space="0" w:color="auto"/>
        <w:left w:val="none" w:sz="0" w:space="0" w:color="auto"/>
        <w:bottom w:val="none" w:sz="0" w:space="0" w:color="auto"/>
        <w:right w:val="none" w:sz="0" w:space="0" w:color="auto"/>
      </w:divBdr>
    </w:div>
    <w:div w:id="355694959">
      <w:bodyDiv w:val="1"/>
      <w:marLeft w:val="0"/>
      <w:marRight w:val="0"/>
      <w:marTop w:val="0"/>
      <w:marBottom w:val="0"/>
      <w:divBdr>
        <w:top w:val="none" w:sz="0" w:space="0" w:color="auto"/>
        <w:left w:val="none" w:sz="0" w:space="0" w:color="auto"/>
        <w:bottom w:val="none" w:sz="0" w:space="0" w:color="auto"/>
        <w:right w:val="none" w:sz="0" w:space="0" w:color="auto"/>
      </w:divBdr>
    </w:div>
    <w:div w:id="372538271">
      <w:bodyDiv w:val="1"/>
      <w:marLeft w:val="0"/>
      <w:marRight w:val="0"/>
      <w:marTop w:val="0"/>
      <w:marBottom w:val="0"/>
      <w:divBdr>
        <w:top w:val="none" w:sz="0" w:space="0" w:color="auto"/>
        <w:left w:val="none" w:sz="0" w:space="0" w:color="auto"/>
        <w:bottom w:val="none" w:sz="0" w:space="0" w:color="auto"/>
        <w:right w:val="none" w:sz="0" w:space="0" w:color="auto"/>
      </w:divBdr>
    </w:div>
    <w:div w:id="488640537">
      <w:bodyDiv w:val="1"/>
      <w:marLeft w:val="0"/>
      <w:marRight w:val="0"/>
      <w:marTop w:val="0"/>
      <w:marBottom w:val="0"/>
      <w:divBdr>
        <w:top w:val="none" w:sz="0" w:space="0" w:color="auto"/>
        <w:left w:val="none" w:sz="0" w:space="0" w:color="auto"/>
        <w:bottom w:val="none" w:sz="0" w:space="0" w:color="auto"/>
        <w:right w:val="none" w:sz="0" w:space="0" w:color="auto"/>
      </w:divBdr>
      <w:divsChild>
        <w:div w:id="44531223">
          <w:marLeft w:val="1080"/>
          <w:marRight w:val="0"/>
          <w:marTop w:val="100"/>
          <w:marBottom w:val="0"/>
          <w:divBdr>
            <w:top w:val="none" w:sz="0" w:space="0" w:color="auto"/>
            <w:left w:val="none" w:sz="0" w:space="0" w:color="auto"/>
            <w:bottom w:val="none" w:sz="0" w:space="0" w:color="auto"/>
            <w:right w:val="none" w:sz="0" w:space="0" w:color="auto"/>
          </w:divBdr>
        </w:div>
        <w:div w:id="592008259">
          <w:marLeft w:val="360"/>
          <w:marRight w:val="0"/>
          <w:marTop w:val="200"/>
          <w:marBottom w:val="0"/>
          <w:divBdr>
            <w:top w:val="none" w:sz="0" w:space="0" w:color="auto"/>
            <w:left w:val="none" w:sz="0" w:space="0" w:color="auto"/>
            <w:bottom w:val="none" w:sz="0" w:space="0" w:color="auto"/>
            <w:right w:val="none" w:sz="0" w:space="0" w:color="auto"/>
          </w:divBdr>
        </w:div>
        <w:div w:id="830369471">
          <w:marLeft w:val="360"/>
          <w:marRight w:val="0"/>
          <w:marTop w:val="200"/>
          <w:marBottom w:val="0"/>
          <w:divBdr>
            <w:top w:val="none" w:sz="0" w:space="0" w:color="auto"/>
            <w:left w:val="none" w:sz="0" w:space="0" w:color="auto"/>
            <w:bottom w:val="none" w:sz="0" w:space="0" w:color="auto"/>
            <w:right w:val="none" w:sz="0" w:space="0" w:color="auto"/>
          </w:divBdr>
        </w:div>
        <w:div w:id="881793592">
          <w:marLeft w:val="1080"/>
          <w:marRight w:val="0"/>
          <w:marTop w:val="100"/>
          <w:marBottom w:val="0"/>
          <w:divBdr>
            <w:top w:val="none" w:sz="0" w:space="0" w:color="auto"/>
            <w:left w:val="none" w:sz="0" w:space="0" w:color="auto"/>
            <w:bottom w:val="none" w:sz="0" w:space="0" w:color="auto"/>
            <w:right w:val="none" w:sz="0" w:space="0" w:color="auto"/>
          </w:divBdr>
        </w:div>
        <w:div w:id="1319840904">
          <w:marLeft w:val="1080"/>
          <w:marRight w:val="0"/>
          <w:marTop w:val="100"/>
          <w:marBottom w:val="0"/>
          <w:divBdr>
            <w:top w:val="none" w:sz="0" w:space="0" w:color="auto"/>
            <w:left w:val="none" w:sz="0" w:space="0" w:color="auto"/>
            <w:bottom w:val="none" w:sz="0" w:space="0" w:color="auto"/>
            <w:right w:val="none" w:sz="0" w:space="0" w:color="auto"/>
          </w:divBdr>
        </w:div>
        <w:div w:id="1951736194">
          <w:marLeft w:val="1080"/>
          <w:marRight w:val="0"/>
          <w:marTop w:val="100"/>
          <w:marBottom w:val="0"/>
          <w:divBdr>
            <w:top w:val="none" w:sz="0" w:space="0" w:color="auto"/>
            <w:left w:val="none" w:sz="0" w:space="0" w:color="auto"/>
            <w:bottom w:val="none" w:sz="0" w:space="0" w:color="auto"/>
            <w:right w:val="none" w:sz="0" w:space="0" w:color="auto"/>
          </w:divBdr>
        </w:div>
        <w:div w:id="1991326795">
          <w:marLeft w:val="1080"/>
          <w:marRight w:val="0"/>
          <w:marTop w:val="100"/>
          <w:marBottom w:val="0"/>
          <w:divBdr>
            <w:top w:val="none" w:sz="0" w:space="0" w:color="auto"/>
            <w:left w:val="none" w:sz="0" w:space="0" w:color="auto"/>
            <w:bottom w:val="none" w:sz="0" w:space="0" w:color="auto"/>
            <w:right w:val="none" w:sz="0" w:space="0" w:color="auto"/>
          </w:divBdr>
        </w:div>
        <w:div w:id="2042196123">
          <w:marLeft w:val="1080"/>
          <w:marRight w:val="0"/>
          <w:marTop w:val="100"/>
          <w:marBottom w:val="0"/>
          <w:divBdr>
            <w:top w:val="none" w:sz="0" w:space="0" w:color="auto"/>
            <w:left w:val="none" w:sz="0" w:space="0" w:color="auto"/>
            <w:bottom w:val="none" w:sz="0" w:space="0" w:color="auto"/>
            <w:right w:val="none" w:sz="0" w:space="0" w:color="auto"/>
          </w:divBdr>
        </w:div>
      </w:divsChild>
    </w:div>
    <w:div w:id="594362311">
      <w:bodyDiv w:val="1"/>
      <w:marLeft w:val="0"/>
      <w:marRight w:val="0"/>
      <w:marTop w:val="0"/>
      <w:marBottom w:val="0"/>
      <w:divBdr>
        <w:top w:val="none" w:sz="0" w:space="0" w:color="auto"/>
        <w:left w:val="none" w:sz="0" w:space="0" w:color="auto"/>
        <w:bottom w:val="none" w:sz="0" w:space="0" w:color="auto"/>
        <w:right w:val="none" w:sz="0" w:space="0" w:color="auto"/>
      </w:divBdr>
      <w:divsChild>
        <w:div w:id="304967189">
          <w:marLeft w:val="1080"/>
          <w:marRight w:val="0"/>
          <w:marTop w:val="100"/>
          <w:marBottom w:val="0"/>
          <w:divBdr>
            <w:top w:val="none" w:sz="0" w:space="0" w:color="auto"/>
            <w:left w:val="none" w:sz="0" w:space="0" w:color="auto"/>
            <w:bottom w:val="none" w:sz="0" w:space="0" w:color="auto"/>
            <w:right w:val="none" w:sz="0" w:space="0" w:color="auto"/>
          </w:divBdr>
        </w:div>
        <w:div w:id="354885057">
          <w:marLeft w:val="1080"/>
          <w:marRight w:val="0"/>
          <w:marTop w:val="100"/>
          <w:marBottom w:val="0"/>
          <w:divBdr>
            <w:top w:val="none" w:sz="0" w:space="0" w:color="auto"/>
            <w:left w:val="none" w:sz="0" w:space="0" w:color="auto"/>
            <w:bottom w:val="none" w:sz="0" w:space="0" w:color="auto"/>
            <w:right w:val="none" w:sz="0" w:space="0" w:color="auto"/>
          </w:divBdr>
        </w:div>
        <w:div w:id="456991502">
          <w:marLeft w:val="1080"/>
          <w:marRight w:val="0"/>
          <w:marTop w:val="100"/>
          <w:marBottom w:val="0"/>
          <w:divBdr>
            <w:top w:val="none" w:sz="0" w:space="0" w:color="auto"/>
            <w:left w:val="none" w:sz="0" w:space="0" w:color="auto"/>
            <w:bottom w:val="none" w:sz="0" w:space="0" w:color="auto"/>
            <w:right w:val="none" w:sz="0" w:space="0" w:color="auto"/>
          </w:divBdr>
        </w:div>
        <w:div w:id="538712151">
          <w:marLeft w:val="360"/>
          <w:marRight w:val="0"/>
          <w:marTop w:val="200"/>
          <w:marBottom w:val="0"/>
          <w:divBdr>
            <w:top w:val="none" w:sz="0" w:space="0" w:color="auto"/>
            <w:left w:val="none" w:sz="0" w:space="0" w:color="auto"/>
            <w:bottom w:val="none" w:sz="0" w:space="0" w:color="auto"/>
            <w:right w:val="none" w:sz="0" w:space="0" w:color="auto"/>
          </w:divBdr>
        </w:div>
        <w:div w:id="707605129">
          <w:marLeft w:val="1080"/>
          <w:marRight w:val="0"/>
          <w:marTop w:val="100"/>
          <w:marBottom w:val="0"/>
          <w:divBdr>
            <w:top w:val="none" w:sz="0" w:space="0" w:color="auto"/>
            <w:left w:val="none" w:sz="0" w:space="0" w:color="auto"/>
            <w:bottom w:val="none" w:sz="0" w:space="0" w:color="auto"/>
            <w:right w:val="none" w:sz="0" w:space="0" w:color="auto"/>
          </w:divBdr>
        </w:div>
        <w:div w:id="935866165">
          <w:marLeft w:val="1080"/>
          <w:marRight w:val="0"/>
          <w:marTop w:val="100"/>
          <w:marBottom w:val="0"/>
          <w:divBdr>
            <w:top w:val="none" w:sz="0" w:space="0" w:color="auto"/>
            <w:left w:val="none" w:sz="0" w:space="0" w:color="auto"/>
            <w:bottom w:val="none" w:sz="0" w:space="0" w:color="auto"/>
            <w:right w:val="none" w:sz="0" w:space="0" w:color="auto"/>
          </w:divBdr>
        </w:div>
        <w:div w:id="972516698">
          <w:marLeft w:val="1080"/>
          <w:marRight w:val="0"/>
          <w:marTop w:val="100"/>
          <w:marBottom w:val="0"/>
          <w:divBdr>
            <w:top w:val="none" w:sz="0" w:space="0" w:color="auto"/>
            <w:left w:val="none" w:sz="0" w:space="0" w:color="auto"/>
            <w:bottom w:val="none" w:sz="0" w:space="0" w:color="auto"/>
            <w:right w:val="none" w:sz="0" w:space="0" w:color="auto"/>
          </w:divBdr>
        </w:div>
        <w:div w:id="1740470433">
          <w:marLeft w:val="360"/>
          <w:marRight w:val="0"/>
          <w:marTop w:val="200"/>
          <w:marBottom w:val="0"/>
          <w:divBdr>
            <w:top w:val="none" w:sz="0" w:space="0" w:color="auto"/>
            <w:left w:val="none" w:sz="0" w:space="0" w:color="auto"/>
            <w:bottom w:val="none" w:sz="0" w:space="0" w:color="auto"/>
            <w:right w:val="none" w:sz="0" w:space="0" w:color="auto"/>
          </w:divBdr>
        </w:div>
        <w:div w:id="2009675013">
          <w:marLeft w:val="1080"/>
          <w:marRight w:val="0"/>
          <w:marTop w:val="100"/>
          <w:marBottom w:val="0"/>
          <w:divBdr>
            <w:top w:val="none" w:sz="0" w:space="0" w:color="auto"/>
            <w:left w:val="none" w:sz="0" w:space="0" w:color="auto"/>
            <w:bottom w:val="none" w:sz="0" w:space="0" w:color="auto"/>
            <w:right w:val="none" w:sz="0" w:space="0" w:color="auto"/>
          </w:divBdr>
        </w:div>
      </w:divsChild>
    </w:div>
    <w:div w:id="600916317">
      <w:bodyDiv w:val="1"/>
      <w:marLeft w:val="0"/>
      <w:marRight w:val="0"/>
      <w:marTop w:val="0"/>
      <w:marBottom w:val="0"/>
      <w:divBdr>
        <w:top w:val="none" w:sz="0" w:space="0" w:color="auto"/>
        <w:left w:val="none" w:sz="0" w:space="0" w:color="auto"/>
        <w:bottom w:val="none" w:sz="0" w:space="0" w:color="auto"/>
        <w:right w:val="none" w:sz="0" w:space="0" w:color="auto"/>
      </w:divBdr>
    </w:div>
    <w:div w:id="635764738">
      <w:bodyDiv w:val="1"/>
      <w:marLeft w:val="0"/>
      <w:marRight w:val="0"/>
      <w:marTop w:val="0"/>
      <w:marBottom w:val="0"/>
      <w:divBdr>
        <w:top w:val="none" w:sz="0" w:space="0" w:color="auto"/>
        <w:left w:val="none" w:sz="0" w:space="0" w:color="auto"/>
        <w:bottom w:val="none" w:sz="0" w:space="0" w:color="auto"/>
        <w:right w:val="none" w:sz="0" w:space="0" w:color="auto"/>
      </w:divBdr>
      <w:divsChild>
        <w:div w:id="246694532">
          <w:marLeft w:val="360"/>
          <w:marRight w:val="0"/>
          <w:marTop w:val="200"/>
          <w:marBottom w:val="0"/>
          <w:divBdr>
            <w:top w:val="none" w:sz="0" w:space="0" w:color="auto"/>
            <w:left w:val="none" w:sz="0" w:space="0" w:color="auto"/>
            <w:bottom w:val="none" w:sz="0" w:space="0" w:color="auto"/>
            <w:right w:val="none" w:sz="0" w:space="0" w:color="auto"/>
          </w:divBdr>
        </w:div>
        <w:div w:id="277570877">
          <w:marLeft w:val="360"/>
          <w:marRight w:val="0"/>
          <w:marTop w:val="200"/>
          <w:marBottom w:val="0"/>
          <w:divBdr>
            <w:top w:val="none" w:sz="0" w:space="0" w:color="auto"/>
            <w:left w:val="none" w:sz="0" w:space="0" w:color="auto"/>
            <w:bottom w:val="none" w:sz="0" w:space="0" w:color="auto"/>
            <w:right w:val="none" w:sz="0" w:space="0" w:color="auto"/>
          </w:divBdr>
        </w:div>
        <w:div w:id="305362151">
          <w:marLeft w:val="360"/>
          <w:marRight w:val="0"/>
          <w:marTop w:val="200"/>
          <w:marBottom w:val="0"/>
          <w:divBdr>
            <w:top w:val="none" w:sz="0" w:space="0" w:color="auto"/>
            <w:left w:val="none" w:sz="0" w:space="0" w:color="auto"/>
            <w:bottom w:val="none" w:sz="0" w:space="0" w:color="auto"/>
            <w:right w:val="none" w:sz="0" w:space="0" w:color="auto"/>
          </w:divBdr>
        </w:div>
        <w:div w:id="853106230">
          <w:marLeft w:val="360"/>
          <w:marRight w:val="0"/>
          <w:marTop w:val="200"/>
          <w:marBottom w:val="0"/>
          <w:divBdr>
            <w:top w:val="none" w:sz="0" w:space="0" w:color="auto"/>
            <w:left w:val="none" w:sz="0" w:space="0" w:color="auto"/>
            <w:bottom w:val="none" w:sz="0" w:space="0" w:color="auto"/>
            <w:right w:val="none" w:sz="0" w:space="0" w:color="auto"/>
          </w:divBdr>
        </w:div>
        <w:div w:id="1194268005">
          <w:marLeft w:val="1080"/>
          <w:marRight w:val="0"/>
          <w:marTop w:val="100"/>
          <w:marBottom w:val="0"/>
          <w:divBdr>
            <w:top w:val="none" w:sz="0" w:space="0" w:color="auto"/>
            <w:left w:val="none" w:sz="0" w:space="0" w:color="auto"/>
            <w:bottom w:val="none" w:sz="0" w:space="0" w:color="auto"/>
            <w:right w:val="none" w:sz="0" w:space="0" w:color="auto"/>
          </w:divBdr>
        </w:div>
        <w:div w:id="1300110644">
          <w:marLeft w:val="1080"/>
          <w:marRight w:val="0"/>
          <w:marTop w:val="100"/>
          <w:marBottom w:val="0"/>
          <w:divBdr>
            <w:top w:val="none" w:sz="0" w:space="0" w:color="auto"/>
            <w:left w:val="none" w:sz="0" w:space="0" w:color="auto"/>
            <w:bottom w:val="none" w:sz="0" w:space="0" w:color="auto"/>
            <w:right w:val="none" w:sz="0" w:space="0" w:color="auto"/>
          </w:divBdr>
        </w:div>
        <w:div w:id="1622226872">
          <w:marLeft w:val="1080"/>
          <w:marRight w:val="0"/>
          <w:marTop w:val="100"/>
          <w:marBottom w:val="0"/>
          <w:divBdr>
            <w:top w:val="none" w:sz="0" w:space="0" w:color="auto"/>
            <w:left w:val="none" w:sz="0" w:space="0" w:color="auto"/>
            <w:bottom w:val="none" w:sz="0" w:space="0" w:color="auto"/>
            <w:right w:val="none" w:sz="0" w:space="0" w:color="auto"/>
          </w:divBdr>
        </w:div>
        <w:div w:id="1668051964">
          <w:marLeft w:val="1080"/>
          <w:marRight w:val="0"/>
          <w:marTop w:val="100"/>
          <w:marBottom w:val="0"/>
          <w:divBdr>
            <w:top w:val="none" w:sz="0" w:space="0" w:color="auto"/>
            <w:left w:val="none" w:sz="0" w:space="0" w:color="auto"/>
            <w:bottom w:val="none" w:sz="0" w:space="0" w:color="auto"/>
            <w:right w:val="none" w:sz="0" w:space="0" w:color="auto"/>
          </w:divBdr>
        </w:div>
        <w:div w:id="1898079192">
          <w:marLeft w:val="1080"/>
          <w:marRight w:val="0"/>
          <w:marTop w:val="100"/>
          <w:marBottom w:val="0"/>
          <w:divBdr>
            <w:top w:val="none" w:sz="0" w:space="0" w:color="auto"/>
            <w:left w:val="none" w:sz="0" w:space="0" w:color="auto"/>
            <w:bottom w:val="none" w:sz="0" w:space="0" w:color="auto"/>
            <w:right w:val="none" w:sz="0" w:space="0" w:color="auto"/>
          </w:divBdr>
        </w:div>
      </w:divsChild>
    </w:div>
    <w:div w:id="681201325">
      <w:bodyDiv w:val="1"/>
      <w:marLeft w:val="0"/>
      <w:marRight w:val="0"/>
      <w:marTop w:val="0"/>
      <w:marBottom w:val="0"/>
      <w:divBdr>
        <w:top w:val="none" w:sz="0" w:space="0" w:color="auto"/>
        <w:left w:val="none" w:sz="0" w:space="0" w:color="auto"/>
        <w:bottom w:val="none" w:sz="0" w:space="0" w:color="auto"/>
        <w:right w:val="none" w:sz="0" w:space="0" w:color="auto"/>
      </w:divBdr>
    </w:div>
    <w:div w:id="867374196">
      <w:bodyDiv w:val="1"/>
      <w:marLeft w:val="0"/>
      <w:marRight w:val="0"/>
      <w:marTop w:val="0"/>
      <w:marBottom w:val="0"/>
      <w:divBdr>
        <w:top w:val="none" w:sz="0" w:space="0" w:color="auto"/>
        <w:left w:val="none" w:sz="0" w:space="0" w:color="auto"/>
        <w:bottom w:val="none" w:sz="0" w:space="0" w:color="auto"/>
        <w:right w:val="none" w:sz="0" w:space="0" w:color="auto"/>
      </w:divBdr>
    </w:div>
    <w:div w:id="893925438">
      <w:bodyDiv w:val="1"/>
      <w:marLeft w:val="0"/>
      <w:marRight w:val="0"/>
      <w:marTop w:val="0"/>
      <w:marBottom w:val="0"/>
      <w:divBdr>
        <w:top w:val="none" w:sz="0" w:space="0" w:color="auto"/>
        <w:left w:val="none" w:sz="0" w:space="0" w:color="auto"/>
        <w:bottom w:val="none" w:sz="0" w:space="0" w:color="auto"/>
        <w:right w:val="none" w:sz="0" w:space="0" w:color="auto"/>
      </w:divBdr>
      <w:divsChild>
        <w:div w:id="127285217">
          <w:marLeft w:val="360"/>
          <w:marRight w:val="0"/>
          <w:marTop w:val="200"/>
          <w:marBottom w:val="0"/>
          <w:divBdr>
            <w:top w:val="none" w:sz="0" w:space="0" w:color="auto"/>
            <w:left w:val="none" w:sz="0" w:space="0" w:color="auto"/>
            <w:bottom w:val="none" w:sz="0" w:space="0" w:color="auto"/>
            <w:right w:val="none" w:sz="0" w:space="0" w:color="auto"/>
          </w:divBdr>
        </w:div>
        <w:div w:id="932519090">
          <w:marLeft w:val="360"/>
          <w:marRight w:val="0"/>
          <w:marTop w:val="200"/>
          <w:marBottom w:val="0"/>
          <w:divBdr>
            <w:top w:val="none" w:sz="0" w:space="0" w:color="auto"/>
            <w:left w:val="none" w:sz="0" w:space="0" w:color="auto"/>
            <w:bottom w:val="none" w:sz="0" w:space="0" w:color="auto"/>
            <w:right w:val="none" w:sz="0" w:space="0" w:color="auto"/>
          </w:divBdr>
        </w:div>
        <w:div w:id="1000237317">
          <w:marLeft w:val="1080"/>
          <w:marRight w:val="0"/>
          <w:marTop w:val="100"/>
          <w:marBottom w:val="0"/>
          <w:divBdr>
            <w:top w:val="none" w:sz="0" w:space="0" w:color="auto"/>
            <w:left w:val="none" w:sz="0" w:space="0" w:color="auto"/>
            <w:bottom w:val="none" w:sz="0" w:space="0" w:color="auto"/>
            <w:right w:val="none" w:sz="0" w:space="0" w:color="auto"/>
          </w:divBdr>
        </w:div>
        <w:div w:id="1011834380">
          <w:marLeft w:val="1080"/>
          <w:marRight w:val="0"/>
          <w:marTop w:val="100"/>
          <w:marBottom w:val="0"/>
          <w:divBdr>
            <w:top w:val="none" w:sz="0" w:space="0" w:color="auto"/>
            <w:left w:val="none" w:sz="0" w:space="0" w:color="auto"/>
            <w:bottom w:val="none" w:sz="0" w:space="0" w:color="auto"/>
            <w:right w:val="none" w:sz="0" w:space="0" w:color="auto"/>
          </w:divBdr>
        </w:div>
        <w:div w:id="1086340105">
          <w:marLeft w:val="360"/>
          <w:marRight w:val="0"/>
          <w:marTop w:val="200"/>
          <w:marBottom w:val="0"/>
          <w:divBdr>
            <w:top w:val="none" w:sz="0" w:space="0" w:color="auto"/>
            <w:left w:val="none" w:sz="0" w:space="0" w:color="auto"/>
            <w:bottom w:val="none" w:sz="0" w:space="0" w:color="auto"/>
            <w:right w:val="none" w:sz="0" w:space="0" w:color="auto"/>
          </w:divBdr>
        </w:div>
      </w:divsChild>
    </w:div>
    <w:div w:id="939946107">
      <w:bodyDiv w:val="1"/>
      <w:marLeft w:val="0"/>
      <w:marRight w:val="0"/>
      <w:marTop w:val="0"/>
      <w:marBottom w:val="0"/>
      <w:divBdr>
        <w:top w:val="none" w:sz="0" w:space="0" w:color="auto"/>
        <w:left w:val="none" w:sz="0" w:space="0" w:color="auto"/>
        <w:bottom w:val="none" w:sz="0" w:space="0" w:color="auto"/>
        <w:right w:val="none" w:sz="0" w:space="0" w:color="auto"/>
      </w:divBdr>
    </w:div>
    <w:div w:id="963578399">
      <w:bodyDiv w:val="1"/>
      <w:marLeft w:val="0"/>
      <w:marRight w:val="0"/>
      <w:marTop w:val="0"/>
      <w:marBottom w:val="0"/>
      <w:divBdr>
        <w:top w:val="none" w:sz="0" w:space="0" w:color="auto"/>
        <w:left w:val="none" w:sz="0" w:space="0" w:color="auto"/>
        <w:bottom w:val="none" w:sz="0" w:space="0" w:color="auto"/>
        <w:right w:val="none" w:sz="0" w:space="0" w:color="auto"/>
      </w:divBdr>
      <w:divsChild>
        <w:div w:id="88815996">
          <w:marLeft w:val="360"/>
          <w:marRight w:val="0"/>
          <w:marTop w:val="200"/>
          <w:marBottom w:val="0"/>
          <w:divBdr>
            <w:top w:val="none" w:sz="0" w:space="0" w:color="auto"/>
            <w:left w:val="none" w:sz="0" w:space="0" w:color="auto"/>
            <w:bottom w:val="none" w:sz="0" w:space="0" w:color="auto"/>
            <w:right w:val="none" w:sz="0" w:space="0" w:color="auto"/>
          </w:divBdr>
        </w:div>
        <w:div w:id="725763112">
          <w:marLeft w:val="1080"/>
          <w:marRight w:val="0"/>
          <w:marTop w:val="100"/>
          <w:marBottom w:val="0"/>
          <w:divBdr>
            <w:top w:val="none" w:sz="0" w:space="0" w:color="auto"/>
            <w:left w:val="none" w:sz="0" w:space="0" w:color="auto"/>
            <w:bottom w:val="none" w:sz="0" w:space="0" w:color="auto"/>
            <w:right w:val="none" w:sz="0" w:space="0" w:color="auto"/>
          </w:divBdr>
        </w:div>
        <w:div w:id="738555062">
          <w:marLeft w:val="360"/>
          <w:marRight w:val="0"/>
          <w:marTop w:val="200"/>
          <w:marBottom w:val="0"/>
          <w:divBdr>
            <w:top w:val="none" w:sz="0" w:space="0" w:color="auto"/>
            <w:left w:val="none" w:sz="0" w:space="0" w:color="auto"/>
            <w:bottom w:val="none" w:sz="0" w:space="0" w:color="auto"/>
            <w:right w:val="none" w:sz="0" w:space="0" w:color="auto"/>
          </w:divBdr>
        </w:div>
        <w:div w:id="1163357916">
          <w:marLeft w:val="1080"/>
          <w:marRight w:val="0"/>
          <w:marTop w:val="100"/>
          <w:marBottom w:val="0"/>
          <w:divBdr>
            <w:top w:val="none" w:sz="0" w:space="0" w:color="auto"/>
            <w:left w:val="none" w:sz="0" w:space="0" w:color="auto"/>
            <w:bottom w:val="none" w:sz="0" w:space="0" w:color="auto"/>
            <w:right w:val="none" w:sz="0" w:space="0" w:color="auto"/>
          </w:divBdr>
        </w:div>
        <w:div w:id="1350907602">
          <w:marLeft w:val="1080"/>
          <w:marRight w:val="0"/>
          <w:marTop w:val="100"/>
          <w:marBottom w:val="0"/>
          <w:divBdr>
            <w:top w:val="none" w:sz="0" w:space="0" w:color="auto"/>
            <w:left w:val="none" w:sz="0" w:space="0" w:color="auto"/>
            <w:bottom w:val="none" w:sz="0" w:space="0" w:color="auto"/>
            <w:right w:val="none" w:sz="0" w:space="0" w:color="auto"/>
          </w:divBdr>
        </w:div>
        <w:div w:id="1673097478">
          <w:marLeft w:val="1080"/>
          <w:marRight w:val="0"/>
          <w:marTop w:val="100"/>
          <w:marBottom w:val="0"/>
          <w:divBdr>
            <w:top w:val="none" w:sz="0" w:space="0" w:color="auto"/>
            <w:left w:val="none" w:sz="0" w:space="0" w:color="auto"/>
            <w:bottom w:val="none" w:sz="0" w:space="0" w:color="auto"/>
            <w:right w:val="none" w:sz="0" w:space="0" w:color="auto"/>
          </w:divBdr>
        </w:div>
      </w:divsChild>
    </w:div>
    <w:div w:id="1287545521">
      <w:bodyDiv w:val="1"/>
      <w:marLeft w:val="0"/>
      <w:marRight w:val="0"/>
      <w:marTop w:val="0"/>
      <w:marBottom w:val="0"/>
      <w:divBdr>
        <w:top w:val="none" w:sz="0" w:space="0" w:color="auto"/>
        <w:left w:val="none" w:sz="0" w:space="0" w:color="auto"/>
        <w:bottom w:val="none" w:sz="0" w:space="0" w:color="auto"/>
        <w:right w:val="none" w:sz="0" w:space="0" w:color="auto"/>
      </w:divBdr>
      <w:divsChild>
        <w:div w:id="177545123">
          <w:marLeft w:val="360"/>
          <w:marRight w:val="0"/>
          <w:marTop w:val="200"/>
          <w:marBottom w:val="0"/>
          <w:divBdr>
            <w:top w:val="none" w:sz="0" w:space="0" w:color="auto"/>
            <w:left w:val="none" w:sz="0" w:space="0" w:color="auto"/>
            <w:bottom w:val="none" w:sz="0" w:space="0" w:color="auto"/>
            <w:right w:val="none" w:sz="0" w:space="0" w:color="auto"/>
          </w:divBdr>
        </w:div>
        <w:div w:id="698239431">
          <w:marLeft w:val="1080"/>
          <w:marRight w:val="0"/>
          <w:marTop w:val="100"/>
          <w:marBottom w:val="0"/>
          <w:divBdr>
            <w:top w:val="none" w:sz="0" w:space="0" w:color="auto"/>
            <w:left w:val="none" w:sz="0" w:space="0" w:color="auto"/>
            <w:bottom w:val="none" w:sz="0" w:space="0" w:color="auto"/>
            <w:right w:val="none" w:sz="0" w:space="0" w:color="auto"/>
          </w:divBdr>
        </w:div>
        <w:div w:id="1014696019">
          <w:marLeft w:val="1080"/>
          <w:marRight w:val="0"/>
          <w:marTop w:val="100"/>
          <w:marBottom w:val="0"/>
          <w:divBdr>
            <w:top w:val="none" w:sz="0" w:space="0" w:color="auto"/>
            <w:left w:val="none" w:sz="0" w:space="0" w:color="auto"/>
            <w:bottom w:val="none" w:sz="0" w:space="0" w:color="auto"/>
            <w:right w:val="none" w:sz="0" w:space="0" w:color="auto"/>
          </w:divBdr>
        </w:div>
        <w:div w:id="1306354510">
          <w:marLeft w:val="1080"/>
          <w:marRight w:val="0"/>
          <w:marTop w:val="100"/>
          <w:marBottom w:val="0"/>
          <w:divBdr>
            <w:top w:val="none" w:sz="0" w:space="0" w:color="auto"/>
            <w:left w:val="none" w:sz="0" w:space="0" w:color="auto"/>
            <w:bottom w:val="none" w:sz="0" w:space="0" w:color="auto"/>
            <w:right w:val="none" w:sz="0" w:space="0" w:color="auto"/>
          </w:divBdr>
        </w:div>
        <w:div w:id="1449156755">
          <w:marLeft w:val="360"/>
          <w:marRight w:val="0"/>
          <w:marTop w:val="200"/>
          <w:marBottom w:val="0"/>
          <w:divBdr>
            <w:top w:val="none" w:sz="0" w:space="0" w:color="auto"/>
            <w:left w:val="none" w:sz="0" w:space="0" w:color="auto"/>
            <w:bottom w:val="none" w:sz="0" w:space="0" w:color="auto"/>
            <w:right w:val="none" w:sz="0" w:space="0" w:color="auto"/>
          </w:divBdr>
        </w:div>
      </w:divsChild>
    </w:div>
    <w:div w:id="1352994836">
      <w:bodyDiv w:val="1"/>
      <w:marLeft w:val="0"/>
      <w:marRight w:val="0"/>
      <w:marTop w:val="0"/>
      <w:marBottom w:val="0"/>
      <w:divBdr>
        <w:top w:val="none" w:sz="0" w:space="0" w:color="auto"/>
        <w:left w:val="none" w:sz="0" w:space="0" w:color="auto"/>
        <w:bottom w:val="none" w:sz="0" w:space="0" w:color="auto"/>
        <w:right w:val="none" w:sz="0" w:space="0" w:color="auto"/>
      </w:divBdr>
    </w:div>
    <w:div w:id="1403213055">
      <w:bodyDiv w:val="1"/>
      <w:marLeft w:val="0"/>
      <w:marRight w:val="0"/>
      <w:marTop w:val="0"/>
      <w:marBottom w:val="0"/>
      <w:divBdr>
        <w:top w:val="none" w:sz="0" w:space="0" w:color="auto"/>
        <w:left w:val="none" w:sz="0" w:space="0" w:color="auto"/>
        <w:bottom w:val="none" w:sz="0" w:space="0" w:color="auto"/>
        <w:right w:val="none" w:sz="0" w:space="0" w:color="auto"/>
      </w:divBdr>
    </w:div>
    <w:div w:id="1406101328">
      <w:bodyDiv w:val="1"/>
      <w:marLeft w:val="0"/>
      <w:marRight w:val="0"/>
      <w:marTop w:val="0"/>
      <w:marBottom w:val="0"/>
      <w:divBdr>
        <w:top w:val="none" w:sz="0" w:space="0" w:color="auto"/>
        <w:left w:val="none" w:sz="0" w:space="0" w:color="auto"/>
        <w:bottom w:val="none" w:sz="0" w:space="0" w:color="auto"/>
        <w:right w:val="none" w:sz="0" w:space="0" w:color="auto"/>
      </w:divBdr>
    </w:div>
    <w:div w:id="1410693851">
      <w:bodyDiv w:val="1"/>
      <w:marLeft w:val="0"/>
      <w:marRight w:val="0"/>
      <w:marTop w:val="0"/>
      <w:marBottom w:val="0"/>
      <w:divBdr>
        <w:top w:val="none" w:sz="0" w:space="0" w:color="auto"/>
        <w:left w:val="none" w:sz="0" w:space="0" w:color="auto"/>
        <w:bottom w:val="none" w:sz="0" w:space="0" w:color="auto"/>
        <w:right w:val="none" w:sz="0" w:space="0" w:color="auto"/>
      </w:divBdr>
    </w:div>
    <w:div w:id="1610241211">
      <w:bodyDiv w:val="1"/>
      <w:marLeft w:val="0"/>
      <w:marRight w:val="0"/>
      <w:marTop w:val="0"/>
      <w:marBottom w:val="0"/>
      <w:divBdr>
        <w:top w:val="none" w:sz="0" w:space="0" w:color="auto"/>
        <w:left w:val="none" w:sz="0" w:space="0" w:color="auto"/>
        <w:bottom w:val="none" w:sz="0" w:space="0" w:color="auto"/>
        <w:right w:val="none" w:sz="0" w:space="0" w:color="auto"/>
      </w:divBdr>
      <w:divsChild>
        <w:div w:id="991523020">
          <w:marLeft w:val="1080"/>
          <w:marRight w:val="0"/>
          <w:marTop w:val="100"/>
          <w:marBottom w:val="0"/>
          <w:divBdr>
            <w:top w:val="none" w:sz="0" w:space="0" w:color="auto"/>
            <w:left w:val="none" w:sz="0" w:space="0" w:color="auto"/>
            <w:bottom w:val="none" w:sz="0" w:space="0" w:color="auto"/>
            <w:right w:val="none" w:sz="0" w:space="0" w:color="auto"/>
          </w:divBdr>
        </w:div>
        <w:div w:id="1326857476">
          <w:marLeft w:val="360"/>
          <w:marRight w:val="0"/>
          <w:marTop w:val="200"/>
          <w:marBottom w:val="0"/>
          <w:divBdr>
            <w:top w:val="none" w:sz="0" w:space="0" w:color="auto"/>
            <w:left w:val="none" w:sz="0" w:space="0" w:color="auto"/>
            <w:bottom w:val="none" w:sz="0" w:space="0" w:color="auto"/>
            <w:right w:val="none" w:sz="0" w:space="0" w:color="auto"/>
          </w:divBdr>
        </w:div>
        <w:div w:id="1808547336">
          <w:marLeft w:val="1080"/>
          <w:marRight w:val="0"/>
          <w:marTop w:val="100"/>
          <w:marBottom w:val="0"/>
          <w:divBdr>
            <w:top w:val="none" w:sz="0" w:space="0" w:color="auto"/>
            <w:left w:val="none" w:sz="0" w:space="0" w:color="auto"/>
            <w:bottom w:val="none" w:sz="0" w:space="0" w:color="auto"/>
            <w:right w:val="none" w:sz="0" w:space="0" w:color="auto"/>
          </w:divBdr>
        </w:div>
      </w:divsChild>
    </w:div>
    <w:div w:id="1715540837">
      <w:bodyDiv w:val="1"/>
      <w:marLeft w:val="0"/>
      <w:marRight w:val="0"/>
      <w:marTop w:val="0"/>
      <w:marBottom w:val="0"/>
      <w:divBdr>
        <w:top w:val="none" w:sz="0" w:space="0" w:color="auto"/>
        <w:left w:val="none" w:sz="0" w:space="0" w:color="auto"/>
        <w:bottom w:val="none" w:sz="0" w:space="0" w:color="auto"/>
        <w:right w:val="none" w:sz="0" w:space="0" w:color="auto"/>
      </w:divBdr>
      <w:divsChild>
        <w:div w:id="347759042">
          <w:marLeft w:val="360"/>
          <w:marRight w:val="0"/>
          <w:marTop w:val="200"/>
          <w:marBottom w:val="0"/>
          <w:divBdr>
            <w:top w:val="none" w:sz="0" w:space="0" w:color="auto"/>
            <w:left w:val="none" w:sz="0" w:space="0" w:color="auto"/>
            <w:bottom w:val="none" w:sz="0" w:space="0" w:color="auto"/>
            <w:right w:val="none" w:sz="0" w:space="0" w:color="auto"/>
          </w:divBdr>
        </w:div>
        <w:div w:id="1147356561">
          <w:marLeft w:val="360"/>
          <w:marRight w:val="0"/>
          <w:marTop w:val="200"/>
          <w:marBottom w:val="0"/>
          <w:divBdr>
            <w:top w:val="none" w:sz="0" w:space="0" w:color="auto"/>
            <w:left w:val="none" w:sz="0" w:space="0" w:color="auto"/>
            <w:bottom w:val="none" w:sz="0" w:space="0" w:color="auto"/>
            <w:right w:val="none" w:sz="0" w:space="0" w:color="auto"/>
          </w:divBdr>
        </w:div>
        <w:div w:id="1422216227">
          <w:marLeft w:val="1080"/>
          <w:marRight w:val="0"/>
          <w:marTop w:val="100"/>
          <w:marBottom w:val="0"/>
          <w:divBdr>
            <w:top w:val="none" w:sz="0" w:space="0" w:color="auto"/>
            <w:left w:val="none" w:sz="0" w:space="0" w:color="auto"/>
            <w:bottom w:val="none" w:sz="0" w:space="0" w:color="auto"/>
            <w:right w:val="none" w:sz="0" w:space="0" w:color="auto"/>
          </w:divBdr>
        </w:div>
        <w:div w:id="1901091000">
          <w:marLeft w:val="1080"/>
          <w:marRight w:val="0"/>
          <w:marTop w:val="100"/>
          <w:marBottom w:val="0"/>
          <w:divBdr>
            <w:top w:val="none" w:sz="0" w:space="0" w:color="auto"/>
            <w:left w:val="none" w:sz="0" w:space="0" w:color="auto"/>
            <w:bottom w:val="none" w:sz="0" w:space="0" w:color="auto"/>
            <w:right w:val="none" w:sz="0" w:space="0" w:color="auto"/>
          </w:divBdr>
        </w:div>
        <w:div w:id="2021196300">
          <w:marLeft w:val="360"/>
          <w:marRight w:val="0"/>
          <w:marTop w:val="200"/>
          <w:marBottom w:val="0"/>
          <w:divBdr>
            <w:top w:val="none" w:sz="0" w:space="0" w:color="auto"/>
            <w:left w:val="none" w:sz="0" w:space="0" w:color="auto"/>
            <w:bottom w:val="none" w:sz="0" w:space="0" w:color="auto"/>
            <w:right w:val="none" w:sz="0" w:space="0" w:color="auto"/>
          </w:divBdr>
        </w:div>
      </w:divsChild>
    </w:div>
    <w:div w:id="1815175910">
      <w:bodyDiv w:val="1"/>
      <w:marLeft w:val="0"/>
      <w:marRight w:val="0"/>
      <w:marTop w:val="0"/>
      <w:marBottom w:val="0"/>
      <w:divBdr>
        <w:top w:val="none" w:sz="0" w:space="0" w:color="auto"/>
        <w:left w:val="none" w:sz="0" w:space="0" w:color="auto"/>
        <w:bottom w:val="none" w:sz="0" w:space="0" w:color="auto"/>
        <w:right w:val="none" w:sz="0" w:space="0" w:color="auto"/>
      </w:divBdr>
      <w:divsChild>
        <w:div w:id="383065727">
          <w:marLeft w:val="360"/>
          <w:marRight w:val="0"/>
          <w:marTop w:val="200"/>
          <w:marBottom w:val="0"/>
          <w:divBdr>
            <w:top w:val="none" w:sz="0" w:space="0" w:color="auto"/>
            <w:left w:val="none" w:sz="0" w:space="0" w:color="auto"/>
            <w:bottom w:val="none" w:sz="0" w:space="0" w:color="auto"/>
            <w:right w:val="none" w:sz="0" w:space="0" w:color="auto"/>
          </w:divBdr>
        </w:div>
        <w:div w:id="845098369">
          <w:marLeft w:val="360"/>
          <w:marRight w:val="0"/>
          <w:marTop w:val="200"/>
          <w:marBottom w:val="0"/>
          <w:divBdr>
            <w:top w:val="none" w:sz="0" w:space="0" w:color="auto"/>
            <w:left w:val="none" w:sz="0" w:space="0" w:color="auto"/>
            <w:bottom w:val="none" w:sz="0" w:space="0" w:color="auto"/>
            <w:right w:val="none" w:sz="0" w:space="0" w:color="auto"/>
          </w:divBdr>
        </w:div>
        <w:div w:id="871770057">
          <w:marLeft w:val="360"/>
          <w:marRight w:val="0"/>
          <w:marTop w:val="200"/>
          <w:marBottom w:val="0"/>
          <w:divBdr>
            <w:top w:val="none" w:sz="0" w:space="0" w:color="auto"/>
            <w:left w:val="none" w:sz="0" w:space="0" w:color="auto"/>
            <w:bottom w:val="none" w:sz="0" w:space="0" w:color="auto"/>
            <w:right w:val="none" w:sz="0" w:space="0" w:color="auto"/>
          </w:divBdr>
        </w:div>
        <w:div w:id="1226988115">
          <w:marLeft w:val="1080"/>
          <w:marRight w:val="0"/>
          <w:marTop w:val="100"/>
          <w:marBottom w:val="0"/>
          <w:divBdr>
            <w:top w:val="none" w:sz="0" w:space="0" w:color="auto"/>
            <w:left w:val="none" w:sz="0" w:space="0" w:color="auto"/>
            <w:bottom w:val="none" w:sz="0" w:space="0" w:color="auto"/>
            <w:right w:val="none" w:sz="0" w:space="0" w:color="auto"/>
          </w:divBdr>
        </w:div>
        <w:div w:id="1679960686">
          <w:marLeft w:val="1080"/>
          <w:marRight w:val="0"/>
          <w:marTop w:val="100"/>
          <w:marBottom w:val="0"/>
          <w:divBdr>
            <w:top w:val="none" w:sz="0" w:space="0" w:color="auto"/>
            <w:left w:val="none" w:sz="0" w:space="0" w:color="auto"/>
            <w:bottom w:val="none" w:sz="0" w:space="0" w:color="auto"/>
            <w:right w:val="none" w:sz="0" w:space="0" w:color="auto"/>
          </w:divBdr>
        </w:div>
        <w:div w:id="2050180583">
          <w:marLeft w:val="1080"/>
          <w:marRight w:val="0"/>
          <w:marTop w:val="100"/>
          <w:marBottom w:val="0"/>
          <w:divBdr>
            <w:top w:val="none" w:sz="0" w:space="0" w:color="auto"/>
            <w:left w:val="none" w:sz="0" w:space="0" w:color="auto"/>
            <w:bottom w:val="none" w:sz="0" w:space="0" w:color="auto"/>
            <w:right w:val="none" w:sz="0" w:space="0" w:color="auto"/>
          </w:divBdr>
        </w:div>
      </w:divsChild>
    </w:div>
    <w:div w:id="1892038454">
      <w:bodyDiv w:val="1"/>
      <w:marLeft w:val="0"/>
      <w:marRight w:val="0"/>
      <w:marTop w:val="0"/>
      <w:marBottom w:val="0"/>
      <w:divBdr>
        <w:top w:val="none" w:sz="0" w:space="0" w:color="auto"/>
        <w:left w:val="none" w:sz="0" w:space="0" w:color="auto"/>
        <w:bottom w:val="none" w:sz="0" w:space="0" w:color="auto"/>
        <w:right w:val="none" w:sz="0" w:space="0" w:color="auto"/>
      </w:divBdr>
      <w:divsChild>
        <w:div w:id="26414097">
          <w:marLeft w:val="360"/>
          <w:marRight w:val="0"/>
          <w:marTop w:val="200"/>
          <w:marBottom w:val="0"/>
          <w:divBdr>
            <w:top w:val="none" w:sz="0" w:space="0" w:color="auto"/>
            <w:left w:val="none" w:sz="0" w:space="0" w:color="auto"/>
            <w:bottom w:val="none" w:sz="0" w:space="0" w:color="auto"/>
            <w:right w:val="none" w:sz="0" w:space="0" w:color="auto"/>
          </w:divBdr>
        </w:div>
        <w:div w:id="497498618">
          <w:marLeft w:val="1080"/>
          <w:marRight w:val="0"/>
          <w:marTop w:val="100"/>
          <w:marBottom w:val="0"/>
          <w:divBdr>
            <w:top w:val="none" w:sz="0" w:space="0" w:color="auto"/>
            <w:left w:val="none" w:sz="0" w:space="0" w:color="auto"/>
            <w:bottom w:val="none" w:sz="0" w:space="0" w:color="auto"/>
            <w:right w:val="none" w:sz="0" w:space="0" w:color="auto"/>
          </w:divBdr>
        </w:div>
        <w:div w:id="1310788725">
          <w:marLeft w:val="360"/>
          <w:marRight w:val="0"/>
          <w:marTop w:val="200"/>
          <w:marBottom w:val="0"/>
          <w:divBdr>
            <w:top w:val="none" w:sz="0" w:space="0" w:color="auto"/>
            <w:left w:val="none" w:sz="0" w:space="0" w:color="auto"/>
            <w:bottom w:val="none" w:sz="0" w:space="0" w:color="auto"/>
            <w:right w:val="none" w:sz="0" w:space="0" w:color="auto"/>
          </w:divBdr>
        </w:div>
        <w:div w:id="1398437867">
          <w:marLeft w:val="360"/>
          <w:marRight w:val="0"/>
          <w:marTop w:val="200"/>
          <w:marBottom w:val="0"/>
          <w:divBdr>
            <w:top w:val="none" w:sz="0" w:space="0" w:color="auto"/>
            <w:left w:val="none" w:sz="0" w:space="0" w:color="auto"/>
            <w:bottom w:val="none" w:sz="0" w:space="0" w:color="auto"/>
            <w:right w:val="none" w:sz="0" w:space="0" w:color="auto"/>
          </w:divBdr>
        </w:div>
        <w:div w:id="1470199796">
          <w:marLeft w:val="1080"/>
          <w:marRight w:val="0"/>
          <w:marTop w:val="100"/>
          <w:marBottom w:val="0"/>
          <w:divBdr>
            <w:top w:val="none" w:sz="0" w:space="0" w:color="auto"/>
            <w:left w:val="none" w:sz="0" w:space="0" w:color="auto"/>
            <w:bottom w:val="none" w:sz="0" w:space="0" w:color="auto"/>
            <w:right w:val="none" w:sz="0" w:space="0" w:color="auto"/>
          </w:divBdr>
        </w:div>
      </w:divsChild>
    </w:div>
    <w:div w:id="1978492812">
      <w:bodyDiv w:val="1"/>
      <w:marLeft w:val="0"/>
      <w:marRight w:val="0"/>
      <w:marTop w:val="0"/>
      <w:marBottom w:val="0"/>
      <w:divBdr>
        <w:top w:val="none" w:sz="0" w:space="0" w:color="auto"/>
        <w:left w:val="none" w:sz="0" w:space="0" w:color="auto"/>
        <w:bottom w:val="none" w:sz="0" w:space="0" w:color="auto"/>
        <w:right w:val="none" w:sz="0" w:space="0" w:color="auto"/>
      </w:divBdr>
      <w:divsChild>
        <w:div w:id="481387983">
          <w:marLeft w:val="1080"/>
          <w:marRight w:val="0"/>
          <w:marTop w:val="100"/>
          <w:marBottom w:val="0"/>
          <w:divBdr>
            <w:top w:val="none" w:sz="0" w:space="0" w:color="auto"/>
            <w:left w:val="none" w:sz="0" w:space="0" w:color="auto"/>
            <w:bottom w:val="none" w:sz="0" w:space="0" w:color="auto"/>
            <w:right w:val="none" w:sz="0" w:space="0" w:color="auto"/>
          </w:divBdr>
        </w:div>
        <w:div w:id="721902437">
          <w:marLeft w:val="360"/>
          <w:marRight w:val="0"/>
          <w:marTop w:val="200"/>
          <w:marBottom w:val="0"/>
          <w:divBdr>
            <w:top w:val="none" w:sz="0" w:space="0" w:color="auto"/>
            <w:left w:val="none" w:sz="0" w:space="0" w:color="auto"/>
            <w:bottom w:val="none" w:sz="0" w:space="0" w:color="auto"/>
            <w:right w:val="none" w:sz="0" w:space="0" w:color="auto"/>
          </w:divBdr>
        </w:div>
        <w:div w:id="1177692066">
          <w:marLeft w:val="1080"/>
          <w:marRight w:val="0"/>
          <w:marTop w:val="100"/>
          <w:marBottom w:val="0"/>
          <w:divBdr>
            <w:top w:val="none" w:sz="0" w:space="0" w:color="auto"/>
            <w:left w:val="none" w:sz="0" w:space="0" w:color="auto"/>
            <w:bottom w:val="none" w:sz="0" w:space="0" w:color="auto"/>
            <w:right w:val="none" w:sz="0" w:space="0" w:color="auto"/>
          </w:divBdr>
        </w:div>
        <w:div w:id="1523477466">
          <w:marLeft w:val="360"/>
          <w:marRight w:val="0"/>
          <w:marTop w:val="200"/>
          <w:marBottom w:val="0"/>
          <w:divBdr>
            <w:top w:val="none" w:sz="0" w:space="0" w:color="auto"/>
            <w:left w:val="none" w:sz="0" w:space="0" w:color="auto"/>
            <w:bottom w:val="none" w:sz="0" w:space="0" w:color="auto"/>
            <w:right w:val="none" w:sz="0" w:space="0" w:color="auto"/>
          </w:divBdr>
        </w:div>
        <w:div w:id="1751808789">
          <w:marLeft w:val="1080"/>
          <w:marRight w:val="0"/>
          <w:marTop w:val="100"/>
          <w:marBottom w:val="0"/>
          <w:divBdr>
            <w:top w:val="none" w:sz="0" w:space="0" w:color="auto"/>
            <w:left w:val="none" w:sz="0" w:space="0" w:color="auto"/>
            <w:bottom w:val="none" w:sz="0" w:space="0" w:color="auto"/>
            <w:right w:val="none" w:sz="0" w:space="0" w:color="auto"/>
          </w:divBdr>
        </w:div>
        <w:div w:id="1884322588">
          <w:marLeft w:val="1080"/>
          <w:marRight w:val="0"/>
          <w:marTop w:val="100"/>
          <w:marBottom w:val="0"/>
          <w:divBdr>
            <w:top w:val="none" w:sz="0" w:space="0" w:color="auto"/>
            <w:left w:val="none" w:sz="0" w:space="0" w:color="auto"/>
            <w:bottom w:val="none" w:sz="0" w:space="0" w:color="auto"/>
            <w:right w:val="none" w:sz="0" w:space="0" w:color="auto"/>
          </w:divBdr>
        </w:div>
        <w:div w:id="1940527542">
          <w:marLeft w:val="1080"/>
          <w:marRight w:val="0"/>
          <w:marTop w:val="100"/>
          <w:marBottom w:val="0"/>
          <w:divBdr>
            <w:top w:val="none" w:sz="0" w:space="0" w:color="auto"/>
            <w:left w:val="none" w:sz="0" w:space="0" w:color="auto"/>
            <w:bottom w:val="none" w:sz="0" w:space="0" w:color="auto"/>
            <w:right w:val="none" w:sz="0" w:space="0" w:color="auto"/>
          </w:divBdr>
        </w:div>
      </w:divsChild>
    </w:div>
    <w:div w:id="2046320580">
      <w:bodyDiv w:val="1"/>
      <w:marLeft w:val="0"/>
      <w:marRight w:val="0"/>
      <w:marTop w:val="0"/>
      <w:marBottom w:val="0"/>
      <w:divBdr>
        <w:top w:val="none" w:sz="0" w:space="0" w:color="auto"/>
        <w:left w:val="none" w:sz="0" w:space="0" w:color="auto"/>
        <w:bottom w:val="none" w:sz="0" w:space="0" w:color="auto"/>
        <w:right w:val="none" w:sz="0" w:space="0" w:color="auto"/>
      </w:divBdr>
      <w:divsChild>
        <w:div w:id="119305549">
          <w:marLeft w:val="1080"/>
          <w:marRight w:val="0"/>
          <w:marTop w:val="100"/>
          <w:marBottom w:val="0"/>
          <w:divBdr>
            <w:top w:val="none" w:sz="0" w:space="0" w:color="auto"/>
            <w:left w:val="none" w:sz="0" w:space="0" w:color="auto"/>
            <w:bottom w:val="none" w:sz="0" w:space="0" w:color="auto"/>
            <w:right w:val="none" w:sz="0" w:space="0" w:color="auto"/>
          </w:divBdr>
        </w:div>
        <w:div w:id="390353290">
          <w:marLeft w:val="1080"/>
          <w:marRight w:val="0"/>
          <w:marTop w:val="100"/>
          <w:marBottom w:val="0"/>
          <w:divBdr>
            <w:top w:val="none" w:sz="0" w:space="0" w:color="auto"/>
            <w:left w:val="none" w:sz="0" w:space="0" w:color="auto"/>
            <w:bottom w:val="none" w:sz="0" w:space="0" w:color="auto"/>
            <w:right w:val="none" w:sz="0" w:space="0" w:color="auto"/>
          </w:divBdr>
        </w:div>
        <w:div w:id="622659792">
          <w:marLeft w:val="360"/>
          <w:marRight w:val="0"/>
          <w:marTop w:val="200"/>
          <w:marBottom w:val="0"/>
          <w:divBdr>
            <w:top w:val="none" w:sz="0" w:space="0" w:color="auto"/>
            <w:left w:val="none" w:sz="0" w:space="0" w:color="auto"/>
            <w:bottom w:val="none" w:sz="0" w:space="0" w:color="auto"/>
            <w:right w:val="none" w:sz="0" w:space="0" w:color="auto"/>
          </w:divBdr>
        </w:div>
        <w:div w:id="919556866">
          <w:marLeft w:val="1080"/>
          <w:marRight w:val="0"/>
          <w:marTop w:val="100"/>
          <w:marBottom w:val="0"/>
          <w:divBdr>
            <w:top w:val="none" w:sz="0" w:space="0" w:color="auto"/>
            <w:left w:val="none" w:sz="0" w:space="0" w:color="auto"/>
            <w:bottom w:val="none" w:sz="0" w:space="0" w:color="auto"/>
            <w:right w:val="none" w:sz="0" w:space="0" w:color="auto"/>
          </w:divBdr>
        </w:div>
        <w:div w:id="957175096">
          <w:marLeft w:val="360"/>
          <w:marRight w:val="0"/>
          <w:marTop w:val="200"/>
          <w:marBottom w:val="0"/>
          <w:divBdr>
            <w:top w:val="none" w:sz="0" w:space="0" w:color="auto"/>
            <w:left w:val="none" w:sz="0" w:space="0" w:color="auto"/>
            <w:bottom w:val="none" w:sz="0" w:space="0" w:color="auto"/>
            <w:right w:val="none" w:sz="0" w:space="0" w:color="auto"/>
          </w:divBdr>
        </w:div>
        <w:div w:id="1203711132">
          <w:marLeft w:val="1080"/>
          <w:marRight w:val="0"/>
          <w:marTop w:val="100"/>
          <w:marBottom w:val="0"/>
          <w:divBdr>
            <w:top w:val="none" w:sz="0" w:space="0" w:color="auto"/>
            <w:left w:val="none" w:sz="0" w:space="0" w:color="auto"/>
            <w:bottom w:val="none" w:sz="0" w:space="0" w:color="auto"/>
            <w:right w:val="none" w:sz="0" w:space="0" w:color="auto"/>
          </w:divBdr>
        </w:div>
        <w:div w:id="1471091908">
          <w:marLeft w:val="1080"/>
          <w:marRight w:val="0"/>
          <w:marTop w:val="100"/>
          <w:marBottom w:val="0"/>
          <w:divBdr>
            <w:top w:val="none" w:sz="0" w:space="0" w:color="auto"/>
            <w:left w:val="none" w:sz="0" w:space="0" w:color="auto"/>
            <w:bottom w:val="none" w:sz="0" w:space="0" w:color="auto"/>
            <w:right w:val="none" w:sz="0" w:space="0" w:color="auto"/>
          </w:divBdr>
        </w:div>
        <w:div w:id="1810516688">
          <w:marLeft w:val="1080"/>
          <w:marRight w:val="0"/>
          <w:marTop w:val="100"/>
          <w:marBottom w:val="0"/>
          <w:divBdr>
            <w:top w:val="none" w:sz="0" w:space="0" w:color="auto"/>
            <w:left w:val="none" w:sz="0" w:space="0" w:color="auto"/>
            <w:bottom w:val="none" w:sz="0" w:space="0" w:color="auto"/>
            <w:right w:val="none" w:sz="0" w:space="0" w:color="auto"/>
          </w:divBdr>
        </w:div>
        <w:div w:id="1858232497">
          <w:marLeft w:val="360"/>
          <w:marRight w:val="0"/>
          <w:marTop w:val="200"/>
          <w:marBottom w:val="0"/>
          <w:divBdr>
            <w:top w:val="none" w:sz="0" w:space="0" w:color="auto"/>
            <w:left w:val="none" w:sz="0" w:space="0" w:color="auto"/>
            <w:bottom w:val="none" w:sz="0" w:space="0" w:color="auto"/>
            <w:right w:val="none" w:sz="0" w:space="0" w:color="auto"/>
          </w:divBdr>
        </w:div>
        <w:div w:id="1977177106">
          <w:marLeft w:val="1080"/>
          <w:marRight w:val="0"/>
          <w:marTop w:val="100"/>
          <w:marBottom w:val="0"/>
          <w:divBdr>
            <w:top w:val="none" w:sz="0" w:space="0" w:color="auto"/>
            <w:left w:val="none" w:sz="0" w:space="0" w:color="auto"/>
            <w:bottom w:val="none" w:sz="0" w:space="0" w:color="auto"/>
            <w:right w:val="none" w:sz="0" w:space="0" w:color="auto"/>
          </w:divBdr>
        </w:div>
      </w:divsChild>
    </w:div>
    <w:div w:id="2086221303">
      <w:bodyDiv w:val="1"/>
      <w:marLeft w:val="0"/>
      <w:marRight w:val="0"/>
      <w:marTop w:val="0"/>
      <w:marBottom w:val="0"/>
      <w:divBdr>
        <w:top w:val="none" w:sz="0" w:space="0" w:color="auto"/>
        <w:left w:val="none" w:sz="0" w:space="0" w:color="auto"/>
        <w:bottom w:val="none" w:sz="0" w:space="0" w:color="auto"/>
        <w:right w:val="none" w:sz="0" w:space="0" w:color="auto"/>
      </w:divBdr>
      <w:divsChild>
        <w:div w:id="232014636">
          <w:marLeft w:val="1080"/>
          <w:marRight w:val="0"/>
          <w:marTop w:val="100"/>
          <w:marBottom w:val="0"/>
          <w:divBdr>
            <w:top w:val="none" w:sz="0" w:space="0" w:color="auto"/>
            <w:left w:val="none" w:sz="0" w:space="0" w:color="auto"/>
            <w:bottom w:val="none" w:sz="0" w:space="0" w:color="auto"/>
            <w:right w:val="none" w:sz="0" w:space="0" w:color="auto"/>
          </w:divBdr>
        </w:div>
        <w:div w:id="550507770">
          <w:marLeft w:val="360"/>
          <w:marRight w:val="0"/>
          <w:marTop w:val="200"/>
          <w:marBottom w:val="0"/>
          <w:divBdr>
            <w:top w:val="none" w:sz="0" w:space="0" w:color="auto"/>
            <w:left w:val="none" w:sz="0" w:space="0" w:color="auto"/>
            <w:bottom w:val="none" w:sz="0" w:space="0" w:color="auto"/>
            <w:right w:val="none" w:sz="0" w:space="0" w:color="auto"/>
          </w:divBdr>
        </w:div>
        <w:div w:id="609318913">
          <w:marLeft w:val="1080"/>
          <w:marRight w:val="0"/>
          <w:marTop w:val="100"/>
          <w:marBottom w:val="0"/>
          <w:divBdr>
            <w:top w:val="none" w:sz="0" w:space="0" w:color="auto"/>
            <w:left w:val="none" w:sz="0" w:space="0" w:color="auto"/>
            <w:bottom w:val="none" w:sz="0" w:space="0" w:color="auto"/>
            <w:right w:val="none" w:sz="0" w:space="0" w:color="auto"/>
          </w:divBdr>
        </w:div>
        <w:div w:id="903294401">
          <w:marLeft w:val="1080"/>
          <w:marRight w:val="0"/>
          <w:marTop w:val="100"/>
          <w:marBottom w:val="0"/>
          <w:divBdr>
            <w:top w:val="none" w:sz="0" w:space="0" w:color="auto"/>
            <w:left w:val="none" w:sz="0" w:space="0" w:color="auto"/>
            <w:bottom w:val="none" w:sz="0" w:space="0" w:color="auto"/>
            <w:right w:val="none" w:sz="0" w:space="0" w:color="auto"/>
          </w:divBdr>
        </w:div>
        <w:div w:id="159936479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chart" Target="charts/chart7.xml"/><Relationship Id="rId42" Type="http://schemas.openxmlformats.org/officeDocument/2006/relationships/chart" Target="charts/chart17.xml"/><Relationship Id="rId47" Type="http://schemas.microsoft.com/office/2007/relationships/diagramDrawing" Target="diagrams/drawing3.xml"/><Relationship Id="rId63" Type="http://schemas.openxmlformats.org/officeDocument/2006/relationships/hyperlink" Target="http://www.cepal.org/publicaciones/xml/0/20180/lcg2060i_hoffmann.pdf" TargetMode="External"/><Relationship Id="rId68" Type="http://schemas.openxmlformats.org/officeDocument/2006/relationships/hyperlink" Target="http://www.tips.org.za/files/ccred-edd-recbp_regulation_in_the_ports_sector_-_farr_levin_chipanda_0.pdf" TargetMode="External"/><Relationship Id="rId84" Type="http://schemas.openxmlformats.org/officeDocument/2006/relationships/header" Target="header3.xml"/><Relationship Id="rId89" Type="http://schemas.openxmlformats.org/officeDocument/2006/relationships/footer" Target="footer6.xml"/><Relationship Id="rId16" Type="http://schemas.openxmlformats.org/officeDocument/2006/relationships/chart" Target="charts/chart2.xml"/><Relationship Id="rId11" Type="http://schemas.openxmlformats.org/officeDocument/2006/relationships/footer" Target="footer1.xml"/><Relationship Id="rId32" Type="http://schemas.openxmlformats.org/officeDocument/2006/relationships/diagramData" Target="diagrams/data2.xml"/><Relationship Id="rId37" Type="http://schemas.openxmlformats.org/officeDocument/2006/relationships/chart" Target="charts/chart12.xml"/><Relationship Id="rId53" Type="http://schemas.openxmlformats.org/officeDocument/2006/relationships/chart" Target="charts/chart23.xml"/><Relationship Id="rId58" Type="http://schemas.openxmlformats.org/officeDocument/2006/relationships/hyperlink" Target="http://economie.jeuneafrique.com/tribune/426-tribune-transport/24207-logistique--une-nouvelle-revolution-est-necessaire-.html" TargetMode="External"/><Relationship Id="rId74" Type="http://schemas.openxmlformats.org/officeDocument/2006/relationships/chart" Target="charts/chart28.xml"/><Relationship Id="rId79" Type="http://schemas.openxmlformats.org/officeDocument/2006/relationships/chart" Target="charts/chart33.xml"/><Relationship Id="rId5" Type="http://schemas.openxmlformats.org/officeDocument/2006/relationships/webSettings" Target="webSettings.xml"/><Relationship Id="rId90" Type="http://schemas.openxmlformats.org/officeDocument/2006/relationships/footer" Target="footer7.xml"/><Relationship Id="rId14" Type="http://schemas.openxmlformats.org/officeDocument/2006/relationships/image" Target="media/image2.jpeg"/><Relationship Id="rId22" Type="http://schemas.openxmlformats.org/officeDocument/2006/relationships/chart" Target="charts/chart8.xml"/><Relationship Id="rId27" Type="http://schemas.openxmlformats.org/officeDocument/2006/relationships/diagramQuickStyle" Target="diagrams/quickStyle1.xml"/><Relationship Id="rId30" Type="http://schemas.openxmlformats.org/officeDocument/2006/relationships/chart" Target="charts/chart11.xml"/><Relationship Id="rId35" Type="http://schemas.openxmlformats.org/officeDocument/2006/relationships/diagramColors" Target="diagrams/colors2.xml"/><Relationship Id="rId43" Type="http://schemas.openxmlformats.org/officeDocument/2006/relationships/diagramData" Target="diagrams/data3.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hyperlink" Target="http://siteresources.worldbank.org/INTPRAL/Resources/338897-1117630063267/singaprt.pdf" TargetMode="External"/><Relationship Id="rId69" Type="http://schemas.openxmlformats.org/officeDocument/2006/relationships/hyperlink" Target="http://unctad.org/rmt" TargetMode="External"/><Relationship Id="rId77" Type="http://schemas.openxmlformats.org/officeDocument/2006/relationships/chart" Target="charts/chart31.xml"/><Relationship Id="rId8" Type="http://schemas.openxmlformats.org/officeDocument/2006/relationships/image" Target="media/image1.jpeg"/><Relationship Id="rId51" Type="http://schemas.openxmlformats.org/officeDocument/2006/relationships/chart" Target="charts/chart21.xml"/><Relationship Id="rId72" Type="http://schemas.openxmlformats.org/officeDocument/2006/relationships/hyperlink" Target="http://pdf.usaid.gov/pdf_docs/PNADH132.pdf" TargetMode="External"/><Relationship Id="rId80" Type="http://schemas.openxmlformats.org/officeDocument/2006/relationships/chart" Target="charts/chart34.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chart" Target="charts/chart13.xml"/><Relationship Id="rId46" Type="http://schemas.openxmlformats.org/officeDocument/2006/relationships/diagramColors" Target="diagrams/colors3.xml"/><Relationship Id="rId59" Type="http://schemas.openxmlformats.org/officeDocument/2006/relationships/hyperlink" Target="http://unctad.org/en/Docs/webdtltlb20114_en.pdf" TargetMode="External"/><Relationship Id="rId67" Type="http://schemas.openxmlformats.org/officeDocument/2006/relationships/hyperlink" Target="http://www.oecd.org/regreform/sectors/48837794.pdf" TargetMode="External"/><Relationship Id="rId20" Type="http://schemas.openxmlformats.org/officeDocument/2006/relationships/chart" Target="charts/chart6.xml"/><Relationship Id="rId41" Type="http://schemas.openxmlformats.org/officeDocument/2006/relationships/chart" Target="charts/chart16.xml"/><Relationship Id="rId54" Type="http://schemas.openxmlformats.org/officeDocument/2006/relationships/chart" Target="charts/chart24.xml"/><Relationship Id="rId62" Type="http://schemas.openxmlformats.org/officeDocument/2006/relationships/hyperlink" Target="http://dev.sefacil.com/sites/sefacil.com/files/Texte%20complet%20Concessions%20portuaires_0.pdf" TargetMode="External"/><Relationship Id="rId70" Type="http://schemas.openxmlformats.org/officeDocument/2006/relationships/hyperlink" Target="http://unctad.org/en/docs/sdtetlb5_en.pdf" TargetMode="External"/><Relationship Id="rId75" Type="http://schemas.openxmlformats.org/officeDocument/2006/relationships/chart" Target="charts/chart29.xml"/><Relationship Id="rId83" Type="http://schemas.openxmlformats.org/officeDocument/2006/relationships/header" Target="header2.xml"/><Relationship Id="rId88" Type="http://schemas.openxmlformats.org/officeDocument/2006/relationships/footer" Target="foot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diagramColors" Target="diagrams/colors1.xml"/><Relationship Id="rId36" Type="http://schemas.microsoft.com/office/2007/relationships/diagramDrawing" Target="diagrams/drawing2.xml"/><Relationship Id="rId49" Type="http://schemas.openxmlformats.org/officeDocument/2006/relationships/chart" Target="charts/chart19.xml"/><Relationship Id="rId57" Type="http://schemas.openxmlformats.org/officeDocument/2006/relationships/chart" Target="charts/chart27.xml"/><Relationship Id="rId10" Type="http://schemas.openxmlformats.org/officeDocument/2006/relationships/hyperlink" Target="mailto:pubrights@worldbank.org" TargetMode="External"/><Relationship Id="rId31" Type="http://schemas.openxmlformats.org/officeDocument/2006/relationships/image" Target="media/image3.jpeg"/><Relationship Id="rId44" Type="http://schemas.openxmlformats.org/officeDocument/2006/relationships/diagramLayout" Target="diagrams/layout3.xml"/><Relationship Id="rId52" Type="http://schemas.openxmlformats.org/officeDocument/2006/relationships/chart" Target="charts/chart22.xml"/><Relationship Id="rId60" Type="http://schemas.openxmlformats.org/officeDocument/2006/relationships/hyperlink" Target="http://www.internationaltransportforum.org/jtrc/DiscussionPapers/DP201403.pdf" TargetMode="External"/><Relationship Id="rId65" Type="http://schemas.openxmlformats.org/officeDocument/2006/relationships/hyperlink" Target="http://www.afd.fr/webdav/shared/ELEMENTS_COMMUNS/pdf/MLTC_CATRAM_etude_terminaux_conteneurs_Afrique_Ouest_et_Centre.pdf" TargetMode="External"/><Relationship Id="rId73" Type="http://schemas.openxmlformats.org/officeDocument/2006/relationships/hyperlink" Target="http://www.ppiaf.org/sites/ppiaf.org/files/documents/toolkits/Portoolkit/toolkit.html" TargetMode="External"/><Relationship Id="rId78" Type="http://schemas.openxmlformats.org/officeDocument/2006/relationships/chart" Target="charts/chart32.xml"/><Relationship Id="rId81" Type="http://schemas.openxmlformats.org/officeDocument/2006/relationships/chart" Target="charts/chart35.xm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copyright.com" TargetMode="External"/><Relationship Id="rId13" Type="http://schemas.openxmlformats.org/officeDocument/2006/relationships/footer" Target="footer2.xml"/><Relationship Id="rId18" Type="http://schemas.openxmlformats.org/officeDocument/2006/relationships/chart" Target="charts/chart4.xml"/><Relationship Id="rId39" Type="http://schemas.openxmlformats.org/officeDocument/2006/relationships/chart" Target="charts/chart14.xml"/><Relationship Id="rId34" Type="http://schemas.openxmlformats.org/officeDocument/2006/relationships/diagramQuickStyle" Target="diagrams/quickStyle2.xml"/><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chart" Target="charts/chart30.xml"/><Relationship Id="rId7" Type="http://schemas.openxmlformats.org/officeDocument/2006/relationships/endnotes" Target="endnotes.xml"/><Relationship Id="rId71" Type="http://schemas.openxmlformats.org/officeDocument/2006/relationships/hyperlink" Target="http://unctad.org/en/Docs/posddportd5.en.pdf" TargetMode="External"/><Relationship Id="rId92" Type="http://schemas.openxmlformats.org/officeDocument/2006/relationships/theme" Target="theme/theme1.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chart" Target="charts/chart10.xml"/><Relationship Id="rId40" Type="http://schemas.openxmlformats.org/officeDocument/2006/relationships/chart" Target="charts/chart15.xml"/><Relationship Id="rId45" Type="http://schemas.openxmlformats.org/officeDocument/2006/relationships/diagramQuickStyle" Target="diagrams/quickStyle3.xml"/><Relationship Id="rId66" Type="http://schemas.openxmlformats.org/officeDocument/2006/relationships/hyperlink" Target="http://www.ssatp.org/sites/ssatp/files/publications/SSATP_Logistics_Cost_Study_Complete%20with%20annexes%20Final%20September%202013.pdf" TargetMode="External"/><Relationship Id="rId87" Type="http://schemas.openxmlformats.org/officeDocument/2006/relationships/header" Target="header4.xml"/><Relationship Id="rId61" Type="http://schemas.openxmlformats.org/officeDocument/2006/relationships/hyperlink" Target="http://echogeo.revues.org/13070" TargetMode="External"/><Relationship Id="rId82" Type="http://schemas.openxmlformats.org/officeDocument/2006/relationships/chart" Target="charts/chart36.xml"/><Relationship Id="rId19" Type="http://schemas.openxmlformats.org/officeDocument/2006/relationships/chart" Target="charts/chart5.xml"/></Relationships>
</file>

<file path=word/_rels/footnotes.xml.rels><?xml version="1.0" encoding="UTF-8" standalone="yes"?>
<Relationships xmlns="http://schemas.openxmlformats.org/package/2006/relationships"><Relationship Id="rId8" Type="http://schemas.openxmlformats.org/officeDocument/2006/relationships/hyperlink" Target="http://www.guineeconakry.info/article/detail/affaire-terminal-conteneurs-mais-quelle-est-la-version-officielle/" TargetMode="External"/><Relationship Id="rId13" Type="http://schemas.openxmlformats.org/officeDocument/2006/relationships/hyperlink" Target="http://www.pidg.org/resource-library/case-studies/pidg-case-study-dakar-container-terminal.pdf" TargetMode="External"/><Relationship Id="rId3" Type="http://schemas.openxmlformats.org/officeDocument/2006/relationships/hyperlink" Target="http://www.doingbusiness.org/methodology/trading-across-borders" TargetMode="External"/><Relationship Id="rId7" Type="http://schemas.openxmlformats.org/officeDocument/2006/relationships/hyperlink" Target="https://icsid.worldbank.org/ICSID/FrontServlet?requestType=CasesRH&amp;actionVal=showDoc&amp;docId=DC2912_Fr&amp;caseId=C1900" TargetMode="External"/><Relationship Id="rId12" Type="http://schemas.openxmlformats.org/officeDocument/2006/relationships/hyperlink" Target="http://www.alphaliner.com" TargetMode="External"/><Relationship Id="rId2" Type="http://schemas.openxmlformats.org/officeDocument/2006/relationships/hyperlink" Target="http://www-wds.worldbank.org/external/default/WDSContentServer/WDSP/IB/2016/02/02/090224b08412c4ae/1_0/Rendered/PDF/South0Africa0e00through0competition.pdf" TargetMode="External"/><Relationship Id="rId16" Type="http://schemas.openxmlformats.org/officeDocument/2006/relationships/hyperlink" Target="http://dx.doi.org/10.4236/ajibm.2015.54023" TargetMode="External"/><Relationship Id="rId1" Type="http://schemas.openxmlformats.org/officeDocument/2006/relationships/hyperlink" Target="http://www.alphaliner.com/top100/" TargetMode="External"/><Relationship Id="rId6" Type="http://schemas.openxmlformats.org/officeDocument/2006/relationships/hyperlink" Target="http://www.finances.gouv.sn/webmef/LFI/LFR_2013_2.pdf" TargetMode="External"/><Relationship Id="rId11" Type="http://schemas.openxmlformats.org/officeDocument/2006/relationships/hyperlink" Target="http://www.economist.com/news/finance-and-economics/21600734-revised-figures-show-nigeria-africas-largest-economy-step-change" TargetMode="External"/><Relationship Id="rId5" Type="http://schemas.openxmlformats.org/officeDocument/2006/relationships/hyperlink" Target="http://pdf.usaid.gov/pdf_docs/PA00KJMM.pdf" TargetMode="External"/><Relationship Id="rId15" Type="http://schemas.openxmlformats.org/officeDocument/2006/relationships/hyperlink" Target="http://dx.doi.org/10.4236/jss.2015.310002" TargetMode="External"/><Relationship Id="rId10" Type="http://schemas.openxmlformats.org/officeDocument/2006/relationships/hyperlink" Target="http://portfinanceinternational.com/categories/emerging-economies/item/904-bollor%C3%A9-and-apmt-sign-concession-agreement-for-abidjan%E2%80%99s-second-container-terminal" TargetMode="External"/><Relationship Id="rId4" Type="http://schemas.openxmlformats.org/officeDocument/2006/relationships/hyperlink" Target="http://www.oecd.org/regreform/sectors/48837794.pdf" TargetMode="External"/><Relationship Id="rId9" Type="http://schemas.openxmlformats.org/officeDocument/2006/relationships/hyperlink" Target="http://www.anrmp.ci/contentieux-77111/decisions-26968/file/138-decision-n-009-2013-anrmp-crs-du-08-mai-2013-sur-la-denonciation-faite-par-le-groupement-international-container-terminal-services-inc-ictsi-cma-cgmt-terminal-link-movis-necotrans-pour-irregularites-commises-dans-la-procedure-de-passation-de-l-appel-d-off?start=80" TargetMode="External"/><Relationship Id="rId14" Type="http://schemas.openxmlformats.org/officeDocument/2006/relationships/hyperlink" Target="http://www.lekkiport.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b288421\Box%20Sync\West%20Africa\Ports\West%20Africa%20Port%20Study\IMF%20data%20on%20GDP.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wb288421\Box%20Sync\West%20Africa\Ports\West%20Africa%20Port%20Study\IMF%20data%20on%20GDP.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wb288421\Box%20Sync\West%20Africa\Ports\West%20Africa%20Port%20Study\IMF%20data%20on%20GDP%20October%202016%20with%20TEU%20forecast.xlsx" TargetMode="External"/><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wb288421\Box%20Sync\West%20Africa\Ports\West%20Africa%20Port%20Study\Tables%20and%20charts%20paper%20West%20Africa%20ports%20-%20Chapter%20Performance%20and%20Traffic%20forecasts.xlsx" TargetMode="External"/><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wb288421\Desktop\Organized\West%20Africa\Ports\West%20Africa%20Port%20Study\Tables%20and%20charts%20paper%20West%20Africa%20ports%20-%20Chapter%20Performance%20and%20Traffic%20forecasts.xlsx" TargetMode="Externa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wb288421\Desktop\Organized\West%20Africa\Ports\West%20Africa%20Port%20Study\Tables%20and%20charts%20paper%20West%20Africa%20ports%20-%20Chapter%20Performance%20and%20Traffic%20forecasts.xlsx" TargetMode="External"/><Relationship Id="rId2" Type="http://schemas.microsoft.com/office/2011/relationships/chartColorStyle" Target="colors17.xml"/><Relationship Id="rId1" Type="http://schemas.microsoft.com/office/2011/relationships/chartStyle" Target="style1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8.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9.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b288421\Box%20Sync\West%20Africa\Ports\West%20Africa%20Port%20Study\Doing%20Business%20TAB%20indicators%202015%20West%20Africa%20Ports%202.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b288421\Box%20Sync\West%20Africa\Ports\West%20Africa%20Port%20Study\Doing%20Business%20TAB%20indicators%202015%20West%20Africa%20Ports%20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99535634968697E-2"/>
          <c:y val="0.106440361621464"/>
          <c:w val="0.86316222491419303"/>
          <c:h val="0.57678350562874703"/>
        </c:manualLayout>
      </c:layout>
      <c:barChart>
        <c:barDir val="col"/>
        <c:grouping val="clustered"/>
        <c:varyColors val="0"/>
        <c:ser>
          <c:idx val="1"/>
          <c:order val="0"/>
          <c:tx>
            <c:v>Total throughput (million tons, left axis)</c:v>
          </c:tx>
          <c:spPr>
            <a:solidFill>
              <a:schemeClr val="accent1">
                <a:lumMod val="40000"/>
                <a:lumOff val="60000"/>
              </a:schemeClr>
            </a:solidFill>
            <a:ln>
              <a:noFill/>
            </a:ln>
            <a:effectLst/>
          </c:spPr>
          <c:invertIfNegative val="0"/>
          <c:cat>
            <c:strRef>
              <c:f>'[Chart in Microsoft Word]Sheet1'!$B$3:$B$17,'[Chart in Microsoft Word]Sheet1'!$B$19:$B$24</c:f>
              <c:strCache>
                <c:ptCount val="21"/>
                <c:pt idx="0">
                  <c:v>Nouakchott*</c:v>
                </c:pt>
                <c:pt idx="1">
                  <c:v>Praia</c:v>
                </c:pt>
                <c:pt idx="2">
                  <c:v>Dakar</c:v>
                </c:pt>
                <c:pt idx="3">
                  <c:v>Banjul</c:v>
                </c:pt>
                <c:pt idx="4">
                  <c:v>Bissau*</c:v>
                </c:pt>
                <c:pt idx="5">
                  <c:v>Conakry</c:v>
                </c:pt>
                <c:pt idx="6">
                  <c:v>Freetown</c:v>
                </c:pt>
                <c:pt idx="7">
                  <c:v>Monrovia</c:v>
                </c:pt>
                <c:pt idx="8">
                  <c:v>Buchanan</c:v>
                </c:pt>
                <c:pt idx="9">
                  <c:v>San Pedro</c:v>
                </c:pt>
                <c:pt idx="10">
                  <c:v>Abidjan</c:v>
                </c:pt>
                <c:pt idx="11">
                  <c:v>Takoradi</c:v>
                </c:pt>
                <c:pt idx="12">
                  <c:v>Tema</c:v>
                </c:pt>
                <c:pt idx="13">
                  <c:v>Lomé</c:v>
                </c:pt>
                <c:pt idx="14">
                  <c:v>Cotonou</c:v>
                </c:pt>
                <c:pt idx="15">
                  <c:v>Lagos Apapa</c:v>
                </c:pt>
                <c:pt idx="16">
                  <c:v>Lagos Tin Can</c:v>
                </c:pt>
                <c:pt idx="17">
                  <c:v>Port Harcourt</c:v>
                </c:pt>
                <c:pt idx="18">
                  <c:v>Onne</c:v>
                </c:pt>
                <c:pt idx="19">
                  <c:v>Calabar</c:v>
                </c:pt>
                <c:pt idx="20">
                  <c:v>Delta</c:v>
                </c:pt>
              </c:strCache>
            </c:strRef>
          </c:cat>
          <c:val>
            <c:numRef>
              <c:f>'[Chart in Microsoft Word]Sheet1'!$D$3:$D$17,'[Chart in Microsoft Word]Sheet1'!$D$19:$D$24</c:f>
              <c:numCache>
                <c:formatCode>General</c:formatCode>
                <c:ptCount val="21"/>
                <c:pt idx="0">
                  <c:v>2.7</c:v>
                </c:pt>
                <c:pt idx="1">
                  <c:v>1.1000000000000001</c:v>
                </c:pt>
                <c:pt idx="2">
                  <c:v>11.9</c:v>
                </c:pt>
                <c:pt idx="3">
                  <c:v>1.7</c:v>
                </c:pt>
                <c:pt idx="4">
                  <c:v>0.7</c:v>
                </c:pt>
                <c:pt idx="5">
                  <c:v>7</c:v>
                </c:pt>
                <c:pt idx="6">
                  <c:v>3.2</c:v>
                </c:pt>
                <c:pt idx="7">
                  <c:v>2.2999999999999998</c:v>
                </c:pt>
                <c:pt idx="8">
                  <c:v>2.7</c:v>
                </c:pt>
                <c:pt idx="9">
                  <c:v>3.2</c:v>
                </c:pt>
                <c:pt idx="10">
                  <c:v>21.7</c:v>
                </c:pt>
                <c:pt idx="11">
                  <c:v>5.3</c:v>
                </c:pt>
                <c:pt idx="12">
                  <c:v>11.5</c:v>
                </c:pt>
                <c:pt idx="13">
                  <c:v>7.7</c:v>
                </c:pt>
                <c:pt idx="14">
                  <c:v>7.4</c:v>
                </c:pt>
                <c:pt idx="15">
                  <c:v>21</c:v>
                </c:pt>
                <c:pt idx="16">
                  <c:v>15</c:v>
                </c:pt>
                <c:pt idx="17">
                  <c:v>6</c:v>
                </c:pt>
                <c:pt idx="18">
                  <c:v>27</c:v>
                </c:pt>
                <c:pt idx="19">
                  <c:v>2</c:v>
                </c:pt>
                <c:pt idx="20">
                  <c:v>7</c:v>
                </c:pt>
              </c:numCache>
            </c:numRef>
          </c:val>
          <c:extLst>
            <c:ext xmlns:c16="http://schemas.microsoft.com/office/drawing/2014/chart" uri="{C3380CC4-5D6E-409C-BE32-E72D297353CC}">
              <c16:uniqueId val="{00000000-B758-4AF9-99A0-1BFF26BE9FE6}"/>
            </c:ext>
          </c:extLst>
        </c:ser>
        <c:dLbls>
          <c:showLegendKey val="0"/>
          <c:showVal val="0"/>
          <c:showCatName val="0"/>
          <c:showSerName val="0"/>
          <c:showPercent val="0"/>
          <c:showBubbleSize val="0"/>
        </c:dLbls>
        <c:gapWidth val="30"/>
        <c:overlap val="80"/>
        <c:axId val="2142379400"/>
        <c:axId val="2142382616"/>
      </c:barChart>
      <c:scatterChart>
        <c:scatterStyle val="lineMarker"/>
        <c:varyColors val="0"/>
        <c:ser>
          <c:idx val="0"/>
          <c:order val="1"/>
          <c:tx>
            <c:v>Containerized cargo (000 TEUs, right axis)</c:v>
          </c:tx>
          <c:spPr>
            <a:ln w="25400" cap="rnd">
              <a:noFill/>
              <a:round/>
            </a:ln>
            <a:effectLst/>
          </c:spPr>
          <c:marker>
            <c:symbol val="diamond"/>
            <c:size val="9"/>
            <c:spPr>
              <a:solidFill>
                <a:schemeClr val="tx2"/>
              </a:solidFill>
              <a:ln w="9525">
                <a:solidFill>
                  <a:schemeClr val="bg1">
                    <a:lumMod val="50000"/>
                  </a:schemeClr>
                </a:solidFill>
              </a:ln>
              <a:effectLst/>
            </c:spPr>
          </c:marker>
          <c:yVal>
            <c:numRef>
              <c:f>'[Chart in Microsoft Word]Sheet1'!$F$3:$F$17,'[Chart in Microsoft Word]Sheet1'!$F$19:$F$24</c:f>
              <c:numCache>
                <c:formatCode>General</c:formatCode>
                <c:ptCount val="21"/>
                <c:pt idx="0">
                  <c:v>74</c:v>
                </c:pt>
                <c:pt idx="1">
                  <c:v>50</c:v>
                </c:pt>
                <c:pt idx="2">
                  <c:v>402</c:v>
                </c:pt>
                <c:pt idx="4">
                  <c:v>27</c:v>
                </c:pt>
                <c:pt idx="5">
                  <c:v>148</c:v>
                </c:pt>
                <c:pt idx="6">
                  <c:v>64</c:v>
                </c:pt>
                <c:pt idx="7">
                  <c:v>86</c:v>
                </c:pt>
                <c:pt idx="9">
                  <c:v>246</c:v>
                </c:pt>
                <c:pt idx="10">
                  <c:v>634</c:v>
                </c:pt>
                <c:pt idx="11">
                  <c:v>61</c:v>
                </c:pt>
                <c:pt idx="12">
                  <c:v>824</c:v>
                </c:pt>
                <c:pt idx="13">
                  <c:v>288</c:v>
                </c:pt>
                <c:pt idx="14">
                  <c:v>202</c:v>
                </c:pt>
                <c:pt idx="15">
                  <c:v>318</c:v>
                </c:pt>
                <c:pt idx="16">
                  <c:v>459</c:v>
                </c:pt>
                <c:pt idx="17">
                  <c:v>0</c:v>
                </c:pt>
                <c:pt idx="18">
                  <c:v>99</c:v>
                </c:pt>
                <c:pt idx="19">
                  <c:v>0.3</c:v>
                </c:pt>
                <c:pt idx="20">
                  <c:v>2</c:v>
                </c:pt>
              </c:numCache>
            </c:numRef>
          </c:yVal>
          <c:smooth val="0"/>
          <c:extLst>
            <c:ext xmlns:c16="http://schemas.microsoft.com/office/drawing/2014/chart" uri="{C3380CC4-5D6E-409C-BE32-E72D297353CC}">
              <c16:uniqueId val="{00000001-B758-4AF9-99A0-1BFF26BE9FE6}"/>
            </c:ext>
          </c:extLst>
        </c:ser>
        <c:dLbls>
          <c:showLegendKey val="0"/>
          <c:showVal val="0"/>
          <c:showCatName val="0"/>
          <c:showSerName val="0"/>
          <c:showPercent val="0"/>
          <c:showBubbleSize val="0"/>
        </c:dLbls>
        <c:axId val="2096116328"/>
        <c:axId val="2142390536"/>
      </c:scatterChart>
      <c:catAx>
        <c:axId val="214237940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382616"/>
        <c:crosses val="autoZero"/>
        <c:auto val="1"/>
        <c:lblAlgn val="ctr"/>
        <c:lblOffset val="100"/>
        <c:noMultiLvlLbl val="0"/>
      </c:catAx>
      <c:valAx>
        <c:axId val="2142382616"/>
        <c:scaling>
          <c:orientation val="minMax"/>
          <c:max val="2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tons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379400"/>
        <c:crosses val="autoZero"/>
        <c:crossBetween val="between"/>
      </c:valAx>
      <c:valAx>
        <c:axId val="2142390536"/>
        <c:scaling>
          <c:orientation val="minMax"/>
          <c:max val="825"/>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000 TEUs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116328"/>
        <c:crosses val="max"/>
        <c:crossBetween val="midCat"/>
      </c:valAx>
      <c:valAx>
        <c:axId val="2096116328"/>
        <c:scaling>
          <c:orientation val="minMax"/>
        </c:scaling>
        <c:delete val="1"/>
        <c:axPos val="b"/>
        <c:majorTickMark val="out"/>
        <c:minorTickMark val="none"/>
        <c:tickLblPos val="nextTo"/>
        <c:crossAx val="214239053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Sheet1!$D$8</c:f>
              <c:strCache>
                <c:ptCount val="1"/>
                <c:pt idx="0">
                  <c:v>In</c:v>
                </c:pt>
              </c:strCache>
            </c:strRef>
          </c:tx>
          <c:spPr>
            <a:solidFill>
              <a:schemeClr val="accent1">
                <a:tint val="86000"/>
              </a:schemeClr>
            </a:solidFill>
            <a:ln>
              <a:noFill/>
            </a:ln>
            <a:effectLst/>
          </c:spPr>
          <c:invertIfNegative val="0"/>
          <c:cat>
            <c:numRef>
              <c:f>Sheet1!$C$9:$C$14</c:f>
              <c:numCache>
                <c:formatCode>General</c:formatCode>
                <c:ptCount val="6"/>
                <c:pt idx="0">
                  <c:v>2010</c:v>
                </c:pt>
                <c:pt idx="1">
                  <c:v>2011</c:v>
                </c:pt>
                <c:pt idx="2">
                  <c:v>2012</c:v>
                </c:pt>
                <c:pt idx="3">
                  <c:v>2013</c:v>
                </c:pt>
                <c:pt idx="4">
                  <c:v>2014</c:v>
                </c:pt>
                <c:pt idx="5">
                  <c:v>2015</c:v>
                </c:pt>
              </c:numCache>
            </c:numRef>
          </c:cat>
          <c:val>
            <c:numRef>
              <c:f>Sheet1!$D$9:$D$14</c:f>
              <c:numCache>
                <c:formatCode>#,##0</c:formatCode>
                <c:ptCount val="6"/>
                <c:pt idx="0">
                  <c:v>36258</c:v>
                </c:pt>
                <c:pt idx="1">
                  <c:v>38901</c:v>
                </c:pt>
                <c:pt idx="2">
                  <c:v>67123</c:v>
                </c:pt>
                <c:pt idx="3">
                  <c:v>81720</c:v>
                </c:pt>
                <c:pt idx="4">
                  <c:v>78623</c:v>
                </c:pt>
                <c:pt idx="5">
                  <c:v>77144</c:v>
                </c:pt>
              </c:numCache>
            </c:numRef>
          </c:val>
          <c:extLst>
            <c:ext xmlns:c16="http://schemas.microsoft.com/office/drawing/2014/chart" uri="{C3380CC4-5D6E-409C-BE32-E72D297353CC}">
              <c16:uniqueId val="{00000000-D881-46FF-B31D-22C37CEEE978}"/>
            </c:ext>
          </c:extLst>
        </c:ser>
        <c:ser>
          <c:idx val="3"/>
          <c:order val="1"/>
          <c:tx>
            <c:strRef>
              <c:f>Sheet1!$E$8</c:f>
              <c:strCache>
                <c:ptCount val="1"/>
                <c:pt idx="0">
                  <c:v>Out</c:v>
                </c:pt>
              </c:strCache>
            </c:strRef>
          </c:tx>
          <c:spPr>
            <a:solidFill>
              <a:schemeClr val="accent1">
                <a:tint val="58000"/>
              </a:schemeClr>
            </a:solidFill>
            <a:ln>
              <a:noFill/>
            </a:ln>
            <a:effectLst/>
          </c:spPr>
          <c:invertIfNegative val="0"/>
          <c:cat>
            <c:numRef>
              <c:f>Sheet1!$C$9:$C$14</c:f>
              <c:numCache>
                <c:formatCode>General</c:formatCode>
                <c:ptCount val="6"/>
                <c:pt idx="0">
                  <c:v>2010</c:v>
                </c:pt>
                <c:pt idx="1">
                  <c:v>2011</c:v>
                </c:pt>
                <c:pt idx="2">
                  <c:v>2012</c:v>
                </c:pt>
                <c:pt idx="3">
                  <c:v>2013</c:v>
                </c:pt>
                <c:pt idx="4">
                  <c:v>2014</c:v>
                </c:pt>
                <c:pt idx="5">
                  <c:v>2015</c:v>
                </c:pt>
              </c:numCache>
            </c:numRef>
          </c:cat>
          <c:val>
            <c:numRef>
              <c:f>Sheet1!$E$9:$E$14</c:f>
              <c:numCache>
                <c:formatCode>#,##0</c:formatCode>
                <c:ptCount val="6"/>
                <c:pt idx="0">
                  <c:v>35398</c:v>
                </c:pt>
                <c:pt idx="1">
                  <c:v>39868</c:v>
                </c:pt>
                <c:pt idx="2">
                  <c:v>58342</c:v>
                </c:pt>
                <c:pt idx="3">
                  <c:v>67599</c:v>
                </c:pt>
                <c:pt idx="4">
                  <c:v>75462</c:v>
                </c:pt>
                <c:pt idx="5">
                  <c:v>84769</c:v>
                </c:pt>
              </c:numCache>
            </c:numRef>
          </c:val>
          <c:extLst>
            <c:ext xmlns:c16="http://schemas.microsoft.com/office/drawing/2014/chart" uri="{C3380CC4-5D6E-409C-BE32-E72D297353CC}">
              <c16:uniqueId val="{00000001-D881-46FF-B31D-22C37CEEE978}"/>
            </c:ext>
          </c:extLst>
        </c:ser>
        <c:ser>
          <c:idx val="0"/>
          <c:order val="2"/>
          <c:tx>
            <c:strRef>
              <c:f>Sheet1!$F$8</c:f>
              <c:strCache>
                <c:ptCount val="1"/>
                <c:pt idx="0">
                  <c:v>Transshipment</c:v>
                </c:pt>
              </c:strCache>
            </c:strRef>
          </c:tx>
          <c:spPr>
            <a:solidFill>
              <a:schemeClr val="accent1">
                <a:shade val="58000"/>
              </a:schemeClr>
            </a:solidFill>
            <a:ln>
              <a:noFill/>
            </a:ln>
            <a:effectLst/>
          </c:spPr>
          <c:invertIfNegative val="0"/>
          <c:cat>
            <c:numRef>
              <c:f>Sheet1!$C$9:$C$14</c:f>
              <c:numCache>
                <c:formatCode>General</c:formatCode>
                <c:ptCount val="6"/>
                <c:pt idx="0">
                  <c:v>2010</c:v>
                </c:pt>
                <c:pt idx="1">
                  <c:v>2011</c:v>
                </c:pt>
                <c:pt idx="2">
                  <c:v>2012</c:v>
                </c:pt>
                <c:pt idx="3">
                  <c:v>2013</c:v>
                </c:pt>
                <c:pt idx="4">
                  <c:v>2014</c:v>
                </c:pt>
                <c:pt idx="5">
                  <c:v>2015</c:v>
                </c:pt>
              </c:numCache>
            </c:numRef>
          </c:cat>
          <c:val>
            <c:numRef>
              <c:f>Sheet1!$F$9:$F$14</c:f>
              <c:numCache>
                <c:formatCode>#,##0</c:formatCode>
                <c:ptCount val="6"/>
                <c:pt idx="0">
                  <c:v>6074</c:v>
                </c:pt>
                <c:pt idx="1">
                  <c:v>39302</c:v>
                </c:pt>
                <c:pt idx="2">
                  <c:v>120722</c:v>
                </c:pt>
                <c:pt idx="3">
                  <c:v>184015</c:v>
                </c:pt>
                <c:pt idx="4">
                  <c:v>182682</c:v>
                </c:pt>
                <c:pt idx="5">
                  <c:v>124603</c:v>
                </c:pt>
              </c:numCache>
            </c:numRef>
          </c:val>
          <c:extLst>
            <c:ext xmlns:c16="http://schemas.microsoft.com/office/drawing/2014/chart" uri="{C3380CC4-5D6E-409C-BE32-E72D297353CC}">
              <c16:uniqueId val="{00000002-D881-46FF-B31D-22C37CEEE978}"/>
            </c:ext>
          </c:extLst>
        </c:ser>
        <c:dLbls>
          <c:showLegendKey val="0"/>
          <c:showVal val="0"/>
          <c:showCatName val="0"/>
          <c:showSerName val="0"/>
          <c:showPercent val="0"/>
          <c:showBubbleSize val="0"/>
        </c:dLbls>
        <c:gapWidth val="30"/>
        <c:overlap val="100"/>
        <c:axId val="2142711032"/>
        <c:axId val="2142714728"/>
      </c:barChart>
      <c:catAx>
        <c:axId val="214271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714728"/>
        <c:crosses val="autoZero"/>
        <c:auto val="1"/>
        <c:lblAlgn val="ctr"/>
        <c:lblOffset val="100"/>
        <c:noMultiLvlLbl val="0"/>
      </c:catAx>
      <c:valAx>
        <c:axId val="2142714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711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03212598425194E-2"/>
          <c:y val="5.0925925925925902E-2"/>
          <c:w val="0.52367504461942305"/>
          <c:h val="0.73180276076601503"/>
        </c:manualLayout>
      </c:layout>
      <c:barChart>
        <c:barDir val="col"/>
        <c:grouping val="stacked"/>
        <c:varyColors val="0"/>
        <c:ser>
          <c:idx val="0"/>
          <c:order val="0"/>
          <c:tx>
            <c:strRef>
              <c:f>Sheet1!$A$109</c:f>
              <c:strCache>
                <c:ptCount val="1"/>
                <c:pt idx="0">
                  <c:v>APMT</c:v>
                </c:pt>
              </c:strCache>
            </c:strRef>
          </c:tx>
          <c:spPr>
            <a:solidFill>
              <a:schemeClr val="accent1">
                <a:lumMod val="50000"/>
              </a:schemeClr>
            </a:solidFill>
            <a:ln>
              <a:noFill/>
            </a:ln>
            <a:effectLst/>
          </c:spPr>
          <c:invertIfNegative val="0"/>
          <c:cat>
            <c:strRef>
              <c:f>Sheet1!$C$89:$L$89</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Sheet1!$C$109:$L$109</c:f>
              <c:numCache>
                <c:formatCode>General</c:formatCode>
                <c:ptCount val="10"/>
                <c:pt idx="2" formatCode="#,##0">
                  <c:v>356000</c:v>
                </c:pt>
                <c:pt idx="3" formatCode="#,##0">
                  <c:v>409751</c:v>
                </c:pt>
                <c:pt idx="4" formatCode="#,##0">
                  <c:v>510000</c:v>
                </c:pt>
                <c:pt idx="5" formatCode="#,##0">
                  <c:v>577350</c:v>
                </c:pt>
                <c:pt idx="6" formatCode="#,##0">
                  <c:v>642438</c:v>
                </c:pt>
                <c:pt idx="7" formatCode="#,##0">
                  <c:v>816136</c:v>
                </c:pt>
                <c:pt idx="8" formatCode="#,##0">
                  <c:v>882830</c:v>
                </c:pt>
                <c:pt idx="9" formatCode="#,##0">
                  <c:v>942075</c:v>
                </c:pt>
              </c:numCache>
            </c:numRef>
          </c:val>
          <c:extLst>
            <c:ext xmlns:c16="http://schemas.microsoft.com/office/drawing/2014/chart" uri="{C3380CC4-5D6E-409C-BE32-E72D297353CC}">
              <c16:uniqueId val="{00000000-933D-43F9-B99D-2E64675E5B54}"/>
            </c:ext>
          </c:extLst>
        </c:ser>
        <c:ser>
          <c:idx val="1"/>
          <c:order val="1"/>
          <c:tx>
            <c:strRef>
              <c:f>Sheet1!$A$110</c:f>
              <c:strCache>
                <c:ptCount val="1"/>
                <c:pt idx="0">
                  <c:v>BAL</c:v>
                </c:pt>
              </c:strCache>
            </c:strRef>
          </c:tx>
          <c:spPr>
            <a:solidFill>
              <a:schemeClr val="accent1">
                <a:lumMod val="60000"/>
                <a:lumOff val="40000"/>
              </a:schemeClr>
            </a:solidFill>
            <a:ln>
              <a:noFill/>
            </a:ln>
            <a:effectLst/>
          </c:spPr>
          <c:invertIfNegative val="0"/>
          <c:cat>
            <c:strRef>
              <c:f>Sheet1!$C$89:$L$89</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Sheet1!$C$110:$L$110</c:f>
              <c:numCache>
                <c:formatCode>General</c:formatCode>
                <c:ptCount val="10"/>
                <c:pt idx="2" formatCode="#,##0">
                  <c:v>121594.83244043311</c:v>
                </c:pt>
                <c:pt idx="3" formatCode="#,##0">
                  <c:v>154386.64265757141</c:v>
                </c:pt>
                <c:pt idx="4" formatCode="#,##0">
                  <c:v>215942</c:v>
                </c:pt>
                <c:pt idx="5" formatCode="#,##0">
                  <c:v>263325</c:v>
                </c:pt>
                <c:pt idx="6" formatCode="#,##0">
                  <c:v>619252</c:v>
                </c:pt>
                <c:pt idx="7" formatCode="#,##0">
                  <c:v>920202</c:v>
                </c:pt>
                <c:pt idx="8" formatCode="#,##0">
                  <c:v>980225</c:v>
                </c:pt>
                <c:pt idx="9" formatCode="#,##0">
                  <c:v>1051968</c:v>
                </c:pt>
              </c:numCache>
            </c:numRef>
          </c:val>
          <c:extLst>
            <c:ext xmlns:c16="http://schemas.microsoft.com/office/drawing/2014/chart" uri="{C3380CC4-5D6E-409C-BE32-E72D297353CC}">
              <c16:uniqueId val="{00000001-933D-43F9-B99D-2E64675E5B54}"/>
            </c:ext>
          </c:extLst>
        </c:ser>
        <c:ser>
          <c:idx val="2"/>
          <c:order val="2"/>
          <c:tx>
            <c:strRef>
              <c:f>Sheet1!$A$111</c:f>
              <c:strCache>
                <c:ptCount val="1"/>
                <c:pt idx="0">
                  <c:v>APMT &amp; BAL</c:v>
                </c:pt>
              </c:strCache>
            </c:strRef>
          </c:tx>
          <c:spPr>
            <a:solidFill>
              <a:schemeClr val="accent1">
                <a:lumMod val="75000"/>
              </a:schemeClr>
            </a:solidFill>
            <a:ln>
              <a:noFill/>
            </a:ln>
            <a:effectLst/>
          </c:spPr>
          <c:invertIfNegative val="0"/>
          <c:cat>
            <c:strRef>
              <c:f>Sheet1!$C$89:$L$89</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Sheet1!$C$111:$L$111</c:f>
              <c:numCache>
                <c:formatCode>#,##0</c:formatCode>
                <c:ptCount val="10"/>
                <c:pt idx="0">
                  <c:v>669800</c:v>
                </c:pt>
                <c:pt idx="1">
                  <c:v>571700</c:v>
                </c:pt>
                <c:pt idx="2">
                  <c:v>507100</c:v>
                </c:pt>
                <c:pt idx="3">
                  <c:v>1020956</c:v>
                </c:pt>
                <c:pt idx="4">
                  <c:v>1207367</c:v>
                </c:pt>
                <c:pt idx="5">
                  <c:v>1328903</c:v>
                </c:pt>
                <c:pt idx="6">
                  <c:v>1366269</c:v>
                </c:pt>
                <c:pt idx="7">
                  <c:v>1529165</c:v>
                </c:pt>
                <c:pt idx="8">
                  <c:v>1667466</c:v>
                </c:pt>
                <c:pt idx="9">
                  <c:v>1880184</c:v>
                </c:pt>
              </c:numCache>
            </c:numRef>
          </c:val>
          <c:extLst>
            <c:ext xmlns:c16="http://schemas.microsoft.com/office/drawing/2014/chart" uri="{C3380CC4-5D6E-409C-BE32-E72D297353CC}">
              <c16:uniqueId val="{00000002-933D-43F9-B99D-2E64675E5B54}"/>
            </c:ext>
          </c:extLst>
        </c:ser>
        <c:ser>
          <c:idx val="3"/>
          <c:order val="3"/>
          <c:tx>
            <c:strRef>
              <c:f>Sheet1!$A$112</c:f>
              <c:strCache>
                <c:ptCount val="1"/>
                <c:pt idx="0">
                  <c:v>Other TOCs</c:v>
                </c:pt>
              </c:strCache>
            </c:strRef>
          </c:tx>
          <c:spPr>
            <a:solidFill>
              <a:schemeClr val="accent1">
                <a:lumMod val="20000"/>
                <a:lumOff val="80000"/>
              </a:schemeClr>
            </a:solidFill>
            <a:ln>
              <a:noFill/>
            </a:ln>
            <a:effectLst/>
          </c:spPr>
          <c:invertIfNegative val="0"/>
          <c:cat>
            <c:strRef>
              <c:f>Sheet1!$C$89:$L$89</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Sheet1!$C$112:$L$112</c:f>
              <c:numCache>
                <c:formatCode>General</c:formatCode>
                <c:ptCount val="10"/>
                <c:pt idx="2" formatCode="#,##0">
                  <c:v>88405.167559566908</c:v>
                </c:pt>
                <c:pt idx="3" formatCode="#,##0">
                  <c:v>536703.35734242853</c:v>
                </c:pt>
                <c:pt idx="4" formatCode="#,##0">
                  <c:v>504483</c:v>
                </c:pt>
                <c:pt idx="5" formatCode="#,##0">
                  <c:v>492353</c:v>
                </c:pt>
                <c:pt idx="6" formatCode="#,##0">
                  <c:v>534947</c:v>
                </c:pt>
                <c:pt idx="7" formatCode="#,##0">
                  <c:v>729609</c:v>
                </c:pt>
                <c:pt idx="8" formatCode="#,##0">
                  <c:v>836301</c:v>
                </c:pt>
                <c:pt idx="9" formatCode="#,##0">
                  <c:v>1003248</c:v>
                </c:pt>
              </c:numCache>
            </c:numRef>
          </c:val>
          <c:extLst>
            <c:ext xmlns:c16="http://schemas.microsoft.com/office/drawing/2014/chart" uri="{C3380CC4-5D6E-409C-BE32-E72D297353CC}">
              <c16:uniqueId val="{00000003-933D-43F9-B99D-2E64675E5B54}"/>
            </c:ext>
          </c:extLst>
        </c:ser>
        <c:ser>
          <c:idx val="4"/>
          <c:order val="4"/>
          <c:tx>
            <c:strRef>
              <c:f>Sheet1!$A$113</c:f>
              <c:strCache>
                <c:ptCount val="1"/>
                <c:pt idx="0">
                  <c:v>No concession</c:v>
                </c:pt>
              </c:strCache>
            </c:strRef>
          </c:tx>
          <c:spPr>
            <a:solidFill>
              <a:schemeClr val="accent1">
                <a:lumMod val="40000"/>
                <a:lumOff val="60000"/>
              </a:schemeClr>
            </a:solidFill>
            <a:ln>
              <a:noFill/>
            </a:ln>
            <a:effectLst/>
          </c:spPr>
          <c:invertIfNegative val="0"/>
          <c:cat>
            <c:strRef>
              <c:f>Sheet1!$C$89:$L$89</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Sheet1!$C$113:$L$113</c:f>
              <c:numCache>
                <c:formatCode>#,##0</c:formatCode>
                <c:ptCount val="10"/>
                <c:pt idx="0">
                  <c:v>1642388</c:v>
                </c:pt>
                <c:pt idx="1">
                  <c:v>1834995</c:v>
                </c:pt>
                <c:pt idx="2">
                  <c:v>1466154</c:v>
                </c:pt>
                <c:pt idx="3">
                  <c:v>741568</c:v>
                </c:pt>
                <c:pt idx="4">
                  <c:v>871802</c:v>
                </c:pt>
                <c:pt idx="5">
                  <c:v>743719</c:v>
                </c:pt>
                <c:pt idx="6">
                  <c:v>362931</c:v>
                </c:pt>
                <c:pt idx="7">
                  <c:v>156106</c:v>
                </c:pt>
                <c:pt idx="8">
                  <c:v>133246</c:v>
                </c:pt>
                <c:pt idx="9">
                  <c:v>120873</c:v>
                </c:pt>
              </c:numCache>
            </c:numRef>
          </c:val>
          <c:extLst>
            <c:ext xmlns:c16="http://schemas.microsoft.com/office/drawing/2014/chart" uri="{C3380CC4-5D6E-409C-BE32-E72D297353CC}">
              <c16:uniqueId val="{00000004-933D-43F9-B99D-2E64675E5B54}"/>
            </c:ext>
          </c:extLst>
        </c:ser>
        <c:dLbls>
          <c:showLegendKey val="0"/>
          <c:showVal val="0"/>
          <c:showCatName val="0"/>
          <c:showSerName val="0"/>
          <c:showPercent val="0"/>
          <c:showBubbleSize val="0"/>
        </c:dLbls>
        <c:gapWidth val="60"/>
        <c:overlap val="100"/>
        <c:axId val="2141875032"/>
        <c:axId val="2141878760"/>
      </c:barChart>
      <c:lineChart>
        <c:grouping val="standard"/>
        <c:varyColors val="0"/>
        <c:ser>
          <c:idx val="5"/>
          <c:order val="5"/>
          <c:tx>
            <c:strRef>
              <c:f>Sheet1!$A$114</c:f>
              <c:strCache>
                <c:ptCount val="1"/>
                <c:pt idx="0">
                  <c:v>APMT &amp; BAL market share (% TEUs)</c:v>
                </c:pt>
              </c:strCache>
            </c:strRef>
          </c:tx>
          <c:spPr>
            <a:ln w="19050" cap="rnd">
              <a:solidFill>
                <a:schemeClr val="tx1"/>
              </a:solidFill>
              <a:round/>
            </a:ln>
            <a:effectLst/>
          </c:spPr>
          <c:marker>
            <c:symbol val="none"/>
          </c:marker>
          <c:val>
            <c:numRef>
              <c:f>Sheet1!$C$114:$L$114</c:f>
              <c:numCache>
                <c:formatCode>0%</c:formatCode>
                <c:ptCount val="10"/>
                <c:pt idx="0">
                  <c:v>0.28968232686961598</c:v>
                </c:pt>
                <c:pt idx="1">
                  <c:v>0.23754567986388</c:v>
                </c:pt>
                <c:pt idx="2">
                  <c:v>0.38778902482399702</c:v>
                </c:pt>
                <c:pt idx="3">
                  <c:v>0.553577222134646</c:v>
                </c:pt>
                <c:pt idx="4">
                  <c:v>0.58415292026755905</c:v>
                </c:pt>
                <c:pt idx="5">
                  <c:v>0.63705254503545505</c:v>
                </c:pt>
                <c:pt idx="6">
                  <c:v>0.74534330429909401</c:v>
                </c:pt>
                <c:pt idx="7">
                  <c:v>0.78663731945660298</c:v>
                </c:pt>
                <c:pt idx="8">
                  <c:v>0.78454836682467899</c:v>
                </c:pt>
                <c:pt idx="9">
                  <c:v>0.77510149353346702</c:v>
                </c:pt>
              </c:numCache>
            </c:numRef>
          </c:val>
          <c:smooth val="0"/>
          <c:extLst>
            <c:ext xmlns:c16="http://schemas.microsoft.com/office/drawing/2014/chart" uri="{C3380CC4-5D6E-409C-BE32-E72D297353CC}">
              <c16:uniqueId val="{00000005-933D-43F9-B99D-2E64675E5B54}"/>
            </c:ext>
          </c:extLst>
        </c:ser>
        <c:dLbls>
          <c:showLegendKey val="0"/>
          <c:showVal val="0"/>
          <c:showCatName val="0"/>
          <c:showSerName val="0"/>
          <c:showPercent val="0"/>
          <c:showBubbleSize val="0"/>
        </c:dLbls>
        <c:marker val="1"/>
        <c:smooth val="0"/>
        <c:axId val="2141891032"/>
        <c:axId val="2141887496"/>
      </c:lineChart>
      <c:catAx>
        <c:axId val="214187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878760"/>
        <c:crosses val="autoZero"/>
        <c:auto val="1"/>
        <c:lblAlgn val="ctr"/>
        <c:lblOffset val="100"/>
        <c:noMultiLvlLbl val="0"/>
      </c:catAx>
      <c:valAx>
        <c:axId val="2141878760"/>
        <c:scaling>
          <c:orientation val="minMax"/>
          <c:max val="5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TEUs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875032"/>
        <c:crosses val="autoZero"/>
        <c:crossBetween val="between"/>
        <c:majorUnit val="1000000"/>
        <c:dispUnits>
          <c:builtInUnit val="millions"/>
        </c:dispUnits>
      </c:valAx>
      <c:valAx>
        <c:axId val="214188749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891032"/>
        <c:crosses val="max"/>
        <c:crossBetween val="between"/>
        <c:majorUnit val="0.2"/>
      </c:valAx>
      <c:catAx>
        <c:axId val="2141891032"/>
        <c:scaling>
          <c:orientation val="minMax"/>
        </c:scaling>
        <c:delete val="1"/>
        <c:axPos val="b"/>
        <c:majorTickMark val="none"/>
        <c:minorTickMark val="none"/>
        <c:tickLblPos val="none"/>
        <c:crossAx val="214188749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Sheet1!$B$1</c:f>
              <c:strCache>
                <c:ptCount val="1"/>
                <c:pt idx="0">
                  <c:v>Abidjan</c:v>
                </c:pt>
              </c:strCache>
            </c:strRef>
          </c:tx>
          <c:spPr>
            <a:ln w="28575" cap="rnd">
              <a:solidFill>
                <a:schemeClr val="accent1">
                  <a:shade val="76000"/>
                </a:schemeClr>
              </a:solidFill>
              <a:round/>
            </a:ln>
            <a:effectLst/>
          </c:spPr>
          <c:marker>
            <c:symbol val="none"/>
          </c:marker>
          <c:cat>
            <c:numRef>
              <c:f>Sheet1!$A$2:$A$13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Sheet1!$B$2:$B$13</c:f>
              <c:numCache>
                <c:formatCode>General</c:formatCode>
                <c:ptCount val="12"/>
                <c:pt idx="0">
                  <c:v>19.2</c:v>
                </c:pt>
                <c:pt idx="1">
                  <c:v>26.7</c:v>
                </c:pt>
                <c:pt idx="2">
                  <c:v>30.3</c:v>
                </c:pt>
                <c:pt idx="3">
                  <c:v>31</c:v>
                </c:pt>
                <c:pt idx="4">
                  <c:v>32.299999999999997</c:v>
                </c:pt>
                <c:pt idx="5">
                  <c:v>33.9</c:v>
                </c:pt>
                <c:pt idx="6">
                  <c:v>33.6</c:v>
                </c:pt>
                <c:pt idx="7">
                  <c:v>30.6</c:v>
                </c:pt>
                <c:pt idx="8">
                  <c:v>29.7</c:v>
                </c:pt>
                <c:pt idx="9">
                  <c:v>33.5</c:v>
                </c:pt>
                <c:pt idx="10">
                  <c:v>33.9</c:v>
                </c:pt>
                <c:pt idx="11">
                  <c:v>34.799999999999997</c:v>
                </c:pt>
              </c:numCache>
            </c:numRef>
          </c:val>
          <c:smooth val="0"/>
          <c:extLst>
            <c:ext xmlns:c16="http://schemas.microsoft.com/office/drawing/2014/chart" uri="{C3380CC4-5D6E-409C-BE32-E72D297353CC}">
              <c16:uniqueId val="{00000000-50FD-49C9-B95C-392305E793DF}"/>
            </c:ext>
          </c:extLst>
        </c:ser>
        <c:ser>
          <c:idx val="1"/>
          <c:order val="1"/>
          <c:tx>
            <c:strRef>
              <c:f>Sheet1!$C$1</c:f>
              <c:strCache>
                <c:ptCount val="1"/>
                <c:pt idx="0">
                  <c:v>Tema</c:v>
                </c:pt>
              </c:strCache>
            </c:strRef>
          </c:tx>
          <c:spPr>
            <a:ln w="28575" cap="rnd">
              <a:solidFill>
                <a:schemeClr val="accent1">
                  <a:tint val="77000"/>
                </a:schemeClr>
              </a:solidFill>
              <a:round/>
            </a:ln>
            <a:effectLst/>
          </c:spPr>
          <c:marker>
            <c:symbol val="none"/>
          </c:marker>
          <c:cat>
            <c:numRef>
              <c:f>Sheet1!$A$2:$A$13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Sheet1!$C$2:$C$13</c:f>
              <c:numCache>
                <c:formatCode>General</c:formatCode>
                <c:ptCount val="12"/>
                <c:pt idx="3">
                  <c:v>20.399999999999999</c:v>
                </c:pt>
                <c:pt idx="4">
                  <c:v>22.8</c:v>
                </c:pt>
                <c:pt idx="5">
                  <c:v>31.7</c:v>
                </c:pt>
                <c:pt idx="6">
                  <c:v>29.8</c:v>
                </c:pt>
                <c:pt idx="7">
                  <c:v>34.200000000000003</c:v>
                </c:pt>
                <c:pt idx="8">
                  <c:v>32.9</c:v>
                </c:pt>
                <c:pt idx="9">
                  <c:v>36</c:v>
                </c:pt>
                <c:pt idx="10">
                  <c:v>38.299999999999997</c:v>
                </c:pt>
                <c:pt idx="11">
                  <c:v>40.200000000000003</c:v>
                </c:pt>
              </c:numCache>
            </c:numRef>
          </c:val>
          <c:smooth val="0"/>
          <c:extLst>
            <c:ext xmlns:c16="http://schemas.microsoft.com/office/drawing/2014/chart" uri="{C3380CC4-5D6E-409C-BE32-E72D297353CC}">
              <c16:uniqueId val="{00000001-50FD-49C9-B95C-392305E793DF}"/>
            </c:ext>
          </c:extLst>
        </c:ser>
        <c:dLbls>
          <c:showLegendKey val="0"/>
          <c:showVal val="0"/>
          <c:showCatName val="0"/>
          <c:showSerName val="0"/>
          <c:showPercent val="0"/>
          <c:showBubbleSize val="0"/>
        </c:dLbls>
        <c:smooth val="0"/>
        <c:axId val="2142120968"/>
        <c:axId val="2142124664"/>
      </c:lineChart>
      <c:catAx>
        <c:axId val="214212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124664"/>
        <c:crosses val="autoZero"/>
        <c:auto val="1"/>
        <c:lblAlgn val="ctr"/>
        <c:lblOffset val="100"/>
        <c:noMultiLvlLbl val="0"/>
      </c:catAx>
      <c:valAx>
        <c:axId val="2142124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Gross moves per berth 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12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Moves per ship working hours</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23A1-4BF8-BF7D-FBA5C115BD2B}"/>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23A1-4BF8-BF7D-FBA5C115BD2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5-23A1-4BF8-BF7D-FBA5C115BD2B}"/>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7-23A1-4BF8-BF7D-FBA5C115BD2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Tema (MPS)</c:v>
                </c:pt>
                <c:pt idx="1">
                  <c:v>Dar es Salaam (TICTS)</c:v>
                </c:pt>
                <c:pt idx="2">
                  <c:v>Ngqura</c:v>
                </c:pt>
                <c:pt idx="3">
                  <c:v>Durban (Pier 2)</c:v>
                </c:pt>
                <c:pt idx="4">
                  <c:v>Los Angeles</c:v>
                </c:pt>
                <c:pt idx="5">
                  <c:v>Rotterdam</c:v>
                </c:pt>
                <c:pt idx="6">
                  <c:v>Shanghai</c:v>
                </c:pt>
                <c:pt idx="7">
                  <c:v>Yokohama</c:v>
                </c:pt>
                <c:pt idx="8">
                  <c:v>Jebel Ali</c:v>
                </c:pt>
              </c:strCache>
            </c:strRef>
          </c:cat>
          <c:val>
            <c:numRef>
              <c:f>Sheet1!$B$2:$B$10</c:f>
              <c:numCache>
                <c:formatCode>General</c:formatCode>
                <c:ptCount val="9"/>
                <c:pt idx="0">
                  <c:v>27</c:v>
                </c:pt>
                <c:pt idx="1">
                  <c:v>36</c:v>
                </c:pt>
                <c:pt idx="2">
                  <c:v>47</c:v>
                </c:pt>
                <c:pt idx="3">
                  <c:v>59</c:v>
                </c:pt>
                <c:pt idx="4">
                  <c:v>80</c:v>
                </c:pt>
                <c:pt idx="5">
                  <c:v>88</c:v>
                </c:pt>
                <c:pt idx="6">
                  <c:v>101</c:v>
                </c:pt>
                <c:pt idx="7">
                  <c:v>105</c:v>
                </c:pt>
                <c:pt idx="8">
                  <c:v>138</c:v>
                </c:pt>
              </c:numCache>
            </c:numRef>
          </c:val>
          <c:extLst>
            <c:ext xmlns:c16="http://schemas.microsoft.com/office/drawing/2014/chart" uri="{C3380CC4-5D6E-409C-BE32-E72D297353CC}">
              <c16:uniqueId val="{00000008-23A1-4BF8-BF7D-FBA5C115BD2B}"/>
            </c:ext>
          </c:extLst>
        </c:ser>
        <c:dLbls>
          <c:showLegendKey val="0"/>
          <c:showVal val="0"/>
          <c:showCatName val="0"/>
          <c:showSerName val="0"/>
          <c:showPercent val="0"/>
          <c:showBubbleSize val="0"/>
        </c:dLbls>
        <c:gapWidth val="50"/>
        <c:axId val="2142175336"/>
        <c:axId val="2142178920"/>
      </c:barChart>
      <c:catAx>
        <c:axId val="2142175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178920"/>
        <c:crosses val="autoZero"/>
        <c:auto val="1"/>
        <c:lblAlgn val="ctr"/>
        <c:lblOffset val="100"/>
        <c:noMultiLvlLbl val="0"/>
      </c:catAx>
      <c:valAx>
        <c:axId val="2142178920"/>
        <c:scaling>
          <c:orientation val="minMax"/>
          <c:max val="1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Moves</a:t>
                </a:r>
                <a:r>
                  <a:rPr lang="en-US" baseline="0"/>
                  <a:t> per ship working hours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1753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Sheet7!$B$1</c:f>
              <c:strCache>
                <c:ptCount val="1"/>
                <c:pt idx="0">
                  <c:v>MPI</c:v>
                </c:pt>
              </c:strCache>
            </c:strRef>
          </c:tx>
          <c:spPr>
            <a:ln w="25400">
              <a:solidFill>
                <a:schemeClr val="tx1"/>
              </a:solidFill>
            </a:ln>
          </c:spPr>
          <c:marker>
            <c:symbol val="none"/>
          </c:marker>
          <c:cat>
            <c:strRef>
              <c:f>Sheet7!$A$2:$A$10</c:f>
              <c:strCache>
                <c:ptCount val="9"/>
                <c:pt idx="0">
                  <c:v>2004-05</c:v>
                </c:pt>
                <c:pt idx="1">
                  <c:v>2005-06</c:v>
                </c:pt>
                <c:pt idx="2">
                  <c:v>2006-07</c:v>
                </c:pt>
                <c:pt idx="3">
                  <c:v>2007-08</c:v>
                </c:pt>
                <c:pt idx="4">
                  <c:v>2008-09</c:v>
                </c:pt>
                <c:pt idx="5">
                  <c:v>2009-10</c:v>
                </c:pt>
                <c:pt idx="6">
                  <c:v>2010-11</c:v>
                </c:pt>
                <c:pt idx="7">
                  <c:v>2011-12</c:v>
                </c:pt>
                <c:pt idx="8">
                  <c:v>2012-13</c:v>
                </c:pt>
              </c:strCache>
            </c:strRef>
          </c:cat>
          <c:val>
            <c:numRef>
              <c:f>Sheet7!$B$2:$B$10</c:f>
              <c:numCache>
                <c:formatCode>0.00</c:formatCode>
                <c:ptCount val="9"/>
                <c:pt idx="0">
                  <c:v>0.87703758112372998</c:v>
                </c:pt>
                <c:pt idx="1">
                  <c:v>0.82518015858664895</c:v>
                </c:pt>
                <c:pt idx="2">
                  <c:v>0.93506653983261701</c:v>
                </c:pt>
                <c:pt idx="3">
                  <c:v>0.98729670936234104</c:v>
                </c:pt>
                <c:pt idx="4">
                  <c:v>1.014</c:v>
                </c:pt>
                <c:pt idx="5">
                  <c:v>0.96300000000000097</c:v>
                </c:pt>
                <c:pt idx="6">
                  <c:v>0.98899999999999999</c:v>
                </c:pt>
                <c:pt idx="7">
                  <c:v>1.016</c:v>
                </c:pt>
                <c:pt idx="8">
                  <c:v>1.006</c:v>
                </c:pt>
              </c:numCache>
            </c:numRef>
          </c:val>
          <c:smooth val="0"/>
          <c:extLst>
            <c:ext xmlns:c16="http://schemas.microsoft.com/office/drawing/2014/chart" uri="{C3380CC4-5D6E-409C-BE32-E72D297353CC}">
              <c16:uniqueId val="{00000000-6BAB-440D-A0B1-475A1DCEF67E}"/>
            </c:ext>
          </c:extLst>
        </c:ser>
        <c:ser>
          <c:idx val="1"/>
          <c:order val="1"/>
          <c:tx>
            <c:strRef>
              <c:f>Sheet7!$C$1</c:f>
              <c:strCache>
                <c:ptCount val="1"/>
                <c:pt idx="0">
                  <c:v>PEC</c:v>
                </c:pt>
              </c:strCache>
            </c:strRef>
          </c:tx>
          <c:spPr>
            <a:ln w="19050"/>
          </c:spPr>
          <c:marker>
            <c:symbol val="none"/>
          </c:marker>
          <c:cat>
            <c:strRef>
              <c:f>Sheet7!$A$2:$A$10</c:f>
              <c:strCache>
                <c:ptCount val="9"/>
                <c:pt idx="0">
                  <c:v>2004-05</c:v>
                </c:pt>
                <c:pt idx="1">
                  <c:v>2005-06</c:v>
                </c:pt>
                <c:pt idx="2">
                  <c:v>2006-07</c:v>
                </c:pt>
                <c:pt idx="3">
                  <c:v>2007-08</c:v>
                </c:pt>
                <c:pt idx="4">
                  <c:v>2008-09</c:v>
                </c:pt>
                <c:pt idx="5">
                  <c:v>2009-10</c:v>
                </c:pt>
                <c:pt idx="6">
                  <c:v>2010-11</c:v>
                </c:pt>
                <c:pt idx="7">
                  <c:v>2011-12</c:v>
                </c:pt>
                <c:pt idx="8">
                  <c:v>2012-13</c:v>
                </c:pt>
              </c:strCache>
            </c:strRef>
          </c:cat>
          <c:val>
            <c:numRef>
              <c:f>Sheet7!$C$2:$C$10</c:f>
              <c:numCache>
                <c:formatCode>0.00</c:formatCode>
                <c:ptCount val="9"/>
                <c:pt idx="0">
                  <c:v>0.80500000000000005</c:v>
                </c:pt>
                <c:pt idx="1">
                  <c:v>0.87624120172673003</c:v>
                </c:pt>
                <c:pt idx="2">
                  <c:v>0.89492060384200001</c:v>
                </c:pt>
                <c:pt idx="3">
                  <c:v>0.96000000000000096</c:v>
                </c:pt>
                <c:pt idx="4">
                  <c:v>0.94000000000000095</c:v>
                </c:pt>
                <c:pt idx="5">
                  <c:v>0.98700045111462997</c:v>
                </c:pt>
                <c:pt idx="6">
                  <c:v>0.97200000000000097</c:v>
                </c:pt>
                <c:pt idx="7">
                  <c:v>0.97900000000000098</c:v>
                </c:pt>
                <c:pt idx="8">
                  <c:v>0.98599999999999999</c:v>
                </c:pt>
              </c:numCache>
            </c:numRef>
          </c:val>
          <c:smooth val="0"/>
          <c:extLst>
            <c:ext xmlns:c16="http://schemas.microsoft.com/office/drawing/2014/chart" uri="{C3380CC4-5D6E-409C-BE32-E72D297353CC}">
              <c16:uniqueId val="{00000001-6BAB-440D-A0B1-475A1DCEF67E}"/>
            </c:ext>
          </c:extLst>
        </c:ser>
        <c:ser>
          <c:idx val="2"/>
          <c:order val="2"/>
          <c:tx>
            <c:strRef>
              <c:f>Sheet7!$D$1</c:f>
              <c:strCache>
                <c:ptCount val="1"/>
                <c:pt idx="0">
                  <c:v>SEC</c:v>
                </c:pt>
              </c:strCache>
            </c:strRef>
          </c:tx>
          <c:spPr>
            <a:ln w="19050"/>
          </c:spPr>
          <c:marker>
            <c:symbol val="none"/>
          </c:marker>
          <c:cat>
            <c:strRef>
              <c:f>Sheet7!$A$2:$A$10</c:f>
              <c:strCache>
                <c:ptCount val="9"/>
                <c:pt idx="0">
                  <c:v>2004-05</c:v>
                </c:pt>
                <c:pt idx="1">
                  <c:v>2005-06</c:v>
                </c:pt>
                <c:pt idx="2">
                  <c:v>2006-07</c:v>
                </c:pt>
                <c:pt idx="3">
                  <c:v>2007-08</c:v>
                </c:pt>
                <c:pt idx="4">
                  <c:v>2008-09</c:v>
                </c:pt>
                <c:pt idx="5">
                  <c:v>2009-10</c:v>
                </c:pt>
                <c:pt idx="6">
                  <c:v>2010-11</c:v>
                </c:pt>
                <c:pt idx="7">
                  <c:v>2011-12</c:v>
                </c:pt>
                <c:pt idx="8">
                  <c:v>2012-13</c:v>
                </c:pt>
              </c:strCache>
            </c:strRef>
          </c:cat>
          <c:val>
            <c:numRef>
              <c:f>Sheet7!$D$2:$D$10</c:f>
              <c:numCache>
                <c:formatCode>0.00</c:formatCode>
                <c:ptCount val="9"/>
                <c:pt idx="0">
                  <c:v>0.89558609562032299</c:v>
                </c:pt>
                <c:pt idx="1">
                  <c:v>0.87000000000000099</c:v>
                </c:pt>
                <c:pt idx="2">
                  <c:v>0.87933784663623604</c:v>
                </c:pt>
                <c:pt idx="3">
                  <c:v>0.89500000000000002</c:v>
                </c:pt>
                <c:pt idx="4">
                  <c:v>0.92300000000000004</c:v>
                </c:pt>
                <c:pt idx="5">
                  <c:v>0.98699999999999999</c:v>
                </c:pt>
                <c:pt idx="6">
                  <c:v>1.0321306493039999</c:v>
                </c:pt>
                <c:pt idx="7">
                  <c:v>1.05</c:v>
                </c:pt>
                <c:pt idx="8">
                  <c:v>1.04559826117373</c:v>
                </c:pt>
              </c:numCache>
            </c:numRef>
          </c:val>
          <c:smooth val="0"/>
          <c:extLst>
            <c:ext xmlns:c16="http://schemas.microsoft.com/office/drawing/2014/chart" uri="{C3380CC4-5D6E-409C-BE32-E72D297353CC}">
              <c16:uniqueId val="{00000002-6BAB-440D-A0B1-475A1DCEF67E}"/>
            </c:ext>
          </c:extLst>
        </c:ser>
        <c:ser>
          <c:idx val="3"/>
          <c:order val="3"/>
          <c:tx>
            <c:strRef>
              <c:f>Sheet7!$E$1</c:f>
              <c:strCache>
                <c:ptCount val="1"/>
                <c:pt idx="0">
                  <c:v>TC</c:v>
                </c:pt>
              </c:strCache>
            </c:strRef>
          </c:tx>
          <c:spPr>
            <a:ln w="19050">
              <a:prstDash val="sysDash"/>
            </a:ln>
          </c:spPr>
          <c:marker>
            <c:symbol val="none"/>
          </c:marker>
          <c:cat>
            <c:strRef>
              <c:f>Sheet7!$A$2:$A$10</c:f>
              <c:strCache>
                <c:ptCount val="9"/>
                <c:pt idx="0">
                  <c:v>2004-05</c:v>
                </c:pt>
                <c:pt idx="1">
                  <c:v>2005-06</c:v>
                </c:pt>
                <c:pt idx="2">
                  <c:v>2006-07</c:v>
                </c:pt>
                <c:pt idx="3">
                  <c:v>2007-08</c:v>
                </c:pt>
                <c:pt idx="4">
                  <c:v>2008-09</c:v>
                </c:pt>
                <c:pt idx="5">
                  <c:v>2009-10</c:v>
                </c:pt>
                <c:pt idx="6">
                  <c:v>2010-11</c:v>
                </c:pt>
                <c:pt idx="7">
                  <c:v>2011-12</c:v>
                </c:pt>
                <c:pt idx="8">
                  <c:v>2012-13</c:v>
                </c:pt>
              </c:strCache>
            </c:strRef>
          </c:cat>
          <c:val>
            <c:numRef>
              <c:f>Sheet7!$E$2:$E$10</c:f>
              <c:numCache>
                <c:formatCode>0.00</c:formatCode>
                <c:ptCount val="9"/>
                <c:pt idx="0">
                  <c:v>0.83000000000000096</c:v>
                </c:pt>
                <c:pt idx="1">
                  <c:v>0.8</c:v>
                </c:pt>
                <c:pt idx="2">
                  <c:v>0.81200000000000105</c:v>
                </c:pt>
                <c:pt idx="3">
                  <c:v>0.96143402531410005</c:v>
                </c:pt>
                <c:pt idx="4">
                  <c:v>0.98473927957992802</c:v>
                </c:pt>
                <c:pt idx="5">
                  <c:v>0.99</c:v>
                </c:pt>
                <c:pt idx="6">
                  <c:v>1.0112962987455141</c:v>
                </c:pt>
                <c:pt idx="7">
                  <c:v>1.0241531580021701</c:v>
                </c:pt>
                <c:pt idx="8">
                  <c:v>0.96817982766653199</c:v>
                </c:pt>
              </c:numCache>
            </c:numRef>
          </c:val>
          <c:smooth val="0"/>
          <c:extLst>
            <c:ext xmlns:c16="http://schemas.microsoft.com/office/drawing/2014/chart" uri="{C3380CC4-5D6E-409C-BE32-E72D297353CC}">
              <c16:uniqueId val="{00000003-6BAB-440D-A0B1-475A1DCEF67E}"/>
            </c:ext>
          </c:extLst>
        </c:ser>
        <c:dLbls>
          <c:showLegendKey val="0"/>
          <c:showVal val="0"/>
          <c:showCatName val="0"/>
          <c:showSerName val="0"/>
          <c:showPercent val="0"/>
          <c:showBubbleSize val="0"/>
        </c:dLbls>
        <c:smooth val="0"/>
        <c:axId val="2144703704"/>
        <c:axId val="2144706904"/>
      </c:lineChart>
      <c:catAx>
        <c:axId val="2144703704"/>
        <c:scaling>
          <c:orientation val="minMax"/>
        </c:scaling>
        <c:delete val="0"/>
        <c:axPos val="b"/>
        <c:numFmt formatCode="General" sourceLinked="0"/>
        <c:majorTickMark val="none"/>
        <c:minorTickMark val="none"/>
        <c:tickLblPos val="nextTo"/>
        <c:crossAx val="2144706904"/>
        <c:crosses val="autoZero"/>
        <c:auto val="1"/>
        <c:lblAlgn val="ctr"/>
        <c:lblOffset val="100"/>
        <c:noMultiLvlLbl val="0"/>
      </c:catAx>
      <c:valAx>
        <c:axId val="2144706904"/>
        <c:scaling>
          <c:orientation val="minMax"/>
          <c:max val="1.05"/>
          <c:min val="0.8"/>
        </c:scaling>
        <c:delete val="0"/>
        <c:axPos val="l"/>
        <c:majorGridlines>
          <c:spPr>
            <a:ln w="9525"/>
          </c:spPr>
        </c:majorGridlines>
        <c:numFmt formatCode="0.00" sourceLinked="1"/>
        <c:majorTickMark val="out"/>
        <c:minorTickMark val="none"/>
        <c:tickLblPos val="nextTo"/>
        <c:crossAx val="2144703704"/>
        <c:crosses val="autoZero"/>
        <c:crossBetween val="between"/>
        <c:majorUnit val="0.05"/>
      </c:valAx>
    </c:plotArea>
    <c:legend>
      <c:legendPos val="r"/>
      <c:overlay val="0"/>
    </c:legend>
    <c:plotVisOnly val="1"/>
    <c:dispBlanksAs val="gap"/>
    <c:showDLblsOverMax val="0"/>
  </c:chart>
  <c:spPr>
    <a:ln>
      <a:noFill/>
    </a:ln>
  </c:spPr>
  <c:txPr>
    <a:bodyPr/>
    <a:lstStyle/>
    <a:p>
      <a:pPr>
        <a:defRPr>
          <a:latin typeface="+mn-lt"/>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GPHA!$A$3</c:f>
              <c:strCache>
                <c:ptCount val="1"/>
                <c:pt idx="0">
                  <c:v>Import 20' Full</c:v>
                </c:pt>
              </c:strCache>
            </c:strRef>
          </c:tx>
          <c:spPr>
            <a:ln w="28575" cap="rnd">
              <a:solidFill>
                <a:schemeClr val="accent1">
                  <a:shade val="76000"/>
                </a:schemeClr>
              </a:solidFill>
              <a:round/>
            </a:ln>
            <a:effectLst/>
          </c:spPr>
          <c:marker>
            <c:symbol val="none"/>
          </c:marker>
          <c:cat>
            <c:numRef>
              <c:f>GPHA!$B$2:$H$2</c:f>
              <c:numCache>
                <c:formatCode>yyyy</c:formatCode>
                <c:ptCount val="7"/>
                <c:pt idx="0">
                  <c:v>32325</c:v>
                </c:pt>
                <c:pt idx="1">
                  <c:v>35612</c:v>
                </c:pt>
                <c:pt idx="2">
                  <c:v>40360</c:v>
                </c:pt>
                <c:pt idx="3">
                  <c:v>40725</c:v>
                </c:pt>
                <c:pt idx="4">
                  <c:v>41456</c:v>
                </c:pt>
                <c:pt idx="5">
                  <c:v>41821</c:v>
                </c:pt>
                <c:pt idx="6">
                  <c:v>42278</c:v>
                </c:pt>
              </c:numCache>
            </c:numRef>
          </c:cat>
          <c:val>
            <c:numRef>
              <c:f>GPHA!$B$3:$H$3</c:f>
              <c:numCache>
                <c:formatCode>[$$-409]#,##0.00</c:formatCode>
                <c:ptCount val="7"/>
                <c:pt idx="0">
                  <c:v>70</c:v>
                </c:pt>
                <c:pt idx="1">
                  <c:v>63</c:v>
                </c:pt>
                <c:pt idx="2">
                  <c:v>78.75</c:v>
                </c:pt>
                <c:pt idx="3">
                  <c:v>82.69</c:v>
                </c:pt>
                <c:pt idx="4">
                  <c:v>95.5</c:v>
                </c:pt>
                <c:pt idx="5">
                  <c:v>100.5</c:v>
                </c:pt>
                <c:pt idx="6">
                  <c:v>104.52</c:v>
                </c:pt>
              </c:numCache>
            </c:numRef>
          </c:val>
          <c:smooth val="0"/>
          <c:extLst>
            <c:ext xmlns:c16="http://schemas.microsoft.com/office/drawing/2014/chart" uri="{C3380CC4-5D6E-409C-BE32-E72D297353CC}">
              <c16:uniqueId val="{00000000-9042-471A-A012-1E4CA63A50E0}"/>
            </c:ext>
          </c:extLst>
        </c:ser>
        <c:ser>
          <c:idx val="1"/>
          <c:order val="1"/>
          <c:tx>
            <c:strRef>
              <c:f>GPHA!$A$4</c:f>
              <c:strCache>
                <c:ptCount val="1"/>
                <c:pt idx="0">
                  <c:v>Import 40' Full</c:v>
                </c:pt>
              </c:strCache>
            </c:strRef>
          </c:tx>
          <c:spPr>
            <a:ln w="28575" cap="rnd">
              <a:solidFill>
                <a:schemeClr val="accent1">
                  <a:tint val="77000"/>
                </a:schemeClr>
              </a:solidFill>
              <a:round/>
            </a:ln>
            <a:effectLst/>
          </c:spPr>
          <c:marker>
            <c:symbol val="none"/>
          </c:marker>
          <c:cat>
            <c:numRef>
              <c:f>GPHA!$B$2:$H$2</c:f>
              <c:numCache>
                <c:formatCode>yyyy</c:formatCode>
                <c:ptCount val="7"/>
                <c:pt idx="0">
                  <c:v>32325</c:v>
                </c:pt>
                <c:pt idx="1">
                  <c:v>35612</c:v>
                </c:pt>
                <c:pt idx="2">
                  <c:v>40360</c:v>
                </c:pt>
                <c:pt idx="3">
                  <c:v>40725</c:v>
                </c:pt>
                <c:pt idx="4">
                  <c:v>41456</c:v>
                </c:pt>
                <c:pt idx="5">
                  <c:v>41821</c:v>
                </c:pt>
                <c:pt idx="6">
                  <c:v>42278</c:v>
                </c:pt>
              </c:numCache>
            </c:numRef>
          </c:cat>
          <c:val>
            <c:numRef>
              <c:f>GPHA!$B$4:$H$4</c:f>
              <c:numCache>
                <c:formatCode>[$$-409]#,##0.00</c:formatCode>
                <c:ptCount val="7"/>
                <c:pt idx="0">
                  <c:v>140</c:v>
                </c:pt>
                <c:pt idx="1">
                  <c:v>119</c:v>
                </c:pt>
                <c:pt idx="2">
                  <c:v>148.75</c:v>
                </c:pt>
                <c:pt idx="3">
                  <c:v>156.19</c:v>
                </c:pt>
                <c:pt idx="4">
                  <c:v>180</c:v>
                </c:pt>
                <c:pt idx="5">
                  <c:v>189</c:v>
                </c:pt>
                <c:pt idx="6">
                  <c:v>196.56</c:v>
                </c:pt>
              </c:numCache>
            </c:numRef>
          </c:val>
          <c:smooth val="0"/>
          <c:extLst>
            <c:ext xmlns:c16="http://schemas.microsoft.com/office/drawing/2014/chart" uri="{C3380CC4-5D6E-409C-BE32-E72D297353CC}">
              <c16:uniqueId val="{00000001-9042-471A-A012-1E4CA63A50E0}"/>
            </c:ext>
          </c:extLst>
        </c:ser>
        <c:dLbls>
          <c:showLegendKey val="0"/>
          <c:showVal val="0"/>
          <c:showCatName val="0"/>
          <c:showSerName val="0"/>
          <c:showPercent val="0"/>
          <c:showBubbleSize val="0"/>
        </c:dLbls>
        <c:smooth val="0"/>
        <c:axId val="2144746840"/>
        <c:axId val="2144750280"/>
      </c:lineChart>
      <c:dateAx>
        <c:axId val="2144746840"/>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44750280"/>
        <c:crosses val="autoZero"/>
        <c:auto val="1"/>
        <c:lblOffset val="100"/>
        <c:baseTimeUnit val="years"/>
      </c:dateAx>
      <c:valAx>
        <c:axId val="2144750280"/>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409]#,##0" sourceLinked="0"/>
        <c:majorTickMark val="none"/>
        <c:minorTickMark val="none"/>
        <c:tickLblPos val="nextTo"/>
        <c:spPr>
          <a:noFill/>
          <a:ln>
            <a:noFill/>
          </a:ln>
          <a:effectLst/>
        </c:spPr>
        <c:txPr>
          <a:bodyPr rot="-60000000" vert="horz"/>
          <a:lstStyle/>
          <a:p>
            <a:pPr>
              <a:defRPr/>
            </a:pPr>
            <a:endParaRPr lang="en-US"/>
          </a:p>
        </c:txPr>
        <c:crossAx val="2144746840"/>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6593452134299"/>
          <c:y val="9.8035493907632401E-2"/>
          <c:w val="0.70896808951512602"/>
          <c:h val="0.57298708522361896"/>
        </c:manualLayout>
      </c:layout>
      <c:barChart>
        <c:barDir val="col"/>
        <c:grouping val="clustered"/>
        <c:varyColors val="0"/>
        <c:ser>
          <c:idx val="0"/>
          <c:order val="0"/>
          <c:tx>
            <c:strRef>
              <c:f>'Latest tariff all ports in CFA'!$B$1</c:f>
              <c:strCache>
                <c:ptCount val="1"/>
                <c:pt idx="0">
                  <c:v>Dakar</c:v>
                </c:pt>
              </c:strCache>
            </c:strRef>
          </c:tx>
          <c:spPr>
            <a:solidFill>
              <a:schemeClr val="accent1">
                <a:shade val="58000"/>
              </a:schemeClr>
            </a:solidFill>
            <a:ln>
              <a:noFill/>
            </a:ln>
            <a:effectLst/>
          </c:spPr>
          <c:invertIfNegative val="0"/>
          <c:cat>
            <c:strRef>
              <c:f>'Latest tariff all ports in CFA'!$A$2:$A$7</c:f>
              <c:strCache>
                <c:ptCount val="6"/>
                <c:pt idx="0">
                  <c:v>Standard 20' import</c:v>
                </c:pt>
                <c:pt idx="1">
                  <c:v>Special rate 20' import</c:v>
                </c:pt>
                <c:pt idx="2">
                  <c:v>Transit 20' inbound</c:v>
                </c:pt>
                <c:pt idx="3">
                  <c:v>Standard 20' export</c:v>
                </c:pt>
                <c:pt idx="4">
                  <c:v>Special rate 20' export</c:v>
                </c:pt>
                <c:pt idx="5">
                  <c:v>Transit 20' outbound</c:v>
                </c:pt>
              </c:strCache>
            </c:strRef>
          </c:cat>
          <c:val>
            <c:numRef>
              <c:f>'Latest tariff all ports in CFA'!$B$2:$B$7</c:f>
              <c:numCache>
                <c:formatCode>_-* #,##0_-;\-* #,##0_-;_-* "-"??_-;_-@_-</c:formatCode>
                <c:ptCount val="6"/>
                <c:pt idx="0">
                  <c:v>257.25423728813553</c:v>
                </c:pt>
                <c:pt idx="1">
                  <c:v>178.4406779661017</c:v>
                </c:pt>
                <c:pt idx="2">
                  <c:v>248.40677966101691</c:v>
                </c:pt>
                <c:pt idx="3">
                  <c:v>217.42372881355939</c:v>
                </c:pt>
                <c:pt idx="4">
                  <c:v>149.62711864406779</c:v>
                </c:pt>
                <c:pt idx="5">
                  <c:v>248.40677966101691</c:v>
                </c:pt>
              </c:numCache>
            </c:numRef>
          </c:val>
          <c:extLst>
            <c:ext xmlns:c16="http://schemas.microsoft.com/office/drawing/2014/chart" uri="{C3380CC4-5D6E-409C-BE32-E72D297353CC}">
              <c16:uniqueId val="{00000000-DF70-4892-B67F-7217B9CE29DB}"/>
            </c:ext>
          </c:extLst>
        </c:ser>
        <c:ser>
          <c:idx val="1"/>
          <c:order val="1"/>
          <c:tx>
            <c:strRef>
              <c:f>'Latest tariff all ports in CFA'!$C$1</c:f>
              <c:strCache>
                <c:ptCount val="1"/>
                <c:pt idx="0">
                  <c:v>Abidjan</c:v>
                </c:pt>
              </c:strCache>
            </c:strRef>
          </c:tx>
          <c:spPr>
            <a:solidFill>
              <a:schemeClr val="accent1">
                <a:shade val="86000"/>
              </a:schemeClr>
            </a:solidFill>
            <a:ln>
              <a:noFill/>
            </a:ln>
            <a:effectLst/>
          </c:spPr>
          <c:invertIfNegative val="0"/>
          <c:cat>
            <c:strRef>
              <c:f>'Latest tariff all ports in CFA'!$A$2:$A$7</c:f>
              <c:strCache>
                <c:ptCount val="6"/>
                <c:pt idx="0">
                  <c:v>Standard 20' import</c:v>
                </c:pt>
                <c:pt idx="1">
                  <c:v>Special rate 20' import</c:v>
                </c:pt>
                <c:pt idx="2">
                  <c:v>Transit 20' inbound</c:v>
                </c:pt>
                <c:pt idx="3">
                  <c:v>Standard 20' export</c:v>
                </c:pt>
                <c:pt idx="4">
                  <c:v>Special rate 20' export</c:v>
                </c:pt>
                <c:pt idx="5">
                  <c:v>Transit 20' outbound</c:v>
                </c:pt>
              </c:strCache>
            </c:strRef>
          </c:cat>
          <c:val>
            <c:numRef>
              <c:f>'Latest tariff all ports in CFA'!$C$2:$C$7</c:f>
              <c:numCache>
                <c:formatCode>_-* #,##0_-;\-* #,##0_-;_-* "-"??_-;_-@_-</c:formatCode>
                <c:ptCount val="6"/>
                <c:pt idx="0">
                  <c:v>288.81355932203383</c:v>
                </c:pt>
                <c:pt idx="1">
                  <c:v>156.94915254237279</c:v>
                </c:pt>
                <c:pt idx="2">
                  <c:v>161.0169491525424</c:v>
                </c:pt>
                <c:pt idx="3">
                  <c:v>214.40677966101691</c:v>
                </c:pt>
                <c:pt idx="4">
                  <c:v>151.69491525423729</c:v>
                </c:pt>
                <c:pt idx="5">
                  <c:v>118.6440677966102</c:v>
                </c:pt>
              </c:numCache>
            </c:numRef>
          </c:val>
          <c:extLst>
            <c:ext xmlns:c16="http://schemas.microsoft.com/office/drawing/2014/chart" uri="{C3380CC4-5D6E-409C-BE32-E72D297353CC}">
              <c16:uniqueId val="{00000001-DF70-4892-B67F-7217B9CE29DB}"/>
            </c:ext>
          </c:extLst>
        </c:ser>
        <c:ser>
          <c:idx val="2"/>
          <c:order val="2"/>
          <c:tx>
            <c:strRef>
              <c:f>'Latest tariff all ports in CFA'!$D$1</c:f>
              <c:strCache>
                <c:ptCount val="1"/>
                <c:pt idx="0">
                  <c:v>Lome</c:v>
                </c:pt>
              </c:strCache>
            </c:strRef>
          </c:tx>
          <c:spPr>
            <a:solidFill>
              <a:schemeClr val="accent1">
                <a:tint val="86000"/>
              </a:schemeClr>
            </a:solidFill>
            <a:ln>
              <a:noFill/>
            </a:ln>
            <a:effectLst/>
          </c:spPr>
          <c:invertIfNegative val="0"/>
          <c:cat>
            <c:strRef>
              <c:f>'Latest tariff all ports in CFA'!$A$2:$A$7</c:f>
              <c:strCache>
                <c:ptCount val="6"/>
                <c:pt idx="0">
                  <c:v>Standard 20' import</c:v>
                </c:pt>
                <c:pt idx="1">
                  <c:v>Special rate 20' import</c:v>
                </c:pt>
                <c:pt idx="2">
                  <c:v>Transit 20' inbound</c:v>
                </c:pt>
                <c:pt idx="3">
                  <c:v>Standard 20' export</c:v>
                </c:pt>
                <c:pt idx="4">
                  <c:v>Special rate 20' export</c:v>
                </c:pt>
                <c:pt idx="5">
                  <c:v>Transit 20' outbound</c:v>
                </c:pt>
              </c:strCache>
            </c:strRef>
          </c:cat>
          <c:val>
            <c:numRef>
              <c:f>'Latest tariff all ports in CFA'!$D$2:$D$7</c:f>
              <c:numCache>
                <c:formatCode>_-* #,##0_-;\-* #,##0_-;_-* "-"??_-;_-@_-</c:formatCode>
                <c:ptCount val="6"/>
                <c:pt idx="0">
                  <c:v>186.9830508474576</c:v>
                </c:pt>
                <c:pt idx="1">
                  <c:v>158.46101694915251</c:v>
                </c:pt>
                <c:pt idx="2">
                  <c:v>117.1728813559322</c:v>
                </c:pt>
                <c:pt idx="3">
                  <c:v>78.376271186440434</c:v>
                </c:pt>
                <c:pt idx="4">
                  <c:v>78.376271186440434</c:v>
                </c:pt>
                <c:pt idx="5">
                  <c:v>58.8</c:v>
                </c:pt>
              </c:numCache>
            </c:numRef>
          </c:val>
          <c:extLst>
            <c:ext xmlns:c16="http://schemas.microsoft.com/office/drawing/2014/chart" uri="{C3380CC4-5D6E-409C-BE32-E72D297353CC}">
              <c16:uniqueId val="{00000002-DF70-4892-B67F-7217B9CE29DB}"/>
            </c:ext>
          </c:extLst>
        </c:ser>
        <c:ser>
          <c:idx val="3"/>
          <c:order val="3"/>
          <c:tx>
            <c:strRef>
              <c:f>'Latest tariff all ports in CFA'!$E$1</c:f>
              <c:strCache>
                <c:ptCount val="1"/>
                <c:pt idx="0">
                  <c:v>Cotonou</c:v>
                </c:pt>
              </c:strCache>
            </c:strRef>
          </c:tx>
          <c:spPr>
            <a:solidFill>
              <a:schemeClr val="accent1">
                <a:tint val="58000"/>
              </a:schemeClr>
            </a:solidFill>
            <a:ln>
              <a:noFill/>
            </a:ln>
            <a:effectLst/>
          </c:spPr>
          <c:invertIfNegative val="0"/>
          <c:cat>
            <c:strRef>
              <c:f>'Latest tariff all ports in CFA'!$A$2:$A$7</c:f>
              <c:strCache>
                <c:ptCount val="6"/>
                <c:pt idx="0">
                  <c:v>Standard 20' import</c:v>
                </c:pt>
                <c:pt idx="1">
                  <c:v>Special rate 20' import</c:v>
                </c:pt>
                <c:pt idx="2">
                  <c:v>Transit 20' inbound</c:v>
                </c:pt>
                <c:pt idx="3">
                  <c:v>Standard 20' export</c:v>
                </c:pt>
                <c:pt idx="4">
                  <c:v>Special rate 20' export</c:v>
                </c:pt>
                <c:pt idx="5">
                  <c:v>Transit 20' outbound</c:v>
                </c:pt>
              </c:strCache>
            </c:strRef>
          </c:cat>
          <c:val>
            <c:numRef>
              <c:f>'Latest tariff all ports in CFA'!$E$2:$E$7</c:f>
              <c:numCache>
                <c:formatCode>_-* #,##0_-;\-* #,##0_-;_-* "-"??_-;_-@_-</c:formatCode>
                <c:ptCount val="6"/>
                <c:pt idx="0">
                  <c:v>176.18644067796609</c:v>
                </c:pt>
                <c:pt idx="1">
                  <c:v>176.18644067796609</c:v>
                </c:pt>
                <c:pt idx="2">
                  <c:v>176.18644067796609</c:v>
                </c:pt>
                <c:pt idx="3">
                  <c:v>89.020338983050621</c:v>
                </c:pt>
                <c:pt idx="4">
                  <c:v>89.020338983050621</c:v>
                </c:pt>
                <c:pt idx="5">
                  <c:v>89.020338983050621</c:v>
                </c:pt>
              </c:numCache>
            </c:numRef>
          </c:val>
          <c:extLst>
            <c:ext xmlns:c16="http://schemas.microsoft.com/office/drawing/2014/chart" uri="{C3380CC4-5D6E-409C-BE32-E72D297353CC}">
              <c16:uniqueId val="{00000003-DF70-4892-B67F-7217B9CE29DB}"/>
            </c:ext>
          </c:extLst>
        </c:ser>
        <c:dLbls>
          <c:showLegendKey val="0"/>
          <c:showVal val="0"/>
          <c:showCatName val="0"/>
          <c:showSerName val="0"/>
          <c:showPercent val="0"/>
          <c:showBubbleSize val="0"/>
        </c:dLbls>
        <c:gapWidth val="219"/>
        <c:overlap val="-27"/>
        <c:axId val="2144811048"/>
        <c:axId val="2144814552"/>
      </c:barChart>
      <c:catAx>
        <c:axId val="214481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44814552"/>
        <c:crosses val="autoZero"/>
        <c:auto val="1"/>
        <c:lblAlgn val="ctr"/>
        <c:lblOffset val="100"/>
        <c:noMultiLvlLbl val="0"/>
      </c:catAx>
      <c:valAx>
        <c:axId val="2144814552"/>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US Dollars</a:t>
                </a:r>
              </a:p>
            </c:rich>
          </c:tx>
          <c:layout>
            <c:manualLayout>
              <c:xMode val="edge"/>
              <c:yMode val="edge"/>
              <c:x val="2.4526198439241899E-2"/>
              <c:y val="7.7188993759886096E-2"/>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vert="horz"/>
          <a:lstStyle/>
          <a:p>
            <a:pPr>
              <a:defRPr/>
            </a:pPr>
            <a:endParaRPr lang="en-US"/>
          </a:p>
        </c:txPr>
        <c:crossAx val="2144811048"/>
        <c:crosses val="autoZero"/>
        <c:crossBetween val="between"/>
      </c:valAx>
      <c:spPr>
        <a:noFill/>
        <a:ln>
          <a:noFill/>
        </a:ln>
        <a:effectLst/>
      </c:spPr>
    </c:plotArea>
    <c:legend>
      <c:legendPos val="r"/>
      <c:layout>
        <c:manualLayout>
          <c:xMode val="edge"/>
          <c:yMode val="edge"/>
          <c:x val="0.85118559193258703"/>
          <c:y val="0.13151657367332401"/>
          <c:w val="0.133206934659483"/>
          <c:h val="0.7811162677512990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'Latest tariff all ports in CFA'!$A$11</c:f>
              <c:strCache>
                <c:ptCount val="1"/>
                <c:pt idx="0">
                  <c:v>% Transit / Domestic</c:v>
                </c:pt>
              </c:strCache>
            </c:strRef>
          </c:tx>
          <c:spPr>
            <a:solidFill>
              <a:schemeClr val="accent1">
                <a:shade val="65000"/>
              </a:schemeClr>
            </a:solidFill>
            <a:ln>
              <a:noFill/>
            </a:ln>
            <a:effectLst/>
          </c:spPr>
          <c:invertIfNegative val="0"/>
          <c:cat>
            <c:strRef>
              <c:f>'Latest tariff all ports in CFA'!$B$10:$E$10</c:f>
              <c:strCache>
                <c:ptCount val="4"/>
                <c:pt idx="0">
                  <c:v>Dakar</c:v>
                </c:pt>
                <c:pt idx="1">
                  <c:v>Abidjan</c:v>
                </c:pt>
                <c:pt idx="2">
                  <c:v>Lome</c:v>
                </c:pt>
                <c:pt idx="3">
                  <c:v>Cotonou</c:v>
                </c:pt>
              </c:strCache>
            </c:strRef>
          </c:cat>
          <c:val>
            <c:numRef>
              <c:f>'Latest tariff all ports in CFA'!$B$11:$E$11</c:f>
              <c:numCache>
                <c:formatCode>0%</c:formatCode>
                <c:ptCount val="4"/>
                <c:pt idx="0">
                  <c:v>1.0466328643862031</c:v>
                </c:pt>
                <c:pt idx="1">
                  <c:v>0.55574267430111202</c:v>
                </c:pt>
                <c:pt idx="2">
                  <c:v>0.66314942323169102</c:v>
                </c:pt>
                <c:pt idx="3">
                  <c:v>1</c:v>
                </c:pt>
              </c:numCache>
            </c:numRef>
          </c:val>
          <c:extLst>
            <c:ext xmlns:c16="http://schemas.microsoft.com/office/drawing/2014/chart" uri="{C3380CC4-5D6E-409C-BE32-E72D297353CC}">
              <c16:uniqueId val="{00000000-6950-411A-B36F-F1B612711D51}"/>
            </c:ext>
          </c:extLst>
        </c:ser>
        <c:ser>
          <c:idx val="1"/>
          <c:order val="1"/>
          <c:tx>
            <c:strRef>
              <c:f>'Latest tariff all ports in CFA'!$A$12</c:f>
              <c:strCache>
                <c:ptCount val="1"/>
                <c:pt idx="0">
                  <c:v>% Export / Import</c:v>
                </c:pt>
              </c:strCache>
            </c:strRef>
          </c:tx>
          <c:spPr>
            <a:solidFill>
              <a:schemeClr val="accent1"/>
            </a:solidFill>
            <a:ln>
              <a:noFill/>
            </a:ln>
            <a:effectLst/>
          </c:spPr>
          <c:invertIfNegative val="0"/>
          <c:cat>
            <c:strRef>
              <c:f>'Latest tariff all ports in CFA'!$B$10:$E$10</c:f>
              <c:strCache>
                <c:ptCount val="4"/>
                <c:pt idx="0">
                  <c:v>Dakar</c:v>
                </c:pt>
                <c:pt idx="1">
                  <c:v>Abidjan</c:v>
                </c:pt>
                <c:pt idx="2">
                  <c:v>Lome</c:v>
                </c:pt>
                <c:pt idx="3">
                  <c:v>Cotonou</c:v>
                </c:pt>
              </c:strCache>
            </c:strRef>
          </c:cat>
          <c:val>
            <c:numRef>
              <c:f>'Latest tariff all ports in CFA'!$B$12:$E$12</c:f>
              <c:numCache>
                <c:formatCode>0%</c:formatCode>
                <c:ptCount val="4"/>
                <c:pt idx="0">
                  <c:v>0.92123081048468203</c:v>
                </c:pt>
                <c:pt idx="1">
                  <c:v>0.74039186134137203</c:v>
                </c:pt>
                <c:pt idx="2">
                  <c:v>0.45100639725386199</c:v>
                </c:pt>
                <c:pt idx="3">
                  <c:v>0.50526214526214497</c:v>
                </c:pt>
              </c:numCache>
            </c:numRef>
          </c:val>
          <c:extLst>
            <c:ext xmlns:c16="http://schemas.microsoft.com/office/drawing/2014/chart" uri="{C3380CC4-5D6E-409C-BE32-E72D297353CC}">
              <c16:uniqueId val="{00000001-6950-411A-B36F-F1B612711D51}"/>
            </c:ext>
          </c:extLst>
        </c:ser>
        <c:ser>
          <c:idx val="2"/>
          <c:order val="2"/>
          <c:tx>
            <c:strRef>
              <c:f>'Latest tariff all ports in CFA'!$A$13</c:f>
              <c:strCache>
                <c:ptCount val="1"/>
                <c:pt idx="0">
                  <c:v>% Special / Standard</c:v>
                </c:pt>
              </c:strCache>
            </c:strRef>
          </c:tx>
          <c:spPr>
            <a:solidFill>
              <a:schemeClr val="accent1">
                <a:tint val="65000"/>
              </a:schemeClr>
            </a:solidFill>
            <a:ln>
              <a:noFill/>
            </a:ln>
            <a:effectLst/>
          </c:spPr>
          <c:invertIfNegative val="0"/>
          <c:cat>
            <c:strRef>
              <c:f>'Latest tariff all ports in CFA'!$B$10:$E$10</c:f>
              <c:strCache>
                <c:ptCount val="4"/>
                <c:pt idx="0">
                  <c:v>Dakar</c:v>
                </c:pt>
                <c:pt idx="1">
                  <c:v>Abidjan</c:v>
                </c:pt>
                <c:pt idx="2">
                  <c:v>Lome</c:v>
                </c:pt>
                <c:pt idx="3">
                  <c:v>Cotonou</c:v>
                </c:pt>
              </c:strCache>
            </c:strRef>
          </c:cat>
          <c:val>
            <c:numRef>
              <c:f>'Latest tariff all ports in CFA'!$B$13:$E$13</c:f>
              <c:numCache>
                <c:formatCode>0%</c:formatCode>
                <c:ptCount val="4"/>
                <c:pt idx="0">
                  <c:v>0.69113761336856405</c:v>
                </c:pt>
                <c:pt idx="1">
                  <c:v>0.61333782418322702</c:v>
                </c:pt>
                <c:pt idx="2">
                  <c:v>0.89251542519896299</c:v>
                </c:pt>
                <c:pt idx="3">
                  <c:v>1</c:v>
                </c:pt>
              </c:numCache>
            </c:numRef>
          </c:val>
          <c:extLst>
            <c:ext xmlns:c16="http://schemas.microsoft.com/office/drawing/2014/chart" uri="{C3380CC4-5D6E-409C-BE32-E72D297353CC}">
              <c16:uniqueId val="{00000002-6950-411A-B36F-F1B612711D51}"/>
            </c:ext>
          </c:extLst>
        </c:ser>
        <c:dLbls>
          <c:showLegendKey val="0"/>
          <c:showVal val="0"/>
          <c:showCatName val="0"/>
          <c:showSerName val="0"/>
          <c:showPercent val="0"/>
          <c:showBubbleSize val="0"/>
        </c:dLbls>
        <c:gapWidth val="100"/>
        <c:overlap val="-30"/>
        <c:axId val="2144860904"/>
        <c:axId val="2144864344"/>
      </c:barChart>
      <c:catAx>
        <c:axId val="214486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44864344"/>
        <c:crosses val="autoZero"/>
        <c:auto val="1"/>
        <c:lblAlgn val="ctr"/>
        <c:lblOffset val="100"/>
        <c:noMultiLvlLbl val="0"/>
      </c:catAx>
      <c:valAx>
        <c:axId val="2144864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144860904"/>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Sheet1!$A$41</c:f>
              <c:strCache>
                <c:ptCount val="1"/>
                <c:pt idx="0">
                  <c:v>GDP</c:v>
                </c:pt>
              </c:strCache>
            </c:strRef>
          </c:tx>
          <c:spPr>
            <a:ln w="28575" cap="rnd">
              <a:solidFill>
                <a:schemeClr val="accent1">
                  <a:shade val="76000"/>
                </a:schemeClr>
              </a:solidFill>
              <a:round/>
            </a:ln>
            <a:effectLst/>
          </c:spPr>
          <c:marker>
            <c:symbol val="none"/>
          </c:marker>
          <c:cat>
            <c:numRef>
              <c:f>Sheet1!$B$40:$K$40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Sheet1!$B$41:$K$41</c:f>
              <c:numCache>
                <c:formatCode>#,##0</c:formatCode>
                <c:ptCount val="10"/>
                <c:pt idx="0">
                  <c:v>192945.99999999991</c:v>
                </c:pt>
                <c:pt idx="1">
                  <c:v>237678</c:v>
                </c:pt>
                <c:pt idx="2">
                  <c:v>297103</c:v>
                </c:pt>
                <c:pt idx="3">
                  <c:v>351903</c:v>
                </c:pt>
                <c:pt idx="4">
                  <c:v>437459</c:v>
                </c:pt>
                <c:pt idx="5">
                  <c:v>379563.00000000012</c:v>
                </c:pt>
                <c:pt idx="6">
                  <c:v>491678</c:v>
                </c:pt>
                <c:pt idx="7">
                  <c:v>552664.00000000012</c:v>
                </c:pt>
                <c:pt idx="8">
                  <c:v>607811</c:v>
                </c:pt>
                <c:pt idx="9">
                  <c:v>678863</c:v>
                </c:pt>
              </c:numCache>
            </c:numRef>
          </c:val>
          <c:smooth val="0"/>
          <c:extLst>
            <c:ext xmlns:c16="http://schemas.microsoft.com/office/drawing/2014/chart" uri="{C3380CC4-5D6E-409C-BE32-E72D297353CC}">
              <c16:uniqueId val="{00000000-3A5A-47E1-91A6-E5365B7A9083}"/>
            </c:ext>
          </c:extLst>
        </c:ser>
        <c:dLbls>
          <c:showLegendKey val="0"/>
          <c:showVal val="0"/>
          <c:showCatName val="0"/>
          <c:showSerName val="0"/>
          <c:showPercent val="0"/>
          <c:showBubbleSize val="0"/>
        </c:dLbls>
        <c:marker val="1"/>
        <c:smooth val="0"/>
        <c:axId val="2145262344"/>
        <c:axId val="2144346696"/>
      </c:lineChart>
      <c:lineChart>
        <c:grouping val="standard"/>
        <c:varyColors val="0"/>
        <c:ser>
          <c:idx val="1"/>
          <c:order val="1"/>
          <c:tx>
            <c:strRef>
              <c:f>Sheet1!$A$42</c:f>
              <c:strCache>
                <c:ptCount val="1"/>
                <c:pt idx="0">
                  <c:v>TEU</c:v>
                </c:pt>
              </c:strCache>
            </c:strRef>
          </c:tx>
          <c:spPr>
            <a:ln w="28575" cap="rnd">
              <a:solidFill>
                <a:schemeClr val="accent1">
                  <a:tint val="77000"/>
                </a:schemeClr>
              </a:solidFill>
              <a:round/>
            </a:ln>
            <a:effectLst/>
          </c:spPr>
          <c:marker>
            <c:symbol val="none"/>
          </c:marker>
          <c:cat>
            <c:numRef>
              <c:f>Sheet1!$B$40:$K$40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Sheet1!$B$42:$K$42</c:f>
              <c:numCache>
                <c:formatCode>#,##0</c:formatCode>
                <c:ptCount val="10"/>
                <c:pt idx="0">
                  <c:v>2269168</c:v>
                </c:pt>
                <c:pt idx="1">
                  <c:v>2357374</c:v>
                </c:pt>
                <c:pt idx="2">
                  <c:v>2488212</c:v>
                </c:pt>
                <c:pt idx="3">
                  <c:v>2811139</c:v>
                </c:pt>
                <c:pt idx="4">
                  <c:v>3609075</c:v>
                </c:pt>
                <c:pt idx="5">
                  <c:v>3720679</c:v>
                </c:pt>
                <c:pt idx="6">
                  <c:v>3845384</c:v>
                </c:pt>
                <c:pt idx="7">
                  <c:v>4566112</c:v>
                </c:pt>
                <c:pt idx="8">
                  <c:v>4896059</c:v>
                </c:pt>
                <c:pt idx="9">
                  <c:v>5449082</c:v>
                </c:pt>
              </c:numCache>
            </c:numRef>
          </c:val>
          <c:smooth val="0"/>
          <c:extLst>
            <c:ext xmlns:c16="http://schemas.microsoft.com/office/drawing/2014/chart" uri="{C3380CC4-5D6E-409C-BE32-E72D297353CC}">
              <c16:uniqueId val="{00000001-3A5A-47E1-91A6-E5365B7A9083}"/>
            </c:ext>
          </c:extLst>
        </c:ser>
        <c:dLbls>
          <c:showLegendKey val="0"/>
          <c:showVal val="0"/>
          <c:showCatName val="0"/>
          <c:showSerName val="0"/>
          <c:showPercent val="0"/>
          <c:showBubbleSize val="0"/>
        </c:dLbls>
        <c:marker val="1"/>
        <c:smooth val="0"/>
        <c:axId val="2145497240"/>
        <c:axId val="2144340040"/>
      </c:lineChart>
      <c:catAx>
        <c:axId val="214526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346696"/>
        <c:crosses val="autoZero"/>
        <c:auto val="1"/>
        <c:lblAlgn val="ctr"/>
        <c:lblOffset val="100"/>
        <c:noMultiLvlLbl val="0"/>
      </c:catAx>
      <c:valAx>
        <c:axId val="214434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GDP in US$ million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262344"/>
        <c:crosses val="autoZero"/>
        <c:crossBetween val="between"/>
      </c:valAx>
      <c:valAx>
        <c:axId val="21443400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Containers in TEUs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497240"/>
        <c:crosses val="max"/>
        <c:crossBetween val="between"/>
      </c:valAx>
      <c:catAx>
        <c:axId val="2145497240"/>
        <c:scaling>
          <c:orientation val="minMax"/>
        </c:scaling>
        <c:delete val="1"/>
        <c:axPos val="b"/>
        <c:numFmt formatCode="General" sourceLinked="1"/>
        <c:majorTickMark val="out"/>
        <c:minorTickMark val="none"/>
        <c:tickLblPos val="nextTo"/>
        <c:crossAx val="2144340040"/>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Sheet1!$D$18</c:f>
              <c:strCache>
                <c:ptCount val="1"/>
                <c:pt idx="0">
                  <c:v>October 2014</c:v>
                </c:pt>
              </c:strCache>
            </c:strRef>
          </c:tx>
          <c:spPr>
            <a:ln w="28575" cap="rnd">
              <a:solidFill>
                <a:schemeClr val="accent1">
                  <a:shade val="53000"/>
                </a:schemeClr>
              </a:solidFill>
              <a:round/>
            </a:ln>
            <a:effectLst/>
          </c:spPr>
          <c:marker>
            <c:symbol val="none"/>
          </c:marker>
          <c:cat>
            <c:numRef>
              <c:f>Sheet1!$E$17:$N$17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Sheet1!$E$18:$N$18</c:f>
              <c:numCache>
                <c:formatCode>General</c:formatCode>
                <c:ptCount val="10"/>
                <c:pt idx="0">
                  <c:v>467.11900000000009</c:v>
                </c:pt>
                <c:pt idx="1">
                  <c:v>521.81199999999922</c:v>
                </c:pt>
                <c:pt idx="2">
                  <c:v>594.25699999999938</c:v>
                </c:pt>
                <c:pt idx="3">
                  <c:v>657.21799999999996</c:v>
                </c:pt>
                <c:pt idx="4">
                  <c:v>702.24800000000005</c:v>
                </c:pt>
                <c:pt idx="5">
                  <c:v>749.11599999999999</c:v>
                </c:pt>
                <c:pt idx="6">
                  <c:v>791.04599999999937</c:v>
                </c:pt>
                <c:pt idx="7">
                  <c:v>830.11699999999996</c:v>
                </c:pt>
              </c:numCache>
            </c:numRef>
          </c:val>
          <c:smooth val="0"/>
          <c:extLst>
            <c:ext xmlns:c16="http://schemas.microsoft.com/office/drawing/2014/chart" uri="{C3380CC4-5D6E-409C-BE32-E72D297353CC}">
              <c16:uniqueId val="{00000000-BD9C-4CA8-9BA5-535A32982EB5}"/>
            </c:ext>
          </c:extLst>
        </c:ser>
        <c:ser>
          <c:idx val="1"/>
          <c:order val="1"/>
          <c:tx>
            <c:strRef>
              <c:f>Sheet1!$D$19</c:f>
              <c:strCache>
                <c:ptCount val="1"/>
                <c:pt idx="0">
                  <c:v>April 2015</c:v>
                </c:pt>
              </c:strCache>
            </c:strRef>
          </c:tx>
          <c:spPr>
            <a:ln w="28575" cap="rnd">
              <a:solidFill>
                <a:schemeClr val="accent1">
                  <a:shade val="76000"/>
                </a:schemeClr>
              </a:solidFill>
              <a:round/>
            </a:ln>
            <a:effectLst/>
          </c:spPr>
          <c:marker>
            <c:symbol val="none"/>
          </c:marker>
          <c:cat>
            <c:numRef>
              <c:f>Sheet1!$E$17:$N$17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Sheet1!$E$19:$N$19</c:f>
              <c:numCache>
                <c:formatCode>General</c:formatCode>
                <c:ptCount val="10"/>
                <c:pt idx="1">
                  <c:v>521.81199999999922</c:v>
                </c:pt>
                <c:pt idx="2">
                  <c:v>573.65199999999936</c:v>
                </c:pt>
                <c:pt idx="3">
                  <c:v>515.43099999999936</c:v>
                </c:pt>
                <c:pt idx="4">
                  <c:v>518.47900000000004</c:v>
                </c:pt>
                <c:pt idx="5">
                  <c:v>552.32099999999923</c:v>
                </c:pt>
                <c:pt idx="6">
                  <c:v>593.35099999999909</c:v>
                </c:pt>
                <c:pt idx="7">
                  <c:v>631.8649999999991</c:v>
                </c:pt>
                <c:pt idx="8">
                  <c:v>667.93699999999922</c:v>
                </c:pt>
              </c:numCache>
            </c:numRef>
          </c:val>
          <c:smooth val="0"/>
          <c:extLst>
            <c:ext xmlns:c16="http://schemas.microsoft.com/office/drawing/2014/chart" uri="{C3380CC4-5D6E-409C-BE32-E72D297353CC}">
              <c16:uniqueId val="{00000001-BD9C-4CA8-9BA5-535A32982EB5}"/>
            </c:ext>
          </c:extLst>
        </c:ser>
        <c:ser>
          <c:idx val="2"/>
          <c:order val="2"/>
          <c:tx>
            <c:strRef>
              <c:f>Sheet1!$D$20</c:f>
              <c:strCache>
                <c:ptCount val="1"/>
                <c:pt idx="0">
                  <c:v>October 2015</c:v>
                </c:pt>
              </c:strCache>
            </c:strRef>
          </c:tx>
          <c:spPr>
            <a:ln w="28575" cap="rnd">
              <a:solidFill>
                <a:schemeClr val="accent1"/>
              </a:solidFill>
              <a:round/>
            </a:ln>
            <a:effectLst/>
          </c:spPr>
          <c:marker>
            <c:symbol val="none"/>
          </c:marker>
          <c:cat>
            <c:numRef>
              <c:f>Sheet1!$E$17:$N$17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Sheet1!$E$20:$N$20</c:f>
              <c:numCache>
                <c:formatCode>General</c:formatCode>
                <c:ptCount val="10"/>
                <c:pt idx="1">
                  <c:v>521.81199999999922</c:v>
                </c:pt>
                <c:pt idx="2">
                  <c:v>573.99900000000002</c:v>
                </c:pt>
                <c:pt idx="3">
                  <c:v>492.98599999999931</c:v>
                </c:pt>
                <c:pt idx="4">
                  <c:v>484.89499999999992</c:v>
                </c:pt>
                <c:pt idx="5">
                  <c:v>508.52800000000002</c:v>
                </c:pt>
                <c:pt idx="6">
                  <c:v>534.71500000000003</c:v>
                </c:pt>
                <c:pt idx="7">
                  <c:v>565.23099999999999</c:v>
                </c:pt>
                <c:pt idx="8">
                  <c:v>594.99199999999996</c:v>
                </c:pt>
              </c:numCache>
            </c:numRef>
          </c:val>
          <c:smooth val="0"/>
          <c:extLst>
            <c:ext xmlns:c16="http://schemas.microsoft.com/office/drawing/2014/chart" uri="{C3380CC4-5D6E-409C-BE32-E72D297353CC}">
              <c16:uniqueId val="{00000002-BD9C-4CA8-9BA5-535A32982EB5}"/>
            </c:ext>
          </c:extLst>
        </c:ser>
        <c:ser>
          <c:idx val="3"/>
          <c:order val="3"/>
          <c:tx>
            <c:strRef>
              <c:f>Sheet1!$D$21</c:f>
              <c:strCache>
                <c:ptCount val="1"/>
                <c:pt idx="0">
                  <c:v>April 2016</c:v>
                </c:pt>
              </c:strCache>
            </c:strRef>
          </c:tx>
          <c:spPr>
            <a:ln w="28575" cap="rnd">
              <a:solidFill>
                <a:schemeClr val="accent1">
                  <a:tint val="77000"/>
                </a:schemeClr>
              </a:solidFill>
              <a:round/>
            </a:ln>
            <a:effectLst/>
          </c:spPr>
          <c:marker>
            <c:symbol val="none"/>
          </c:marker>
          <c:cat>
            <c:numRef>
              <c:f>Sheet1!$E$17:$N$17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Sheet1!$E$21:$N$21</c:f>
              <c:numCache>
                <c:formatCode>General</c:formatCode>
                <c:ptCount val="10"/>
                <c:pt idx="2">
                  <c:v>573.99900000000002</c:v>
                </c:pt>
                <c:pt idx="3">
                  <c:v>490.20699999999931</c:v>
                </c:pt>
                <c:pt idx="4">
                  <c:v>537.9659999999991</c:v>
                </c:pt>
                <c:pt idx="5">
                  <c:v>620.95099999999923</c:v>
                </c:pt>
                <c:pt idx="6">
                  <c:v>682.774</c:v>
                </c:pt>
                <c:pt idx="7">
                  <c:v>710.28</c:v>
                </c:pt>
                <c:pt idx="8">
                  <c:v>734.702</c:v>
                </c:pt>
                <c:pt idx="9">
                  <c:v>759.41699999999923</c:v>
                </c:pt>
              </c:numCache>
            </c:numRef>
          </c:val>
          <c:smooth val="0"/>
          <c:extLst>
            <c:ext xmlns:c16="http://schemas.microsoft.com/office/drawing/2014/chart" uri="{C3380CC4-5D6E-409C-BE32-E72D297353CC}">
              <c16:uniqueId val="{00000003-BD9C-4CA8-9BA5-535A32982EB5}"/>
            </c:ext>
          </c:extLst>
        </c:ser>
        <c:ser>
          <c:idx val="4"/>
          <c:order val="4"/>
          <c:tx>
            <c:strRef>
              <c:f>Sheet1!$D$22</c:f>
              <c:strCache>
                <c:ptCount val="1"/>
                <c:pt idx="0">
                  <c:v>October 2016</c:v>
                </c:pt>
              </c:strCache>
            </c:strRef>
          </c:tx>
          <c:spPr>
            <a:ln w="28575" cap="rnd">
              <a:solidFill>
                <a:schemeClr val="accent1">
                  <a:tint val="54000"/>
                </a:schemeClr>
              </a:solidFill>
              <a:round/>
            </a:ln>
            <a:effectLst/>
          </c:spPr>
          <c:marker>
            <c:symbol val="none"/>
          </c:marker>
          <c:cat>
            <c:numRef>
              <c:f>Sheet1!$E$17:$N$17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Sheet1!$E$22:$N$22</c:f>
              <c:numCache>
                <c:formatCode>General</c:formatCode>
                <c:ptCount val="10"/>
                <c:pt idx="2">
                  <c:v>568.49599999999998</c:v>
                </c:pt>
                <c:pt idx="3">
                  <c:v>493.83100000000002</c:v>
                </c:pt>
                <c:pt idx="4">
                  <c:v>415.08</c:v>
                </c:pt>
                <c:pt idx="5">
                  <c:v>413.685</c:v>
                </c:pt>
                <c:pt idx="6">
                  <c:v>443.93200000000002</c:v>
                </c:pt>
                <c:pt idx="7">
                  <c:v>459.113</c:v>
                </c:pt>
                <c:pt idx="8">
                  <c:v>482.71600000000001</c:v>
                </c:pt>
                <c:pt idx="9">
                  <c:v>504.63600000000002</c:v>
                </c:pt>
              </c:numCache>
            </c:numRef>
          </c:val>
          <c:smooth val="0"/>
          <c:extLst>
            <c:ext xmlns:c16="http://schemas.microsoft.com/office/drawing/2014/chart" uri="{C3380CC4-5D6E-409C-BE32-E72D297353CC}">
              <c16:uniqueId val="{00000004-BD9C-4CA8-9BA5-535A32982EB5}"/>
            </c:ext>
          </c:extLst>
        </c:ser>
        <c:dLbls>
          <c:showLegendKey val="0"/>
          <c:showVal val="0"/>
          <c:showCatName val="0"/>
          <c:showSerName val="0"/>
          <c:showPercent val="0"/>
          <c:showBubbleSize val="0"/>
        </c:dLbls>
        <c:smooth val="0"/>
        <c:axId val="2145558728"/>
        <c:axId val="2145562488"/>
      </c:lineChart>
      <c:catAx>
        <c:axId val="214555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562488"/>
        <c:crosses val="autoZero"/>
        <c:auto val="1"/>
        <c:lblAlgn val="ctr"/>
        <c:lblOffset val="100"/>
        <c:noMultiLvlLbl val="0"/>
      </c:catAx>
      <c:valAx>
        <c:axId val="2145562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GDP in US$ billion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558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668014584301398E-2"/>
          <c:y val="7.0876113179463601E-2"/>
          <c:w val="0.659990706903264"/>
          <c:h val="0.711466562907073"/>
        </c:manualLayout>
      </c:layout>
      <c:lineChart>
        <c:grouping val="standard"/>
        <c:varyColors val="0"/>
        <c:ser>
          <c:idx val="0"/>
          <c:order val="0"/>
          <c:tx>
            <c:strRef>
              <c:f>'[Chart in Microsoft Word]Sheet1'!$C$60</c:f>
              <c:strCache>
                <c:ptCount val="1"/>
                <c:pt idx="0">
                  <c:v>West Africa</c:v>
                </c:pt>
              </c:strCache>
            </c:strRef>
          </c:tx>
          <c:spPr>
            <a:ln w="28575" cap="rnd">
              <a:solidFill>
                <a:schemeClr val="accent1">
                  <a:shade val="42000"/>
                </a:schemeClr>
              </a:solidFill>
              <a:round/>
            </a:ln>
            <a:effectLst/>
          </c:spPr>
          <c:marker>
            <c:symbol val="none"/>
          </c:marker>
          <c:cat>
            <c:strRef>
              <c:f>'[Chart in Microsoft Word]Sheet1'!$D$47:$I$47</c:f>
              <c:strCache>
                <c:ptCount val="6"/>
                <c:pt idx="0">
                  <c:v>2009</c:v>
                </c:pt>
                <c:pt idx="1">
                  <c:v>2010</c:v>
                </c:pt>
                <c:pt idx="2">
                  <c:v>2011</c:v>
                </c:pt>
                <c:pt idx="3">
                  <c:v>2012</c:v>
                </c:pt>
                <c:pt idx="4">
                  <c:v>2013</c:v>
                </c:pt>
                <c:pt idx="5">
                  <c:v>2014 (est.)</c:v>
                </c:pt>
              </c:strCache>
            </c:strRef>
          </c:cat>
          <c:val>
            <c:numRef>
              <c:f>'[Chart in Microsoft Word]Sheet1'!$D$60:$I$60</c:f>
              <c:numCache>
                <c:formatCode>0</c:formatCode>
                <c:ptCount val="6"/>
                <c:pt idx="0">
                  <c:v>100</c:v>
                </c:pt>
                <c:pt idx="1">
                  <c:v>113</c:v>
                </c:pt>
                <c:pt idx="2">
                  <c:v>137.63399999999999</c:v>
                </c:pt>
                <c:pt idx="3">
                  <c:v>154.83824999999999</c:v>
                </c:pt>
                <c:pt idx="4">
                  <c:v>167.22531000000001</c:v>
                </c:pt>
                <c:pt idx="5">
                  <c:v>178.93108169999999</c:v>
                </c:pt>
              </c:numCache>
            </c:numRef>
          </c:val>
          <c:smooth val="0"/>
          <c:extLst>
            <c:ext xmlns:c16="http://schemas.microsoft.com/office/drawing/2014/chart" uri="{C3380CC4-5D6E-409C-BE32-E72D297353CC}">
              <c16:uniqueId val="{00000000-8744-4ECD-ABFF-41F0B05399EC}"/>
            </c:ext>
          </c:extLst>
        </c:ser>
        <c:ser>
          <c:idx val="2"/>
          <c:order val="1"/>
          <c:tx>
            <c:strRef>
              <c:f>'[Chart in Microsoft Word]Sheet1'!$C$62</c:f>
              <c:strCache>
                <c:ptCount val="1"/>
                <c:pt idx="0">
                  <c:v>Africa</c:v>
                </c:pt>
              </c:strCache>
            </c:strRef>
          </c:tx>
          <c:spPr>
            <a:ln w="28575" cap="rnd">
              <a:solidFill>
                <a:schemeClr val="accent1">
                  <a:shade val="68000"/>
                </a:schemeClr>
              </a:solidFill>
              <a:prstDash val="sysDash"/>
              <a:round/>
            </a:ln>
            <a:effectLst/>
          </c:spPr>
          <c:marker>
            <c:symbol val="none"/>
          </c:marker>
          <c:cat>
            <c:strRef>
              <c:f>'[Chart in Microsoft Word]Sheet1'!$D$47:$I$47</c:f>
              <c:strCache>
                <c:ptCount val="6"/>
                <c:pt idx="0">
                  <c:v>2009</c:v>
                </c:pt>
                <c:pt idx="1">
                  <c:v>2010</c:v>
                </c:pt>
                <c:pt idx="2">
                  <c:v>2011</c:v>
                </c:pt>
                <c:pt idx="3">
                  <c:v>2012</c:v>
                </c:pt>
                <c:pt idx="4">
                  <c:v>2013</c:v>
                </c:pt>
                <c:pt idx="5">
                  <c:v>2014 (est.)</c:v>
                </c:pt>
              </c:strCache>
            </c:strRef>
          </c:cat>
          <c:val>
            <c:numRef>
              <c:f>'[Chart in Microsoft Word]Sheet1'!$D$62:$I$62</c:f>
              <c:numCache>
                <c:formatCode>0</c:formatCode>
                <c:ptCount val="6"/>
                <c:pt idx="0">
                  <c:v>100</c:v>
                </c:pt>
                <c:pt idx="1">
                  <c:v>113.1</c:v>
                </c:pt>
                <c:pt idx="2">
                  <c:v>126.44580000000001</c:v>
                </c:pt>
                <c:pt idx="3">
                  <c:v>130.23917399999999</c:v>
                </c:pt>
                <c:pt idx="4">
                  <c:v>139.87687287599999</c:v>
                </c:pt>
                <c:pt idx="5">
                  <c:v>145.611824663916</c:v>
                </c:pt>
              </c:numCache>
            </c:numRef>
          </c:val>
          <c:smooth val="0"/>
          <c:extLst>
            <c:ext xmlns:c16="http://schemas.microsoft.com/office/drawing/2014/chart" uri="{C3380CC4-5D6E-409C-BE32-E72D297353CC}">
              <c16:uniqueId val="{00000001-8744-4ECD-ABFF-41F0B05399EC}"/>
            </c:ext>
          </c:extLst>
        </c:ser>
        <c:ser>
          <c:idx val="4"/>
          <c:order val="2"/>
          <c:tx>
            <c:strRef>
              <c:f>'[Chart in Microsoft Word]Sheet1'!$C$64</c:f>
              <c:strCache>
                <c:ptCount val="1"/>
                <c:pt idx="0">
                  <c:v>World</c:v>
                </c:pt>
              </c:strCache>
            </c:strRef>
          </c:tx>
          <c:spPr>
            <a:ln w="28575" cap="rnd">
              <a:solidFill>
                <a:schemeClr val="accent1">
                  <a:shade val="93000"/>
                </a:schemeClr>
              </a:solidFill>
              <a:round/>
            </a:ln>
            <a:effectLst/>
          </c:spPr>
          <c:marker>
            <c:symbol val="none"/>
          </c:marker>
          <c:cat>
            <c:strRef>
              <c:f>'[Chart in Microsoft Word]Sheet1'!$D$47:$I$47</c:f>
              <c:strCache>
                <c:ptCount val="6"/>
                <c:pt idx="0">
                  <c:v>2009</c:v>
                </c:pt>
                <c:pt idx="1">
                  <c:v>2010</c:v>
                </c:pt>
                <c:pt idx="2">
                  <c:v>2011</c:v>
                </c:pt>
                <c:pt idx="3">
                  <c:v>2012</c:v>
                </c:pt>
                <c:pt idx="4">
                  <c:v>2013</c:v>
                </c:pt>
                <c:pt idx="5">
                  <c:v>2014 (est.)</c:v>
                </c:pt>
              </c:strCache>
            </c:strRef>
          </c:cat>
          <c:val>
            <c:numRef>
              <c:f>'[Chart in Microsoft Word]Sheet1'!$D$64:$I$64</c:f>
              <c:numCache>
                <c:formatCode>0</c:formatCode>
                <c:ptCount val="6"/>
                <c:pt idx="0">
                  <c:v>100</c:v>
                </c:pt>
                <c:pt idx="1">
                  <c:v>114.2</c:v>
                </c:pt>
                <c:pt idx="2">
                  <c:v>123.4502</c:v>
                </c:pt>
                <c:pt idx="3">
                  <c:v>129.005459</c:v>
                </c:pt>
                <c:pt idx="4">
                  <c:v>133.64965552399991</c:v>
                </c:pt>
                <c:pt idx="5">
                  <c:v>140.59943761124799</c:v>
                </c:pt>
              </c:numCache>
            </c:numRef>
          </c:val>
          <c:smooth val="0"/>
          <c:extLst>
            <c:ext xmlns:c16="http://schemas.microsoft.com/office/drawing/2014/chart" uri="{C3380CC4-5D6E-409C-BE32-E72D297353CC}">
              <c16:uniqueId val="{00000002-8744-4ECD-ABFF-41F0B05399EC}"/>
            </c:ext>
          </c:extLst>
        </c:ser>
        <c:ser>
          <c:idx val="9"/>
          <c:order val="3"/>
          <c:tx>
            <c:strRef>
              <c:f>'[Chart in Microsoft Word]Sheet1'!$C$69</c:f>
              <c:strCache>
                <c:ptCount val="1"/>
                <c:pt idx="0">
                  <c:v>North Europe</c:v>
                </c:pt>
              </c:strCache>
            </c:strRef>
          </c:tx>
          <c:spPr>
            <a:ln w="28575" cap="rnd">
              <a:solidFill>
                <a:schemeClr val="accent1">
                  <a:tint val="43000"/>
                </a:schemeClr>
              </a:solidFill>
              <a:round/>
            </a:ln>
            <a:effectLst/>
          </c:spPr>
          <c:marker>
            <c:symbol val="none"/>
          </c:marker>
          <c:cat>
            <c:strRef>
              <c:f>'[Chart in Microsoft Word]Sheet1'!$D$47:$I$47</c:f>
              <c:strCache>
                <c:ptCount val="6"/>
                <c:pt idx="0">
                  <c:v>2009</c:v>
                </c:pt>
                <c:pt idx="1">
                  <c:v>2010</c:v>
                </c:pt>
                <c:pt idx="2">
                  <c:v>2011</c:v>
                </c:pt>
                <c:pt idx="3">
                  <c:v>2012</c:v>
                </c:pt>
                <c:pt idx="4">
                  <c:v>2013</c:v>
                </c:pt>
                <c:pt idx="5">
                  <c:v>2014 (est.)</c:v>
                </c:pt>
              </c:strCache>
            </c:strRef>
          </c:cat>
          <c:val>
            <c:numRef>
              <c:f>'[Chart in Microsoft Word]Sheet1'!$D$69:$I$69</c:f>
              <c:numCache>
                <c:formatCode>0</c:formatCode>
                <c:ptCount val="6"/>
                <c:pt idx="0">
                  <c:v>100</c:v>
                </c:pt>
                <c:pt idx="1">
                  <c:v>111.6</c:v>
                </c:pt>
                <c:pt idx="2">
                  <c:v>117.8496</c:v>
                </c:pt>
                <c:pt idx="3">
                  <c:v>117.96744959999999</c:v>
                </c:pt>
                <c:pt idx="4">
                  <c:v>119.5010264448</c:v>
                </c:pt>
                <c:pt idx="5">
                  <c:v>122.7275541588096</c:v>
                </c:pt>
              </c:numCache>
            </c:numRef>
          </c:val>
          <c:smooth val="0"/>
          <c:extLst>
            <c:ext xmlns:c16="http://schemas.microsoft.com/office/drawing/2014/chart" uri="{C3380CC4-5D6E-409C-BE32-E72D297353CC}">
              <c16:uniqueId val="{00000003-8744-4ECD-ABFF-41F0B05399EC}"/>
            </c:ext>
          </c:extLst>
        </c:ser>
        <c:dLbls>
          <c:showLegendKey val="0"/>
          <c:showVal val="0"/>
          <c:showCatName val="0"/>
          <c:showSerName val="0"/>
          <c:showPercent val="0"/>
          <c:showBubbleSize val="0"/>
        </c:dLbls>
        <c:smooth val="0"/>
        <c:axId val="2142546424"/>
        <c:axId val="2142550168"/>
      </c:lineChart>
      <c:catAx>
        <c:axId val="214254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550168"/>
        <c:crosses val="autoZero"/>
        <c:auto val="1"/>
        <c:lblAlgn val="ctr"/>
        <c:lblOffset val="100"/>
        <c:noMultiLvlLbl val="0"/>
      </c:catAx>
      <c:valAx>
        <c:axId val="2142550168"/>
        <c:scaling>
          <c:orientation val="minMax"/>
          <c:max val="180"/>
          <c:min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546424"/>
        <c:crosses val="autoZero"/>
        <c:crossBetween val="midCat"/>
      </c:valAx>
      <c:spPr>
        <a:noFill/>
        <a:ln>
          <a:noFill/>
        </a:ln>
        <a:effectLst/>
      </c:spPr>
    </c:plotArea>
    <c:legend>
      <c:legendPos val="r"/>
      <c:layout>
        <c:manualLayout>
          <c:xMode val="edge"/>
          <c:yMode val="edge"/>
          <c:x val="0.76744234721855997"/>
          <c:y val="4.0619314910718698E-2"/>
          <c:w val="0.219798482127533"/>
          <c:h val="0.9593805074600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Sheet1!$H$46</c:f>
              <c:strCache>
                <c:ptCount val="1"/>
                <c:pt idx="0">
                  <c:v>TEU</c:v>
                </c:pt>
              </c:strCache>
            </c:strRef>
          </c:tx>
          <c:spPr>
            <a:ln w="28575" cap="rnd">
              <a:noFill/>
              <a:round/>
            </a:ln>
            <a:effectLst/>
          </c:spPr>
          <c:marker>
            <c:symbol val="circle"/>
            <c:size val="5"/>
            <c:spPr>
              <a:solidFill>
                <a:schemeClr val="accent1"/>
              </a:solidFill>
              <a:ln w="9525">
                <a:solidFill>
                  <a:schemeClr val="accent1"/>
                </a:solidFill>
              </a:ln>
              <a:effectLst/>
            </c:spPr>
          </c:marker>
          <c:xVal>
            <c:numRef>
              <c:f>Sheet1!$G$47:$G$55</c:f>
              <c:numCache>
                <c:formatCode>0.0%</c:formatCode>
                <c:ptCount val="9"/>
                <c:pt idx="0">
                  <c:v>0.23183688700465399</c:v>
                </c:pt>
                <c:pt idx="1">
                  <c:v>0.25002314055150199</c:v>
                </c:pt>
                <c:pt idx="2">
                  <c:v>0.184447817760171</c:v>
                </c:pt>
                <c:pt idx="3">
                  <c:v>0.243123815369576</c:v>
                </c:pt>
                <c:pt idx="4">
                  <c:v>-0.13234611700753701</c:v>
                </c:pt>
                <c:pt idx="5">
                  <c:v>0.29537915971788598</c:v>
                </c:pt>
                <c:pt idx="6">
                  <c:v>0.12403646288831301</c:v>
                </c:pt>
                <c:pt idx="7">
                  <c:v>9.97839555317514E-2</c:v>
                </c:pt>
                <c:pt idx="8">
                  <c:v>0.11689818051993101</c:v>
                </c:pt>
              </c:numCache>
            </c:numRef>
          </c:xVal>
          <c:yVal>
            <c:numRef>
              <c:f>Sheet1!$H$47:$H$55</c:f>
              <c:numCache>
                <c:formatCode>0.0%</c:formatCode>
                <c:ptCount val="9"/>
                <c:pt idx="0">
                  <c:v>3.8871515903626398E-2</c:v>
                </c:pt>
                <c:pt idx="1">
                  <c:v>5.5501587783694802E-2</c:v>
                </c:pt>
                <c:pt idx="2">
                  <c:v>0.129782751630488</c:v>
                </c:pt>
                <c:pt idx="3">
                  <c:v>0.28384793494736499</c:v>
                </c:pt>
                <c:pt idx="4">
                  <c:v>3.0923158981179401E-2</c:v>
                </c:pt>
                <c:pt idx="5">
                  <c:v>3.3516731757832402E-2</c:v>
                </c:pt>
                <c:pt idx="6">
                  <c:v>0.18742679534735701</c:v>
                </c:pt>
                <c:pt idx="7">
                  <c:v>7.2259944565529602E-2</c:v>
                </c:pt>
                <c:pt idx="8">
                  <c:v>0.112952682963992</c:v>
                </c:pt>
              </c:numCache>
            </c:numRef>
          </c:yVal>
          <c:smooth val="0"/>
          <c:extLst>
            <c:ext xmlns:c16="http://schemas.microsoft.com/office/drawing/2014/chart" uri="{C3380CC4-5D6E-409C-BE32-E72D297353CC}">
              <c16:uniqueId val="{00000000-9011-421E-B219-81263911113C}"/>
            </c:ext>
          </c:extLst>
        </c:ser>
        <c:dLbls>
          <c:showLegendKey val="0"/>
          <c:showVal val="0"/>
          <c:showCatName val="0"/>
          <c:showSerName val="0"/>
          <c:showPercent val="0"/>
          <c:showBubbleSize val="0"/>
        </c:dLbls>
        <c:axId val="2145583800"/>
        <c:axId val="2145592760"/>
      </c:scatterChart>
      <c:valAx>
        <c:axId val="2145583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GDP growth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592760"/>
        <c:crosses val="autoZero"/>
        <c:crossBetween val="midCat"/>
      </c:valAx>
      <c:valAx>
        <c:axId val="2145592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TEU growth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low"/>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5838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Sheet1!$A$42</c:f>
              <c:strCache>
                <c:ptCount val="1"/>
                <c:pt idx="0">
                  <c:v>TEU</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Sheet1!$B$41:$K$41</c:f>
              <c:numCache>
                <c:formatCode>#,##0</c:formatCode>
                <c:ptCount val="10"/>
                <c:pt idx="0">
                  <c:v>192945.99999999991</c:v>
                </c:pt>
                <c:pt idx="1">
                  <c:v>237678</c:v>
                </c:pt>
                <c:pt idx="2">
                  <c:v>297103</c:v>
                </c:pt>
                <c:pt idx="3">
                  <c:v>351903</c:v>
                </c:pt>
                <c:pt idx="4">
                  <c:v>437459</c:v>
                </c:pt>
                <c:pt idx="5">
                  <c:v>379563.00000000012</c:v>
                </c:pt>
                <c:pt idx="6">
                  <c:v>491678</c:v>
                </c:pt>
                <c:pt idx="7">
                  <c:v>552664.00000000012</c:v>
                </c:pt>
                <c:pt idx="8">
                  <c:v>607811</c:v>
                </c:pt>
                <c:pt idx="9">
                  <c:v>678863</c:v>
                </c:pt>
              </c:numCache>
            </c:numRef>
          </c:xVal>
          <c:yVal>
            <c:numRef>
              <c:f>Sheet1!$B$42:$K$42</c:f>
              <c:numCache>
                <c:formatCode>#,##0</c:formatCode>
                <c:ptCount val="10"/>
                <c:pt idx="0">
                  <c:v>2269168</c:v>
                </c:pt>
                <c:pt idx="1">
                  <c:v>2357374</c:v>
                </c:pt>
                <c:pt idx="2">
                  <c:v>2488212</c:v>
                </c:pt>
                <c:pt idx="3">
                  <c:v>2811139</c:v>
                </c:pt>
                <c:pt idx="4">
                  <c:v>3609075</c:v>
                </c:pt>
                <c:pt idx="5">
                  <c:v>3720679</c:v>
                </c:pt>
                <c:pt idx="6">
                  <c:v>3845384</c:v>
                </c:pt>
                <c:pt idx="7">
                  <c:v>4566112</c:v>
                </c:pt>
                <c:pt idx="8">
                  <c:v>4896059</c:v>
                </c:pt>
                <c:pt idx="9">
                  <c:v>5449082</c:v>
                </c:pt>
              </c:numCache>
            </c:numRef>
          </c:yVal>
          <c:smooth val="0"/>
          <c:extLst>
            <c:ext xmlns:c16="http://schemas.microsoft.com/office/drawing/2014/chart" uri="{C3380CC4-5D6E-409C-BE32-E72D297353CC}">
              <c16:uniqueId val="{00000000-B750-4D76-8608-E56FC6180F87}"/>
            </c:ext>
          </c:extLst>
        </c:ser>
        <c:dLbls>
          <c:showLegendKey val="0"/>
          <c:showVal val="0"/>
          <c:showCatName val="0"/>
          <c:showSerName val="0"/>
          <c:showPercent val="0"/>
          <c:showBubbleSize val="0"/>
        </c:dLbls>
        <c:axId val="2145631512"/>
        <c:axId val="2145638088"/>
      </c:scatterChart>
      <c:valAx>
        <c:axId val="2145631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West Africa GDP in US$ million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638088"/>
        <c:crosses val="autoZero"/>
        <c:crossBetween val="midCat"/>
      </c:valAx>
      <c:valAx>
        <c:axId val="2145638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6315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Scenarios!$B$4</c:f>
              <c:strCache>
                <c:ptCount val="1"/>
                <c:pt idx="0">
                  <c:v>Elasticity: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Scenarios!$C$3:$G$3</c:f>
              <c:numCache>
                <c:formatCode>General</c:formatCode>
                <c:ptCount val="5"/>
                <c:pt idx="0">
                  <c:v>2006</c:v>
                </c:pt>
                <c:pt idx="1">
                  <c:v>2011</c:v>
                </c:pt>
                <c:pt idx="2">
                  <c:v>2017</c:v>
                </c:pt>
                <c:pt idx="3">
                  <c:v>2020</c:v>
                </c:pt>
                <c:pt idx="4">
                  <c:v>2025</c:v>
                </c:pt>
              </c:numCache>
            </c:numRef>
          </c:cat>
          <c:val>
            <c:numRef>
              <c:f>Scenarios!$C$4:$G$4</c:f>
              <c:numCache>
                <c:formatCode>0.0</c:formatCode>
                <c:ptCount val="5"/>
                <c:pt idx="0">
                  <c:v>2.3252000000000002</c:v>
                </c:pt>
                <c:pt idx="1">
                  <c:v>3.7770000000000001</c:v>
                </c:pt>
                <c:pt idx="2">
                  <c:v>4.4146935241802954</c:v>
                </c:pt>
                <c:pt idx="3">
                  <c:v>5.5121154213051433</c:v>
                </c:pt>
                <c:pt idx="4">
                  <c:v>8.0330167393381071</c:v>
                </c:pt>
              </c:numCache>
            </c:numRef>
          </c:val>
          <c:extLst>
            <c:ext xmlns:c16="http://schemas.microsoft.com/office/drawing/2014/chart" uri="{C3380CC4-5D6E-409C-BE32-E72D297353CC}">
              <c16:uniqueId val="{00000000-3DB1-4102-97FD-568A36ADC8F6}"/>
            </c:ext>
          </c:extLst>
        </c:ser>
        <c:ser>
          <c:idx val="2"/>
          <c:order val="1"/>
          <c:tx>
            <c:strRef>
              <c:f>Scenarios!$B$5</c:f>
              <c:strCache>
                <c:ptCount val="1"/>
                <c:pt idx="0">
                  <c:v>Elasticity: 1.65</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Scenarios!$C$3:$G$3</c:f>
              <c:numCache>
                <c:formatCode>General</c:formatCode>
                <c:ptCount val="5"/>
                <c:pt idx="0">
                  <c:v>2006</c:v>
                </c:pt>
                <c:pt idx="1">
                  <c:v>2011</c:v>
                </c:pt>
                <c:pt idx="2">
                  <c:v>2017</c:v>
                </c:pt>
                <c:pt idx="3">
                  <c:v>2020</c:v>
                </c:pt>
                <c:pt idx="4">
                  <c:v>2025</c:v>
                </c:pt>
              </c:numCache>
            </c:numRef>
          </c:cat>
          <c:val>
            <c:numRef>
              <c:f>Scenarios!$C$5:$G$5</c:f>
              <c:numCache>
                <c:formatCode>0.0</c:formatCode>
                <c:ptCount val="5"/>
                <c:pt idx="0">
                  <c:v>2.3252000000000002</c:v>
                </c:pt>
                <c:pt idx="1">
                  <c:v>3.7770000000000001</c:v>
                </c:pt>
                <c:pt idx="2">
                  <c:v>4.9287682932458949</c:v>
                </c:pt>
                <c:pt idx="3">
                  <c:v>7.1006461521397988</c:v>
                </c:pt>
                <c:pt idx="4">
                  <c:v>13.25818824292584</c:v>
                </c:pt>
              </c:numCache>
            </c:numRef>
          </c:val>
          <c:extLst>
            <c:ext xmlns:c16="http://schemas.microsoft.com/office/drawing/2014/chart" uri="{C3380CC4-5D6E-409C-BE32-E72D297353CC}">
              <c16:uniqueId val="{00000001-3DB1-4102-97FD-568A36ADC8F6}"/>
            </c:ext>
          </c:extLst>
        </c:ser>
        <c:dLbls>
          <c:showLegendKey val="0"/>
          <c:showVal val="0"/>
          <c:showCatName val="0"/>
          <c:showSerName val="0"/>
          <c:showPercent val="0"/>
          <c:showBubbleSize val="0"/>
        </c:dLbls>
        <c:gapWidth val="50"/>
        <c:overlap val="-20"/>
        <c:axId val="2145697448"/>
        <c:axId val="2145701032"/>
      </c:barChart>
      <c:catAx>
        <c:axId val="214569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701032"/>
        <c:crosses val="autoZero"/>
        <c:auto val="1"/>
        <c:lblAlgn val="ctr"/>
        <c:lblOffset val="100"/>
        <c:noMultiLvlLbl val="0"/>
      </c:catAx>
      <c:valAx>
        <c:axId val="214570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TEUs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697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percentStacked"/>
        <c:varyColors val="0"/>
        <c:ser>
          <c:idx val="1"/>
          <c:order val="0"/>
          <c:tx>
            <c:strRef>
              <c:f>Sheet1!$C$1</c:f>
              <c:strCache>
                <c:ptCount val="1"/>
                <c:pt idx="0">
                  <c:v>Abidjan</c:v>
                </c:pt>
              </c:strCache>
            </c:strRef>
          </c:tx>
          <c:spPr>
            <a:solidFill>
              <a:schemeClr val="accent1">
                <a:shade val="65000"/>
              </a:schemeClr>
            </a:solidFill>
            <a:ln>
              <a:noFill/>
            </a:ln>
            <a:effectLst/>
          </c:spPr>
          <c:invertIfNegative val="0"/>
          <c:cat>
            <c:numRef>
              <c:f>Sheet1!$A$2:$A$17</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Sheet1!$C$2:$C$17</c:f>
              <c:numCache>
                <c:formatCode>#,##0</c:formatCode>
                <c:ptCount val="16"/>
                <c:pt idx="0">
                  <c:v>515476</c:v>
                </c:pt>
                <c:pt idx="1">
                  <c:v>426995</c:v>
                </c:pt>
                <c:pt idx="2">
                  <c:v>383925</c:v>
                </c:pt>
                <c:pt idx="3">
                  <c:v>436207</c:v>
                </c:pt>
                <c:pt idx="4">
                  <c:v>388993</c:v>
                </c:pt>
                <c:pt idx="5">
                  <c:v>15184</c:v>
                </c:pt>
                <c:pt idx="6">
                  <c:v>162077</c:v>
                </c:pt>
                <c:pt idx="7">
                  <c:v>304253</c:v>
                </c:pt>
                <c:pt idx="8">
                  <c:v>298309</c:v>
                </c:pt>
                <c:pt idx="9">
                  <c:v>518878</c:v>
                </c:pt>
                <c:pt idx="10">
                  <c:v>384650</c:v>
                </c:pt>
                <c:pt idx="11">
                  <c:v>588951</c:v>
                </c:pt>
                <c:pt idx="12">
                  <c:v>550963</c:v>
                </c:pt>
                <c:pt idx="13">
                  <c:v>394402</c:v>
                </c:pt>
                <c:pt idx="14">
                  <c:v>760910</c:v>
                </c:pt>
                <c:pt idx="15">
                  <c:v>885805</c:v>
                </c:pt>
              </c:numCache>
            </c:numRef>
          </c:val>
          <c:extLst>
            <c:ext xmlns:c16="http://schemas.microsoft.com/office/drawing/2014/chart" uri="{C3380CC4-5D6E-409C-BE32-E72D297353CC}">
              <c16:uniqueId val="{00000000-1DFF-43AC-8E71-E7D657A012ED}"/>
            </c:ext>
          </c:extLst>
        </c:ser>
        <c:ser>
          <c:idx val="2"/>
          <c:order val="1"/>
          <c:tx>
            <c:strRef>
              <c:f>Sheet1!$D$1</c:f>
              <c:strCache>
                <c:ptCount val="1"/>
                <c:pt idx="0">
                  <c:v>Takoradi</c:v>
                </c:pt>
              </c:strCache>
            </c:strRef>
          </c:tx>
          <c:spPr>
            <a:solidFill>
              <a:schemeClr val="accent1">
                <a:shade val="82000"/>
              </a:schemeClr>
            </a:solidFill>
            <a:ln>
              <a:noFill/>
            </a:ln>
            <a:effectLst/>
          </c:spPr>
          <c:invertIfNegative val="0"/>
          <c:cat>
            <c:numRef>
              <c:f>Sheet1!$A$2:$A$17</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Sheet1!$D$2:$D$17</c:f>
              <c:numCache>
                <c:formatCode>General</c:formatCode>
                <c:ptCount val="16"/>
                <c:pt idx="0">
                  <c:v>0</c:v>
                </c:pt>
                <c:pt idx="1">
                  <c:v>0</c:v>
                </c:pt>
                <c:pt idx="2">
                  <c:v>0</c:v>
                </c:pt>
                <c:pt idx="3">
                  <c:v>0</c:v>
                </c:pt>
                <c:pt idx="4" formatCode="#,##0">
                  <c:v>5102</c:v>
                </c:pt>
                <c:pt idx="5" formatCode="#,##0">
                  <c:v>29023</c:v>
                </c:pt>
                <c:pt idx="6" formatCode="#,##0">
                  <c:v>34494</c:v>
                </c:pt>
                <c:pt idx="7" formatCode="#,##0">
                  <c:v>44803</c:v>
                </c:pt>
                <c:pt idx="8" formatCode="#,##0">
                  <c:v>51932</c:v>
                </c:pt>
                <c:pt idx="9" formatCode="#,##0">
                  <c:v>7901</c:v>
                </c:pt>
                <c:pt idx="10" formatCode="#,##0">
                  <c:v>8501</c:v>
                </c:pt>
                <c:pt idx="11" formatCode="#,##0">
                  <c:v>1135</c:v>
                </c:pt>
                <c:pt idx="12">
                  <c:v>991</c:v>
                </c:pt>
                <c:pt idx="13" formatCode="#,##0">
                  <c:v>3600</c:v>
                </c:pt>
                <c:pt idx="14" formatCode="#,##0">
                  <c:v>5442</c:v>
                </c:pt>
              </c:numCache>
            </c:numRef>
          </c:val>
          <c:extLst>
            <c:ext xmlns:c16="http://schemas.microsoft.com/office/drawing/2014/chart" uri="{C3380CC4-5D6E-409C-BE32-E72D297353CC}">
              <c16:uniqueId val="{00000001-1DFF-43AC-8E71-E7D657A012ED}"/>
            </c:ext>
          </c:extLst>
        </c:ser>
        <c:ser>
          <c:idx val="3"/>
          <c:order val="2"/>
          <c:tx>
            <c:strRef>
              <c:f>Sheet1!$E$1</c:f>
              <c:strCache>
                <c:ptCount val="1"/>
                <c:pt idx="0">
                  <c:v>Tema</c:v>
                </c:pt>
              </c:strCache>
            </c:strRef>
          </c:tx>
          <c:spPr>
            <a:solidFill>
              <a:schemeClr val="accent1"/>
            </a:solidFill>
            <a:ln>
              <a:noFill/>
            </a:ln>
            <a:effectLst/>
          </c:spPr>
          <c:invertIfNegative val="0"/>
          <c:cat>
            <c:numRef>
              <c:f>Sheet1!$A$2:$A$17</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Sheet1!$E$2:$E$17</c:f>
              <c:numCache>
                <c:formatCode>#,##0</c:formatCode>
                <c:ptCount val="16"/>
                <c:pt idx="0">
                  <c:v>15774</c:v>
                </c:pt>
                <c:pt idx="1">
                  <c:v>12720</c:v>
                </c:pt>
                <c:pt idx="2">
                  <c:v>42140</c:v>
                </c:pt>
                <c:pt idx="3">
                  <c:v>78063</c:v>
                </c:pt>
                <c:pt idx="4">
                  <c:v>208948</c:v>
                </c:pt>
                <c:pt idx="5">
                  <c:v>329530</c:v>
                </c:pt>
                <c:pt idx="6">
                  <c:v>363712</c:v>
                </c:pt>
                <c:pt idx="7">
                  <c:v>427918</c:v>
                </c:pt>
                <c:pt idx="8">
                  <c:v>490808</c:v>
                </c:pt>
                <c:pt idx="9">
                  <c:v>459647</c:v>
                </c:pt>
                <c:pt idx="10">
                  <c:v>372719</c:v>
                </c:pt>
                <c:pt idx="11">
                  <c:v>258829</c:v>
                </c:pt>
                <c:pt idx="12">
                  <c:v>257552</c:v>
                </c:pt>
                <c:pt idx="13">
                  <c:v>426502</c:v>
                </c:pt>
                <c:pt idx="14">
                  <c:v>370183</c:v>
                </c:pt>
                <c:pt idx="15">
                  <c:v>464104</c:v>
                </c:pt>
              </c:numCache>
            </c:numRef>
          </c:val>
          <c:extLst>
            <c:ext xmlns:c16="http://schemas.microsoft.com/office/drawing/2014/chart" uri="{C3380CC4-5D6E-409C-BE32-E72D297353CC}">
              <c16:uniqueId val="{00000002-1DFF-43AC-8E71-E7D657A012ED}"/>
            </c:ext>
          </c:extLst>
        </c:ser>
        <c:ser>
          <c:idx val="4"/>
          <c:order val="3"/>
          <c:tx>
            <c:strRef>
              <c:f>Sheet1!$F$1</c:f>
              <c:strCache>
                <c:ptCount val="1"/>
                <c:pt idx="0">
                  <c:v>Lome</c:v>
                </c:pt>
              </c:strCache>
            </c:strRef>
          </c:tx>
          <c:spPr>
            <a:solidFill>
              <a:schemeClr val="accent1">
                <a:tint val="83000"/>
              </a:schemeClr>
            </a:solidFill>
            <a:ln>
              <a:noFill/>
            </a:ln>
            <a:effectLst/>
          </c:spPr>
          <c:invertIfNegative val="0"/>
          <c:cat>
            <c:numRef>
              <c:f>Sheet1!$A$2:$A$17</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Sheet1!$F$2:$F$17</c:f>
              <c:numCache>
                <c:formatCode>#,##0</c:formatCode>
                <c:ptCount val="16"/>
                <c:pt idx="0">
                  <c:v>298071</c:v>
                </c:pt>
                <c:pt idx="1">
                  <c:v>273392</c:v>
                </c:pt>
                <c:pt idx="2">
                  <c:v>283392</c:v>
                </c:pt>
                <c:pt idx="3">
                  <c:v>276360</c:v>
                </c:pt>
                <c:pt idx="4">
                  <c:v>374907</c:v>
                </c:pt>
                <c:pt idx="5">
                  <c:v>702694</c:v>
                </c:pt>
                <c:pt idx="6">
                  <c:v>577408</c:v>
                </c:pt>
                <c:pt idx="7">
                  <c:v>618033</c:v>
                </c:pt>
                <c:pt idx="8">
                  <c:v>588526</c:v>
                </c:pt>
                <c:pt idx="9">
                  <c:v>608666</c:v>
                </c:pt>
                <c:pt idx="10">
                  <c:v>488990</c:v>
                </c:pt>
                <c:pt idx="11">
                  <c:v>643247</c:v>
                </c:pt>
                <c:pt idx="12">
                  <c:v>789427</c:v>
                </c:pt>
                <c:pt idx="13">
                  <c:v>911592</c:v>
                </c:pt>
                <c:pt idx="14">
                  <c:v>678214</c:v>
                </c:pt>
                <c:pt idx="15">
                  <c:v>849716</c:v>
                </c:pt>
              </c:numCache>
            </c:numRef>
          </c:val>
          <c:extLst>
            <c:ext xmlns:c16="http://schemas.microsoft.com/office/drawing/2014/chart" uri="{C3380CC4-5D6E-409C-BE32-E72D297353CC}">
              <c16:uniqueId val="{00000003-1DFF-43AC-8E71-E7D657A012ED}"/>
            </c:ext>
          </c:extLst>
        </c:ser>
        <c:ser>
          <c:idx val="5"/>
          <c:order val="4"/>
          <c:tx>
            <c:strRef>
              <c:f>Sheet1!$G$1</c:f>
              <c:strCache>
                <c:ptCount val="1"/>
                <c:pt idx="0">
                  <c:v>Cotonou</c:v>
                </c:pt>
              </c:strCache>
            </c:strRef>
          </c:tx>
          <c:spPr>
            <a:solidFill>
              <a:schemeClr val="accent1">
                <a:tint val="65000"/>
              </a:schemeClr>
            </a:solidFill>
            <a:ln>
              <a:noFill/>
            </a:ln>
            <a:effectLst/>
          </c:spPr>
          <c:invertIfNegative val="0"/>
          <c:cat>
            <c:numRef>
              <c:f>Sheet1!$A$2:$A$17</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Sheet1!$G$2:$G$17</c:f>
              <c:numCache>
                <c:formatCode>#,##0</c:formatCode>
                <c:ptCount val="16"/>
                <c:pt idx="0">
                  <c:v>22478</c:v>
                </c:pt>
                <c:pt idx="1">
                  <c:v>17629</c:v>
                </c:pt>
                <c:pt idx="2">
                  <c:v>5170</c:v>
                </c:pt>
                <c:pt idx="3">
                  <c:v>14437</c:v>
                </c:pt>
                <c:pt idx="4">
                  <c:v>65045</c:v>
                </c:pt>
                <c:pt idx="5">
                  <c:v>37215</c:v>
                </c:pt>
                <c:pt idx="6">
                  <c:v>25264</c:v>
                </c:pt>
                <c:pt idx="7">
                  <c:v>105785</c:v>
                </c:pt>
                <c:pt idx="8">
                  <c:v>224210</c:v>
                </c:pt>
                <c:pt idx="9">
                  <c:v>201972</c:v>
                </c:pt>
                <c:pt idx="10">
                  <c:v>225891</c:v>
                </c:pt>
                <c:pt idx="11">
                  <c:v>314530</c:v>
                </c:pt>
                <c:pt idx="12">
                  <c:v>445445</c:v>
                </c:pt>
                <c:pt idx="13">
                  <c:v>365000</c:v>
                </c:pt>
                <c:pt idx="14">
                  <c:v>373797</c:v>
                </c:pt>
                <c:pt idx="15">
                  <c:v>364249</c:v>
                </c:pt>
              </c:numCache>
            </c:numRef>
          </c:val>
          <c:extLst>
            <c:ext xmlns:c16="http://schemas.microsoft.com/office/drawing/2014/chart" uri="{C3380CC4-5D6E-409C-BE32-E72D297353CC}">
              <c16:uniqueId val="{00000004-1DFF-43AC-8E71-E7D657A012ED}"/>
            </c:ext>
          </c:extLst>
        </c:ser>
        <c:dLbls>
          <c:showLegendKey val="0"/>
          <c:showVal val="0"/>
          <c:showCatName val="0"/>
          <c:showSerName val="0"/>
          <c:showPercent val="0"/>
          <c:showBubbleSize val="0"/>
        </c:dLbls>
        <c:gapWidth val="50"/>
        <c:overlap val="100"/>
        <c:axId val="2145764632"/>
        <c:axId val="2145768264"/>
      </c:barChart>
      <c:lineChart>
        <c:grouping val="standard"/>
        <c:varyColors val="0"/>
        <c:ser>
          <c:idx val="6"/>
          <c:order val="5"/>
          <c:tx>
            <c:strRef>
              <c:f>Sheet1!$I$1</c:f>
              <c:strCache>
                <c:ptCount val="1"/>
                <c:pt idx="0">
                  <c:v>Total</c:v>
                </c:pt>
              </c:strCache>
            </c:strRef>
          </c:tx>
          <c:spPr>
            <a:ln w="19050" cap="rnd" cmpd="sng" algn="ctr">
              <a:solidFill>
                <a:schemeClr val="tx1"/>
              </a:solidFill>
              <a:prstDash val="solid"/>
              <a:round/>
            </a:ln>
            <a:effectLst/>
          </c:spPr>
          <c:marker>
            <c:symbol val="none"/>
          </c:marker>
          <c:cat>
            <c:numRef>
              <c:f>Sheet1!$A$2:$A$17</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Sheet1!$I$2:$I$17</c:f>
              <c:numCache>
                <c:formatCode>#,##0</c:formatCode>
                <c:ptCount val="16"/>
                <c:pt idx="0">
                  <c:v>851799</c:v>
                </c:pt>
                <c:pt idx="1">
                  <c:v>730736</c:v>
                </c:pt>
                <c:pt idx="2">
                  <c:v>714627</c:v>
                </c:pt>
                <c:pt idx="3">
                  <c:v>805067</c:v>
                </c:pt>
                <c:pt idx="4">
                  <c:v>1042995</c:v>
                </c:pt>
                <c:pt idx="5">
                  <c:v>1113646</c:v>
                </c:pt>
                <c:pt idx="6">
                  <c:v>1162955</c:v>
                </c:pt>
                <c:pt idx="7">
                  <c:v>1500792</c:v>
                </c:pt>
                <c:pt idx="8">
                  <c:v>1653785</c:v>
                </c:pt>
                <c:pt idx="9">
                  <c:v>1797064</c:v>
                </c:pt>
                <c:pt idx="10">
                  <c:v>1481055</c:v>
                </c:pt>
                <c:pt idx="11">
                  <c:v>1806774</c:v>
                </c:pt>
                <c:pt idx="12">
                  <c:v>2044530</c:v>
                </c:pt>
                <c:pt idx="13">
                  <c:v>2101699</c:v>
                </c:pt>
                <c:pt idx="14">
                  <c:v>2191602</c:v>
                </c:pt>
                <c:pt idx="15">
                  <c:v>2566056</c:v>
                </c:pt>
              </c:numCache>
            </c:numRef>
          </c:val>
          <c:smooth val="0"/>
          <c:extLst>
            <c:ext xmlns:c16="http://schemas.microsoft.com/office/drawing/2014/chart" uri="{C3380CC4-5D6E-409C-BE32-E72D297353CC}">
              <c16:uniqueId val="{00000005-1DFF-43AC-8E71-E7D657A012ED}"/>
            </c:ext>
          </c:extLst>
        </c:ser>
        <c:dLbls>
          <c:showLegendKey val="0"/>
          <c:showVal val="0"/>
          <c:showCatName val="0"/>
          <c:showSerName val="0"/>
          <c:showPercent val="0"/>
          <c:showBubbleSize val="0"/>
        </c:dLbls>
        <c:marker val="1"/>
        <c:smooth val="0"/>
        <c:axId val="2145775368"/>
        <c:axId val="2145771912"/>
      </c:lineChart>
      <c:catAx>
        <c:axId val="2145764632"/>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45768264"/>
        <c:crosses val="autoZero"/>
        <c:auto val="1"/>
        <c:lblAlgn val="ctr"/>
        <c:lblOffset val="100"/>
        <c:noMultiLvlLbl val="0"/>
      </c:catAx>
      <c:valAx>
        <c:axId val="2145768264"/>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45764632"/>
        <c:crosses val="autoZero"/>
        <c:crossBetween val="between"/>
      </c:valAx>
      <c:valAx>
        <c:axId val="2145771912"/>
        <c:scaling>
          <c:orientation val="minMax"/>
        </c:scaling>
        <c:delete val="0"/>
        <c:axPos val="r"/>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45775368"/>
        <c:crosses val="max"/>
        <c:crossBetween val="between"/>
      </c:valAx>
      <c:catAx>
        <c:axId val="2145775368"/>
        <c:scaling>
          <c:orientation val="minMax"/>
        </c:scaling>
        <c:delete val="1"/>
        <c:axPos val="b"/>
        <c:numFmt formatCode="General" sourceLinked="1"/>
        <c:majorTickMark val="out"/>
        <c:minorTickMark val="none"/>
        <c:tickLblPos val="none"/>
        <c:crossAx val="2145771912"/>
        <c:crosses val="autoZero"/>
        <c:auto val="1"/>
        <c:lblAlgn val="ctr"/>
        <c:lblOffset val="100"/>
        <c:noMultiLvlLbl val="0"/>
      </c:cat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latin typeface="+mn-lt"/>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Scenarios!$B$22</c:f>
              <c:strCache>
                <c:ptCount val="1"/>
                <c:pt idx="0">
                  <c:v>Elasticity: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Scenarios!$C$21:$G$21</c:f>
              <c:numCache>
                <c:formatCode>General</c:formatCode>
                <c:ptCount val="5"/>
                <c:pt idx="0">
                  <c:v>2006</c:v>
                </c:pt>
                <c:pt idx="1">
                  <c:v>2011</c:v>
                </c:pt>
                <c:pt idx="2">
                  <c:v>2017</c:v>
                </c:pt>
                <c:pt idx="3">
                  <c:v>2020</c:v>
                </c:pt>
                <c:pt idx="4">
                  <c:v>2025</c:v>
                </c:pt>
              </c:numCache>
            </c:numRef>
          </c:cat>
          <c:val>
            <c:numRef>
              <c:f>Scenarios!$C$22:$G$22</c:f>
              <c:numCache>
                <c:formatCode>#,##0.0</c:formatCode>
                <c:ptCount val="5"/>
                <c:pt idx="0">
                  <c:v>0.27200000000000002</c:v>
                </c:pt>
                <c:pt idx="1">
                  <c:v>0.42</c:v>
                </c:pt>
                <c:pt idx="2">
                  <c:v>0.51294994373571301</c:v>
                </c:pt>
                <c:pt idx="3">
                  <c:v>0.64663693037180503</c:v>
                </c:pt>
                <c:pt idx="4">
                  <c:v>0.95370945690023401</c:v>
                </c:pt>
              </c:numCache>
            </c:numRef>
          </c:val>
          <c:extLst>
            <c:ext xmlns:c16="http://schemas.microsoft.com/office/drawing/2014/chart" uri="{C3380CC4-5D6E-409C-BE32-E72D297353CC}">
              <c16:uniqueId val="{00000000-222F-49FE-A3E3-36E006837686}"/>
            </c:ext>
          </c:extLst>
        </c:ser>
        <c:ser>
          <c:idx val="2"/>
          <c:order val="1"/>
          <c:tx>
            <c:strRef>
              <c:f>Scenarios!$B$23</c:f>
              <c:strCache>
                <c:ptCount val="1"/>
                <c:pt idx="0">
                  <c:v>Elasticity: 1.65</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Scenarios!$C$21:$G$21</c:f>
              <c:numCache>
                <c:formatCode>General</c:formatCode>
                <c:ptCount val="5"/>
                <c:pt idx="0">
                  <c:v>2006</c:v>
                </c:pt>
                <c:pt idx="1">
                  <c:v>2011</c:v>
                </c:pt>
                <c:pt idx="2">
                  <c:v>2017</c:v>
                </c:pt>
                <c:pt idx="3">
                  <c:v>2020</c:v>
                </c:pt>
                <c:pt idx="4">
                  <c:v>2025</c:v>
                </c:pt>
              </c:numCache>
            </c:numRef>
          </c:cat>
          <c:val>
            <c:numRef>
              <c:f>Scenarios!$C$23:$G$23</c:f>
              <c:numCache>
                <c:formatCode>#,##0.0</c:formatCode>
                <c:ptCount val="5"/>
                <c:pt idx="0">
                  <c:v>0.27200000000000002</c:v>
                </c:pt>
                <c:pt idx="1">
                  <c:v>0.42</c:v>
                </c:pt>
                <c:pt idx="2">
                  <c:v>0.582376217764907</c:v>
                </c:pt>
                <c:pt idx="3">
                  <c:v>0.84688360647336203</c:v>
                </c:pt>
                <c:pt idx="4">
                  <c:v>1.5904399770384881</c:v>
                </c:pt>
              </c:numCache>
            </c:numRef>
          </c:val>
          <c:extLst>
            <c:ext xmlns:c16="http://schemas.microsoft.com/office/drawing/2014/chart" uri="{C3380CC4-5D6E-409C-BE32-E72D297353CC}">
              <c16:uniqueId val="{00000001-222F-49FE-A3E3-36E006837686}"/>
            </c:ext>
          </c:extLst>
        </c:ser>
        <c:dLbls>
          <c:showLegendKey val="0"/>
          <c:showVal val="0"/>
          <c:showCatName val="0"/>
          <c:showSerName val="0"/>
          <c:showPercent val="0"/>
          <c:showBubbleSize val="0"/>
        </c:dLbls>
        <c:gapWidth val="50"/>
        <c:overlap val="-20"/>
        <c:axId val="2145808440"/>
        <c:axId val="2145812024"/>
      </c:barChart>
      <c:catAx>
        <c:axId val="214580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12024"/>
        <c:crosses val="autoZero"/>
        <c:auto val="1"/>
        <c:lblAlgn val="ctr"/>
        <c:lblOffset val="100"/>
        <c:noMultiLvlLbl val="0"/>
      </c:catAx>
      <c:valAx>
        <c:axId val="2145812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TEUs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08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Scenarios!$B$30</c:f>
              <c:strCache>
                <c:ptCount val="1"/>
                <c:pt idx="0">
                  <c:v>Elasticity: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Scenarios!$C$29:$G$29</c:f>
              <c:numCache>
                <c:formatCode>General</c:formatCode>
                <c:ptCount val="5"/>
                <c:pt idx="0">
                  <c:v>2006</c:v>
                </c:pt>
                <c:pt idx="1">
                  <c:v>2011</c:v>
                </c:pt>
                <c:pt idx="2">
                  <c:v>2017</c:v>
                </c:pt>
                <c:pt idx="3">
                  <c:v>2020</c:v>
                </c:pt>
                <c:pt idx="4">
                  <c:v>2025</c:v>
                </c:pt>
              </c:numCache>
            </c:numRef>
          </c:cat>
          <c:val>
            <c:numRef>
              <c:f>Scenarios!$C$30:$G$30</c:f>
              <c:numCache>
                <c:formatCode>#,##0.0</c:formatCode>
                <c:ptCount val="5"/>
                <c:pt idx="0">
                  <c:v>2.5972</c:v>
                </c:pt>
                <c:pt idx="1">
                  <c:v>4.1969999999999956</c:v>
                </c:pt>
                <c:pt idx="2">
                  <c:v>4.9276434679160079</c:v>
                </c:pt>
                <c:pt idx="3">
                  <c:v>6.158752351676946</c:v>
                </c:pt>
                <c:pt idx="4">
                  <c:v>8.9867261962383402</c:v>
                </c:pt>
              </c:numCache>
            </c:numRef>
          </c:val>
          <c:extLst>
            <c:ext xmlns:c16="http://schemas.microsoft.com/office/drawing/2014/chart" uri="{C3380CC4-5D6E-409C-BE32-E72D297353CC}">
              <c16:uniqueId val="{00000000-A5E4-4724-8937-8ED95F4FD755}"/>
            </c:ext>
          </c:extLst>
        </c:ser>
        <c:ser>
          <c:idx val="2"/>
          <c:order val="1"/>
          <c:tx>
            <c:strRef>
              <c:f>Scenarios!$B$31</c:f>
              <c:strCache>
                <c:ptCount val="1"/>
                <c:pt idx="0">
                  <c:v>Elasticity: 1.65</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Scenarios!$C$29:$G$29</c:f>
              <c:numCache>
                <c:formatCode>General</c:formatCode>
                <c:ptCount val="5"/>
                <c:pt idx="0">
                  <c:v>2006</c:v>
                </c:pt>
                <c:pt idx="1">
                  <c:v>2011</c:v>
                </c:pt>
                <c:pt idx="2">
                  <c:v>2017</c:v>
                </c:pt>
                <c:pt idx="3">
                  <c:v>2020</c:v>
                </c:pt>
                <c:pt idx="4">
                  <c:v>2025</c:v>
                </c:pt>
              </c:numCache>
            </c:numRef>
          </c:cat>
          <c:val>
            <c:numRef>
              <c:f>Scenarios!$C$31:$G$31</c:f>
              <c:numCache>
                <c:formatCode>#,##0.0</c:formatCode>
                <c:ptCount val="5"/>
                <c:pt idx="0">
                  <c:v>2.5972</c:v>
                </c:pt>
                <c:pt idx="1">
                  <c:v>4.1969999999999956</c:v>
                </c:pt>
                <c:pt idx="2">
                  <c:v>5.5111445110108006</c:v>
                </c:pt>
                <c:pt idx="3">
                  <c:v>7.9475297586131601</c:v>
                </c:pt>
                <c:pt idx="4">
                  <c:v>14.848628219964329</c:v>
                </c:pt>
              </c:numCache>
            </c:numRef>
          </c:val>
          <c:extLst>
            <c:ext xmlns:c16="http://schemas.microsoft.com/office/drawing/2014/chart" uri="{C3380CC4-5D6E-409C-BE32-E72D297353CC}">
              <c16:uniqueId val="{00000001-A5E4-4724-8937-8ED95F4FD755}"/>
            </c:ext>
          </c:extLst>
        </c:ser>
        <c:dLbls>
          <c:showLegendKey val="0"/>
          <c:showVal val="0"/>
          <c:showCatName val="0"/>
          <c:showSerName val="0"/>
          <c:showPercent val="0"/>
          <c:showBubbleSize val="0"/>
        </c:dLbls>
        <c:gapWidth val="50"/>
        <c:overlap val="-20"/>
        <c:axId val="2145869928"/>
        <c:axId val="2145873512"/>
      </c:barChart>
      <c:catAx>
        <c:axId val="214586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73512"/>
        <c:crosses val="autoZero"/>
        <c:auto val="1"/>
        <c:lblAlgn val="ctr"/>
        <c:lblOffset val="100"/>
        <c:noMultiLvlLbl val="0"/>
      </c:catAx>
      <c:valAx>
        <c:axId val="2145873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TEUs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69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Scenarios!$B$36</c:f>
              <c:strCache>
                <c:ptCount val="1"/>
                <c:pt idx="0">
                  <c:v>Elasticity: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Scenarios!$C$35:$G$35</c:f>
              <c:numCache>
                <c:formatCode>General</c:formatCode>
                <c:ptCount val="5"/>
                <c:pt idx="0">
                  <c:v>2006</c:v>
                </c:pt>
                <c:pt idx="1">
                  <c:v>2011</c:v>
                </c:pt>
                <c:pt idx="2">
                  <c:v>2017</c:v>
                </c:pt>
                <c:pt idx="3">
                  <c:v>2020</c:v>
                </c:pt>
                <c:pt idx="4">
                  <c:v>2025</c:v>
                </c:pt>
              </c:numCache>
            </c:numRef>
          </c:cat>
          <c:val>
            <c:numRef>
              <c:f>Scenarios!$C$36:$G$36</c:f>
              <c:numCache>
                <c:formatCode>#,##0.0</c:formatCode>
                <c:ptCount val="5"/>
                <c:pt idx="0">
                  <c:v>2.694</c:v>
                </c:pt>
                <c:pt idx="1">
                  <c:v>4.4189999999999996</c:v>
                </c:pt>
                <c:pt idx="2">
                  <c:v>5.913172161499209</c:v>
                </c:pt>
                <c:pt idx="3">
                  <c:v>7.5136778690458774</c:v>
                </c:pt>
                <c:pt idx="4">
                  <c:v>11.233407745297921</c:v>
                </c:pt>
              </c:numCache>
            </c:numRef>
          </c:val>
          <c:extLst>
            <c:ext xmlns:c16="http://schemas.microsoft.com/office/drawing/2014/chart" uri="{C3380CC4-5D6E-409C-BE32-E72D297353CC}">
              <c16:uniqueId val="{00000000-3ABD-44A4-ACDB-5D19F351488A}"/>
            </c:ext>
          </c:extLst>
        </c:ser>
        <c:ser>
          <c:idx val="2"/>
          <c:order val="1"/>
          <c:tx>
            <c:strRef>
              <c:f>Scenarios!$B$37</c:f>
              <c:strCache>
                <c:ptCount val="1"/>
                <c:pt idx="0">
                  <c:v>Elasticity: 1.65</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Scenarios!$C$35:$G$35</c:f>
              <c:numCache>
                <c:formatCode>General</c:formatCode>
                <c:ptCount val="5"/>
                <c:pt idx="0">
                  <c:v>2006</c:v>
                </c:pt>
                <c:pt idx="1">
                  <c:v>2011</c:v>
                </c:pt>
                <c:pt idx="2">
                  <c:v>2017</c:v>
                </c:pt>
                <c:pt idx="3">
                  <c:v>2020</c:v>
                </c:pt>
                <c:pt idx="4">
                  <c:v>2025</c:v>
                </c:pt>
              </c:numCache>
            </c:numRef>
          </c:cat>
          <c:val>
            <c:numRef>
              <c:f>Scenarios!$C$37:$G$37</c:f>
              <c:numCache>
                <c:formatCode>#,##0.0</c:formatCode>
                <c:ptCount val="5"/>
                <c:pt idx="0">
                  <c:v>2.694</c:v>
                </c:pt>
                <c:pt idx="1">
                  <c:v>4.4189999999999996</c:v>
                </c:pt>
                <c:pt idx="2">
                  <c:v>6.6133734132129618</c:v>
                </c:pt>
                <c:pt idx="3">
                  <c:v>9.6959863055080593</c:v>
                </c:pt>
                <c:pt idx="4">
                  <c:v>18.560785274955411</c:v>
                </c:pt>
              </c:numCache>
            </c:numRef>
          </c:val>
          <c:extLst>
            <c:ext xmlns:c16="http://schemas.microsoft.com/office/drawing/2014/chart" uri="{C3380CC4-5D6E-409C-BE32-E72D297353CC}">
              <c16:uniqueId val="{00000001-3ABD-44A4-ACDB-5D19F351488A}"/>
            </c:ext>
          </c:extLst>
        </c:ser>
        <c:dLbls>
          <c:showLegendKey val="0"/>
          <c:showVal val="0"/>
          <c:showCatName val="0"/>
          <c:showSerName val="0"/>
          <c:showPercent val="0"/>
          <c:showBubbleSize val="0"/>
        </c:dLbls>
        <c:gapWidth val="50"/>
        <c:overlap val="-20"/>
        <c:axId val="2145929176"/>
        <c:axId val="2145932760"/>
      </c:barChart>
      <c:catAx>
        <c:axId val="214592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932760"/>
        <c:crosses val="autoZero"/>
        <c:auto val="1"/>
        <c:lblAlgn val="ctr"/>
        <c:lblOffset val="100"/>
        <c:noMultiLvlLbl val="0"/>
      </c:catAx>
      <c:valAx>
        <c:axId val="2145932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TEUs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929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'Future capacity'!$B$24</c:f>
              <c:strCache>
                <c:ptCount val="1"/>
                <c:pt idx="0">
                  <c:v>West (Dakar - Monrovia)</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'Future capacity'!$C$23:$E$23</c:f>
              <c:strCache>
                <c:ptCount val="3"/>
                <c:pt idx="0">
                  <c:v>2013</c:v>
                </c:pt>
                <c:pt idx="1">
                  <c:v>Present</c:v>
                </c:pt>
                <c:pt idx="2">
                  <c:v>Future</c:v>
                </c:pt>
              </c:strCache>
            </c:strRef>
          </c:cat>
          <c:val>
            <c:numRef>
              <c:f>'Future capacity'!$C$24:$E$24</c:f>
              <c:numCache>
                <c:formatCode>0.0</c:formatCode>
                <c:ptCount val="3"/>
                <c:pt idx="0">
                  <c:v>0.92500000000000004</c:v>
                </c:pt>
                <c:pt idx="1">
                  <c:v>1.1499999999999979</c:v>
                </c:pt>
                <c:pt idx="2">
                  <c:v>3.3499999999999992</c:v>
                </c:pt>
              </c:numCache>
            </c:numRef>
          </c:val>
          <c:extLst>
            <c:ext xmlns:c16="http://schemas.microsoft.com/office/drawing/2014/chart" uri="{C3380CC4-5D6E-409C-BE32-E72D297353CC}">
              <c16:uniqueId val="{00000000-F951-497D-A66E-265261229AB6}"/>
            </c:ext>
          </c:extLst>
        </c:ser>
        <c:ser>
          <c:idx val="1"/>
          <c:order val="1"/>
          <c:tx>
            <c:strRef>
              <c:f>'Future capacity'!$B$25</c:f>
              <c:strCache>
                <c:ptCount val="1"/>
                <c:pt idx="0">
                  <c:v>Center (San Pedro - Cotonou)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'Future capacity'!$C$23:$E$23</c:f>
              <c:strCache>
                <c:ptCount val="3"/>
                <c:pt idx="0">
                  <c:v>2013</c:v>
                </c:pt>
                <c:pt idx="1">
                  <c:v>Present</c:v>
                </c:pt>
                <c:pt idx="2">
                  <c:v>Future</c:v>
                </c:pt>
              </c:strCache>
            </c:strRef>
          </c:cat>
          <c:val>
            <c:numRef>
              <c:f>'Future capacity'!$C$25:$E$25</c:f>
              <c:numCache>
                <c:formatCode>0.0</c:formatCode>
                <c:ptCount val="3"/>
                <c:pt idx="0">
                  <c:v>2.89</c:v>
                </c:pt>
                <c:pt idx="1">
                  <c:v>4.0900000000000007</c:v>
                </c:pt>
                <c:pt idx="2">
                  <c:v>13.8</c:v>
                </c:pt>
              </c:numCache>
            </c:numRef>
          </c:val>
          <c:extLst>
            <c:ext xmlns:c16="http://schemas.microsoft.com/office/drawing/2014/chart" uri="{C3380CC4-5D6E-409C-BE32-E72D297353CC}">
              <c16:uniqueId val="{00000001-F951-497D-A66E-265261229AB6}"/>
            </c:ext>
          </c:extLst>
        </c:ser>
        <c:ser>
          <c:idx val="2"/>
          <c:order val="2"/>
          <c:tx>
            <c:strRef>
              <c:f>'Future capacity'!$B$26</c:f>
              <c:strCache>
                <c:ptCount val="1"/>
                <c:pt idx="0">
                  <c:v>East (Nigeria)</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'Future capacity'!$C$23:$E$23</c:f>
              <c:strCache>
                <c:ptCount val="3"/>
                <c:pt idx="0">
                  <c:v>2013</c:v>
                </c:pt>
                <c:pt idx="1">
                  <c:v>Present</c:v>
                </c:pt>
                <c:pt idx="2">
                  <c:v>Future</c:v>
                </c:pt>
              </c:strCache>
            </c:strRef>
          </c:cat>
          <c:val>
            <c:numRef>
              <c:f>'Future capacity'!$C$26:$E$26</c:f>
              <c:numCache>
                <c:formatCode>0.0</c:formatCode>
                <c:ptCount val="3"/>
                <c:pt idx="0">
                  <c:v>1.359999999999997</c:v>
                </c:pt>
                <c:pt idx="1">
                  <c:v>1.359999999999997</c:v>
                </c:pt>
                <c:pt idx="2">
                  <c:v>5.6599999999999957</c:v>
                </c:pt>
              </c:numCache>
            </c:numRef>
          </c:val>
          <c:extLst>
            <c:ext xmlns:c16="http://schemas.microsoft.com/office/drawing/2014/chart" uri="{C3380CC4-5D6E-409C-BE32-E72D297353CC}">
              <c16:uniqueId val="{00000002-F951-497D-A66E-265261229AB6}"/>
            </c:ext>
          </c:extLst>
        </c:ser>
        <c:dLbls>
          <c:showLegendKey val="0"/>
          <c:showVal val="1"/>
          <c:showCatName val="0"/>
          <c:showSerName val="0"/>
          <c:showPercent val="0"/>
          <c:showBubbleSize val="0"/>
        </c:dLbls>
        <c:gapWidth val="50"/>
        <c:axId val="2146004648"/>
        <c:axId val="2146008296"/>
      </c:barChart>
      <c:catAx>
        <c:axId val="214600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008296"/>
        <c:crosses val="autoZero"/>
        <c:auto val="1"/>
        <c:lblAlgn val="ctr"/>
        <c:lblOffset val="100"/>
        <c:noMultiLvlLbl val="0"/>
      </c:catAx>
      <c:valAx>
        <c:axId val="2146008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004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'DEA temporal series'!$B$1</c:f>
              <c:strCache>
                <c:ptCount val="1"/>
                <c:pt idx="0">
                  <c:v>2004</c:v>
                </c:pt>
              </c:strCache>
            </c:strRef>
          </c:tx>
          <c:spPr>
            <a:solidFill>
              <a:schemeClr val="accent1">
                <a:shade val="42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series'!$B$2:$B$8</c:f>
              <c:numCache>
                <c:formatCode>0.000</c:formatCode>
                <c:ptCount val="7"/>
                <c:pt idx="0">
                  <c:v>0.55800000000000005</c:v>
                </c:pt>
                <c:pt idx="1">
                  <c:v>0.41399999999999998</c:v>
                </c:pt>
                <c:pt idx="2">
                  <c:v>0.42199999999999999</c:v>
                </c:pt>
                <c:pt idx="3">
                  <c:v>0.42399999999999999</c:v>
                </c:pt>
                <c:pt idx="4">
                  <c:v>0.29899999999999999</c:v>
                </c:pt>
                <c:pt idx="5">
                  <c:v>0.314000000000001</c:v>
                </c:pt>
                <c:pt idx="6">
                  <c:v>0.85000000000000098</c:v>
                </c:pt>
              </c:numCache>
            </c:numRef>
          </c:val>
          <c:extLst>
            <c:ext xmlns:c16="http://schemas.microsoft.com/office/drawing/2014/chart" uri="{C3380CC4-5D6E-409C-BE32-E72D297353CC}">
              <c16:uniqueId val="{00000000-80FB-4F6A-B2A2-5C8CEA0485B1}"/>
            </c:ext>
          </c:extLst>
        </c:ser>
        <c:ser>
          <c:idx val="1"/>
          <c:order val="1"/>
          <c:tx>
            <c:strRef>
              <c:f>'DEA temporal series'!$C$1</c:f>
              <c:strCache>
                <c:ptCount val="1"/>
                <c:pt idx="0">
                  <c:v>2005</c:v>
                </c:pt>
              </c:strCache>
            </c:strRef>
          </c:tx>
          <c:spPr>
            <a:solidFill>
              <a:schemeClr val="accent1">
                <a:shade val="55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series'!$C$2:$C$8</c:f>
              <c:numCache>
                <c:formatCode>0.000</c:formatCode>
                <c:ptCount val="7"/>
                <c:pt idx="0">
                  <c:v>0.59399999999999997</c:v>
                </c:pt>
                <c:pt idx="1">
                  <c:v>0.32500000000000101</c:v>
                </c:pt>
                <c:pt idx="2">
                  <c:v>0.45400000000000001</c:v>
                </c:pt>
                <c:pt idx="3">
                  <c:v>0.375000000000001</c:v>
                </c:pt>
                <c:pt idx="4">
                  <c:v>0.380000000000001</c:v>
                </c:pt>
                <c:pt idx="5">
                  <c:v>0.45300000000000001</c:v>
                </c:pt>
                <c:pt idx="6">
                  <c:v>0.65000000000000202</c:v>
                </c:pt>
              </c:numCache>
            </c:numRef>
          </c:val>
          <c:extLst>
            <c:ext xmlns:c16="http://schemas.microsoft.com/office/drawing/2014/chart" uri="{C3380CC4-5D6E-409C-BE32-E72D297353CC}">
              <c16:uniqueId val="{00000001-80FB-4F6A-B2A2-5C8CEA0485B1}"/>
            </c:ext>
          </c:extLst>
        </c:ser>
        <c:ser>
          <c:idx val="2"/>
          <c:order val="2"/>
          <c:tx>
            <c:strRef>
              <c:f>'DEA temporal series'!$D$1</c:f>
              <c:strCache>
                <c:ptCount val="1"/>
                <c:pt idx="0">
                  <c:v>2006</c:v>
                </c:pt>
              </c:strCache>
            </c:strRef>
          </c:tx>
          <c:spPr>
            <a:solidFill>
              <a:schemeClr val="accent1">
                <a:shade val="68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series'!$D$2:$D$8</c:f>
              <c:numCache>
                <c:formatCode>0.000</c:formatCode>
                <c:ptCount val="7"/>
                <c:pt idx="0">
                  <c:v>0.621000000000001</c:v>
                </c:pt>
                <c:pt idx="1">
                  <c:v>0.39400000000000102</c:v>
                </c:pt>
                <c:pt idx="2">
                  <c:v>0.47499999999999998</c:v>
                </c:pt>
                <c:pt idx="3">
                  <c:v>0.432</c:v>
                </c:pt>
                <c:pt idx="4">
                  <c:v>0.375000000000001</c:v>
                </c:pt>
                <c:pt idx="5">
                  <c:v>0.45100000000000001</c:v>
                </c:pt>
                <c:pt idx="6">
                  <c:v>0.61000000000000099</c:v>
                </c:pt>
              </c:numCache>
            </c:numRef>
          </c:val>
          <c:extLst>
            <c:ext xmlns:c16="http://schemas.microsoft.com/office/drawing/2014/chart" uri="{C3380CC4-5D6E-409C-BE32-E72D297353CC}">
              <c16:uniqueId val="{00000002-80FB-4F6A-B2A2-5C8CEA0485B1}"/>
            </c:ext>
          </c:extLst>
        </c:ser>
        <c:ser>
          <c:idx val="3"/>
          <c:order val="3"/>
          <c:tx>
            <c:strRef>
              <c:f>'DEA temporal series'!$E$1</c:f>
              <c:strCache>
                <c:ptCount val="1"/>
                <c:pt idx="0">
                  <c:v>2007</c:v>
                </c:pt>
              </c:strCache>
            </c:strRef>
          </c:tx>
          <c:spPr>
            <a:solidFill>
              <a:schemeClr val="accent1">
                <a:shade val="80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series'!$E$2:$E$8</c:f>
              <c:numCache>
                <c:formatCode>0.000</c:formatCode>
                <c:ptCount val="7"/>
                <c:pt idx="0">
                  <c:v>0.68</c:v>
                </c:pt>
                <c:pt idx="1">
                  <c:v>0.432</c:v>
                </c:pt>
                <c:pt idx="2">
                  <c:v>0.51700000000000002</c:v>
                </c:pt>
                <c:pt idx="3">
                  <c:v>0.44500000000000001</c:v>
                </c:pt>
                <c:pt idx="4">
                  <c:v>0.435000000000001</c:v>
                </c:pt>
                <c:pt idx="5">
                  <c:v>0.495</c:v>
                </c:pt>
                <c:pt idx="6">
                  <c:v>0.63500000000000101</c:v>
                </c:pt>
              </c:numCache>
            </c:numRef>
          </c:val>
          <c:extLst>
            <c:ext xmlns:c16="http://schemas.microsoft.com/office/drawing/2014/chart" uri="{C3380CC4-5D6E-409C-BE32-E72D297353CC}">
              <c16:uniqueId val="{00000003-80FB-4F6A-B2A2-5C8CEA0485B1}"/>
            </c:ext>
          </c:extLst>
        </c:ser>
        <c:ser>
          <c:idx val="4"/>
          <c:order val="4"/>
          <c:tx>
            <c:strRef>
              <c:f>'DEA temporal series'!$F$1</c:f>
              <c:strCache>
                <c:ptCount val="1"/>
                <c:pt idx="0">
                  <c:v>2008</c:v>
                </c:pt>
              </c:strCache>
            </c:strRef>
          </c:tx>
          <c:spPr>
            <a:solidFill>
              <a:schemeClr val="accent1">
                <a:shade val="93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series'!$F$2:$F$8</c:f>
              <c:numCache>
                <c:formatCode>0.000</c:formatCode>
                <c:ptCount val="7"/>
                <c:pt idx="0">
                  <c:v>0.77000000000000102</c:v>
                </c:pt>
                <c:pt idx="1">
                  <c:v>0.45600000000000002</c:v>
                </c:pt>
                <c:pt idx="2">
                  <c:v>0.55300000000000005</c:v>
                </c:pt>
                <c:pt idx="3">
                  <c:v>0.53700000000000003</c:v>
                </c:pt>
                <c:pt idx="4">
                  <c:v>0.47699999999999998</c:v>
                </c:pt>
                <c:pt idx="5">
                  <c:v>0.503</c:v>
                </c:pt>
                <c:pt idx="6">
                  <c:v>0.85900000000000098</c:v>
                </c:pt>
              </c:numCache>
            </c:numRef>
          </c:val>
          <c:extLst>
            <c:ext xmlns:c16="http://schemas.microsoft.com/office/drawing/2014/chart" uri="{C3380CC4-5D6E-409C-BE32-E72D297353CC}">
              <c16:uniqueId val="{00000004-80FB-4F6A-B2A2-5C8CEA0485B1}"/>
            </c:ext>
          </c:extLst>
        </c:ser>
        <c:ser>
          <c:idx val="5"/>
          <c:order val="5"/>
          <c:tx>
            <c:strRef>
              <c:f>'DEA temporal series'!$G$1</c:f>
              <c:strCache>
                <c:ptCount val="1"/>
                <c:pt idx="0">
                  <c:v>2009</c:v>
                </c:pt>
              </c:strCache>
            </c:strRef>
          </c:tx>
          <c:spPr>
            <a:solidFill>
              <a:schemeClr val="accent1">
                <a:tint val="94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series'!$G$2:$G$8</c:f>
              <c:numCache>
                <c:formatCode>0.000</c:formatCode>
                <c:ptCount val="7"/>
                <c:pt idx="0">
                  <c:v>0.82000000000000095</c:v>
                </c:pt>
                <c:pt idx="1">
                  <c:v>0.47699999999999998</c:v>
                </c:pt>
                <c:pt idx="2">
                  <c:v>0.57299999999999995</c:v>
                </c:pt>
                <c:pt idx="3">
                  <c:v>0.55600000000000005</c:v>
                </c:pt>
                <c:pt idx="4">
                  <c:v>0.53700000000000003</c:v>
                </c:pt>
                <c:pt idx="5">
                  <c:v>0.52600000000000002</c:v>
                </c:pt>
                <c:pt idx="6">
                  <c:v>0.8</c:v>
                </c:pt>
              </c:numCache>
            </c:numRef>
          </c:val>
          <c:extLst>
            <c:ext xmlns:c16="http://schemas.microsoft.com/office/drawing/2014/chart" uri="{C3380CC4-5D6E-409C-BE32-E72D297353CC}">
              <c16:uniqueId val="{00000005-80FB-4F6A-B2A2-5C8CEA0485B1}"/>
            </c:ext>
          </c:extLst>
        </c:ser>
        <c:ser>
          <c:idx val="6"/>
          <c:order val="6"/>
          <c:tx>
            <c:strRef>
              <c:f>'DEA temporal series'!$H$1</c:f>
              <c:strCache>
                <c:ptCount val="1"/>
                <c:pt idx="0">
                  <c:v>2010</c:v>
                </c:pt>
              </c:strCache>
            </c:strRef>
          </c:tx>
          <c:spPr>
            <a:solidFill>
              <a:schemeClr val="accent1">
                <a:tint val="81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series'!$H$2:$H$8</c:f>
              <c:numCache>
                <c:formatCode>0.000</c:formatCode>
                <c:ptCount val="7"/>
                <c:pt idx="0">
                  <c:v>0.70000000000000095</c:v>
                </c:pt>
                <c:pt idx="1">
                  <c:v>0.58899999999999997</c:v>
                </c:pt>
                <c:pt idx="2">
                  <c:v>0.58799999999999997</c:v>
                </c:pt>
                <c:pt idx="3">
                  <c:v>0.59799999999999998</c:v>
                </c:pt>
                <c:pt idx="4">
                  <c:v>0.55300000000000005</c:v>
                </c:pt>
                <c:pt idx="5">
                  <c:v>0.53200000000000003</c:v>
                </c:pt>
                <c:pt idx="6">
                  <c:v>0.751000000000001</c:v>
                </c:pt>
              </c:numCache>
            </c:numRef>
          </c:val>
          <c:extLst>
            <c:ext xmlns:c16="http://schemas.microsoft.com/office/drawing/2014/chart" uri="{C3380CC4-5D6E-409C-BE32-E72D297353CC}">
              <c16:uniqueId val="{00000006-80FB-4F6A-B2A2-5C8CEA0485B1}"/>
            </c:ext>
          </c:extLst>
        </c:ser>
        <c:ser>
          <c:idx val="7"/>
          <c:order val="7"/>
          <c:tx>
            <c:strRef>
              <c:f>'DEA temporal series'!$I$1</c:f>
              <c:strCache>
                <c:ptCount val="1"/>
                <c:pt idx="0">
                  <c:v>2011</c:v>
                </c:pt>
              </c:strCache>
            </c:strRef>
          </c:tx>
          <c:spPr>
            <a:solidFill>
              <a:schemeClr val="accent1">
                <a:tint val="69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series'!$I$2:$I$8</c:f>
              <c:numCache>
                <c:formatCode>0.000</c:formatCode>
                <c:ptCount val="7"/>
                <c:pt idx="0">
                  <c:v>0.72000000000000097</c:v>
                </c:pt>
                <c:pt idx="1">
                  <c:v>0.51300000000000001</c:v>
                </c:pt>
                <c:pt idx="2">
                  <c:v>0.65900000000000203</c:v>
                </c:pt>
                <c:pt idx="3">
                  <c:v>0.61300000000000099</c:v>
                </c:pt>
                <c:pt idx="4">
                  <c:v>0.59</c:v>
                </c:pt>
                <c:pt idx="5">
                  <c:v>0.64000000000000201</c:v>
                </c:pt>
                <c:pt idx="6">
                  <c:v>0.60000000000000098</c:v>
                </c:pt>
              </c:numCache>
            </c:numRef>
          </c:val>
          <c:extLst>
            <c:ext xmlns:c16="http://schemas.microsoft.com/office/drawing/2014/chart" uri="{C3380CC4-5D6E-409C-BE32-E72D297353CC}">
              <c16:uniqueId val="{00000007-80FB-4F6A-B2A2-5C8CEA0485B1}"/>
            </c:ext>
          </c:extLst>
        </c:ser>
        <c:ser>
          <c:idx val="8"/>
          <c:order val="8"/>
          <c:tx>
            <c:strRef>
              <c:f>'DEA temporal series'!$J$1</c:f>
              <c:strCache>
                <c:ptCount val="1"/>
                <c:pt idx="0">
                  <c:v>2012</c:v>
                </c:pt>
              </c:strCache>
            </c:strRef>
          </c:tx>
          <c:spPr>
            <a:solidFill>
              <a:schemeClr val="accent1">
                <a:tint val="56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series'!$J$2:$J$8</c:f>
              <c:numCache>
                <c:formatCode>0.000</c:formatCode>
                <c:ptCount val="7"/>
                <c:pt idx="0">
                  <c:v>0.750000000000001</c:v>
                </c:pt>
                <c:pt idx="1">
                  <c:v>0.53600000000000003</c:v>
                </c:pt>
                <c:pt idx="2">
                  <c:v>0.68200000000000005</c:v>
                </c:pt>
                <c:pt idx="3">
                  <c:v>0.60000000000000098</c:v>
                </c:pt>
                <c:pt idx="4">
                  <c:v>0.58199999999999996</c:v>
                </c:pt>
                <c:pt idx="5">
                  <c:v>0.67000000000000204</c:v>
                </c:pt>
                <c:pt idx="6">
                  <c:v>0.89</c:v>
                </c:pt>
              </c:numCache>
            </c:numRef>
          </c:val>
          <c:extLst>
            <c:ext xmlns:c16="http://schemas.microsoft.com/office/drawing/2014/chart" uri="{C3380CC4-5D6E-409C-BE32-E72D297353CC}">
              <c16:uniqueId val="{00000008-80FB-4F6A-B2A2-5C8CEA0485B1}"/>
            </c:ext>
          </c:extLst>
        </c:ser>
        <c:ser>
          <c:idx val="9"/>
          <c:order val="9"/>
          <c:tx>
            <c:strRef>
              <c:f>'DEA temporal series'!$K$1</c:f>
              <c:strCache>
                <c:ptCount val="1"/>
                <c:pt idx="0">
                  <c:v>2013</c:v>
                </c:pt>
              </c:strCache>
            </c:strRef>
          </c:tx>
          <c:spPr>
            <a:solidFill>
              <a:schemeClr val="accent1">
                <a:tint val="43000"/>
              </a:schemeClr>
            </a:solidFill>
            <a:ln>
              <a:noFill/>
            </a:ln>
            <a:effectLst/>
          </c:spPr>
          <c:invertIfNegative val="0"/>
          <c:cat>
            <c:strRef>
              <c:f>'DEA temporal series'!$A$2:$A$8</c:f>
              <c:strCache>
                <c:ptCount val="7"/>
                <c:pt idx="0">
                  <c:v>Dakar</c:v>
                </c:pt>
                <c:pt idx="1">
                  <c:v>Banjul</c:v>
                </c:pt>
                <c:pt idx="2">
                  <c:v>Conakry</c:v>
                </c:pt>
                <c:pt idx="3">
                  <c:v>Freetown</c:v>
                </c:pt>
                <c:pt idx="4">
                  <c:v>Monrovia</c:v>
                </c:pt>
                <c:pt idx="5">
                  <c:v>San Pedro</c:v>
                </c:pt>
                <c:pt idx="6">
                  <c:v>Abidjan</c:v>
                </c:pt>
              </c:strCache>
            </c:strRef>
          </c:cat>
          <c:val>
            <c:numRef>
              <c:f>'DEA temporal series'!$K$2:$K$8</c:f>
              <c:numCache>
                <c:formatCode>0.000</c:formatCode>
                <c:ptCount val="7"/>
                <c:pt idx="0">
                  <c:v>0.8</c:v>
                </c:pt>
                <c:pt idx="1">
                  <c:v>0.55000000000000004</c:v>
                </c:pt>
                <c:pt idx="2">
                  <c:v>0.66900000000000204</c:v>
                </c:pt>
                <c:pt idx="3">
                  <c:v>0.61500000000000099</c:v>
                </c:pt>
                <c:pt idx="4">
                  <c:v>0.60100000000000098</c:v>
                </c:pt>
                <c:pt idx="5">
                  <c:v>0.68700000000000105</c:v>
                </c:pt>
                <c:pt idx="6">
                  <c:v>0.91200000000000003</c:v>
                </c:pt>
              </c:numCache>
            </c:numRef>
          </c:val>
          <c:extLst>
            <c:ext xmlns:c16="http://schemas.microsoft.com/office/drawing/2014/chart" uri="{C3380CC4-5D6E-409C-BE32-E72D297353CC}">
              <c16:uniqueId val="{00000009-80FB-4F6A-B2A2-5C8CEA0485B1}"/>
            </c:ext>
          </c:extLst>
        </c:ser>
        <c:dLbls>
          <c:showLegendKey val="0"/>
          <c:showVal val="0"/>
          <c:showCatName val="0"/>
          <c:showSerName val="0"/>
          <c:showPercent val="0"/>
          <c:showBubbleSize val="0"/>
        </c:dLbls>
        <c:gapWidth val="219"/>
        <c:overlap val="-27"/>
        <c:axId val="2141238040"/>
        <c:axId val="2141234600"/>
      </c:barChart>
      <c:catAx>
        <c:axId val="214123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a:pPr>
            <a:endParaRPr lang="en-US"/>
          </a:p>
        </c:txPr>
        <c:crossAx val="2141234600"/>
        <c:crosses val="autoZero"/>
        <c:auto val="1"/>
        <c:lblAlgn val="ctr"/>
        <c:lblOffset val="100"/>
        <c:noMultiLvlLbl val="0"/>
      </c:catAx>
      <c:valAx>
        <c:axId val="214123460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vert="horz"/>
          <a:lstStyle/>
          <a:p>
            <a:pPr>
              <a:defRPr/>
            </a:pPr>
            <a:endParaRPr lang="en-US"/>
          </a:p>
        </c:txPr>
        <c:crossAx val="2141238040"/>
        <c:crosses val="autoZero"/>
        <c:crossBetween val="between"/>
      </c:valAx>
      <c:spPr>
        <a:noFill/>
        <a:ln>
          <a:noFill/>
        </a:ln>
        <a:effectLst/>
      </c:spPr>
    </c:plotArea>
    <c:legend>
      <c:legendPos val="r"/>
      <c:overlay val="0"/>
      <c:spPr>
        <a:noFill/>
        <a:ln>
          <a:noFill/>
        </a:ln>
        <a:effectLst/>
      </c:spPr>
      <c:txPr>
        <a:bodyPr rot="0" vert="horz"/>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'DEA temporal series'!$B$1</c:f>
              <c:strCache>
                <c:ptCount val="1"/>
                <c:pt idx="0">
                  <c:v>2004</c:v>
                </c:pt>
              </c:strCache>
            </c:strRef>
          </c:tx>
          <c:spPr>
            <a:solidFill>
              <a:schemeClr val="accent1">
                <a:shade val="42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series'!$B$9:$B$14</c:f>
              <c:numCache>
                <c:formatCode>0.000</c:formatCode>
                <c:ptCount val="6"/>
                <c:pt idx="0">
                  <c:v>0.57600000000000096</c:v>
                </c:pt>
                <c:pt idx="1">
                  <c:v>0.314000000000001</c:v>
                </c:pt>
                <c:pt idx="2">
                  <c:v>0.40500000000000003</c:v>
                </c:pt>
                <c:pt idx="3">
                  <c:v>0.47199999999999998</c:v>
                </c:pt>
                <c:pt idx="4">
                  <c:v>0.45300000000000001</c:v>
                </c:pt>
                <c:pt idx="5">
                  <c:v>0.45300000000000001</c:v>
                </c:pt>
              </c:numCache>
            </c:numRef>
          </c:val>
          <c:extLst>
            <c:ext xmlns:c16="http://schemas.microsoft.com/office/drawing/2014/chart" uri="{C3380CC4-5D6E-409C-BE32-E72D297353CC}">
              <c16:uniqueId val="{00000000-4DE4-49B6-A96A-FC25172EA2AE}"/>
            </c:ext>
          </c:extLst>
        </c:ser>
        <c:ser>
          <c:idx val="1"/>
          <c:order val="1"/>
          <c:tx>
            <c:strRef>
              <c:f>'DEA temporal series'!$C$1</c:f>
              <c:strCache>
                <c:ptCount val="1"/>
                <c:pt idx="0">
                  <c:v>2005</c:v>
                </c:pt>
              </c:strCache>
            </c:strRef>
          </c:tx>
          <c:spPr>
            <a:solidFill>
              <a:schemeClr val="accent1">
                <a:shade val="55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series'!$C$9:$C$14</c:f>
              <c:numCache>
                <c:formatCode>0.000</c:formatCode>
                <c:ptCount val="6"/>
                <c:pt idx="0">
                  <c:v>0.61200000000000099</c:v>
                </c:pt>
                <c:pt idx="1">
                  <c:v>0.43</c:v>
                </c:pt>
                <c:pt idx="2">
                  <c:v>0.42599999999999999</c:v>
                </c:pt>
                <c:pt idx="3">
                  <c:v>0.51300000000000001</c:v>
                </c:pt>
                <c:pt idx="4">
                  <c:v>0.48399999999999999</c:v>
                </c:pt>
                <c:pt idx="5">
                  <c:v>0.48399999999999999</c:v>
                </c:pt>
              </c:numCache>
            </c:numRef>
          </c:val>
          <c:extLst>
            <c:ext xmlns:c16="http://schemas.microsoft.com/office/drawing/2014/chart" uri="{C3380CC4-5D6E-409C-BE32-E72D297353CC}">
              <c16:uniqueId val="{00000001-4DE4-49B6-A96A-FC25172EA2AE}"/>
            </c:ext>
          </c:extLst>
        </c:ser>
        <c:ser>
          <c:idx val="2"/>
          <c:order val="2"/>
          <c:tx>
            <c:strRef>
              <c:f>'DEA temporal series'!$D$1</c:f>
              <c:strCache>
                <c:ptCount val="1"/>
                <c:pt idx="0">
                  <c:v>2006</c:v>
                </c:pt>
              </c:strCache>
            </c:strRef>
          </c:tx>
          <c:spPr>
            <a:solidFill>
              <a:schemeClr val="accent1">
                <a:shade val="68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series'!$D$9:$D$14</c:f>
              <c:numCache>
                <c:formatCode>0.000</c:formatCode>
                <c:ptCount val="6"/>
                <c:pt idx="0">
                  <c:v>0.630000000000001</c:v>
                </c:pt>
                <c:pt idx="1">
                  <c:v>0.45100000000000001</c:v>
                </c:pt>
                <c:pt idx="2">
                  <c:v>0.53200000000000003</c:v>
                </c:pt>
                <c:pt idx="3">
                  <c:v>0.56599999999999995</c:v>
                </c:pt>
                <c:pt idx="4">
                  <c:v>0.45100000000000001</c:v>
                </c:pt>
                <c:pt idx="5">
                  <c:v>0.51800000000000002</c:v>
                </c:pt>
              </c:numCache>
            </c:numRef>
          </c:val>
          <c:extLst>
            <c:ext xmlns:c16="http://schemas.microsoft.com/office/drawing/2014/chart" uri="{C3380CC4-5D6E-409C-BE32-E72D297353CC}">
              <c16:uniqueId val="{00000002-4DE4-49B6-A96A-FC25172EA2AE}"/>
            </c:ext>
          </c:extLst>
        </c:ser>
        <c:ser>
          <c:idx val="3"/>
          <c:order val="3"/>
          <c:tx>
            <c:strRef>
              <c:f>'DEA temporal series'!$E$1</c:f>
              <c:strCache>
                <c:ptCount val="1"/>
                <c:pt idx="0">
                  <c:v>2007</c:v>
                </c:pt>
              </c:strCache>
            </c:strRef>
          </c:tx>
          <c:spPr>
            <a:solidFill>
              <a:schemeClr val="accent1">
                <a:shade val="80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series'!$E$9:$E$14</c:f>
              <c:numCache>
                <c:formatCode>0.000</c:formatCode>
                <c:ptCount val="6"/>
                <c:pt idx="0">
                  <c:v>0.65500000000000203</c:v>
                </c:pt>
                <c:pt idx="1">
                  <c:v>0.495</c:v>
                </c:pt>
                <c:pt idx="2">
                  <c:v>0.53700000000000003</c:v>
                </c:pt>
                <c:pt idx="3">
                  <c:v>0.61300000000000099</c:v>
                </c:pt>
                <c:pt idx="4">
                  <c:v>0.56499999999999995</c:v>
                </c:pt>
                <c:pt idx="5">
                  <c:v>0.53600000000000003</c:v>
                </c:pt>
              </c:numCache>
            </c:numRef>
          </c:val>
          <c:extLst>
            <c:ext xmlns:c16="http://schemas.microsoft.com/office/drawing/2014/chart" uri="{C3380CC4-5D6E-409C-BE32-E72D297353CC}">
              <c16:uniqueId val="{00000003-4DE4-49B6-A96A-FC25172EA2AE}"/>
            </c:ext>
          </c:extLst>
        </c:ser>
        <c:ser>
          <c:idx val="4"/>
          <c:order val="4"/>
          <c:tx>
            <c:strRef>
              <c:f>'DEA temporal series'!$F$1</c:f>
              <c:strCache>
                <c:ptCount val="1"/>
                <c:pt idx="0">
                  <c:v>2008</c:v>
                </c:pt>
              </c:strCache>
            </c:strRef>
          </c:tx>
          <c:spPr>
            <a:solidFill>
              <a:schemeClr val="accent1">
                <a:shade val="93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series'!$F$9:$F$14</c:f>
              <c:numCache>
                <c:formatCode>0.000</c:formatCode>
                <c:ptCount val="6"/>
                <c:pt idx="0">
                  <c:v>0.67900000000000205</c:v>
                </c:pt>
                <c:pt idx="1">
                  <c:v>0.503</c:v>
                </c:pt>
                <c:pt idx="2">
                  <c:v>0.59599999999999997</c:v>
                </c:pt>
                <c:pt idx="3">
                  <c:v>0.67200000000000204</c:v>
                </c:pt>
                <c:pt idx="4">
                  <c:v>0.53500000000000003</c:v>
                </c:pt>
                <c:pt idx="5">
                  <c:v>0.60000000000000098</c:v>
                </c:pt>
              </c:numCache>
            </c:numRef>
          </c:val>
          <c:extLst>
            <c:ext xmlns:c16="http://schemas.microsoft.com/office/drawing/2014/chart" uri="{C3380CC4-5D6E-409C-BE32-E72D297353CC}">
              <c16:uniqueId val="{00000004-4DE4-49B6-A96A-FC25172EA2AE}"/>
            </c:ext>
          </c:extLst>
        </c:ser>
        <c:ser>
          <c:idx val="5"/>
          <c:order val="5"/>
          <c:tx>
            <c:strRef>
              <c:f>'DEA temporal series'!$G$1</c:f>
              <c:strCache>
                <c:ptCount val="1"/>
                <c:pt idx="0">
                  <c:v>2009</c:v>
                </c:pt>
              </c:strCache>
            </c:strRef>
          </c:tx>
          <c:spPr>
            <a:solidFill>
              <a:schemeClr val="accent1">
                <a:tint val="94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series'!$G$9:$G$14</c:f>
              <c:numCache>
                <c:formatCode>0.000</c:formatCode>
                <c:ptCount val="6"/>
                <c:pt idx="0">
                  <c:v>0.71050000000000002</c:v>
                </c:pt>
                <c:pt idx="1">
                  <c:v>0.52600000000000002</c:v>
                </c:pt>
                <c:pt idx="2">
                  <c:v>0.629000000000001</c:v>
                </c:pt>
                <c:pt idx="3">
                  <c:v>0.73200000000000098</c:v>
                </c:pt>
                <c:pt idx="4">
                  <c:v>0.57600000000000096</c:v>
                </c:pt>
                <c:pt idx="5">
                  <c:v>0.64400000000000202</c:v>
                </c:pt>
              </c:numCache>
            </c:numRef>
          </c:val>
          <c:extLst>
            <c:ext xmlns:c16="http://schemas.microsoft.com/office/drawing/2014/chart" uri="{C3380CC4-5D6E-409C-BE32-E72D297353CC}">
              <c16:uniqueId val="{00000005-4DE4-49B6-A96A-FC25172EA2AE}"/>
            </c:ext>
          </c:extLst>
        </c:ser>
        <c:ser>
          <c:idx val="6"/>
          <c:order val="6"/>
          <c:tx>
            <c:strRef>
              <c:f>'DEA temporal series'!$H$1</c:f>
              <c:strCache>
                <c:ptCount val="1"/>
                <c:pt idx="0">
                  <c:v>2010</c:v>
                </c:pt>
              </c:strCache>
            </c:strRef>
          </c:tx>
          <c:spPr>
            <a:solidFill>
              <a:schemeClr val="accent1">
                <a:tint val="81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series'!$H$9:$H$14</c:f>
              <c:numCache>
                <c:formatCode>0.000</c:formatCode>
                <c:ptCount val="6"/>
                <c:pt idx="0">
                  <c:v>0.78</c:v>
                </c:pt>
                <c:pt idx="1">
                  <c:v>0.53200000000000003</c:v>
                </c:pt>
                <c:pt idx="2">
                  <c:v>0.631000000000001</c:v>
                </c:pt>
                <c:pt idx="3">
                  <c:v>0.74100000000000099</c:v>
                </c:pt>
                <c:pt idx="4">
                  <c:v>0.59699999999999998</c:v>
                </c:pt>
                <c:pt idx="5">
                  <c:v>0.68500000000000005</c:v>
                </c:pt>
              </c:numCache>
            </c:numRef>
          </c:val>
          <c:extLst>
            <c:ext xmlns:c16="http://schemas.microsoft.com/office/drawing/2014/chart" uri="{C3380CC4-5D6E-409C-BE32-E72D297353CC}">
              <c16:uniqueId val="{00000006-4DE4-49B6-A96A-FC25172EA2AE}"/>
            </c:ext>
          </c:extLst>
        </c:ser>
        <c:ser>
          <c:idx val="7"/>
          <c:order val="7"/>
          <c:tx>
            <c:strRef>
              <c:f>'DEA temporal series'!$I$1</c:f>
              <c:strCache>
                <c:ptCount val="1"/>
                <c:pt idx="0">
                  <c:v>2011</c:v>
                </c:pt>
              </c:strCache>
            </c:strRef>
          </c:tx>
          <c:spPr>
            <a:solidFill>
              <a:schemeClr val="accent1">
                <a:tint val="69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series'!$I$9:$I$14</c:f>
              <c:numCache>
                <c:formatCode>0.000</c:formatCode>
                <c:ptCount val="6"/>
                <c:pt idx="0">
                  <c:v>0.88200000000000001</c:v>
                </c:pt>
                <c:pt idx="1">
                  <c:v>0.64000000000000201</c:v>
                </c:pt>
                <c:pt idx="2">
                  <c:v>0.629000000000001</c:v>
                </c:pt>
                <c:pt idx="3">
                  <c:v>0.78700000000000003</c:v>
                </c:pt>
                <c:pt idx="4">
                  <c:v>0.61400000000000099</c:v>
                </c:pt>
                <c:pt idx="5">
                  <c:v>0.71700000000000097</c:v>
                </c:pt>
              </c:numCache>
            </c:numRef>
          </c:val>
          <c:extLst>
            <c:ext xmlns:c16="http://schemas.microsoft.com/office/drawing/2014/chart" uri="{C3380CC4-5D6E-409C-BE32-E72D297353CC}">
              <c16:uniqueId val="{00000007-4DE4-49B6-A96A-FC25172EA2AE}"/>
            </c:ext>
          </c:extLst>
        </c:ser>
        <c:ser>
          <c:idx val="8"/>
          <c:order val="8"/>
          <c:tx>
            <c:strRef>
              <c:f>'DEA temporal series'!$J$1</c:f>
              <c:strCache>
                <c:ptCount val="1"/>
                <c:pt idx="0">
                  <c:v>2012</c:v>
                </c:pt>
              </c:strCache>
            </c:strRef>
          </c:tx>
          <c:spPr>
            <a:solidFill>
              <a:schemeClr val="accent1">
                <a:tint val="56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series'!$J$9:$J$14</c:f>
              <c:numCache>
                <c:formatCode>0.000</c:formatCode>
                <c:ptCount val="6"/>
                <c:pt idx="0">
                  <c:v>0.86000000000000099</c:v>
                </c:pt>
                <c:pt idx="1">
                  <c:v>0.67000000000000204</c:v>
                </c:pt>
                <c:pt idx="2">
                  <c:v>0.63800000000000101</c:v>
                </c:pt>
                <c:pt idx="3">
                  <c:v>0.80800000000000005</c:v>
                </c:pt>
                <c:pt idx="4">
                  <c:v>0.66500000000000203</c:v>
                </c:pt>
                <c:pt idx="5">
                  <c:v>0.755000000000001</c:v>
                </c:pt>
              </c:numCache>
            </c:numRef>
          </c:val>
          <c:extLst>
            <c:ext xmlns:c16="http://schemas.microsoft.com/office/drawing/2014/chart" uri="{C3380CC4-5D6E-409C-BE32-E72D297353CC}">
              <c16:uniqueId val="{00000008-4DE4-49B6-A96A-FC25172EA2AE}"/>
            </c:ext>
          </c:extLst>
        </c:ser>
        <c:ser>
          <c:idx val="9"/>
          <c:order val="9"/>
          <c:tx>
            <c:strRef>
              <c:f>'DEA temporal series'!$K$1</c:f>
              <c:strCache>
                <c:ptCount val="1"/>
                <c:pt idx="0">
                  <c:v>2013</c:v>
                </c:pt>
              </c:strCache>
            </c:strRef>
          </c:tx>
          <c:spPr>
            <a:solidFill>
              <a:schemeClr val="accent1">
                <a:tint val="43000"/>
              </a:schemeClr>
            </a:solidFill>
            <a:ln>
              <a:noFill/>
            </a:ln>
            <a:effectLst/>
          </c:spPr>
          <c:invertIfNegative val="0"/>
          <c:cat>
            <c:strRef>
              <c:f>'DEA temporal series'!$A$9:$A$14</c:f>
              <c:strCache>
                <c:ptCount val="6"/>
                <c:pt idx="0">
                  <c:v>Tema</c:v>
                </c:pt>
                <c:pt idx="1">
                  <c:v>Lomé</c:v>
                </c:pt>
                <c:pt idx="2">
                  <c:v>Cotonou</c:v>
                </c:pt>
                <c:pt idx="3">
                  <c:v>Lagos-Apapa</c:v>
                </c:pt>
                <c:pt idx="4">
                  <c:v>Lagos-PCHS</c:v>
                </c:pt>
                <c:pt idx="5">
                  <c:v>Lagos-TICT</c:v>
                </c:pt>
              </c:strCache>
            </c:strRef>
          </c:cat>
          <c:val>
            <c:numRef>
              <c:f>'DEA temporal series'!$K$9:$K$14</c:f>
              <c:numCache>
                <c:formatCode>0.000</c:formatCode>
                <c:ptCount val="6"/>
                <c:pt idx="0">
                  <c:v>0.86000000000000099</c:v>
                </c:pt>
                <c:pt idx="1">
                  <c:v>0.68700000000000105</c:v>
                </c:pt>
                <c:pt idx="2">
                  <c:v>0.73100000000000098</c:v>
                </c:pt>
                <c:pt idx="3">
                  <c:v>0.88700000000000001</c:v>
                </c:pt>
                <c:pt idx="4">
                  <c:v>0.71200000000000097</c:v>
                </c:pt>
                <c:pt idx="5">
                  <c:v>0.78500000000000003</c:v>
                </c:pt>
              </c:numCache>
            </c:numRef>
          </c:val>
          <c:extLst>
            <c:ext xmlns:c16="http://schemas.microsoft.com/office/drawing/2014/chart" uri="{C3380CC4-5D6E-409C-BE32-E72D297353CC}">
              <c16:uniqueId val="{00000009-4DE4-49B6-A96A-FC25172EA2AE}"/>
            </c:ext>
          </c:extLst>
        </c:ser>
        <c:dLbls>
          <c:showLegendKey val="0"/>
          <c:showVal val="0"/>
          <c:showCatName val="0"/>
          <c:showSerName val="0"/>
          <c:showPercent val="0"/>
          <c:showBubbleSize val="0"/>
        </c:dLbls>
        <c:gapWidth val="219"/>
        <c:overlap val="-27"/>
        <c:axId val="2144478600"/>
        <c:axId val="2144482024"/>
      </c:barChart>
      <c:catAx>
        <c:axId val="214447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44482024"/>
        <c:crosses val="autoZero"/>
        <c:auto val="1"/>
        <c:lblAlgn val="ctr"/>
        <c:lblOffset val="100"/>
        <c:noMultiLvlLbl val="0"/>
      </c:catAx>
      <c:valAx>
        <c:axId val="2144482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2144478600"/>
        <c:crosses val="autoZero"/>
        <c:crossBetween val="between"/>
      </c:valAx>
      <c:spPr>
        <a:noFill/>
        <a:ln>
          <a:noFill/>
        </a:ln>
        <a:effectLst/>
      </c:spPr>
    </c:plotArea>
    <c:legend>
      <c:legendPos val="r"/>
      <c:overlay val="0"/>
      <c:spPr>
        <a:noFill/>
        <a:ln>
          <a:noFill/>
        </a:ln>
        <a:effectLst/>
      </c:spPr>
      <c:txPr>
        <a:bodyPr rot="0" vert="horz"/>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'[Chart in Microsoft Word]Sheet3'!$A$2</c:f>
              <c:strCache>
                <c:ptCount val="1"/>
                <c:pt idx="0">
                  <c:v>Morocco</c:v>
                </c:pt>
              </c:strCache>
            </c:strRef>
          </c:tx>
          <c:spPr>
            <a:ln w="28575" cap="rnd">
              <a:solidFill>
                <a:schemeClr val="tx1"/>
              </a:solidFill>
              <a:round/>
            </a:ln>
            <a:effectLst/>
          </c:spPr>
          <c:marker>
            <c:symbol val="none"/>
          </c:marker>
          <c:cat>
            <c:strRef>
              <c:f>'[Chart in Microsoft Word]Sheet3'!$B$1:$M$1</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'[Chart in Microsoft Word]Sheet3'!$B$2:$M$2</c:f>
              <c:numCache>
                <c:formatCode>0.00</c:formatCode>
                <c:ptCount val="12"/>
                <c:pt idx="0">
                  <c:v>9.39</c:v>
                </c:pt>
                <c:pt idx="1">
                  <c:v>8.68</c:v>
                </c:pt>
                <c:pt idx="2">
                  <c:v>8.5400000000000009</c:v>
                </c:pt>
                <c:pt idx="3">
                  <c:v>9.02</c:v>
                </c:pt>
                <c:pt idx="4">
                  <c:v>29.79</c:v>
                </c:pt>
                <c:pt idx="5">
                  <c:v>38.4</c:v>
                </c:pt>
                <c:pt idx="6">
                  <c:v>49.36</c:v>
                </c:pt>
                <c:pt idx="7">
                  <c:v>55.13</c:v>
                </c:pt>
                <c:pt idx="8">
                  <c:v>55.09</c:v>
                </c:pt>
                <c:pt idx="9">
                  <c:v>55.53</c:v>
                </c:pt>
                <c:pt idx="10">
                  <c:v>64.28</c:v>
                </c:pt>
                <c:pt idx="11">
                  <c:v>68.275647379251481</c:v>
                </c:pt>
              </c:numCache>
            </c:numRef>
          </c:val>
          <c:smooth val="0"/>
          <c:extLst>
            <c:ext xmlns:c16="http://schemas.microsoft.com/office/drawing/2014/chart" uri="{C3380CC4-5D6E-409C-BE32-E72D297353CC}">
              <c16:uniqueId val="{00000000-4B2D-48B8-8BE1-7C9463CB9F66}"/>
            </c:ext>
          </c:extLst>
        </c:ser>
        <c:ser>
          <c:idx val="1"/>
          <c:order val="1"/>
          <c:tx>
            <c:strRef>
              <c:f>'[Chart in Microsoft Word]Sheet3'!$A$3</c:f>
              <c:strCache>
                <c:ptCount val="1"/>
                <c:pt idx="0">
                  <c:v>South Africa</c:v>
                </c:pt>
              </c:strCache>
            </c:strRef>
          </c:tx>
          <c:spPr>
            <a:ln w="28575" cap="rnd">
              <a:solidFill>
                <a:schemeClr val="tx1"/>
              </a:solidFill>
              <a:prstDash val="sysDash"/>
              <a:round/>
            </a:ln>
            <a:effectLst/>
          </c:spPr>
          <c:marker>
            <c:symbol val="none"/>
          </c:marker>
          <c:cat>
            <c:strRef>
              <c:f>'[Chart in Microsoft Word]Sheet3'!$B$1:$M$1</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'[Chart in Microsoft Word]Sheet3'!$B$3:$M$3</c:f>
              <c:numCache>
                <c:formatCode>0.00</c:formatCode>
                <c:ptCount val="12"/>
                <c:pt idx="0">
                  <c:v>23.13</c:v>
                </c:pt>
                <c:pt idx="1">
                  <c:v>25.83</c:v>
                </c:pt>
                <c:pt idx="2">
                  <c:v>26.21</c:v>
                </c:pt>
                <c:pt idx="3">
                  <c:v>27.52</c:v>
                </c:pt>
                <c:pt idx="4">
                  <c:v>28.49</c:v>
                </c:pt>
                <c:pt idx="5">
                  <c:v>32.07</c:v>
                </c:pt>
                <c:pt idx="6">
                  <c:v>32.49</c:v>
                </c:pt>
                <c:pt idx="7">
                  <c:v>35.67</c:v>
                </c:pt>
                <c:pt idx="8">
                  <c:v>36.83</c:v>
                </c:pt>
                <c:pt idx="9">
                  <c:v>43.02</c:v>
                </c:pt>
                <c:pt idx="10">
                  <c:v>37.909999999999997</c:v>
                </c:pt>
                <c:pt idx="11">
                  <c:v>41.412816128352397</c:v>
                </c:pt>
              </c:numCache>
            </c:numRef>
          </c:val>
          <c:smooth val="0"/>
          <c:extLst>
            <c:ext xmlns:c16="http://schemas.microsoft.com/office/drawing/2014/chart" uri="{C3380CC4-5D6E-409C-BE32-E72D297353CC}">
              <c16:uniqueId val="{00000001-4B2D-48B8-8BE1-7C9463CB9F66}"/>
            </c:ext>
          </c:extLst>
        </c:ser>
        <c:ser>
          <c:idx val="2"/>
          <c:order val="2"/>
          <c:tx>
            <c:strRef>
              <c:f>'[Chart in Microsoft Word]Sheet3'!$A$4</c:f>
              <c:strCache>
                <c:ptCount val="1"/>
                <c:pt idx="0">
                  <c:v>Nigeria</c:v>
                </c:pt>
              </c:strCache>
            </c:strRef>
          </c:tx>
          <c:spPr>
            <a:ln w="19050" cap="rnd">
              <a:solidFill>
                <a:schemeClr val="accent1">
                  <a:shade val="56000"/>
                </a:schemeClr>
              </a:solidFill>
              <a:round/>
            </a:ln>
            <a:effectLst/>
          </c:spPr>
          <c:marker>
            <c:symbol val="none"/>
          </c:marker>
          <c:cat>
            <c:strRef>
              <c:f>'[Chart in Microsoft Word]Sheet3'!$B$1:$M$1</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'[Chart in Microsoft Word]Sheet3'!$B$4:$M$4</c:f>
              <c:numCache>
                <c:formatCode>0.00</c:formatCode>
                <c:ptCount val="12"/>
                <c:pt idx="0">
                  <c:v>12.83</c:v>
                </c:pt>
                <c:pt idx="1">
                  <c:v>12.79</c:v>
                </c:pt>
                <c:pt idx="2">
                  <c:v>13.02</c:v>
                </c:pt>
                <c:pt idx="3">
                  <c:v>13.69</c:v>
                </c:pt>
                <c:pt idx="4">
                  <c:v>18.3</c:v>
                </c:pt>
                <c:pt idx="5">
                  <c:v>19.89</c:v>
                </c:pt>
                <c:pt idx="6">
                  <c:v>18.28</c:v>
                </c:pt>
                <c:pt idx="7">
                  <c:v>19.850000000000001</c:v>
                </c:pt>
                <c:pt idx="8">
                  <c:v>21.81</c:v>
                </c:pt>
                <c:pt idx="9">
                  <c:v>21.35</c:v>
                </c:pt>
                <c:pt idx="10">
                  <c:v>22.91</c:v>
                </c:pt>
                <c:pt idx="11">
                  <c:v>32.682113903473301</c:v>
                </c:pt>
              </c:numCache>
            </c:numRef>
          </c:val>
          <c:smooth val="0"/>
          <c:extLst>
            <c:ext xmlns:c16="http://schemas.microsoft.com/office/drawing/2014/chart" uri="{C3380CC4-5D6E-409C-BE32-E72D297353CC}">
              <c16:uniqueId val="{00000002-4B2D-48B8-8BE1-7C9463CB9F66}"/>
            </c:ext>
          </c:extLst>
        </c:ser>
        <c:ser>
          <c:idx val="3"/>
          <c:order val="3"/>
          <c:tx>
            <c:strRef>
              <c:f>'[Chart in Microsoft Word]Sheet3'!$A$5</c:f>
              <c:strCache>
                <c:ptCount val="1"/>
                <c:pt idx="0">
                  <c:v>Côte d'Ivoire</c:v>
                </c:pt>
              </c:strCache>
            </c:strRef>
          </c:tx>
          <c:spPr>
            <a:ln w="28575" cap="rnd">
              <a:solidFill>
                <a:schemeClr val="accent1">
                  <a:lumMod val="40000"/>
                  <a:lumOff val="60000"/>
                </a:schemeClr>
              </a:solidFill>
              <a:round/>
            </a:ln>
            <a:effectLst/>
          </c:spPr>
          <c:marker>
            <c:symbol val="none"/>
          </c:marker>
          <c:cat>
            <c:strRef>
              <c:f>'[Chart in Microsoft Word]Sheet3'!$B$1:$M$1</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'[Chart in Microsoft Word]Sheet3'!$B$5:$M$5</c:f>
              <c:numCache>
                <c:formatCode>0.00</c:formatCode>
                <c:ptCount val="12"/>
                <c:pt idx="0">
                  <c:v>14.39</c:v>
                </c:pt>
                <c:pt idx="1">
                  <c:v>14.52</c:v>
                </c:pt>
                <c:pt idx="2">
                  <c:v>12.98</c:v>
                </c:pt>
                <c:pt idx="3">
                  <c:v>14.98</c:v>
                </c:pt>
                <c:pt idx="4">
                  <c:v>16.93</c:v>
                </c:pt>
                <c:pt idx="5">
                  <c:v>19.39</c:v>
                </c:pt>
                <c:pt idx="6">
                  <c:v>17.48</c:v>
                </c:pt>
                <c:pt idx="7">
                  <c:v>17.38</c:v>
                </c:pt>
                <c:pt idx="8">
                  <c:v>16.45</c:v>
                </c:pt>
                <c:pt idx="9">
                  <c:v>17.55</c:v>
                </c:pt>
                <c:pt idx="10">
                  <c:v>21.87</c:v>
                </c:pt>
                <c:pt idx="11">
                  <c:v>31.350330873512799</c:v>
                </c:pt>
              </c:numCache>
            </c:numRef>
          </c:val>
          <c:smooth val="0"/>
          <c:extLst>
            <c:ext xmlns:c16="http://schemas.microsoft.com/office/drawing/2014/chart" uri="{C3380CC4-5D6E-409C-BE32-E72D297353CC}">
              <c16:uniqueId val="{00000003-4B2D-48B8-8BE1-7C9463CB9F66}"/>
            </c:ext>
          </c:extLst>
        </c:ser>
        <c:ser>
          <c:idx val="4"/>
          <c:order val="4"/>
          <c:tx>
            <c:strRef>
              <c:f>'[Chart in Microsoft Word]Sheet3'!$A$6</c:f>
              <c:strCache>
                <c:ptCount val="1"/>
                <c:pt idx="0">
                  <c:v>Ghana</c:v>
                </c:pt>
              </c:strCache>
            </c:strRef>
          </c:tx>
          <c:spPr>
            <a:ln w="19050" cap="rnd">
              <a:solidFill>
                <a:schemeClr val="accent1">
                  <a:shade val="73000"/>
                </a:schemeClr>
              </a:solidFill>
              <a:prstDash val="sysDash"/>
              <a:round/>
            </a:ln>
            <a:effectLst/>
          </c:spPr>
          <c:marker>
            <c:symbol val="none"/>
          </c:marker>
          <c:cat>
            <c:strRef>
              <c:f>'[Chart in Microsoft Word]Sheet3'!$B$1:$M$1</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'[Chart in Microsoft Word]Sheet3'!$B$6:$M$6</c:f>
              <c:numCache>
                <c:formatCode>0.00</c:formatCode>
                <c:ptCount val="12"/>
                <c:pt idx="0">
                  <c:v>12.48</c:v>
                </c:pt>
                <c:pt idx="1">
                  <c:v>12.64</c:v>
                </c:pt>
                <c:pt idx="2">
                  <c:v>13.8</c:v>
                </c:pt>
                <c:pt idx="3">
                  <c:v>14.99</c:v>
                </c:pt>
                <c:pt idx="4">
                  <c:v>18.13</c:v>
                </c:pt>
                <c:pt idx="5">
                  <c:v>19.329999999999991</c:v>
                </c:pt>
                <c:pt idx="6">
                  <c:v>17.28</c:v>
                </c:pt>
                <c:pt idx="7">
                  <c:v>18.010000000000009</c:v>
                </c:pt>
                <c:pt idx="8">
                  <c:v>17.89</c:v>
                </c:pt>
                <c:pt idx="9">
                  <c:v>19.350000000000001</c:v>
                </c:pt>
                <c:pt idx="10">
                  <c:v>21.69</c:v>
                </c:pt>
                <c:pt idx="11">
                  <c:v>21.8468362111944</c:v>
                </c:pt>
              </c:numCache>
            </c:numRef>
          </c:val>
          <c:smooth val="0"/>
          <c:extLst>
            <c:ext xmlns:c16="http://schemas.microsoft.com/office/drawing/2014/chart" uri="{C3380CC4-5D6E-409C-BE32-E72D297353CC}">
              <c16:uniqueId val="{00000004-4B2D-48B8-8BE1-7C9463CB9F66}"/>
            </c:ext>
          </c:extLst>
        </c:ser>
        <c:ser>
          <c:idx val="5"/>
          <c:order val="5"/>
          <c:tx>
            <c:strRef>
              <c:f>'[Chart in Microsoft Word]Sheet3'!$A$7</c:f>
              <c:strCache>
                <c:ptCount val="1"/>
                <c:pt idx="0">
                  <c:v>Togo</c:v>
                </c:pt>
              </c:strCache>
            </c:strRef>
          </c:tx>
          <c:spPr>
            <a:ln w="28575" cap="rnd">
              <a:solidFill>
                <a:schemeClr val="accent1">
                  <a:shade val="82000"/>
                </a:schemeClr>
              </a:solidFill>
              <a:round/>
            </a:ln>
            <a:effectLst/>
          </c:spPr>
          <c:marker>
            <c:symbol val="none"/>
          </c:marker>
          <c:cat>
            <c:strRef>
              <c:f>'[Chart in Microsoft Word]Sheet3'!$B$1:$M$1</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'[Chart in Microsoft Word]Sheet3'!$B$7:$M$7</c:f>
              <c:numCache>
                <c:formatCode>0.00</c:formatCode>
                <c:ptCount val="12"/>
                <c:pt idx="0">
                  <c:v>10.19</c:v>
                </c:pt>
                <c:pt idx="1">
                  <c:v>10.62</c:v>
                </c:pt>
                <c:pt idx="2">
                  <c:v>11.09</c:v>
                </c:pt>
                <c:pt idx="3">
                  <c:v>10.63</c:v>
                </c:pt>
                <c:pt idx="4">
                  <c:v>12.56</c:v>
                </c:pt>
                <c:pt idx="5">
                  <c:v>14.42</c:v>
                </c:pt>
                <c:pt idx="6">
                  <c:v>14.24</c:v>
                </c:pt>
                <c:pt idx="7">
                  <c:v>14.08</c:v>
                </c:pt>
                <c:pt idx="8">
                  <c:v>14.07</c:v>
                </c:pt>
                <c:pt idx="9">
                  <c:v>14.76</c:v>
                </c:pt>
                <c:pt idx="10">
                  <c:v>19.09</c:v>
                </c:pt>
                <c:pt idx="11">
                  <c:v>20.4431169477723</c:v>
                </c:pt>
              </c:numCache>
            </c:numRef>
          </c:val>
          <c:smooth val="0"/>
          <c:extLst>
            <c:ext xmlns:c16="http://schemas.microsoft.com/office/drawing/2014/chart" uri="{C3380CC4-5D6E-409C-BE32-E72D297353CC}">
              <c16:uniqueId val="{00000005-4B2D-48B8-8BE1-7C9463CB9F66}"/>
            </c:ext>
          </c:extLst>
        </c:ser>
        <c:dLbls>
          <c:showLegendKey val="0"/>
          <c:showVal val="0"/>
          <c:showCatName val="0"/>
          <c:showSerName val="0"/>
          <c:showPercent val="0"/>
          <c:showBubbleSize val="0"/>
        </c:dLbls>
        <c:smooth val="0"/>
        <c:axId val="2142621768"/>
        <c:axId val="2142625592"/>
        <c:extLst>
          <c:ext xmlns:c15="http://schemas.microsoft.com/office/drawing/2012/chart" uri="{02D57815-91ED-43cb-92C2-25804820EDAC}">
            <c15:filteredLineSeries>
              <c15:ser>
                <c:idx val="6"/>
                <c:order val="6"/>
                <c:tx>
                  <c:strRef>
                    <c:extLst>
                      <c:ext uri="{02D57815-91ED-43cb-92C2-25804820EDAC}">
                        <c15:formulaRef>
                          <c15:sqref>'[Chart in Microsoft Word]Sheet3'!$A$8</c15:sqref>
                        </c15:formulaRef>
                      </c:ext>
                    </c:extLst>
                    <c:strCache>
                      <c:ptCount val="1"/>
                      <c:pt idx="0">
                        <c:v>Benin</c:v>
                      </c:pt>
                    </c:strCache>
                  </c:strRef>
                </c:tx>
                <c:spPr>
                  <a:ln w="28575" cap="rnd">
                    <a:solidFill>
                      <a:schemeClr val="accent1">
                        <a:shade val="91000"/>
                      </a:schemeClr>
                    </a:solidFill>
                    <a:round/>
                  </a:ln>
                  <a:effectLst/>
                </c:spPr>
                <c:marker>
                  <c:symbol val="none"/>
                </c:marker>
                <c:cat>
                  <c:strRef>
                    <c:extLst>
                      <c:ex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c:ext uri="{02D57815-91ED-43cb-92C2-25804820EDAC}">
                        <c15:formulaRef>
                          <c15:sqref>'[Chart in Microsoft Word]Sheet3'!$B$8:$M$8</c15:sqref>
                        </c15:formulaRef>
                      </c:ext>
                    </c:extLst>
                    <c:numCache>
                      <c:formatCode>0.00</c:formatCode>
                      <c:ptCount val="12"/>
                      <c:pt idx="0">
                        <c:v>10.130000000000001</c:v>
                      </c:pt>
                      <c:pt idx="1">
                        <c:v>10.23</c:v>
                      </c:pt>
                      <c:pt idx="2">
                        <c:v>10.99</c:v>
                      </c:pt>
                      <c:pt idx="3">
                        <c:v>11.16</c:v>
                      </c:pt>
                      <c:pt idx="4">
                        <c:v>12.02</c:v>
                      </c:pt>
                      <c:pt idx="5">
                        <c:v>13.52</c:v>
                      </c:pt>
                      <c:pt idx="6">
                        <c:v>11.51</c:v>
                      </c:pt>
                      <c:pt idx="7">
                        <c:v>12.69</c:v>
                      </c:pt>
                      <c:pt idx="8">
                        <c:v>15.04</c:v>
                      </c:pt>
                      <c:pt idx="9">
                        <c:v>14.28</c:v>
                      </c:pt>
                      <c:pt idx="10">
                        <c:v>17.21</c:v>
                      </c:pt>
                      <c:pt idx="11">
                        <c:v>17.665637979953601</c:v>
                      </c:pt>
                    </c:numCache>
                  </c:numRef>
                </c:val>
                <c:smooth val="0"/>
                <c:extLst>
                  <c:ext xmlns:c16="http://schemas.microsoft.com/office/drawing/2014/chart" uri="{C3380CC4-5D6E-409C-BE32-E72D297353CC}">
                    <c16:uniqueId val="{00000006-4B2D-48B8-8BE1-7C9463CB9F66}"/>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'[Chart in Microsoft Word]Sheet3'!$A$9</c15:sqref>
                        </c15:formulaRef>
                      </c:ext>
                    </c:extLst>
                    <c:strCache>
                      <c:ptCount val="1"/>
                      <c:pt idx="0">
                        <c:v>Senegal</c:v>
                      </c:pt>
                    </c:strCache>
                  </c:strRef>
                </c:tx>
                <c:spPr>
                  <a:ln w="28575" cap="rnd">
                    <a:solidFill>
                      <a:schemeClr val="accent1"/>
                    </a:solidFill>
                    <a:round/>
                  </a:ln>
                  <a:effectLst/>
                </c:spPr>
                <c:marker>
                  <c:symbol val="none"/>
                </c:marker>
                <c:cat>
                  <c:strRef>
                    <c:extLst xmlns:c15="http://schemas.microsoft.com/office/drawing/2012/chart">
                      <c:ext xmlns:c15="http://schemas.microsoft.com/office/drawing/2012/char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xmlns:c15="http://schemas.microsoft.com/office/drawing/2012/chart">
                      <c:ext xmlns:c15="http://schemas.microsoft.com/office/drawing/2012/chart" uri="{02D57815-91ED-43cb-92C2-25804820EDAC}">
                        <c15:formulaRef>
                          <c15:sqref>'[Chart in Microsoft Word]Sheet3'!$B$9:$M$9</c15:sqref>
                        </c15:formulaRef>
                      </c:ext>
                    </c:extLst>
                    <c:numCache>
                      <c:formatCode>0.00</c:formatCode>
                      <c:ptCount val="12"/>
                      <c:pt idx="0">
                        <c:v>10.15</c:v>
                      </c:pt>
                      <c:pt idx="1">
                        <c:v>10.09</c:v>
                      </c:pt>
                      <c:pt idx="2">
                        <c:v>11.24</c:v>
                      </c:pt>
                      <c:pt idx="3">
                        <c:v>17.079999999999998</c:v>
                      </c:pt>
                      <c:pt idx="4">
                        <c:v>17.64</c:v>
                      </c:pt>
                      <c:pt idx="5">
                        <c:v>14.96</c:v>
                      </c:pt>
                      <c:pt idx="6">
                        <c:v>12.98</c:v>
                      </c:pt>
                      <c:pt idx="7">
                        <c:v>12.27</c:v>
                      </c:pt>
                      <c:pt idx="8">
                        <c:v>13.59</c:v>
                      </c:pt>
                      <c:pt idx="9">
                        <c:v>11.08</c:v>
                      </c:pt>
                      <c:pt idx="10">
                        <c:v>12.9</c:v>
                      </c:pt>
                      <c:pt idx="11">
                        <c:v>12.1906387996387</c:v>
                      </c:pt>
                    </c:numCache>
                  </c:numRef>
                </c:val>
                <c:smooth val="0"/>
                <c:extLst xmlns:c15="http://schemas.microsoft.com/office/drawing/2012/chart">
                  <c:ext xmlns:c16="http://schemas.microsoft.com/office/drawing/2014/chart" uri="{C3380CC4-5D6E-409C-BE32-E72D297353CC}">
                    <c16:uniqueId val="{00000007-4B2D-48B8-8BE1-7C9463CB9F66}"/>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'[Chart in Microsoft Word]Sheet3'!$A$10</c15:sqref>
                        </c15:formulaRef>
                      </c:ext>
                    </c:extLst>
                    <c:strCache>
                      <c:ptCount val="1"/>
                      <c:pt idx="0">
                        <c:v>Guinea</c:v>
                      </c:pt>
                    </c:strCache>
                  </c:strRef>
                </c:tx>
                <c:spPr>
                  <a:ln w="28575" cap="rnd">
                    <a:solidFill>
                      <a:schemeClr val="accent1">
                        <a:tint val="92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xmlns:c15="http://schemas.microsoft.com/office/drawing/2012/chart">
                      <c:ext xmlns:c15="http://schemas.microsoft.com/office/drawing/2012/chart" uri="{02D57815-91ED-43cb-92C2-25804820EDAC}">
                        <c15:formulaRef>
                          <c15:sqref>'[Chart in Microsoft Word]Sheet3'!$B$10:$M$10</c15:sqref>
                        </c15:formulaRef>
                      </c:ext>
                    </c:extLst>
                    <c:numCache>
                      <c:formatCode>0.00</c:formatCode>
                      <c:ptCount val="12"/>
                      <c:pt idx="0">
                        <c:v>6.13</c:v>
                      </c:pt>
                      <c:pt idx="1">
                        <c:v>6.89</c:v>
                      </c:pt>
                      <c:pt idx="2">
                        <c:v>8.7100000000000009</c:v>
                      </c:pt>
                      <c:pt idx="3">
                        <c:v>8.4700000000000006</c:v>
                      </c:pt>
                      <c:pt idx="4">
                        <c:v>6.41</c:v>
                      </c:pt>
                      <c:pt idx="5">
                        <c:v>8.32</c:v>
                      </c:pt>
                      <c:pt idx="6">
                        <c:v>6.28</c:v>
                      </c:pt>
                      <c:pt idx="7">
                        <c:v>6.21</c:v>
                      </c:pt>
                      <c:pt idx="8">
                        <c:v>7.42</c:v>
                      </c:pt>
                      <c:pt idx="9">
                        <c:v>8.06</c:v>
                      </c:pt>
                      <c:pt idx="10">
                        <c:v>5.78</c:v>
                      </c:pt>
                      <c:pt idx="11">
                        <c:v>9.0123561374725796</c:v>
                      </c:pt>
                    </c:numCache>
                  </c:numRef>
                </c:val>
                <c:smooth val="0"/>
                <c:extLst xmlns:c15="http://schemas.microsoft.com/office/drawing/2012/chart">
                  <c:ext xmlns:c16="http://schemas.microsoft.com/office/drawing/2014/chart" uri="{C3380CC4-5D6E-409C-BE32-E72D297353CC}">
                    <c16:uniqueId val="{00000008-4B2D-48B8-8BE1-7C9463CB9F66}"/>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'[Chart in Microsoft Word]Sheet3'!$A$11</c15:sqref>
                        </c15:formulaRef>
                      </c:ext>
                    </c:extLst>
                    <c:strCache>
                      <c:ptCount val="1"/>
                      <c:pt idx="0">
                        <c:v>Mauritania</c:v>
                      </c:pt>
                    </c:strCache>
                  </c:strRef>
                </c:tx>
                <c:spPr>
                  <a:ln w="28575" cap="rnd">
                    <a:solidFill>
                      <a:schemeClr val="accent1">
                        <a:tint val="83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xmlns:c15="http://schemas.microsoft.com/office/drawing/2012/chart">
                      <c:ext xmlns:c15="http://schemas.microsoft.com/office/drawing/2012/chart" uri="{02D57815-91ED-43cb-92C2-25804820EDAC}">
                        <c15:formulaRef>
                          <c15:sqref>'[Chart in Microsoft Word]Sheet3'!$B$11:$M$11</c15:sqref>
                        </c15:formulaRef>
                      </c:ext>
                    </c:extLst>
                    <c:numCache>
                      <c:formatCode>0.00</c:formatCode>
                      <c:ptCount val="12"/>
                      <c:pt idx="0">
                        <c:v>5.36</c:v>
                      </c:pt>
                      <c:pt idx="1">
                        <c:v>5.99</c:v>
                      </c:pt>
                      <c:pt idx="2">
                        <c:v>6.25</c:v>
                      </c:pt>
                      <c:pt idx="3">
                        <c:v>7.9</c:v>
                      </c:pt>
                      <c:pt idx="4">
                        <c:v>7.93</c:v>
                      </c:pt>
                      <c:pt idx="5">
                        <c:v>7.5</c:v>
                      </c:pt>
                      <c:pt idx="6">
                        <c:v>5.61</c:v>
                      </c:pt>
                      <c:pt idx="7">
                        <c:v>5.62</c:v>
                      </c:pt>
                      <c:pt idx="8">
                        <c:v>8.1999999999999993</c:v>
                      </c:pt>
                      <c:pt idx="9">
                        <c:v>6.53</c:v>
                      </c:pt>
                      <c:pt idx="10">
                        <c:v>6</c:v>
                      </c:pt>
                      <c:pt idx="11">
                        <c:v>8.6315673453765704</c:v>
                      </c:pt>
                    </c:numCache>
                  </c:numRef>
                </c:val>
                <c:smooth val="0"/>
                <c:extLst xmlns:c15="http://schemas.microsoft.com/office/drawing/2012/chart">
                  <c:ext xmlns:c16="http://schemas.microsoft.com/office/drawing/2014/chart" uri="{C3380CC4-5D6E-409C-BE32-E72D297353CC}">
                    <c16:uniqueId val="{00000009-4B2D-48B8-8BE1-7C9463CB9F66}"/>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'[Chart in Microsoft Word]Sheet3'!$A$12</c15:sqref>
                        </c15:formulaRef>
                      </c:ext>
                    </c:extLst>
                    <c:strCache>
                      <c:ptCount val="1"/>
                      <c:pt idx="0">
                        <c:v>Liberia</c:v>
                      </c:pt>
                    </c:strCache>
                  </c:strRef>
                </c:tx>
                <c:spPr>
                  <a:ln w="28575" cap="rnd">
                    <a:solidFill>
                      <a:schemeClr val="accent1">
                        <a:tint val="74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xmlns:c15="http://schemas.microsoft.com/office/drawing/2012/chart">
                      <c:ext xmlns:c15="http://schemas.microsoft.com/office/drawing/2012/chart" uri="{02D57815-91ED-43cb-92C2-25804820EDAC}">
                        <c15:formulaRef>
                          <c15:sqref>'[Chart in Microsoft Word]Sheet3'!$B$12:$M$12</c15:sqref>
                        </c15:formulaRef>
                      </c:ext>
                    </c:extLst>
                    <c:numCache>
                      <c:formatCode>0.00</c:formatCode>
                      <c:ptCount val="12"/>
                      <c:pt idx="0">
                        <c:v>5.29</c:v>
                      </c:pt>
                      <c:pt idx="1">
                        <c:v>5.95</c:v>
                      </c:pt>
                      <c:pt idx="2">
                        <c:v>4.55</c:v>
                      </c:pt>
                      <c:pt idx="3">
                        <c:v>4.5</c:v>
                      </c:pt>
                      <c:pt idx="4">
                        <c:v>4.25</c:v>
                      </c:pt>
                      <c:pt idx="5">
                        <c:v>5.49</c:v>
                      </c:pt>
                      <c:pt idx="6">
                        <c:v>5.95</c:v>
                      </c:pt>
                      <c:pt idx="7">
                        <c:v>6.17</c:v>
                      </c:pt>
                      <c:pt idx="8">
                        <c:v>8.11</c:v>
                      </c:pt>
                      <c:pt idx="9">
                        <c:v>5.88</c:v>
                      </c:pt>
                      <c:pt idx="10">
                        <c:v>6</c:v>
                      </c:pt>
                      <c:pt idx="11">
                        <c:v>8.4685300615598997</c:v>
                      </c:pt>
                    </c:numCache>
                  </c:numRef>
                </c:val>
                <c:smooth val="0"/>
                <c:extLst xmlns:c15="http://schemas.microsoft.com/office/drawing/2012/chart">
                  <c:ext xmlns:c16="http://schemas.microsoft.com/office/drawing/2014/chart" uri="{C3380CC4-5D6E-409C-BE32-E72D297353CC}">
                    <c16:uniqueId val="{0000000A-4B2D-48B8-8BE1-7C9463CB9F66}"/>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'[Chart in Microsoft Word]Sheet3'!$A$13</c15:sqref>
                        </c15:formulaRef>
                      </c:ext>
                    </c:extLst>
                    <c:strCache>
                      <c:ptCount val="1"/>
                      <c:pt idx="0">
                        <c:v>Sierra Leone</c:v>
                      </c:pt>
                    </c:strCache>
                  </c:strRef>
                </c:tx>
                <c:spPr>
                  <a:ln w="28575" cap="rnd">
                    <a:solidFill>
                      <a:schemeClr val="accent1">
                        <a:tint val="65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xmlns:c15="http://schemas.microsoft.com/office/drawing/2012/chart">
                      <c:ext xmlns:c15="http://schemas.microsoft.com/office/drawing/2012/chart" uri="{02D57815-91ED-43cb-92C2-25804820EDAC}">
                        <c15:formulaRef>
                          <c15:sqref>'[Chart in Microsoft Word]Sheet3'!$B$13:$M$13</c15:sqref>
                        </c15:formulaRef>
                      </c:ext>
                    </c:extLst>
                    <c:numCache>
                      <c:formatCode>0.00</c:formatCode>
                      <c:ptCount val="12"/>
                      <c:pt idx="0">
                        <c:v>5.84</c:v>
                      </c:pt>
                      <c:pt idx="1">
                        <c:v>6.5</c:v>
                      </c:pt>
                      <c:pt idx="2">
                        <c:v>5.12</c:v>
                      </c:pt>
                      <c:pt idx="3">
                        <c:v>5.08</c:v>
                      </c:pt>
                      <c:pt idx="4">
                        <c:v>4.74</c:v>
                      </c:pt>
                      <c:pt idx="5">
                        <c:v>5.56</c:v>
                      </c:pt>
                      <c:pt idx="6">
                        <c:v>5.8</c:v>
                      </c:pt>
                      <c:pt idx="7">
                        <c:v>5.41</c:v>
                      </c:pt>
                      <c:pt idx="8">
                        <c:v>7.4</c:v>
                      </c:pt>
                      <c:pt idx="9">
                        <c:v>5.15</c:v>
                      </c:pt>
                      <c:pt idx="10">
                        <c:v>5.64</c:v>
                      </c:pt>
                      <c:pt idx="11">
                        <c:v>8.2958925064790794</c:v>
                      </c:pt>
                    </c:numCache>
                  </c:numRef>
                </c:val>
                <c:smooth val="0"/>
                <c:extLst xmlns:c15="http://schemas.microsoft.com/office/drawing/2012/chart">
                  <c:ext xmlns:c16="http://schemas.microsoft.com/office/drawing/2014/chart" uri="{C3380CC4-5D6E-409C-BE32-E72D297353CC}">
                    <c16:uniqueId val="{0000000B-4B2D-48B8-8BE1-7C9463CB9F66}"/>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'[Chart in Microsoft Word]Sheet3'!$A$14</c15:sqref>
                        </c15:formulaRef>
                      </c:ext>
                    </c:extLst>
                    <c:strCache>
                      <c:ptCount val="1"/>
                      <c:pt idx="0">
                        <c:v>Gambia, The</c:v>
                      </c:pt>
                    </c:strCache>
                  </c:strRef>
                </c:tx>
                <c:spPr>
                  <a:ln w="28575" cap="rnd">
                    <a:solidFill>
                      <a:schemeClr val="accent1">
                        <a:tint val="57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xmlns:c15="http://schemas.microsoft.com/office/drawing/2012/chart">
                      <c:ext xmlns:c15="http://schemas.microsoft.com/office/drawing/2012/chart" uri="{02D57815-91ED-43cb-92C2-25804820EDAC}">
                        <c15:formulaRef>
                          <c15:sqref>'[Chart in Microsoft Word]Sheet3'!$B$14:$M$14</c15:sqref>
                        </c15:formulaRef>
                      </c:ext>
                    </c:extLst>
                    <c:numCache>
                      <c:formatCode>0.00</c:formatCode>
                      <c:ptCount val="12"/>
                      <c:pt idx="0">
                        <c:v>4.91</c:v>
                      </c:pt>
                      <c:pt idx="1">
                        <c:v>6.13</c:v>
                      </c:pt>
                      <c:pt idx="2">
                        <c:v>4.8</c:v>
                      </c:pt>
                      <c:pt idx="3">
                        <c:v>4.74</c:v>
                      </c:pt>
                      <c:pt idx="4">
                        <c:v>4.97</c:v>
                      </c:pt>
                      <c:pt idx="5">
                        <c:v>7.53</c:v>
                      </c:pt>
                      <c:pt idx="6">
                        <c:v>5.38</c:v>
                      </c:pt>
                      <c:pt idx="7">
                        <c:v>5.24</c:v>
                      </c:pt>
                      <c:pt idx="8">
                        <c:v>7.81</c:v>
                      </c:pt>
                      <c:pt idx="9">
                        <c:v>5.89</c:v>
                      </c:pt>
                      <c:pt idx="10">
                        <c:v>5.64</c:v>
                      </c:pt>
                      <c:pt idx="11">
                        <c:v>8.2063114371188792</c:v>
                      </c:pt>
                    </c:numCache>
                  </c:numRef>
                </c:val>
                <c:smooth val="0"/>
                <c:extLst xmlns:c15="http://schemas.microsoft.com/office/drawing/2012/chart">
                  <c:ext xmlns:c16="http://schemas.microsoft.com/office/drawing/2014/chart" uri="{C3380CC4-5D6E-409C-BE32-E72D297353CC}">
                    <c16:uniqueId val="{0000000C-4B2D-48B8-8BE1-7C9463CB9F66}"/>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'[Chart in Microsoft Word]Sheet3'!$A$15</c15:sqref>
                        </c15:formulaRef>
                      </c:ext>
                    </c:extLst>
                    <c:strCache>
                      <c:ptCount val="1"/>
                      <c:pt idx="0">
                        <c:v>Cape Verde</c:v>
                      </c:pt>
                    </c:strCache>
                  </c:strRef>
                </c:tx>
                <c:spPr>
                  <a:ln w="28575" cap="rnd">
                    <a:solidFill>
                      <a:schemeClr val="accent1">
                        <a:tint val="48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xmlns:c15="http://schemas.microsoft.com/office/drawing/2012/chart">
                      <c:ext xmlns:c15="http://schemas.microsoft.com/office/drawing/2012/chart" uri="{02D57815-91ED-43cb-92C2-25804820EDAC}">
                        <c15:formulaRef>
                          <c15:sqref>'[Chart in Microsoft Word]Sheet3'!$B$15:$M$15</c15:sqref>
                        </c15:formulaRef>
                      </c:ext>
                    </c:extLst>
                    <c:numCache>
                      <c:formatCode>0.00</c:formatCode>
                      <c:ptCount val="12"/>
                      <c:pt idx="0">
                        <c:v>1.9</c:v>
                      </c:pt>
                      <c:pt idx="1">
                        <c:v>2.2799999999999998</c:v>
                      </c:pt>
                      <c:pt idx="2">
                        <c:v>2.76</c:v>
                      </c:pt>
                      <c:pt idx="3">
                        <c:v>2.4500000000000002</c:v>
                      </c:pt>
                      <c:pt idx="4">
                        <c:v>3.63</c:v>
                      </c:pt>
                      <c:pt idx="5">
                        <c:v>5.13</c:v>
                      </c:pt>
                      <c:pt idx="6">
                        <c:v>3.69</c:v>
                      </c:pt>
                      <c:pt idx="7">
                        <c:v>4.24</c:v>
                      </c:pt>
                      <c:pt idx="8">
                        <c:v>4.4800000000000004</c:v>
                      </c:pt>
                      <c:pt idx="9">
                        <c:v>4.12</c:v>
                      </c:pt>
                      <c:pt idx="10">
                        <c:v>4.0999999999999996</c:v>
                      </c:pt>
                      <c:pt idx="11">
                        <c:v>4.0974258337854099</c:v>
                      </c:pt>
                    </c:numCache>
                  </c:numRef>
                </c:val>
                <c:smooth val="0"/>
                <c:extLst xmlns:c15="http://schemas.microsoft.com/office/drawing/2012/chart">
                  <c:ext xmlns:c16="http://schemas.microsoft.com/office/drawing/2014/chart" uri="{C3380CC4-5D6E-409C-BE32-E72D297353CC}">
                    <c16:uniqueId val="{0000000D-4B2D-48B8-8BE1-7C9463CB9F66}"/>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'[Chart in Microsoft Word]Sheet3'!$A$16</c15:sqref>
                        </c15:formulaRef>
                      </c:ext>
                    </c:extLst>
                    <c:strCache>
                      <c:ptCount val="1"/>
                      <c:pt idx="0">
                        <c:v>Guinea-Bissau</c:v>
                      </c:pt>
                    </c:strCache>
                  </c:strRef>
                </c:tx>
                <c:spPr>
                  <a:ln w="28575" cap="rnd">
                    <a:solidFill>
                      <a:schemeClr val="accent1">
                        <a:tint val="39000"/>
                      </a:schemeClr>
                    </a:solidFill>
                    <a:round/>
                  </a:ln>
                  <a:effectLst/>
                </c:spPr>
                <c:marker>
                  <c:symbol val="none"/>
                </c:marker>
                <c:cat>
                  <c:strRef>
                    <c:extLst xmlns:c15="http://schemas.microsoft.com/office/drawing/2012/chart">
                      <c:ext xmlns:c15="http://schemas.microsoft.com/office/drawing/2012/chart" uri="{02D57815-91ED-43cb-92C2-25804820EDAC}">
                        <c15:formulaRef>
                          <c15:sqref>'[Chart in Microsoft Word]Sheet3'!$B$1:$M$1</c15:sqref>
                        </c15:formulaRef>
                      </c:ext>
                    </c:extLst>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extLst xmlns:c15="http://schemas.microsoft.com/office/drawing/2012/chart">
                      <c:ext xmlns:c15="http://schemas.microsoft.com/office/drawing/2012/chart" uri="{02D57815-91ED-43cb-92C2-25804820EDAC}">
                        <c15:formulaRef>
                          <c15:sqref>'[Chart in Microsoft Word]Sheet3'!$B$16:$M$16</c15:sqref>
                        </c15:formulaRef>
                      </c:ext>
                    </c:extLst>
                    <c:numCache>
                      <c:formatCode>0.00</c:formatCode>
                      <c:ptCount val="12"/>
                      <c:pt idx="0">
                        <c:v>2.12</c:v>
                      </c:pt>
                      <c:pt idx="1">
                        <c:v>5.19</c:v>
                      </c:pt>
                      <c:pt idx="2">
                        <c:v>5.03</c:v>
                      </c:pt>
                      <c:pt idx="3">
                        <c:v>5.22</c:v>
                      </c:pt>
                      <c:pt idx="4">
                        <c:v>5.34</c:v>
                      </c:pt>
                      <c:pt idx="5">
                        <c:v>3.54</c:v>
                      </c:pt>
                      <c:pt idx="6">
                        <c:v>3.5</c:v>
                      </c:pt>
                      <c:pt idx="7">
                        <c:v>4.07</c:v>
                      </c:pt>
                      <c:pt idx="8">
                        <c:v>4.3099999999999996</c:v>
                      </c:pt>
                      <c:pt idx="9">
                        <c:v>4</c:v>
                      </c:pt>
                      <c:pt idx="10">
                        <c:v>3.98</c:v>
                      </c:pt>
                      <c:pt idx="11">
                        <c:v>3.97472395690798</c:v>
                      </c:pt>
                    </c:numCache>
                  </c:numRef>
                </c:val>
                <c:smooth val="0"/>
                <c:extLst xmlns:c15="http://schemas.microsoft.com/office/drawing/2012/chart">
                  <c:ext xmlns:c16="http://schemas.microsoft.com/office/drawing/2014/chart" uri="{C3380CC4-5D6E-409C-BE32-E72D297353CC}">
                    <c16:uniqueId val="{0000000E-4B2D-48B8-8BE1-7C9463CB9F66}"/>
                  </c:ext>
                </c:extLst>
              </c15:ser>
            </c15:filteredLineSeries>
          </c:ext>
        </c:extLst>
      </c:lineChart>
      <c:catAx>
        <c:axId val="214262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625592"/>
        <c:crosses val="autoZero"/>
        <c:auto val="1"/>
        <c:lblAlgn val="ctr"/>
        <c:lblOffset val="100"/>
        <c:noMultiLvlLbl val="0"/>
      </c:catAx>
      <c:valAx>
        <c:axId val="2142625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621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scatterChart>
        <c:scatterStyle val="lineMarker"/>
        <c:varyColors val="0"/>
        <c:ser>
          <c:idx val="0"/>
          <c:order val="0"/>
          <c:tx>
            <c:strRef>
              <c:f>'Efficiency vs size'!$B$50</c:f>
              <c:strCache>
                <c:ptCount val="1"/>
                <c:pt idx="0">
                  <c:v>Throughput</c:v>
                </c:pt>
              </c:strCache>
            </c:strRef>
          </c:tx>
          <c:spPr>
            <a:ln w="28575" cap="rnd" cmpd="sng" algn="ctr">
              <a:noFill/>
              <a:prstDash val="solid"/>
              <a:round/>
            </a:ln>
            <a:effectLst/>
          </c:spPr>
          <c:marker>
            <c:symbol val="diamond"/>
            <c:size val="4"/>
            <c:spPr>
              <a:solidFill>
                <a:schemeClr val="accent1"/>
              </a:solidFill>
              <a:ln w="6350" cap="flat" cmpd="sng" algn="ctr">
                <a:solidFill>
                  <a:schemeClr val="accent1"/>
                </a:solidFill>
                <a:prstDash val="solid"/>
                <a:round/>
              </a:ln>
              <a:effectLst/>
            </c:spPr>
          </c:marker>
          <c:trendline>
            <c:name>Trend</c:name>
            <c:spPr>
              <a:ln w="9525" cap="rnd" cmpd="sng" algn="ctr">
                <a:solidFill>
                  <a:schemeClr val="accent1">
                    <a:lumMod val="50000"/>
                  </a:schemeClr>
                </a:solidFill>
                <a:prstDash val="solid"/>
                <a:round/>
              </a:ln>
              <a:effectLst/>
            </c:spPr>
            <c:trendlineType val="log"/>
            <c:dispRSqr val="1"/>
            <c:dispEq val="1"/>
            <c:trendlineLbl>
              <c:layout>
                <c:manualLayout>
                  <c:x val="-2.9847230634632199E-4"/>
                  <c:y val="0.237634312701204"/>
                </c:manualLayout>
              </c:layout>
              <c:tx>
                <c:rich>
                  <a:bodyPr rot="0" spcFirstLastPara="1" vertOverflow="ellipsis" vert="horz" wrap="square" anchor="ctr" anchorCtr="1"/>
                  <a:lstStyle/>
                  <a:p>
                    <a:pPr>
                      <a:defRPr sz="1100" b="1" i="0" u="none" strike="noStrike" kern="1200" baseline="0">
                        <a:solidFill>
                          <a:schemeClr val="accent1">
                            <a:lumMod val="50000"/>
                          </a:schemeClr>
                        </a:solidFill>
                        <a:latin typeface="+mn-lt"/>
                        <a:ea typeface="+mn-ea"/>
                        <a:cs typeface="+mn-cs"/>
                      </a:defRPr>
                    </a:pPr>
                    <a:r>
                      <a:rPr lang="en-US" baseline="0">
                        <a:solidFill>
                          <a:sysClr val="windowText" lastClr="000000"/>
                        </a:solidFill>
                        <a:latin typeface="+mn-lt"/>
                        <a:cs typeface="Times New Roman" panose="02020603050405020304" pitchFamily="18" charset="0"/>
                      </a:rPr>
                      <a:t>y = 0.2206ln(x) - 2.1717</a:t>
                    </a:r>
                    <a:br>
                      <a:rPr lang="en-US" baseline="0">
                        <a:solidFill>
                          <a:sysClr val="windowText" lastClr="000000"/>
                        </a:solidFill>
                        <a:latin typeface="+mn-lt"/>
                        <a:cs typeface="Times New Roman" panose="02020603050405020304" pitchFamily="18" charset="0"/>
                      </a:rPr>
                    </a:br>
                    <a:r>
                      <a:rPr lang="en-US" baseline="0">
                        <a:solidFill>
                          <a:sysClr val="windowText" lastClr="000000"/>
                        </a:solidFill>
                        <a:latin typeface="+mn-lt"/>
                        <a:cs typeface="Times New Roman" panose="02020603050405020304" pitchFamily="18" charset="0"/>
                      </a:rPr>
                      <a:t>R² = 0.5987</a:t>
                    </a:r>
                    <a:endParaRPr lang="en-US">
                      <a:solidFill>
                        <a:sysClr val="windowText" lastClr="000000"/>
                      </a:solidFill>
                      <a:latin typeface="+mn-lt"/>
                      <a:cs typeface="Times New Roman" panose="02020603050405020304" pitchFamily="18" charset="0"/>
                    </a:endParaRPr>
                  </a:p>
                </c:rich>
              </c:tx>
              <c:numFmt formatCode="General" sourceLinked="0"/>
              <c:spPr>
                <a:noFill/>
                <a:ln>
                  <a:noFill/>
                </a:ln>
                <a:effectLst/>
              </c:spPr>
            </c:trendlineLbl>
          </c:trendline>
          <c:xVal>
            <c:numRef>
              <c:f>'Efficiency vs size'!$B$51:$B$110</c:f>
              <c:numCache>
                <c:formatCode>#,##0</c:formatCode>
                <c:ptCount val="60"/>
                <c:pt idx="0">
                  <c:v>669800</c:v>
                </c:pt>
                <c:pt idx="1">
                  <c:v>571700</c:v>
                </c:pt>
                <c:pt idx="2">
                  <c:v>507100</c:v>
                </c:pt>
                <c:pt idx="3">
                  <c:v>531809</c:v>
                </c:pt>
                <c:pt idx="4">
                  <c:v>652358</c:v>
                </c:pt>
                <c:pt idx="5">
                  <c:v>610185</c:v>
                </c:pt>
                <c:pt idx="6">
                  <c:v>561535</c:v>
                </c:pt>
                <c:pt idx="7">
                  <c:v>546417</c:v>
                </c:pt>
                <c:pt idx="8">
                  <c:v>633197</c:v>
                </c:pt>
                <c:pt idx="9">
                  <c:v>649854</c:v>
                </c:pt>
                <c:pt idx="10">
                  <c:v>306200</c:v>
                </c:pt>
                <c:pt idx="11">
                  <c:v>309400</c:v>
                </c:pt>
                <c:pt idx="12">
                  <c:v>375876</c:v>
                </c:pt>
                <c:pt idx="13">
                  <c:v>424457</c:v>
                </c:pt>
                <c:pt idx="14">
                  <c:v>347483</c:v>
                </c:pt>
                <c:pt idx="15">
                  <c:v>331076</c:v>
                </c:pt>
                <c:pt idx="16">
                  <c:v>349231</c:v>
                </c:pt>
                <c:pt idx="17">
                  <c:v>415592</c:v>
                </c:pt>
                <c:pt idx="18">
                  <c:v>401803</c:v>
                </c:pt>
                <c:pt idx="19">
                  <c:v>454050</c:v>
                </c:pt>
                <c:pt idx="20">
                  <c:v>342882</c:v>
                </c:pt>
                <c:pt idx="21">
                  <c:v>392761</c:v>
                </c:pt>
                <c:pt idx="22">
                  <c:v>425408</c:v>
                </c:pt>
                <c:pt idx="23">
                  <c:v>489147</c:v>
                </c:pt>
                <c:pt idx="24">
                  <c:v>555009</c:v>
                </c:pt>
                <c:pt idx="25">
                  <c:v>525694</c:v>
                </c:pt>
                <c:pt idx="26">
                  <c:v>590147</c:v>
                </c:pt>
                <c:pt idx="27">
                  <c:v>756899</c:v>
                </c:pt>
                <c:pt idx="28">
                  <c:v>824238</c:v>
                </c:pt>
                <c:pt idx="29">
                  <c:v>841989</c:v>
                </c:pt>
                <c:pt idx="30">
                  <c:v>323385</c:v>
                </c:pt>
                <c:pt idx="31">
                  <c:v>375500</c:v>
                </c:pt>
                <c:pt idx="32">
                  <c:v>356000</c:v>
                </c:pt>
                <c:pt idx="33">
                  <c:v>409751</c:v>
                </c:pt>
                <c:pt idx="34">
                  <c:v>510000</c:v>
                </c:pt>
                <c:pt idx="35">
                  <c:v>490350</c:v>
                </c:pt>
                <c:pt idx="36">
                  <c:v>485000</c:v>
                </c:pt>
                <c:pt idx="37">
                  <c:v>598996</c:v>
                </c:pt>
                <c:pt idx="38">
                  <c:v>618000</c:v>
                </c:pt>
                <c:pt idx="39">
                  <c:v>650000</c:v>
                </c:pt>
                <c:pt idx="40">
                  <c:v>195000</c:v>
                </c:pt>
                <c:pt idx="41">
                  <c:v>203400</c:v>
                </c:pt>
                <c:pt idx="42">
                  <c:v>215892</c:v>
                </c:pt>
                <c:pt idx="43">
                  <c:v>237891</c:v>
                </c:pt>
                <c:pt idx="44">
                  <c:v>296109</c:v>
                </c:pt>
                <c:pt idx="45">
                  <c:v>354480</c:v>
                </c:pt>
                <c:pt idx="46">
                  <c:v>339853</c:v>
                </c:pt>
                <c:pt idx="47">
                  <c:v>352695</c:v>
                </c:pt>
                <c:pt idx="48">
                  <c:v>288481</c:v>
                </c:pt>
                <c:pt idx="49">
                  <c:v>311470</c:v>
                </c:pt>
                <c:pt idx="50">
                  <c:v>97801</c:v>
                </c:pt>
                <c:pt idx="51">
                  <c:v>124313</c:v>
                </c:pt>
                <c:pt idx="52">
                  <c:v>140536</c:v>
                </c:pt>
                <c:pt idx="53">
                  <c:v>167791</c:v>
                </c:pt>
                <c:pt idx="54">
                  <c:v>193745</c:v>
                </c:pt>
                <c:pt idx="55">
                  <c:v>193024</c:v>
                </c:pt>
                <c:pt idx="56">
                  <c:v>214587</c:v>
                </c:pt>
                <c:pt idx="57">
                  <c:v>225849</c:v>
                </c:pt>
                <c:pt idx="58">
                  <c:v>206228</c:v>
                </c:pt>
                <c:pt idx="59">
                  <c:v>388341</c:v>
                </c:pt>
              </c:numCache>
            </c:numRef>
          </c:xVal>
          <c:yVal>
            <c:numRef>
              <c:f>'Efficiency vs size'!$A$51:$A$110</c:f>
              <c:numCache>
                <c:formatCode>0.000</c:formatCode>
                <c:ptCount val="60"/>
                <c:pt idx="0">
                  <c:v>0.85000000000000098</c:v>
                </c:pt>
                <c:pt idx="1">
                  <c:v>0.65000000000000202</c:v>
                </c:pt>
                <c:pt idx="2">
                  <c:v>0.61000000000000099</c:v>
                </c:pt>
                <c:pt idx="3">
                  <c:v>0.63500000000000101</c:v>
                </c:pt>
                <c:pt idx="4">
                  <c:v>0.85900000000000098</c:v>
                </c:pt>
                <c:pt idx="5">
                  <c:v>0.8</c:v>
                </c:pt>
                <c:pt idx="6">
                  <c:v>0.751000000000001</c:v>
                </c:pt>
                <c:pt idx="7">
                  <c:v>0.60000000000000098</c:v>
                </c:pt>
                <c:pt idx="8">
                  <c:v>0.89</c:v>
                </c:pt>
                <c:pt idx="9">
                  <c:v>0.91200000000000003</c:v>
                </c:pt>
                <c:pt idx="10">
                  <c:v>0.55800000000000005</c:v>
                </c:pt>
                <c:pt idx="11">
                  <c:v>0.59399999999999997</c:v>
                </c:pt>
                <c:pt idx="12">
                  <c:v>0.621000000000001</c:v>
                </c:pt>
                <c:pt idx="13">
                  <c:v>0.68</c:v>
                </c:pt>
                <c:pt idx="14">
                  <c:v>0.77000000000000102</c:v>
                </c:pt>
                <c:pt idx="15">
                  <c:v>0.82000000000000095</c:v>
                </c:pt>
                <c:pt idx="16">
                  <c:v>0.70000000000000095</c:v>
                </c:pt>
                <c:pt idx="17">
                  <c:v>0.72000000000000097</c:v>
                </c:pt>
                <c:pt idx="18">
                  <c:v>0.750000000000001</c:v>
                </c:pt>
                <c:pt idx="19">
                  <c:v>0.8</c:v>
                </c:pt>
                <c:pt idx="20">
                  <c:v>0.57600000000000096</c:v>
                </c:pt>
                <c:pt idx="21">
                  <c:v>0.61200000000000099</c:v>
                </c:pt>
                <c:pt idx="22">
                  <c:v>0.630000000000001</c:v>
                </c:pt>
                <c:pt idx="23">
                  <c:v>0.65500000000000203</c:v>
                </c:pt>
                <c:pt idx="24">
                  <c:v>0.67900000000000205</c:v>
                </c:pt>
                <c:pt idx="25">
                  <c:v>0.71050000000000002</c:v>
                </c:pt>
                <c:pt idx="26">
                  <c:v>0.78</c:v>
                </c:pt>
                <c:pt idx="27">
                  <c:v>0.88200000000000001</c:v>
                </c:pt>
                <c:pt idx="28">
                  <c:v>0.86000000000000099</c:v>
                </c:pt>
                <c:pt idx="29">
                  <c:v>0.86000000000000099</c:v>
                </c:pt>
                <c:pt idx="30">
                  <c:v>0.47199999999999998</c:v>
                </c:pt>
                <c:pt idx="31">
                  <c:v>0.51300000000000001</c:v>
                </c:pt>
                <c:pt idx="32">
                  <c:v>0.56599999999999995</c:v>
                </c:pt>
                <c:pt idx="33">
                  <c:v>0.61300000000000099</c:v>
                </c:pt>
                <c:pt idx="34">
                  <c:v>0.67200000000000204</c:v>
                </c:pt>
                <c:pt idx="35">
                  <c:v>0.73200000000000098</c:v>
                </c:pt>
                <c:pt idx="36">
                  <c:v>0.74100000000000099</c:v>
                </c:pt>
                <c:pt idx="37">
                  <c:v>0.78700000000000003</c:v>
                </c:pt>
                <c:pt idx="38">
                  <c:v>0.80800000000000005</c:v>
                </c:pt>
                <c:pt idx="39">
                  <c:v>0.88700000000000001</c:v>
                </c:pt>
                <c:pt idx="40">
                  <c:v>0.314000000000001</c:v>
                </c:pt>
                <c:pt idx="41">
                  <c:v>0.43</c:v>
                </c:pt>
                <c:pt idx="42">
                  <c:v>0.45100000000000001</c:v>
                </c:pt>
                <c:pt idx="43">
                  <c:v>0.495</c:v>
                </c:pt>
                <c:pt idx="44">
                  <c:v>0.503</c:v>
                </c:pt>
                <c:pt idx="45">
                  <c:v>0.52600000000000002</c:v>
                </c:pt>
                <c:pt idx="46">
                  <c:v>0.53200000000000003</c:v>
                </c:pt>
                <c:pt idx="47">
                  <c:v>0.64000000000000201</c:v>
                </c:pt>
                <c:pt idx="48">
                  <c:v>0.67000000000000204</c:v>
                </c:pt>
                <c:pt idx="49">
                  <c:v>0.68700000000000105</c:v>
                </c:pt>
                <c:pt idx="50">
                  <c:v>0.40500000000000003</c:v>
                </c:pt>
                <c:pt idx="51">
                  <c:v>0.42599999999999999</c:v>
                </c:pt>
                <c:pt idx="52">
                  <c:v>0.53200000000000003</c:v>
                </c:pt>
                <c:pt idx="53">
                  <c:v>0.53700000000000003</c:v>
                </c:pt>
                <c:pt idx="54">
                  <c:v>0.59599999999999997</c:v>
                </c:pt>
                <c:pt idx="55">
                  <c:v>0.629000000000001</c:v>
                </c:pt>
                <c:pt idx="56">
                  <c:v>0.631000000000001</c:v>
                </c:pt>
                <c:pt idx="57">
                  <c:v>0.629000000000001</c:v>
                </c:pt>
                <c:pt idx="58">
                  <c:v>0.63800000000000101</c:v>
                </c:pt>
                <c:pt idx="59">
                  <c:v>0.73100000000000098</c:v>
                </c:pt>
              </c:numCache>
            </c:numRef>
          </c:yVal>
          <c:smooth val="0"/>
          <c:extLst>
            <c:ext xmlns:c16="http://schemas.microsoft.com/office/drawing/2014/chart" uri="{C3380CC4-5D6E-409C-BE32-E72D297353CC}">
              <c16:uniqueId val="{00000000-3D21-44AF-ABFB-7680D0805A0D}"/>
            </c:ext>
          </c:extLst>
        </c:ser>
        <c:dLbls>
          <c:showLegendKey val="0"/>
          <c:showVal val="0"/>
          <c:showCatName val="0"/>
          <c:showSerName val="0"/>
          <c:showPercent val="0"/>
          <c:showBubbleSize val="0"/>
        </c:dLbls>
        <c:axId val="2144503464"/>
        <c:axId val="2144510008"/>
      </c:scatterChart>
      <c:valAx>
        <c:axId val="21445034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Times New Roman" panose="02020603050405020304" pitchFamily="18" charset="0"/>
                  </a:defRPr>
                </a:pPr>
                <a:r>
                  <a:rPr lang="en-US" b="0">
                    <a:latin typeface="+mn-lt"/>
                    <a:cs typeface="Times New Roman" panose="02020603050405020304" pitchFamily="18" charset="0"/>
                  </a:rPr>
                  <a:t>Annual throughput in TEUs</a:t>
                </a:r>
              </a:p>
            </c:rich>
          </c:tx>
          <c:overlay val="0"/>
          <c:spPr>
            <a:noFill/>
            <a:ln>
              <a:noFill/>
            </a:ln>
            <a:effectLst/>
          </c:spPr>
        </c:title>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endParaRPr lang="en-US"/>
          </a:p>
        </c:txPr>
        <c:crossAx val="2144510008"/>
        <c:crosses val="autoZero"/>
        <c:crossBetween val="midCat"/>
      </c:valAx>
      <c:valAx>
        <c:axId val="2144510008"/>
        <c:scaling>
          <c:orientation val="minMax"/>
          <c:max val="1"/>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Times New Roman" panose="02020603050405020304" pitchFamily="18" charset="0"/>
                  </a:defRPr>
                </a:pPr>
                <a:r>
                  <a:rPr lang="en-US" b="0">
                    <a:latin typeface="+mn-lt"/>
                    <a:cs typeface="Times New Roman" panose="02020603050405020304" pitchFamily="18" charset="0"/>
                  </a:rPr>
                  <a:t>Efficiency score</a:t>
                </a:r>
              </a:p>
            </c:rich>
          </c:tx>
          <c:overlay val="0"/>
          <c:spPr>
            <a:noFill/>
            <a:ln>
              <a:noFill/>
            </a:ln>
            <a:effectLst/>
          </c:spPr>
        </c:title>
        <c:numFmt formatCode="0.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Times New Roman" panose="02020603050405020304" pitchFamily="18" charset="0"/>
              </a:defRPr>
            </a:pPr>
            <a:endParaRPr lang="en-US"/>
          </a:p>
        </c:txPr>
        <c:crossAx val="2144503464"/>
        <c:crosses val="autoZero"/>
        <c:crossBetween val="midCat"/>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'Efficiency vs size'!$E$51</c:f>
              <c:strCache>
                <c:ptCount val="1"/>
                <c:pt idx="0">
                  <c:v>Abidjan</c:v>
                </c:pt>
              </c:strCache>
            </c:strRef>
          </c:tx>
          <c:spPr>
            <a:ln w="28575" cap="rnd">
              <a:solidFill>
                <a:schemeClr val="accent1">
                  <a:tint val="77000"/>
                </a:schemeClr>
              </a:solidFill>
              <a:round/>
            </a:ln>
            <a:effectLst/>
          </c:spPr>
          <c:marker>
            <c:symbol val="none"/>
          </c:marker>
          <c:cat>
            <c:numRef>
              <c:f>'Efficiency vs size'!$F$51:$F$60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'Efficiency vs size'!$I$51:$I$60</c:f>
              <c:numCache>
                <c:formatCode>0.000</c:formatCode>
                <c:ptCount val="10"/>
                <c:pt idx="0">
                  <c:v>-6.2409582681101597E-2</c:v>
                </c:pt>
                <c:pt idx="1">
                  <c:v>0.102655146389805</c:v>
                </c:pt>
                <c:pt idx="2">
                  <c:v>0.116203848493354</c:v>
                </c:pt>
                <c:pt idx="3">
                  <c:v>0.101699153695522</c:v>
                </c:pt>
                <c:pt idx="4">
                  <c:v>-7.7230261343677997E-2</c:v>
                </c:pt>
                <c:pt idx="5">
                  <c:v>-3.2973246369851598E-2</c:v>
                </c:pt>
                <c:pt idx="6">
                  <c:v>-2.3024778334527199E-3</c:v>
                </c:pt>
                <c:pt idx="7">
                  <c:v>0.14267697650807801</c:v>
                </c:pt>
                <c:pt idx="8">
                  <c:v>-0.114806766668108</c:v>
                </c:pt>
                <c:pt idx="9">
                  <c:v>-0.13107863792262001</c:v>
                </c:pt>
              </c:numCache>
            </c:numRef>
          </c:val>
          <c:smooth val="0"/>
          <c:extLst>
            <c:ext xmlns:c16="http://schemas.microsoft.com/office/drawing/2014/chart" uri="{C3380CC4-5D6E-409C-BE32-E72D297353CC}">
              <c16:uniqueId val="{00000000-DEFD-4F9E-AE30-CBFF9A7F99E4}"/>
            </c:ext>
          </c:extLst>
        </c:ser>
        <c:ser>
          <c:idx val="0"/>
          <c:order val="1"/>
          <c:tx>
            <c:strRef>
              <c:f>'Efficiency vs size'!$E$61</c:f>
              <c:strCache>
                <c:ptCount val="1"/>
                <c:pt idx="0">
                  <c:v>Dakar</c:v>
                </c:pt>
              </c:strCache>
            </c:strRef>
          </c:tx>
          <c:spPr>
            <a:ln w="28575" cap="rnd">
              <a:solidFill>
                <a:schemeClr val="accent1">
                  <a:shade val="76000"/>
                </a:schemeClr>
              </a:solidFill>
              <a:round/>
            </a:ln>
            <a:effectLst/>
          </c:spPr>
          <c:marker>
            <c:symbol val="none"/>
          </c:marker>
          <c:cat>
            <c:numRef>
              <c:f>'Efficiency vs size'!$F$51:$F$60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'Efficiency vs size'!$I$61:$I$70</c:f>
              <c:numCache>
                <c:formatCode>0.000</c:formatCode>
                <c:ptCount val="10"/>
                <c:pt idx="0">
                  <c:v>5.6917823942581998E-2</c:v>
                </c:pt>
                <c:pt idx="1">
                  <c:v>2.32112818969149E-2</c:v>
                </c:pt>
                <c:pt idx="2">
                  <c:v>3.9145416512616403E-2</c:v>
                </c:pt>
                <c:pt idx="3">
                  <c:v>6.9596560617652004E-3</c:v>
                </c:pt>
                <c:pt idx="4">
                  <c:v>-0.127181292562902</c:v>
                </c:pt>
                <c:pt idx="5">
                  <c:v>-0.18785122630291401</c:v>
                </c:pt>
                <c:pt idx="6">
                  <c:v>-5.6074354539270801E-2</c:v>
                </c:pt>
                <c:pt idx="7">
                  <c:v>-3.7696480903120597E-2</c:v>
                </c:pt>
                <c:pt idx="8">
                  <c:v>-7.5139986179374202E-2</c:v>
                </c:pt>
                <c:pt idx="9">
                  <c:v>-9.8172649752174906E-2</c:v>
                </c:pt>
              </c:numCache>
            </c:numRef>
          </c:val>
          <c:smooth val="0"/>
          <c:extLst>
            <c:ext xmlns:c16="http://schemas.microsoft.com/office/drawing/2014/chart" uri="{C3380CC4-5D6E-409C-BE32-E72D297353CC}">
              <c16:uniqueId val="{00000001-DEFD-4F9E-AE30-CBFF9A7F99E4}"/>
            </c:ext>
          </c:extLst>
        </c:ser>
        <c:dLbls>
          <c:showLegendKey val="0"/>
          <c:showVal val="0"/>
          <c:showCatName val="0"/>
          <c:showSerName val="0"/>
          <c:showPercent val="0"/>
          <c:showBubbleSize val="0"/>
        </c:dLbls>
        <c:smooth val="0"/>
        <c:axId val="2144557816"/>
        <c:axId val="2144561272"/>
      </c:lineChart>
      <c:catAx>
        <c:axId val="2144557816"/>
        <c:scaling>
          <c:orientation val="minMax"/>
        </c:scaling>
        <c:delete val="0"/>
        <c:axPos val="b"/>
        <c:numFmt formatCode="General" sourceLinked="1"/>
        <c:majorTickMark val="none"/>
        <c:minorTickMark val="none"/>
        <c:tickLblPos val="low"/>
        <c:spPr>
          <a:noFill/>
          <a:ln w="19050" cap="flat" cmpd="sng" algn="ctr">
            <a:solidFill>
              <a:schemeClr val="tx1">
                <a:lumMod val="15000"/>
                <a:lumOff val="85000"/>
              </a:schemeClr>
            </a:solidFill>
            <a:round/>
          </a:ln>
          <a:effectLst/>
        </c:spPr>
        <c:txPr>
          <a:bodyPr rot="-60000000" vert="horz"/>
          <a:lstStyle/>
          <a:p>
            <a:pPr>
              <a:defRPr/>
            </a:pPr>
            <a:endParaRPr lang="en-US"/>
          </a:p>
        </c:txPr>
        <c:crossAx val="2144561272"/>
        <c:crosses val="autoZero"/>
        <c:auto val="1"/>
        <c:lblAlgn val="ctr"/>
        <c:lblOffset val="100"/>
        <c:noMultiLvlLbl val="0"/>
      </c:catAx>
      <c:valAx>
        <c:axId val="214456127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vert="horz"/>
          <a:lstStyle/>
          <a:p>
            <a:pPr>
              <a:defRPr/>
            </a:pPr>
            <a:endParaRPr lang="en-US"/>
          </a:p>
        </c:txPr>
        <c:crossAx val="2144557816"/>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1"/>
          <c:order val="0"/>
          <c:tx>
            <c:strRef>
              <c:f>'Efficiency vs size'!$E$71</c:f>
              <c:strCache>
                <c:ptCount val="1"/>
                <c:pt idx="0">
                  <c:v>Tema</c:v>
                </c:pt>
              </c:strCache>
            </c:strRef>
          </c:tx>
          <c:spPr>
            <a:ln w="28575" cap="rnd">
              <a:solidFill>
                <a:schemeClr val="accent1"/>
              </a:solidFill>
              <a:round/>
            </a:ln>
            <a:effectLst/>
          </c:spPr>
          <c:marker>
            <c:symbol val="none"/>
          </c:marker>
          <c:cat>
            <c:numRef>
              <c:f>'Efficiency vs size'!$F$71:$F$80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'Efficiency vs size'!$I$71:$I$80</c:f>
              <c:numCache>
                <c:formatCode>0.000</c:formatCode>
                <c:ptCount val="10"/>
                <c:pt idx="0">
                  <c:v>6.3878246585850798E-2</c:v>
                </c:pt>
                <c:pt idx="1">
                  <c:v>5.7839017878122297E-2</c:v>
                </c:pt>
                <c:pt idx="2">
                  <c:v>5.7453359620716897E-2</c:v>
                </c:pt>
                <c:pt idx="3">
                  <c:v>6.3252285093393895E-2</c:v>
                </c:pt>
                <c:pt idx="4">
                  <c:v>6.7118757704214896E-2</c:v>
                </c:pt>
                <c:pt idx="5">
                  <c:v>2.3647890889565398E-2</c:v>
                </c:pt>
                <c:pt idx="6">
                  <c:v>-2.0339197611560202E-2</c:v>
                </c:pt>
                <c:pt idx="7">
                  <c:v>-6.7441086472792497E-2</c:v>
                </c:pt>
                <c:pt idx="8">
                  <c:v>-2.6639458768295401E-2</c:v>
                </c:pt>
                <c:pt idx="9">
                  <c:v>-2.1938996281251798E-2</c:v>
                </c:pt>
              </c:numCache>
            </c:numRef>
          </c:val>
          <c:smooth val="0"/>
          <c:extLst>
            <c:ext xmlns:c16="http://schemas.microsoft.com/office/drawing/2014/chart" uri="{C3380CC4-5D6E-409C-BE32-E72D297353CC}">
              <c16:uniqueId val="{00000000-EB53-4E55-B672-EF22F229F84D}"/>
            </c:ext>
          </c:extLst>
        </c:ser>
        <c:ser>
          <c:idx val="0"/>
          <c:order val="1"/>
          <c:tx>
            <c:strRef>
              <c:f>'Efficiency vs size'!$E$81</c:f>
              <c:strCache>
                <c:ptCount val="1"/>
                <c:pt idx="0">
                  <c:v>Lagos Apapa</c:v>
                </c:pt>
              </c:strCache>
            </c:strRef>
          </c:tx>
          <c:spPr>
            <a:ln w="28575" cap="rnd">
              <a:solidFill>
                <a:schemeClr val="accent1">
                  <a:shade val="65000"/>
                </a:schemeClr>
              </a:solidFill>
              <a:round/>
            </a:ln>
            <a:effectLst/>
          </c:spPr>
          <c:marker>
            <c:symbol val="none"/>
          </c:marker>
          <c:cat>
            <c:numRef>
              <c:f>'Efficiency vs size'!$F$71:$F$80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'Efficiency vs size'!$I$81:$I$90</c:f>
              <c:numCache>
                <c:formatCode>0.000</c:formatCode>
                <c:ptCount val="10"/>
                <c:pt idx="0">
                  <c:v>0.15496370473496399</c:v>
                </c:pt>
                <c:pt idx="1">
                  <c:v>0.146924633291104</c:v>
                </c:pt>
                <c:pt idx="2">
                  <c:v>8.2160533769417496E-2</c:v>
                </c:pt>
                <c:pt idx="3">
                  <c:v>6.6181069127702497E-2</c:v>
                </c:pt>
                <c:pt idx="4">
                  <c:v>5.5461820636932099E-2</c:v>
                </c:pt>
                <c:pt idx="5">
                  <c:v>-1.3205840999005E-2</c:v>
                </c:pt>
                <c:pt idx="6">
                  <c:v>-2.4625940115731802E-2</c:v>
                </c:pt>
                <c:pt idx="7">
                  <c:v>-2.4055950039061001E-2</c:v>
                </c:pt>
                <c:pt idx="8">
                  <c:v>-3.8165831741374397E-2</c:v>
                </c:pt>
                <c:pt idx="9">
                  <c:v>-0.106029082203077</c:v>
                </c:pt>
              </c:numCache>
            </c:numRef>
          </c:val>
          <c:smooth val="0"/>
          <c:extLst>
            <c:ext xmlns:c16="http://schemas.microsoft.com/office/drawing/2014/chart" uri="{C3380CC4-5D6E-409C-BE32-E72D297353CC}">
              <c16:uniqueId val="{00000001-EB53-4E55-B672-EF22F229F84D}"/>
            </c:ext>
          </c:extLst>
        </c:ser>
        <c:ser>
          <c:idx val="2"/>
          <c:order val="2"/>
          <c:tx>
            <c:strRef>
              <c:f>'Efficiency vs size'!$E$91</c:f>
              <c:strCache>
                <c:ptCount val="1"/>
                <c:pt idx="0">
                  <c:v>Lome</c:v>
                </c:pt>
              </c:strCache>
            </c:strRef>
          </c:tx>
          <c:spPr>
            <a:ln w="28575" cap="rnd">
              <a:solidFill>
                <a:schemeClr val="accent1">
                  <a:tint val="65000"/>
                </a:schemeClr>
              </a:solidFill>
              <a:round/>
            </a:ln>
            <a:effectLst/>
          </c:spPr>
          <c:marker>
            <c:symbol val="none"/>
          </c:marker>
          <c:cat>
            <c:numRef>
              <c:f>'Efficiency vs size'!$F$71:$F$80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'Efficiency vs size'!$I$91:$I$100</c:f>
              <c:numCache>
                <c:formatCode>0.000</c:formatCode>
                <c:ptCount val="10"/>
                <c:pt idx="0">
                  <c:v>0.201374517162622</c:v>
                </c:pt>
                <c:pt idx="1">
                  <c:v>9.4678305628809495E-2</c:v>
                </c:pt>
                <c:pt idx="2">
                  <c:v>8.6826903694391E-2</c:v>
                </c:pt>
                <c:pt idx="3">
                  <c:v>6.4232670920612397E-2</c:v>
                </c:pt>
                <c:pt idx="4">
                  <c:v>0.104525329673457</c:v>
                </c:pt>
                <c:pt idx="5">
                  <c:v>0.121216629615666</c:v>
                </c:pt>
                <c:pt idx="6">
                  <c:v>0.10592082010522701</c:v>
                </c:pt>
                <c:pt idx="7">
                  <c:v>6.1029821132213601E-3</c:v>
                </c:pt>
                <c:pt idx="8">
                  <c:v>-6.8231978224365497E-2</c:v>
                </c:pt>
                <c:pt idx="9">
                  <c:v>-6.8317738052554797E-2</c:v>
                </c:pt>
              </c:numCache>
            </c:numRef>
          </c:val>
          <c:smooth val="0"/>
          <c:extLst>
            <c:ext xmlns:c16="http://schemas.microsoft.com/office/drawing/2014/chart" uri="{C3380CC4-5D6E-409C-BE32-E72D297353CC}">
              <c16:uniqueId val="{00000002-EB53-4E55-B672-EF22F229F84D}"/>
            </c:ext>
          </c:extLst>
        </c:ser>
        <c:dLbls>
          <c:showLegendKey val="0"/>
          <c:showVal val="0"/>
          <c:showCatName val="0"/>
          <c:showSerName val="0"/>
          <c:showPercent val="0"/>
          <c:showBubbleSize val="0"/>
        </c:dLbls>
        <c:smooth val="0"/>
        <c:axId val="2144597208"/>
        <c:axId val="2144600664"/>
      </c:lineChart>
      <c:catAx>
        <c:axId val="2144597208"/>
        <c:scaling>
          <c:orientation val="minMax"/>
        </c:scaling>
        <c:delete val="0"/>
        <c:axPos val="b"/>
        <c:numFmt formatCode="General" sourceLinked="1"/>
        <c:majorTickMark val="none"/>
        <c:minorTickMark val="none"/>
        <c:tickLblPos val="low"/>
        <c:spPr>
          <a:noFill/>
          <a:ln w="19050" cap="flat" cmpd="sng" algn="ctr">
            <a:solidFill>
              <a:schemeClr val="tx1">
                <a:lumMod val="15000"/>
                <a:lumOff val="85000"/>
              </a:schemeClr>
            </a:solidFill>
            <a:round/>
          </a:ln>
          <a:effectLst/>
        </c:spPr>
        <c:txPr>
          <a:bodyPr rot="-60000000" vert="horz"/>
          <a:lstStyle/>
          <a:p>
            <a:pPr>
              <a:defRPr/>
            </a:pPr>
            <a:endParaRPr lang="en-US"/>
          </a:p>
        </c:txPr>
        <c:crossAx val="2144600664"/>
        <c:crosses val="autoZero"/>
        <c:auto val="1"/>
        <c:lblAlgn val="ctr"/>
        <c:lblOffset val="100"/>
        <c:noMultiLvlLbl val="0"/>
      </c:catAx>
      <c:valAx>
        <c:axId val="214460066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vert="horz"/>
          <a:lstStyle/>
          <a:p>
            <a:pPr>
              <a:defRPr/>
            </a:pPr>
            <a:endParaRPr lang="en-US"/>
          </a:p>
        </c:txPr>
        <c:crossAx val="2144597208"/>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'Efficiency vs size'!$E$111</c:f>
              <c:strCache>
                <c:ptCount val="1"/>
                <c:pt idx="0">
                  <c:v>Conakry</c:v>
                </c:pt>
              </c:strCache>
            </c:strRef>
          </c:tx>
          <c:spPr>
            <a:ln w="28575" cap="rnd">
              <a:solidFill>
                <a:schemeClr val="accent1"/>
              </a:solidFill>
              <a:round/>
            </a:ln>
            <a:effectLst/>
          </c:spPr>
          <c:marker>
            <c:symbol val="none"/>
          </c:marker>
          <c:cat>
            <c:numRef>
              <c:f>'Efficiency vs size'!$F$71:$F$80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'Efficiency vs size'!$I$111:$I$120</c:f>
              <c:numCache>
                <c:formatCode>0.000</c:formatCode>
                <c:ptCount val="10"/>
                <c:pt idx="0">
                  <c:v>-0.13200174804293299</c:v>
                </c:pt>
                <c:pt idx="1">
                  <c:v>-0.16057185562763299</c:v>
                </c:pt>
                <c:pt idx="2">
                  <c:v>-0.14202310079436301</c:v>
                </c:pt>
                <c:pt idx="3">
                  <c:v>-0.16734262535952199</c:v>
                </c:pt>
                <c:pt idx="4">
                  <c:v>-0.18494864242756801</c:v>
                </c:pt>
                <c:pt idx="5">
                  <c:v>-0.18272321380367601</c:v>
                </c:pt>
                <c:pt idx="6">
                  <c:v>-0.22712325851781401</c:v>
                </c:pt>
                <c:pt idx="7">
                  <c:v>-0.25072850699882199</c:v>
                </c:pt>
                <c:pt idx="8">
                  <c:v>-0.22826154591059</c:v>
                </c:pt>
                <c:pt idx="9">
                  <c:v>-0.21557741487108301</c:v>
                </c:pt>
              </c:numCache>
            </c:numRef>
          </c:val>
          <c:smooth val="0"/>
          <c:extLst>
            <c:ext xmlns:c16="http://schemas.microsoft.com/office/drawing/2014/chart" uri="{C3380CC4-5D6E-409C-BE32-E72D297353CC}">
              <c16:uniqueId val="{00000000-985C-4344-9C88-650E1EE90F28}"/>
            </c:ext>
          </c:extLst>
        </c:ser>
        <c:ser>
          <c:idx val="2"/>
          <c:order val="1"/>
          <c:tx>
            <c:strRef>
              <c:f>'Efficiency vs size'!$E$101</c:f>
              <c:strCache>
                <c:ptCount val="1"/>
                <c:pt idx="0">
                  <c:v>Cotonou</c:v>
                </c:pt>
              </c:strCache>
            </c:strRef>
          </c:tx>
          <c:spPr>
            <a:ln w="28575" cap="rnd">
              <a:solidFill>
                <a:schemeClr val="accent1">
                  <a:tint val="65000"/>
                </a:schemeClr>
              </a:solidFill>
              <a:round/>
            </a:ln>
            <a:effectLst/>
          </c:spPr>
          <c:marker>
            <c:symbol val="none"/>
          </c:marker>
          <c:cat>
            <c:numRef>
              <c:f>'Efficiency vs size'!$F$71:$F$80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'Efficiency vs size'!$I$101:$I$110</c:f>
              <c:numCache>
                <c:formatCode>0.000</c:formatCode>
                <c:ptCount val="10"/>
                <c:pt idx="0">
                  <c:v>-4.1853768149156201E-2</c:v>
                </c:pt>
                <c:pt idx="1">
                  <c:v>-9.9389365891944994E-3</c:v>
                </c:pt>
                <c:pt idx="2">
                  <c:v>-8.8879896829876404E-2</c:v>
                </c:pt>
                <c:pt idx="3">
                  <c:v>-5.4777339352943002E-2</c:v>
                </c:pt>
                <c:pt idx="4">
                  <c:v>-8.2049830220923894E-2</c:v>
                </c:pt>
                <c:pt idx="5">
                  <c:v>-0.11587229936525401</c:v>
                </c:pt>
                <c:pt idx="6">
                  <c:v>-9.4510601186867604E-2</c:v>
                </c:pt>
                <c:pt idx="7">
                  <c:v>-8.1226605913790703E-2</c:v>
                </c:pt>
                <c:pt idx="8">
                  <c:v>-0.110275678415883</c:v>
                </c:pt>
                <c:pt idx="9">
                  <c:v>-6.3657614847027505E-2</c:v>
                </c:pt>
              </c:numCache>
            </c:numRef>
          </c:val>
          <c:smooth val="0"/>
          <c:extLst>
            <c:ext xmlns:c16="http://schemas.microsoft.com/office/drawing/2014/chart" uri="{C3380CC4-5D6E-409C-BE32-E72D297353CC}">
              <c16:uniqueId val="{00000001-985C-4344-9C88-650E1EE90F28}"/>
            </c:ext>
          </c:extLst>
        </c:ser>
        <c:dLbls>
          <c:showLegendKey val="0"/>
          <c:showVal val="0"/>
          <c:showCatName val="0"/>
          <c:showSerName val="0"/>
          <c:showPercent val="0"/>
          <c:showBubbleSize val="0"/>
        </c:dLbls>
        <c:smooth val="0"/>
        <c:axId val="2144644520"/>
        <c:axId val="2144647976"/>
      </c:lineChart>
      <c:catAx>
        <c:axId val="2144644520"/>
        <c:scaling>
          <c:orientation val="minMax"/>
        </c:scaling>
        <c:delete val="0"/>
        <c:axPos val="b"/>
        <c:numFmt formatCode="General" sourceLinked="1"/>
        <c:majorTickMark val="none"/>
        <c:minorTickMark val="none"/>
        <c:tickLblPos val="low"/>
        <c:spPr>
          <a:noFill/>
          <a:ln w="19050" cap="flat" cmpd="sng" algn="ctr">
            <a:solidFill>
              <a:schemeClr val="tx1">
                <a:lumMod val="15000"/>
                <a:lumOff val="85000"/>
              </a:schemeClr>
            </a:solidFill>
            <a:round/>
          </a:ln>
          <a:effectLst/>
        </c:spPr>
        <c:txPr>
          <a:bodyPr rot="-60000000" vert="horz"/>
          <a:lstStyle/>
          <a:p>
            <a:pPr>
              <a:defRPr/>
            </a:pPr>
            <a:endParaRPr lang="en-US"/>
          </a:p>
        </c:txPr>
        <c:crossAx val="2144647976"/>
        <c:crosses val="autoZero"/>
        <c:auto val="1"/>
        <c:lblAlgn val="ctr"/>
        <c:lblOffset val="100"/>
        <c:noMultiLvlLbl val="0"/>
      </c:catAx>
      <c:valAx>
        <c:axId val="214464797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vert="horz"/>
          <a:lstStyle/>
          <a:p>
            <a:pPr>
              <a:defRPr/>
            </a:pPr>
            <a:endParaRPr lang="en-US"/>
          </a:p>
        </c:txPr>
        <c:crossAx val="2144644520"/>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Sheet3!$L$9</c:f>
              <c:strCache>
                <c:ptCount val="1"/>
                <c:pt idx="0">
                  <c:v>Europe Trade Lane</c:v>
                </c:pt>
              </c:strCache>
            </c:strRef>
          </c:tx>
          <c:spPr>
            <a:solidFill>
              <a:schemeClr val="accent1">
                <a:shade val="65000"/>
              </a:schemeClr>
            </a:solidFill>
            <a:ln>
              <a:noFill/>
            </a:ln>
            <a:effectLst/>
          </c:spPr>
          <c:invertIfNegative val="0"/>
          <c:cat>
            <c:numRef>
              <c:f>Sheet3!$M$4:$O$4</c:f>
              <c:numCache>
                <c:formatCode>General</c:formatCode>
                <c:ptCount val="3"/>
                <c:pt idx="0">
                  <c:v>2005</c:v>
                </c:pt>
                <c:pt idx="1">
                  <c:v>2011</c:v>
                </c:pt>
                <c:pt idx="2">
                  <c:v>2014</c:v>
                </c:pt>
              </c:numCache>
            </c:numRef>
          </c:cat>
          <c:val>
            <c:numRef>
              <c:f>Sheet3!$M$9:$O$9</c:f>
              <c:numCache>
                <c:formatCode>General</c:formatCode>
                <c:ptCount val="3"/>
                <c:pt idx="0">
                  <c:v>1527.1</c:v>
                </c:pt>
                <c:pt idx="1">
                  <c:v>4053.6</c:v>
                </c:pt>
                <c:pt idx="2">
                  <c:v>3456.1</c:v>
                </c:pt>
              </c:numCache>
            </c:numRef>
          </c:val>
          <c:extLst>
            <c:ext xmlns:c16="http://schemas.microsoft.com/office/drawing/2014/chart" uri="{C3380CC4-5D6E-409C-BE32-E72D297353CC}">
              <c16:uniqueId val="{00000000-E8AB-47CE-B1B6-9663CE5B75EC}"/>
            </c:ext>
          </c:extLst>
        </c:ser>
        <c:ser>
          <c:idx val="1"/>
          <c:order val="1"/>
          <c:tx>
            <c:strRef>
              <c:f>Sheet3!$L$12</c:f>
              <c:strCache>
                <c:ptCount val="1"/>
                <c:pt idx="0">
                  <c:v>Asia trade: End-to-End</c:v>
                </c:pt>
              </c:strCache>
            </c:strRef>
          </c:tx>
          <c:spPr>
            <a:solidFill>
              <a:schemeClr val="accent1"/>
            </a:solidFill>
            <a:ln>
              <a:noFill/>
            </a:ln>
            <a:effectLst/>
          </c:spPr>
          <c:invertIfNegative val="0"/>
          <c:cat>
            <c:numRef>
              <c:f>Sheet3!$M$4:$O$4</c:f>
              <c:numCache>
                <c:formatCode>General</c:formatCode>
                <c:ptCount val="3"/>
                <c:pt idx="0">
                  <c:v>2005</c:v>
                </c:pt>
                <c:pt idx="1">
                  <c:v>2011</c:v>
                </c:pt>
                <c:pt idx="2">
                  <c:v>2014</c:v>
                </c:pt>
              </c:numCache>
            </c:numRef>
          </c:cat>
          <c:val>
            <c:numRef>
              <c:f>Sheet3!$M$12:$O$12</c:f>
              <c:numCache>
                <c:formatCode>General</c:formatCode>
                <c:ptCount val="3"/>
                <c:pt idx="0">
                  <c:v>650.70000000000005</c:v>
                </c:pt>
                <c:pt idx="1">
                  <c:v>2265</c:v>
                </c:pt>
                <c:pt idx="2">
                  <c:v>3963.8</c:v>
                </c:pt>
              </c:numCache>
            </c:numRef>
          </c:val>
          <c:extLst>
            <c:ext xmlns:c16="http://schemas.microsoft.com/office/drawing/2014/chart" uri="{C3380CC4-5D6E-409C-BE32-E72D297353CC}">
              <c16:uniqueId val="{00000001-E8AB-47CE-B1B6-9663CE5B75EC}"/>
            </c:ext>
          </c:extLst>
        </c:ser>
        <c:ser>
          <c:idx val="2"/>
          <c:order val="2"/>
          <c:tx>
            <c:strRef>
              <c:f>Sheet3!$L$13</c:f>
              <c:strCache>
                <c:ptCount val="1"/>
                <c:pt idx="0">
                  <c:v>Asia trade: Relay</c:v>
                </c:pt>
              </c:strCache>
            </c:strRef>
          </c:tx>
          <c:spPr>
            <a:solidFill>
              <a:schemeClr val="accent1">
                <a:tint val="65000"/>
              </a:schemeClr>
            </a:solidFill>
            <a:ln>
              <a:noFill/>
            </a:ln>
            <a:effectLst/>
          </c:spPr>
          <c:invertIfNegative val="0"/>
          <c:cat>
            <c:numRef>
              <c:f>Sheet3!$M$4:$O$4</c:f>
              <c:numCache>
                <c:formatCode>General</c:formatCode>
                <c:ptCount val="3"/>
                <c:pt idx="0">
                  <c:v>2005</c:v>
                </c:pt>
                <c:pt idx="1">
                  <c:v>2011</c:v>
                </c:pt>
                <c:pt idx="2">
                  <c:v>2014</c:v>
                </c:pt>
              </c:numCache>
            </c:numRef>
          </c:cat>
          <c:val>
            <c:numRef>
              <c:f>Sheet3!$M$13:$O$13</c:f>
              <c:numCache>
                <c:formatCode>General</c:formatCode>
                <c:ptCount val="3"/>
                <c:pt idx="0">
                  <c:v>407.9</c:v>
                </c:pt>
                <c:pt idx="1">
                  <c:v>1197</c:v>
                </c:pt>
                <c:pt idx="2">
                  <c:v>1331.8</c:v>
                </c:pt>
              </c:numCache>
            </c:numRef>
          </c:val>
          <c:extLst>
            <c:ext xmlns:c16="http://schemas.microsoft.com/office/drawing/2014/chart" uri="{C3380CC4-5D6E-409C-BE32-E72D297353CC}">
              <c16:uniqueId val="{00000002-E8AB-47CE-B1B6-9663CE5B75EC}"/>
            </c:ext>
          </c:extLst>
        </c:ser>
        <c:dLbls>
          <c:showLegendKey val="0"/>
          <c:showVal val="0"/>
          <c:showCatName val="0"/>
          <c:showSerName val="0"/>
          <c:showPercent val="0"/>
          <c:showBubbleSize val="0"/>
        </c:dLbls>
        <c:gapWidth val="150"/>
        <c:axId val="2146046840"/>
        <c:axId val="2146050536"/>
      </c:barChart>
      <c:catAx>
        <c:axId val="214604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050536"/>
        <c:crosses val="autoZero"/>
        <c:auto val="1"/>
        <c:lblAlgn val="ctr"/>
        <c:lblOffset val="100"/>
        <c:noMultiLvlLbl val="0"/>
      </c:catAx>
      <c:valAx>
        <c:axId val="2146050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046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Sheet5!$A$7</c:f>
              <c:strCache>
                <c:ptCount val="1"/>
                <c:pt idx="0">
                  <c:v>Less than 2,000 TEUs</c:v>
                </c:pt>
              </c:strCache>
            </c:strRef>
          </c:tx>
          <c:spPr>
            <a:solidFill>
              <a:schemeClr val="tx2">
                <a:lumMod val="20000"/>
                <a:lumOff val="80000"/>
              </a:schemeClr>
            </a:solidFill>
          </c:spPr>
          <c:invertIfNegative val="0"/>
          <c:cat>
            <c:numRef>
              <c:f>Sheet5!$B$1:$G$1</c:f>
              <c:numCache>
                <c:formatCode>General</c:formatCode>
                <c:ptCount val="6"/>
                <c:pt idx="0">
                  <c:v>2009</c:v>
                </c:pt>
                <c:pt idx="1">
                  <c:v>2010</c:v>
                </c:pt>
                <c:pt idx="2">
                  <c:v>2011</c:v>
                </c:pt>
                <c:pt idx="3">
                  <c:v>2012</c:v>
                </c:pt>
                <c:pt idx="4">
                  <c:v>2013</c:v>
                </c:pt>
                <c:pt idx="5">
                  <c:v>2014</c:v>
                </c:pt>
              </c:numCache>
            </c:numRef>
          </c:cat>
          <c:val>
            <c:numRef>
              <c:f>Sheet5!$B$7:$G$7</c:f>
              <c:numCache>
                <c:formatCode>General</c:formatCode>
                <c:ptCount val="6"/>
                <c:pt idx="0">
                  <c:v>42000</c:v>
                </c:pt>
                <c:pt idx="1">
                  <c:v>48000</c:v>
                </c:pt>
                <c:pt idx="2">
                  <c:v>21000</c:v>
                </c:pt>
                <c:pt idx="3">
                  <c:v>0</c:v>
                </c:pt>
                <c:pt idx="4">
                  <c:v>14000</c:v>
                </c:pt>
                <c:pt idx="5">
                  <c:v>0</c:v>
                </c:pt>
              </c:numCache>
            </c:numRef>
          </c:val>
          <c:extLst>
            <c:ext xmlns:c16="http://schemas.microsoft.com/office/drawing/2014/chart" uri="{C3380CC4-5D6E-409C-BE32-E72D297353CC}">
              <c16:uniqueId val="{00000000-6FA8-4136-B80D-A68230FF7A3B}"/>
            </c:ext>
          </c:extLst>
        </c:ser>
        <c:ser>
          <c:idx val="1"/>
          <c:order val="1"/>
          <c:tx>
            <c:strRef>
              <c:f>Sheet5!$A$8</c:f>
              <c:strCache>
                <c:ptCount val="1"/>
                <c:pt idx="0">
                  <c:v>2,000 - 3,000 TEUs</c:v>
                </c:pt>
              </c:strCache>
            </c:strRef>
          </c:tx>
          <c:invertIfNegative val="0"/>
          <c:cat>
            <c:numRef>
              <c:f>Sheet5!$B$1:$G$1</c:f>
              <c:numCache>
                <c:formatCode>General</c:formatCode>
                <c:ptCount val="6"/>
                <c:pt idx="0">
                  <c:v>2009</c:v>
                </c:pt>
                <c:pt idx="1">
                  <c:v>2010</c:v>
                </c:pt>
                <c:pt idx="2">
                  <c:v>2011</c:v>
                </c:pt>
                <c:pt idx="3">
                  <c:v>2012</c:v>
                </c:pt>
                <c:pt idx="4">
                  <c:v>2013</c:v>
                </c:pt>
                <c:pt idx="5">
                  <c:v>2014</c:v>
                </c:pt>
              </c:numCache>
            </c:numRef>
          </c:cat>
          <c:val>
            <c:numRef>
              <c:f>Sheet5!$B$8:$G$8</c:f>
              <c:numCache>
                <c:formatCode>General</c:formatCode>
                <c:ptCount val="6"/>
                <c:pt idx="0">
                  <c:v>82000</c:v>
                </c:pt>
                <c:pt idx="1">
                  <c:v>128000</c:v>
                </c:pt>
                <c:pt idx="2">
                  <c:v>179000</c:v>
                </c:pt>
                <c:pt idx="3">
                  <c:v>160000</c:v>
                </c:pt>
                <c:pt idx="4">
                  <c:v>177000</c:v>
                </c:pt>
                <c:pt idx="5">
                  <c:v>123000</c:v>
                </c:pt>
              </c:numCache>
            </c:numRef>
          </c:val>
          <c:extLst>
            <c:ext xmlns:c16="http://schemas.microsoft.com/office/drawing/2014/chart" uri="{C3380CC4-5D6E-409C-BE32-E72D297353CC}">
              <c16:uniqueId val="{00000001-6FA8-4136-B80D-A68230FF7A3B}"/>
            </c:ext>
          </c:extLst>
        </c:ser>
        <c:ser>
          <c:idx val="2"/>
          <c:order val="2"/>
          <c:tx>
            <c:strRef>
              <c:f>Sheet5!$A$9</c:f>
              <c:strCache>
                <c:ptCount val="1"/>
                <c:pt idx="0">
                  <c:v>3,000 - 4,000 TEUs</c:v>
                </c:pt>
              </c:strCache>
            </c:strRef>
          </c:tx>
          <c:spPr>
            <a:solidFill>
              <a:schemeClr val="tx2">
                <a:lumMod val="40000"/>
                <a:lumOff val="60000"/>
              </a:schemeClr>
            </a:solidFill>
          </c:spPr>
          <c:invertIfNegative val="0"/>
          <c:cat>
            <c:numRef>
              <c:f>Sheet5!$B$1:$G$1</c:f>
              <c:numCache>
                <c:formatCode>General</c:formatCode>
                <c:ptCount val="6"/>
                <c:pt idx="0">
                  <c:v>2009</c:v>
                </c:pt>
                <c:pt idx="1">
                  <c:v>2010</c:v>
                </c:pt>
                <c:pt idx="2">
                  <c:v>2011</c:v>
                </c:pt>
                <c:pt idx="3">
                  <c:v>2012</c:v>
                </c:pt>
                <c:pt idx="4">
                  <c:v>2013</c:v>
                </c:pt>
                <c:pt idx="5">
                  <c:v>2014</c:v>
                </c:pt>
              </c:numCache>
            </c:numRef>
          </c:cat>
          <c:val>
            <c:numRef>
              <c:f>Sheet5!$B$9:$G$9</c:f>
              <c:numCache>
                <c:formatCode>General</c:formatCode>
                <c:ptCount val="6"/>
                <c:pt idx="0">
                  <c:v>44000</c:v>
                </c:pt>
                <c:pt idx="1">
                  <c:v>62000</c:v>
                </c:pt>
                <c:pt idx="2">
                  <c:v>69000</c:v>
                </c:pt>
                <c:pt idx="3">
                  <c:v>67000</c:v>
                </c:pt>
                <c:pt idx="4">
                  <c:v>105000</c:v>
                </c:pt>
                <c:pt idx="5">
                  <c:v>121000</c:v>
                </c:pt>
              </c:numCache>
            </c:numRef>
          </c:val>
          <c:extLst>
            <c:ext xmlns:c16="http://schemas.microsoft.com/office/drawing/2014/chart" uri="{C3380CC4-5D6E-409C-BE32-E72D297353CC}">
              <c16:uniqueId val="{00000002-6FA8-4136-B80D-A68230FF7A3B}"/>
            </c:ext>
          </c:extLst>
        </c:ser>
        <c:ser>
          <c:idx val="3"/>
          <c:order val="3"/>
          <c:tx>
            <c:strRef>
              <c:f>Sheet5!$A$10</c:f>
              <c:strCache>
                <c:ptCount val="1"/>
                <c:pt idx="0">
                  <c:v>4,000 - 5,000 TEUs</c:v>
                </c:pt>
              </c:strCache>
            </c:strRef>
          </c:tx>
          <c:spPr>
            <a:solidFill>
              <a:schemeClr val="tx2">
                <a:lumMod val="60000"/>
                <a:lumOff val="40000"/>
              </a:schemeClr>
            </a:solidFill>
          </c:spPr>
          <c:invertIfNegative val="0"/>
          <c:cat>
            <c:numRef>
              <c:f>Sheet5!$B$1:$G$1</c:f>
              <c:numCache>
                <c:formatCode>General</c:formatCode>
                <c:ptCount val="6"/>
                <c:pt idx="0">
                  <c:v>2009</c:v>
                </c:pt>
                <c:pt idx="1">
                  <c:v>2010</c:v>
                </c:pt>
                <c:pt idx="2">
                  <c:v>2011</c:v>
                </c:pt>
                <c:pt idx="3">
                  <c:v>2012</c:v>
                </c:pt>
                <c:pt idx="4">
                  <c:v>2013</c:v>
                </c:pt>
                <c:pt idx="5">
                  <c:v>2014</c:v>
                </c:pt>
              </c:numCache>
            </c:numRef>
          </c:cat>
          <c:val>
            <c:numRef>
              <c:f>Sheet5!$B$10:$G$10</c:f>
              <c:numCache>
                <c:formatCode>General</c:formatCode>
                <c:ptCount val="6"/>
                <c:pt idx="2">
                  <c:v>39000</c:v>
                </c:pt>
                <c:pt idx="3">
                  <c:v>90000</c:v>
                </c:pt>
                <c:pt idx="4">
                  <c:v>126000</c:v>
                </c:pt>
                <c:pt idx="5">
                  <c:v>233000</c:v>
                </c:pt>
              </c:numCache>
            </c:numRef>
          </c:val>
          <c:extLst>
            <c:ext xmlns:c16="http://schemas.microsoft.com/office/drawing/2014/chart" uri="{C3380CC4-5D6E-409C-BE32-E72D297353CC}">
              <c16:uniqueId val="{00000003-6FA8-4136-B80D-A68230FF7A3B}"/>
            </c:ext>
          </c:extLst>
        </c:ser>
        <c:ser>
          <c:idx val="4"/>
          <c:order val="4"/>
          <c:tx>
            <c:strRef>
              <c:f>Sheet5!$A$11</c:f>
              <c:strCache>
                <c:ptCount val="1"/>
                <c:pt idx="0">
                  <c:v>Over 5,000 TEUs</c:v>
                </c:pt>
              </c:strCache>
            </c:strRef>
          </c:tx>
          <c:spPr>
            <a:solidFill>
              <a:schemeClr val="tx2">
                <a:lumMod val="50000"/>
              </a:schemeClr>
            </a:solidFill>
          </c:spPr>
          <c:invertIfNegative val="0"/>
          <c:cat>
            <c:numRef>
              <c:f>Sheet5!$B$1:$G$1</c:f>
              <c:numCache>
                <c:formatCode>General</c:formatCode>
                <c:ptCount val="6"/>
                <c:pt idx="0">
                  <c:v>2009</c:v>
                </c:pt>
                <c:pt idx="1">
                  <c:v>2010</c:v>
                </c:pt>
                <c:pt idx="2">
                  <c:v>2011</c:v>
                </c:pt>
                <c:pt idx="3">
                  <c:v>2012</c:v>
                </c:pt>
                <c:pt idx="4">
                  <c:v>2013</c:v>
                </c:pt>
                <c:pt idx="5">
                  <c:v>2014</c:v>
                </c:pt>
              </c:numCache>
            </c:numRef>
          </c:cat>
          <c:val>
            <c:numRef>
              <c:f>Sheet5!$B$11:$G$11</c:f>
              <c:numCache>
                <c:formatCode>General</c:formatCode>
                <c:ptCount val="6"/>
                <c:pt idx="4">
                  <c:v>4000</c:v>
                </c:pt>
                <c:pt idx="5">
                  <c:v>113000</c:v>
                </c:pt>
              </c:numCache>
            </c:numRef>
          </c:val>
          <c:extLst>
            <c:ext xmlns:c16="http://schemas.microsoft.com/office/drawing/2014/chart" uri="{C3380CC4-5D6E-409C-BE32-E72D297353CC}">
              <c16:uniqueId val="{00000004-6FA8-4136-B80D-A68230FF7A3B}"/>
            </c:ext>
          </c:extLst>
        </c:ser>
        <c:dLbls>
          <c:showLegendKey val="0"/>
          <c:showVal val="0"/>
          <c:showCatName val="0"/>
          <c:showSerName val="0"/>
          <c:showPercent val="0"/>
          <c:showBubbleSize val="0"/>
        </c:dLbls>
        <c:gapWidth val="75"/>
        <c:overlap val="100"/>
        <c:axId val="2146128504"/>
        <c:axId val="2146131480"/>
      </c:barChart>
      <c:lineChart>
        <c:grouping val="standard"/>
        <c:varyColors val="0"/>
        <c:ser>
          <c:idx val="5"/>
          <c:order val="5"/>
          <c:tx>
            <c:strRef>
              <c:f>Sheet5!$A$2</c:f>
              <c:strCache>
                <c:ptCount val="1"/>
                <c:pt idx="0">
                  <c:v>Average ship size</c:v>
                </c:pt>
              </c:strCache>
            </c:strRef>
          </c:tx>
          <c:spPr>
            <a:ln>
              <a:solidFill>
                <a:schemeClr val="tx2"/>
              </a:solidFill>
              <a:prstDash val="solid"/>
            </a:ln>
          </c:spPr>
          <c:marker>
            <c:symbol val="none"/>
          </c:marker>
          <c:cat>
            <c:numRef>
              <c:f>Sheet5!$B$1:$G$1</c:f>
              <c:numCache>
                <c:formatCode>General</c:formatCode>
                <c:ptCount val="6"/>
                <c:pt idx="0">
                  <c:v>2009</c:v>
                </c:pt>
                <c:pt idx="1">
                  <c:v>2010</c:v>
                </c:pt>
                <c:pt idx="2">
                  <c:v>2011</c:v>
                </c:pt>
                <c:pt idx="3">
                  <c:v>2012</c:v>
                </c:pt>
                <c:pt idx="4">
                  <c:v>2013</c:v>
                </c:pt>
                <c:pt idx="5">
                  <c:v>2014</c:v>
                </c:pt>
              </c:numCache>
            </c:numRef>
          </c:cat>
          <c:val>
            <c:numRef>
              <c:f>Sheet5!$B$2:$G$2</c:f>
              <c:numCache>
                <c:formatCode>General</c:formatCode>
                <c:ptCount val="6"/>
                <c:pt idx="0">
                  <c:v>2340</c:v>
                </c:pt>
                <c:pt idx="1">
                  <c:v>2415</c:v>
                </c:pt>
                <c:pt idx="2">
                  <c:v>2730</c:v>
                </c:pt>
                <c:pt idx="3">
                  <c:v>3040</c:v>
                </c:pt>
                <c:pt idx="4">
                  <c:v>3150</c:v>
                </c:pt>
                <c:pt idx="5">
                  <c:v>3780</c:v>
                </c:pt>
              </c:numCache>
            </c:numRef>
          </c:val>
          <c:smooth val="0"/>
          <c:extLst>
            <c:ext xmlns:c16="http://schemas.microsoft.com/office/drawing/2014/chart" uri="{C3380CC4-5D6E-409C-BE32-E72D297353CC}">
              <c16:uniqueId val="{00000005-6FA8-4136-B80D-A68230FF7A3B}"/>
            </c:ext>
          </c:extLst>
        </c:ser>
        <c:ser>
          <c:idx val="6"/>
          <c:order val="6"/>
          <c:tx>
            <c:strRef>
              <c:f>Sheet5!$A$3</c:f>
              <c:strCache>
                <c:ptCount val="1"/>
                <c:pt idx="0">
                  <c:v>Min ship size</c:v>
                </c:pt>
              </c:strCache>
            </c:strRef>
          </c:tx>
          <c:spPr>
            <a:ln>
              <a:solidFill>
                <a:schemeClr val="tx2">
                  <a:lumMod val="75000"/>
                </a:schemeClr>
              </a:solidFill>
              <a:prstDash val="sysDash"/>
            </a:ln>
          </c:spPr>
          <c:marker>
            <c:symbol val="none"/>
          </c:marker>
          <c:cat>
            <c:numRef>
              <c:f>Sheet5!$B$1:$G$1</c:f>
              <c:numCache>
                <c:formatCode>General</c:formatCode>
                <c:ptCount val="6"/>
                <c:pt idx="0">
                  <c:v>2009</c:v>
                </c:pt>
                <c:pt idx="1">
                  <c:v>2010</c:v>
                </c:pt>
                <c:pt idx="2">
                  <c:v>2011</c:v>
                </c:pt>
                <c:pt idx="3">
                  <c:v>2012</c:v>
                </c:pt>
                <c:pt idx="4">
                  <c:v>2013</c:v>
                </c:pt>
                <c:pt idx="5">
                  <c:v>2014</c:v>
                </c:pt>
              </c:numCache>
            </c:numRef>
          </c:cat>
          <c:val>
            <c:numRef>
              <c:f>Sheet5!$B$3:$G$3</c:f>
              <c:numCache>
                <c:formatCode>General</c:formatCode>
                <c:ptCount val="6"/>
                <c:pt idx="0">
                  <c:v>1130</c:v>
                </c:pt>
                <c:pt idx="1">
                  <c:v>1415</c:v>
                </c:pt>
                <c:pt idx="2">
                  <c:v>1400</c:v>
                </c:pt>
                <c:pt idx="3">
                  <c:v>1760</c:v>
                </c:pt>
                <c:pt idx="4">
                  <c:v>1735</c:v>
                </c:pt>
                <c:pt idx="5">
                  <c:v>2460</c:v>
                </c:pt>
              </c:numCache>
            </c:numRef>
          </c:val>
          <c:smooth val="0"/>
          <c:extLst>
            <c:ext xmlns:c16="http://schemas.microsoft.com/office/drawing/2014/chart" uri="{C3380CC4-5D6E-409C-BE32-E72D297353CC}">
              <c16:uniqueId val="{00000006-6FA8-4136-B80D-A68230FF7A3B}"/>
            </c:ext>
          </c:extLst>
        </c:ser>
        <c:ser>
          <c:idx val="7"/>
          <c:order val="7"/>
          <c:tx>
            <c:strRef>
              <c:f>Sheet5!$A$4</c:f>
              <c:strCache>
                <c:ptCount val="1"/>
                <c:pt idx="0">
                  <c:v>Max ship size</c:v>
                </c:pt>
              </c:strCache>
            </c:strRef>
          </c:tx>
          <c:spPr>
            <a:ln>
              <a:prstDash val="sysDash"/>
            </a:ln>
          </c:spPr>
          <c:marker>
            <c:symbol val="none"/>
          </c:marker>
          <c:cat>
            <c:numRef>
              <c:f>Sheet5!$B$1:$G$1</c:f>
              <c:numCache>
                <c:formatCode>General</c:formatCode>
                <c:ptCount val="6"/>
                <c:pt idx="0">
                  <c:v>2009</c:v>
                </c:pt>
                <c:pt idx="1">
                  <c:v>2010</c:v>
                </c:pt>
                <c:pt idx="2">
                  <c:v>2011</c:v>
                </c:pt>
                <c:pt idx="3">
                  <c:v>2012</c:v>
                </c:pt>
                <c:pt idx="4">
                  <c:v>2013</c:v>
                </c:pt>
                <c:pt idx="5">
                  <c:v>2014</c:v>
                </c:pt>
              </c:numCache>
            </c:numRef>
          </c:cat>
          <c:val>
            <c:numRef>
              <c:f>Sheet5!$B$4:$G$4</c:f>
              <c:numCache>
                <c:formatCode>General</c:formatCode>
                <c:ptCount val="6"/>
                <c:pt idx="0">
                  <c:v>3530</c:v>
                </c:pt>
                <c:pt idx="1">
                  <c:v>3680</c:v>
                </c:pt>
                <c:pt idx="2">
                  <c:v>4495</c:v>
                </c:pt>
                <c:pt idx="3">
                  <c:v>4495</c:v>
                </c:pt>
                <c:pt idx="4">
                  <c:v>5100</c:v>
                </c:pt>
                <c:pt idx="5">
                  <c:v>6600</c:v>
                </c:pt>
              </c:numCache>
            </c:numRef>
          </c:val>
          <c:smooth val="0"/>
          <c:extLst>
            <c:ext xmlns:c16="http://schemas.microsoft.com/office/drawing/2014/chart" uri="{C3380CC4-5D6E-409C-BE32-E72D297353CC}">
              <c16:uniqueId val="{00000007-6FA8-4136-B80D-A68230FF7A3B}"/>
            </c:ext>
          </c:extLst>
        </c:ser>
        <c:dLbls>
          <c:showLegendKey val="0"/>
          <c:showVal val="0"/>
          <c:showCatName val="0"/>
          <c:showSerName val="0"/>
          <c:showPercent val="0"/>
          <c:showBubbleSize val="0"/>
        </c:dLbls>
        <c:marker val="1"/>
        <c:smooth val="0"/>
        <c:axId val="2146142952"/>
        <c:axId val="2146137496"/>
      </c:lineChart>
      <c:catAx>
        <c:axId val="2146128504"/>
        <c:scaling>
          <c:orientation val="minMax"/>
        </c:scaling>
        <c:delete val="0"/>
        <c:axPos val="b"/>
        <c:numFmt formatCode="General" sourceLinked="1"/>
        <c:majorTickMark val="none"/>
        <c:minorTickMark val="none"/>
        <c:tickLblPos val="nextTo"/>
        <c:crossAx val="2146131480"/>
        <c:crosses val="autoZero"/>
        <c:auto val="1"/>
        <c:lblAlgn val="ctr"/>
        <c:lblOffset val="100"/>
        <c:noMultiLvlLbl val="0"/>
      </c:catAx>
      <c:valAx>
        <c:axId val="2146131480"/>
        <c:scaling>
          <c:orientation val="minMax"/>
        </c:scaling>
        <c:delete val="0"/>
        <c:axPos val="l"/>
        <c:majorGridlines>
          <c:spPr>
            <a:ln>
              <a:solidFill>
                <a:sysClr val="window" lastClr="FFFFFF">
                  <a:lumMod val="75000"/>
                </a:sysClr>
              </a:solidFill>
            </a:ln>
          </c:spPr>
        </c:majorGridlines>
        <c:minorGridlines>
          <c:spPr>
            <a:ln>
              <a:noFill/>
            </a:ln>
          </c:spPr>
        </c:minorGridlines>
        <c:title>
          <c:tx>
            <c:rich>
              <a:bodyPr rot="-5400000" vert="horz"/>
              <a:lstStyle/>
              <a:p>
                <a:pPr>
                  <a:defRPr/>
                </a:pPr>
                <a:r>
                  <a:rPr lang="en-US"/>
                  <a:t>Total capacity deployed</a:t>
                </a:r>
              </a:p>
            </c:rich>
          </c:tx>
          <c:overlay val="0"/>
        </c:title>
        <c:numFmt formatCode="#,##0" sourceLinked="0"/>
        <c:majorTickMark val="out"/>
        <c:minorTickMark val="none"/>
        <c:tickLblPos val="nextTo"/>
        <c:crossAx val="2146128504"/>
        <c:crosses val="autoZero"/>
        <c:crossBetween val="between"/>
      </c:valAx>
      <c:valAx>
        <c:axId val="2146137496"/>
        <c:scaling>
          <c:orientation val="minMax"/>
        </c:scaling>
        <c:delete val="0"/>
        <c:axPos val="r"/>
        <c:title>
          <c:tx>
            <c:rich>
              <a:bodyPr rot="-5400000" vert="horz"/>
              <a:lstStyle/>
              <a:p>
                <a:pPr>
                  <a:defRPr/>
                </a:pPr>
                <a:r>
                  <a:rPr lang="en-US"/>
                  <a:t>Ship size in TEUs</a:t>
                </a:r>
              </a:p>
            </c:rich>
          </c:tx>
          <c:overlay val="0"/>
        </c:title>
        <c:numFmt formatCode="General" sourceLinked="1"/>
        <c:majorTickMark val="out"/>
        <c:minorTickMark val="none"/>
        <c:tickLblPos val="nextTo"/>
        <c:crossAx val="2146142952"/>
        <c:crosses val="max"/>
        <c:crossBetween val="between"/>
      </c:valAx>
      <c:catAx>
        <c:axId val="2146142952"/>
        <c:scaling>
          <c:orientation val="minMax"/>
        </c:scaling>
        <c:delete val="1"/>
        <c:axPos val="b"/>
        <c:numFmt formatCode="General" sourceLinked="1"/>
        <c:majorTickMark val="out"/>
        <c:minorTickMark val="none"/>
        <c:tickLblPos val="none"/>
        <c:crossAx val="2146137496"/>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a:latin typeface="+mn-lt"/>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Shanghai Lagos (20')</c:v>
                </c:pt>
              </c:strCache>
            </c:strRef>
          </c:tx>
          <c:spPr>
            <a:ln w="28575" cap="rnd">
              <a:solidFill>
                <a:schemeClr val="accent1">
                  <a:shade val="65000"/>
                </a:schemeClr>
              </a:solidFill>
              <a:round/>
            </a:ln>
            <a:effectLst/>
          </c:spPr>
          <c:marker>
            <c:symbol val="none"/>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2247</c:v>
                </c:pt>
                <c:pt idx="1">
                  <c:v>2305</c:v>
                </c:pt>
                <c:pt idx="2">
                  <c:v>1908</c:v>
                </c:pt>
                <c:pt idx="3">
                  <c:v>2092</c:v>
                </c:pt>
                <c:pt idx="4">
                  <c:v>1927</c:v>
                </c:pt>
                <c:pt idx="5">
                  <c:v>1838</c:v>
                </c:pt>
                <c:pt idx="6">
                  <c:v>1449</c:v>
                </c:pt>
              </c:numCache>
            </c:numRef>
          </c:val>
          <c:smooth val="0"/>
          <c:extLst>
            <c:ext xmlns:c16="http://schemas.microsoft.com/office/drawing/2014/chart" uri="{C3380CC4-5D6E-409C-BE32-E72D297353CC}">
              <c16:uniqueId val="{00000000-019A-4D43-A3AF-9A444B0A2037}"/>
            </c:ext>
          </c:extLst>
        </c:ser>
        <c:ser>
          <c:idx val="1"/>
          <c:order val="1"/>
          <c:tx>
            <c:strRef>
              <c:f>Sheet1!$A$3</c:f>
              <c:strCache>
                <c:ptCount val="1"/>
                <c:pt idx="0">
                  <c:v>Shanghai North Europe (20')</c:v>
                </c:pt>
              </c:strCache>
            </c:strRef>
          </c:tx>
          <c:spPr>
            <a:ln w="28575" cap="rnd">
              <a:solidFill>
                <a:schemeClr val="accent1"/>
              </a:solidFill>
              <a:round/>
            </a:ln>
            <a:effectLst/>
          </c:spPr>
          <c:marker>
            <c:symbol val="none"/>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1395</c:v>
                </c:pt>
                <c:pt idx="1">
                  <c:v>1789</c:v>
                </c:pt>
                <c:pt idx="2">
                  <c:v>881</c:v>
                </c:pt>
                <c:pt idx="3">
                  <c:v>1353</c:v>
                </c:pt>
                <c:pt idx="4">
                  <c:v>1084</c:v>
                </c:pt>
                <c:pt idx="5">
                  <c:v>1161</c:v>
                </c:pt>
                <c:pt idx="6">
                  <c:v>629</c:v>
                </c:pt>
              </c:numCache>
            </c:numRef>
          </c:val>
          <c:smooth val="0"/>
          <c:extLst>
            <c:ext xmlns:c16="http://schemas.microsoft.com/office/drawing/2014/chart" uri="{C3380CC4-5D6E-409C-BE32-E72D297353CC}">
              <c16:uniqueId val="{00000001-019A-4D43-A3AF-9A444B0A2037}"/>
            </c:ext>
          </c:extLst>
        </c:ser>
        <c:ser>
          <c:idx val="2"/>
          <c:order val="2"/>
          <c:tx>
            <c:strRef>
              <c:f>Sheet1!$A$4</c:f>
              <c:strCache>
                <c:ptCount val="1"/>
                <c:pt idx="0">
                  <c:v>Shanghai US West Coast (40')</c:v>
                </c:pt>
              </c:strCache>
            </c:strRef>
          </c:tx>
          <c:spPr>
            <a:ln w="28575" cap="rnd">
              <a:solidFill>
                <a:schemeClr val="accent1">
                  <a:tint val="65000"/>
                </a:schemeClr>
              </a:solidFill>
              <a:round/>
            </a:ln>
            <a:effectLst/>
          </c:spPr>
          <c:marker>
            <c:symbol val="none"/>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Sheet1!$B$4:$H$4</c:f>
              <c:numCache>
                <c:formatCode>General</c:formatCode>
                <c:ptCount val="7"/>
                <c:pt idx="0">
                  <c:v>1372</c:v>
                </c:pt>
                <c:pt idx="1">
                  <c:v>2308</c:v>
                </c:pt>
                <c:pt idx="2">
                  <c:v>1667</c:v>
                </c:pt>
                <c:pt idx="3">
                  <c:v>2287</c:v>
                </c:pt>
                <c:pt idx="4">
                  <c:v>2033</c:v>
                </c:pt>
                <c:pt idx="5">
                  <c:v>1970</c:v>
                </c:pt>
                <c:pt idx="6">
                  <c:v>1506</c:v>
                </c:pt>
              </c:numCache>
            </c:numRef>
          </c:val>
          <c:smooth val="0"/>
          <c:extLst>
            <c:ext xmlns:c16="http://schemas.microsoft.com/office/drawing/2014/chart" uri="{C3380CC4-5D6E-409C-BE32-E72D297353CC}">
              <c16:uniqueId val="{00000002-019A-4D43-A3AF-9A444B0A2037}"/>
            </c:ext>
          </c:extLst>
        </c:ser>
        <c:dLbls>
          <c:showLegendKey val="0"/>
          <c:showVal val="0"/>
          <c:showCatName val="0"/>
          <c:showSerName val="0"/>
          <c:showPercent val="0"/>
          <c:showBubbleSize val="0"/>
        </c:dLbls>
        <c:smooth val="0"/>
        <c:axId val="2146179848"/>
        <c:axId val="2146183544"/>
      </c:lineChart>
      <c:catAx>
        <c:axId val="214617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183544"/>
        <c:crosses val="autoZero"/>
        <c:auto val="1"/>
        <c:lblAlgn val="ctr"/>
        <c:lblOffset val="100"/>
        <c:noMultiLvlLbl val="0"/>
      </c:catAx>
      <c:valAx>
        <c:axId val="2146183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a:t>
                </a:r>
                <a:r>
                  <a:rPr lang="en-US" baseline="0"/>
                  <a:t> </a:t>
                </a:r>
                <a:r>
                  <a:rPr lang="en-US"/>
                  <a:t>per container (size varies</a:t>
                </a:r>
                <a:r>
                  <a:rPr lang="en-US" baseline="0"/>
                  <a:t> per trade)</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17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3000"/>
                </a:schemeClr>
              </a:solidFill>
              <a:ln>
                <a:noFill/>
              </a:ln>
              <a:effectLst/>
            </c:spPr>
            <c:extLst>
              <c:ext xmlns:c16="http://schemas.microsoft.com/office/drawing/2014/chart" uri="{C3380CC4-5D6E-409C-BE32-E72D297353CC}">
                <c16:uniqueId val="{00000001-7393-4539-B8B0-FA336BCFC724}"/>
              </c:ext>
            </c:extLst>
          </c:dPt>
          <c:dPt>
            <c:idx val="1"/>
            <c:bubble3D val="0"/>
            <c:spPr>
              <a:solidFill>
                <a:schemeClr val="accent1">
                  <a:shade val="76000"/>
                </a:schemeClr>
              </a:solidFill>
              <a:ln>
                <a:noFill/>
              </a:ln>
              <a:effectLst/>
            </c:spPr>
            <c:extLst>
              <c:ext xmlns:c16="http://schemas.microsoft.com/office/drawing/2014/chart" uri="{C3380CC4-5D6E-409C-BE32-E72D297353CC}">
                <c16:uniqueId val="{00000003-7393-4539-B8B0-FA336BCFC724}"/>
              </c:ext>
            </c:extLst>
          </c:dPt>
          <c:dPt>
            <c:idx val="2"/>
            <c:bubble3D val="0"/>
            <c:spPr>
              <a:solidFill>
                <a:schemeClr val="accent1"/>
              </a:solidFill>
              <a:ln>
                <a:noFill/>
              </a:ln>
              <a:effectLst/>
            </c:spPr>
            <c:extLst>
              <c:ext xmlns:c16="http://schemas.microsoft.com/office/drawing/2014/chart" uri="{C3380CC4-5D6E-409C-BE32-E72D297353CC}">
                <c16:uniqueId val="{00000005-7393-4539-B8B0-FA336BCFC724}"/>
              </c:ext>
            </c:extLst>
          </c:dPt>
          <c:dPt>
            <c:idx val="3"/>
            <c:bubble3D val="0"/>
            <c:spPr>
              <a:solidFill>
                <a:schemeClr val="accent1">
                  <a:tint val="77000"/>
                </a:schemeClr>
              </a:solidFill>
              <a:ln>
                <a:noFill/>
              </a:ln>
              <a:effectLst/>
            </c:spPr>
            <c:extLst>
              <c:ext xmlns:c16="http://schemas.microsoft.com/office/drawing/2014/chart" uri="{C3380CC4-5D6E-409C-BE32-E72D297353CC}">
                <c16:uniqueId val="{00000007-7393-4539-B8B0-FA336BCFC724}"/>
              </c:ext>
            </c:extLst>
          </c:dPt>
          <c:dPt>
            <c:idx val="4"/>
            <c:bubble3D val="0"/>
            <c:spPr>
              <a:solidFill>
                <a:schemeClr val="accent1">
                  <a:tint val="54000"/>
                </a:schemeClr>
              </a:solidFill>
              <a:ln>
                <a:noFill/>
              </a:ln>
              <a:effectLst/>
            </c:spPr>
            <c:extLst>
              <c:ext xmlns:c16="http://schemas.microsoft.com/office/drawing/2014/chart" uri="{C3380CC4-5D6E-409C-BE32-E72D297353CC}">
                <c16:uniqueId val="{00000009-7393-4539-B8B0-FA336BCFC724}"/>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'Shipping lines'!$G$2:$G$6</c:f>
              <c:strCache>
                <c:ptCount val="5"/>
                <c:pt idx="0">
                  <c:v>Maersk Lines</c:v>
                </c:pt>
                <c:pt idx="1">
                  <c:v>MSC</c:v>
                </c:pt>
                <c:pt idx="2">
                  <c:v>CMA CGM</c:v>
                </c:pt>
                <c:pt idx="3">
                  <c:v>Rest of Top 10</c:v>
                </c:pt>
                <c:pt idx="4">
                  <c:v>All others</c:v>
                </c:pt>
              </c:strCache>
            </c:strRef>
          </c:cat>
          <c:val>
            <c:numRef>
              <c:f>'Shipping lines'!$H$2:$H$6</c:f>
              <c:numCache>
                <c:formatCode>#,##0</c:formatCode>
                <c:ptCount val="5"/>
                <c:pt idx="0">
                  <c:v>3018610</c:v>
                </c:pt>
                <c:pt idx="1">
                  <c:v>2659061</c:v>
                </c:pt>
                <c:pt idx="2">
                  <c:v>1816467</c:v>
                </c:pt>
                <c:pt idx="3">
                  <c:v>5295955</c:v>
                </c:pt>
                <c:pt idx="4">
                  <c:v>7374540</c:v>
                </c:pt>
              </c:numCache>
            </c:numRef>
          </c:val>
          <c:extLst>
            <c:ext xmlns:c16="http://schemas.microsoft.com/office/drawing/2014/chart" uri="{C3380CC4-5D6E-409C-BE32-E72D297353CC}">
              <c16:uniqueId val="{0000000A-7393-4539-B8B0-FA336BCFC72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3802335052946"/>
          <c:y val="0.83166842950601305"/>
          <c:w val="0.76480912299755699"/>
          <c:h val="0.148431072981549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noFill/>
      <a:prstDash val="solid"/>
      <a:round/>
    </a:ln>
    <a:effectLst/>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862863162865799"/>
          <c:y val="8.6227523798331193E-2"/>
          <c:w val="0.62119681406606198"/>
          <c:h val="0.66987268382497001"/>
        </c:manualLayout>
      </c:layout>
      <c:pieChart>
        <c:varyColors val="1"/>
        <c:ser>
          <c:idx val="0"/>
          <c:order val="0"/>
          <c:dPt>
            <c:idx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1EB1-41B8-80AB-C244A0F7FA71}"/>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1EB1-41B8-80AB-C244A0F7FA71}"/>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1EB1-41B8-80AB-C244A0F7FA71}"/>
              </c:ext>
            </c:extLst>
          </c:dPt>
          <c:dPt>
            <c:idx val="3"/>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7-1EB1-41B8-80AB-C244A0F7FA71}"/>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1EB1-41B8-80AB-C244A0F7FA71}"/>
              </c:ext>
            </c:extLst>
          </c:dPt>
          <c:dPt>
            <c:idx val="5"/>
            <c:bubble3D val="0"/>
            <c:spPr>
              <a:solidFill>
                <a:schemeClr val="accent1">
                  <a:tint val="50000"/>
                </a:schemeClr>
              </a:solidFill>
              <a:ln w="19050">
                <a:solidFill>
                  <a:schemeClr val="lt1"/>
                </a:solidFill>
              </a:ln>
              <a:effectLst/>
            </c:spPr>
            <c:extLst>
              <c:ext xmlns:c16="http://schemas.microsoft.com/office/drawing/2014/chart" uri="{C3380CC4-5D6E-409C-BE32-E72D297353CC}">
                <c16:uniqueId val="{0000000B-1EB1-41B8-80AB-C244A0F7FA71}"/>
              </c:ext>
            </c:extLst>
          </c:dPt>
          <c:dLbls>
            <c:numFmt formatCode="0.0%" sourceLinked="0"/>
            <c:spPr>
              <a:noFill/>
              <a:ln>
                <a:noFill/>
              </a:ln>
              <a:effectLst/>
            </c:spPr>
            <c:txPr>
              <a:bodyPr rot="0" vert="horz"/>
              <a:lstStyle/>
              <a:p>
                <a:pPr>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TOC!$B$13:$B$18</c:f>
              <c:strCache>
                <c:ptCount val="6"/>
                <c:pt idx="0">
                  <c:v>PSA International</c:v>
                </c:pt>
                <c:pt idx="1">
                  <c:v>Hutchison Port Holdings</c:v>
                </c:pt>
                <c:pt idx="2">
                  <c:v>APM Terminals</c:v>
                </c:pt>
                <c:pt idx="3">
                  <c:v>DP World</c:v>
                </c:pt>
                <c:pt idx="4">
                  <c:v>CMHI</c:v>
                </c:pt>
                <c:pt idx="5">
                  <c:v>Other TOC</c:v>
                </c:pt>
              </c:strCache>
            </c:strRef>
          </c:cat>
          <c:val>
            <c:numRef>
              <c:f>TOC!$C$13:$C$18</c:f>
              <c:numCache>
                <c:formatCode>0.0</c:formatCode>
                <c:ptCount val="6"/>
                <c:pt idx="0">
                  <c:v>52.9</c:v>
                </c:pt>
                <c:pt idx="1">
                  <c:v>45</c:v>
                </c:pt>
                <c:pt idx="2">
                  <c:v>35</c:v>
                </c:pt>
                <c:pt idx="3">
                  <c:v>32.799999999999997</c:v>
                </c:pt>
                <c:pt idx="4">
                  <c:v>23.1</c:v>
                </c:pt>
                <c:pt idx="5">
                  <c:v>453.7</c:v>
                </c:pt>
              </c:numCache>
            </c:numRef>
          </c:val>
          <c:extLst>
            <c:ext xmlns:c16="http://schemas.microsoft.com/office/drawing/2014/chart" uri="{C3380CC4-5D6E-409C-BE32-E72D297353CC}">
              <c16:uniqueId val="{0000000C-1EB1-41B8-80AB-C244A0F7FA7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2955707526178699E-2"/>
          <c:y val="0.77765111450621105"/>
          <c:w val="0.93408822167125205"/>
          <c:h val="0.19249813922513501"/>
        </c:manualLayout>
      </c:layout>
      <c:overlay val="0"/>
      <c:spPr>
        <a:noFill/>
        <a:ln>
          <a:noFill/>
        </a:ln>
        <a:effectLst/>
      </c:spPr>
      <c:txPr>
        <a:bodyPr rot="0" vert="horz"/>
        <a:lstStyle/>
        <a:p>
          <a:pPr>
            <a:defRPr sz="900"/>
          </a:pPr>
          <a:endParaRPr lang="en-US"/>
        </a:p>
      </c:txPr>
    </c:legend>
    <c:plotVisOnly val="1"/>
    <c:dispBlanksAs val="zero"/>
    <c:showDLblsOverMax val="0"/>
  </c:chart>
  <c:spPr>
    <a:solidFill>
      <a:schemeClr val="bg1"/>
    </a:solidFill>
    <a:ln w="9525" cap="flat" cmpd="sng" algn="ctr">
      <a:noFill/>
      <a:round/>
    </a:ln>
    <a:effectLst/>
  </c:spPr>
  <c:txPr>
    <a:bodyPr/>
    <a:lstStyle/>
    <a:p>
      <a:pPr>
        <a:defRPr>
          <a:latin typeface="+mn-lt"/>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8000"/>
                </a:schemeClr>
              </a:solidFill>
              <a:ln>
                <a:noFill/>
              </a:ln>
              <a:effectLst/>
            </c:spPr>
            <c:extLst>
              <c:ext xmlns:c16="http://schemas.microsoft.com/office/drawing/2014/chart" uri="{C3380CC4-5D6E-409C-BE32-E72D297353CC}">
                <c16:uniqueId val="{00000001-1E88-406D-9C1E-57E48585D469}"/>
              </c:ext>
            </c:extLst>
          </c:dPt>
          <c:dPt>
            <c:idx val="1"/>
            <c:bubble3D val="0"/>
            <c:spPr>
              <a:solidFill>
                <a:schemeClr val="accent1">
                  <a:shade val="86000"/>
                </a:schemeClr>
              </a:solidFill>
              <a:ln>
                <a:noFill/>
              </a:ln>
              <a:effectLst/>
            </c:spPr>
            <c:extLst>
              <c:ext xmlns:c16="http://schemas.microsoft.com/office/drawing/2014/chart" uri="{C3380CC4-5D6E-409C-BE32-E72D297353CC}">
                <c16:uniqueId val="{00000003-1E88-406D-9C1E-57E48585D469}"/>
              </c:ext>
            </c:extLst>
          </c:dPt>
          <c:dPt>
            <c:idx val="2"/>
            <c:bubble3D val="0"/>
            <c:spPr>
              <a:solidFill>
                <a:schemeClr val="accent1">
                  <a:tint val="86000"/>
                </a:schemeClr>
              </a:solidFill>
              <a:ln>
                <a:noFill/>
              </a:ln>
              <a:effectLst/>
            </c:spPr>
            <c:extLst>
              <c:ext xmlns:c16="http://schemas.microsoft.com/office/drawing/2014/chart" uri="{C3380CC4-5D6E-409C-BE32-E72D297353CC}">
                <c16:uniqueId val="{00000005-1E88-406D-9C1E-57E48585D469}"/>
              </c:ext>
            </c:extLst>
          </c:dPt>
          <c:dPt>
            <c:idx val="3"/>
            <c:bubble3D val="0"/>
            <c:spPr>
              <a:solidFill>
                <a:schemeClr val="accent1">
                  <a:tint val="58000"/>
                </a:schemeClr>
              </a:solidFill>
              <a:ln>
                <a:noFill/>
              </a:ln>
              <a:effectLst/>
            </c:spPr>
            <c:extLst>
              <c:ext xmlns:c16="http://schemas.microsoft.com/office/drawing/2014/chart" uri="{C3380CC4-5D6E-409C-BE32-E72D297353CC}">
                <c16:uniqueId val="{00000007-1E88-406D-9C1E-57E48585D46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Sheet1!$B$30:$B$33</c:f>
              <c:strCache>
                <c:ptCount val="4"/>
                <c:pt idx="0">
                  <c:v>Maersk</c:v>
                </c:pt>
                <c:pt idx="1">
                  <c:v>CMA CGM</c:v>
                </c:pt>
                <c:pt idx="2">
                  <c:v>MSC</c:v>
                </c:pt>
                <c:pt idx="3">
                  <c:v>Other lines</c:v>
                </c:pt>
              </c:strCache>
            </c:strRef>
          </c:cat>
          <c:val>
            <c:numRef>
              <c:f>Sheet1!$C$30:$C$33</c:f>
              <c:numCache>
                <c:formatCode>General</c:formatCode>
                <c:ptCount val="4"/>
                <c:pt idx="0">
                  <c:v>2889.9500000000012</c:v>
                </c:pt>
                <c:pt idx="1">
                  <c:v>2157.5500000000002</c:v>
                </c:pt>
                <c:pt idx="2">
                  <c:v>1087.3</c:v>
                </c:pt>
                <c:pt idx="3">
                  <c:v>3079.599999999999</c:v>
                </c:pt>
              </c:numCache>
            </c:numRef>
          </c:val>
          <c:extLst>
            <c:ext xmlns:c16="http://schemas.microsoft.com/office/drawing/2014/chart" uri="{C3380CC4-5D6E-409C-BE32-E72D297353CC}">
              <c16:uniqueId val="{00000008-1E88-406D-9C1E-57E48585D4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noFill/>
      <a:prstDash val="solid"/>
      <a:round/>
    </a:ln>
    <a:effectLst/>
  </c:spPr>
  <c:txPr>
    <a:bodyPr/>
    <a:lstStyle/>
    <a:p>
      <a:pPr>
        <a:defRPr>
          <a:latin typeface="+mn-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3000"/>
                </a:schemeClr>
              </a:solidFill>
              <a:ln>
                <a:noFill/>
              </a:ln>
              <a:effectLst/>
            </c:spPr>
            <c:extLst>
              <c:ext xmlns:c16="http://schemas.microsoft.com/office/drawing/2014/chart" uri="{C3380CC4-5D6E-409C-BE32-E72D297353CC}">
                <c16:uniqueId val="{00000001-6A3A-488A-BDD8-902E520A40E0}"/>
              </c:ext>
            </c:extLst>
          </c:dPt>
          <c:dPt>
            <c:idx val="1"/>
            <c:bubble3D val="0"/>
            <c:spPr>
              <a:solidFill>
                <a:schemeClr val="accent1">
                  <a:shade val="76000"/>
                </a:schemeClr>
              </a:solidFill>
              <a:ln>
                <a:noFill/>
              </a:ln>
              <a:effectLst/>
            </c:spPr>
            <c:extLst>
              <c:ext xmlns:c16="http://schemas.microsoft.com/office/drawing/2014/chart" uri="{C3380CC4-5D6E-409C-BE32-E72D297353CC}">
                <c16:uniqueId val="{00000003-6A3A-488A-BDD8-902E520A40E0}"/>
              </c:ext>
            </c:extLst>
          </c:dPt>
          <c:dPt>
            <c:idx val="2"/>
            <c:bubble3D val="0"/>
            <c:spPr>
              <a:solidFill>
                <a:schemeClr val="accent1"/>
              </a:solidFill>
              <a:ln>
                <a:noFill/>
              </a:ln>
              <a:effectLst/>
            </c:spPr>
            <c:extLst>
              <c:ext xmlns:c16="http://schemas.microsoft.com/office/drawing/2014/chart" uri="{C3380CC4-5D6E-409C-BE32-E72D297353CC}">
                <c16:uniqueId val="{00000005-6A3A-488A-BDD8-902E520A40E0}"/>
              </c:ext>
            </c:extLst>
          </c:dPt>
          <c:dPt>
            <c:idx val="3"/>
            <c:bubble3D val="0"/>
            <c:spPr>
              <a:solidFill>
                <a:schemeClr val="accent1">
                  <a:tint val="77000"/>
                </a:schemeClr>
              </a:solidFill>
              <a:ln>
                <a:noFill/>
              </a:ln>
              <a:effectLst/>
            </c:spPr>
            <c:extLst>
              <c:ext xmlns:c16="http://schemas.microsoft.com/office/drawing/2014/chart" uri="{C3380CC4-5D6E-409C-BE32-E72D297353CC}">
                <c16:uniqueId val="{00000007-6A3A-488A-BDD8-902E520A40E0}"/>
              </c:ext>
            </c:extLst>
          </c:dPt>
          <c:dPt>
            <c:idx val="4"/>
            <c:bubble3D val="0"/>
            <c:spPr>
              <a:solidFill>
                <a:schemeClr val="accent1">
                  <a:tint val="54000"/>
                </a:schemeClr>
              </a:solidFill>
              <a:ln>
                <a:noFill/>
              </a:ln>
              <a:effectLst/>
            </c:spPr>
            <c:extLst>
              <c:ext xmlns:c16="http://schemas.microsoft.com/office/drawing/2014/chart" uri="{C3380CC4-5D6E-409C-BE32-E72D297353CC}">
                <c16:uniqueId val="{00000009-6A3A-488A-BDD8-902E520A40E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'Public vs private capacity'!$B$84:$B$88</c:f>
              <c:strCache>
                <c:ptCount val="5"/>
                <c:pt idx="0">
                  <c:v>APM Terminals</c:v>
                </c:pt>
                <c:pt idx="1">
                  <c:v>BAL</c:v>
                </c:pt>
                <c:pt idx="2">
                  <c:v>DP World</c:v>
                </c:pt>
                <c:pt idx="3">
                  <c:v>MSC</c:v>
                </c:pt>
                <c:pt idx="4">
                  <c:v>Not TOC</c:v>
                </c:pt>
              </c:strCache>
            </c:strRef>
          </c:cat>
          <c:val>
            <c:numRef>
              <c:f>'Public vs private capacity'!$C$84:$C$88</c:f>
              <c:numCache>
                <c:formatCode>#,##0</c:formatCode>
                <c:ptCount val="5"/>
                <c:pt idx="0">
                  <c:v>1666167</c:v>
                </c:pt>
                <c:pt idx="1">
                  <c:v>2117924</c:v>
                </c:pt>
                <c:pt idx="2">
                  <c:v>454050</c:v>
                </c:pt>
                <c:pt idx="3">
                  <c:v>333334</c:v>
                </c:pt>
                <c:pt idx="4">
                  <c:v>309389</c:v>
                </c:pt>
              </c:numCache>
            </c:numRef>
          </c:val>
          <c:extLst>
            <c:ext xmlns:c16="http://schemas.microsoft.com/office/drawing/2014/chart" uri="{C3380CC4-5D6E-409C-BE32-E72D297353CC}">
              <c16:uniqueId val="{0000000A-6A3A-488A-BDD8-902E520A40E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noFill/>
      <a:prstDash val="solid"/>
      <a:round/>
    </a:ln>
    <a:effectLst/>
  </c:spPr>
  <c:txPr>
    <a:bodyPr/>
    <a:lstStyle/>
    <a:p>
      <a:pPr>
        <a:defRPr>
          <a:latin typeface="+mn-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Sheet1!$B$1</c:f>
              <c:strCache>
                <c:ptCount val="1"/>
                <c:pt idx="0">
                  <c:v>Export</c:v>
                </c:pt>
              </c:strCache>
            </c:strRef>
          </c:tx>
          <c:spPr>
            <a:solidFill>
              <a:schemeClr val="accent1">
                <a:shade val="76000"/>
              </a:schemeClr>
            </a:solidFill>
            <a:ln>
              <a:noFill/>
            </a:ln>
            <a:effectLst/>
          </c:spPr>
          <c:invertIfNegative val="0"/>
          <c:cat>
            <c:strRef>
              <c:f>Sheet1!$A$2:$A$9</c:f>
              <c:strCache>
                <c:ptCount val="8"/>
                <c:pt idx="0">
                  <c:v>East Asia &amp; Pacific</c:v>
                </c:pt>
                <c:pt idx="1">
                  <c:v>Europe &amp; Central Asia</c:v>
                </c:pt>
                <c:pt idx="2">
                  <c:v>Latin America &amp; Caribbean</c:v>
                </c:pt>
                <c:pt idx="3">
                  <c:v>Middle East &amp; North Africa</c:v>
                </c:pt>
                <c:pt idx="4">
                  <c:v>OECD high income</c:v>
                </c:pt>
                <c:pt idx="5">
                  <c:v>South Asia</c:v>
                </c:pt>
                <c:pt idx="6">
                  <c:v>Sub-Saharan Africa</c:v>
                </c:pt>
                <c:pt idx="7">
                  <c:v>Average West Africa coastal</c:v>
                </c:pt>
              </c:strCache>
            </c:strRef>
          </c:cat>
          <c:val>
            <c:numRef>
              <c:f>Sheet1!$B$2:$B$9</c:f>
              <c:numCache>
                <c:formatCode>General</c:formatCode>
                <c:ptCount val="8"/>
                <c:pt idx="0">
                  <c:v>395.7</c:v>
                </c:pt>
                <c:pt idx="1">
                  <c:v>219.2</c:v>
                </c:pt>
                <c:pt idx="2">
                  <c:v>492.8</c:v>
                </c:pt>
                <c:pt idx="3">
                  <c:v>445.1</c:v>
                </c:pt>
                <c:pt idx="4">
                  <c:v>159.9</c:v>
                </c:pt>
                <c:pt idx="5">
                  <c:v>375.6</c:v>
                </c:pt>
                <c:pt idx="6">
                  <c:v>542.4</c:v>
                </c:pt>
                <c:pt idx="7" formatCode="_-* #,##0.0_-;\-* #,##0.0_-;_-* &quot;-&quot;??_-;_-@_-">
                  <c:v>555.84615384615336</c:v>
                </c:pt>
              </c:numCache>
            </c:numRef>
          </c:val>
          <c:extLst>
            <c:ext xmlns:c16="http://schemas.microsoft.com/office/drawing/2014/chart" uri="{C3380CC4-5D6E-409C-BE32-E72D297353CC}">
              <c16:uniqueId val="{00000000-5D71-4B55-9DCD-7BE471D2CC08}"/>
            </c:ext>
          </c:extLst>
        </c:ser>
        <c:ser>
          <c:idx val="1"/>
          <c:order val="1"/>
          <c:tx>
            <c:strRef>
              <c:f>Sheet1!$C$1</c:f>
              <c:strCache>
                <c:ptCount val="1"/>
                <c:pt idx="0">
                  <c:v>Import</c:v>
                </c:pt>
              </c:strCache>
            </c:strRef>
          </c:tx>
          <c:spPr>
            <a:solidFill>
              <a:schemeClr val="accent1">
                <a:tint val="77000"/>
              </a:schemeClr>
            </a:solidFill>
            <a:ln>
              <a:noFill/>
            </a:ln>
            <a:effectLst/>
          </c:spPr>
          <c:invertIfNegative val="0"/>
          <c:cat>
            <c:strRef>
              <c:f>Sheet1!$A$2:$A$9</c:f>
              <c:strCache>
                <c:ptCount val="8"/>
                <c:pt idx="0">
                  <c:v>East Asia &amp; Pacific</c:v>
                </c:pt>
                <c:pt idx="1">
                  <c:v>Europe &amp; Central Asia</c:v>
                </c:pt>
                <c:pt idx="2">
                  <c:v>Latin America &amp; Caribbean</c:v>
                </c:pt>
                <c:pt idx="3">
                  <c:v>Middle East &amp; North Africa</c:v>
                </c:pt>
                <c:pt idx="4">
                  <c:v>OECD high income</c:v>
                </c:pt>
                <c:pt idx="5">
                  <c:v>South Asia</c:v>
                </c:pt>
                <c:pt idx="6">
                  <c:v>Sub-Saharan Africa</c:v>
                </c:pt>
                <c:pt idx="7">
                  <c:v>Average West Africa coastal</c:v>
                </c:pt>
              </c:strCache>
            </c:strRef>
          </c:cat>
          <c:val>
            <c:numRef>
              <c:f>Sheet1!$C$2:$C$9</c:f>
              <c:numCache>
                <c:formatCode>General</c:formatCode>
                <c:ptCount val="8"/>
                <c:pt idx="0">
                  <c:v>420.8</c:v>
                </c:pt>
                <c:pt idx="1">
                  <c:v>202.4</c:v>
                </c:pt>
                <c:pt idx="2">
                  <c:v>665.1</c:v>
                </c:pt>
                <c:pt idx="3">
                  <c:v>594.29999999999995</c:v>
                </c:pt>
                <c:pt idx="4">
                  <c:v>122.7</c:v>
                </c:pt>
                <c:pt idx="5">
                  <c:v>652.79999999999995</c:v>
                </c:pt>
                <c:pt idx="6">
                  <c:v>643</c:v>
                </c:pt>
                <c:pt idx="7" formatCode="_-* #,##0.0_-;\-* #,##0.0_-;_-* &quot;-&quot;??_-;_-@_-">
                  <c:v>687.61538461538464</c:v>
                </c:pt>
              </c:numCache>
            </c:numRef>
          </c:val>
          <c:extLst>
            <c:ext xmlns:c16="http://schemas.microsoft.com/office/drawing/2014/chart" uri="{C3380CC4-5D6E-409C-BE32-E72D297353CC}">
              <c16:uniqueId val="{00000001-5D71-4B55-9DCD-7BE471D2CC08}"/>
            </c:ext>
          </c:extLst>
        </c:ser>
        <c:dLbls>
          <c:showLegendKey val="0"/>
          <c:showVal val="0"/>
          <c:showCatName val="0"/>
          <c:showSerName val="0"/>
          <c:showPercent val="0"/>
          <c:showBubbleSize val="0"/>
        </c:dLbls>
        <c:gapWidth val="50"/>
        <c:overlap val="-30"/>
        <c:axId val="2141708680"/>
        <c:axId val="2141712376"/>
      </c:barChart>
      <c:catAx>
        <c:axId val="214170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712376"/>
        <c:crosses val="autoZero"/>
        <c:auto val="1"/>
        <c:lblAlgn val="ctr"/>
        <c:lblOffset val="100"/>
        <c:noMultiLvlLbl val="0"/>
      </c:catAx>
      <c:valAx>
        <c:axId val="2141712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708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Sheet1!$B$16</c:f>
              <c:strCache>
                <c:ptCount val="1"/>
                <c:pt idx="0">
                  <c:v>Export</c:v>
                </c:pt>
              </c:strCache>
            </c:strRef>
          </c:tx>
          <c:spPr>
            <a:solidFill>
              <a:schemeClr val="accent1">
                <a:shade val="76000"/>
              </a:schemeClr>
            </a:solidFill>
            <a:ln>
              <a:noFill/>
            </a:ln>
            <a:effectLst/>
          </c:spPr>
          <c:invertIfNegative val="0"/>
          <c:cat>
            <c:strRef>
              <c:f>Sheet1!$A$17:$A$33</c:f>
              <c:strCache>
                <c:ptCount val="17"/>
                <c:pt idx="0">
                  <c:v>Benin</c:v>
                </c:pt>
                <c:pt idx="1">
                  <c:v>Côte d'Ivoire</c:v>
                </c:pt>
                <c:pt idx="2">
                  <c:v>Ghana</c:v>
                </c:pt>
                <c:pt idx="3">
                  <c:v>Guinea</c:v>
                </c:pt>
                <c:pt idx="4">
                  <c:v>Liberia</c:v>
                </c:pt>
                <c:pt idx="5">
                  <c:v>Nigeria</c:v>
                </c:pt>
                <c:pt idx="6">
                  <c:v>Senegal</c:v>
                </c:pt>
                <c:pt idx="7">
                  <c:v>Sierra Leone</c:v>
                </c:pt>
                <c:pt idx="8">
                  <c:v>Togo</c:v>
                </c:pt>
                <c:pt idx="10">
                  <c:v>Cabo Verde</c:v>
                </c:pt>
                <c:pt idx="11">
                  <c:v>Gambia, The</c:v>
                </c:pt>
                <c:pt idx="12">
                  <c:v>Guinea-Bissau</c:v>
                </c:pt>
                <c:pt idx="13">
                  <c:v>Mauritania</c:v>
                </c:pt>
                <c:pt idx="15">
                  <c:v>Sub-Saharan Africa</c:v>
                </c:pt>
                <c:pt idx="16">
                  <c:v>Average West Africa coastal</c:v>
                </c:pt>
              </c:strCache>
            </c:strRef>
          </c:cat>
          <c:val>
            <c:numRef>
              <c:f>Sheet1!$B$17:$B$33</c:f>
              <c:numCache>
                <c:formatCode>_-* #,##0_-;\-* #,##0_-;_-* "-"??_-;_-@_-</c:formatCode>
                <c:ptCount val="17"/>
                <c:pt idx="0">
                  <c:v>387</c:v>
                </c:pt>
                <c:pt idx="1">
                  <c:v>364</c:v>
                </c:pt>
                <c:pt idx="2">
                  <c:v>490</c:v>
                </c:pt>
                <c:pt idx="3">
                  <c:v>778</c:v>
                </c:pt>
                <c:pt idx="4">
                  <c:v>750</c:v>
                </c:pt>
                <c:pt idx="5">
                  <c:v>786</c:v>
                </c:pt>
                <c:pt idx="6">
                  <c:v>486</c:v>
                </c:pt>
                <c:pt idx="7">
                  <c:v>552</c:v>
                </c:pt>
                <c:pt idx="8">
                  <c:v>163</c:v>
                </c:pt>
                <c:pt idx="10">
                  <c:v>630</c:v>
                </c:pt>
                <c:pt idx="11">
                  <c:v>381</c:v>
                </c:pt>
                <c:pt idx="12">
                  <c:v>710</c:v>
                </c:pt>
                <c:pt idx="13">
                  <c:v>749</c:v>
                </c:pt>
                <c:pt idx="15">
                  <c:v>542.4</c:v>
                </c:pt>
                <c:pt idx="16">
                  <c:v>555.84615384615336</c:v>
                </c:pt>
              </c:numCache>
            </c:numRef>
          </c:val>
          <c:extLst>
            <c:ext xmlns:c16="http://schemas.microsoft.com/office/drawing/2014/chart" uri="{C3380CC4-5D6E-409C-BE32-E72D297353CC}">
              <c16:uniqueId val="{00000000-8910-4446-9B82-ABC93F74D3D9}"/>
            </c:ext>
          </c:extLst>
        </c:ser>
        <c:ser>
          <c:idx val="1"/>
          <c:order val="1"/>
          <c:tx>
            <c:strRef>
              <c:f>Sheet1!$C$16</c:f>
              <c:strCache>
                <c:ptCount val="1"/>
                <c:pt idx="0">
                  <c:v>Import</c:v>
                </c:pt>
              </c:strCache>
            </c:strRef>
          </c:tx>
          <c:spPr>
            <a:solidFill>
              <a:schemeClr val="accent1">
                <a:tint val="77000"/>
              </a:schemeClr>
            </a:solidFill>
            <a:ln>
              <a:noFill/>
            </a:ln>
            <a:effectLst/>
          </c:spPr>
          <c:invertIfNegative val="0"/>
          <c:cat>
            <c:strRef>
              <c:f>Sheet1!$A$17:$A$33</c:f>
              <c:strCache>
                <c:ptCount val="17"/>
                <c:pt idx="0">
                  <c:v>Benin</c:v>
                </c:pt>
                <c:pt idx="1">
                  <c:v>Côte d'Ivoire</c:v>
                </c:pt>
                <c:pt idx="2">
                  <c:v>Ghana</c:v>
                </c:pt>
                <c:pt idx="3">
                  <c:v>Guinea</c:v>
                </c:pt>
                <c:pt idx="4">
                  <c:v>Liberia</c:v>
                </c:pt>
                <c:pt idx="5">
                  <c:v>Nigeria</c:v>
                </c:pt>
                <c:pt idx="6">
                  <c:v>Senegal</c:v>
                </c:pt>
                <c:pt idx="7">
                  <c:v>Sierra Leone</c:v>
                </c:pt>
                <c:pt idx="8">
                  <c:v>Togo</c:v>
                </c:pt>
                <c:pt idx="10">
                  <c:v>Cabo Verde</c:v>
                </c:pt>
                <c:pt idx="11">
                  <c:v>Gambia, The</c:v>
                </c:pt>
                <c:pt idx="12">
                  <c:v>Guinea-Bissau</c:v>
                </c:pt>
                <c:pt idx="13">
                  <c:v>Mauritania</c:v>
                </c:pt>
                <c:pt idx="15">
                  <c:v>Sub-Saharan Africa</c:v>
                </c:pt>
                <c:pt idx="16">
                  <c:v>Average West Africa coastal</c:v>
                </c:pt>
              </c:strCache>
            </c:strRef>
          </c:cat>
          <c:val>
            <c:numRef>
              <c:f>Sheet1!$C$17:$C$33</c:f>
              <c:numCache>
                <c:formatCode>_-* #,##0_-;\-* #,##0_-;_-* "-"??_-;_-@_-</c:formatCode>
                <c:ptCount val="17"/>
                <c:pt idx="0">
                  <c:v>579</c:v>
                </c:pt>
                <c:pt idx="1">
                  <c:v>456</c:v>
                </c:pt>
                <c:pt idx="2">
                  <c:v>725</c:v>
                </c:pt>
                <c:pt idx="3">
                  <c:v>709</c:v>
                </c:pt>
                <c:pt idx="4">
                  <c:v>655</c:v>
                </c:pt>
                <c:pt idx="5">
                  <c:v>1077</c:v>
                </c:pt>
                <c:pt idx="6">
                  <c:v>885</c:v>
                </c:pt>
                <c:pt idx="7">
                  <c:v>782</c:v>
                </c:pt>
                <c:pt idx="8">
                  <c:v>820</c:v>
                </c:pt>
                <c:pt idx="10">
                  <c:v>588</c:v>
                </c:pt>
                <c:pt idx="11">
                  <c:v>326</c:v>
                </c:pt>
                <c:pt idx="12">
                  <c:v>755</c:v>
                </c:pt>
                <c:pt idx="13">
                  <c:v>582</c:v>
                </c:pt>
                <c:pt idx="15">
                  <c:v>643</c:v>
                </c:pt>
                <c:pt idx="16">
                  <c:v>687.61538461538464</c:v>
                </c:pt>
              </c:numCache>
            </c:numRef>
          </c:val>
          <c:extLst>
            <c:ext xmlns:c16="http://schemas.microsoft.com/office/drawing/2014/chart" uri="{C3380CC4-5D6E-409C-BE32-E72D297353CC}">
              <c16:uniqueId val="{00000001-8910-4446-9B82-ABC93F74D3D9}"/>
            </c:ext>
          </c:extLst>
        </c:ser>
        <c:dLbls>
          <c:showLegendKey val="0"/>
          <c:showVal val="0"/>
          <c:showCatName val="0"/>
          <c:showSerName val="0"/>
          <c:showPercent val="0"/>
          <c:showBubbleSize val="0"/>
        </c:dLbls>
        <c:gapWidth val="50"/>
        <c:axId val="2141751624"/>
        <c:axId val="2141755320"/>
      </c:barChart>
      <c:catAx>
        <c:axId val="2141751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755320"/>
        <c:crosses val="autoZero"/>
        <c:auto val="1"/>
        <c:lblAlgn val="ctr"/>
        <c:lblOffset val="100"/>
        <c:noMultiLvlLbl val="0"/>
      </c:catAx>
      <c:valAx>
        <c:axId val="2141755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751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3F6B57-ABE9-439B-9390-BCF850D5B40D}" type="doc">
      <dgm:prSet loTypeId="urn:microsoft.com/office/officeart/2005/8/layout/process3" loCatId="process" qsTypeId="urn:microsoft.com/office/officeart/2005/8/quickstyle/simple4" qsCatId="simple" csTypeId="urn:microsoft.com/office/officeart/2005/8/colors/accent1_4" csCatId="accent1" phldr="1"/>
      <dgm:spPr/>
      <dgm:t>
        <a:bodyPr/>
        <a:lstStyle/>
        <a:p>
          <a:endParaRPr lang="en-US"/>
        </a:p>
      </dgm:t>
    </dgm:pt>
    <dgm:pt modelId="{A8108F90-2E09-4662-874A-D18EF3150F2C}">
      <dgm:prSet phldrT="[Text]"/>
      <dgm:spPr>
        <a:xfrm>
          <a:off x="2572" y="91237"/>
          <a:ext cx="1169626" cy="432000"/>
        </a:xfrm>
        <a:gradFill rotWithShape="0">
          <a:gsLst>
            <a:gs pos="0">
              <a:srgbClr val="5B9BD5">
                <a:shade val="50000"/>
                <a:hueOff val="0"/>
                <a:satOff val="0"/>
                <a:lumOff val="0"/>
                <a:alphaOff val="0"/>
                <a:satMod val="103000"/>
                <a:lumMod val="102000"/>
                <a:tint val="94000"/>
              </a:srgbClr>
            </a:gs>
            <a:gs pos="50000">
              <a:srgbClr val="5B9BD5">
                <a:shade val="50000"/>
                <a:hueOff val="0"/>
                <a:satOff val="0"/>
                <a:lumOff val="0"/>
                <a:alphaOff val="0"/>
                <a:satMod val="110000"/>
                <a:lumMod val="100000"/>
                <a:shade val="100000"/>
              </a:srgbClr>
            </a:gs>
            <a:gs pos="100000">
              <a:srgbClr val="5B9BD5">
                <a:shade val="50000"/>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Times New Roman" panose="02020603050405020304" pitchFamily="18" charset="0"/>
              <a:ea typeface="+mn-ea"/>
              <a:cs typeface="Times New Roman" panose="02020603050405020304" pitchFamily="18" charset="0"/>
            </a:rPr>
            <a:t>Quay handling</a:t>
          </a:r>
        </a:p>
      </dgm:t>
    </dgm:pt>
    <dgm:pt modelId="{0D8FDD58-87D1-4496-8FE4-7704EADB0807}" type="parTrans" cxnId="{B1F55D7C-C7F4-4BA3-B999-C66F58C6B379}">
      <dgm:prSet/>
      <dgm:spPr/>
      <dgm:t>
        <a:bodyPr/>
        <a:lstStyle/>
        <a:p>
          <a:endParaRPr lang="en-US"/>
        </a:p>
      </dgm:t>
    </dgm:pt>
    <dgm:pt modelId="{8CE5E8B0-1DC8-4BE3-9941-600058CE66BB}" type="sibTrans" cxnId="{B1F55D7C-C7F4-4BA3-B999-C66F58C6B379}">
      <dgm:prSet/>
      <dgm:spPr>
        <a:xfrm>
          <a:off x="1349509" y="89635"/>
          <a:ext cx="375899" cy="291203"/>
        </a:xfrm>
        <a:gradFill rotWithShape="0">
          <a:gsLst>
            <a:gs pos="0">
              <a:srgbClr val="5B9BD5">
                <a:shade val="90000"/>
                <a:hueOff val="0"/>
                <a:satOff val="0"/>
                <a:lumOff val="0"/>
                <a:alphaOff val="0"/>
                <a:satMod val="103000"/>
                <a:lumMod val="102000"/>
                <a:tint val="94000"/>
              </a:srgbClr>
            </a:gs>
            <a:gs pos="50000">
              <a:srgbClr val="5B9BD5">
                <a:shade val="90000"/>
                <a:hueOff val="0"/>
                <a:satOff val="0"/>
                <a:lumOff val="0"/>
                <a:alphaOff val="0"/>
                <a:satMod val="110000"/>
                <a:lumMod val="100000"/>
                <a:shade val="100000"/>
              </a:srgbClr>
            </a:gs>
            <a:gs pos="100000">
              <a:srgbClr val="5B9BD5">
                <a:shade val="90000"/>
                <a:hueOff val="0"/>
                <a:satOff val="0"/>
                <a:lumOff val="0"/>
                <a:alphaOff val="0"/>
                <a:lumMod val="99000"/>
                <a:satMod val="120000"/>
                <a:shade val="78000"/>
              </a:srgbClr>
            </a:gs>
          </a:gsLst>
          <a:lin ang="5400000" scaled="0"/>
        </a:gradFill>
        <a:ln>
          <a:noFill/>
        </a:ln>
        <a:effectLst/>
      </dgm:spPr>
      <dgm:t>
        <a:bodyPr/>
        <a:lstStyle/>
        <a:p>
          <a:endParaRPr lang="en-US">
            <a:solidFill>
              <a:sysClr val="window" lastClr="FFFFFF"/>
            </a:solidFill>
            <a:latin typeface="Calibri" panose="020F0502020204030204"/>
            <a:ea typeface="+mn-ea"/>
            <a:cs typeface="+mn-cs"/>
          </a:endParaRPr>
        </a:p>
      </dgm:t>
    </dgm:pt>
    <dgm:pt modelId="{F172B316-07C0-4504-8052-F2DDEFDA77F5}">
      <dgm:prSet phldrT="[Text]"/>
      <dgm:spPr>
        <a:xfrm>
          <a:off x="242134" y="379237"/>
          <a:ext cx="1169626" cy="1044000"/>
        </a:xfrm>
        <a:solidFill>
          <a:sysClr val="window" lastClr="FFFFFF">
            <a:alpha val="90000"/>
            <a:hueOff val="0"/>
            <a:satOff val="0"/>
            <a:lumOff val="0"/>
            <a:alphaOff val="0"/>
          </a:sysClr>
        </a:solidFill>
        <a:ln w="6350" cap="flat" cmpd="sng" algn="ctr">
          <a:solidFill>
            <a:srgbClr val="5B9BD5">
              <a:shade val="50000"/>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Loading and offloading the ship i.e. movements between the ship and the yard</a:t>
          </a:r>
        </a:p>
      </dgm:t>
    </dgm:pt>
    <dgm:pt modelId="{958444FC-FDFD-462E-9699-4E0031B5B387}" type="parTrans" cxnId="{BBB4745F-E082-4F23-B948-37B4CA85861F}">
      <dgm:prSet/>
      <dgm:spPr/>
      <dgm:t>
        <a:bodyPr/>
        <a:lstStyle/>
        <a:p>
          <a:endParaRPr lang="en-US"/>
        </a:p>
      </dgm:t>
    </dgm:pt>
    <dgm:pt modelId="{1EEEE79D-3293-488C-8F72-CC3F419EB1B8}" type="sibTrans" cxnId="{BBB4745F-E082-4F23-B948-37B4CA85861F}">
      <dgm:prSet/>
      <dgm:spPr/>
      <dgm:t>
        <a:bodyPr/>
        <a:lstStyle/>
        <a:p>
          <a:endParaRPr lang="en-US"/>
        </a:p>
      </dgm:t>
    </dgm:pt>
    <dgm:pt modelId="{64347EF5-C2F1-4EA4-B62C-765CBBCE3821}">
      <dgm:prSet phldrT="[Text]"/>
      <dgm:spPr>
        <a:xfrm>
          <a:off x="1881443" y="91237"/>
          <a:ext cx="1169626" cy="432000"/>
        </a:xfr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noFill/>
        </a:ln>
        <a:effectLst/>
      </dgm:spPr>
      <dgm:t>
        <a:bodyPr/>
        <a:lstStyle/>
        <a:p>
          <a:r>
            <a:rPr lang="en-US">
              <a:solidFill>
                <a:sysClr val="window" lastClr="FFFFFF"/>
              </a:solidFill>
              <a:latin typeface="Times New Roman" panose="02020603050405020304" pitchFamily="18" charset="0"/>
              <a:ea typeface="+mn-ea"/>
              <a:cs typeface="Times New Roman" panose="02020603050405020304" pitchFamily="18" charset="0"/>
            </a:rPr>
            <a:t>Yard storage</a:t>
          </a:r>
        </a:p>
      </dgm:t>
    </dgm:pt>
    <dgm:pt modelId="{7A433B31-6C82-40F9-8B9E-6340022669BE}" type="parTrans" cxnId="{383A3E6F-F404-436B-B9E0-3C7607F880BF}">
      <dgm:prSet/>
      <dgm:spPr/>
      <dgm:t>
        <a:bodyPr/>
        <a:lstStyle/>
        <a:p>
          <a:endParaRPr lang="en-US"/>
        </a:p>
      </dgm:t>
    </dgm:pt>
    <dgm:pt modelId="{93C7CA6C-6186-46EB-8463-6250A5737F2E}" type="sibTrans" cxnId="{383A3E6F-F404-436B-B9E0-3C7607F880BF}">
      <dgm:prSet/>
      <dgm:spPr>
        <a:xfrm>
          <a:off x="3228380" y="89635"/>
          <a:ext cx="375899" cy="291203"/>
        </a:xfrm>
        <a:gradFill rotWithShape="0">
          <a:gsLst>
            <a:gs pos="0">
              <a:srgbClr val="5B9BD5">
                <a:shade val="90000"/>
                <a:hueOff val="350915"/>
                <a:satOff val="-3215"/>
                <a:lumOff val="27754"/>
                <a:alphaOff val="0"/>
                <a:satMod val="103000"/>
                <a:lumMod val="102000"/>
                <a:tint val="94000"/>
              </a:srgbClr>
            </a:gs>
            <a:gs pos="50000">
              <a:srgbClr val="5B9BD5">
                <a:shade val="90000"/>
                <a:hueOff val="350915"/>
                <a:satOff val="-3215"/>
                <a:lumOff val="27754"/>
                <a:alphaOff val="0"/>
                <a:satMod val="110000"/>
                <a:lumMod val="100000"/>
                <a:shade val="100000"/>
              </a:srgbClr>
            </a:gs>
            <a:gs pos="100000">
              <a:srgbClr val="5B9BD5">
                <a:shade val="90000"/>
                <a:hueOff val="350915"/>
                <a:satOff val="-3215"/>
                <a:lumOff val="27754"/>
                <a:alphaOff val="0"/>
                <a:lumMod val="99000"/>
                <a:satMod val="120000"/>
                <a:shade val="78000"/>
              </a:srgbClr>
            </a:gs>
          </a:gsLst>
          <a:lin ang="5400000" scaled="0"/>
        </a:gradFill>
        <a:ln>
          <a:noFill/>
        </a:ln>
        <a:effectLst/>
      </dgm:spPr>
      <dgm:t>
        <a:bodyPr/>
        <a:lstStyle/>
        <a:p>
          <a:endParaRPr lang="en-US">
            <a:solidFill>
              <a:sysClr val="window" lastClr="FFFFFF"/>
            </a:solidFill>
            <a:latin typeface="Calibri" panose="020F0502020204030204"/>
            <a:ea typeface="+mn-ea"/>
            <a:cs typeface="+mn-cs"/>
          </a:endParaRPr>
        </a:p>
      </dgm:t>
    </dgm:pt>
    <dgm:pt modelId="{C84A5FEC-64FE-4C44-961E-A0E699A9133B}">
      <dgm:prSet phldrT="[Text]"/>
      <dgm:spPr>
        <a:xfrm>
          <a:off x="2121005" y="379237"/>
          <a:ext cx="1169626" cy="1044000"/>
        </a:xfrm>
        <a:solidFill>
          <a:sysClr val="window" lastClr="FFFFFF">
            <a:alpha val="90000"/>
            <a:hueOff val="0"/>
            <a:satOff val="0"/>
            <a:lumOff val="0"/>
            <a:alphaOff val="0"/>
          </a:sysClr>
        </a:solidFill>
        <a:ln w="6350" cap="flat" cmpd="sng" algn="ctr">
          <a:solidFill>
            <a:srgbClr val="5B9BD5">
              <a:shade val="50000"/>
              <a:hueOff val="222839"/>
              <a:satOff val="5970"/>
              <a:lumOff val="26302"/>
              <a:alphaOff val="0"/>
            </a:srgbClr>
          </a:solidFill>
          <a:prstDash val="solid"/>
          <a:miter lim="800000"/>
        </a:ln>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Usually an escalating daily fee after a grace period</a:t>
          </a:r>
        </a:p>
      </dgm:t>
    </dgm:pt>
    <dgm:pt modelId="{6CC8D7AA-27E1-4A85-8EB0-704FC9B1C863}" type="parTrans" cxnId="{DBB6BCF7-2DB6-42AD-BB6F-E087A4D6CDF3}">
      <dgm:prSet/>
      <dgm:spPr/>
      <dgm:t>
        <a:bodyPr/>
        <a:lstStyle/>
        <a:p>
          <a:endParaRPr lang="en-US"/>
        </a:p>
      </dgm:t>
    </dgm:pt>
    <dgm:pt modelId="{A4D9DB66-472C-4C01-ACA6-0758EB168954}" type="sibTrans" cxnId="{DBB6BCF7-2DB6-42AD-BB6F-E087A4D6CDF3}">
      <dgm:prSet/>
      <dgm:spPr/>
      <dgm:t>
        <a:bodyPr/>
        <a:lstStyle/>
        <a:p>
          <a:endParaRPr lang="en-US"/>
        </a:p>
      </dgm:t>
    </dgm:pt>
    <dgm:pt modelId="{4FD292A3-9336-4FBC-84EF-2B397BAA8C39}">
      <dgm:prSet phldrT="[Text]"/>
      <dgm:spPr>
        <a:xfrm>
          <a:off x="3760314" y="91237"/>
          <a:ext cx="1169626" cy="432000"/>
        </a:xfr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noFill/>
        </a:ln>
        <a:effectLst/>
      </dgm:spPr>
      <dgm:t>
        <a:bodyPr/>
        <a:lstStyle/>
        <a:p>
          <a:r>
            <a:rPr lang="en-US">
              <a:solidFill>
                <a:sysClr val="window" lastClr="FFFFFF"/>
              </a:solidFill>
              <a:latin typeface="Times New Roman" panose="02020603050405020304" pitchFamily="18" charset="0"/>
              <a:ea typeface="+mn-ea"/>
              <a:cs typeface="Times New Roman" panose="02020603050405020304" pitchFamily="18" charset="0"/>
            </a:rPr>
            <a:t>Vehicle handling</a:t>
          </a:r>
        </a:p>
      </dgm:t>
    </dgm:pt>
    <dgm:pt modelId="{287F1F04-CFD4-4ACB-8C36-166F96F76B1E}" type="parTrans" cxnId="{5D6D5B04-F5AD-4326-9016-B45C4792A383}">
      <dgm:prSet/>
      <dgm:spPr/>
      <dgm:t>
        <a:bodyPr/>
        <a:lstStyle/>
        <a:p>
          <a:endParaRPr lang="en-US"/>
        </a:p>
      </dgm:t>
    </dgm:pt>
    <dgm:pt modelId="{E5B24C51-BDF8-4262-A7F6-A2103D61E78C}" type="sibTrans" cxnId="{5D6D5B04-F5AD-4326-9016-B45C4792A383}">
      <dgm:prSet/>
      <dgm:spPr/>
      <dgm:t>
        <a:bodyPr/>
        <a:lstStyle/>
        <a:p>
          <a:endParaRPr lang="en-US"/>
        </a:p>
      </dgm:t>
    </dgm:pt>
    <dgm:pt modelId="{1B677F2C-47CA-4943-9AF2-B351B516CB1F}">
      <dgm:prSet phldrT="[Text]"/>
      <dgm:spPr>
        <a:xfrm>
          <a:off x="3999876" y="379237"/>
          <a:ext cx="1169626" cy="1044000"/>
        </a:xfrm>
        <a:solidFill>
          <a:sysClr val="window" lastClr="FFFFFF">
            <a:alpha val="90000"/>
            <a:hueOff val="0"/>
            <a:satOff val="0"/>
            <a:lumOff val="0"/>
            <a:alphaOff val="0"/>
          </a:sysClr>
        </a:solidFill>
        <a:ln w="6350" cap="flat" cmpd="sng" algn="ctr">
          <a:solidFill>
            <a:srgbClr val="5B9BD5">
              <a:shade val="50000"/>
              <a:hueOff val="222839"/>
              <a:satOff val="5970"/>
              <a:lumOff val="26302"/>
              <a:alphaOff val="0"/>
            </a:srgbClr>
          </a:solidFill>
          <a:prstDash val="solid"/>
          <a:miter lim="800000"/>
        </a:ln>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Movements between yard and truck / wagon ('relevage' in French) </a:t>
          </a:r>
        </a:p>
      </dgm:t>
    </dgm:pt>
    <dgm:pt modelId="{A24EC5DF-F137-43F6-926C-8EFA37FF8DA0}" type="parTrans" cxnId="{C29A091F-B38F-4118-946C-10930C16D398}">
      <dgm:prSet/>
      <dgm:spPr/>
      <dgm:t>
        <a:bodyPr/>
        <a:lstStyle/>
        <a:p>
          <a:endParaRPr lang="en-US"/>
        </a:p>
      </dgm:t>
    </dgm:pt>
    <dgm:pt modelId="{1729827C-7608-442F-BADB-A9AD81A19AB2}" type="sibTrans" cxnId="{C29A091F-B38F-4118-946C-10930C16D398}">
      <dgm:prSet/>
      <dgm:spPr/>
      <dgm:t>
        <a:bodyPr/>
        <a:lstStyle/>
        <a:p>
          <a:endParaRPr lang="en-US"/>
        </a:p>
      </dgm:t>
    </dgm:pt>
    <dgm:pt modelId="{34005E74-7DDA-44E0-BF0B-75EBC7E3CCD4}" type="pres">
      <dgm:prSet presAssocID="{973F6B57-ABE9-439B-9390-BCF850D5B40D}" presName="linearFlow" presStyleCnt="0">
        <dgm:presLayoutVars>
          <dgm:dir/>
          <dgm:animLvl val="lvl"/>
          <dgm:resizeHandles val="exact"/>
        </dgm:presLayoutVars>
      </dgm:prSet>
      <dgm:spPr/>
    </dgm:pt>
    <dgm:pt modelId="{74649C8C-8604-42EF-AA86-3DC2C1DC73A7}" type="pres">
      <dgm:prSet presAssocID="{A8108F90-2E09-4662-874A-D18EF3150F2C}" presName="composite" presStyleCnt="0"/>
      <dgm:spPr/>
    </dgm:pt>
    <dgm:pt modelId="{FF9C1965-2ACF-44E6-AC2E-BE402BB1E68C}" type="pres">
      <dgm:prSet presAssocID="{A8108F90-2E09-4662-874A-D18EF3150F2C}" presName="parTx" presStyleLbl="node1" presStyleIdx="0" presStyleCnt="3">
        <dgm:presLayoutVars>
          <dgm:chMax val="0"/>
          <dgm:chPref val="0"/>
          <dgm:bulletEnabled val="1"/>
        </dgm:presLayoutVars>
      </dgm:prSet>
      <dgm:spPr>
        <a:prstGeom prst="roundRect">
          <a:avLst>
            <a:gd name="adj" fmla="val 10000"/>
          </a:avLst>
        </a:prstGeom>
      </dgm:spPr>
    </dgm:pt>
    <dgm:pt modelId="{C361FD98-A10F-4502-8941-B991D4B92C41}" type="pres">
      <dgm:prSet presAssocID="{A8108F90-2E09-4662-874A-D18EF3150F2C}" presName="parSh" presStyleLbl="node1" presStyleIdx="0" presStyleCnt="3"/>
      <dgm:spPr/>
    </dgm:pt>
    <dgm:pt modelId="{09BCF2DE-1DD5-4B74-BF46-F506613A509D}" type="pres">
      <dgm:prSet presAssocID="{A8108F90-2E09-4662-874A-D18EF3150F2C}" presName="desTx" presStyleLbl="fgAcc1" presStyleIdx="0" presStyleCnt="3">
        <dgm:presLayoutVars>
          <dgm:bulletEnabled val="1"/>
        </dgm:presLayoutVars>
      </dgm:prSet>
      <dgm:spPr>
        <a:prstGeom prst="roundRect">
          <a:avLst>
            <a:gd name="adj" fmla="val 10000"/>
          </a:avLst>
        </a:prstGeom>
      </dgm:spPr>
    </dgm:pt>
    <dgm:pt modelId="{3C583DB9-A242-4A41-AD0E-CF229CF9AFFB}" type="pres">
      <dgm:prSet presAssocID="{8CE5E8B0-1DC8-4BE3-9941-600058CE66BB}" presName="sibTrans" presStyleLbl="sibTrans2D1" presStyleIdx="0" presStyleCnt="2"/>
      <dgm:spPr>
        <a:prstGeom prst="leftRightArrow">
          <a:avLst/>
        </a:prstGeom>
      </dgm:spPr>
    </dgm:pt>
    <dgm:pt modelId="{A79FE3B8-B22F-42DE-B2DE-7CD832C70137}" type="pres">
      <dgm:prSet presAssocID="{8CE5E8B0-1DC8-4BE3-9941-600058CE66BB}" presName="connTx" presStyleLbl="sibTrans2D1" presStyleIdx="0" presStyleCnt="2"/>
      <dgm:spPr/>
    </dgm:pt>
    <dgm:pt modelId="{5B41BF5E-F62C-4E81-B806-AC35295C393B}" type="pres">
      <dgm:prSet presAssocID="{64347EF5-C2F1-4EA4-B62C-765CBBCE3821}" presName="composite" presStyleCnt="0"/>
      <dgm:spPr/>
    </dgm:pt>
    <dgm:pt modelId="{0A915B88-E1C5-4572-8339-1C602EB2B296}" type="pres">
      <dgm:prSet presAssocID="{64347EF5-C2F1-4EA4-B62C-765CBBCE3821}" presName="parTx" presStyleLbl="node1" presStyleIdx="0" presStyleCnt="3">
        <dgm:presLayoutVars>
          <dgm:chMax val="0"/>
          <dgm:chPref val="0"/>
          <dgm:bulletEnabled val="1"/>
        </dgm:presLayoutVars>
      </dgm:prSet>
      <dgm:spPr>
        <a:prstGeom prst="roundRect">
          <a:avLst>
            <a:gd name="adj" fmla="val 10000"/>
          </a:avLst>
        </a:prstGeom>
      </dgm:spPr>
    </dgm:pt>
    <dgm:pt modelId="{44D0F9DF-A611-4048-8A9A-CCF0FC07738A}" type="pres">
      <dgm:prSet presAssocID="{64347EF5-C2F1-4EA4-B62C-765CBBCE3821}" presName="parSh" presStyleLbl="node1" presStyleIdx="1" presStyleCnt="3"/>
      <dgm:spPr/>
    </dgm:pt>
    <dgm:pt modelId="{EFCEBA94-7D56-4073-A23E-87564F237580}" type="pres">
      <dgm:prSet presAssocID="{64347EF5-C2F1-4EA4-B62C-765CBBCE3821}" presName="desTx" presStyleLbl="fgAcc1" presStyleIdx="1" presStyleCnt="3">
        <dgm:presLayoutVars>
          <dgm:bulletEnabled val="1"/>
        </dgm:presLayoutVars>
      </dgm:prSet>
      <dgm:spPr>
        <a:prstGeom prst="roundRect">
          <a:avLst>
            <a:gd name="adj" fmla="val 10000"/>
          </a:avLst>
        </a:prstGeom>
      </dgm:spPr>
    </dgm:pt>
    <dgm:pt modelId="{5D98041B-D2D0-4D71-A2BC-715A33EF40B1}" type="pres">
      <dgm:prSet presAssocID="{93C7CA6C-6186-46EB-8463-6250A5737F2E}" presName="sibTrans" presStyleLbl="sibTrans2D1" presStyleIdx="1" presStyleCnt="2"/>
      <dgm:spPr>
        <a:prstGeom prst="leftRightArrow">
          <a:avLst/>
        </a:prstGeom>
      </dgm:spPr>
    </dgm:pt>
    <dgm:pt modelId="{8CA176BB-D6DB-4F66-9FCD-AD94B439909E}" type="pres">
      <dgm:prSet presAssocID="{93C7CA6C-6186-46EB-8463-6250A5737F2E}" presName="connTx" presStyleLbl="sibTrans2D1" presStyleIdx="1" presStyleCnt="2"/>
      <dgm:spPr/>
    </dgm:pt>
    <dgm:pt modelId="{92C1E0AC-A7A6-4324-B34B-472925FC1661}" type="pres">
      <dgm:prSet presAssocID="{4FD292A3-9336-4FBC-84EF-2B397BAA8C39}" presName="composite" presStyleCnt="0"/>
      <dgm:spPr/>
    </dgm:pt>
    <dgm:pt modelId="{5CFA2C85-5213-4452-90FA-7A557DCCC403}" type="pres">
      <dgm:prSet presAssocID="{4FD292A3-9336-4FBC-84EF-2B397BAA8C39}" presName="parTx" presStyleLbl="node1" presStyleIdx="1" presStyleCnt="3">
        <dgm:presLayoutVars>
          <dgm:chMax val="0"/>
          <dgm:chPref val="0"/>
          <dgm:bulletEnabled val="1"/>
        </dgm:presLayoutVars>
      </dgm:prSet>
      <dgm:spPr>
        <a:prstGeom prst="roundRect">
          <a:avLst>
            <a:gd name="adj" fmla="val 10000"/>
          </a:avLst>
        </a:prstGeom>
      </dgm:spPr>
    </dgm:pt>
    <dgm:pt modelId="{42DE9D5C-F3FE-4CC7-8BA9-AD3A50579DC9}" type="pres">
      <dgm:prSet presAssocID="{4FD292A3-9336-4FBC-84EF-2B397BAA8C39}" presName="parSh" presStyleLbl="node1" presStyleIdx="2" presStyleCnt="3"/>
      <dgm:spPr/>
    </dgm:pt>
    <dgm:pt modelId="{30FE203E-101D-47D9-9C9C-18752BF2B0B3}" type="pres">
      <dgm:prSet presAssocID="{4FD292A3-9336-4FBC-84EF-2B397BAA8C39}" presName="desTx" presStyleLbl="fgAcc1" presStyleIdx="2" presStyleCnt="3">
        <dgm:presLayoutVars>
          <dgm:bulletEnabled val="1"/>
        </dgm:presLayoutVars>
      </dgm:prSet>
      <dgm:spPr>
        <a:prstGeom prst="roundRect">
          <a:avLst>
            <a:gd name="adj" fmla="val 10000"/>
          </a:avLst>
        </a:prstGeom>
      </dgm:spPr>
    </dgm:pt>
  </dgm:ptLst>
  <dgm:cxnLst>
    <dgm:cxn modelId="{5D6D5B04-F5AD-4326-9016-B45C4792A383}" srcId="{973F6B57-ABE9-439B-9390-BCF850D5B40D}" destId="{4FD292A3-9336-4FBC-84EF-2B397BAA8C39}" srcOrd="2" destOrd="0" parTransId="{287F1F04-CFD4-4ACB-8C36-166F96F76B1E}" sibTransId="{E5B24C51-BDF8-4262-A7F6-A2103D61E78C}"/>
    <dgm:cxn modelId="{BAC02D12-5F77-49B7-91D5-C250CD17812B}" type="presOf" srcId="{8CE5E8B0-1DC8-4BE3-9941-600058CE66BB}" destId="{3C583DB9-A242-4A41-AD0E-CF229CF9AFFB}" srcOrd="0" destOrd="0" presId="urn:microsoft.com/office/officeart/2005/8/layout/process3"/>
    <dgm:cxn modelId="{51F49E1B-A5C1-4345-911E-392282674EF4}" type="presOf" srcId="{1B677F2C-47CA-4943-9AF2-B351B516CB1F}" destId="{30FE203E-101D-47D9-9C9C-18752BF2B0B3}" srcOrd="0" destOrd="0" presId="urn:microsoft.com/office/officeart/2005/8/layout/process3"/>
    <dgm:cxn modelId="{C29A091F-B38F-4118-946C-10930C16D398}" srcId="{4FD292A3-9336-4FBC-84EF-2B397BAA8C39}" destId="{1B677F2C-47CA-4943-9AF2-B351B516CB1F}" srcOrd="0" destOrd="0" parTransId="{A24EC5DF-F137-43F6-926C-8EFA37FF8DA0}" sibTransId="{1729827C-7608-442F-BADB-A9AD81A19AB2}"/>
    <dgm:cxn modelId="{DD488C29-6CB0-45F9-8886-C293E01C402B}" type="presOf" srcId="{A8108F90-2E09-4662-874A-D18EF3150F2C}" destId="{C361FD98-A10F-4502-8941-B991D4B92C41}" srcOrd="1" destOrd="0" presId="urn:microsoft.com/office/officeart/2005/8/layout/process3"/>
    <dgm:cxn modelId="{7334742C-D14C-4D94-A691-CC54480B8964}" type="presOf" srcId="{93C7CA6C-6186-46EB-8463-6250A5737F2E}" destId="{5D98041B-D2D0-4D71-A2BC-715A33EF40B1}" srcOrd="0" destOrd="0" presId="urn:microsoft.com/office/officeart/2005/8/layout/process3"/>
    <dgm:cxn modelId="{EBC45E37-A6C8-4407-B2DC-A3077786A656}" type="presOf" srcId="{8CE5E8B0-1DC8-4BE3-9941-600058CE66BB}" destId="{A79FE3B8-B22F-42DE-B2DE-7CD832C70137}" srcOrd="1" destOrd="0" presId="urn:microsoft.com/office/officeart/2005/8/layout/process3"/>
    <dgm:cxn modelId="{443CE45E-131F-4D57-AB1E-1E0D45373534}" type="presOf" srcId="{F172B316-07C0-4504-8052-F2DDEFDA77F5}" destId="{09BCF2DE-1DD5-4B74-BF46-F506613A509D}" srcOrd="0" destOrd="0" presId="urn:microsoft.com/office/officeart/2005/8/layout/process3"/>
    <dgm:cxn modelId="{BBB4745F-E082-4F23-B948-37B4CA85861F}" srcId="{A8108F90-2E09-4662-874A-D18EF3150F2C}" destId="{F172B316-07C0-4504-8052-F2DDEFDA77F5}" srcOrd="0" destOrd="0" parTransId="{958444FC-FDFD-462E-9699-4E0031B5B387}" sibTransId="{1EEEE79D-3293-488C-8F72-CC3F419EB1B8}"/>
    <dgm:cxn modelId="{FEC68141-1610-4153-8620-206C5BD265B2}" type="presOf" srcId="{C84A5FEC-64FE-4C44-961E-A0E699A9133B}" destId="{EFCEBA94-7D56-4073-A23E-87564F237580}" srcOrd="0" destOrd="0" presId="urn:microsoft.com/office/officeart/2005/8/layout/process3"/>
    <dgm:cxn modelId="{4E65F065-905C-4006-BFB2-9F8C5E0570C8}" type="presOf" srcId="{973F6B57-ABE9-439B-9390-BCF850D5B40D}" destId="{34005E74-7DDA-44E0-BF0B-75EBC7E3CCD4}" srcOrd="0" destOrd="0" presId="urn:microsoft.com/office/officeart/2005/8/layout/process3"/>
    <dgm:cxn modelId="{383A3E6F-F404-436B-B9E0-3C7607F880BF}" srcId="{973F6B57-ABE9-439B-9390-BCF850D5B40D}" destId="{64347EF5-C2F1-4EA4-B62C-765CBBCE3821}" srcOrd="1" destOrd="0" parTransId="{7A433B31-6C82-40F9-8B9E-6340022669BE}" sibTransId="{93C7CA6C-6186-46EB-8463-6250A5737F2E}"/>
    <dgm:cxn modelId="{57B20E71-AF74-443C-874E-F6066023C434}" type="presOf" srcId="{93C7CA6C-6186-46EB-8463-6250A5737F2E}" destId="{8CA176BB-D6DB-4F66-9FCD-AD94B439909E}" srcOrd="1" destOrd="0" presId="urn:microsoft.com/office/officeart/2005/8/layout/process3"/>
    <dgm:cxn modelId="{7C39DF54-BD97-458C-9074-E335C7326DCF}" type="presOf" srcId="{4FD292A3-9336-4FBC-84EF-2B397BAA8C39}" destId="{5CFA2C85-5213-4452-90FA-7A557DCCC403}" srcOrd="0" destOrd="0" presId="urn:microsoft.com/office/officeart/2005/8/layout/process3"/>
    <dgm:cxn modelId="{E55B5479-5863-4952-B563-F4EFA02E1E2F}" type="presOf" srcId="{4FD292A3-9336-4FBC-84EF-2B397BAA8C39}" destId="{42DE9D5C-F3FE-4CC7-8BA9-AD3A50579DC9}" srcOrd="1" destOrd="0" presId="urn:microsoft.com/office/officeart/2005/8/layout/process3"/>
    <dgm:cxn modelId="{B1F55D7C-C7F4-4BA3-B999-C66F58C6B379}" srcId="{973F6B57-ABE9-439B-9390-BCF850D5B40D}" destId="{A8108F90-2E09-4662-874A-D18EF3150F2C}" srcOrd="0" destOrd="0" parTransId="{0D8FDD58-87D1-4496-8FE4-7704EADB0807}" sibTransId="{8CE5E8B0-1DC8-4BE3-9941-600058CE66BB}"/>
    <dgm:cxn modelId="{5C79159B-AD20-4A8D-A240-8E4F242855A9}" type="presOf" srcId="{64347EF5-C2F1-4EA4-B62C-765CBBCE3821}" destId="{0A915B88-E1C5-4572-8339-1C602EB2B296}" srcOrd="0" destOrd="0" presId="urn:microsoft.com/office/officeart/2005/8/layout/process3"/>
    <dgm:cxn modelId="{D209FBBA-7904-4809-A0A9-0B9F4A0704FF}" type="presOf" srcId="{64347EF5-C2F1-4EA4-B62C-765CBBCE3821}" destId="{44D0F9DF-A611-4048-8A9A-CCF0FC07738A}" srcOrd="1" destOrd="0" presId="urn:microsoft.com/office/officeart/2005/8/layout/process3"/>
    <dgm:cxn modelId="{636674F1-A850-4588-8405-BB04009B6C31}" type="presOf" srcId="{A8108F90-2E09-4662-874A-D18EF3150F2C}" destId="{FF9C1965-2ACF-44E6-AC2E-BE402BB1E68C}" srcOrd="0" destOrd="0" presId="urn:microsoft.com/office/officeart/2005/8/layout/process3"/>
    <dgm:cxn modelId="{DBB6BCF7-2DB6-42AD-BB6F-E087A4D6CDF3}" srcId="{64347EF5-C2F1-4EA4-B62C-765CBBCE3821}" destId="{C84A5FEC-64FE-4C44-961E-A0E699A9133B}" srcOrd="0" destOrd="0" parTransId="{6CC8D7AA-27E1-4A85-8EB0-704FC9B1C863}" sibTransId="{A4D9DB66-472C-4C01-ACA6-0758EB168954}"/>
    <dgm:cxn modelId="{B213C52C-963F-4E85-8270-9209D8C7F5EC}" type="presParOf" srcId="{34005E74-7DDA-44E0-BF0B-75EBC7E3CCD4}" destId="{74649C8C-8604-42EF-AA86-3DC2C1DC73A7}" srcOrd="0" destOrd="0" presId="urn:microsoft.com/office/officeart/2005/8/layout/process3"/>
    <dgm:cxn modelId="{011E1223-57FE-4896-A221-0AD882103095}" type="presParOf" srcId="{74649C8C-8604-42EF-AA86-3DC2C1DC73A7}" destId="{FF9C1965-2ACF-44E6-AC2E-BE402BB1E68C}" srcOrd="0" destOrd="0" presId="urn:microsoft.com/office/officeart/2005/8/layout/process3"/>
    <dgm:cxn modelId="{A321E74D-DBCA-432C-B8D4-E00D645E8033}" type="presParOf" srcId="{74649C8C-8604-42EF-AA86-3DC2C1DC73A7}" destId="{C361FD98-A10F-4502-8941-B991D4B92C41}" srcOrd="1" destOrd="0" presId="urn:microsoft.com/office/officeart/2005/8/layout/process3"/>
    <dgm:cxn modelId="{CE550E52-9414-4EBC-B32D-D94494A7D42C}" type="presParOf" srcId="{74649C8C-8604-42EF-AA86-3DC2C1DC73A7}" destId="{09BCF2DE-1DD5-4B74-BF46-F506613A509D}" srcOrd="2" destOrd="0" presId="urn:microsoft.com/office/officeart/2005/8/layout/process3"/>
    <dgm:cxn modelId="{47D50AEE-1779-4517-A34B-2D19640DE64F}" type="presParOf" srcId="{34005E74-7DDA-44E0-BF0B-75EBC7E3CCD4}" destId="{3C583DB9-A242-4A41-AD0E-CF229CF9AFFB}" srcOrd="1" destOrd="0" presId="urn:microsoft.com/office/officeart/2005/8/layout/process3"/>
    <dgm:cxn modelId="{6743B665-1FD1-4E74-869B-523C891D5129}" type="presParOf" srcId="{3C583DB9-A242-4A41-AD0E-CF229CF9AFFB}" destId="{A79FE3B8-B22F-42DE-B2DE-7CD832C70137}" srcOrd="0" destOrd="0" presId="urn:microsoft.com/office/officeart/2005/8/layout/process3"/>
    <dgm:cxn modelId="{8DF3C8A6-2976-46E3-99C8-72B169411E8E}" type="presParOf" srcId="{34005E74-7DDA-44E0-BF0B-75EBC7E3CCD4}" destId="{5B41BF5E-F62C-4E81-B806-AC35295C393B}" srcOrd="2" destOrd="0" presId="urn:microsoft.com/office/officeart/2005/8/layout/process3"/>
    <dgm:cxn modelId="{C6ABF41D-7B4F-46F9-A277-F04403A155F4}" type="presParOf" srcId="{5B41BF5E-F62C-4E81-B806-AC35295C393B}" destId="{0A915B88-E1C5-4572-8339-1C602EB2B296}" srcOrd="0" destOrd="0" presId="urn:microsoft.com/office/officeart/2005/8/layout/process3"/>
    <dgm:cxn modelId="{B85ADB80-3387-49F2-91FE-BAE73B2F230C}" type="presParOf" srcId="{5B41BF5E-F62C-4E81-B806-AC35295C393B}" destId="{44D0F9DF-A611-4048-8A9A-CCF0FC07738A}" srcOrd="1" destOrd="0" presId="urn:microsoft.com/office/officeart/2005/8/layout/process3"/>
    <dgm:cxn modelId="{531E32E7-612A-4930-B424-4F37D69F1614}" type="presParOf" srcId="{5B41BF5E-F62C-4E81-B806-AC35295C393B}" destId="{EFCEBA94-7D56-4073-A23E-87564F237580}" srcOrd="2" destOrd="0" presId="urn:microsoft.com/office/officeart/2005/8/layout/process3"/>
    <dgm:cxn modelId="{B210FC63-D2DF-4A44-984D-A475888841B5}" type="presParOf" srcId="{34005E74-7DDA-44E0-BF0B-75EBC7E3CCD4}" destId="{5D98041B-D2D0-4D71-A2BC-715A33EF40B1}" srcOrd="3" destOrd="0" presId="urn:microsoft.com/office/officeart/2005/8/layout/process3"/>
    <dgm:cxn modelId="{347C9005-7980-4564-9473-3EF9B18A7B3A}" type="presParOf" srcId="{5D98041B-D2D0-4D71-A2BC-715A33EF40B1}" destId="{8CA176BB-D6DB-4F66-9FCD-AD94B439909E}" srcOrd="0" destOrd="0" presId="urn:microsoft.com/office/officeart/2005/8/layout/process3"/>
    <dgm:cxn modelId="{3E8C5F35-FB1F-45B2-8093-8FF70A777E6C}" type="presParOf" srcId="{34005E74-7DDA-44E0-BF0B-75EBC7E3CCD4}" destId="{92C1E0AC-A7A6-4324-B34B-472925FC1661}" srcOrd="4" destOrd="0" presId="urn:microsoft.com/office/officeart/2005/8/layout/process3"/>
    <dgm:cxn modelId="{8B5398E1-CA32-4FE4-936D-93FDF954BF23}" type="presParOf" srcId="{92C1E0AC-A7A6-4324-B34B-472925FC1661}" destId="{5CFA2C85-5213-4452-90FA-7A557DCCC403}" srcOrd="0" destOrd="0" presId="urn:microsoft.com/office/officeart/2005/8/layout/process3"/>
    <dgm:cxn modelId="{395A3962-8DE8-4CBC-AB4A-8C6F7DADB29D}" type="presParOf" srcId="{92C1E0AC-A7A6-4324-B34B-472925FC1661}" destId="{42DE9D5C-F3FE-4CC7-8BA9-AD3A50579DC9}" srcOrd="1" destOrd="0" presId="urn:microsoft.com/office/officeart/2005/8/layout/process3"/>
    <dgm:cxn modelId="{E14CCD58-3148-4F7B-81EC-9C6796C20410}" type="presParOf" srcId="{92C1E0AC-A7A6-4324-B34B-472925FC1661}" destId="{30FE203E-101D-47D9-9C9C-18752BF2B0B3}"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1F5CE3-E3ED-46DA-AD74-3A5C491A82A1}" type="doc">
      <dgm:prSet loTypeId="urn:microsoft.com/office/officeart/2005/8/layout/chevron1" loCatId="process" qsTypeId="urn:microsoft.com/office/officeart/2005/8/quickstyle/simple1" qsCatId="simple" csTypeId="urn:microsoft.com/office/officeart/2005/8/colors/accent1_3" csCatId="accent1" phldr="1"/>
      <dgm:spPr/>
    </dgm:pt>
    <dgm:pt modelId="{66D6331A-35C1-43EC-BB9E-D7008AE7B161}">
      <dgm:prSet phldrT="[Text]" custT="1"/>
      <dgm:spPr/>
      <dgm:t>
        <a:bodyPr/>
        <a:lstStyle/>
        <a:p>
          <a:r>
            <a:rPr lang="en-US" sz="1000" b="1">
              <a:latin typeface="+mn-lt"/>
              <a:cs typeface="Times New Roman" panose="02020603050405020304" pitchFamily="18" charset="0"/>
            </a:rPr>
            <a:t>Ship to quay</a:t>
          </a:r>
        </a:p>
      </dgm:t>
    </dgm:pt>
    <dgm:pt modelId="{972F0BF1-1A23-45FD-B838-0CBBC7E1B3E0}" type="parTrans" cxnId="{850D38B0-0479-4802-9C47-22A0416A601E}">
      <dgm:prSet/>
      <dgm:spPr/>
      <dgm:t>
        <a:bodyPr/>
        <a:lstStyle/>
        <a:p>
          <a:endParaRPr lang="en-US">
            <a:latin typeface="+mn-lt"/>
          </a:endParaRPr>
        </a:p>
      </dgm:t>
    </dgm:pt>
    <dgm:pt modelId="{6BB199F2-CC69-443F-B58C-D5CC89662844}" type="sibTrans" cxnId="{850D38B0-0479-4802-9C47-22A0416A601E}">
      <dgm:prSet/>
      <dgm:spPr/>
      <dgm:t>
        <a:bodyPr/>
        <a:lstStyle/>
        <a:p>
          <a:endParaRPr lang="en-US">
            <a:latin typeface="+mn-lt"/>
          </a:endParaRPr>
        </a:p>
      </dgm:t>
    </dgm:pt>
    <dgm:pt modelId="{9CCC4EB6-9CD8-43D7-A60D-B445D840851D}">
      <dgm:prSet phldrT="[Text]" custT="1"/>
      <dgm:spPr/>
      <dgm:t>
        <a:bodyPr/>
        <a:lstStyle/>
        <a:p>
          <a:r>
            <a:rPr lang="en-US" sz="1000" b="1">
              <a:latin typeface="+mn-lt"/>
              <a:cs typeface="Times New Roman" panose="02020603050405020304" pitchFamily="18" charset="0"/>
            </a:rPr>
            <a:t>Transfer to yard</a:t>
          </a:r>
        </a:p>
      </dgm:t>
    </dgm:pt>
    <dgm:pt modelId="{830B69EF-ED4E-4421-9942-FF1980C75555}" type="parTrans" cxnId="{F36C4546-5E4E-487B-A581-050E6EB87693}">
      <dgm:prSet/>
      <dgm:spPr/>
      <dgm:t>
        <a:bodyPr/>
        <a:lstStyle/>
        <a:p>
          <a:endParaRPr lang="en-US">
            <a:latin typeface="+mn-lt"/>
          </a:endParaRPr>
        </a:p>
      </dgm:t>
    </dgm:pt>
    <dgm:pt modelId="{2ECB33B5-7610-4FE0-9CA4-7C4CA4D7CDD3}" type="sibTrans" cxnId="{F36C4546-5E4E-487B-A581-050E6EB87693}">
      <dgm:prSet/>
      <dgm:spPr/>
      <dgm:t>
        <a:bodyPr/>
        <a:lstStyle/>
        <a:p>
          <a:endParaRPr lang="en-US">
            <a:latin typeface="+mn-lt"/>
          </a:endParaRPr>
        </a:p>
      </dgm:t>
    </dgm:pt>
    <dgm:pt modelId="{1741952B-EB1D-4067-9900-BB736D9659E7}">
      <dgm:prSet phldrT="[Text]" custT="1"/>
      <dgm:spPr/>
      <dgm:t>
        <a:bodyPr/>
        <a:lstStyle/>
        <a:p>
          <a:r>
            <a:rPr lang="en-US" sz="1000" b="1">
              <a:latin typeface="+mn-lt"/>
              <a:cs typeface="Times New Roman" panose="02020603050405020304" pitchFamily="18" charset="0"/>
            </a:rPr>
            <a:t>Yard storage</a:t>
          </a:r>
        </a:p>
      </dgm:t>
    </dgm:pt>
    <dgm:pt modelId="{4AD998B0-0143-41C1-B4FF-21B9DCF359FE}" type="parTrans" cxnId="{5A69D50B-C5BD-4513-91B1-3615E685CCD6}">
      <dgm:prSet/>
      <dgm:spPr/>
      <dgm:t>
        <a:bodyPr/>
        <a:lstStyle/>
        <a:p>
          <a:endParaRPr lang="en-US">
            <a:latin typeface="+mn-lt"/>
          </a:endParaRPr>
        </a:p>
      </dgm:t>
    </dgm:pt>
    <dgm:pt modelId="{9E8737A3-6533-4748-8541-31EBFD7A6014}" type="sibTrans" cxnId="{5A69D50B-C5BD-4513-91B1-3615E685CCD6}">
      <dgm:prSet/>
      <dgm:spPr/>
      <dgm:t>
        <a:bodyPr/>
        <a:lstStyle/>
        <a:p>
          <a:endParaRPr lang="en-US">
            <a:latin typeface="+mn-lt"/>
          </a:endParaRPr>
        </a:p>
      </dgm:t>
    </dgm:pt>
    <dgm:pt modelId="{FDC050EB-B3C9-43A7-AC1F-A770E964186F}">
      <dgm:prSet phldrT="[Text]" custT="1"/>
      <dgm:spPr/>
      <dgm:t>
        <a:bodyPr/>
        <a:lstStyle/>
        <a:p>
          <a:r>
            <a:rPr lang="en-US" sz="900">
              <a:latin typeface="+mn-lt"/>
              <a:cs typeface="Times New Roman" panose="02020603050405020304" pitchFamily="18" charset="0"/>
            </a:rPr>
            <a:t>Volume and characteristics of the call (empties vs. full, transhipment, inbound vs, outbound, etc.)</a:t>
          </a:r>
        </a:p>
      </dgm:t>
    </dgm:pt>
    <dgm:pt modelId="{ADAB792C-02CE-479C-A696-31EA6F00E265}" type="parTrans" cxnId="{863F66B8-B002-4B47-8C33-C181097FB432}">
      <dgm:prSet/>
      <dgm:spPr/>
      <dgm:t>
        <a:bodyPr/>
        <a:lstStyle/>
        <a:p>
          <a:endParaRPr lang="en-US">
            <a:latin typeface="+mn-lt"/>
          </a:endParaRPr>
        </a:p>
      </dgm:t>
    </dgm:pt>
    <dgm:pt modelId="{45987248-6D28-4607-BC58-710A372DBEDF}" type="sibTrans" cxnId="{863F66B8-B002-4B47-8C33-C181097FB432}">
      <dgm:prSet/>
      <dgm:spPr/>
      <dgm:t>
        <a:bodyPr/>
        <a:lstStyle/>
        <a:p>
          <a:endParaRPr lang="en-US">
            <a:latin typeface="+mn-lt"/>
          </a:endParaRPr>
        </a:p>
      </dgm:t>
    </dgm:pt>
    <dgm:pt modelId="{6E9B1732-E8C1-47CD-BE69-950909EF9DC1}">
      <dgm:prSet phldrT="[Text]" custT="1"/>
      <dgm:spPr/>
      <dgm:t>
        <a:bodyPr/>
        <a:lstStyle/>
        <a:p>
          <a:r>
            <a:rPr lang="en-US" sz="900">
              <a:latin typeface="+mn-lt"/>
              <a:cs typeface="Times New Roman" panose="02020603050405020304" pitchFamily="18" charset="0"/>
            </a:rPr>
            <a:t>Quay handling equipment</a:t>
          </a:r>
        </a:p>
      </dgm:t>
    </dgm:pt>
    <dgm:pt modelId="{FF936422-5B6E-45D7-ADBD-F1A1E6326F10}" type="parTrans" cxnId="{2490A4BF-76E8-401D-9BAE-290EBD05155D}">
      <dgm:prSet/>
      <dgm:spPr/>
      <dgm:t>
        <a:bodyPr/>
        <a:lstStyle/>
        <a:p>
          <a:endParaRPr lang="en-US">
            <a:latin typeface="+mn-lt"/>
          </a:endParaRPr>
        </a:p>
      </dgm:t>
    </dgm:pt>
    <dgm:pt modelId="{09E74F19-1CE3-498C-9BDE-49D9601C6654}" type="sibTrans" cxnId="{2490A4BF-76E8-401D-9BAE-290EBD05155D}">
      <dgm:prSet/>
      <dgm:spPr/>
      <dgm:t>
        <a:bodyPr/>
        <a:lstStyle/>
        <a:p>
          <a:endParaRPr lang="en-US">
            <a:latin typeface="+mn-lt"/>
          </a:endParaRPr>
        </a:p>
      </dgm:t>
    </dgm:pt>
    <dgm:pt modelId="{91264942-41D7-4E9A-8118-AB225EAC36AF}">
      <dgm:prSet phldrT="[Text]" custT="1"/>
      <dgm:spPr/>
      <dgm:t>
        <a:bodyPr/>
        <a:lstStyle/>
        <a:p>
          <a:r>
            <a:rPr lang="en-US" sz="900">
              <a:latin typeface="+mn-lt"/>
              <a:cs typeface="Times New Roman" panose="02020603050405020304" pitchFamily="18" charset="0"/>
            </a:rPr>
            <a:t>Stacking configuration and yard handling equipment</a:t>
          </a:r>
        </a:p>
      </dgm:t>
    </dgm:pt>
    <dgm:pt modelId="{A658E5CF-B785-4927-BB86-60CEE2F146F5}" type="parTrans" cxnId="{79525B6E-00FA-4BC7-A187-659DC20A23F8}">
      <dgm:prSet/>
      <dgm:spPr/>
      <dgm:t>
        <a:bodyPr/>
        <a:lstStyle/>
        <a:p>
          <a:endParaRPr lang="en-US">
            <a:latin typeface="+mn-lt"/>
          </a:endParaRPr>
        </a:p>
      </dgm:t>
    </dgm:pt>
    <dgm:pt modelId="{3EB24581-07FE-453D-ACF1-7D682DB3A781}" type="sibTrans" cxnId="{79525B6E-00FA-4BC7-A187-659DC20A23F8}">
      <dgm:prSet/>
      <dgm:spPr/>
      <dgm:t>
        <a:bodyPr/>
        <a:lstStyle/>
        <a:p>
          <a:endParaRPr lang="en-US">
            <a:latin typeface="+mn-lt"/>
          </a:endParaRPr>
        </a:p>
      </dgm:t>
    </dgm:pt>
    <dgm:pt modelId="{D4CDC001-91B2-4DC8-9821-BBF9B0855891}">
      <dgm:prSet phldrT="[Text]" custT="1"/>
      <dgm:spPr/>
      <dgm:t>
        <a:bodyPr/>
        <a:lstStyle/>
        <a:p>
          <a:r>
            <a:rPr lang="en-US" sz="900">
              <a:latin typeface="+mn-lt"/>
              <a:cs typeface="Times New Roman" panose="02020603050405020304" pitchFamily="18" charset="0"/>
            </a:rPr>
            <a:t>Characteristics of the traffic (empties vs. full, transhipment, inbound vs, outbound, etc.)</a:t>
          </a:r>
        </a:p>
      </dgm:t>
    </dgm:pt>
    <dgm:pt modelId="{981EE780-CE7E-42A5-B174-D1B6CF0D5CFE}" type="parTrans" cxnId="{DA78F143-E878-44F2-BFC8-F64C5DC5B7FF}">
      <dgm:prSet/>
      <dgm:spPr/>
      <dgm:t>
        <a:bodyPr/>
        <a:lstStyle/>
        <a:p>
          <a:endParaRPr lang="en-US">
            <a:latin typeface="+mn-lt"/>
          </a:endParaRPr>
        </a:p>
      </dgm:t>
    </dgm:pt>
    <dgm:pt modelId="{F3B9AAD7-9C14-46FE-BFED-23026DDF36FC}" type="sibTrans" cxnId="{DA78F143-E878-44F2-BFC8-F64C5DC5B7FF}">
      <dgm:prSet/>
      <dgm:spPr/>
      <dgm:t>
        <a:bodyPr/>
        <a:lstStyle/>
        <a:p>
          <a:endParaRPr lang="en-US">
            <a:latin typeface="+mn-lt"/>
          </a:endParaRPr>
        </a:p>
      </dgm:t>
    </dgm:pt>
    <dgm:pt modelId="{CABC2AD8-FAB2-4059-946B-A8DE3C750E90}">
      <dgm:prSet phldrT="[Text]" custT="1"/>
      <dgm:spPr/>
      <dgm:t>
        <a:bodyPr/>
        <a:lstStyle/>
        <a:p>
          <a:r>
            <a:rPr lang="en-US" sz="900">
              <a:latin typeface="+mn-lt"/>
              <a:cs typeface="Times New Roman" panose="02020603050405020304" pitchFamily="18" charset="0"/>
            </a:rPr>
            <a:t>Dwell time</a:t>
          </a:r>
        </a:p>
      </dgm:t>
    </dgm:pt>
    <dgm:pt modelId="{8D2E13D4-251E-4046-8BDA-1CB514170E52}" type="parTrans" cxnId="{69AF522E-FA0A-40CB-8620-1D0911E30656}">
      <dgm:prSet/>
      <dgm:spPr/>
      <dgm:t>
        <a:bodyPr/>
        <a:lstStyle/>
        <a:p>
          <a:endParaRPr lang="en-US">
            <a:latin typeface="+mn-lt"/>
          </a:endParaRPr>
        </a:p>
      </dgm:t>
    </dgm:pt>
    <dgm:pt modelId="{7763673F-2961-44C4-995D-7F77F6B503F3}" type="sibTrans" cxnId="{69AF522E-FA0A-40CB-8620-1D0911E30656}">
      <dgm:prSet/>
      <dgm:spPr/>
      <dgm:t>
        <a:bodyPr/>
        <a:lstStyle/>
        <a:p>
          <a:endParaRPr lang="en-US">
            <a:latin typeface="+mn-lt"/>
          </a:endParaRPr>
        </a:p>
      </dgm:t>
    </dgm:pt>
    <dgm:pt modelId="{6EC063C0-1142-4932-A377-775C7DF7790E}">
      <dgm:prSet phldrT="[Text]" custT="1"/>
      <dgm:spPr/>
      <dgm:t>
        <a:bodyPr/>
        <a:lstStyle/>
        <a:p>
          <a:r>
            <a:rPr lang="en-US" sz="1000" b="1">
              <a:latin typeface="+mn-lt"/>
              <a:cs typeface="Times New Roman" panose="02020603050405020304" pitchFamily="18" charset="0"/>
            </a:rPr>
            <a:t>Gate transfer</a:t>
          </a:r>
        </a:p>
      </dgm:t>
    </dgm:pt>
    <dgm:pt modelId="{3751E2B6-764F-4B90-A999-D80D46262991}" type="parTrans" cxnId="{C5214FEB-0394-48B1-9D76-D91435DF20AF}">
      <dgm:prSet/>
      <dgm:spPr/>
      <dgm:t>
        <a:bodyPr/>
        <a:lstStyle/>
        <a:p>
          <a:endParaRPr lang="en-US">
            <a:latin typeface="+mn-lt"/>
          </a:endParaRPr>
        </a:p>
      </dgm:t>
    </dgm:pt>
    <dgm:pt modelId="{A1C7AC67-EBCC-4A02-A978-F49A1626650F}" type="sibTrans" cxnId="{C5214FEB-0394-48B1-9D76-D91435DF20AF}">
      <dgm:prSet/>
      <dgm:spPr/>
      <dgm:t>
        <a:bodyPr/>
        <a:lstStyle/>
        <a:p>
          <a:endParaRPr lang="en-US">
            <a:latin typeface="+mn-lt"/>
          </a:endParaRPr>
        </a:p>
      </dgm:t>
    </dgm:pt>
    <dgm:pt modelId="{B9B1373A-794B-4D98-8EE6-DC0F3424EC62}">
      <dgm:prSet phldrT="[Text]" custT="1"/>
      <dgm:spPr/>
      <dgm:t>
        <a:bodyPr/>
        <a:lstStyle/>
        <a:p>
          <a:r>
            <a:rPr lang="en-US" sz="900">
              <a:latin typeface="+mn-lt"/>
              <a:cs typeface="Times New Roman" panose="02020603050405020304" pitchFamily="18" charset="0"/>
            </a:rPr>
            <a:t>Appointment scheme for trucks</a:t>
          </a:r>
        </a:p>
      </dgm:t>
    </dgm:pt>
    <dgm:pt modelId="{4B187639-3A1A-40F4-8234-ACDEFD337B78}" type="parTrans" cxnId="{3EADA5D5-5138-4D1D-9BCD-C3EB4BD64BF2}">
      <dgm:prSet/>
      <dgm:spPr/>
      <dgm:t>
        <a:bodyPr/>
        <a:lstStyle/>
        <a:p>
          <a:endParaRPr lang="en-US">
            <a:latin typeface="+mn-lt"/>
          </a:endParaRPr>
        </a:p>
      </dgm:t>
    </dgm:pt>
    <dgm:pt modelId="{FF9CA949-232F-4455-88FE-61C18CBD554D}" type="sibTrans" cxnId="{3EADA5D5-5138-4D1D-9BCD-C3EB4BD64BF2}">
      <dgm:prSet/>
      <dgm:spPr/>
      <dgm:t>
        <a:bodyPr/>
        <a:lstStyle/>
        <a:p>
          <a:endParaRPr lang="en-US">
            <a:latin typeface="+mn-lt"/>
          </a:endParaRPr>
        </a:p>
      </dgm:t>
    </dgm:pt>
    <dgm:pt modelId="{417C6539-2785-4F22-82E7-7C6B719C75B2}">
      <dgm:prSet phldrT="[Text]" custT="1"/>
      <dgm:spPr/>
      <dgm:t>
        <a:bodyPr/>
        <a:lstStyle/>
        <a:p>
          <a:r>
            <a:rPr lang="en-US" sz="900">
              <a:latin typeface="+mn-lt"/>
              <a:cs typeface="Times New Roman" panose="02020603050405020304" pitchFamily="18" charset="0"/>
            </a:rPr>
            <a:t>Rail / road split</a:t>
          </a:r>
        </a:p>
      </dgm:t>
    </dgm:pt>
    <dgm:pt modelId="{60F758B1-008B-4B6A-AC09-3017BEFF782D}" type="parTrans" cxnId="{1804A57C-04D4-4521-A358-DD9CC4CA6A68}">
      <dgm:prSet/>
      <dgm:spPr/>
      <dgm:t>
        <a:bodyPr/>
        <a:lstStyle/>
        <a:p>
          <a:endParaRPr lang="en-US">
            <a:latin typeface="+mn-lt"/>
          </a:endParaRPr>
        </a:p>
      </dgm:t>
    </dgm:pt>
    <dgm:pt modelId="{15830AB6-DC6D-4561-9A26-D822DDA0FB53}" type="sibTrans" cxnId="{1804A57C-04D4-4521-A358-DD9CC4CA6A68}">
      <dgm:prSet/>
      <dgm:spPr/>
      <dgm:t>
        <a:bodyPr/>
        <a:lstStyle/>
        <a:p>
          <a:endParaRPr lang="en-US">
            <a:latin typeface="+mn-lt"/>
          </a:endParaRPr>
        </a:p>
      </dgm:t>
    </dgm:pt>
    <dgm:pt modelId="{2409362B-76E8-4A02-BB0C-095CB7EFF34A}">
      <dgm:prSet phldrT="[Text]" custT="1"/>
      <dgm:spPr/>
      <dgm:t>
        <a:bodyPr/>
        <a:lstStyle/>
        <a:p>
          <a:r>
            <a:rPr lang="en-US" sz="900">
              <a:latin typeface="+mn-lt"/>
              <a:cs typeface="Times New Roman" panose="02020603050405020304" pitchFamily="18" charset="0"/>
            </a:rPr>
            <a:t>Reach stackers or tractors+trailers</a:t>
          </a:r>
        </a:p>
      </dgm:t>
    </dgm:pt>
    <dgm:pt modelId="{8B11E9AA-83E1-4F82-96C8-4272E368B18B}" type="parTrans" cxnId="{19FC943A-129A-462F-AFE2-88B4D3B328F9}">
      <dgm:prSet/>
      <dgm:spPr/>
      <dgm:t>
        <a:bodyPr/>
        <a:lstStyle/>
        <a:p>
          <a:endParaRPr lang="en-US">
            <a:latin typeface="+mn-lt"/>
          </a:endParaRPr>
        </a:p>
      </dgm:t>
    </dgm:pt>
    <dgm:pt modelId="{EE77788A-D726-4182-B976-89B3EA29F1EC}" type="sibTrans" cxnId="{19FC943A-129A-462F-AFE2-88B4D3B328F9}">
      <dgm:prSet/>
      <dgm:spPr/>
      <dgm:t>
        <a:bodyPr/>
        <a:lstStyle/>
        <a:p>
          <a:endParaRPr lang="en-US">
            <a:latin typeface="+mn-lt"/>
          </a:endParaRPr>
        </a:p>
      </dgm:t>
    </dgm:pt>
    <dgm:pt modelId="{A3E0B173-38BB-4972-82F8-F7C3DA83511F}">
      <dgm:prSet phldrT="[Text]" custT="1"/>
      <dgm:spPr/>
      <dgm:t>
        <a:bodyPr/>
        <a:lstStyle/>
        <a:p>
          <a:r>
            <a:rPr lang="en-US" sz="900">
              <a:latin typeface="+mn-lt"/>
              <a:cs typeface="Times New Roman" panose="02020603050405020304" pitchFamily="18" charset="0"/>
            </a:rPr>
            <a:t>Distance quay - yard area</a:t>
          </a:r>
        </a:p>
      </dgm:t>
    </dgm:pt>
    <dgm:pt modelId="{65BF7820-5987-4BDD-ABE7-2CBB4281004A}" type="parTrans" cxnId="{41D7A683-E7D7-44B3-8B5D-055F2977DBDD}">
      <dgm:prSet/>
      <dgm:spPr/>
      <dgm:t>
        <a:bodyPr/>
        <a:lstStyle/>
        <a:p>
          <a:endParaRPr lang="en-US">
            <a:latin typeface="+mn-lt"/>
          </a:endParaRPr>
        </a:p>
      </dgm:t>
    </dgm:pt>
    <dgm:pt modelId="{14883FA3-47F8-4B1F-9688-79ACA332542D}" type="sibTrans" cxnId="{41D7A683-E7D7-44B3-8B5D-055F2977DBDD}">
      <dgm:prSet/>
      <dgm:spPr/>
      <dgm:t>
        <a:bodyPr/>
        <a:lstStyle/>
        <a:p>
          <a:endParaRPr lang="en-US">
            <a:latin typeface="+mn-lt"/>
          </a:endParaRPr>
        </a:p>
      </dgm:t>
    </dgm:pt>
    <dgm:pt modelId="{AB88A0D3-B3D9-4AC0-982F-9D5634C303D5}">
      <dgm:prSet phldrT="[Text]" custT="1"/>
      <dgm:spPr/>
      <dgm:t>
        <a:bodyPr/>
        <a:lstStyle/>
        <a:p>
          <a:r>
            <a:rPr lang="en-US" sz="900">
              <a:latin typeface="+mn-lt"/>
              <a:cs typeface="Times New Roman" panose="02020603050405020304" pitchFamily="18" charset="0"/>
            </a:rPr>
            <a:t>Gate lanes</a:t>
          </a:r>
        </a:p>
      </dgm:t>
    </dgm:pt>
    <dgm:pt modelId="{91AD58C9-BBB1-4B84-AC37-D2E1319D49CD}" type="parTrans" cxnId="{79B51FF7-4430-4399-8B0D-05C08520260E}">
      <dgm:prSet/>
      <dgm:spPr/>
      <dgm:t>
        <a:bodyPr/>
        <a:lstStyle/>
        <a:p>
          <a:endParaRPr lang="en-US">
            <a:latin typeface="+mn-lt"/>
          </a:endParaRPr>
        </a:p>
      </dgm:t>
    </dgm:pt>
    <dgm:pt modelId="{C426E024-D599-4AE4-8D5D-76318825752A}" type="sibTrans" cxnId="{79B51FF7-4430-4399-8B0D-05C08520260E}">
      <dgm:prSet/>
      <dgm:spPr/>
      <dgm:t>
        <a:bodyPr/>
        <a:lstStyle/>
        <a:p>
          <a:endParaRPr lang="en-US">
            <a:latin typeface="+mn-lt"/>
          </a:endParaRPr>
        </a:p>
      </dgm:t>
    </dgm:pt>
    <dgm:pt modelId="{262E35A5-6122-4945-96B6-AF1AB810C9C3}" type="pres">
      <dgm:prSet presAssocID="{141F5CE3-E3ED-46DA-AD74-3A5C491A82A1}" presName="Name0" presStyleCnt="0">
        <dgm:presLayoutVars>
          <dgm:dir/>
          <dgm:animLvl val="lvl"/>
          <dgm:resizeHandles val="exact"/>
        </dgm:presLayoutVars>
      </dgm:prSet>
      <dgm:spPr/>
    </dgm:pt>
    <dgm:pt modelId="{62091BD1-9632-4C5B-8F5F-46A45D583505}" type="pres">
      <dgm:prSet presAssocID="{66D6331A-35C1-43EC-BB9E-D7008AE7B161}" presName="composite" presStyleCnt="0"/>
      <dgm:spPr/>
    </dgm:pt>
    <dgm:pt modelId="{A2723269-FCF8-4491-B08B-A176920A5CD7}" type="pres">
      <dgm:prSet presAssocID="{66D6331A-35C1-43EC-BB9E-D7008AE7B161}" presName="parTx" presStyleLbl="node1" presStyleIdx="0" presStyleCnt="4">
        <dgm:presLayoutVars>
          <dgm:chMax val="0"/>
          <dgm:chPref val="0"/>
          <dgm:bulletEnabled val="1"/>
        </dgm:presLayoutVars>
      </dgm:prSet>
      <dgm:spPr/>
    </dgm:pt>
    <dgm:pt modelId="{7C8CDF99-D53B-4CD3-B285-AFC41D9FE071}" type="pres">
      <dgm:prSet presAssocID="{66D6331A-35C1-43EC-BB9E-D7008AE7B161}" presName="desTx" presStyleLbl="revTx" presStyleIdx="0" presStyleCnt="4">
        <dgm:presLayoutVars>
          <dgm:bulletEnabled val="1"/>
        </dgm:presLayoutVars>
      </dgm:prSet>
      <dgm:spPr/>
    </dgm:pt>
    <dgm:pt modelId="{0F3ABAF8-936B-4AC7-AEA8-0B0EEB695824}" type="pres">
      <dgm:prSet presAssocID="{6BB199F2-CC69-443F-B58C-D5CC89662844}" presName="space" presStyleCnt="0"/>
      <dgm:spPr/>
    </dgm:pt>
    <dgm:pt modelId="{93A664BF-614C-4500-A505-4AC05590DA52}" type="pres">
      <dgm:prSet presAssocID="{9CCC4EB6-9CD8-43D7-A60D-B445D840851D}" presName="composite" presStyleCnt="0"/>
      <dgm:spPr/>
    </dgm:pt>
    <dgm:pt modelId="{1EB1284C-F7A9-403F-8020-0FD90C8ADF1D}" type="pres">
      <dgm:prSet presAssocID="{9CCC4EB6-9CD8-43D7-A60D-B445D840851D}" presName="parTx" presStyleLbl="node1" presStyleIdx="1" presStyleCnt="4">
        <dgm:presLayoutVars>
          <dgm:chMax val="0"/>
          <dgm:chPref val="0"/>
          <dgm:bulletEnabled val="1"/>
        </dgm:presLayoutVars>
      </dgm:prSet>
      <dgm:spPr/>
    </dgm:pt>
    <dgm:pt modelId="{0D6FAA6B-F38C-4369-933E-85531E0ACDBB}" type="pres">
      <dgm:prSet presAssocID="{9CCC4EB6-9CD8-43D7-A60D-B445D840851D}" presName="desTx" presStyleLbl="revTx" presStyleIdx="1" presStyleCnt="4">
        <dgm:presLayoutVars>
          <dgm:bulletEnabled val="1"/>
        </dgm:presLayoutVars>
      </dgm:prSet>
      <dgm:spPr/>
    </dgm:pt>
    <dgm:pt modelId="{0C8FD609-474F-44DD-A960-C926B682ADCB}" type="pres">
      <dgm:prSet presAssocID="{2ECB33B5-7610-4FE0-9CA4-7C4CA4D7CDD3}" presName="space" presStyleCnt="0"/>
      <dgm:spPr/>
    </dgm:pt>
    <dgm:pt modelId="{999BC004-DEA0-4C0A-A062-3539BEFCA8C4}" type="pres">
      <dgm:prSet presAssocID="{1741952B-EB1D-4067-9900-BB736D9659E7}" presName="composite" presStyleCnt="0"/>
      <dgm:spPr/>
    </dgm:pt>
    <dgm:pt modelId="{5581A41B-D6C1-4880-B09C-6F4930F7FE6D}" type="pres">
      <dgm:prSet presAssocID="{1741952B-EB1D-4067-9900-BB736D9659E7}" presName="parTx" presStyleLbl="node1" presStyleIdx="2" presStyleCnt="4">
        <dgm:presLayoutVars>
          <dgm:chMax val="0"/>
          <dgm:chPref val="0"/>
          <dgm:bulletEnabled val="1"/>
        </dgm:presLayoutVars>
      </dgm:prSet>
      <dgm:spPr/>
    </dgm:pt>
    <dgm:pt modelId="{CC61658C-11B1-4FDD-BB9A-B2C277B7366E}" type="pres">
      <dgm:prSet presAssocID="{1741952B-EB1D-4067-9900-BB736D9659E7}" presName="desTx" presStyleLbl="revTx" presStyleIdx="2" presStyleCnt="4">
        <dgm:presLayoutVars>
          <dgm:bulletEnabled val="1"/>
        </dgm:presLayoutVars>
      </dgm:prSet>
      <dgm:spPr/>
    </dgm:pt>
    <dgm:pt modelId="{7CCB5E22-0DF4-4C22-80C5-1C26B2D8829A}" type="pres">
      <dgm:prSet presAssocID="{9E8737A3-6533-4748-8541-31EBFD7A6014}" presName="space" presStyleCnt="0"/>
      <dgm:spPr/>
    </dgm:pt>
    <dgm:pt modelId="{C63D0D24-BE0D-4C72-A863-2D94483B3226}" type="pres">
      <dgm:prSet presAssocID="{6EC063C0-1142-4932-A377-775C7DF7790E}" presName="composite" presStyleCnt="0"/>
      <dgm:spPr/>
    </dgm:pt>
    <dgm:pt modelId="{9E81C3E8-E842-477A-BAF6-1A9983A4D019}" type="pres">
      <dgm:prSet presAssocID="{6EC063C0-1142-4932-A377-775C7DF7790E}" presName="parTx" presStyleLbl="node1" presStyleIdx="3" presStyleCnt="4">
        <dgm:presLayoutVars>
          <dgm:chMax val="0"/>
          <dgm:chPref val="0"/>
          <dgm:bulletEnabled val="1"/>
        </dgm:presLayoutVars>
      </dgm:prSet>
      <dgm:spPr/>
    </dgm:pt>
    <dgm:pt modelId="{67CA5E99-D987-4B84-B4A0-7D2DEA2BDA7B}" type="pres">
      <dgm:prSet presAssocID="{6EC063C0-1142-4932-A377-775C7DF7790E}" presName="desTx" presStyleLbl="revTx" presStyleIdx="3" presStyleCnt="4">
        <dgm:presLayoutVars>
          <dgm:bulletEnabled val="1"/>
        </dgm:presLayoutVars>
      </dgm:prSet>
      <dgm:spPr/>
    </dgm:pt>
  </dgm:ptLst>
  <dgm:cxnLst>
    <dgm:cxn modelId="{F62CCD07-A8D9-4782-8647-C6E3617B3D91}" type="presOf" srcId="{66D6331A-35C1-43EC-BB9E-D7008AE7B161}" destId="{A2723269-FCF8-4491-B08B-A176920A5CD7}" srcOrd="0" destOrd="0" presId="urn:microsoft.com/office/officeart/2005/8/layout/chevron1"/>
    <dgm:cxn modelId="{5A69D50B-C5BD-4513-91B1-3615E685CCD6}" srcId="{141F5CE3-E3ED-46DA-AD74-3A5C491A82A1}" destId="{1741952B-EB1D-4067-9900-BB736D9659E7}" srcOrd="2" destOrd="0" parTransId="{4AD998B0-0143-41C1-B4FF-21B9DCF359FE}" sibTransId="{9E8737A3-6533-4748-8541-31EBFD7A6014}"/>
    <dgm:cxn modelId="{90F79C0F-6596-4E20-AA35-8A8D16C5E150}" type="presOf" srcId="{AB88A0D3-B3D9-4AC0-982F-9D5634C303D5}" destId="{67CA5E99-D987-4B84-B4A0-7D2DEA2BDA7B}" srcOrd="0" destOrd="1" presId="urn:microsoft.com/office/officeart/2005/8/layout/chevron1"/>
    <dgm:cxn modelId="{55503311-EFA8-4AA8-84DE-41CD24799B39}" type="presOf" srcId="{141F5CE3-E3ED-46DA-AD74-3A5C491A82A1}" destId="{262E35A5-6122-4945-96B6-AF1AB810C9C3}" srcOrd="0" destOrd="0" presId="urn:microsoft.com/office/officeart/2005/8/layout/chevron1"/>
    <dgm:cxn modelId="{88BC1F14-AB4B-426E-B179-D97E42336619}" type="presOf" srcId="{FDC050EB-B3C9-43A7-AC1F-A770E964186F}" destId="{7C8CDF99-D53B-4CD3-B285-AFC41D9FE071}" srcOrd="0" destOrd="0" presId="urn:microsoft.com/office/officeart/2005/8/layout/chevron1"/>
    <dgm:cxn modelId="{97083717-0457-47CE-92C7-2012DC5873AC}" type="presOf" srcId="{9CCC4EB6-9CD8-43D7-A60D-B445D840851D}" destId="{1EB1284C-F7A9-403F-8020-0FD90C8ADF1D}" srcOrd="0" destOrd="0" presId="urn:microsoft.com/office/officeart/2005/8/layout/chevron1"/>
    <dgm:cxn modelId="{A93BD327-BC93-44F3-8A1D-037370734C63}" type="presOf" srcId="{1741952B-EB1D-4067-9900-BB736D9659E7}" destId="{5581A41B-D6C1-4880-B09C-6F4930F7FE6D}" srcOrd="0" destOrd="0" presId="urn:microsoft.com/office/officeart/2005/8/layout/chevron1"/>
    <dgm:cxn modelId="{B4705A28-D722-4A0C-9AB7-630B512E932E}" type="presOf" srcId="{B9B1373A-794B-4D98-8EE6-DC0F3424EC62}" destId="{67CA5E99-D987-4B84-B4A0-7D2DEA2BDA7B}" srcOrd="0" destOrd="0" presId="urn:microsoft.com/office/officeart/2005/8/layout/chevron1"/>
    <dgm:cxn modelId="{69AF522E-FA0A-40CB-8620-1D0911E30656}" srcId="{1741952B-EB1D-4067-9900-BB736D9659E7}" destId="{CABC2AD8-FAB2-4059-946B-A8DE3C750E90}" srcOrd="2" destOrd="0" parTransId="{8D2E13D4-251E-4046-8BDA-1CB514170E52}" sibTransId="{7763673F-2961-44C4-995D-7F77F6B503F3}"/>
    <dgm:cxn modelId="{19FC943A-129A-462F-AFE2-88B4D3B328F9}" srcId="{9CCC4EB6-9CD8-43D7-A60D-B445D840851D}" destId="{2409362B-76E8-4A02-BB0C-095CB7EFF34A}" srcOrd="0" destOrd="0" parTransId="{8B11E9AA-83E1-4F82-96C8-4272E368B18B}" sibTransId="{EE77788A-D726-4182-B976-89B3EA29F1EC}"/>
    <dgm:cxn modelId="{DA78F143-E878-44F2-BFC8-F64C5DC5B7FF}" srcId="{1741952B-EB1D-4067-9900-BB736D9659E7}" destId="{D4CDC001-91B2-4DC8-9821-BBF9B0855891}" srcOrd="1" destOrd="0" parTransId="{981EE780-CE7E-42A5-B174-D1B6CF0D5CFE}" sibTransId="{F3B9AAD7-9C14-46FE-BFED-23026DDF36FC}"/>
    <dgm:cxn modelId="{F36C4546-5E4E-487B-A581-050E6EB87693}" srcId="{141F5CE3-E3ED-46DA-AD74-3A5C491A82A1}" destId="{9CCC4EB6-9CD8-43D7-A60D-B445D840851D}" srcOrd="1" destOrd="0" parTransId="{830B69EF-ED4E-4421-9942-FF1980C75555}" sibTransId="{2ECB33B5-7610-4FE0-9CA4-7C4CA4D7CDD3}"/>
    <dgm:cxn modelId="{79525B6E-00FA-4BC7-A187-659DC20A23F8}" srcId="{1741952B-EB1D-4067-9900-BB736D9659E7}" destId="{91264942-41D7-4E9A-8118-AB225EAC36AF}" srcOrd="0" destOrd="0" parTransId="{A658E5CF-B785-4927-BB86-60CEE2F146F5}" sibTransId="{3EB24581-07FE-453D-ACF1-7D682DB3A781}"/>
    <dgm:cxn modelId="{E8D9F66E-1215-4757-93B1-FDA977A158EB}" type="presOf" srcId="{D4CDC001-91B2-4DC8-9821-BBF9B0855891}" destId="{CC61658C-11B1-4FDD-BB9A-B2C277B7366E}" srcOrd="0" destOrd="1" presId="urn:microsoft.com/office/officeart/2005/8/layout/chevron1"/>
    <dgm:cxn modelId="{6600947A-6F8D-42BE-9F17-DE547C0B5A09}" type="presOf" srcId="{417C6539-2785-4F22-82E7-7C6B719C75B2}" destId="{67CA5E99-D987-4B84-B4A0-7D2DEA2BDA7B}" srcOrd="0" destOrd="2" presId="urn:microsoft.com/office/officeart/2005/8/layout/chevron1"/>
    <dgm:cxn modelId="{1804A57C-04D4-4521-A358-DD9CC4CA6A68}" srcId="{6EC063C0-1142-4932-A377-775C7DF7790E}" destId="{417C6539-2785-4F22-82E7-7C6B719C75B2}" srcOrd="2" destOrd="0" parTransId="{60F758B1-008B-4B6A-AC09-3017BEFF782D}" sibTransId="{15830AB6-DC6D-4561-9A26-D822DDA0FB53}"/>
    <dgm:cxn modelId="{1F819D7D-AAA3-45DB-B8EB-C48126C55943}" type="presOf" srcId="{2409362B-76E8-4A02-BB0C-095CB7EFF34A}" destId="{0D6FAA6B-F38C-4369-933E-85531E0ACDBB}" srcOrd="0" destOrd="0" presId="urn:microsoft.com/office/officeart/2005/8/layout/chevron1"/>
    <dgm:cxn modelId="{41D7A683-E7D7-44B3-8B5D-055F2977DBDD}" srcId="{9CCC4EB6-9CD8-43D7-A60D-B445D840851D}" destId="{A3E0B173-38BB-4972-82F8-F7C3DA83511F}" srcOrd="1" destOrd="0" parTransId="{65BF7820-5987-4BDD-ABE7-2CBB4281004A}" sibTransId="{14883FA3-47F8-4B1F-9688-79ACA332542D}"/>
    <dgm:cxn modelId="{F8832F8D-71EF-40B0-BB49-8FA4A80D90AA}" type="presOf" srcId="{6E9B1732-E8C1-47CD-BE69-950909EF9DC1}" destId="{7C8CDF99-D53B-4CD3-B285-AFC41D9FE071}" srcOrd="0" destOrd="1" presId="urn:microsoft.com/office/officeart/2005/8/layout/chevron1"/>
    <dgm:cxn modelId="{A4825799-27AD-4F9C-BB79-106CBB874F40}" type="presOf" srcId="{CABC2AD8-FAB2-4059-946B-A8DE3C750E90}" destId="{CC61658C-11B1-4FDD-BB9A-B2C277B7366E}" srcOrd="0" destOrd="2" presId="urn:microsoft.com/office/officeart/2005/8/layout/chevron1"/>
    <dgm:cxn modelId="{850D38B0-0479-4802-9C47-22A0416A601E}" srcId="{141F5CE3-E3ED-46DA-AD74-3A5C491A82A1}" destId="{66D6331A-35C1-43EC-BB9E-D7008AE7B161}" srcOrd="0" destOrd="0" parTransId="{972F0BF1-1A23-45FD-B838-0CBBC7E1B3E0}" sibTransId="{6BB199F2-CC69-443F-B58C-D5CC89662844}"/>
    <dgm:cxn modelId="{863F66B8-B002-4B47-8C33-C181097FB432}" srcId="{66D6331A-35C1-43EC-BB9E-D7008AE7B161}" destId="{FDC050EB-B3C9-43A7-AC1F-A770E964186F}" srcOrd="0" destOrd="0" parTransId="{ADAB792C-02CE-479C-A696-31EA6F00E265}" sibTransId="{45987248-6D28-4607-BC58-710A372DBEDF}"/>
    <dgm:cxn modelId="{2490A4BF-76E8-401D-9BAE-290EBD05155D}" srcId="{66D6331A-35C1-43EC-BB9E-D7008AE7B161}" destId="{6E9B1732-E8C1-47CD-BE69-950909EF9DC1}" srcOrd="1" destOrd="0" parTransId="{FF936422-5B6E-45D7-ADBD-F1A1E6326F10}" sibTransId="{09E74F19-1CE3-498C-9BDE-49D9601C6654}"/>
    <dgm:cxn modelId="{28AAC7C7-4140-420D-BF0B-615E7D9DB851}" type="presOf" srcId="{6EC063C0-1142-4932-A377-775C7DF7790E}" destId="{9E81C3E8-E842-477A-BAF6-1A9983A4D019}" srcOrd="0" destOrd="0" presId="urn:microsoft.com/office/officeart/2005/8/layout/chevron1"/>
    <dgm:cxn modelId="{3EADA5D5-5138-4D1D-9BCD-C3EB4BD64BF2}" srcId="{6EC063C0-1142-4932-A377-775C7DF7790E}" destId="{B9B1373A-794B-4D98-8EE6-DC0F3424EC62}" srcOrd="0" destOrd="0" parTransId="{4B187639-3A1A-40F4-8234-ACDEFD337B78}" sibTransId="{FF9CA949-232F-4455-88FE-61C18CBD554D}"/>
    <dgm:cxn modelId="{808D4CDE-7834-4E72-9851-EA7C2DAB52EE}" type="presOf" srcId="{A3E0B173-38BB-4972-82F8-F7C3DA83511F}" destId="{0D6FAA6B-F38C-4369-933E-85531E0ACDBB}" srcOrd="0" destOrd="1" presId="urn:microsoft.com/office/officeart/2005/8/layout/chevron1"/>
    <dgm:cxn modelId="{435E72E8-E5E6-4CDA-9E76-CF7C9476D6F0}" type="presOf" srcId="{91264942-41D7-4E9A-8118-AB225EAC36AF}" destId="{CC61658C-11B1-4FDD-BB9A-B2C277B7366E}" srcOrd="0" destOrd="0" presId="urn:microsoft.com/office/officeart/2005/8/layout/chevron1"/>
    <dgm:cxn modelId="{C5214FEB-0394-48B1-9D76-D91435DF20AF}" srcId="{141F5CE3-E3ED-46DA-AD74-3A5C491A82A1}" destId="{6EC063C0-1142-4932-A377-775C7DF7790E}" srcOrd="3" destOrd="0" parTransId="{3751E2B6-764F-4B90-A999-D80D46262991}" sibTransId="{A1C7AC67-EBCC-4A02-A978-F49A1626650F}"/>
    <dgm:cxn modelId="{79B51FF7-4430-4399-8B0D-05C08520260E}" srcId="{6EC063C0-1142-4932-A377-775C7DF7790E}" destId="{AB88A0D3-B3D9-4AC0-982F-9D5634C303D5}" srcOrd="1" destOrd="0" parTransId="{91AD58C9-BBB1-4B84-AC37-D2E1319D49CD}" sibTransId="{C426E024-D599-4AE4-8D5D-76318825752A}"/>
    <dgm:cxn modelId="{C2A5709A-1BA0-42CC-8085-C0FBF53C6F5D}" type="presParOf" srcId="{262E35A5-6122-4945-96B6-AF1AB810C9C3}" destId="{62091BD1-9632-4C5B-8F5F-46A45D583505}" srcOrd="0" destOrd="0" presId="urn:microsoft.com/office/officeart/2005/8/layout/chevron1"/>
    <dgm:cxn modelId="{5700747A-C450-4B66-8E35-F7D417267DC5}" type="presParOf" srcId="{62091BD1-9632-4C5B-8F5F-46A45D583505}" destId="{A2723269-FCF8-4491-B08B-A176920A5CD7}" srcOrd="0" destOrd="0" presId="urn:microsoft.com/office/officeart/2005/8/layout/chevron1"/>
    <dgm:cxn modelId="{91D75936-6B5D-428F-A92D-68EF541C4580}" type="presParOf" srcId="{62091BD1-9632-4C5B-8F5F-46A45D583505}" destId="{7C8CDF99-D53B-4CD3-B285-AFC41D9FE071}" srcOrd="1" destOrd="0" presId="urn:microsoft.com/office/officeart/2005/8/layout/chevron1"/>
    <dgm:cxn modelId="{A8F6DF57-7F76-45A2-9636-D66504D59BDD}" type="presParOf" srcId="{262E35A5-6122-4945-96B6-AF1AB810C9C3}" destId="{0F3ABAF8-936B-4AC7-AEA8-0B0EEB695824}" srcOrd="1" destOrd="0" presId="urn:microsoft.com/office/officeart/2005/8/layout/chevron1"/>
    <dgm:cxn modelId="{15D64FE8-2032-4933-8691-0D60F9E88E5B}" type="presParOf" srcId="{262E35A5-6122-4945-96B6-AF1AB810C9C3}" destId="{93A664BF-614C-4500-A505-4AC05590DA52}" srcOrd="2" destOrd="0" presId="urn:microsoft.com/office/officeart/2005/8/layout/chevron1"/>
    <dgm:cxn modelId="{183E8238-DAC6-49D4-A318-65CB351BB33E}" type="presParOf" srcId="{93A664BF-614C-4500-A505-4AC05590DA52}" destId="{1EB1284C-F7A9-403F-8020-0FD90C8ADF1D}" srcOrd="0" destOrd="0" presId="urn:microsoft.com/office/officeart/2005/8/layout/chevron1"/>
    <dgm:cxn modelId="{62238A40-95BD-4DE3-B33A-C99455ACED02}" type="presParOf" srcId="{93A664BF-614C-4500-A505-4AC05590DA52}" destId="{0D6FAA6B-F38C-4369-933E-85531E0ACDBB}" srcOrd="1" destOrd="0" presId="urn:microsoft.com/office/officeart/2005/8/layout/chevron1"/>
    <dgm:cxn modelId="{31B4C694-5183-49F5-A495-9FE805676743}" type="presParOf" srcId="{262E35A5-6122-4945-96B6-AF1AB810C9C3}" destId="{0C8FD609-474F-44DD-A960-C926B682ADCB}" srcOrd="3" destOrd="0" presId="urn:microsoft.com/office/officeart/2005/8/layout/chevron1"/>
    <dgm:cxn modelId="{AC37E6A8-D1BF-49C3-86CF-CB2BC6207FE6}" type="presParOf" srcId="{262E35A5-6122-4945-96B6-AF1AB810C9C3}" destId="{999BC004-DEA0-4C0A-A062-3539BEFCA8C4}" srcOrd="4" destOrd="0" presId="urn:microsoft.com/office/officeart/2005/8/layout/chevron1"/>
    <dgm:cxn modelId="{5B7380FC-9EB9-42B3-9B85-87CAD520DF96}" type="presParOf" srcId="{999BC004-DEA0-4C0A-A062-3539BEFCA8C4}" destId="{5581A41B-D6C1-4880-B09C-6F4930F7FE6D}" srcOrd="0" destOrd="0" presId="urn:microsoft.com/office/officeart/2005/8/layout/chevron1"/>
    <dgm:cxn modelId="{B09BCA76-CB40-42B4-9BC6-BD45D312A2C0}" type="presParOf" srcId="{999BC004-DEA0-4C0A-A062-3539BEFCA8C4}" destId="{CC61658C-11B1-4FDD-BB9A-B2C277B7366E}" srcOrd="1" destOrd="0" presId="urn:microsoft.com/office/officeart/2005/8/layout/chevron1"/>
    <dgm:cxn modelId="{219B3DE9-A1C5-42F4-9F66-EFD709B891C8}" type="presParOf" srcId="{262E35A5-6122-4945-96B6-AF1AB810C9C3}" destId="{7CCB5E22-0DF4-4C22-80C5-1C26B2D8829A}" srcOrd="5" destOrd="0" presId="urn:microsoft.com/office/officeart/2005/8/layout/chevron1"/>
    <dgm:cxn modelId="{F9ECC8D9-104E-4AA5-B932-EC828A665D5C}" type="presParOf" srcId="{262E35A5-6122-4945-96B6-AF1AB810C9C3}" destId="{C63D0D24-BE0D-4C72-A863-2D94483B3226}" srcOrd="6" destOrd="0" presId="urn:microsoft.com/office/officeart/2005/8/layout/chevron1"/>
    <dgm:cxn modelId="{92CC0829-4F92-465F-9139-1F250ADB5BC5}" type="presParOf" srcId="{C63D0D24-BE0D-4C72-A863-2D94483B3226}" destId="{9E81C3E8-E842-477A-BAF6-1A9983A4D019}" srcOrd="0" destOrd="0" presId="urn:microsoft.com/office/officeart/2005/8/layout/chevron1"/>
    <dgm:cxn modelId="{681CFEDF-8BE3-414E-8DDF-A6D186DB4C4C}" type="presParOf" srcId="{C63D0D24-BE0D-4C72-A863-2D94483B3226}" destId="{67CA5E99-D987-4B84-B4A0-7D2DEA2BDA7B}" srcOrd="1"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3FE022-51FE-49B0-B965-2C1CE7E67B5A}" type="doc">
      <dgm:prSet loTypeId="urn:microsoft.com/office/officeart/2009/3/layout/HorizontalOrganizationChart" loCatId="hierarchy" qsTypeId="urn:microsoft.com/office/officeart/2005/8/quickstyle/simple2" qsCatId="simple" csTypeId="urn:microsoft.com/office/officeart/2005/8/colors/accent1_1" csCatId="accent1" phldr="1"/>
      <dgm:spPr/>
      <dgm:t>
        <a:bodyPr/>
        <a:lstStyle/>
        <a:p>
          <a:endParaRPr lang="en-US"/>
        </a:p>
      </dgm:t>
    </dgm:pt>
    <dgm:pt modelId="{E7DFC238-1520-4892-AF6A-71C2CA3E1292}">
      <dgm:prSet phldrT="[Text]"/>
      <dgm:spPr/>
      <dgm:t>
        <a:bodyPr/>
        <a:lstStyle/>
        <a:p>
          <a:r>
            <a:rPr lang="en-US">
              <a:latin typeface="+mn-lt"/>
              <a:cs typeface="Times New Roman" panose="02020603050405020304" pitchFamily="18" charset="0"/>
            </a:rPr>
            <a:t>West Africa Container Throughput</a:t>
          </a:r>
        </a:p>
      </dgm:t>
    </dgm:pt>
    <dgm:pt modelId="{88F90224-1A93-4871-AD16-EE4003A33A7E}" type="parTrans" cxnId="{56F64248-A0B4-4420-9D51-55E146056CAE}">
      <dgm:prSet/>
      <dgm:spPr/>
      <dgm:t>
        <a:bodyPr/>
        <a:lstStyle/>
        <a:p>
          <a:endParaRPr lang="en-US">
            <a:latin typeface="+mn-lt"/>
          </a:endParaRPr>
        </a:p>
      </dgm:t>
    </dgm:pt>
    <dgm:pt modelId="{59F6D645-0725-4B9C-BBA9-730A03DECAEE}" type="sibTrans" cxnId="{56F64248-A0B4-4420-9D51-55E146056CAE}">
      <dgm:prSet/>
      <dgm:spPr/>
      <dgm:t>
        <a:bodyPr/>
        <a:lstStyle/>
        <a:p>
          <a:endParaRPr lang="en-US">
            <a:latin typeface="+mn-lt"/>
          </a:endParaRPr>
        </a:p>
      </dgm:t>
    </dgm:pt>
    <dgm:pt modelId="{0B2C660B-29DF-47AE-9BE1-084A3D767BDA}">
      <dgm:prSet phldrT="[Text]"/>
      <dgm:spPr/>
      <dgm:t>
        <a:bodyPr/>
        <a:lstStyle/>
        <a:p>
          <a:r>
            <a:rPr lang="en-US">
              <a:latin typeface="+mn-lt"/>
              <a:cs typeface="Times New Roman" panose="02020603050405020304" pitchFamily="18" charset="0"/>
            </a:rPr>
            <a:t>Related to Trade: multiplier effect on GDP growth</a:t>
          </a:r>
        </a:p>
      </dgm:t>
    </dgm:pt>
    <dgm:pt modelId="{A0046162-9484-46FB-9307-6BEA25928048}" type="parTrans" cxnId="{C3B751AE-BC6D-400E-8C61-646ACB159678}">
      <dgm:prSet/>
      <dgm:spPr/>
      <dgm:t>
        <a:bodyPr/>
        <a:lstStyle/>
        <a:p>
          <a:endParaRPr lang="en-US">
            <a:latin typeface="+mn-lt"/>
          </a:endParaRPr>
        </a:p>
      </dgm:t>
    </dgm:pt>
    <dgm:pt modelId="{D90017C0-BF69-43C0-BE8C-AC8C62EBB73A}" type="sibTrans" cxnId="{C3B751AE-BC6D-400E-8C61-646ACB159678}">
      <dgm:prSet/>
      <dgm:spPr/>
      <dgm:t>
        <a:bodyPr/>
        <a:lstStyle/>
        <a:p>
          <a:endParaRPr lang="en-US">
            <a:latin typeface="+mn-lt"/>
          </a:endParaRPr>
        </a:p>
      </dgm:t>
    </dgm:pt>
    <dgm:pt modelId="{4184F5EA-C95E-4AC6-99FF-45712FF919A5}">
      <dgm:prSet phldrT="[Text]" custT="1"/>
      <dgm:spPr/>
      <dgm:t>
        <a:bodyPr/>
        <a:lstStyle/>
        <a:p>
          <a:r>
            <a:rPr lang="en-US" sz="1000">
              <a:latin typeface="+mn-lt"/>
              <a:cs typeface="Times New Roman" panose="02020603050405020304" pitchFamily="18" charset="0"/>
            </a:rPr>
            <a:t>Related to Shipping Networks Patterns: scenarios for the increase in transhipment and allocation to hub port(s)</a:t>
          </a:r>
        </a:p>
      </dgm:t>
    </dgm:pt>
    <dgm:pt modelId="{E970B122-0701-40BD-9DA8-AC0ED5ADD484}" type="parTrans" cxnId="{BAD0B76B-C267-499D-8B7F-37375CA0ECFD}">
      <dgm:prSet/>
      <dgm:spPr/>
      <dgm:t>
        <a:bodyPr/>
        <a:lstStyle/>
        <a:p>
          <a:endParaRPr lang="en-US">
            <a:latin typeface="+mn-lt"/>
          </a:endParaRPr>
        </a:p>
      </dgm:t>
    </dgm:pt>
    <dgm:pt modelId="{47A43326-501A-46FF-A210-C6821096ABF5}" type="sibTrans" cxnId="{BAD0B76B-C267-499D-8B7F-37375CA0ECFD}">
      <dgm:prSet/>
      <dgm:spPr/>
      <dgm:t>
        <a:bodyPr/>
        <a:lstStyle/>
        <a:p>
          <a:endParaRPr lang="en-US">
            <a:latin typeface="+mn-lt"/>
          </a:endParaRPr>
        </a:p>
      </dgm:t>
    </dgm:pt>
    <dgm:pt modelId="{C2B19B7A-6B25-49BE-8F01-739C4969DC9C}">
      <dgm:prSet phldrT="[Text]"/>
      <dgm:spPr/>
      <dgm:t>
        <a:bodyPr/>
        <a:lstStyle/>
        <a:p>
          <a:r>
            <a:rPr lang="en-US">
              <a:latin typeface="+mn-lt"/>
              <a:cs typeface="Times New Roman" panose="02020603050405020304" pitchFamily="18" charset="0"/>
            </a:rPr>
            <a:t>Coastal Countries: assumption is that ports absorb domestic traffic</a:t>
          </a:r>
        </a:p>
      </dgm:t>
    </dgm:pt>
    <dgm:pt modelId="{4DA21BC1-A4E5-4085-A641-8C4A1BE7E174}" type="parTrans" cxnId="{0EDBD6B7-25FC-4DA5-9B03-D0F3007B6AF8}">
      <dgm:prSet/>
      <dgm:spPr/>
      <dgm:t>
        <a:bodyPr/>
        <a:lstStyle/>
        <a:p>
          <a:endParaRPr lang="en-US">
            <a:latin typeface="+mn-lt"/>
          </a:endParaRPr>
        </a:p>
      </dgm:t>
    </dgm:pt>
    <dgm:pt modelId="{A4539721-0F1A-4CE8-86C3-DC9A5AE054AA}" type="sibTrans" cxnId="{0EDBD6B7-25FC-4DA5-9B03-D0F3007B6AF8}">
      <dgm:prSet/>
      <dgm:spPr/>
      <dgm:t>
        <a:bodyPr/>
        <a:lstStyle/>
        <a:p>
          <a:endParaRPr lang="en-US">
            <a:latin typeface="+mn-lt"/>
          </a:endParaRPr>
        </a:p>
      </dgm:t>
    </dgm:pt>
    <dgm:pt modelId="{B787C36F-B669-460D-8522-15B72195857D}">
      <dgm:prSet phldrT="[Text]"/>
      <dgm:spPr/>
      <dgm:t>
        <a:bodyPr/>
        <a:lstStyle/>
        <a:p>
          <a:r>
            <a:rPr lang="en-US">
              <a:latin typeface="+mn-lt"/>
              <a:cs typeface="Times New Roman" panose="02020603050405020304" pitchFamily="18" charset="0"/>
            </a:rPr>
            <a:t>Landlocked countries: allocation based on corridor efficiency</a:t>
          </a:r>
        </a:p>
      </dgm:t>
    </dgm:pt>
    <dgm:pt modelId="{DA2D9279-E285-4FA8-8FCE-9109E56DB57E}" type="parTrans" cxnId="{0A1EA1FD-DCA2-4087-A7B2-2A3B21B61E73}">
      <dgm:prSet/>
      <dgm:spPr/>
      <dgm:t>
        <a:bodyPr/>
        <a:lstStyle/>
        <a:p>
          <a:endParaRPr lang="en-US">
            <a:latin typeface="+mn-lt"/>
          </a:endParaRPr>
        </a:p>
      </dgm:t>
    </dgm:pt>
    <dgm:pt modelId="{A9C896D4-95CE-4C14-827B-4C4BD0253D29}" type="sibTrans" cxnId="{0A1EA1FD-DCA2-4087-A7B2-2A3B21B61E73}">
      <dgm:prSet/>
      <dgm:spPr/>
      <dgm:t>
        <a:bodyPr/>
        <a:lstStyle/>
        <a:p>
          <a:endParaRPr lang="en-US">
            <a:latin typeface="+mn-lt"/>
          </a:endParaRPr>
        </a:p>
      </dgm:t>
    </dgm:pt>
    <dgm:pt modelId="{56F27550-5E26-489A-8BDE-B59F64C0A5ED}" type="pres">
      <dgm:prSet presAssocID="{DF3FE022-51FE-49B0-B965-2C1CE7E67B5A}" presName="hierChild1" presStyleCnt="0">
        <dgm:presLayoutVars>
          <dgm:orgChart val="1"/>
          <dgm:chPref val="1"/>
          <dgm:dir/>
          <dgm:animOne val="branch"/>
          <dgm:animLvl val="lvl"/>
          <dgm:resizeHandles/>
        </dgm:presLayoutVars>
      </dgm:prSet>
      <dgm:spPr/>
    </dgm:pt>
    <dgm:pt modelId="{53A96EB8-C045-407F-9FBF-9B68EA2A1C18}" type="pres">
      <dgm:prSet presAssocID="{E7DFC238-1520-4892-AF6A-71C2CA3E1292}" presName="hierRoot1" presStyleCnt="0">
        <dgm:presLayoutVars>
          <dgm:hierBranch val="init"/>
        </dgm:presLayoutVars>
      </dgm:prSet>
      <dgm:spPr/>
    </dgm:pt>
    <dgm:pt modelId="{35CEFA9E-22BE-4780-B997-7E508D809323}" type="pres">
      <dgm:prSet presAssocID="{E7DFC238-1520-4892-AF6A-71C2CA3E1292}" presName="rootComposite1" presStyleCnt="0"/>
      <dgm:spPr/>
    </dgm:pt>
    <dgm:pt modelId="{72F3CEB4-A99E-4B17-ACB6-49A5FFA8095E}" type="pres">
      <dgm:prSet presAssocID="{E7DFC238-1520-4892-AF6A-71C2CA3E1292}" presName="rootText1" presStyleLbl="node0" presStyleIdx="0" presStyleCnt="1">
        <dgm:presLayoutVars>
          <dgm:chPref val="3"/>
        </dgm:presLayoutVars>
      </dgm:prSet>
      <dgm:spPr/>
    </dgm:pt>
    <dgm:pt modelId="{DA97EBA0-BE45-4137-ADE8-3FF8930E3DFC}" type="pres">
      <dgm:prSet presAssocID="{E7DFC238-1520-4892-AF6A-71C2CA3E1292}" presName="rootConnector1" presStyleLbl="node1" presStyleIdx="0" presStyleCnt="0"/>
      <dgm:spPr/>
    </dgm:pt>
    <dgm:pt modelId="{C4192128-F657-4D3A-9131-BB668177CAD9}" type="pres">
      <dgm:prSet presAssocID="{E7DFC238-1520-4892-AF6A-71C2CA3E1292}" presName="hierChild2" presStyleCnt="0"/>
      <dgm:spPr/>
    </dgm:pt>
    <dgm:pt modelId="{E63BE755-3CFB-4C38-9E1F-B349DAA4DC52}" type="pres">
      <dgm:prSet presAssocID="{A0046162-9484-46FB-9307-6BEA25928048}" presName="Name64" presStyleLbl="parChTrans1D2" presStyleIdx="0" presStyleCnt="2"/>
      <dgm:spPr/>
    </dgm:pt>
    <dgm:pt modelId="{DEEB25EF-23F2-45CE-9C69-44B5D026A2CE}" type="pres">
      <dgm:prSet presAssocID="{0B2C660B-29DF-47AE-9BE1-084A3D767BDA}" presName="hierRoot2" presStyleCnt="0">
        <dgm:presLayoutVars>
          <dgm:hierBranch val="init"/>
        </dgm:presLayoutVars>
      </dgm:prSet>
      <dgm:spPr/>
    </dgm:pt>
    <dgm:pt modelId="{E8182615-E6BF-4162-920A-2244FA179CCF}" type="pres">
      <dgm:prSet presAssocID="{0B2C660B-29DF-47AE-9BE1-084A3D767BDA}" presName="rootComposite" presStyleCnt="0"/>
      <dgm:spPr/>
    </dgm:pt>
    <dgm:pt modelId="{04C8687E-6B82-4989-B761-EB54D0995091}" type="pres">
      <dgm:prSet presAssocID="{0B2C660B-29DF-47AE-9BE1-084A3D767BDA}" presName="rootText" presStyleLbl="node2" presStyleIdx="0" presStyleCnt="2">
        <dgm:presLayoutVars>
          <dgm:chPref val="3"/>
        </dgm:presLayoutVars>
      </dgm:prSet>
      <dgm:spPr/>
    </dgm:pt>
    <dgm:pt modelId="{2E58C5EB-0563-4CDC-B90B-613835D99E54}" type="pres">
      <dgm:prSet presAssocID="{0B2C660B-29DF-47AE-9BE1-084A3D767BDA}" presName="rootConnector" presStyleLbl="node2" presStyleIdx="0" presStyleCnt="2"/>
      <dgm:spPr/>
    </dgm:pt>
    <dgm:pt modelId="{53370EC6-A43C-40E1-84B2-FC2F5B004214}" type="pres">
      <dgm:prSet presAssocID="{0B2C660B-29DF-47AE-9BE1-084A3D767BDA}" presName="hierChild4" presStyleCnt="0"/>
      <dgm:spPr/>
    </dgm:pt>
    <dgm:pt modelId="{963D0AAB-6136-4963-AD39-8E632CD6D539}" type="pres">
      <dgm:prSet presAssocID="{4DA21BC1-A4E5-4085-A641-8C4A1BE7E174}" presName="Name64" presStyleLbl="parChTrans1D3" presStyleIdx="0" presStyleCnt="2"/>
      <dgm:spPr/>
    </dgm:pt>
    <dgm:pt modelId="{CA06E69B-F970-4384-BA31-D74E51810D1A}" type="pres">
      <dgm:prSet presAssocID="{C2B19B7A-6B25-49BE-8F01-739C4969DC9C}" presName="hierRoot2" presStyleCnt="0">
        <dgm:presLayoutVars>
          <dgm:hierBranch val="init"/>
        </dgm:presLayoutVars>
      </dgm:prSet>
      <dgm:spPr/>
    </dgm:pt>
    <dgm:pt modelId="{EE9F66C6-B780-4486-9533-5CE025FF04A9}" type="pres">
      <dgm:prSet presAssocID="{C2B19B7A-6B25-49BE-8F01-739C4969DC9C}" presName="rootComposite" presStyleCnt="0"/>
      <dgm:spPr/>
    </dgm:pt>
    <dgm:pt modelId="{B2F01075-5B8D-4D25-89CE-D618124F759E}" type="pres">
      <dgm:prSet presAssocID="{C2B19B7A-6B25-49BE-8F01-739C4969DC9C}" presName="rootText" presStyleLbl="node3" presStyleIdx="0" presStyleCnt="2">
        <dgm:presLayoutVars>
          <dgm:chPref val="3"/>
        </dgm:presLayoutVars>
      </dgm:prSet>
      <dgm:spPr/>
    </dgm:pt>
    <dgm:pt modelId="{6BE41F20-2EB6-4B22-8D00-9CFC92ECA173}" type="pres">
      <dgm:prSet presAssocID="{C2B19B7A-6B25-49BE-8F01-739C4969DC9C}" presName="rootConnector" presStyleLbl="node3" presStyleIdx="0" presStyleCnt="2"/>
      <dgm:spPr/>
    </dgm:pt>
    <dgm:pt modelId="{59649EFB-A8A2-426B-927A-9D9675266FDA}" type="pres">
      <dgm:prSet presAssocID="{C2B19B7A-6B25-49BE-8F01-739C4969DC9C}" presName="hierChild4" presStyleCnt="0"/>
      <dgm:spPr/>
    </dgm:pt>
    <dgm:pt modelId="{F6527B72-A795-4A9E-8563-C28F5E5B92CA}" type="pres">
      <dgm:prSet presAssocID="{C2B19B7A-6B25-49BE-8F01-739C4969DC9C}" presName="hierChild5" presStyleCnt="0"/>
      <dgm:spPr/>
    </dgm:pt>
    <dgm:pt modelId="{9E0D413F-15A1-493D-9BD8-9168E648A6D8}" type="pres">
      <dgm:prSet presAssocID="{DA2D9279-E285-4FA8-8FCE-9109E56DB57E}" presName="Name64" presStyleLbl="parChTrans1D3" presStyleIdx="1" presStyleCnt="2"/>
      <dgm:spPr/>
    </dgm:pt>
    <dgm:pt modelId="{017F079E-2DFF-4BC7-BDB3-A0C984196D46}" type="pres">
      <dgm:prSet presAssocID="{B787C36F-B669-460D-8522-15B72195857D}" presName="hierRoot2" presStyleCnt="0">
        <dgm:presLayoutVars>
          <dgm:hierBranch val="init"/>
        </dgm:presLayoutVars>
      </dgm:prSet>
      <dgm:spPr/>
    </dgm:pt>
    <dgm:pt modelId="{99B1C243-B5E5-49F9-8323-DE6521DB5F0C}" type="pres">
      <dgm:prSet presAssocID="{B787C36F-B669-460D-8522-15B72195857D}" presName="rootComposite" presStyleCnt="0"/>
      <dgm:spPr/>
    </dgm:pt>
    <dgm:pt modelId="{7624E351-991C-433F-8365-B73635B38A19}" type="pres">
      <dgm:prSet presAssocID="{B787C36F-B669-460D-8522-15B72195857D}" presName="rootText" presStyleLbl="node3" presStyleIdx="1" presStyleCnt="2">
        <dgm:presLayoutVars>
          <dgm:chPref val="3"/>
        </dgm:presLayoutVars>
      </dgm:prSet>
      <dgm:spPr/>
    </dgm:pt>
    <dgm:pt modelId="{1F1D069D-2E56-4EEA-A646-7A6E4D170D3E}" type="pres">
      <dgm:prSet presAssocID="{B787C36F-B669-460D-8522-15B72195857D}" presName="rootConnector" presStyleLbl="node3" presStyleIdx="1" presStyleCnt="2"/>
      <dgm:spPr/>
    </dgm:pt>
    <dgm:pt modelId="{66A0FAF1-CC53-48FA-89F8-92D157613959}" type="pres">
      <dgm:prSet presAssocID="{B787C36F-B669-460D-8522-15B72195857D}" presName="hierChild4" presStyleCnt="0"/>
      <dgm:spPr/>
    </dgm:pt>
    <dgm:pt modelId="{DE78FBBB-AC0A-47C8-94FD-601149F0BE9A}" type="pres">
      <dgm:prSet presAssocID="{B787C36F-B669-460D-8522-15B72195857D}" presName="hierChild5" presStyleCnt="0"/>
      <dgm:spPr/>
    </dgm:pt>
    <dgm:pt modelId="{078BB7D1-10B4-4D42-8C45-8CE50AEED7D5}" type="pres">
      <dgm:prSet presAssocID="{0B2C660B-29DF-47AE-9BE1-084A3D767BDA}" presName="hierChild5" presStyleCnt="0"/>
      <dgm:spPr/>
    </dgm:pt>
    <dgm:pt modelId="{D9FA4082-B69E-4582-A3B9-EAA44F7F481E}" type="pres">
      <dgm:prSet presAssocID="{E970B122-0701-40BD-9DA8-AC0ED5ADD484}" presName="Name64" presStyleLbl="parChTrans1D2" presStyleIdx="1" presStyleCnt="2"/>
      <dgm:spPr/>
    </dgm:pt>
    <dgm:pt modelId="{AE0965E7-F252-4667-B33D-2E634403CED2}" type="pres">
      <dgm:prSet presAssocID="{4184F5EA-C95E-4AC6-99FF-45712FF919A5}" presName="hierRoot2" presStyleCnt="0">
        <dgm:presLayoutVars>
          <dgm:hierBranch val="init"/>
        </dgm:presLayoutVars>
      </dgm:prSet>
      <dgm:spPr/>
    </dgm:pt>
    <dgm:pt modelId="{AC865DEB-3D22-4D19-947E-CC59BD671117}" type="pres">
      <dgm:prSet presAssocID="{4184F5EA-C95E-4AC6-99FF-45712FF919A5}" presName="rootComposite" presStyleCnt="0"/>
      <dgm:spPr/>
    </dgm:pt>
    <dgm:pt modelId="{0691162F-ACB8-455F-AAE2-71431B40915D}" type="pres">
      <dgm:prSet presAssocID="{4184F5EA-C95E-4AC6-99FF-45712FF919A5}" presName="rootText" presStyleLbl="node2" presStyleIdx="1" presStyleCnt="2" custScaleX="111060" custScaleY="187521">
        <dgm:presLayoutVars>
          <dgm:chPref val="3"/>
        </dgm:presLayoutVars>
      </dgm:prSet>
      <dgm:spPr/>
    </dgm:pt>
    <dgm:pt modelId="{A20E84AE-8C79-44E6-8A9B-5D221EC6ED95}" type="pres">
      <dgm:prSet presAssocID="{4184F5EA-C95E-4AC6-99FF-45712FF919A5}" presName="rootConnector" presStyleLbl="node2" presStyleIdx="1" presStyleCnt="2"/>
      <dgm:spPr/>
    </dgm:pt>
    <dgm:pt modelId="{355DF982-C29A-48E4-9E38-D4E7949113EC}" type="pres">
      <dgm:prSet presAssocID="{4184F5EA-C95E-4AC6-99FF-45712FF919A5}" presName="hierChild4" presStyleCnt="0"/>
      <dgm:spPr/>
    </dgm:pt>
    <dgm:pt modelId="{461EB14D-EED7-4BF4-8840-0CB046E0AF72}" type="pres">
      <dgm:prSet presAssocID="{4184F5EA-C95E-4AC6-99FF-45712FF919A5}" presName="hierChild5" presStyleCnt="0"/>
      <dgm:spPr/>
    </dgm:pt>
    <dgm:pt modelId="{BD8754E6-6C77-4BE4-9220-739D195C2A1A}" type="pres">
      <dgm:prSet presAssocID="{E7DFC238-1520-4892-AF6A-71C2CA3E1292}" presName="hierChild3" presStyleCnt="0"/>
      <dgm:spPr/>
    </dgm:pt>
  </dgm:ptLst>
  <dgm:cxnLst>
    <dgm:cxn modelId="{4CE7DF19-048D-4413-820D-4FDD6FB61B97}" type="presOf" srcId="{C2B19B7A-6B25-49BE-8F01-739C4969DC9C}" destId="{6BE41F20-2EB6-4B22-8D00-9CFC92ECA173}" srcOrd="1" destOrd="0" presId="urn:microsoft.com/office/officeart/2009/3/layout/HorizontalOrganizationChart"/>
    <dgm:cxn modelId="{A4C41D1A-7F43-463D-B612-3293EE5DF87A}" type="presOf" srcId="{E7DFC238-1520-4892-AF6A-71C2CA3E1292}" destId="{DA97EBA0-BE45-4137-ADE8-3FF8930E3DFC}" srcOrd="1" destOrd="0" presId="urn:microsoft.com/office/officeart/2009/3/layout/HorizontalOrganizationChart"/>
    <dgm:cxn modelId="{07D6801F-3BE3-4A79-BA01-1F7BCA3A7A14}" type="presOf" srcId="{0B2C660B-29DF-47AE-9BE1-084A3D767BDA}" destId="{04C8687E-6B82-4989-B761-EB54D0995091}" srcOrd="0" destOrd="0" presId="urn:microsoft.com/office/officeart/2009/3/layout/HorizontalOrganizationChart"/>
    <dgm:cxn modelId="{56F64248-A0B4-4420-9D51-55E146056CAE}" srcId="{DF3FE022-51FE-49B0-B965-2C1CE7E67B5A}" destId="{E7DFC238-1520-4892-AF6A-71C2CA3E1292}" srcOrd="0" destOrd="0" parTransId="{88F90224-1A93-4871-AD16-EE4003A33A7E}" sibTransId="{59F6D645-0725-4B9C-BBA9-730A03DECAEE}"/>
    <dgm:cxn modelId="{BAD0B76B-C267-499D-8B7F-37375CA0ECFD}" srcId="{E7DFC238-1520-4892-AF6A-71C2CA3E1292}" destId="{4184F5EA-C95E-4AC6-99FF-45712FF919A5}" srcOrd="1" destOrd="0" parTransId="{E970B122-0701-40BD-9DA8-AC0ED5ADD484}" sibTransId="{47A43326-501A-46FF-A210-C6821096ABF5}"/>
    <dgm:cxn modelId="{38E70C4C-DDE8-4998-9E1D-1361E2E3D29B}" type="presOf" srcId="{DA2D9279-E285-4FA8-8FCE-9109E56DB57E}" destId="{9E0D413F-15A1-493D-9BD8-9168E648A6D8}" srcOrd="0" destOrd="0" presId="urn:microsoft.com/office/officeart/2009/3/layout/HorizontalOrganizationChart"/>
    <dgm:cxn modelId="{E21AC451-0898-4595-B769-F6362B32C9CB}" type="presOf" srcId="{B787C36F-B669-460D-8522-15B72195857D}" destId="{7624E351-991C-433F-8365-B73635B38A19}" srcOrd="0" destOrd="0" presId="urn:microsoft.com/office/officeart/2009/3/layout/HorizontalOrganizationChart"/>
    <dgm:cxn modelId="{90B58875-6A64-4861-A9AD-975FE283BFC3}" type="presOf" srcId="{DF3FE022-51FE-49B0-B965-2C1CE7E67B5A}" destId="{56F27550-5E26-489A-8BDE-B59F64C0A5ED}" srcOrd="0" destOrd="0" presId="urn:microsoft.com/office/officeart/2009/3/layout/HorizontalOrganizationChart"/>
    <dgm:cxn modelId="{F0CA3F77-60BA-467E-9A16-7C44BF87BD36}" type="presOf" srcId="{C2B19B7A-6B25-49BE-8F01-739C4969DC9C}" destId="{B2F01075-5B8D-4D25-89CE-D618124F759E}" srcOrd="0" destOrd="0" presId="urn:microsoft.com/office/officeart/2009/3/layout/HorizontalOrganizationChart"/>
    <dgm:cxn modelId="{50C79C77-822C-4EDB-97E7-E1F559AF8AD5}" type="presOf" srcId="{E7DFC238-1520-4892-AF6A-71C2CA3E1292}" destId="{72F3CEB4-A99E-4B17-ACB6-49A5FFA8095E}" srcOrd="0" destOrd="0" presId="urn:microsoft.com/office/officeart/2009/3/layout/HorizontalOrganizationChart"/>
    <dgm:cxn modelId="{2C306E7E-A9EE-4A6B-945D-AA9F9EDAA487}" type="presOf" srcId="{E970B122-0701-40BD-9DA8-AC0ED5ADD484}" destId="{D9FA4082-B69E-4582-A3B9-EAA44F7F481E}" srcOrd="0" destOrd="0" presId="urn:microsoft.com/office/officeart/2009/3/layout/HorizontalOrganizationChart"/>
    <dgm:cxn modelId="{9B874792-7AAD-43BD-B9FA-2731389E48C4}" type="presOf" srcId="{4184F5EA-C95E-4AC6-99FF-45712FF919A5}" destId="{0691162F-ACB8-455F-AAE2-71431B40915D}" srcOrd="0" destOrd="0" presId="urn:microsoft.com/office/officeart/2009/3/layout/HorizontalOrganizationChart"/>
    <dgm:cxn modelId="{81F379A8-0FD5-467E-B6BC-AF0A636039EB}" type="presOf" srcId="{4184F5EA-C95E-4AC6-99FF-45712FF919A5}" destId="{A20E84AE-8C79-44E6-8A9B-5D221EC6ED95}" srcOrd="1" destOrd="0" presId="urn:microsoft.com/office/officeart/2009/3/layout/HorizontalOrganizationChart"/>
    <dgm:cxn modelId="{7F8F9CA8-DB10-4243-B52E-49B9E2392029}" type="presOf" srcId="{0B2C660B-29DF-47AE-9BE1-084A3D767BDA}" destId="{2E58C5EB-0563-4CDC-B90B-613835D99E54}" srcOrd="1" destOrd="0" presId="urn:microsoft.com/office/officeart/2009/3/layout/HorizontalOrganizationChart"/>
    <dgm:cxn modelId="{C3B751AE-BC6D-400E-8C61-646ACB159678}" srcId="{E7DFC238-1520-4892-AF6A-71C2CA3E1292}" destId="{0B2C660B-29DF-47AE-9BE1-084A3D767BDA}" srcOrd="0" destOrd="0" parTransId="{A0046162-9484-46FB-9307-6BEA25928048}" sibTransId="{D90017C0-BF69-43C0-BE8C-AC8C62EBB73A}"/>
    <dgm:cxn modelId="{8AF3C5AE-D21F-44A9-B1BE-8193777B5A90}" type="presOf" srcId="{4DA21BC1-A4E5-4085-A641-8C4A1BE7E174}" destId="{963D0AAB-6136-4963-AD39-8E632CD6D539}" srcOrd="0" destOrd="0" presId="urn:microsoft.com/office/officeart/2009/3/layout/HorizontalOrganizationChart"/>
    <dgm:cxn modelId="{0EDBD6B7-25FC-4DA5-9B03-D0F3007B6AF8}" srcId="{0B2C660B-29DF-47AE-9BE1-084A3D767BDA}" destId="{C2B19B7A-6B25-49BE-8F01-739C4969DC9C}" srcOrd="0" destOrd="0" parTransId="{4DA21BC1-A4E5-4085-A641-8C4A1BE7E174}" sibTransId="{A4539721-0F1A-4CE8-86C3-DC9A5AE054AA}"/>
    <dgm:cxn modelId="{F79774CB-C8E5-40FB-A3C2-37FD6165BD16}" type="presOf" srcId="{B787C36F-B669-460D-8522-15B72195857D}" destId="{1F1D069D-2E56-4EEA-A646-7A6E4D170D3E}" srcOrd="1" destOrd="0" presId="urn:microsoft.com/office/officeart/2009/3/layout/HorizontalOrganizationChart"/>
    <dgm:cxn modelId="{100441F4-4863-40B7-9546-EC9BE68AD51D}" type="presOf" srcId="{A0046162-9484-46FB-9307-6BEA25928048}" destId="{E63BE755-3CFB-4C38-9E1F-B349DAA4DC52}" srcOrd="0" destOrd="0" presId="urn:microsoft.com/office/officeart/2009/3/layout/HorizontalOrganizationChart"/>
    <dgm:cxn modelId="{0A1EA1FD-DCA2-4087-A7B2-2A3B21B61E73}" srcId="{0B2C660B-29DF-47AE-9BE1-084A3D767BDA}" destId="{B787C36F-B669-460D-8522-15B72195857D}" srcOrd="1" destOrd="0" parTransId="{DA2D9279-E285-4FA8-8FCE-9109E56DB57E}" sibTransId="{A9C896D4-95CE-4C14-827B-4C4BD0253D29}"/>
    <dgm:cxn modelId="{3AD0E879-65F9-4468-A250-1BCB224F44BB}" type="presParOf" srcId="{56F27550-5E26-489A-8BDE-B59F64C0A5ED}" destId="{53A96EB8-C045-407F-9FBF-9B68EA2A1C18}" srcOrd="0" destOrd="0" presId="urn:microsoft.com/office/officeart/2009/3/layout/HorizontalOrganizationChart"/>
    <dgm:cxn modelId="{F06B5C43-F4BD-450E-87EA-020DA7ACAE16}" type="presParOf" srcId="{53A96EB8-C045-407F-9FBF-9B68EA2A1C18}" destId="{35CEFA9E-22BE-4780-B997-7E508D809323}" srcOrd="0" destOrd="0" presId="urn:microsoft.com/office/officeart/2009/3/layout/HorizontalOrganizationChart"/>
    <dgm:cxn modelId="{AB78C9FE-0C61-43CD-B279-D45DF65FBA56}" type="presParOf" srcId="{35CEFA9E-22BE-4780-B997-7E508D809323}" destId="{72F3CEB4-A99E-4B17-ACB6-49A5FFA8095E}" srcOrd="0" destOrd="0" presId="urn:microsoft.com/office/officeart/2009/3/layout/HorizontalOrganizationChart"/>
    <dgm:cxn modelId="{B205A25A-B0A2-4BF3-8A84-EB2326530378}" type="presParOf" srcId="{35CEFA9E-22BE-4780-B997-7E508D809323}" destId="{DA97EBA0-BE45-4137-ADE8-3FF8930E3DFC}" srcOrd="1" destOrd="0" presId="urn:microsoft.com/office/officeart/2009/3/layout/HorizontalOrganizationChart"/>
    <dgm:cxn modelId="{075FEAB7-6F99-4471-9BD6-A82DB3CC31C6}" type="presParOf" srcId="{53A96EB8-C045-407F-9FBF-9B68EA2A1C18}" destId="{C4192128-F657-4D3A-9131-BB668177CAD9}" srcOrd="1" destOrd="0" presId="urn:microsoft.com/office/officeart/2009/3/layout/HorizontalOrganizationChart"/>
    <dgm:cxn modelId="{59820A8B-CC53-4BAC-AB52-F9FB4D47DC13}" type="presParOf" srcId="{C4192128-F657-4D3A-9131-BB668177CAD9}" destId="{E63BE755-3CFB-4C38-9E1F-B349DAA4DC52}" srcOrd="0" destOrd="0" presId="urn:microsoft.com/office/officeart/2009/3/layout/HorizontalOrganizationChart"/>
    <dgm:cxn modelId="{913D2DE7-BE92-46E6-929D-AF188A236DCE}" type="presParOf" srcId="{C4192128-F657-4D3A-9131-BB668177CAD9}" destId="{DEEB25EF-23F2-45CE-9C69-44B5D026A2CE}" srcOrd="1" destOrd="0" presId="urn:microsoft.com/office/officeart/2009/3/layout/HorizontalOrganizationChart"/>
    <dgm:cxn modelId="{2494347B-6427-4029-BD9C-21D9F7CB768B}" type="presParOf" srcId="{DEEB25EF-23F2-45CE-9C69-44B5D026A2CE}" destId="{E8182615-E6BF-4162-920A-2244FA179CCF}" srcOrd="0" destOrd="0" presId="urn:microsoft.com/office/officeart/2009/3/layout/HorizontalOrganizationChart"/>
    <dgm:cxn modelId="{906643D3-66C0-463A-B58A-F9FCA97BCD4C}" type="presParOf" srcId="{E8182615-E6BF-4162-920A-2244FA179CCF}" destId="{04C8687E-6B82-4989-B761-EB54D0995091}" srcOrd="0" destOrd="0" presId="urn:microsoft.com/office/officeart/2009/3/layout/HorizontalOrganizationChart"/>
    <dgm:cxn modelId="{4F3687C2-EEF4-4F73-8AD8-F6F6DC98D0A6}" type="presParOf" srcId="{E8182615-E6BF-4162-920A-2244FA179CCF}" destId="{2E58C5EB-0563-4CDC-B90B-613835D99E54}" srcOrd="1" destOrd="0" presId="urn:microsoft.com/office/officeart/2009/3/layout/HorizontalOrganizationChart"/>
    <dgm:cxn modelId="{7F34835D-1223-4F64-9CBA-5D3626E7C205}" type="presParOf" srcId="{DEEB25EF-23F2-45CE-9C69-44B5D026A2CE}" destId="{53370EC6-A43C-40E1-84B2-FC2F5B004214}" srcOrd="1" destOrd="0" presId="urn:microsoft.com/office/officeart/2009/3/layout/HorizontalOrganizationChart"/>
    <dgm:cxn modelId="{F1EF3BE3-ABB2-466A-8097-00EB1EBEC4B4}" type="presParOf" srcId="{53370EC6-A43C-40E1-84B2-FC2F5B004214}" destId="{963D0AAB-6136-4963-AD39-8E632CD6D539}" srcOrd="0" destOrd="0" presId="urn:microsoft.com/office/officeart/2009/3/layout/HorizontalOrganizationChart"/>
    <dgm:cxn modelId="{5413E1C1-6409-4F68-BBA0-A545ED5CD4F7}" type="presParOf" srcId="{53370EC6-A43C-40E1-84B2-FC2F5B004214}" destId="{CA06E69B-F970-4384-BA31-D74E51810D1A}" srcOrd="1" destOrd="0" presId="urn:microsoft.com/office/officeart/2009/3/layout/HorizontalOrganizationChart"/>
    <dgm:cxn modelId="{49BD8FDF-46C5-4767-87BD-556F9CF541C8}" type="presParOf" srcId="{CA06E69B-F970-4384-BA31-D74E51810D1A}" destId="{EE9F66C6-B780-4486-9533-5CE025FF04A9}" srcOrd="0" destOrd="0" presId="urn:microsoft.com/office/officeart/2009/3/layout/HorizontalOrganizationChart"/>
    <dgm:cxn modelId="{3A35AF12-BCEF-4719-A9BC-03790026663A}" type="presParOf" srcId="{EE9F66C6-B780-4486-9533-5CE025FF04A9}" destId="{B2F01075-5B8D-4D25-89CE-D618124F759E}" srcOrd="0" destOrd="0" presId="urn:microsoft.com/office/officeart/2009/3/layout/HorizontalOrganizationChart"/>
    <dgm:cxn modelId="{A94AB472-B043-453D-9EF9-61D166DD9371}" type="presParOf" srcId="{EE9F66C6-B780-4486-9533-5CE025FF04A9}" destId="{6BE41F20-2EB6-4B22-8D00-9CFC92ECA173}" srcOrd="1" destOrd="0" presId="urn:microsoft.com/office/officeart/2009/3/layout/HorizontalOrganizationChart"/>
    <dgm:cxn modelId="{7207618B-543E-49BB-BCAC-68C9FAA83246}" type="presParOf" srcId="{CA06E69B-F970-4384-BA31-D74E51810D1A}" destId="{59649EFB-A8A2-426B-927A-9D9675266FDA}" srcOrd="1" destOrd="0" presId="urn:microsoft.com/office/officeart/2009/3/layout/HorizontalOrganizationChart"/>
    <dgm:cxn modelId="{88E53242-AF82-43B6-8C48-AADA8A26564C}" type="presParOf" srcId="{CA06E69B-F970-4384-BA31-D74E51810D1A}" destId="{F6527B72-A795-4A9E-8563-C28F5E5B92CA}" srcOrd="2" destOrd="0" presId="urn:microsoft.com/office/officeart/2009/3/layout/HorizontalOrganizationChart"/>
    <dgm:cxn modelId="{B08D19A3-C76C-4D6A-A084-7A75FAA9338B}" type="presParOf" srcId="{53370EC6-A43C-40E1-84B2-FC2F5B004214}" destId="{9E0D413F-15A1-493D-9BD8-9168E648A6D8}" srcOrd="2" destOrd="0" presId="urn:microsoft.com/office/officeart/2009/3/layout/HorizontalOrganizationChart"/>
    <dgm:cxn modelId="{F940B2E6-F5C6-4A37-9FE9-1F48F80A844B}" type="presParOf" srcId="{53370EC6-A43C-40E1-84B2-FC2F5B004214}" destId="{017F079E-2DFF-4BC7-BDB3-A0C984196D46}" srcOrd="3" destOrd="0" presId="urn:microsoft.com/office/officeart/2009/3/layout/HorizontalOrganizationChart"/>
    <dgm:cxn modelId="{A6E08082-EDD0-480A-9741-8511641D961F}" type="presParOf" srcId="{017F079E-2DFF-4BC7-BDB3-A0C984196D46}" destId="{99B1C243-B5E5-49F9-8323-DE6521DB5F0C}" srcOrd="0" destOrd="0" presId="urn:microsoft.com/office/officeart/2009/3/layout/HorizontalOrganizationChart"/>
    <dgm:cxn modelId="{9C733753-4546-4B43-815C-94C2667E7571}" type="presParOf" srcId="{99B1C243-B5E5-49F9-8323-DE6521DB5F0C}" destId="{7624E351-991C-433F-8365-B73635B38A19}" srcOrd="0" destOrd="0" presId="urn:microsoft.com/office/officeart/2009/3/layout/HorizontalOrganizationChart"/>
    <dgm:cxn modelId="{C6ACAD38-D687-4BFB-A7F3-3EDA11F76205}" type="presParOf" srcId="{99B1C243-B5E5-49F9-8323-DE6521DB5F0C}" destId="{1F1D069D-2E56-4EEA-A646-7A6E4D170D3E}" srcOrd="1" destOrd="0" presId="urn:microsoft.com/office/officeart/2009/3/layout/HorizontalOrganizationChart"/>
    <dgm:cxn modelId="{0EEFCD9D-64D5-4AC8-814F-9D15AA4A374F}" type="presParOf" srcId="{017F079E-2DFF-4BC7-BDB3-A0C984196D46}" destId="{66A0FAF1-CC53-48FA-89F8-92D157613959}" srcOrd="1" destOrd="0" presId="urn:microsoft.com/office/officeart/2009/3/layout/HorizontalOrganizationChart"/>
    <dgm:cxn modelId="{E0EB0F1B-0C68-442A-BD68-B880F913179B}" type="presParOf" srcId="{017F079E-2DFF-4BC7-BDB3-A0C984196D46}" destId="{DE78FBBB-AC0A-47C8-94FD-601149F0BE9A}" srcOrd="2" destOrd="0" presId="urn:microsoft.com/office/officeart/2009/3/layout/HorizontalOrganizationChart"/>
    <dgm:cxn modelId="{84C67CE3-8922-40F9-BC02-96BBFD7F3E2E}" type="presParOf" srcId="{DEEB25EF-23F2-45CE-9C69-44B5D026A2CE}" destId="{078BB7D1-10B4-4D42-8C45-8CE50AEED7D5}" srcOrd="2" destOrd="0" presId="urn:microsoft.com/office/officeart/2009/3/layout/HorizontalOrganizationChart"/>
    <dgm:cxn modelId="{82289DE8-3251-4E02-B965-8EE56E484514}" type="presParOf" srcId="{C4192128-F657-4D3A-9131-BB668177CAD9}" destId="{D9FA4082-B69E-4582-A3B9-EAA44F7F481E}" srcOrd="2" destOrd="0" presId="urn:microsoft.com/office/officeart/2009/3/layout/HorizontalOrganizationChart"/>
    <dgm:cxn modelId="{ECA5E791-1991-4F3B-BA71-4E037AA4274F}" type="presParOf" srcId="{C4192128-F657-4D3A-9131-BB668177CAD9}" destId="{AE0965E7-F252-4667-B33D-2E634403CED2}" srcOrd="3" destOrd="0" presId="urn:microsoft.com/office/officeart/2009/3/layout/HorizontalOrganizationChart"/>
    <dgm:cxn modelId="{4A86EDC1-F860-4D82-A02D-2420EB0B9EC8}" type="presParOf" srcId="{AE0965E7-F252-4667-B33D-2E634403CED2}" destId="{AC865DEB-3D22-4D19-947E-CC59BD671117}" srcOrd="0" destOrd="0" presId="urn:microsoft.com/office/officeart/2009/3/layout/HorizontalOrganizationChart"/>
    <dgm:cxn modelId="{07551100-8E65-408C-ABFA-70063F47E762}" type="presParOf" srcId="{AC865DEB-3D22-4D19-947E-CC59BD671117}" destId="{0691162F-ACB8-455F-AAE2-71431B40915D}" srcOrd="0" destOrd="0" presId="urn:microsoft.com/office/officeart/2009/3/layout/HorizontalOrganizationChart"/>
    <dgm:cxn modelId="{904CDF25-86D1-40D3-B97D-D3F6AF13E146}" type="presParOf" srcId="{AC865DEB-3D22-4D19-947E-CC59BD671117}" destId="{A20E84AE-8C79-44E6-8A9B-5D221EC6ED95}" srcOrd="1" destOrd="0" presId="urn:microsoft.com/office/officeart/2009/3/layout/HorizontalOrganizationChart"/>
    <dgm:cxn modelId="{2E6DD6B2-8DA6-4004-9819-9EC05761021B}" type="presParOf" srcId="{AE0965E7-F252-4667-B33D-2E634403CED2}" destId="{355DF982-C29A-48E4-9E38-D4E7949113EC}" srcOrd="1" destOrd="0" presId="urn:microsoft.com/office/officeart/2009/3/layout/HorizontalOrganizationChart"/>
    <dgm:cxn modelId="{A127A848-4F4A-465C-8FC5-E959CB602ABB}" type="presParOf" srcId="{AE0965E7-F252-4667-B33D-2E634403CED2}" destId="{461EB14D-EED7-4BF4-8840-0CB046E0AF72}" srcOrd="2" destOrd="0" presId="urn:microsoft.com/office/officeart/2009/3/layout/HorizontalOrganizationChart"/>
    <dgm:cxn modelId="{C61AE75C-3B56-42BE-A605-0C84F8C3BB7D}" type="presParOf" srcId="{53A96EB8-C045-407F-9FBF-9B68EA2A1C18}" destId="{BD8754E6-6C77-4BE4-9220-739D195C2A1A}" srcOrd="2" destOrd="0" presId="urn:microsoft.com/office/officeart/2009/3/layout/HorizontalOrganizationChar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1FD98-A10F-4502-8941-B991D4B92C41}">
      <dsp:nvSpPr>
        <dsp:cNvPr id="0" name=""/>
        <dsp:cNvSpPr/>
      </dsp:nvSpPr>
      <dsp:spPr>
        <a:xfrm>
          <a:off x="2572" y="118237"/>
          <a:ext cx="1169626" cy="432000"/>
        </a:xfrm>
        <a:prstGeom prst="roundRect">
          <a:avLst>
            <a:gd name="adj" fmla="val 10000"/>
          </a:avLst>
        </a:prstGeom>
        <a:gradFill rotWithShape="0">
          <a:gsLst>
            <a:gs pos="0">
              <a:srgbClr val="5B9BD5">
                <a:shade val="50000"/>
                <a:hueOff val="0"/>
                <a:satOff val="0"/>
                <a:lumOff val="0"/>
                <a:alphaOff val="0"/>
                <a:satMod val="103000"/>
                <a:lumMod val="102000"/>
                <a:tint val="94000"/>
              </a:srgbClr>
            </a:gs>
            <a:gs pos="50000">
              <a:srgbClr val="5B9BD5">
                <a:shade val="50000"/>
                <a:hueOff val="0"/>
                <a:satOff val="0"/>
                <a:lumOff val="0"/>
                <a:alphaOff val="0"/>
                <a:satMod val="110000"/>
                <a:lumMod val="100000"/>
                <a:shade val="100000"/>
              </a:srgbClr>
            </a:gs>
            <a:gs pos="100000">
              <a:srgbClr val="5B9BD5">
                <a:shade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Quay handling</a:t>
          </a:r>
        </a:p>
      </dsp:txBody>
      <dsp:txXfrm>
        <a:off x="11007" y="126672"/>
        <a:ext cx="1152756" cy="271130"/>
      </dsp:txXfrm>
    </dsp:sp>
    <dsp:sp modelId="{09BCF2DE-1DD5-4B74-BF46-F506613A509D}">
      <dsp:nvSpPr>
        <dsp:cNvPr id="0" name=""/>
        <dsp:cNvSpPr/>
      </dsp:nvSpPr>
      <dsp:spPr>
        <a:xfrm>
          <a:off x="242134" y="406237"/>
          <a:ext cx="1169626" cy="990000"/>
        </a:xfrm>
        <a:prstGeom prst="roundRect">
          <a:avLst>
            <a:gd name="adj" fmla="val 10000"/>
          </a:avLst>
        </a:prstGeom>
        <a:solidFill>
          <a:sysClr val="window" lastClr="FFFFFF">
            <a:alpha val="90000"/>
            <a:hueOff val="0"/>
            <a:satOff val="0"/>
            <a:lumOff val="0"/>
            <a:alphaOff val="0"/>
          </a:sysClr>
        </a:solidFill>
        <a:ln w="6350" cap="flat" cmpd="sng" algn="ctr">
          <a:solidFill>
            <a:srgbClr val="5B9BD5">
              <a:shade val="5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Loading and offloading the ship i.e. movements between the ship and the yard</a:t>
          </a:r>
        </a:p>
      </dsp:txBody>
      <dsp:txXfrm>
        <a:off x="271130" y="435233"/>
        <a:ext cx="1111634" cy="932008"/>
      </dsp:txXfrm>
    </dsp:sp>
    <dsp:sp modelId="{3C583DB9-A242-4A41-AD0E-CF229CF9AFFB}">
      <dsp:nvSpPr>
        <dsp:cNvPr id="0" name=""/>
        <dsp:cNvSpPr/>
      </dsp:nvSpPr>
      <dsp:spPr>
        <a:xfrm>
          <a:off x="1349509" y="116635"/>
          <a:ext cx="375899" cy="291203"/>
        </a:xfrm>
        <a:prstGeom prst="leftRightArrow">
          <a:avLst/>
        </a:prstGeom>
        <a:gradFill rotWithShape="0">
          <a:gsLst>
            <a:gs pos="0">
              <a:srgbClr val="5B9BD5">
                <a:shade val="90000"/>
                <a:hueOff val="0"/>
                <a:satOff val="0"/>
                <a:lumOff val="0"/>
                <a:alphaOff val="0"/>
                <a:satMod val="103000"/>
                <a:lumMod val="102000"/>
                <a:tint val="94000"/>
              </a:srgbClr>
            </a:gs>
            <a:gs pos="50000">
              <a:srgbClr val="5B9BD5">
                <a:shade val="90000"/>
                <a:hueOff val="0"/>
                <a:satOff val="0"/>
                <a:lumOff val="0"/>
                <a:alphaOff val="0"/>
                <a:satMod val="110000"/>
                <a:lumMod val="100000"/>
                <a:shade val="100000"/>
              </a:srgbClr>
            </a:gs>
            <a:gs pos="100000">
              <a:srgbClr val="5B9BD5">
                <a:shade val="9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a:off x="1349509" y="174876"/>
        <a:ext cx="288538" cy="174721"/>
      </dsp:txXfrm>
    </dsp:sp>
    <dsp:sp modelId="{44D0F9DF-A611-4048-8A9A-CCF0FC07738A}">
      <dsp:nvSpPr>
        <dsp:cNvPr id="0" name=""/>
        <dsp:cNvSpPr/>
      </dsp:nvSpPr>
      <dsp:spPr>
        <a:xfrm>
          <a:off x="1881443" y="118237"/>
          <a:ext cx="1169626" cy="432000"/>
        </a:xfrm>
        <a:prstGeom prst="roundRect">
          <a:avLst>
            <a:gd name="adj" fmla="val 10000"/>
          </a:avLst>
        </a:prstGeo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Yard storage</a:t>
          </a:r>
        </a:p>
      </dsp:txBody>
      <dsp:txXfrm>
        <a:off x="1889878" y="126672"/>
        <a:ext cx="1152756" cy="271130"/>
      </dsp:txXfrm>
    </dsp:sp>
    <dsp:sp modelId="{EFCEBA94-7D56-4073-A23E-87564F237580}">
      <dsp:nvSpPr>
        <dsp:cNvPr id="0" name=""/>
        <dsp:cNvSpPr/>
      </dsp:nvSpPr>
      <dsp:spPr>
        <a:xfrm>
          <a:off x="2121005" y="406237"/>
          <a:ext cx="1169626" cy="990000"/>
        </a:xfrm>
        <a:prstGeom prst="roundRect">
          <a:avLst>
            <a:gd name="adj" fmla="val 10000"/>
          </a:avLst>
        </a:prstGeom>
        <a:solidFill>
          <a:sysClr val="window" lastClr="FFFFFF">
            <a:alpha val="90000"/>
            <a:hueOff val="0"/>
            <a:satOff val="0"/>
            <a:lumOff val="0"/>
            <a:alphaOff val="0"/>
          </a:sysClr>
        </a:solidFill>
        <a:ln w="6350" cap="flat" cmpd="sng" algn="ctr">
          <a:solidFill>
            <a:srgbClr val="5B9BD5">
              <a:shade val="50000"/>
              <a:hueOff val="222839"/>
              <a:satOff val="5970"/>
              <a:lumOff val="2630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Usually an escalating daily fee after a grace period</a:t>
          </a:r>
        </a:p>
      </dsp:txBody>
      <dsp:txXfrm>
        <a:off x="2150001" y="435233"/>
        <a:ext cx="1111634" cy="932008"/>
      </dsp:txXfrm>
    </dsp:sp>
    <dsp:sp modelId="{5D98041B-D2D0-4D71-A2BC-715A33EF40B1}">
      <dsp:nvSpPr>
        <dsp:cNvPr id="0" name=""/>
        <dsp:cNvSpPr/>
      </dsp:nvSpPr>
      <dsp:spPr>
        <a:xfrm>
          <a:off x="3228380" y="116635"/>
          <a:ext cx="375899" cy="291203"/>
        </a:xfrm>
        <a:prstGeom prst="leftRightArrow">
          <a:avLst/>
        </a:prstGeom>
        <a:gradFill rotWithShape="0">
          <a:gsLst>
            <a:gs pos="0">
              <a:srgbClr val="5B9BD5">
                <a:shade val="90000"/>
                <a:hueOff val="350915"/>
                <a:satOff val="-3215"/>
                <a:lumOff val="27754"/>
                <a:alphaOff val="0"/>
                <a:satMod val="103000"/>
                <a:lumMod val="102000"/>
                <a:tint val="94000"/>
              </a:srgbClr>
            </a:gs>
            <a:gs pos="50000">
              <a:srgbClr val="5B9BD5">
                <a:shade val="90000"/>
                <a:hueOff val="350915"/>
                <a:satOff val="-3215"/>
                <a:lumOff val="27754"/>
                <a:alphaOff val="0"/>
                <a:satMod val="110000"/>
                <a:lumMod val="100000"/>
                <a:shade val="100000"/>
              </a:srgbClr>
            </a:gs>
            <a:gs pos="100000">
              <a:srgbClr val="5B9BD5">
                <a:shade val="90000"/>
                <a:hueOff val="350915"/>
                <a:satOff val="-3215"/>
                <a:lumOff val="27754"/>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a:off x="3228380" y="174876"/>
        <a:ext cx="288538" cy="174721"/>
      </dsp:txXfrm>
    </dsp:sp>
    <dsp:sp modelId="{42DE9D5C-F3FE-4CC7-8BA9-AD3A50579DC9}">
      <dsp:nvSpPr>
        <dsp:cNvPr id="0" name=""/>
        <dsp:cNvSpPr/>
      </dsp:nvSpPr>
      <dsp:spPr>
        <a:xfrm>
          <a:off x="3760314" y="118237"/>
          <a:ext cx="1169626" cy="432000"/>
        </a:xfrm>
        <a:prstGeom prst="roundRect">
          <a:avLst>
            <a:gd name="adj" fmla="val 10000"/>
          </a:avLst>
        </a:prstGeom>
        <a:gradFill rotWithShape="0">
          <a:gsLst>
            <a:gs pos="0">
              <a:srgbClr val="5B9BD5">
                <a:shade val="50000"/>
                <a:hueOff val="222839"/>
                <a:satOff val="5970"/>
                <a:lumOff val="26302"/>
                <a:alphaOff val="0"/>
                <a:satMod val="103000"/>
                <a:lumMod val="102000"/>
                <a:tint val="94000"/>
              </a:srgbClr>
            </a:gs>
            <a:gs pos="50000">
              <a:srgbClr val="5B9BD5">
                <a:shade val="50000"/>
                <a:hueOff val="222839"/>
                <a:satOff val="5970"/>
                <a:lumOff val="26302"/>
                <a:alphaOff val="0"/>
                <a:satMod val="110000"/>
                <a:lumMod val="100000"/>
                <a:shade val="100000"/>
              </a:srgbClr>
            </a:gs>
            <a:gs pos="100000">
              <a:srgbClr val="5B9BD5">
                <a:shade val="50000"/>
                <a:hueOff val="222839"/>
                <a:satOff val="5970"/>
                <a:lumOff val="26302"/>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panose="02020603050405020304" pitchFamily="18" charset="0"/>
              <a:ea typeface="+mn-ea"/>
              <a:cs typeface="Times New Roman" panose="02020603050405020304" pitchFamily="18" charset="0"/>
            </a:rPr>
            <a:t>Vehicle handling</a:t>
          </a:r>
        </a:p>
      </dsp:txBody>
      <dsp:txXfrm>
        <a:off x="3768749" y="126672"/>
        <a:ext cx="1152756" cy="271130"/>
      </dsp:txXfrm>
    </dsp:sp>
    <dsp:sp modelId="{30FE203E-101D-47D9-9C9C-18752BF2B0B3}">
      <dsp:nvSpPr>
        <dsp:cNvPr id="0" name=""/>
        <dsp:cNvSpPr/>
      </dsp:nvSpPr>
      <dsp:spPr>
        <a:xfrm>
          <a:off x="3999876" y="406237"/>
          <a:ext cx="1169626" cy="990000"/>
        </a:xfrm>
        <a:prstGeom prst="roundRect">
          <a:avLst>
            <a:gd name="adj" fmla="val 10000"/>
          </a:avLst>
        </a:prstGeom>
        <a:solidFill>
          <a:sysClr val="window" lastClr="FFFFFF">
            <a:alpha val="90000"/>
            <a:hueOff val="0"/>
            <a:satOff val="0"/>
            <a:lumOff val="0"/>
            <a:alphaOff val="0"/>
          </a:sysClr>
        </a:solidFill>
        <a:ln w="6350" cap="flat" cmpd="sng" algn="ctr">
          <a:solidFill>
            <a:srgbClr val="5B9BD5">
              <a:shade val="50000"/>
              <a:hueOff val="222839"/>
              <a:satOff val="5970"/>
              <a:lumOff val="2630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Movements between yard and truck / wagon ('relevage' in French) </a:t>
          </a:r>
        </a:p>
      </dsp:txBody>
      <dsp:txXfrm>
        <a:off x="4028872" y="435233"/>
        <a:ext cx="1111634" cy="9320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23269-FCF8-4491-B08B-A176920A5CD7}">
      <dsp:nvSpPr>
        <dsp:cNvPr id="0" name=""/>
        <dsp:cNvSpPr/>
      </dsp:nvSpPr>
      <dsp:spPr>
        <a:xfrm>
          <a:off x="4289" y="1162"/>
          <a:ext cx="1595749" cy="432000"/>
        </a:xfrm>
        <a:prstGeom prst="chevron">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panose="02020603050405020304" pitchFamily="18" charset="0"/>
            </a:rPr>
            <a:t>Ship to quay</a:t>
          </a:r>
        </a:p>
      </dsp:txBody>
      <dsp:txXfrm>
        <a:off x="220289" y="1162"/>
        <a:ext cx="1163749" cy="432000"/>
      </dsp:txXfrm>
    </dsp:sp>
    <dsp:sp modelId="{7C8CDF99-D53B-4CD3-B285-AFC41D9FE071}">
      <dsp:nvSpPr>
        <dsp:cNvPr id="0" name=""/>
        <dsp:cNvSpPr/>
      </dsp:nvSpPr>
      <dsp:spPr>
        <a:xfrm>
          <a:off x="4289" y="487162"/>
          <a:ext cx="1276599" cy="1064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Volume and characteristics of the call (empties vs. full, transhipment, inbound vs, outbound, etc.)</a:t>
          </a:r>
        </a:p>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Quay handling equipment</a:t>
          </a:r>
        </a:p>
      </dsp:txBody>
      <dsp:txXfrm>
        <a:off x="4289" y="487162"/>
        <a:ext cx="1276599" cy="1064250"/>
      </dsp:txXfrm>
    </dsp:sp>
    <dsp:sp modelId="{1EB1284C-F7A9-403F-8020-0FD90C8ADF1D}">
      <dsp:nvSpPr>
        <dsp:cNvPr id="0" name=""/>
        <dsp:cNvSpPr/>
      </dsp:nvSpPr>
      <dsp:spPr>
        <a:xfrm>
          <a:off x="1384038" y="1162"/>
          <a:ext cx="1595749" cy="432000"/>
        </a:xfrm>
        <a:prstGeom prst="chevron">
          <a:avLst/>
        </a:prstGeom>
        <a:solidFill>
          <a:schemeClr val="accent1">
            <a:shade val="80000"/>
            <a:hueOff val="90421"/>
            <a:satOff val="1725"/>
            <a:lumOff val="76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panose="02020603050405020304" pitchFamily="18" charset="0"/>
            </a:rPr>
            <a:t>Transfer to yard</a:t>
          </a:r>
        </a:p>
      </dsp:txBody>
      <dsp:txXfrm>
        <a:off x="1600038" y="1162"/>
        <a:ext cx="1163749" cy="432000"/>
      </dsp:txXfrm>
    </dsp:sp>
    <dsp:sp modelId="{0D6FAA6B-F38C-4369-933E-85531E0ACDBB}">
      <dsp:nvSpPr>
        <dsp:cNvPr id="0" name=""/>
        <dsp:cNvSpPr/>
      </dsp:nvSpPr>
      <dsp:spPr>
        <a:xfrm>
          <a:off x="1384038" y="487162"/>
          <a:ext cx="1276599" cy="1064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Reach stackers or tractors+trailers</a:t>
          </a:r>
        </a:p>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Distance quay - yard area</a:t>
          </a:r>
        </a:p>
      </dsp:txBody>
      <dsp:txXfrm>
        <a:off x="1384038" y="487162"/>
        <a:ext cx="1276599" cy="1064250"/>
      </dsp:txXfrm>
    </dsp:sp>
    <dsp:sp modelId="{5581A41B-D6C1-4880-B09C-6F4930F7FE6D}">
      <dsp:nvSpPr>
        <dsp:cNvPr id="0" name=""/>
        <dsp:cNvSpPr/>
      </dsp:nvSpPr>
      <dsp:spPr>
        <a:xfrm>
          <a:off x="2763787" y="1162"/>
          <a:ext cx="1595749" cy="432000"/>
        </a:xfrm>
        <a:prstGeom prst="chevron">
          <a:avLst/>
        </a:prstGeom>
        <a:solidFill>
          <a:schemeClr val="accent1">
            <a:shade val="80000"/>
            <a:hueOff val="180842"/>
            <a:satOff val="3450"/>
            <a:lumOff val="152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panose="02020603050405020304" pitchFamily="18" charset="0"/>
            </a:rPr>
            <a:t>Yard storage</a:t>
          </a:r>
        </a:p>
      </dsp:txBody>
      <dsp:txXfrm>
        <a:off x="2979787" y="1162"/>
        <a:ext cx="1163749" cy="432000"/>
      </dsp:txXfrm>
    </dsp:sp>
    <dsp:sp modelId="{CC61658C-11B1-4FDD-BB9A-B2C277B7366E}">
      <dsp:nvSpPr>
        <dsp:cNvPr id="0" name=""/>
        <dsp:cNvSpPr/>
      </dsp:nvSpPr>
      <dsp:spPr>
        <a:xfrm>
          <a:off x="2763787" y="487162"/>
          <a:ext cx="1276599" cy="1064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Stacking configuration and yard handling equipment</a:t>
          </a:r>
        </a:p>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Characteristics of the traffic (empties vs. full, transhipment, inbound vs, outbound, etc.)</a:t>
          </a:r>
        </a:p>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Dwell time</a:t>
          </a:r>
        </a:p>
      </dsp:txBody>
      <dsp:txXfrm>
        <a:off x="2763787" y="487162"/>
        <a:ext cx="1276599" cy="1064250"/>
      </dsp:txXfrm>
    </dsp:sp>
    <dsp:sp modelId="{9E81C3E8-E842-477A-BAF6-1A9983A4D019}">
      <dsp:nvSpPr>
        <dsp:cNvPr id="0" name=""/>
        <dsp:cNvSpPr/>
      </dsp:nvSpPr>
      <dsp:spPr>
        <a:xfrm>
          <a:off x="4143536" y="1162"/>
          <a:ext cx="1595749" cy="432000"/>
        </a:xfrm>
        <a:prstGeom prst="chevron">
          <a:avLst/>
        </a:prstGeom>
        <a:solidFill>
          <a:schemeClr val="accent1">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panose="02020603050405020304" pitchFamily="18" charset="0"/>
            </a:rPr>
            <a:t>Gate transfer</a:t>
          </a:r>
        </a:p>
      </dsp:txBody>
      <dsp:txXfrm>
        <a:off x="4359536" y="1162"/>
        <a:ext cx="1163749" cy="432000"/>
      </dsp:txXfrm>
    </dsp:sp>
    <dsp:sp modelId="{67CA5E99-D987-4B84-B4A0-7D2DEA2BDA7B}">
      <dsp:nvSpPr>
        <dsp:cNvPr id="0" name=""/>
        <dsp:cNvSpPr/>
      </dsp:nvSpPr>
      <dsp:spPr>
        <a:xfrm>
          <a:off x="4143536" y="487162"/>
          <a:ext cx="1276599" cy="1064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Appointment scheme for trucks</a:t>
          </a:r>
        </a:p>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Gate lanes</a:t>
          </a:r>
        </a:p>
        <a:p>
          <a:pPr marL="57150" lvl="1" indent="-57150" algn="l" defTabSz="400050">
            <a:lnSpc>
              <a:spcPct val="90000"/>
            </a:lnSpc>
            <a:spcBef>
              <a:spcPct val="0"/>
            </a:spcBef>
            <a:spcAft>
              <a:spcPct val="15000"/>
            </a:spcAft>
            <a:buChar char="•"/>
          </a:pPr>
          <a:r>
            <a:rPr lang="en-US" sz="900" kern="1200">
              <a:latin typeface="+mn-lt"/>
              <a:cs typeface="Times New Roman" panose="02020603050405020304" pitchFamily="18" charset="0"/>
            </a:rPr>
            <a:t>Rail / road split</a:t>
          </a:r>
        </a:p>
      </dsp:txBody>
      <dsp:txXfrm>
        <a:off x="4143536" y="487162"/>
        <a:ext cx="1276599" cy="10642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FA4082-B69E-4582-A3B9-EAA44F7F481E}">
      <dsp:nvSpPr>
        <dsp:cNvPr id="0" name=""/>
        <dsp:cNvSpPr/>
      </dsp:nvSpPr>
      <dsp:spPr>
        <a:xfrm>
          <a:off x="1836973" y="1098219"/>
          <a:ext cx="306546" cy="329538"/>
        </a:xfrm>
        <a:custGeom>
          <a:avLst/>
          <a:gdLst/>
          <a:ahLst/>
          <a:cxnLst/>
          <a:rect l="0" t="0" r="0" b="0"/>
          <a:pathLst>
            <a:path>
              <a:moveTo>
                <a:pt x="0" y="0"/>
              </a:moveTo>
              <a:lnTo>
                <a:pt x="153273" y="0"/>
              </a:lnTo>
              <a:lnTo>
                <a:pt x="153273" y="329538"/>
              </a:lnTo>
              <a:lnTo>
                <a:pt x="306546" y="3295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0D413F-15A1-493D-9BD8-9168E648A6D8}">
      <dsp:nvSpPr>
        <dsp:cNvPr id="0" name=""/>
        <dsp:cNvSpPr/>
      </dsp:nvSpPr>
      <dsp:spPr>
        <a:xfrm>
          <a:off x="3676254" y="564107"/>
          <a:ext cx="306546" cy="329538"/>
        </a:xfrm>
        <a:custGeom>
          <a:avLst/>
          <a:gdLst/>
          <a:ahLst/>
          <a:cxnLst/>
          <a:rect l="0" t="0" r="0" b="0"/>
          <a:pathLst>
            <a:path>
              <a:moveTo>
                <a:pt x="0" y="0"/>
              </a:moveTo>
              <a:lnTo>
                <a:pt x="153273" y="0"/>
              </a:lnTo>
              <a:lnTo>
                <a:pt x="153273" y="329538"/>
              </a:lnTo>
              <a:lnTo>
                <a:pt x="306546" y="3295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D0AAB-6136-4963-AD39-8E632CD6D539}">
      <dsp:nvSpPr>
        <dsp:cNvPr id="0" name=""/>
        <dsp:cNvSpPr/>
      </dsp:nvSpPr>
      <dsp:spPr>
        <a:xfrm>
          <a:off x="3676254" y="234569"/>
          <a:ext cx="306546" cy="329538"/>
        </a:xfrm>
        <a:custGeom>
          <a:avLst/>
          <a:gdLst/>
          <a:ahLst/>
          <a:cxnLst/>
          <a:rect l="0" t="0" r="0" b="0"/>
          <a:pathLst>
            <a:path>
              <a:moveTo>
                <a:pt x="0" y="329538"/>
              </a:moveTo>
              <a:lnTo>
                <a:pt x="153273" y="329538"/>
              </a:lnTo>
              <a:lnTo>
                <a:pt x="153273" y="0"/>
              </a:lnTo>
              <a:lnTo>
                <a:pt x="30654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3BE755-3CFB-4C38-9E1F-B349DAA4DC52}">
      <dsp:nvSpPr>
        <dsp:cNvPr id="0" name=""/>
        <dsp:cNvSpPr/>
      </dsp:nvSpPr>
      <dsp:spPr>
        <a:xfrm>
          <a:off x="1836973" y="564107"/>
          <a:ext cx="306546" cy="534111"/>
        </a:xfrm>
        <a:custGeom>
          <a:avLst/>
          <a:gdLst/>
          <a:ahLst/>
          <a:cxnLst/>
          <a:rect l="0" t="0" r="0" b="0"/>
          <a:pathLst>
            <a:path>
              <a:moveTo>
                <a:pt x="0" y="534111"/>
              </a:moveTo>
              <a:lnTo>
                <a:pt x="153273" y="534111"/>
              </a:lnTo>
              <a:lnTo>
                <a:pt x="153273" y="0"/>
              </a:lnTo>
              <a:lnTo>
                <a:pt x="30654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F3CEB4-A99E-4B17-ACB6-49A5FFA8095E}">
      <dsp:nvSpPr>
        <dsp:cNvPr id="0" name=""/>
        <dsp:cNvSpPr/>
      </dsp:nvSpPr>
      <dsp:spPr>
        <a:xfrm>
          <a:off x="304238" y="864476"/>
          <a:ext cx="1532734" cy="467484"/>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cs typeface="Times New Roman" panose="02020603050405020304" pitchFamily="18" charset="0"/>
            </a:rPr>
            <a:t>West Africa Container Throughput</a:t>
          </a:r>
        </a:p>
      </dsp:txBody>
      <dsp:txXfrm>
        <a:off x="304238" y="864476"/>
        <a:ext cx="1532734" cy="467484"/>
      </dsp:txXfrm>
    </dsp:sp>
    <dsp:sp modelId="{04C8687E-6B82-4989-B761-EB54D0995091}">
      <dsp:nvSpPr>
        <dsp:cNvPr id="0" name=""/>
        <dsp:cNvSpPr/>
      </dsp:nvSpPr>
      <dsp:spPr>
        <a:xfrm>
          <a:off x="2143520" y="330365"/>
          <a:ext cx="1532734" cy="467484"/>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cs typeface="Times New Roman" panose="02020603050405020304" pitchFamily="18" charset="0"/>
            </a:rPr>
            <a:t>Related to Trade: multiplier effect on GDP growth</a:t>
          </a:r>
        </a:p>
      </dsp:txBody>
      <dsp:txXfrm>
        <a:off x="2143520" y="330365"/>
        <a:ext cx="1532734" cy="467484"/>
      </dsp:txXfrm>
    </dsp:sp>
    <dsp:sp modelId="{B2F01075-5B8D-4D25-89CE-D618124F759E}">
      <dsp:nvSpPr>
        <dsp:cNvPr id="0" name=""/>
        <dsp:cNvSpPr/>
      </dsp:nvSpPr>
      <dsp:spPr>
        <a:xfrm>
          <a:off x="3982801" y="827"/>
          <a:ext cx="1532734" cy="467484"/>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cs typeface="Times New Roman" panose="02020603050405020304" pitchFamily="18" charset="0"/>
            </a:rPr>
            <a:t>Coastal Countries: assumption is that ports absorb domestic traffic</a:t>
          </a:r>
        </a:p>
      </dsp:txBody>
      <dsp:txXfrm>
        <a:off x="3982801" y="827"/>
        <a:ext cx="1532734" cy="467484"/>
      </dsp:txXfrm>
    </dsp:sp>
    <dsp:sp modelId="{7624E351-991C-433F-8365-B73635B38A19}">
      <dsp:nvSpPr>
        <dsp:cNvPr id="0" name=""/>
        <dsp:cNvSpPr/>
      </dsp:nvSpPr>
      <dsp:spPr>
        <a:xfrm>
          <a:off x="3982801" y="659903"/>
          <a:ext cx="1532734" cy="467484"/>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cs typeface="Times New Roman" panose="02020603050405020304" pitchFamily="18" charset="0"/>
            </a:rPr>
            <a:t>Landlocked countries: allocation based on corridor efficiency</a:t>
          </a:r>
        </a:p>
      </dsp:txBody>
      <dsp:txXfrm>
        <a:off x="3982801" y="659903"/>
        <a:ext cx="1532734" cy="467484"/>
      </dsp:txXfrm>
    </dsp:sp>
    <dsp:sp modelId="{0691162F-ACB8-455F-AAE2-71431B40915D}">
      <dsp:nvSpPr>
        <dsp:cNvPr id="0" name=""/>
        <dsp:cNvSpPr/>
      </dsp:nvSpPr>
      <dsp:spPr>
        <a:xfrm>
          <a:off x="2143520" y="989441"/>
          <a:ext cx="1702255" cy="87663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n-lt"/>
              <a:cs typeface="Times New Roman" panose="02020603050405020304" pitchFamily="18" charset="0"/>
            </a:rPr>
            <a:t>Related to Shipping Networks Patterns: scenarios for the increase in transhipment and allocation to hub port(s)</a:t>
          </a:r>
        </a:p>
      </dsp:txBody>
      <dsp:txXfrm>
        <a:off x="2143520" y="989441"/>
        <a:ext cx="1702255" cy="8766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0.90202</cdr:y>
    </cdr:from>
    <cdr:to>
      <cdr:x>0.55167</cdr:x>
      <cdr:y>1</cdr:y>
    </cdr:to>
    <cdr:sp macro="" textlink="">
      <cdr:nvSpPr>
        <cdr:cNvPr id="2" name="TextBox 1"/>
        <cdr:cNvSpPr txBox="1"/>
      </cdr:nvSpPr>
      <cdr:spPr>
        <a:xfrm xmlns:a="http://schemas.openxmlformats.org/drawingml/2006/main">
          <a:off x="0" y="2319780"/>
          <a:ext cx="3278906" cy="2519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Source: Port authorities.</a:t>
          </a:r>
          <a:r>
            <a:rPr lang="en-US" sz="1000" baseline="0"/>
            <a:t> *: 2010 data</a:t>
          </a:r>
          <a:endParaRPr 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0.00957</cdr:x>
      <cdr:y>0.891</cdr:y>
    </cdr:from>
    <cdr:to>
      <cdr:x>0.49601</cdr:x>
      <cdr:y>0.99533</cdr:y>
    </cdr:to>
    <cdr:sp macro="" textlink="">
      <cdr:nvSpPr>
        <cdr:cNvPr id="2" name="TextBox 1"/>
        <cdr:cNvSpPr txBox="1"/>
      </cdr:nvSpPr>
      <cdr:spPr>
        <a:xfrm xmlns:a="http://schemas.openxmlformats.org/drawingml/2006/main">
          <a:off x="57151" y="1790700"/>
          <a:ext cx="2905125" cy="2096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t>Source: Drewry</a:t>
          </a:r>
          <a:r>
            <a:rPr lang="en-US" sz="1050" baseline="0"/>
            <a:t>, as reported in Ecorys (2015)</a:t>
          </a:r>
          <a:r>
            <a:rPr lang="en-US" sz="105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F253A-A9AB-42AB-9EFC-82DA7A76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43167</Words>
  <Characters>246053</Characters>
  <Application>Microsoft Office Word</Application>
  <DocSecurity>4</DocSecurity>
  <Lines>2050</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Gozde Isik</dc:creator>
  <cp:lastModifiedBy>Jurgita Campbell</cp:lastModifiedBy>
  <cp:revision>2</cp:revision>
  <cp:lastPrinted>2017-07-11T18:22:00Z</cp:lastPrinted>
  <dcterms:created xsi:type="dcterms:W3CDTF">2020-01-14T18:06:00Z</dcterms:created>
  <dcterms:modified xsi:type="dcterms:W3CDTF">2020-01-14T18:06:00Z</dcterms:modified>
</cp:coreProperties>
</file>