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2C" w:rsidRDefault="001C7FDB" w:rsidP="003A292C">
      <w:r>
        <w:rPr>
          <w:noProof/>
          <w:color w:val="244061" w:themeColor="accent1" w:themeShade="80"/>
          <w:sz w:val="28"/>
          <w:szCs w:val="28"/>
        </w:rPr>
        <mc:AlternateContent>
          <mc:Choice Requires="wps">
            <w:drawing>
              <wp:anchor distT="0" distB="0" distL="114300" distR="114300" simplePos="0" relativeHeight="251666432" behindDoc="0" locked="0" layoutInCell="1" allowOverlap="1">
                <wp:simplePos x="0" y="0"/>
                <wp:positionH relativeFrom="column">
                  <wp:posOffset>2293620</wp:posOffset>
                </wp:positionH>
                <wp:positionV relativeFrom="paragraph">
                  <wp:posOffset>-676275</wp:posOffset>
                </wp:positionV>
                <wp:extent cx="1419225" cy="6191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41922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7FDB" w:rsidRPr="001C7FDB" w:rsidRDefault="001C7FDB">
                            <w:pPr>
                              <w:rPr>
                                <w:rFonts w:ascii="Arial" w:hAnsi="Arial" w:cs="Arial"/>
                                <w:sz w:val="44"/>
                                <w:szCs w:val="44"/>
                              </w:rPr>
                            </w:pPr>
                            <w:r>
                              <w:rPr>
                                <w:rFonts w:ascii="Arial" w:hAnsi="Arial" w:cs="Arial"/>
                                <w:sz w:val="44"/>
                                <w:szCs w:val="44"/>
                              </w:rPr>
                              <w:t>91221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0.6pt;margin-top:-53.25pt;width:111.75pt;height:48.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" fillcolor="white [3201]" stroked="f" strokeweight=".5pt">
                <v:textbox>
                  <w:txbxContent>
                    <w:p w:rsidR="001C7FDB" w:rsidRPr="001C7FDB" w:rsidRDefault="001C7FDB">
                      <w:pPr>
                        <w:rPr>
                          <w:rFonts w:ascii="Arial" w:hAnsi="Arial" w:cs="Arial"/>
                          <w:sz w:val="44"/>
                          <w:szCs w:val="44"/>
                        </w:rPr>
                      </w:pPr>
                      <w:r>
                        <w:rPr>
                          <w:rFonts w:ascii="Arial" w:hAnsi="Arial" w:cs="Arial"/>
                          <w:sz w:val="44"/>
                          <w:szCs w:val="44"/>
                        </w:rPr>
                        <w:t>91221</w:t>
                      </w:r>
                    </w:p>
                  </w:txbxContent>
                </v:textbox>
              </v:shape>
            </w:pict>
          </mc:Fallback>
        </mc:AlternateContent>
      </w:r>
      <w:r w:rsidR="00982812" w:rsidRPr="00E83DD0">
        <w:rPr>
          <w:noProof/>
          <w:color w:val="244061" w:themeColor="accent1" w:themeShade="80"/>
          <w:sz w:val="28"/>
          <w:szCs w:val="28"/>
        </w:rPr>
        <mc:AlternateContent>
          <mc:Choice Requires="wps">
            <w:drawing>
              <wp:anchor distT="0" distB="0" distL="114300" distR="114300" simplePos="0" relativeHeight="251664384" behindDoc="0" locked="0" layoutInCell="1" allowOverlap="1" wp14:anchorId="419E9C11" wp14:editId="7CD60499">
                <wp:simplePos x="0" y="0"/>
                <wp:positionH relativeFrom="column">
                  <wp:posOffset>340360</wp:posOffset>
                </wp:positionH>
                <wp:positionV relativeFrom="paragraph">
                  <wp:posOffset>6350</wp:posOffset>
                </wp:positionV>
                <wp:extent cx="3589020" cy="6400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3589020" cy="640080"/>
                        </a:xfrm>
                        <a:prstGeom prst="rect">
                          <a:avLst/>
                        </a:prstGeom>
                        <a:gradFill flip="none" rotWithShape="1">
                          <a:gsLst>
                            <a:gs pos="0">
                              <a:schemeClr val="bg1"/>
                            </a:gs>
                            <a:gs pos="50000">
                              <a:srgbClr val="DBE4F5"/>
                            </a:gs>
                            <a:gs pos="100000">
                              <a:schemeClr val="accent1">
                                <a:tint val="23500"/>
                                <a:satMod val="160000"/>
                              </a:schemeClr>
                            </a:gs>
                          </a:gsLst>
                          <a:lin ang="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E83DD0" w:rsidRPr="003A27AD" w:rsidRDefault="00E83DD0" w:rsidP="00E83DD0">
                            <w:pPr>
                              <w:pStyle w:val="NoSpacing"/>
                              <w:spacing w:before="0" w:after="0"/>
                              <w:ind w:left="86"/>
                              <w:jc w:val="right"/>
                            </w:pPr>
                            <w:r w:rsidRPr="003A27AD">
                              <w:t>Japan–World Bank Partnership</w:t>
                            </w:r>
                            <w:r w:rsidRPr="00701A81">
                              <w:t xml:space="preserve"> Program for </w:t>
                            </w:r>
                            <w:r w:rsidRPr="003A27AD">
                              <w:t>Universal Health Coverage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6.8pt;margin-top:.5pt;width:282.6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" fillcolor="white [3212]" stroked="f" strokeweight=".5pt">
                <v:fill color2="#d6e2f0 [756]" rotate="t" angle="90" colors="0 white;.5 #dbe4f5;1 #e1e8f5" focus="100%" type="gradient"/>
                <v:textbox>
                  <w:txbxContent>
                    <w:p w:rsidR="00E83DD0" w:rsidRPr="003A27AD" w:rsidRDefault="00E83DD0" w:rsidP="00E83DD0">
                      <w:pPr>
                        <w:pStyle w:val="NoSpacing"/>
                        <w:spacing w:before="0" w:after="0"/>
                        <w:ind w:left="86"/>
                        <w:jc w:val="right"/>
                      </w:pPr>
                      <w:r w:rsidRPr="003A27AD">
                        <w:t>Japan–World Bank Partnership</w:t>
                      </w:r>
                      <w:r w:rsidRPr="00701A81">
                        <w:t xml:space="preserve"> Program for </w:t>
                      </w:r>
                      <w:r w:rsidRPr="003A27AD">
                        <w:t>Universal Health Coverage</w:t>
                      </w:r>
                    </w:p>
                  </w:txbxContent>
                </v:textbox>
              </v:shape>
            </w:pict>
          </mc:Fallback>
        </mc:AlternateContent>
      </w:r>
      <w:r w:rsidR="00E83DD0" w:rsidRPr="00E83DD0">
        <w:rPr>
          <w:noProof/>
          <w:color w:val="244061" w:themeColor="accent1" w:themeShade="80"/>
          <w:sz w:val="28"/>
          <w:szCs w:val="28"/>
        </w:rPr>
        <mc:AlternateContent>
          <mc:Choice Requires="wps">
            <w:drawing>
              <wp:anchor distT="0" distB="0" distL="114300" distR="114300" simplePos="0" relativeHeight="251665408" behindDoc="0" locked="0" layoutInCell="1" allowOverlap="1" wp14:anchorId="6DFD2624" wp14:editId="23AD122A">
                <wp:simplePos x="0" y="0"/>
                <wp:positionH relativeFrom="column">
                  <wp:posOffset>-2819400</wp:posOffset>
                </wp:positionH>
                <wp:positionV relativeFrom="paragraph">
                  <wp:posOffset>3070860</wp:posOffset>
                </wp:positionV>
                <wp:extent cx="6751320" cy="960120"/>
                <wp:effectExtent l="0" t="0" r="11430" b="11430"/>
                <wp:wrapNone/>
                <wp:docPr id="5" name="Rectangle 5"/>
                <wp:cNvGraphicFramePr/>
                <a:graphic xmlns:a="http://schemas.openxmlformats.org/drawingml/2006/main">
                  <a:graphicData uri="http://schemas.microsoft.com/office/word/2010/wordprocessingShape">
                    <wps:wsp>
                      <wps:cNvSpPr/>
                      <wps:spPr>
                        <a:xfrm>
                          <a:off x="0" y="0"/>
                          <a:ext cx="6751320" cy="960120"/>
                        </a:xfrm>
                        <a:prstGeom prst="rect">
                          <a:avLst/>
                        </a:prstGeom>
                        <a:solidFill>
                          <a:srgbClr val="002060"/>
                        </a:solidFill>
                        <a:ln w="12700">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83DD0" w:rsidRPr="00104E52" w:rsidRDefault="00E83DD0" w:rsidP="00E83DD0">
                            <w:pPr>
                              <w:pStyle w:val="NoSpacing"/>
                              <w:spacing w:before="0" w:after="0"/>
                              <w:ind w:left="0"/>
                              <w:rPr>
                                <w:color w:val="FFFFFF" w:themeColor="background1"/>
                                <w:sz w:val="40"/>
                                <w:szCs w:val="40"/>
                              </w:rPr>
                            </w:pPr>
                            <w:r w:rsidRPr="00104E52">
                              <w:rPr>
                                <w:color w:val="FFFFFF" w:themeColor="background1"/>
                                <w:sz w:val="40"/>
                                <w:szCs w:val="40"/>
                              </w:rPr>
                              <w:t>Universal Health Coverage for Inclusive and Sustainable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222pt;margin-top:241.8pt;width:531.6pt;height:7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" fillcolor="#002060" strokecolor="#1f497d [3215]" strokeweight="1pt">
                <v:textbox>
                  <w:txbxContent>
                    <w:p w:rsidR="00E83DD0" w:rsidRPr="00104E52" w:rsidRDefault="00E83DD0" w:rsidP="00E83DD0">
                      <w:pPr>
                        <w:pStyle w:val="NoSpacing"/>
                        <w:spacing w:before="0" w:after="0"/>
                        <w:ind w:left="0"/>
                        <w:rPr>
                          <w:color w:val="FFFFFF" w:themeColor="background1"/>
                          <w:sz w:val="40"/>
                          <w:szCs w:val="40"/>
                        </w:rPr>
                      </w:pPr>
                      <w:r w:rsidRPr="00104E52">
                        <w:rPr>
                          <w:color w:val="FFFFFF" w:themeColor="background1"/>
                          <w:sz w:val="40"/>
                          <w:szCs w:val="40"/>
                        </w:rPr>
                        <w:t>Universal Health Coverage for Inclusive and Sustainable Development</w:t>
                      </w:r>
                    </w:p>
                  </w:txbxContent>
                </v:textbox>
              </v:rect>
            </w:pict>
          </mc:Fallback>
        </mc:AlternateContent>
      </w:r>
      <w:r w:rsidR="00E83DD0" w:rsidRPr="00E83DD0">
        <w:rPr>
          <w:noProof/>
          <w:color w:val="244061" w:themeColor="accent1" w:themeShade="80"/>
          <w:sz w:val="28"/>
          <w:szCs w:val="28"/>
        </w:rPr>
        <mc:AlternateContent>
          <mc:Choice Requires="wps">
            <w:drawing>
              <wp:anchor distT="0" distB="0" distL="114300" distR="114300" simplePos="0" relativeHeight="251663360" behindDoc="0" locked="0" layoutInCell="1" allowOverlap="1" wp14:anchorId="14A67C51" wp14:editId="51FBDD95">
                <wp:simplePos x="0" y="0"/>
                <wp:positionH relativeFrom="column">
                  <wp:posOffset>-2822575</wp:posOffset>
                </wp:positionH>
                <wp:positionV relativeFrom="paragraph">
                  <wp:posOffset>-3810</wp:posOffset>
                </wp:positionV>
                <wp:extent cx="6761480" cy="8077200"/>
                <wp:effectExtent l="0" t="0" r="20320" b="19050"/>
                <wp:wrapNone/>
                <wp:docPr id="21" name="Rectangle 21"/>
                <wp:cNvGraphicFramePr/>
                <a:graphic xmlns:a="http://schemas.openxmlformats.org/drawingml/2006/main">
                  <a:graphicData uri="http://schemas.microsoft.com/office/word/2010/wordprocessingShape">
                    <wps:wsp>
                      <wps:cNvSpPr/>
                      <wps:spPr>
                        <a:xfrm>
                          <a:off x="0" y="0"/>
                          <a:ext cx="6761480" cy="8077200"/>
                        </a:xfrm>
                        <a:prstGeom prst="rect">
                          <a:avLst/>
                        </a:prstGeom>
                        <a:noFill/>
                        <a:ln w="3175">
                          <a:solidFill>
                            <a:schemeClr val="tx2"/>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22.25pt;margin-top:-.3pt;width:532.4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" filled="f" strokecolor="#1f497d [3215]" strokeweight=".25pt"/>
            </w:pict>
          </mc:Fallback>
        </mc:AlternateContent>
      </w:r>
      <w:r w:rsidR="00E83DD0" w:rsidRPr="00E83DD0">
        <w:rPr>
          <w:noProof/>
          <w:color w:val="244061" w:themeColor="accent1" w:themeShade="80"/>
          <w:sz w:val="28"/>
          <w:szCs w:val="28"/>
        </w:rPr>
        <w:drawing>
          <wp:anchor distT="0" distB="0" distL="114300" distR="114300" simplePos="0" relativeHeight="251662336" behindDoc="1" locked="0" layoutInCell="1" allowOverlap="1" wp14:anchorId="591B9A4A" wp14:editId="12FAE2BA">
            <wp:simplePos x="0" y="0"/>
            <wp:positionH relativeFrom="column">
              <wp:posOffset>-92710</wp:posOffset>
            </wp:positionH>
            <wp:positionV relativeFrom="paragraph">
              <wp:posOffset>140335</wp:posOffset>
            </wp:positionV>
            <wp:extent cx="2463800" cy="482600"/>
            <wp:effectExtent l="0" t="0" r="0" b="0"/>
            <wp:wrapTight wrapText="bothSides">
              <wp:wrapPolygon edited="0">
                <wp:start x="0" y="0"/>
                <wp:lineTo x="0" y="20463"/>
                <wp:lineTo x="21377" y="20463"/>
                <wp:lineTo x="21377" y="0"/>
                <wp:lineTo x="0" y="0"/>
              </wp:wrapPolygon>
            </wp:wrapTight>
            <wp:docPr id="12" name="Picture 12" descr="C:\Users\wb93132\WinRAR-HOLD\Rar$DI07.592\WBG_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b93132\WinRAR-HOLD\Rar$DI07.592\WBG_Horizontal-RGB-hig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38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DD0" w:rsidRPr="00E83DD0">
        <w:rPr>
          <w:noProof/>
          <w:color w:val="244061" w:themeColor="accent1" w:themeShade="80"/>
          <w:sz w:val="28"/>
          <w:szCs w:val="28"/>
        </w:rPr>
        <mc:AlternateContent>
          <mc:Choice Requires="wps">
            <w:drawing>
              <wp:anchor distT="0" distB="0" distL="114300" distR="114300" simplePos="0" relativeHeight="251661312" behindDoc="0" locked="0" layoutInCell="1" allowOverlap="1" wp14:anchorId="13FDB5B1" wp14:editId="07300AD1">
                <wp:simplePos x="0" y="0"/>
                <wp:positionH relativeFrom="column">
                  <wp:posOffset>-2819400</wp:posOffset>
                </wp:positionH>
                <wp:positionV relativeFrom="paragraph">
                  <wp:posOffset>4030980</wp:posOffset>
                </wp:positionV>
                <wp:extent cx="6751320" cy="548640"/>
                <wp:effectExtent l="0" t="0" r="11430" b="22860"/>
                <wp:wrapNone/>
                <wp:docPr id="2" name="Rectangle 2"/>
                <wp:cNvGraphicFramePr/>
                <a:graphic xmlns:a="http://schemas.openxmlformats.org/drawingml/2006/main">
                  <a:graphicData uri="http://schemas.microsoft.com/office/word/2010/wordprocessingShape">
                    <wps:wsp>
                      <wps:cNvSpPr/>
                      <wps:spPr>
                        <a:xfrm>
                          <a:off x="0" y="0"/>
                          <a:ext cx="6751320" cy="548640"/>
                        </a:xfrm>
                        <a:prstGeom prst="rect">
                          <a:avLst/>
                        </a:prstGeom>
                        <a:solidFill>
                          <a:srgbClr val="FF0000"/>
                        </a:solidFill>
                        <a:ln w="12700">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83DD0" w:rsidRPr="009B5F61" w:rsidRDefault="00E83DD0" w:rsidP="00E83DD0">
                            <w:pPr>
                              <w:pStyle w:val="NoSpacing"/>
                              <w:spacing w:before="0" w:after="0"/>
                              <w:ind w:left="0"/>
                              <w:rPr>
                                <w:color w:val="FFFFFF" w:themeColor="background1"/>
                                <w:sz w:val="40"/>
                                <w:szCs w:val="40"/>
                              </w:rPr>
                            </w:pPr>
                            <w:r w:rsidRPr="009B5F61">
                              <w:rPr>
                                <w:color w:val="FFFFFF" w:themeColor="background1"/>
                                <w:sz w:val="40"/>
                                <w:szCs w:val="40"/>
                              </w:rPr>
                              <w:t>C</w:t>
                            </w:r>
                            <w:r w:rsidR="00D80B7E">
                              <w:rPr>
                                <w:color w:val="FFFFFF" w:themeColor="background1"/>
                                <w:sz w:val="40"/>
                                <w:szCs w:val="40"/>
                              </w:rPr>
                              <w:t>ountry Summary Report for Turkey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margin-left:-222pt;margin-top:317.4pt;width:531.6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" fillcolor="red" strokecolor="#1f497d [3215]" strokeweight="1pt">
                <v:textbox>
                  <w:txbxContent>
                    <w:p w:rsidR="00E83DD0" w:rsidRPr="009B5F61" w:rsidRDefault="00E83DD0" w:rsidP="00E83DD0">
                      <w:pPr>
                        <w:pStyle w:val="NoSpacing"/>
                        <w:spacing w:before="0" w:after="0"/>
                        <w:ind w:left="0"/>
                        <w:rPr>
                          <w:color w:val="FFFFFF" w:themeColor="background1"/>
                          <w:sz w:val="40"/>
                          <w:szCs w:val="40"/>
                        </w:rPr>
                      </w:pPr>
                      <w:r w:rsidRPr="009B5F61">
                        <w:rPr>
                          <w:color w:val="FFFFFF" w:themeColor="background1"/>
                          <w:sz w:val="40"/>
                          <w:szCs w:val="40"/>
                        </w:rPr>
                        <w:t>C</w:t>
                      </w:r>
                      <w:r w:rsidR="00D80B7E">
                        <w:rPr>
                          <w:color w:val="FFFFFF" w:themeColor="background1"/>
                          <w:sz w:val="40"/>
                          <w:szCs w:val="40"/>
                        </w:rPr>
                        <w:t>ountry Summary Report for Turkey</w:t>
                      </w:r>
                    </w:p>
                  </w:txbxContent>
                </v:textbox>
              </v:rect>
            </w:pict>
          </mc:Fallback>
        </mc:AlternateContent>
      </w:r>
    </w:p>
    <w:p w:rsidR="003A292C" w:rsidRDefault="003A292C" w:rsidP="003A292C"/>
    <w:p w:rsidR="003A292C" w:rsidRPr="00732EAE" w:rsidRDefault="003A292C" w:rsidP="003A292C">
      <w:bookmarkStart w:id="0" w:name="_GoBack"/>
      <w:bookmarkEnd w:id="0"/>
    </w:p>
    <w:p w:rsidR="003A292C" w:rsidRDefault="003A292C" w:rsidP="003A292C">
      <w:pPr>
        <w:pStyle w:val="Header"/>
        <w:rPr>
          <w:color w:val="244061" w:themeColor="accent1" w:themeShade="80"/>
        </w:rPr>
      </w:pPr>
    </w:p>
    <w:p w:rsidR="003A292C" w:rsidRPr="00DE7A18" w:rsidRDefault="003A292C" w:rsidP="003A292C">
      <w:pPr>
        <w:pStyle w:val="Header"/>
        <w:rPr>
          <w:color w:val="4F81BD" w:themeColor="accent1"/>
          <w:sz w:val="24"/>
          <w:szCs w:val="24"/>
        </w:rPr>
      </w:pPr>
      <w:r w:rsidRPr="00DE7A18">
        <w:rPr>
          <w:color w:val="244061" w:themeColor="accent1" w:themeShade="80"/>
          <w:sz w:val="28"/>
          <w:szCs w:val="28"/>
        </w:rPr>
        <w:t xml:space="preserve"> </w:t>
      </w:r>
    </w:p>
    <w:p w:rsidR="003A292C" w:rsidRPr="00F9252B" w:rsidRDefault="003A292C" w:rsidP="003A292C"/>
    <w:p w:rsidR="003A292C" w:rsidRDefault="003A292C" w:rsidP="003A292C"/>
    <w:p w:rsidR="003A292C" w:rsidRDefault="003A292C" w:rsidP="003A292C"/>
    <w:p w:rsidR="003A292C" w:rsidRDefault="003A292C" w:rsidP="003A292C">
      <w:pPr>
        <w:pStyle w:val="Subtitle2"/>
      </w:pPr>
    </w:p>
    <w:p w:rsidR="00E83DD0" w:rsidRDefault="00E83DD0" w:rsidP="003A292C">
      <w:pPr>
        <w:pStyle w:val="Subtitle2"/>
      </w:pPr>
    </w:p>
    <w:p w:rsidR="00E83DD0" w:rsidRDefault="00E83DD0" w:rsidP="003A292C">
      <w:pPr>
        <w:pStyle w:val="Subtitle2"/>
      </w:pPr>
    </w:p>
    <w:p w:rsidR="00E83DD0" w:rsidRDefault="00E83DD0" w:rsidP="003A292C">
      <w:pPr>
        <w:pStyle w:val="Subtitle2"/>
      </w:pPr>
    </w:p>
    <w:p w:rsidR="00E83DD0" w:rsidRDefault="00E83DD0" w:rsidP="003A292C">
      <w:pPr>
        <w:pStyle w:val="Subtitle2"/>
      </w:pPr>
    </w:p>
    <w:p w:rsidR="00E83DD0" w:rsidRDefault="00E83DD0" w:rsidP="003A292C">
      <w:pPr>
        <w:pStyle w:val="Subtitle2"/>
      </w:pPr>
    </w:p>
    <w:p w:rsidR="00E83DD0" w:rsidRDefault="00E83DD0" w:rsidP="003A292C">
      <w:pPr>
        <w:pStyle w:val="Subtitle2"/>
      </w:pPr>
    </w:p>
    <w:p w:rsidR="00E83DD0" w:rsidRDefault="00E83DD0" w:rsidP="003A292C">
      <w:pPr>
        <w:pStyle w:val="Subtitle2"/>
      </w:pPr>
    </w:p>
    <w:p w:rsidR="00E83DD0" w:rsidRDefault="00E83DD0" w:rsidP="003A292C">
      <w:pPr>
        <w:pStyle w:val="Subtitle2"/>
      </w:pPr>
    </w:p>
    <w:p w:rsidR="00E83DD0" w:rsidRDefault="00E83DD0" w:rsidP="003A292C">
      <w:pPr>
        <w:pStyle w:val="Subtitle2"/>
      </w:pPr>
    </w:p>
    <w:p w:rsidR="00E83DD0" w:rsidRDefault="00E83DD0" w:rsidP="003A292C">
      <w:pPr>
        <w:pStyle w:val="Subtitle2"/>
      </w:pPr>
    </w:p>
    <w:p w:rsidR="00E83DD0" w:rsidRDefault="00F20775" w:rsidP="003A292C">
      <w:pPr>
        <w:pStyle w:val="Subtitle2"/>
      </w:pPr>
      <w:proofErr w:type="spellStart"/>
      <w:r>
        <w:t>Meltem</w:t>
      </w:r>
      <w:proofErr w:type="spellEnd"/>
      <w:r>
        <w:t xml:space="preserve"> </w:t>
      </w:r>
      <w:proofErr w:type="spellStart"/>
      <w:r>
        <w:t>Aran</w:t>
      </w:r>
      <w:proofErr w:type="spellEnd"/>
      <w:r>
        <w:t xml:space="preserve"> </w:t>
      </w:r>
      <w:r w:rsidR="00867575">
        <w:t xml:space="preserve">and </w:t>
      </w:r>
      <w:proofErr w:type="spellStart"/>
      <w:r w:rsidR="00867575">
        <w:t>Ece</w:t>
      </w:r>
      <w:proofErr w:type="spellEnd"/>
      <w:r w:rsidR="00867575">
        <w:t xml:space="preserve"> Amber </w:t>
      </w:r>
      <w:proofErr w:type="spellStart"/>
      <w:r w:rsidR="00867575">
        <w:t>Ozcelik</w:t>
      </w:r>
      <w:proofErr w:type="spellEnd"/>
    </w:p>
    <w:p w:rsidR="00E83DD0" w:rsidRDefault="00E83DD0" w:rsidP="003A292C">
      <w:pPr>
        <w:pStyle w:val="Subtitle2"/>
      </w:pPr>
    </w:p>
    <w:p w:rsidR="00F20775" w:rsidRDefault="00F20775" w:rsidP="003A292C">
      <w:pPr>
        <w:pStyle w:val="Subtitle2"/>
      </w:pPr>
    </w:p>
    <w:p w:rsidR="003A292C" w:rsidRPr="008C61B3" w:rsidRDefault="003A292C" w:rsidP="003A292C">
      <w:pPr>
        <w:pStyle w:val="Subtitle2"/>
      </w:pPr>
      <w:r w:rsidRPr="008C61B3">
        <w:t>Health, Nutrition and Population Global Practice</w:t>
      </w:r>
    </w:p>
    <w:p w:rsidR="003A292C" w:rsidRPr="008C61B3" w:rsidRDefault="003A292C" w:rsidP="003A292C">
      <w:pPr>
        <w:pStyle w:val="Subtitle2"/>
      </w:pPr>
      <w:r w:rsidRPr="008C61B3">
        <w:t>World Bank Group Report</w:t>
      </w:r>
    </w:p>
    <w:p w:rsidR="003A292C" w:rsidRPr="008C61B3" w:rsidRDefault="00F20775" w:rsidP="003A292C">
      <w:pPr>
        <w:pStyle w:val="Subtitle2"/>
      </w:pPr>
      <w:r>
        <w:t xml:space="preserve">September </w:t>
      </w:r>
      <w:r w:rsidR="003A292C" w:rsidRPr="008C61B3">
        <w:t>2014</w:t>
      </w:r>
    </w:p>
    <w:p w:rsidR="003A292C" w:rsidRPr="008C61B3" w:rsidRDefault="003A292C" w:rsidP="003A292C">
      <w:pPr>
        <w:pStyle w:val="Subtitle2"/>
        <w:sectPr w:rsidR="003A292C" w:rsidRPr="008C61B3">
          <w:footerReference w:type="default" r:id="rId10"/>
          <w:pgSz w:w="12240" w:h="15840"/>
          <w:pgMar w:top="1440" w:right="1440" w:bottom="1440" w:left="1440" w:header="720" w:footer="720" w:gutter="0"/>
          <w:cols w:space="720"/>
          <w:docGrid w:linePitch="360"/>
        </w:sectPr>
      </w:pPr>
    </w:p>
    <w:p w:rsidR="003A292C" w:rsidRDefault="003A292C" w:rsidP="003A292C"/>
    <w:p w:rsidR="00E109CE" w:rsidRDefault="00E109CE" w:rsidP="0040656D">
      <w:pPr>
        <w:pStyle w:val="Heading1"/>
      </w:pPr>
      <w:r>
        <w:t>Acronyms</w:t>
      </w:r>
    </w:p>
    <w:p w:rsidR="00E109CE" w:rsidRPr="0040656D" w:rsidRDefault="00E109CE" w:rsidP="0040656D">
      <w:r w:rsidRPr="0040656D">
        <w:t>GDP</w:t>
      </w:r>
      <w:r w:rsidRPr="0040656D">
        <w:tab/>
      </w:r>
      <w:r w:rsidRPr="0040656D">
        <w:tab/>
        <w:t>Gross Domestic Product</w:t>
      </w:r>
    </w:p>
    <w:p w:rsidR="00E109CE" w:rsidRPr="0040656D" w:rsidRDefault="00E109CE" w:rsidP="0040656D">
      <w:r w:rsidRPr="0040656D">
        <w:t>GNI</w:t>
      </w:r>
      <w:r w:rsidRPr="0040656D">
        <w:tab/>
      </w:r>
      <w:r w:rsidRPr="0040656D">
        <w:tab/>
        <w:t>Gross National Income</w:t>
      </w:r>
    </w:p>
    <w:p w:rsidR="00E109CE" w:rsidRDefault="00E109CE" w:rsidP="0040656D">
      <w:r w:rsidRPr="0040656D">
        <w:t>HEU</w:t>
      </w:r>
      <w:r w:rsidRPr="0040656D">
        <w:tab/>
      </w:r>
      <w:r w:rsidRPr="0040656D">
        <w:tab/>
        <w:t>Health Economics Unit, Ministry of Health and Family Welfare</w:t>
      </w:r>
    </w:p>
    <w:p w:rsidR="00727E4F" w:rsidRPr="0040656D" w:rsidRDefault="00727E4F" w:rsidP="0040656D">
      <w:r>
        <w:t>HIG</w:t>
      </w:r>
      <w:r>
        <w:tab/>
      </w:r>
      <w:r>
        <w:tab/>
        <w:t>Health Implementation Guide</w:t>
      </w:r>
    </w:p>
    <w:p w:rsidR="00E109CE" w:rsidRDefault="00E109CE" w:rsidP="0040656D">
      <w:r w:rsidRPr="0040656D">
        <w:t>HRH</w:t>
      </w:r>
      <w:r w:rsidRPr="0040656D">
        <w:tab/>
      </w:r>
      <w:r w:rsidRPr="0040656D">
        <w:tab/>
        <w:t>Human Resources for Health</w:t>
      </w:r>
    </w:p>
    <w:p w:rsidR="00C458E4" w:rsidRDefault="00C458E4" w:rsidP="0040656D">
      <w:r>
        <w:t>HTP</w:t>
      </w:r>
      <w:r>
        <w:tab/>
      </w:r>
      <w:r>
        <w:tab/>
        <w:t>Health Transformation Program</w:t>
      </w:r>
    </w:p>
    <w:p w:rsidR="008775B6" w:rsidRPr="0040656D" w:rsidRDefault="008775B6" w:rsidP="0040656D">
      <w:r>
        <w:t>MCH</w:t>
      </w:r>
      <w:r>
        <w:tab/>
      </w:r>
      <w:r>
        <w:tab/>
        <w:t>Maternal and Child Health</w:t>
      </w:r>
    </w:p>
    <w:p w:rsidR="00E109CE" w:rsidRPr="0040656D" w:rsidRDefault="00E109CE" w:rsidP="0040656D">
      <w:r w:rsidRPr="0040656D">
        <w:t>MDG</w:t>
      </w:r>
      <w:r w:rsidRPr="0040656D">
        <w:tab/>
      </w:r>
      <w:r w:rsidRPr="0040656D">
        <w:tab/>
        <w:t>Millennium Development Goals</w:t>
      </w:r>
    </w:p>
    <w:p w:rsidR="00E109CE" w:rsidRPr="0040656D" w:rsidRDefault="00E109CE" w:rsidP="0040656D">
      <w:r w:rsidRPr="0040656D">
        <w:t>NGO</w:t>
      </w:r>
      <w:r w:rsidRPr="0040656D">
        <w:tab/>
      </w:r>
      <w:r w:rsidRPr="0040656D">
        <w:tab/>
        <w:t>Non-governmental organization</w:t>
      </w:r>
    </w:p>
    <w:p w:rsidR="00E109CE" w:rsidRPr="0040656D" w:rsidRDefault="00E109CE" w:rsidP="0040656D">
      <w:r w:rsidRPr="0040656D">
        <w:t>OOP</w:t>
      </w:r>
      <w:r w:rsidRPr="0040656D">
        <w:tab/>
      </w:r>
      <w:r w:rsidRPr="0040656D">
        <w:tab/>
        <w:t>Out of pocket health spending</w:t>
      </w:r>
    </w:p>
    <w:p w:rsidR="00E109CE" w:rsidRDefault="00E109CE" w:rsidP="0040656D">
      <w:r w:rsidRPr="0040656D">
        <w:t>PPP</w:t>
      </w:r>
      <w:r w:rsidRPr="0040656D">
        <w:tab/>
      </w:r>
      <w:r w:rsidRPr="0040656D">
        <w:tab/>
        <w:t>Purchasing power parity</w:t>
      </w:r>
    </w:p>
    <w:p w:rsidR="00C458E4" w:rsidRDefault="00C458E4" w:rsidP="0040656D">
      <w:r>
        <w:t>SSI</w:t>
      </w:r>
      <w:r>
        <w:tab/>
      </w:r>
      <w:r>
        <w:tab/>
        <w:t>Social Security Insurance</w:t>
      </w:r>
    </w:p>
    <w:p w:rsidR="00C458E4" w:rsidRPr="0040656D" w:rsidRDefault="00C458E4" w:rsidP="0040656D">
      <w:r>
        <w:t>SSK</w:t>
      </w:r>
      <w:r>
        <w:tab/>
      </w:r>
      <w:r>
        <w:tab/>
        <w:t>Social Security Insurance for formal sector employees (</w:t>
      </w:r>
      <w:proofErr w:type="spellStart"/>
      <w:r>
        <w:t>Sosyal</w:t>
      </w:r>
      <w:proofErr w:type="spellEnd"/>
      <w:r>
        <w:t xml:space="preserve"> </w:t>
      </w:r>
      <w:proofErr w:type="spellStart"/>
      <w:r>
        <w:t>Sigortalar</w:t>
      </w:r>
      <w:proofErr w:type="spellEnd"/>
      <w:r>
        <w:t xml:space="preserve"> </w:t>
      </w:r>
      <w:proofErr w:type="spellStart"/>
      <w:r>
        <w:t>Kurumu</w:t>
      </w:r>
      <w:proofErr w:type="spellEnd"/>
      <w:r>
        <w:t>)</w:t>
      </w:r>
    </w:p>
    <w:p w:rsidR="00E109CE" w:rsidRPr="0040656D" w:rsidRDefault="00E109CE" w:rsidP="0040656D">
      <w:r w:rsidRPr="0040656D">
        <w:t>THE</w:t>
      </w:r>
      <w:r w:rsidRPr="0040656D">
        <w:tab/>
      </w:r>
      <w:r w:rsidRPr="0040656D">
        <w:tab/>
        <w:t>Total Health Expenditure</w:t>
      </w:r>
    </w:p>
    <w:p w:rsidR="00E109CE" w:rsidRDefault="00E109CE" w:rsidP="0040656D">
      <w:r w:rsidRPr="0040656D">
        <w:t xml:space="preserve">UHC </w:t>
      </w:r>
      <w:r w:rsidRPr="0040656D">
        <w:tab/>
      </w:r>
      <w:r w:rsidRPr="0040656D">
        <w:tab/>
        <w:t>Universal Health Coverage</w:t>
      </w:r>
    </w:p>
    <w:p w:rsidR="00C458E4" w:rsidRPr="0040656D" w:rsidRDefault="00C458E4" w:rsidP="0040656D">
      <w:r>
        <w:t>UHI</w:t>
      </w:r>
      <w:r>
        <w:tab/>
      </w:r>
      <w:r>
        <w:tab/>
        <w:t>Universal Health Insurance</w:t>
      </w:r>
    </w:p>
    <w:p w:rsidR="00E109CE" w:rsidRPr="00D753EE" w:rsidRDefault="00E109CE" w:rsidP="00E109CE">
      <w:pPr>
        <w:rPr>
          <w:lang w:eastAsia="ja-JP"/>
        </w:rPr>
      </w:pPr>
      <w:r w:rsidRPr="00D753EE">
        <w:br w:type="page"/>
      </w:r>
    </w:p>
    <w:p w:rsidR="00E109CE" w:rsidRPr="009E5E77" w:rsidRDefault="00E109CE" w:rsidP="00C458E4">
      <w:pPr>
        <w:pStyle w:val="Heading1"/>
      </w:pPr>
      <w:r w:rsidRPr="009E5E77">
        <w:lastRenderedPageBreak/>
        <w:t>Preface</w:t>
      </w:r>
    </w:p>
    <w:p w:rsidR="00E109CE" w:rsidRDefault="00E109CE" w:rsidP="0040656D">
      <w:pPr>
        <w:pStyle w:val="BodyText0"/>
        <w:jc w:val="both"/>
      </w:pPr>
      <w:r>
        <w:t xml:space="preserve">In 2011, Japan celebrated the </w:t>
      </w:r>
      <w:r w:rsidRPr="00192592">
        <w:t>50</w:t>
      </w:r>
      <w:r w:rsidRPr="00192592">
        <w:rPr>
          <w:vertAlign w:val="superscript"/>
        </w:rPr>
        <w:t>th</w:t>
      </w:r>
      <w:r w:rsidRPr="00192592">
        <w:t xml:space="preserve"> anniversary of achiev</w:t>
      </w:r>
      <w:r>
        <w:t>ing</w:t>
      </w:r>
      <w:r w:rsidRPr="00192592">
        <w:t xml:space="preserve"> </w:t>
      </w:r>
      <w:r w:rsidRPr="00B7398D">
        <w:t xml:space="preserve">universal health coverage </w:t>
      </w:r>
      <w:r>
        <w:t xml:space="preserve">(UHC). To mark the occasion, the government of Japan and the World Bank conceived the idea of undertaking a </w:t>
      </w:r>
      <w:proofErr w:type="spellStart"/>
      <w:r>
        <w:t>multicountry</w:t>
      </w:r>
      <w:proofErr w:type="spellEnd"/>
      <w:r>
        <w:t xml:space="preserve"> study to respond to this growing demand by sharing rich and varied country experiences from countries at different stages of adopting and implementing strategies for UHC, including Japan itself. This led to the formation of a joint Japan–World Bank research team under The </w:t>
      </w:r>
      <w:r w:rsidRPr="00934290">
        <w:t>Japan</w:t>
      </w:r>
      <w:r>
        <w:t>–</w:t>
      </w:r>
      <w:r w:rsidRPr="00934290">
        <w:t xml:space="preserve">World Bank Partnership Program </w:t>
      </w:r>
      <w:r>
        <w:t xml:space="preserve">for </w:t>
      </w:r>
      <w:r w:rsidRPr="00934290">
        <w:t>Universal Health Coverage</w:t>
      </w:r>
      <w:r>
        <w:t xml:space="preserve">. The Program was set up as a two-year </w:t>
      </w:r>
      <w:proofErr w:type="spellStart"/>
      <w:r>
        <w:t>multicountry</w:t>
      </w:r>
      <w:proofErr w:type="spellEnd"/>
      <w:r>
        <w:t xml:space="preserve"> study to help fill the gap in knowledge about the policy decisions and implementation processes that countries undertake when they adopt the UHC goals. The Program was funded through the generous support of the Government of Japan. </w:t>
      </w:r>
    </w:p>
    <w:p w:rsidR="00E109CE" w:rsidRDefault="00E109CE" w:rsidP="0040656D">
      <w:pPr>
        <w:pStyle w:val="BodyText0"/>
        <w:jc w:val="both"/>
        <w:rPr>
          <w:color w:val="1F497D" w:themeColor="text2"/>
        </w:rPr>
      </w:pPr>
      <w:r>
        <w:t>This C</w:t>
      </w:r>
      <w:r w:rsidRPr="009E5E77">
        <w:t xml:space="preserve">ountry </w:t>
      </w:r>
      <w:r>
        <w:t xml:space="preserve">Summary Report on Turkey is one of the </w:t>
      </w:r>
      <w:r w:rsidRPr="009E5E77">
        <w:t xml:space="preserve">11 country studies on </w:t>
      </w:r>
      <w:r>
        <w:t xml:space="preserve">UHC that was commissioned under the Japan–World Bank Partnership Program. The other participating countries are </w:t>
      </w:r>
      <w:r w:rsidRPr="009E5E77">
        <w:t xml:space="preserve">Bangladesh, Brazil, Ethiopia, France, Ghana, </w:t>
      </w:r>
      <w:r w:rsidRPr="00073A95">
        <w:t>Indonesia</w:t>
      </w:r>
      <w:r>
        <w:t>,</w:t>
      </w:r>
      <w:r w:rsidRPr="00073A95">
        <w:t xml:space="preserve"> </w:t>
      </w:r>
      <w:r w:rsidRPr="009E5E77">
        <w:t>Japan, Peru, Thailand, and Vietnam.</w:t>
      </w:r>
      <w:r>
        <w:t xml:space="preserve"> A synthesis of these country reports is in the publication “Universal Health Coverage for Inclusive and Sustainable Development: A Synthesis of 11 Country Case Studies,” available at</w:t>
      </w:r>
      <w:r w:rsidRPr="004072CC">
        <w:rPr>
          <w:color w:val="1F497D" w:themeColor="text2"/>
        </w:rPr>
        <w:t>:</w:t>
      </w:r>
    </w:p>
    <w:p w:rsidR="00E109CE" w:rsidRDefault="00E109CE" w:rsidP="0040656D">
      <w:pPr>
        <w:pStyle w:val="BodyText0"/>
        <w:jc w:val="both"/>
      </w:pPr>
      <w:r w:rsidRPr="00AE7836">
        <w:t>http://www.worldbank.org/en/topic/health/brief/uhc-japan.</w:t>
      </w:r>
      <w:r>
        <w:t xml:space="preserve"> </w:t>
      </w:r>
    </w:p>
    <w:p w:rsidR="00E109CE" w:rsidRDefault="00E109CE" w:rsidP="0040656D">
      <w:pPr>
        <w:pStyle w:val="BodyText0"/>
        <w:jc w:val="both"/>
      </w:pPr>
      <w:r>
        <w:t xml:space="preserve">These reports are intended to provide an overview of the country experiences and some key </w:t>
      </w:r>
      <w:r w:rsidRPr="009E5E77">
        <w:t xml:space="preserve">lessons that </w:t>
      </w:r>
      <w:r>
        <w:t xml:space="preserve">may </w:t>
      </w:r>
      <w:r w:rsidRPr="009E5E77">
        <w:t xml:space="preserve">be </w:t>
      </w:r>
      <w:r>
        <w:t xml:space="preserve">shared with other countries </w:t>
      </w:r>
      <w:r w:rsidRPr="009E5E77">
        <w:t>aspiring to a</w:t>
      </w:r>
      <w:r>
        <w:t>dopt, achieve, and sustain UHC</w:t>
      </w:r>
      <w:r w:rsidRPr="009E5E77">
        <w:t>.</w:t>
      </w:r>
      <w:r>
        <w:t xml:space="preserve"> </w:t>
      </w:r>
      <w:r w:rsidRPr="009E5E77">
        <w:t>The goals of UHC are to ensure that all people can access quality health services, to safeguard all people from public health risks, and to protect all people from impoverishment due to illness</w:t>
      </w:r>
      <w:r>
        <w:t xml:space="preserve">, </w:t>
      </w:r>
      <w:r w:rsidRPr="009E5E77">
        <w:t>whether from out-of-pocket payments or loss of income when a household member falls sick.</w:t>
      </w:r>
      <w:r>
        <w:t xml:space="preserve"> </w:t>
      </w:r>
      <w:r w:rsidRPr="009E5E77">
        <w:t xml:space="preserve">Although the path to UHC is specific to each country, </w:t>
      </w:r>
      <w:r>
        <w:t xml:space="preserve">it is hoped that </w:t>
      </w:r>
      <w:r w:rsidRPr="009E5E77">
        <w:t xml:space="preserve">countries can benefit from the experiences of others </w:t>
      </w:r>
      <w:r>
        <w:t xml:space="preserve">in </w:t>
      </w:r>
      <w:r w:rsidRPr="009E5E77">
        <w:t xml:space="preserve">learning about different approaches </w:t>
      </w:r>
      <w:r>
        <w:t xml:space="preserve">and </w:t>
      </w:r>
      <w:r w:rsidRPr="009E5E77">
        <w:t xml:space="preserve">avoiding potential risks. </w:t>
      </w:r>
    </w:p>
    <w:p w:rsidR="00E109CE" w:rsidRDefault="00E109CE" w:rsidP="00E109CE">
      <w:r>
        <w:br w:type="page"/>
      </w:r>
    </w:p>
    <w:p w:rsidR="00E109CE" w:rsidRPr="009E5E77" w:rsidRDefault="00E109CE" w:rsidP="00E109CE">
      <w:pPr>
        <w:pStyle w:val="Heading1"/>
      </w:pPr>
      <w:r w:rsidRPr="009E5E77">
        <w:lastRenderedPageBreak/>
        <w:t>Acknowledgments</w:t>
      </w:r>
    </w:p>
    <w:p w:rsidR="00E109CE" w:rsidRDefault="00E109CE" w:rsidP="000E65CE">
      <w:pPr>
        <w:jc w:val="both"/>
      </w:pPr>
      <w:r>
        <w:t xml:space="preserve">This study was supported through the PHRD Grant (Japan) as a joint Partnership Program between the government of Japan and the World Bank. The Program was steered by the Program Coordination Committee, co-chaired by </w:t>
      </w:r>
      <w:proofErr w:type="spellStart"/>
      <w:r>
        <w:t>Keizo</w:t>
      </w:r>
      <w:proofErr w:type="spellEnd"/>
      <w:r>
        <w:t xml:space="preserve"> </w:t>
      </w:r>
      <w:proofErr w:type="spellStart"/>
      <w:r>
        <w:t>Takemi</w:t>
      </w:r>
      <w:proofErr w:type="spellEnd"/>
      <w:r>
        <w:t xml:space="preserve">, Member of the House of Councilors of the National Diet of Japan, and Timothy Grant Evans, Director of Health, Nutrition and Population Network of the World Bank. </w:t>
      </w:r>
    </w:p>
    <w:p w:rsidR="00E109CE" w:rsidRDefault="00E109CE" w:rsidP="000E65CE">
      <w:pPr>
        <w:jc w:val="both"/>
      </w:pPr>
      <w:r>
        <w:t xml:space="preserve">The Program was led by a team comprising Akiko Maeda, Lead Health Specialist and Task Team Leader for the World Bank, and co-Team Leaders, Professor Naoki Ikegami, Department of Health Policy and Management, Keio University School of Medicine and Professor Michael Reich, Taro </w:t>
      </w:r>
      <w:proofErr w:type="spellStart"/>
      <w:r>
        <w:t>Takemi</w:t>
      </w:r>
      <w:proofErr w:type="spellEnd"/>
      <w:r>
        <w:t xml:space="preserve"> Professor of International Health Policy, Harvard School of Public Health.</w:t>
      </w:r>
    </w:p>
    <w:p w:rsidR="00E109CE" w:rsidRDefault="00E109CE" w:rsidP="000E65CE">
      <w:pPr>
        <w:jc w:val="both"/>
      </w:pPr>
      <w:r>
        <w:t xml:space="preserve">This Country Summary Report was prepared by </w:t>
      </w:r>
      <w:proofErr w:type="spellStart"/>
      <w:r>
        <w:t>Meltem</w:t>
      </w:r>
      <w:proofErr w:type="spellEnd"/>
      <w:r>
        <w:t xml:space="preserve"> </w:t>
      </w:r>
      <w:proofErr w:type="spellStart"/>
      <w:r>
        <w:t>Aran</w:t>
      </w:r>
      <w:proofErr w:type="spellEnd"/>
      <w:r>
        <w:t xml:space="preserve">, Development Analytics, and </w:t>
      </w:r>
      <w:proofErr w:type="spellStart"/>
      <w:r>
        <w:t>Ece</w:t>
      </w:r>
      <w:proofErr w:type="spellEnd"/>
      <w:r>
        <w:t xml:space="preserve"> Amber </w:t>
      </w:r>
      <w:proofErr w:type="spellStart"/>
      <w:r>
        <w:t>Ozcelik</w:t>
      </w:r>
      <w:proofErr w:type="spellEnd"/>
      <w:r>
        <w:t xml:space="preserve">, World Bank Group. The authors would like to acknowledge guidance received from Claudia </w:t>
      </w:r>
      <w:proofErr w:type="spellStart"/>
      <w:r>
        <w:t>Rokx</w:t>
      </w:r>
      <w:proofErr w:type="spellEnd"/>
      <w:r>
        <w:t xml:space="preserve">, Lead Health Specialist, </w:t>
      </w:r>
      <w:r w:rsidR="00F20775">
        <w:t xml:space="preserve">and </w:t>
      </w:r>
      <w:proofErr w:type="spellStart"/>
      <w:r w:rsidR="00F20775">
        <w:t>Rekha</w:t>
      </w:r>
      <w:proofErr w:type="spellEnd"/>
      <w:r w:rsidR="00F20775">
        <w:t xml:space="preserve"> Menon, Lead Economist, </w:t>
      </w:r>
      <w:r>
        <w:t xml:space="preserve">World Bank Group. </w:t>
      </w:r>
    </w:p>
    <w:p w:rsidR="003A292C" w:rsidRDefault="00E109CE" w:rsidP="000E65CE">
      <w:pPr>
        <w:jc w:val="both"/>
      </w:pPr>
      <w:r>
        <w:t>The report was edited by Jonathan Aspin.</w:t>
      </w:r>
    </w:p>
    <w:p w:rsidR="003A292C" w:rsidRDefault="003A292C" w:rsidP="000E65CE">
      <w:pPr>
        <w:jc w:val="both"/>
      </w:pPr>
    </w:p>
    <w:p w:rsidR="0040656D" w:rsidRPr="00AB5522" w:rsidRDefault="0040656D" w:rsidP="000E65CE">
      <w:pPr>
        <w:jc w:val="both"/>
      </w:pPr>
      <w:r w:rsidRPr="00490D8A">
        <w:rPr>
          <w:rFonts w:cs="Arial"/>
          <w:b/>
          <w:bCs/>
          <w:color w:val="000000" w:themeColor="text1"/>
          <w:szCs w:val="24"/>
        </w:rPr>
        <w:t>Disclaimer</w:t>
      </w:r>
      <w:r w:rsidRPr="00490D8A">
        <w:rPr>
          <w:color w:val="000000" w:themeColor="text1"/>
        </w:rPr>
        <w:t xml:space="preserve">:  </w:t>
      </w:r>
      <w:r w:rsidRPr="00AB5522">
        <w:t xml:space="preserve">The findings, interpretations </w:t>
      </w:r>
      <w:r>
        <w:t>and conclusions expressed in this work</w:t>
      </w:r>
      <w:r w:rsidRPr="00AB5522">
        <w:t xml:space="preserve"> are entirely those of the authors, and do not </w:t>
      </w:r>
      <w:r>
        <w:t>necessarily reflect the views of The World Bank Group, its Board of Executive Directors, or the governments they represent.</w:t>
      </w:r>
    </w:p>
    <w:p w:rsidR="003A292C" w:rsidRDefault="003A292C" w:rsidP="000E65CE">
      <w:pPr>
        <w:jc w:val="both"/>
      </w:pPr>
    </w:p>
    <w:p w:rsidR="003A292C" w:rsidRDefault="003A292C" w:rsidP="000E65CE">
      <w:pPr>
        <w:pStyle w:val="BodyText0"/>
        <w:jc w:val="both"/>
      </w:pPr>
    </w:p>
    <w:p w:rsidR="003A292C" w:rsidRDefault="003A292C" w:rsidP="00E109CE">
      <w:pPr>
        <w:pStyle w:val="BodyText0"/>
        <w:sectPr w:rsidR="003A292C" w:rsidSect="00E83DD0">
          <w:footerReference w:type="default" r:id="rId11"/>
          <w:pgSz w:w="12240" w:h="15840"/>
          <w:pgMar w:top="1440" w:right="1440" w:bottom="1440" w:left="1440" w:header="720" w:footer="720" w:gutter="0"/>
          <w:pgNumType w:fmt="lowerRoman" w:start="1"/>
          <w:cols w:space="720"/>
          <w:docGrid w:linePitch="360"/>
        </w:sectPr>
      </w:pPr>
    </w:p>
    <w:p w:rsidR="00E109CE" w:rsidRPr="00651694" w:rsidRDefault="00E109CE" w:rsidP="0040656D">
      <w:pPr>
        <w:pStyle w:val="Subtitle2"/>
      </w:pPr>
      <w:r w:rsidRPr="00651694">
        <w:lastRenderedPageBreak/>
        <w:t>Country Summary Report for Turkey</w:t>
      </w:r>
    </w:p>
    <w:p w:rsidR="00E109CE" w:rsidRPr="000C60E4" w:rsidRDefault="00E109CE" w:rsidP="0040656D">
      <w:pPr>
        <w:pStyle w:val="Heading1"/>
      </w:pPr>
      <w:r w:rsidRPr="000C60E4">
        <w:t>Overview</w:t>
      </w:r>
    </w:p>
    <w:p w:rsidR="00E109CE" w:rsidRPr="000C60E4" w:rsidRDefault="00E109CE" w:rsidP="0040656D">
      <w:pPr>
        <w:pStyle w:val="BodyText0"/>
        <w:jc w:val="both"/>
      </w:pPr>
      <w:r w:rsidRPr="000C60E4">
        <w:t xml:space="preserve">Turkey is an upper middle-income country that has seen rapid economic growth and development over the last decade. In a relatively short period, </w:t>
      </w:r>
      <w:r>
        <w:t xml:space="preserve">it </w:t>
      </w:r>
      <w:r w:rsidRPr="000C60E4">
        <w:t xml:space="preserve">has essentially achieved universal health insurance (UHI) coverage of the population, high levels of financial protection and equity, and high and rising levels of consumer satisfaction, while significantly improving health outcomes. </w:t>
      </w:r>
      <w:r>
        <w:t>The universal health coverage (</w:t>
      </w:r>
      <w:r w:rsidRPr="000C60E4">
        <w:t>UHC</w:t>
      </w:r>
      <w:r>
        <w:t>)</w:t>
      </w:r>
      <w:r w:rsidRPr="000C60E4">
        <w:t xml:space="preserve"> strategy, embedded in its Health Transformation Program (HTP), was initiated in 2003 to improve the effectiveness of the health system through improved governance, efficiency, and user and provider satisfaction.</w:t>
      </w:r>
    </w:p>
    <w:p w:rsidR="00E109CE" w:rsidRPr="000C60E4" w:rsidRDefault="00E109CE" w:rsidP="0040656D">
      <w:pPr>
        <w:pStyle w:val="Caption"/>
      </w:pPr>
      <w:proofErr w:type="gramStart"/>
      <w:r>
        <w:t>Table 1.</w:t>
      </w:r>
      <w:proofErr w:type="gramEnd"/>
      <w:r w:rsidRPr="000C60E4">
        <w:t xml:space="preserve"> Turkey at a glance </w:t>
      </w:r>
    </w:p>
    <w:tbl>
      <w:tblPr>
        <w:tblStyle w:val="TableGrid"/>
        <w:tblW w:w="9598" w:type="dxa"/>
        <w:tblLook w:val="04A0" w:firstRow="1" w:lastRow="0" w:firstColumn="1" w:lastColumn="0" w:noHBand="0" w:noVBand="1"/>
      </w:tblPr>
      <w:tblGrid>
        <w:gridCol w:w="7308"/>
        <w:gridCol w:w="2290"/>
      </w:tblGrid>
      <w:tr w:rsidR="00E109CE" w:rsidRPr="00C03A98" w:rsidTr="0040656D">
        <w:tc>
          <w:tcPr>
            <w:tcW w:w="7308" w:type="dxa"/>
          </w:tcPr>
          <w:p w:rsidR="00E109CE" w:rsidRPr="0040656D" w:rsidRDefault="00E109CE" w:rsidP="0040656D">
            <w:pPr>
              <w:rPr>
                <w:sz w:val="22"/>
                <w:szCs w:val="22"/>
              </w:rPr>
            </w:pPr>
            <w:r w:rsidRPr="0040656D">
              <w:rPr>
                <w:sz w:val="22"/>
                <w:szCs w:val="22"/>
              </w:rPr>
              <w:t>Population</w:t>
            </w:r>
          </w:p>
        </w:tc>
        <w:tc>
          <w:tcPr>
            <w:tcW w:w="2290" w:type="dxa"/>
          </w:tcPr>
          <w:p w:rsidR="00E109CE" w:rsidRPr="0040656D" w:rsidRDefault="00E109CE" w:rsidP="0040656D">
            <w:pPr>
              <w:rPr>
                <w:sz w:val="22"/>
                <w:szCs w:val="22"/>
              </w:rPr>
            </w:pPr>
            <w:r w:rsidRPr="0040656D">
              <w:rPr>
                <w:sz w:val="22"/>
                <w:szCs w:val="22"/>
              </w:rPr>
              <w:t>74,724,</w:t>
            </w:r>
            <w:r w:rsidR="0040656D">
              <w:rPr>
                <w:sz w:val="22"/>
                <w:szCs w:val="22"/>
              </w:rPr>
              <w:t>269</w:t>
            </w:r>
            <w:r w:rsidRPr="0040656D">
              <w:rPr>
                <w:sz w:val="22"/>
                <w:szCs w:val="22"/>
              </w:rPr>
              <w:t>* (2011)</w:t>
            </w:r>
          </w:p>
        </w:tc>
      </w:tr>
      <w:tr w:rsidR="00E109CE" w:rsidRPr="00C03A98" w:rsidTr="0040656D">
        <w:tc>
          <w:tcPr>
            <w:tcW w:w="7308" w:type="dxa"/>
          </w:tcPr>
          <w:p w:rsidR="00E109CE" w:rsidRPr="0040656D" w:rsidRDefault="00E109CE" w:rsidP="0040656D">
            <w:pPr>
              <w:rPr>
                <w:sz w:val="22"/>
                <w:szCs w:val="22"/>
              </w:rPr>
            </w:pPr>
            <w:r w:rsidRPr="0040656D">
              <w:rPr>
                <w:sz w:val="22"/>
                <w:szCs w:val="22"/>
              </w:rPr>
              <w:t>Gross domestic product (GDP; current US$)</w:t>
            </w:r>
          </w:p>
        </w:tc>
        <w:tc>
          <w:tcPr>
            <w:tcW w:w="2290" w:type="dxa"/>
          </w:tcPr>
          <w:p w:rsidR="00E109CE" w:rsidRPr="0040656D" w:rsidRDefault="0040656D" w:rsidP="0040656D">
            <w:pPr>
              <w:rPr>
                <w:sz w:val="22"/>
                <w:szCs w:val="22"/>
              </w:rPr>
            </w:pPr>
            <w:r>
              <w:rPr>
                <w:sz w:val="22"/>
                <w:szCs w:val="22"/>
              </w:rPr>
              <w:t>$775.0 billion</w:t>
            </w:r>
            <w:r w:rsidR="00E109CE" w:rsidRPr="0040656D">
              <w:rPr>
                <w:sz w:val="22"/>
                <w:szCs w:val="22"/>
              </w:rPr>
              <w:t>** (2011)</w:t>
            </w:r>
          </w:p>
        </w:tc>
      </w:tr>
      <w:tr w:rsidR="00E109CE" w:rsidRPr="00C03A98" w:rsidTr="0040656D">
        <w:tc>
          <w:tcPr>
            <w:tcW w:w="7308" w:type="dxa"/>
          </w:tcPr>
          <w:p w:rsidR="00E109CE" w:rsidRPr="0040656D" w:rsidRDefault="00E109CE" w:rsidP="0040656D">
            <w:pPr>
              <w:rPr>
                <w:sz w:val="22"/>
                <w:szCs w:val="22"/>
              </w:rPr>
            </w:pPr>
            <w:r w:rsidRPr="0040656D">
              <w:rPr>
                <w:sz w:val="22"/>
                <w:szCs w:val="22"/>
              </w:rPr>
              <w:t>Gross national income per capita in purchasing power parity (current international $)</w:t>
            </w:r>
          </w:p>
        </w:tc>
        <w:tc>
          <w:tcPr>
            <w:tcW w:w="2290" w:type="dxa"/>
          </w:tcPr>
          <w:p w:rsidR="00E109CE" w:rsidRPr="0040656D" w:rsidRDefault="00E109CE" w:rsidP="0040656D">
            <w:pPr>
              <w:rPr>
                <w:sz w:val="22"/>
                <w:szCs w:val="22"/>
              </w:rPr>
            </w:pPr>
            <w:r w:rsidRPr="0040656D">
              <w:rPr>
                <w:sz w:val="22"/>
                <w:szCs w:val="22"/>
              </w:rPr>
              <w:t>16,940 ** (2011)</w:t>
            </w:r>
          </w:p>
        </w:tc>
      </w:tr>
      <w:tr w:rsidR="00E109CE" w:rsidRPr="00C03A98" w:rsidTr="0040656D">
        <w:tc>
          <w:tcPr>
            <w:tcW w:w="7308" w:type="dxa"/>
          </w:tcPr>
          <w:p w:rsidR="00E109CE" w:rsidRPr="0040656D" w:rsidRDefault="00E109CE" w:rsidP="0040656D">
            <w:pPr>
              <w:rPr>
                <w:sz w:val="22"/>
                <w:szCs w:val="22"/>
              </w:rPr>
            </w:pPr>
            <w:r w:rsidRPr="0040656D">
              <w:rPr>
                <w:sz w:val="22"/>
                <w:szCs w:val="22"/>
              </w:rPr>
              <w:t xml:space="preserve">Total health expenditures (THE) as % of GDP </w:t>
            </w:r>
          </w:p>
        </w:tc>
        <w:tc>
          <w:tcPr>
            <w:tcW w:w="2290" w:type="dxa"/>
          </w:tcPr>
          <w:p w:rsidR="00E109CE" w:rsidRPr="0040656D" w:rsidRDefault="0040656D" w:rsidP="0040656D">
            <w:pPr>
              <w:rPr>
                <w:sz w:val="22"/>
                <w:szCs w:val="22"/>
              </w:rPr>
            </w:pPr>
            <w:r>
              <w:rPr>
                <w:sz w:val="22"/>
                <w:szCs w:val="22"/>
              </w:rPr>
              <w:t>6.74</w:t>
            </w:r>
            <w:r w:rsidR="00E109CE" w:rsidRPr="0040656D">
              <w:rPr>
                <w:sz w:val="22"/>
                <w:szCs w:val="22"/>
              </w:rPr>
              <w:t>** (2010)</w:t>
            </w:r>
          </w:p>
        </w:tc>
      </w:tr>
      <w:tr w:rsidR="00E109CE" w:rsidRPr="00C03A98" w:rsidTr="0040656D">
        <w:tc>
          <w:tcPr>
            <w:tcW w:w="7308" w:type="dxa"/>
          </w:tcPr>
          <w:p w:rsidR="00E109CE" w:rsidRPr="0040656D" w:rsidRDefault="00E109CE" w:rsidP="0040656D">
            <w:pPr>
              <w:rPr>
                <w:sz w:val="22"/>
                <w:szCs w:val="22"/>
              </w:rPr>
            </w:pPr>
            <w:r w:rsidRPr="0040656D">
              <w:rPr>
                <w:sz w:val="22"/>
                <w:szCs w:val="22"/>
              </w:rPr>
              <w:t>THE per capita (current US$)</w:t>
            </w:r>
          </w:p>
        </w:tc>
        <w:tc>
          <w:tcPr>
            <w:tcW w:w="2290" w:type="dxa"/>
          </w:tcPr>
          <w:p w:rsidR="00E109CE" w:rsidRPr="0040656D" w:rsidRDefault="0040656D" w:rsidP="0040656D">
            <w:pPr>
              <w:rPr>
                <w:sz w:val="22"/>
                <w:szCs w:val="22"/>
              </w:rPr>
            </w:pPr>
            <w:r>
              <w:rPr>
                <w:sz w:val="22"/>
                <w:szCs w:val="22"/>
              </w:rPr>
              <w:t>678</w:t>
            </w:r>
            <w:r w:rsidR="00E109CE" w:rsidRPr="0040656D">
              <w:rPr>
                <w:sz w:val="22"/>
                <w:szCs w:val="22"/>
              </w:rPr>
              <w:t>** (2010)</w:t>
            </w:r>
          </w:p>
        </w:tc>
      </w:tr>
      <w:tr w:rsidR="00E109CE" w:rsidRPr="00C03A98" w:rsidTr="0040656D">
        <w:tc>
          <w:tcPr>
            <w:tcW w:w="7308" w:type="dxa"/>
          </w:tcPr>
          <w:p w:rsidR="00E109CE" w:rsidRPr="0040656D" w:rsidRDefault="00E109CE" w:rsidP="0040656D">
            <w:pPr>
              <w:rPr>
                <w:sz w:val="22"/>
                <w:szCs w:val="22"/>
              </w:rPr>
            </w:pPr>
            <w:r w:rsidRPr="0040656D">
              <w:rPr>
                <w:sz w:val="22"/>
                <w:szCs w:val="22"/>
              </w:rPr>
              <w:t xml:space="preserve">Public health spending as share of total health spending (%) </w:t>
            </w:r>
          </w:p>
        </w:tc>
        <w:tc>
          <w:tcPr>
            <w:tcW w:w="2290" w:type="dxa"/>
          </w:tcPr>
          <w:p w:rsidR="00E109CE" w:rsidRPr="0040656D" w:rsidRDefault="00E109CE" w:rsidP="0040656D">
            <w:pPr>
              <w:rPr>
                <w:sz w:val="22"/>
                <w:szCs w:val="22"/>
              </w:rPr>
            </w:pPr>
            <w:r w:rsidRPr="0040656D">
              <w:rPr>
                <w:sz w:val="22"/>
                <w:szCs w:val="22"/>
              </w:rPr>
              <w:t>75.2** (2010)</w:t>
            </w:r>
          </w:p>
        </w:tc>
      </w:tr>
      <w:tr w:rsidR="00E109CE" w:rsidRPr="00C03A98" w:rsidTr="0040656D">
        <w:tc>
          <w:tcPr>
            <w:tcW w:w="7308" w:type="dxa"/>
          </w:tcPr>
          <w:p w:rsidR="00E109CE" w:rsidRPr="0040656D" w:rsidRDefault="00E109CE" w:rsidP="0040656D">
            <w:pPr>
              <w:rPr>
                <w:sz w:val="22"/>
                <w:szCs w:val="22"/>
              </w:rPr>
            </w:pPr>
            <w:r w:rsidRPr="0040656D">
              <w:rPr>
                <w:sz w:val="22"/>
                <w:szCs w:val="22"/>
              </w:rPr>
              <w:t>Life expectancy at birth, total (years)</w:t>
            </w:r>
          </w:p>
        </w:tc>
        <w:tc>
          <w:tcPr>
            <w:tcW w:w="2290" w:type="dxa"/>
          </w:tcPr>
          <w:p w:rsidR="00E109CE" w:rsidRPr="0040656D" w:rsidRDefault="00E109CE" w:rsidP="0040656D">
            <w:pPr>
              <w:rPr>
                <w:sz w:val="22"/>
                <w:szCs w:val="22"/>
              </w:rPr>
            </w:pPr>
            <w:r w:rsidRPr="0040656D">
              <w:rPr>
                <w:sz w:val="22"/>
                <w:szCs w:val="22"/>
              </w:rPr>
              <w:t>73.94*** (2010)</w:t>
            </w:r>
          </w:p>
        </w:tc>
      </w:tr>
      <w:tr w:rsidR="00E109CE" w:rsidRPr="00C03A98" w:rsidTr="0040656D">
        <w:tc>
          <w:tcPr>
            <w:tcW w:w="7308" w:type="dxa"/>
          </w:tcPr>
          <w:p w:rsidR="00E109CE" w:rsidRPr="0040656D" w:rsidRDefault="00E109CE" w:rsidP="0040656D">
            <w:pPr>
              <w:rPr>
                <w:sz w:val="22"/>
                <w:szCs w:val="22"/>
              </w:rPr>
            </w:pPr>
            <w:r w:rsidRPr="0040656D">
              <w:rPr>
                <w:sz w:val="22"/>
                <w:szCs w:val="22"/>
              </w:rPr>
              <w:t>Hospital beds (per 1,000 population)</w:t>
            </w:r>
          </w:p>
        </w:tc>
        <w:tc>
          <w:tcPr>
            <w:tcW w:w="2290" w:type="dxa"/>
          </w:tcPr>
          <w:p w:rsidR="00E109CE" w:rsidRPr="0040656D" w:rsidRDefault="00E109CE" w:rsidP="0040656D">
            <w:pPr>
              <w:rPr>
                <w:sz w:val="22"/>
                <w:szCs w:val="22"/>
              </w:rPr>
            </w:pPr>
            <w:r w:rsidRPr="0040656D">
              <w:rPr>
                <w:sz w:val="22"/>
                <w:szCs w:val="22"/>
              </w:rPr>
              <w:t>2.6**** (2011)</w:t>
            </w:r>
          </w:p>
        </w:tc>
      </w:tr>
    </w:tbl>
    <w:p w:rsidR="00E109CE" w:rsidRPr="00C03A98" w:rsidRDefault="00E109CE" w:rsidP="00382444">
      <w:pPr>
        <w:pStyle w:val="Source"/>
      </w:pPr>
      <w:r w:rsidRPr="00C03A98">
        <w:t>Source</w:t>
      </w:r>
      <w:r w:rsidR="0040656D">
        <w:t>s</w:t>
      </w:r>
      <w:r w:rsidRPr="00C03A98">
        <w:t xml:space="preserve">: * </w:t>
      </w:r>
      <w:proofErr w:type="spellStart"/>
      <w:r w:rsidRPr="00C03A98">
        <w:t>TurkStat</w:t>
      </w:r>
      <w:proofErr w:type="spellEnd"/>
      <w:proofErr w:type="gramStart"/>
      <w:r w:rsidRPr="00C03A98">
        <w:t xml:space="preserve">, </w:t>
      </w:r>
      <w:r w:rsidR="0040656D">
        <w:t xml:space="preserve"> </w:t>
      </w:r>
      <w:r w:rsidRPr="00C03A98">
        <w:t>*</w:t>
      </w:r>
      <w:proofErr w:type="gramEnd"/>
      <w:r w:rsidRPr="00C03A98">
        <w:t xml:space="preserve">* World Bank, ***OECD Health Data 2012,**** </w:t>
      </w:r>
      <w:r w:rsidRPr="00C03A98">
        <w:rPr>
          <w:i/>
        </w:rPr>
        <w:t>Health Statistics Yearbook 2011</w:t>
      </w:r>
      <w:r w:rsidRPr="00C03A98">
        <w:t>.</w:t>
      </w:r>
    </w:p>
    <w:p w:rsidR="00E109CE" w:rsidRPr="000C60E4" w:rsidRDefault="00E109CE" w:rsidP="00E109CE"/>
    <w:p w:rsidR="00382444" w:rsidRDefault="00382444" w:rsidP="00E109CE"/>
    <w:p w:rsidR="00E109CE" w:rsidRPr="000C60E4" w:rsidRDefault="00E109CE" w:rsidP="00382444">
      <w:pPr>
        <w:pStyle w:val="Heading1"/>
      </w:pPr>
      <w:r w:rsidRPr="000C60E4">
        <w:t>PART I.</w:t>
      </w:r>
      <w:r w:rsidRPr="000C60E4">
        <w:tab/>
        <w:t>UNIVERSAL COVERAGE—STATUS AND SEQUENCING</w:t>
      </w:r>
    </w:p>
    <w:p w:rsidR="00E109CE" w:rsidRPr="000C60E4" w:rsidRDefault="00E109CE" w:rsidP="00382444">
      <w:pPr>
        <w:pStyle w:val="Heading2"/>
      </w:pPr>
      <w:r w:rsidRPr="000C60E4">
        <w:t>A.</w:t>
      </w:r>
      <w:r w:rsidRPr="000C60E4">
        <w:tab/>
        <w:t>Overview of current status</w:t>
      </w:r>
    </w:p>
    <w:p w:rsidR="00E109CE" w:rsidRPr="009E1855" w:rsidRDefault="00E109CE" w:rsidP="00382444">
      <w:pPr>
        <w:pStyle w:val="Heading3"/>
      </w:pPr>
      <w:r w:rsidRPr="009E1855">
        <w:t>1.</w:t>
      </w:r>
      <w:r w:rsidRPr="009E1855">
        <w:tab/>
        <w:t xml:space="preserve">Legal and statutory basis </w:t>
      </w:r>
    </w:p>
    <w:p w:rsidR="00E109CE" w:rsidRPr="000C60E4" w:rsidRDefault="00E109CE" w:rsidP="00382444">
      <w:pPr>
        <w:pStyle w:val="BodyText0"/>
        <w:jc w:val="both"/>
      </w:pPr>
      <w:r w:rsidRPr="000C60E4">
        <w:t>The 60</w:t>
      </w:r>
      <w:r w:rsidRPr="000C60E4">
        <w:rPr>
          <w:vertAlign w:val="superscript"/>
        </w:rPr>
        <w:t>th</w:t>
      </w:r>
      <w:r w:rsidRPr="000C60E4">
        <w:t xml:space="preserve"> article of the 1982 Constitution states that “everyone has a right to social security, and the state shall take the necessary measures and establish the necessary measures and organization to provide this security</w:t>
      </w:r>
      <w:proofErr w:type="gramStart"/>
      <w:r w:rsidRPr="000C60E4">
        <w:t>”(</w:t>
      </w:r>
      <w:proofErr w:type="gramEnd"/>
      <w:r>
        <w:t>MOH</w:t>
      </w:r>
      <w:r w:rsidRPr="000C60E4">
        <w:t xml:space="preserve"> 2011</w:t>
      </w:r>
      <w:r>
        <w:t>a</w:t>
      </w:r>
      <w:r w:rsidRPr="000C60E4">
        <w:t>). Social Security Institution Law No</w:t>
      </w:r>
      <w:r>
        <w:t>.</w:t>
      </w:r>
      <w:r w:rsidRPr="000C60E4">
        <w:t xml:space="preserve"> 5502 dated May 16, 2006 </w:t>
      </w:r>
      <w:r>
        <w:t xml:space="preserve">guarantees </w:t>
      </w:r>
      <w:r w:rsidRPr="000C60E4">
        <w:t>that all Turkish citizens receive primary health care services free of charge irrespective of insurance status. The Social Insurance and Universal Health Insurance Law No</w:t>
      </w:r>
      <w:r>
        <w:t>.</w:t>
      </w:r>
      <w:r w:rsidRPr="000C60E4">
        <w:t xml:space="preserve"> 5510 of May 31, 2006 (Law No</w:t>
      </w:r>
      <w:r>
        <w:t>.</w:t>
      </w:r>
      <w:r w:rsidRPr="000C60E4">
        <w:t xml:space="preserve"> 5510) defines population groups to be covered by the UHI program. </w:t>
      </w:r>
    </w:p>
    <w:p w:rsidR="00E109CE" w:rsidRPr="000C60E4" w:rsidRDefault="00E109CE" w:rsidP="00382444">
      <w:pPr>
        <w:pStyle w:val="Heading3"/>
      </w:pPr>
      <w:r w:rsidRPr="000C60E4">
        <w:lastRenderedPageBreak/>
        <w:t>2.</w:t>
      </w:r>
      <w:r w:rsidRPr="000C60E4">
        <w:tab/>
        <w:t>Current status of coverage along the key dimensions of UHC</w:t>
      </w:r>
    </w:p>
    <w:p w:rsidR="00E109CE" w:rsidRPr="0051681F" w:rsidRDefault="00E109CE" w:rsidP="00382444">
      <w:pPr>
        <w:pStyle w:val="Heading4"/>
      </w:pPr>
      <w:r w:rsidRPr="0051681F">
        <w:t xml:space="preserve">a. </w:t>
      </w:r>
      <w:r w:rsidRPr="00382444">
        <w:t>Population</w:t>
      </w:r>
    </w:p>
    <w:p w:rsidR="00E109CE" w:rsidRPr="000C60E4" w:rsidRDefault="00E109CE" w:rsidP="00382444">
      <w:pPr>
        <w:pStyle w:val="BodyText0"/>
        <w:jc w:val="both"/>
      </w:pPr>
      <w:r w:rsidRPr="000C60E4">
        <w:t>Enrollment to the UHI program under the control of the Social Security Institution (SSI) is mandatory for all Turkish citizens. According to the SSI, 97</w:t>
      </w:r>
      <w:r w:rsidRPr="000C60E4">
        <w:rPr>
          <w:rFonts w:ascii="Courier New" w:hAnsi="Courier New" w:cs="Courier New"/>
        </w:rPr>
        <w:t> </w:t>
      </w:r>
      <w:r w:rsidRPr="000C60E4">
        <w:t>percent of the population was covered by the UHI program in 2011</w:t>
      </w:r>
      <w:r>
        <w:t>, while household level data coming from the Household Budget Survey 2011 suggests that coverage of health insurance is 90 percent</w:t>
      </w:r>
      <w:r w:rsidRPr="000C60E4">
        <w:t xml:space="preserve">. </w:t>
      </w:r>
    </w:p>
    <w:p w:rsidR="00E109CE" w:rsidRDefault="00E109CE" w:rsidP="00382444">
      <w:pPr>
        <w:pStyle w:val="Heading4"/>
      </w:pPr>
      <w:r w:rsidRPr="000C60E4">
        <w:t xml:space="preserve">b. </w:t>
      </w:r>
      <w:r w:rsidRPr="00382444">
        <w:t>Services</w:t>
      </w:r>
      <w:r w:rsidRPr="000C60E4">
        <w:t xml:space="preserve"> </w:t>
      </w:r>
    </w:p>
    <w:p w:rsidR="00E109CE" w:rsidRDefault="00E109CE" w:rsidP="00382444">
      <w:pPr>
        <w:pStyle w:val="BodyText0"/>
        <w:jc w:val="both"/>
      </w:pPr>
      <w:r w:rsidRPr="000C60E4">
        <w:t xml:space="preserve">According to the Law </w:t>
      </w:r>
      <w:r>
        <w:t>No.</w:t>
      </w:r>
      <w:r w:rsidRPr="000C60E4">
        <w:t xml:space="preserve"> 5502, under the UHI program, individuals are classified into one of four income groups (G0-G3) (Table</w:t>
      </w:r>
      <w:r w:rsidRPr="000C60E4">
        <w:rPr>
          <w:rFonts w:ascii="Courier New" w:hAnsi="Courier New" w:cs="Courier New"/>
        </w:rPr>
        <w:t> </w:t>
      </w:r>
      <w:r w:rsidRPr="000C60E4">
        <w:t>2). The premium for each group is calculated annually. For those in formal employment, employers cover 7.5</w:t>
      </w:r>
      <w:r w:rsidRPr="000C60E4">
        <w:rPr>
          <w:rFonts w:ascii="Courier New" w:hAnsi="Courier New" w:cs="Courier New"/>
        </w:rPr>
        <w:t> </w:t>
      </w:r>
      <w:r w:rsidRPr="000C60E4">
        <w:t>percent of the premium, employees the rest (5</w:t>
      </w:r>
      <w:r w:rsidRPr="000C60E4">
        <w:rPr>
          <w:rFonts w:ascii="Courier New" w:hAnsi="Courier New" w:cs="Courier New"/>
        </w:rPr>
        <w:t> </w:t>
      </w:r>
      <w:r w:rsidRPr="000C60E4">
        <w:t>percent).</w:t>
      </w:r>
    </w:p>
    <w:p w:rsidR="00727E4F" w:rsidRDefault="00727E4F" w:rsidP="00382444">
      <w:pPr>
        <w:pStyle w:val="BodyText0"/>
        <w:jc w:val="both"/>
      </w:pPr>
    </w:p>
    <w:p w:rsidR="00E109CE" w:rsidRPr="000C60E4" w:rsidRDefault="00E109CE" w:rsidP="00382444">
      <w:pPr>
        <w:pStyle w:val="Caption"/>
      </w:pPr>
      <w:proofErr w:type="gramStart"/>
      <w:r>
        <w:t>Table 2.</w:t>
      </w:r>
      <w:proofErr w:type="gramEnd"/>
      <w:r w:rsidRPr="000C60E4">
        <w:t xml:space="preserve"> Four income groups</w:t>
      </w:r>
    </w:p>
    <w:tbl>
      <w:tblPr>
        <w:tblStyle w:val="TableGrid"/>
        <w:tblW w:w="9918" w:type="dxa"/>
        <w:tblLook w:val="04A0" w:firstRow="1" w:lastRow="0" w:firstColumn="1" w:lastColumn="0" w:noHBand="0" w:noVBand="1"/>
      </w:tblPr>
      <w:tblGrid>
        <w:gridCol w:w="1264"/>
        <w:gridCol w:w="3164"/>
        <w:gridCol w:w="2250"/>
        <w:gridCol w:w="3240"/>
      </w:tblGrid>
      <w:tr w:rsidR="00E109CE" w:rsidRPr="000C60E4" w:rsidTr="00382444">
        <w:trPr>
          <w:trHeight w:val="204"/>
        </w:trPr>
        <w:tc>
          <w:tcPr>
            <w:tcW w:w="1264" w:type="dxa"/>
          </w:tcPr>
          <w:p w:rsidR="00E109CE" w:rsidRPr="00382444" w:rsidRDefault="00E109CE" w:rsidP="00382444">
            <w:pPr>
              <w:jc w:val="center"/>
              <w:rPr>
                <w:b/>
                <w:sz w:val="22"/>
                <w:szCs w:val="22"/>
              </w:rPr>
            </w:pPr>
            <w:r w:rsidRPr="00382444">
              <w:rPr>
                <w:b/>
                <w:sz w:val="22"/>
                <w:szCs w:val="22"/>
              </w:rPr>
              <w:t>Income group</w:t>
            </w:r>
          </w:p>
        </w:tc>
        <w:tc>
          <w:tcPr>
            <w:tcW w:w="3164" w:type="dxa"/>
          </w:tcPr>
          <w:p w:rsidR="00E109CE" w:rsidRPr="00382444" w:rsidRDefault="00E109CE" w:rsidP="00382444">
            <w:pPr>
              <w:jc w:val="center"/>
              <w:rPr>
                <w:b/>
                <w:sz w:val="22"/>
                <w:szCs w:val="22"/>
              </w:rPr>
            </w:pPr>
            <w:r w:rsidRPr="00382444">
              <w:rPr>
                <w:b/>
                <w:sz w:val="22"/>
                <w:szCs w:val="22"/>
              </w:rPr>
              <w:t>Definition: Average monthly income per household</w:t>
            </w:r>
          </w:p>
        </w:tc>
        <w:tc>
          <w:tcPr>
            <w:tcW w:w="2250" w:type="dxa"/>
          </w:tcPr>
          <w:p w:rsidR="00E109CE" w:rsidRPr="00382444" w:rsidRDefault="00E109CE" w:rsidP="00382444">
            <w:pPr>
              <w:jc w:val="center"/>
              <w:rPr>
                <w:b/>
                <w:sz w:val="22"/>
                <w:szCs w:val="22"/>
              </w:rPr>
            </w:pPr>
            <w:r w:rsidRPr="00382444">
              <w:rPr>
                <w:b/>
                <w:sz w:val="22"/>
                <w:szCs w:val="22"/>
              </w:rPr>
              <w:t>Premium calculation</w:t>
            </w:r>
          </w:p>
        </w:tc>
        <w:tc>
          <w:tcPr>
            <w:tcW w:w="3240" w:type="dxa"/>
          </w:tcPr>
          <w:p w:rsidR="00E109CE" w:rsidRPr="00382444" w:rsidRDefault="00E109CE" w:rsidP="00382444">
            <w:pPr>
              <w:jc w:val="center"/>
              <w:rPr>
                <w:b/>
                <w:sz w:val="22"/>
                <w:szCs w:val="22"/>
              </w:rPr>
            </w:pPr>
            <w:r w:rsidRPr="00382444">
              <w:rPr>
                <w:b/>
                <w:sz w:val="22"/>
                <w:szCs w:val="22"/>
              </w:rPr>
              <w:t>Contributors</w:t>
            </w:r>
          </w:p>
        </w:tc>
      </w:tr>
      <w:tr w:rsidR="00E109CE" w:rsidRPr="000C60E4" w:rsidTr="00382444">
        <w:trPr>
          <w:trHeight w:val="434"/>
        </w:trPr>
        <w:tc>
          <w:tcPr>
            <w:tcW w:w="1264" w:type="dxa"/>
          </w:tcPr>
          <w:p w:rsidR="00E109CE" w:rsidRPr="00382444" w:rsidRDefault="00E109CE" w:rsidP="00382444">
            <w:pPr>
              <w:rPr>
                <w:b/>
                <w:sz w:val="22"/>
                <w:szCs w:val="22"/>
              </w:rPr>
            </w:pPr>
            <w:r w:rsidRPr="00382444">
              <w:rPr>
                <w:sz w:val="22"/>
                <w:szCs w:val="22"/>
              </w:rPr>
              <w:t>G0</w:t>
            </w:r>
          </w:p>
        </w:tc>
        <w:tc>
          <w:tcPr>
            <w:tcW w:w="3164" w:type="dxa"/>
          </w:tcPr>
          <w:p w:rsidR="00E109CE" w:rsidRPr="00382444" w:rsidRDefault="00E109CE" w:rsidP="00382444">
            <w:pPr>
              <w:rPr>
                <w:b/>
                <w:sz w:val="22"/>
                <w:szCs w:val="22"/>
              </w:rPr>
            </w:pPr>
            <w:r w:rsidRPr="00382444">
              <w:rPr>
                <w:sz w:val="22"/>
                <w:szCs w:val="22"/>
              </w:rPr>
              <w:t>Under 1/3 of gross minimum wage (GMW)</w:t>
            </w:r>
          </w:p>
        </w:tc>
        <w:tc>
          <w:tcPr>
            <w:tcW w:w="2250" w:type="dxa"/>
          </w:tcPr>
          <w:p w:rsidR="00E109CE" w:rsidRPr="00382444" w:rsidRDefault="00E109CE" w:rsidP="00382444">
            <w:pPr>
              <w:rPr>
                <w:sz w:val="22"/>
                <w:szCs w:val="22"/>
              </w:rPr>
            </w:pPr>
            <w:r w:rsidRPr="00382444">
              <w:rPr>
                <w:sz w:val="22"/>
                <w:szCs w:val="22"/>
              </w:rPr>
              <w:t>1/3 GMW X 12.5%</w:t>
            </w:r>
          </w:p>
        </w:tc>
        <w:tc>
          <w:tcPr>
            <w:tcW w:w="3240" w:type="dxa"/>
          </w:tcPr>
          <w:p w:rsidR="00E109CE" w:rsidRPr="00382444" w:rsidRDefault="00E109CE" w:rsidP="00382444">
            <w:pPr>
              <w:rPr>
                <w:sz w:val="22"/>
                <w:szCs w:val="22"/>
              </w:rPr>
            </w:pPr>
            <w:r w:rsidRPr="00382444">
              <w:rPr>
                <w:sz w:val="22"/>
                <w:szCs w:val="22"/>
              </w:rPr>
              <w:t>Paid by the government</w:t>
            </w:r>
          </w:p>
        </w:tc>
      </w:tr>
      <w:tr w:rsidR="00E109CE" w:rsidRPr="000C60E4" w:rsidTr="00382444">
        <w:trPr>
          <w:trHeight w:val="434"/>
        </w:trPr>
        <w:tc>
          <w:tcPr>
            <w:tcW w:w="1264" w:type="dxa"/>
          </w:tcPr>
          <w:p w:rsidR="00E109CE" w:rsidRPr="00382444" w:rsidRDefault="00E109CE" w:rsidP="00382444">
            <w:pPr>
              <w:rPr>
                <w:b/>
                <w:sz w:val="22"/>
                <w:szCs w:val="22"/>
              </w:rPr>
            </w:pPr>
            <w:r w:rsidRPr="00382444">
              <w:rPr>
                <w:sz w:val="22"/>
                <w:szCs w:val="22"/>
              </w:rPr>
              <w:t>G1</w:t>
            </w:r>
          </w:p>
        </w:tc>
        <w:tc>
          <w:tcPr>
            <w:tcW w:w="3164" w:type="dxa"/>
          </w:tcPr>
          <w:p w:rsidR="00E109CE" w:rsidRPr="00382444" w:rsidRDefault="00E109CE" w:rsidP="00382444">
            <w:pPr>
              <w:rPr>
                <w:b/>
                <w:sz w:val="22"/>
                <w:szCs w:val="22"/>
              </w:rPr>
            </w:pPr>
            <w:r w:rsidRPr="00382444">
              <w:rPr>
                <w:sz w:val="22"/>
                <w:szCs w:val="22"/>
              </w:rPr>
              <w:t>Between 1/3 of GMW and GMW</w:t>
            </w:r>
          </w:p>
        </w:tc>
        <w:tc>
          <w:tcPr>
            <w:tcW w:w="2250" w:type="dxa"/>
          </w:tcPr>
          <w:p w:rsidR="00E109CE" w:rsidRPr="00382444" w:rsidRDefault="00E109CE" w:rsidP="00382444">
            <w:pPr>
              <w:rPr>
                <w:b/>
                <w:sz w:val="22"/>
                <w:szCs w:val="22"/>
              </w:rPr>
            </w:pPr>
            <w:r w:rsidRPr="00382444">
              <w:rPr>
                <w:sz w:val="22"/>
                <w:szCs w:val="22"/>
              </w:rPr>
              <w:t>1/3 GMW x 12.5%</w:t>
            </w:r>
          </w:p>
        </w:tc>
        <w:tc>
          <w:tcPr>
            <w:tcW w:w="3240" w:type="dxa"/>
          </w:tcPr>
          <w:p w:rsidR="00E109CE" w:rsidRPr="00382444" w:rsidRDefault="00E109CE" w:rsidP="00382444">
            <w:pPr>
              <w:rPr>
                <w:sz w:val="22"/>
                <w:szCs w:val="22"/>
              </w:rPr>
            </w:pPr>
            <w:r w:rsidRPr="00382444">
              <w:rPr>
                <w:sz w:val="22"/>
                <w:szCs w:val="22"/>
              </w:rPr>
              <w:t>Paid by beneficiary or if formally employed share is employees 5%, employers 7.5%</w:t>
            </w:r>
          </w:p>
        </w:tc>
      </w:tr>
      <w:tr w:rsidR="00E109CE" w:rsidRPr="000C60E4" w:rsidTr="00382444">
        <w:trPr>
          <w:trHeight w:val="434"/>
        </w:trPr>
        <w:tc>
          <w:tcPr>
            <w:tcW w:w="1264" w:type="dxa"/>
          </w:tcPr>
          <w:p w:rsidR="00E109CE" w:rsidRPr="00382444" w:rsidRDefault="00E109CE" w:rsidP="00382444">
            <w:pPr>
              <w:rPr>
                <w:b/>
                <w:sz w:val="22"/>
                <w:szCs w:val="22"/>
              </w:rPr>
            </w:pPr>
            <w:r w:rsidRPr="00382444">
              <w:rPr>
                <w:sz w:val="22"/>
                <w:szCs w:val="22"/>
              </w:rPr>
              <w:t>G2</w:t>
            </w:r>
          </w:p>
        </w:tc>
        <w:tc>
          <w:tcPr>
            <w:tcW w:w="3164" w:type="dxa"/>
          </w:tcPr>
          <w:p w:rsidR="00E109CE" w:rsidRPr="00382444" w:rsidRDefault="00E109CE" w:rsidP="00382444">
            <w:pPr>
              <w:rPr>
                <w:b/>
                <w:sz w:val="22"/>
                <w:szCs w:val="22"/>
              </w:rPr>
            </w:pPr>
            <w:r w:rsidRPr="00382444">
              <w:rPr>
                <w:sz w:val="22"/>
                <w:szCs w:val="22"/>
              </w:rPr>
              <w:t>Between GMW and 2 times GMW</w:t>
            </w:r>
          </w:p>
        </w:tc>
        <w:tc>
          <w:tcPr>
            <w:tcW w:w="2250" w:type="dxa"/>
          </w:tcPr>
          <w:p w:rsidR="00E109CE" w:rsidRPr="00382444" w:rsidRDefault="00E109CE" w:rsidP="00382444">
            <w:pPr>
              <w:rPr>
                <w:b/>
                <w:sz w:val="22"/>
                <w:szCs w:val="22"/>
              </w:rPr>
            </w:pPr>
            <w:r w:rsidRPr="00382444">
              <w:rPr>
                <w:sz w:val="22"/>
                <w:szCs w:val="22"/>
              </w:rPr>
              <w:t>GMW x 12.5%</w:t>
            </w:r>
          </w:p>
        </w:tc>
        <w:tc>
          <w:tcPr>
            <w:tcW w:w="3240" w:type="dxa"/>
          </w:tcPr>
          <w:p w:rsidR="00E109CE" w:rsidRPr="00382444" w:rsidRDefault="00E109CE" w:rsidP="00382444">
            <w:pPr>
              <w:rPr>
                <w:sz w:val="22"/>
                <w:szCs w:val="22"/>
              </w:rPr>
            </w:pPr>
            <w:r w:rsidRPr="00382444">
              <w:rPr>
                <w:sz w:val="22"/>
                <w:szCs w:val="22"/>
              </w:rPr>
              <w:t>Ditto</w:t>
            </w:r>
          </w:p>
        </w:tc>
      </w:tr>
      <w:tr w:rsidR="00E109CE" w:rsidRPr="000C60E4" w:rsidTr="00382444">
        <w:trPr>
          <w:trHeight w:val="466"/>
        </w:trPr>
        <w:tc>
          <w:tcPr>
            <w:tcW w:w="1264" w:type="dxa"/>
          </w:tcPr>
          <w:p w:rsidR="00E109CE" w:rsidRPr="00382444" w:rsidRDefault="00E109CE" w:rsidP="00382444">
            <w:pPr>
              <w:rPr>
                <w:b/>
                <w:sz w:val="22"/>
                <w:szCs w:val="22"/>
              </w:rPr>
            </w:pPr>
            <w:r w:rsidRPr="00382444">
              <w:rPr>
                <w:sz w:val="22"/>
                <w:szCs w:val="22"/>
              </w:rPr>
              <w:t>G3</w:t>
            </w:r>
          </w:p>
        </w:tc>
        <w:tc>
          <w:tcPr>
            <w:tcW w:w="3164" w:type="dxa"/>
          </w:tcPr>
          <w:p w:rsidR="00E109CE" w:rsidRPr="00382444" w:rsidRDefault="00E109CE" w:rsidP="00382444">
            <w:pPr>
              <w:rPr>
                <w:b/>
                <w:sz w:val="22"/>
                <w:szCs w:val="22"/>
              </w:rPr>
            </w:pPr>
            <w:r w:rsidRPr="00382444">
              <w:rPr>
                <w:sz w:val="22"/>
                <w:szCs w:val="22"/>
              </w:rPr>
              <w:t>Over 2 times GMW</w:t>
            </w:r>
          </w:p>
        </w:tc>
        <w:tc>
          <w:tcPr>
            <w:tcW w:w="2250" w:type="dxa"/>
          </w:tcPr>
          <w:p w:rsidR="00E109CE" w:rsidRPr="00382444" w:rsidRDefault="00E109CE" w:rsidP="00382444">
            <w:pPr>
              <w:rPr>
                <w:b/>
                <w:sz w:val="22"/>
                <w:szCs w:val="22"/>
              </w:rPr>
            </w:pPr>
            <w:r w:rsidRPr="00382444">
              <w:rPr>
                <w:sz w:val="22"/>
                <w:szCs w:val="22"/>
              </w:rPr>
              <w:t>2 GMW x 12.5%</w:t>
            </w:r>
          </w:p>
        </w:tc>
        <w:tc>
          <w:tcPr>
            <w:tcW w:w="3240" w:type="dxa"/>
          </w:tcPr>
          <w:p w:rsidR="00E109CE" w:rsidRPr="00382444" w:rsidRDefault="00E109CE" w:rsidP="00382444">
            <w:pPr>
              <w:rPr>
                <w:sz w:val="22"/>
                <w:szCs w:val="22"/>
              </w:rPr>
            </w:pPr>
            <w:r w:rsidRPr="00382444">
              <w:rPr>
                <w:sz w:val="22"/>
                <w:szCs w:val="22"/>
              </w:rPr>
              <w:t>Ditto</w:t>
            </w:r>
          </w:p>
        </w:tc>
      </w:tr>
    </w:tbl>
    <w:p w:rsidR="00E109CE" w:rsidRDefault="00E109CE" w:rsidP="00E109CE">
      <w:pPr>
        <w:pStyle w:val="Header"/>
        <w:rPr>
          <w:color w:val="003366"/>
          <w:sz w:val="15"/>
          <w:szCs w:val="15"/>
        </w:rPr>
      </w:pPr>
      <w:r w:rsidRPr="000C60E4">
        <w:rPr>
          <w:lang w:bidi="en-US"/>
        </w:rPr>
        <w:t xml:space="preserve">Source: </w:t>
      </w:r>
      <w:r>
        <w:rPr>
          <w:lang w:bidi="en-US"/>
        </w:rPr>
        <w:t xml:space="preserve">Law No. 5502 on Social Security. </w:t>
      </w:r>
    </w:p>
    <w:p w:rsidR="00E109CE" w:rsidRDefault="00E109CE" w:rsidP="00E109CE">
      <w:pPr>
        <w:pStyle w:val="BodyText0"/>
      </w:pPr>
    </w:p>
    <w:p w:rsidR="00E109CE" w:rsidRPr="000C60E4" w:rsidRDefault="00E109CE" w:rsidP="00727E4F">
      <w:pPr>
        <w:pStyle w:val="BodyText0"/>
        <w:jc w:val="both"/>
      </w:pPr>
      <w:r w:rsidRPr="000C60E4">
        <w:t xml:space="preserve">According to Law </w:t>
      </w:r>
      <w:r>
        <w:t>No.</w:t>
      </w:r>
      <w:r w:rsidRPr="000C60E4">
        <w:t xml:space="preserve"> 5502 all population groups except the following are covered by the UHI program: conscripts undertaking military service, foreigners with their own social insurance coverage in their home country, people working in country representative offices abroad with social security coverage in the host country, tourists or short-term visitors, illegal immigrants, and prisoners.</w:t>
      </w:r>
    </w:p>
    <w:p w:rsidR="00E109CE" w:rsidRDefault="00E109CE" w:rsidP="00727E4F">
      <w:pPr>
        <w:pStyle w:val="BodyText0"/>
        <w:jc w:val="both"/>
      </w:pPr>
      <w:r w:rsidRPr="000C60E4">
        <w:t>All beneficiaries of the UHI are entitled a fairly comprehensive benefit package (Table</w:t>
      </w:r>
      <w:r w:rsidRPr="000C60E4">
        <w:rPr>
          <w:rFonts w:ascii="Courier New" w:hAnsi="Courier New" w:cs="Courier New"/>
        </w:rPr>
        <w:t> </w:t>
      </w:r>
      <w:r w:rsidRPr="000C60E4">
        <w:t>3) listed in the Health Implementation Guide.</w:t>
      </w:r>
      <w:r w:rsidR="00727E4F">
        <w:rPr>
          <w:rStyle w:val="FootnoteReference"/>
        </w:rPr>
        <w:footnoteReference w:id="1"/>
      </w:r>
      <w:r w:rsidRPr="000C60E4">
        <w:t xml:space="preserve"> This list is updated yearly.</w:t>
      </w:r>
    </w:p>
    <w:p w:rsidR="00727E4F" w:rsidRDefault="00727E4F" w:rsidP="00727E4F">
      <w:pPr>
        <w:pStyle w:val="BodyText0"/>
        <w:jc w:val="both"/>
      </w:pPr>
    </w:p>
    <w:p w:rsidR="00727E4F" w:rsidRDefault="00727E4F" w:rsidP="00727E4F">
      <w:pPr>
        <w:pStyle w:val="BodyText0"/>
        <w:jc w:val="both"/>
      </w:pPr>
    </w:p>
    <w:p w:rsidR="00C458E4" w:rsidRDefault="00C458E4" w:rsidP="00727E4F">
      <w:pPr>
        <w:pStyle w:val="Caption"/>
      </w:pPr>
    </w:p>
    <w:p w:rsidR="00B51EAE" w:rsidRPr="00B51EAE" w:rsidRDefault="00B51EAE" w:rsidP="00B51EAE">
      <w:pPr>
        <w:rPr>
          <w:lang w:eastAsia="ja-JP"/>
        </w:rPr>
      </w:pPr>
    </w:p>
    <w:p w:rsidR="00E109CE" w:rsidRPr="000C60E4" w:rsidRDefault="00E109CE" w:rsidP="00727E4F">
      <w:pPr>
        <w:pStyle w:val="Caption"/>
      </w:pPr>
      <w:proofErr w:type="gramStart"/>
      <w:r>
        <w:t>Table 3.</w:t>
      </w:r>
      <w:proofErr w:type="gramEnd"/>
      <w:r w:rsidRPr="000C60E4">
        <w:t xml:space="preserve"> Benefit package for all income groups</w:t>
      </w:r>
    </w:p>
    <w:tbl>
      <w:tblPr>
        <w:tblStyle w:val="TableGrid"/>
        <w:tblW w:w="0" w:type="auto"/>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ook w:val="04A0" w:firstRow="1" w:lastRow="0" w:firstColumn="1" w:lastColumn="0" w:noHBand="0" w:noVBand="1"/>
      </w:tblPr>
      <w:tblGrid>
        <w:gridCol w:w="665"/>
        <w:gridCol w:w="8578"/>
      </w:tblGrid>
      <w:tr w:rsidR="00E109CE" w:rsidRPr="000C60E4" w:rsidTr="0040656D">
        <w:trPr>
          <w:cantSplit/>
          <w:trHeight w:val="2429"/>
        </w:trPr>
        <w:tc>
          <w:tcPr>
            <w:tcW w:w="665" w:type="dxa"/>
            <w:textDirection w:val="btLr"/>
          </w:tcPr>
          <w:p w:rsidR="00E109CE" w:rsidRPr="00D11144" w:rsidRDefault="00E109CE" w:rsidP="00D11144">
            <w:pPr>
              <w:jc w:val="center"/>
              <w:rPr>
                <w:b/>
                <w:sz w:val="22"/>
                <w:szCs w:val="22"/>
              </w:rPr>
            </w:pPr>
            <w:r w:rsidRPr="00D11144">
              <w:rPr>
                <w:b/>
                <w:sz w:val="22"/>
                <w:szCs w:val="22"/>
              </w:rPr>
              <w:t>Benefit package for all income groups</w:t>
            </w:r>
          </w:p>
        </w:tc>
        <w:tc>
          <w:tcPr>
            <w:tcW w:w="8578" w:type="dxa"/>
          </w:tcPr>
          <w:p w:rsidR="00E109CE" w:rsidRPr="00D11144" w:rsidRDefault="00E109CE" w:rsidP="00E109CE">
            <w:pPr>
              <w:pStyle w:val="ListParagraph"/>
              <w:numPr>
                <w:ilvl w:val="0"/>
                <w:numId w:val="36"/>
              </w:numPr>
              <w:contextualSpacing/>
              <w:rPr>
                <w:sz w:val="22"/>
                <w:szCs w:val="22"/>
              </w:rPr>
            </w:pPr>
            <w:r w:rsidRPr="00D11144">
              <w:rPr>
                <w:sz w:val="22"/>
                <w:szCs w:val="22"/>
              </w:rPr>
              <w:t>Personal preventive health care including preventive care for addictive substances harmful to health</w:t>
            </w:r>
          </w:p>
          <w:p w:rsidR="00E109CE" w:rsidRPr="00D11144" w:rsidRDefault="00E109CE" w:rsidP="00E109CE">
            <w:pPr>
              <w:pStyle w:val="ListParagraph"/>
              <w:numPr>
                <w:ilvl w:val="0"/>
                <w:numId w:val="36"/>
              </w:numPr>
              <w:contextualSpacing/>
              <w:rPr>
                <w:sz w:val="22"/>
                <w:szCs w:val="22"/>
              </w:rPr>
            </w:pPr>
            <w:r w:rsidRPr="00D11144">
              <w:rPr>
                <w:sz w:val="22"/>
                <w:szCs w:val="22"/>
              </w:rPr>
              <w:t xml:space="preserve">Outpatient and inpatient services, medical consultation, diagnostic tests, treatment, dressing, tooth extraction, dental prosthesis and eyeglasses </w:t>
            </w:r>
          </w:p>
          <w:p w:rsidR="00E109CE" w:rsidRPr="00D11144" w:rsidRDefault="00E109CE" w:rsidP="00E109CE">
            <w:pPr>
              <w:pStyle w:val="ListParagraph"/>
              <w:numPr>
                <w:ilvl w:val="0"/>
                <w:numId w:val="36"/>
              </w:numPr>
              <w:contextualSpacing/>
              <w:rPr>
                <w:sz w:val="22"/>
                <w:szCs w:val="22"/>
              </w:rPr>
            </w:pPr>
            <w:r w:rsidRPr="00D11144">
              <w:rPr>
                <w:sz w:val="22"/>
                <w:szCs w:val="22"/>
              </w:rPr>
              <w:t>Outpatient and inpatient maternal health care, medical examinations, diagnostic tests and procedures, delivery, treatment and emergency care costs of newborns after delivery, follow up services</w:t>
            </w:r>
          </w:p>
          <w:p w:rsidR="00E109CE" w:rsidRPr="00D11144" w:rsidRDefault="00E109CE" w:rsidP="00E109CE">
            <w:pPr>
              <w:pStyle w:val="ListParagraph"/>
              <w:numPr>
                <w:ilvl w:val="0"/>
                <w:numId w:val="36"/>
              </w:numPr>
              <w:contextualSpacing/>
              <w:rPr>
                <w:sz w:val="22"/>
                <w:szCs w:val="22"/>
              </w:rPr>
            </w:pPr>
            <w:r w:rsidRPr="00D11144">
              <w:rPr>
                <w:sz w:val="22"/>
                <w:szCs w:val="22"/>
              </w:rPr>
              <w:t>Hospitalization for emergency cases and treatment</w:t>
            </w:r>
          </w:p>
          <w:p w:rsidR="00E109CE" w:rsidRPr="00D11144" w:rsidRDefault="00E109CE" w:rsidP="00E109CE">
            <w:pPr>
              <w:pStyle w:val="ListParagraph"/>
              <w:numPr>
                <w:ilvl w:val="0"/>
                <w:numId w:val="36"/>
              </w:numPr>
              <w:contextualSpacing/>
              <w:rPr>
                <w:sz w:val="22"/>
                <w:szCs w:val="22"/>
              </w:rPr>
            </w:pPr>
            <w:r w:rsidRPr="00D11144">
              <w:rPr>
                <w:sz w:val="22"/>
                <w:szCs w:val="22"/>
              </w:rPr>
              <w:t>In-vitro fertilization, up to two attempts</w:t>
            </w:r>
          </w:p>
          <w:p w:rsidR="00E109CE" w:rsidRPr="00D11144" w:rsidRDefault="00E109CE" w:rsidP="00E109CE">
            <w:pPr>
              <w:pStyle w:val="ListParagraph"/>
              <w:numPr>
                <w:ilvl w:val="0"/>
                <w:numId w:val="36"/>
              </w:numPr>
              <w:contextualSpacing/>
              <w:rPr>
                <w:sz w:val="22"/>
                <w:szCs w:val="22"/>
              </w:rPr>
            </w:pPr>
            <w:r w:rsidRPr="00D11144">
              <w:rPr>
                <w:sz w:val="22"/>
                <w:szCs w:val="22"/>
              </w:rPr>
              <w:t>Blood and blood products, vaccines, medicines, prosthesis, medical goods and equipment</w:t>
            </w:r>
          </w:p>
          <w:p w:rsidR="00E109CE" w:rsidRPr="00D11144" w:rsidRDefault="00E109CE" w:rsidP="00E109CE">
            <w:pPr>
              <w:pStyle w:val="ListParagraph"/>
              <w:numPr>
                <w:ilvl w:val="0"/>
                <w:numId w:val="36"/>
              </w:numPr>
              <w:contextualSpacing/>
              <w:rPr>
                <w:sz w:val="22"/>
                <w:szCs w:val="22"/>
              </w:rPr>
            </w:pPr>
            <w:r w:rsidRPr="00D11144">
              <w:rPr>
                <w:sz w:val="22"/>
                <w:szCs w:val="22"/>
              </w:rPr>
              <w:t xml:space="preserve">Pharmaceuticals and medical devices </w:t>
            </w:r>
          </w:p>
          <w:p w:rsidR="00E109CE" w:rsidRPr="006E6DB5" w:rsidRDefault="00E109CE" w:rsidP="00E109CE">
            <w:pPr>
              <w:pStyle w:val="ListParagraph"/>
              <w:numPr>
                <w:ilvl w:val="0"/>
                <w:numId w:val="36"/>
              </w:numPr>
              <w:contextualSpacing/>
            </w:pPr>
            <w:r w:rsidRPr="00D11144">
              <w:rPr>
                <w:sz w:val="22"/>
                <w:szCs w:val="22"/>
              </w:rPr>
              <w:t>Free health care provision for children under 18 regardless of their insurance status</w:t>
            </w:r>
          </w:p>
        </w:tc>
      </w:tr>
    </w:tbl>
    <w:p w:rsidR="00E109CE" w:rsidRDefault="00E109CE" w:rsidP="00745BB0">
      <w:pPr>
        <w:pStyle w:val="Source"/>
        <w:rPr>
          <w:lang w:bidi="en-US"/>
        </w:rPr>
      </w:pPr>
      <w:r>
        <w:rPr>
          <w:lang w:bidi="en-US"/>
        </w:rPr>
        <w:t>Source: Law No. 5502 on Social Security.</w:t>
      </w:r>
    </w:p>
    <w:p w:rsidR="00745BB0" w:rsidRPr="000C60E4" w:rsidRDefault="00745BB0" w:rsidP="00745BB0">
      <w:pPr>
        <w:pStyle w:val="Source"/>
        <w:rPr>
          <w:b/>
        </w:rPr>
      </w:pPr>
    </w:p>
    <w:p w:rsidR="00E109CE" w:rsidRDefault="00E109CE" w:rsidP="00E109CE">
      <w:pPr>
        <w:pStyle w:val="Heading4"/>
      </w:pPr>
      <w:r w:rsidRPr="000C60E4">
        <w:t xml:space="preserve">c. Financial protection </w:t>
      </w:r>
    </w:p>
    <w:p w:rsidR="00E109CE" w:rsidRPr="000C60E4" w:rsidRDefault="00E109CE" w:rsidP="00745BB0">
      <w:pPr>
        <w:pStyle w:val="BodyText0"/>
        <w:jc w:val="both"/>
      </w:pPr>
      <w:r w:rsidRPr="000C60E4">
        <w:t>Out-of</w:t>
      </w:r>
      <w:r>
        <w:t>-</w:t>
      </w:r>
      <w:r w:rsidRPr="000C60E4">
        <w:t>pocket payments are low and progressive. Households in the top quintile in 2008 paid 1.97 percent and 2.44 percent of their total and nonfood expenditures for health care, compared with 1.43</w:t>
      </w:r>
      <w:r w:rsidRPr="000C60E4">
        <w:rPr>
          <w:rFonts w:ascii="Courier New" w:hAnsi="Courier New" w:cs="Courier New"/>
        </w:rPr>
        <w:t> </w:t>
      </w:r>
      <w:r w:rsidRPr="000C60E4">
        <w:t>percent and 2.37</w:t>
      </w:r>
      <w:r w:rsidRPr="000C60E4">
        <w:rPr>
          <w:rFonts w:ascii="Courier New" w:hAnsi="Courier New" w:cs="Courier New"/>
        </w:rPr>
        <w:t> </w:t>
      </w:r>
      <w:r w:rsidRPr="000C60E4">
        <w:t>percent in the lowest quintile, indicating a progressive system (</w:t>
      </w:r>
      <w:proofErr w:type="spellStart"/>
      <w:r w:rsidRPr="000C60E4">
        <w:t>Aran</w:t>
      </w:r>
      <w:proofErr w:type="spellEnd"/>
      <w:r w:rsidRPr="000C60E4">
        <w:t xml:space="preserve"> and </w:t>
      </w:r>
      <w:proofErr w:type="spellStart"/>
      <w:r w:rsidRPr="000C60E4">
        <w:t>Hentschel</w:t>
      </w:r>
      <w:proofErr w:type="spellEnd"/>
      <w:r w:rsidRPr="000C60E4">
        <w:t xml:space="preserve"> </w:t>
      </w:r>
      <w:r>
        <w:t>2012</w:t>
      </w:r>
      <w:r w:rsidRPr="000C60E4">
        <w:t>). The same study also shows that impoverishment as a result of catastrophic medical expenses fell from 0.8</w:t>
      </w:r>
      <w:r w:rsidRPr="000C60E4">
        <w:rPr>
          <w:rFonts w:ascii="Courier New" w:hAnsi="Courier New" w:cs="Courier New"/>
        </w:rPr>
        <w:t> </w:t>
      </w:r>
      <w:r w:rsidRPr="000C60E4">
        <w:t>percent of all households in 2003 to 0.3</w:t>
      </w:r>
      <w:r w:rsidRPr="000C60E4">
        <w:rPr>
          <w:rFonts w:ascii="Courier New" w:hAnsi="Courier New" w:cs="Courier New"/>
        </w:rPr>
        <w:t> </w:t>
      </w:r>
      <w:r w:rsidRPr="000C60E4">
        <w:t xml:space="preserve">percent in 2008. </w:t>
      </w:r>
    </w:p>
    <w:p w:rsidR="00E109CE" w:rsidRPr="000C60E4" w:rsidRDefault="00E109CE" w:rsidP="00745BB0">
      <w:pPr>
        <w:pStyle w:val="BodyText0"/>
        <w:jc w:val="both"/>
      </w:pPr>
      <w:r w:rsidRPr="000C60E4">
        <w:t>Copayments are waived for visits to family medicine providers. They apply to outpatient visits and are TL</w:t>
      </w:r>
      <w:r w:rsidRPr="000C60E4">
        <w:rPr>
          <w:rFonts w:ascii="Courier New" w:hAnsi="Courier New" w:cs="Courier New"/>
        </w:rPr>
        <w:t> </w:t>
      </w:r>
      <w:r w:rsidRPr="000C60E4">
        <w:t>8 per visit to university and Ministry of Health (MOH) hospitals, and TL</w:t>
      </w:r>
      <w:r w:rsidRPr="000C60E4">
        <w:rPr>
          <w:rFonts w:ascii="Courier New" w:hAnsi="Courier New" w:cs="Courier New"/>
        </w:rPr>
        <w:t> </w:t>
      </w:r>
      <w:r w:rsidRPr="000C60E4">
        <w:t>15 for visits to private hospitals. Copayment for pharmaceuticals is 20</w:t>
      </w:r>
      <w:r w:rsidRPr="000C60E4">
        <w:rPr>
          <w:rFonts w:ascii="Courier New" w:hAnsi="Courier New" w:cs="Courier New"/>
        </w:rPr>
        <w:t> </w:t>
      </w:r>
      <w:r w:rsidRPr="000C60E4">
        <w:t>percent, except for retirees who pay 10</w:t>
      </w:r>
      <w:r w:rsidRPr="000C60E4">
        <w:rPr>
          <w:rFonts w:ascii="Courier New" w:hAnsi="Courier New" w:cs="Courier New"/>
        </w:rPr>
        <w:t> </w:t>
      </w:r>
      <w:r w:rsidRPr="000C60E4">
        <w:t xml:space="preserve">percent. </w:t>
      </w:r>
    </w:p>
    <w:p w:rsidR="00E109CE" w:rsidRPr="000C60E4" w:rsidRDefault="00E109CE" w:rsidP="00745BB0">
      <w:pPr>
        <w:pStyle w:val="BodyText0"/>
        <w:jc w:val="both"/>
      </w:pPr>
      <w:r w:rsidRPr="000C60E4">
        <w:t>Extra billing, up to an additional 70</w:t>
      </w:r>
      <w:r w:rsidRPr="000C60E4">
        <w:rPr>
          <w:rFonts w:ascii="Courier New" w:hAnsi="Courier New" w:cs="Courier New"/>
        </w:rPr>
        <w:t> </w:t>
      </w:r>
      <w:r w:rsidRPr="000C60E4">
        <w:t>percent of the SSI tariff, is allowed for private hospitals to compensate for supply-side government subsidies (personnel salaries, capital investment, etc.) to public hospitals.</w:t>
      </w:r>
      <w:r w:rsidRPr="000C60E4">
        <w:rPr>
          <w:vertAlign w:val="superscript"/>
        </w:rPr>
        <w:t xml:space="preserve"> </w:t>
      </w:r>
      <w:r w:rsidRPr="000C60E4">
        <w:t>Beginning in January 2010, a new classification system for private hospitals was implemented, which classified private hospitals into five categories (from A to E) based on the numbers of beds, patient operations</w:t>
      </w:r>
      <w:r>
        <w:t>, and the like</w:t>
      </w:r>
      <w:r w:rsidRPr="000C60E4">
        <w:t>. Private facilities can request extra</w:t>
      </w:r>
      <w:r>
        <w:t xml:space="preserve"> </w:t>
      </w:r>
      <w:r w:rsidRPr="000C60E4">
        <w:t xml:space="preserve">billing according to their classification. For example, </w:t>
      </w:r>
      <w:r w:rsidR="00745BB0">
        <w:t>C</w:t>
      </w:r>
      <w:r w:rsidRPr="000C60E4">
        <w:t xml:space="preserve">ategory </w:t>
      </w:r>
      <w:proofErr w:type="gramStart"/>
      <w:r w:rsidRPr="000C60E4">
        <w:t>A</w:t>
      </w:r>
      <w:proofErr w:type="gramEnd"/>
      <w:r w:rsidRPr="000C60E4">
        <w:t xml:space="preserve"> facilities can charge up to an additional 70</w:t>
      </w:r>
      <w:r w:rsidRPr="000C60E4">
        <w:rPr>
          <w:rFonts w:ascii="Courier New" w:hAnsi="Courier New" w:cs="Courier New"/>
        </w:rPr>
        <w:t> </w:t>
      </w:r>
      <w:r w:rsidRPr="000C60E4">
        <w:t xml:space="preserve">percent of the </w:t>
      </w:r>
      <w:r>
        <w:t xml:space="preserve">SSI </w:t>
      </w:r>
      <w:r w:rsidRPr="000C60E4">
        <w:t xml:space="preserve">tariff, while </w:t>
      </w:r>
      <w:r w:rsidR="00745BB0">
        <w:t>C</w:t>
      </w:r>
      <w:r w:rsidRPr="000C60E4">
        <w:t>ategory E facilities can bill up to 30</w:t>
      </w:r>
      <w:r w:rsidRPr="000C60E4">
        <w:rPr>
          <w:rFonts w:ascii="Courier New" w:hAnsi="Courier New" w:cs="Courier New"/>
        </w:rPr>
        <w:t> </w:t>
      </w:r>
      <w:r w:rsidRPr="000C60E4">
        <w:t>percent more.</w:t>
      </w:r>
    </w:p>
    <w:p w:rsidR="00E109CE" w:rsidRPr="000C60E4" w:rsidRDefault="00E109CE" w:rsidP="00745BB0">
      <w:pPr>
        <w:pStyle w:val="Heading3"/>
      </w:pPr>
      <w:r w:rsidRPr="000C60E4">
        <w:lastRenderedPageBreak/>
        <w:t xml:space="preserve">3. </w:t>
      </w:r>
      <w:r w:rsidRPr="000C60E4">
        <w:tab/>
        <w:t xml:space="preserve">How is governance structured? </w:t>
      </w:r>
    </w:p>
    <w:p w:rsidR="00E109CE" w:rsidRDefault="00E109CE" w:rsidP="00745BB0">
      <w:pPr>
        <w:pStyle w:val="Heading4"/>
      </w:pPr>
      <w:r w:rsidRPr="000C60E4">
        <w:t xml:space="preserve">a. Goal setting </w:t>
      </w:r>
    </w:p>
    <w:p w:rsidR="00E109CE" w:rsidRPr="000C60E4" w:rsidRDefault="00E109CE" w:rsidP="00745BB0">
      <w:pPr>
        <w:pStyle w:val="BodyText0"/>
        <w:jc w:val="both"/>
      </w:pPr>
      <w:r w:rsidRPr="000C60E4">
        <w:t xml:space="preserve">The MOH is steward of the system and is responsible for policy making, regulation, and monitoring and evaluation. The Public Health Institution is responsible for the provision of primary and preventive care services while the Public Hospital Institution is in charge of secondary and tertiary care services (see below). The SSI is the single purchaser of services in the public health system, which now includes all five of the previously fragmented health insurance programs. </w:t>
      </w:r>
    </w:p>
    <w:p w:rsidR="00E109CE" w:rsidRDefault="00E109CE" w:rsidP="00E109CE">
      <w:pPr>
        <w:pStyle w:val="Heading4"/>
      </w:pPr>
      <w:r w:rsidRPr="000C60E4">
        <w:t xml:space="preserve">b. Financing </w:t>
      </w:r>
    </w:p>
    <w:p w:rsidR="00E109CE" w:rsidRPr="000C60E4" w:rsidRDefault="00E109CE" w:rsidP="00745BB0">
      <w:pPr>
        <w:pStyle w:val="BodyText0"/>
        <w:jc w:val="both"/>
      </w:pPr>
      <w:r w:rsidRPr="000C60E4">
        <w:t>Total health spending as a share of GDP was 6.74</w:t>
      </w:r>
      <w:r w:rsidRPr="000C60E4">
        <w:rPr>
          <w:rFonts w:ascii="Courier New" w:hAnsi="Courier New" w:cs="Courier New"/>
        </w:rPr>
        <w:t> </w:t>
      </w:r>
      <w:r w:rsidRPr="000C60E4">
        <w:t>percent in 2010. In 2008, 43.9</w:t>
      </w:r>
      <w:r w:rsidRPr="000C60E4">
        <w:rPr>
          <w:rFonts w:ascii="Courier New" w:hAnsi="Courier New" w:cs="Courier New"/>
        </w:rPr>
        <w:t> </w:t>
      </w:r>
      <w:r w:rsidRPr="000C60E4">
        <w:t>percent of funds for health spending came from the SSI, 27.6</w:t>
      </w:r>
      <w:r w:rsidRPr="000C60E4">
        <w:rPr>
          <w:rFonts w:ascii="Courier New" w:hAnsi="Courier New" w:cs="Courier New"/>
        </w:rPr>
        <w:t> </w:t>
      </w:r>
      <w:r w:rsidRPr="000C60E4">
        <w:t>percent from other government sources, 17.4</w:t>
      </w:r>
      <w:r w:rsidRPr="000C60E4">
        <w:rPr>
          <w:rFonts w:ascii="Courier New" w:hAnsi="Courier New" w:cs="Courier New"/>
        </w:rPr>
        <w:t> </w:t>
      </w:r>
      <w:r w:rsidRPr="000C60E4">
        <w:t>percent from out-of</w:t>
      </w:r>
      <w:r>
        <w:t>-</w:t>
      </w:r>
      <w:r w:rsidRPr="000C60E4">
        <w:t>pocket payments, and 9.6</w:t>
      </w:r>
      <w:r w:rsidRPr="000C60E4">
        <w:rPr>
          <w:rFonts w:ascii="Courier New" w:hAnsi="Courier New" w:cs="Courier New"/>
        </w:rPr>
        <w:t> </w:t>
      </w:r>
      <w:r w:rsidRPr="000C60E4">
        <w:t>percent from other private sources (Menon</w:t>
      </w:r>
      <w:r>
        <w:t xml:space="preserve"> et al. </w:t>
      </w:r>
      <w:r w:rsidRPr="000C60E4">
        <w:t>2013). There is no earmarking of general revenues for the UHI program. Initiated in 1992, the Green Card (</w:t>
      </w:r>
      <w:proofErr w:type="spellStart"/>
      <w:r w:rsidRPr="000C60E4">
        <w:t>Yesil</w:t>
      </w:r>
      <w:proofErr w:type="spellEnd"/>
      <w:r w:rsidRPr="000C60E4">
        <w:t xml:space="preserve"> Kart) Program—a noncontributory health insurance program—is the main flagship social protection program funded through the national budget. Based on survey data, the number of beneficiaries more than tripled, from 2.5 million in 2003 to 9.1 million in 2011, due to expansion of the Program’s benefits (Menon</w:t>
      </w:r>
      <w:r>
        <w:t xml:space="preserve"> et al. </w:t>
      </w:r>
      <w:r w:rsidRPr="000C60E4">
        <w:t xml:space="preserve">2013). </w:t>
      </w:r>
    </w:p>
    <w:p w:rsidR="00E109CE" w:rsidRPr="000C60E4" w:rsidRDefault="00E109CE" w:rsidP="00745BB0">
      <w:pPr>
        <w:pStyle w:val="BodyText0"/>
        <w:jc w:val="both"/>
      </w:pPr>
      <w:r w:rsidRPr="000C60E4">
        <w:t xml:space="preserve">Until 2012, a hybrid-targeting program was used to identify individuals eligible for the Green Card. Centrally appointed </w:t>
      </w:r>
      <w:proofErr w:type="spellStart"/>
      <w:r w:rsidRPr="000C60E4">
        <w:rPr>
          <w:i/>
        </w:rPr>
        <w:t>kaymakam</w:t>
      </w:r>
      <w:r w:rsidRPr="000C60E4">
        <w:t>s</w:t>
      </w:r>
      <w:proofErr w:type="spellEnd"/>
      <w:r w:rsidRPr="000C60E4">
        <w:t xml:space="preserve"> (district officers) were given discretion for distributing the cards following eligibility rules determined by the central government. Enrollment was voluntary and applications were collected at district-level Green Card offices, which usually reported directly to centrally appointed district or provincial officers (</w:t>
      </w:r>
      <w:proofErr w:type="spellStart"/>
      <w:r w:rsidRPr="000C60E4">
        <w:rPr>
          <w:i/>
        </w:rPr>
        <w:t>kaymakam</w:t>
      </w:r>
      <w:r w:rsidRPr="000C60E4">
        <w:t>s</w:t>
      </w:r>
      <w:proofErr w:type="spellEnd"/>
      <w:r w:rsidRPr="000C60E4">
        <w:t xml:space="preserve"> or </w:t>
      </w:r>
      <w:proofErr w:type="spellStart"/>
      <w:r w:rsidRPr="000C60E4">
        <w:rPr>
          <w:i/>
        </w:rPr>
        <w:t>vali</w:t>
      </w:r>
      <w:r w:rsidRPr="000C60E4">
        <w:t>s</w:t>
      </w:r>
      <w:proofErr w:type="spellEnd"/>
      <w:r w:rsidRPr="000C60E4">
        <w:t xml:space="preserve">). The ultimate decisions on the distribution of the cards were made by local committees chaired by the </w:t>
      </w:r>
      <w:proofErr w:type="spellStart"/>
      <w:r w:rsidRPr="000C60E4">
        <w:rPr>
          <w:i/>
        </w:rPr>
        <w:t>kaymakam</w:t>
      </w:r>
      <w:proofErr w:type="spellEnd"/>
      <w:r w:rsidRPr="000C60E4">
        <w:t xml:space="preserve"> (in districts) and the deputy governor in charge of the Green Card in the provincial center. </w:t>
      </w:r>
    </w:p>
    <w:p w:rsidR="00E109CE" w:rsidRPr="000C60E4" w:rsidRDefault="00E109CE" w:rsidP="00745BB0">
      <w:pPr>
        <w:pStyle w:val="BodyText0"/>
        <w:jc w:val="both"/>
      </w:pPr>
      <w:r w:rsidRPr="000C60E4">
        <w:t>In January 2012, the Green Card Program was merged into the UHI, leading to changes in the flow of funds (funds for Green Card holders have been transferred from the Ministry of Finance to the SSI), while the identification, certification, and monitoring of Green Card holders are now regulated by the Regulation on the Rules and Principles of Identifying, Certifying, and Monitoring Income Under the Universal Health Insurance. The identification of the poor to be covered by the state budget is now based on the national Integrated Social Aid Services System, managed by the Ministry of Family Affairs and Social Policies. The system also determines beneficiaries of scholarships, home care for the elderly, and conditional cash transfers and benefits for disabled people.</w:t>
      </w:r>
    </w:p>
    <w:p w:rsidR="00E109CE" w:rsidRDefault="00E109CE" w:rsidP="00E109CE">
      <w:pPr>
        <w:pStyle w:val="Heading4"/>
      </w:pPr>
      <w:r w:rsidRPr="000C60E4">
        <w:t>c. Payment</w:t>
      </w:r>
    </w:p>
    <w:p w:rsidR="00E109CE" w:rsidRPr="000C60E4" w:rsidRDefault="00E109CE" w:rsidP="00745BB0">
      <w:pPr>
        <w:pStyle w:val="BodyText0"/>
        <w:jc w:val="both"/>
      </w:pPr>
      <w:r w:rsidRPr="000C60E4">
        <w:rPr>
          <w:lang w:bidi="en-US"/>
        </w:rPr>
        <w:t xml:space="preserve">Primary care and preventive services are financed mainly through the state budget. For MOH hospitals, salaries and investment costs are covered by the general budget. The SSI transfers a global </w:t>
      </w:r>
      <w:r>
        <w:rPr>
          <w:lang w:bidi="en-US"/>
        </w:rPr>
        <w:t xml:space="preserve">amount </w:t>
      </w:r>
      <w:r w:rsidRPr="000C60E4">
        <w:rPr>
          <w:lang w:bidi="en-US"/>
        </w:rPr>
        <w:t xml:space="preserve">for services provided to its beneficiaries. These funds go into the revolving fund of each hospital and cover all other expenses, including performance-based bonuses for providers. </w:t>
      </w:r>
      <w:r w:rsidRPr="000C60E4">
        <w:t xml:space="preserve">University hospitals have a structure similar to MOH hospitals and receive funds from the state to cover salaries and other investments, and have revolving funds from which they generate </w:t>
      </w:r>
      <w:r w:rsidRPr="000C60E4">
        <w:lastRenderedPageBreak/>
        <w:t xml:space="preserve">income from the SSI and patients. </w:t>
      </w:r>
      <w:r w:rsidRPr="000C60E4">
        <w:rPr>
          <w:lang w:bidi="en-US"/>
        </w:rPr>
        <w:t xml:space="preserve">For private sector hospitals, the SSI negotiates and concludes annual contracts (allowing extra billing based on hospital category). </w:t>
      </w:r>
      <w:r w:rsidRPr="000C60E4">
        <w:t xml:space="preserve">Figure 1 presents a flow of funds </w:t>
      </w:r>
      <w:r>
        <w:t>chart</w:t>
      </w:r>
      <w:r w:rsidRPr="000C60E4">
        <w:t xml:space="preserve">. </w:t>
      </w:r>
    </w:p>
    <w:p w:rsidR="008775B6" w:rsidRDefault="008775B6" w:rsidP="00E109CE">
      <w:pPr>
        <w:pStyle w:val="BodyText0"/>
      </w:pPr>
    </w:p>
    <w:p w:rsidR="00E109CE" w:rsidRPr="000C60E4" w:rsidRDefault="00E109CE" w:rsidP="00745BB0">
      <w:pPr>
        <w:pStyle w:val="Caption"/>
      </w:pPr>
      <w:proofErr w:type="gramStart"/>
      <w:r w:rsidRPr="000C60E4">
        <w:t>Figure 1</w:t>
      </w:r>
      <w:r>
        <w:t>.</w:t>
      </w:r>
      <w:proofErr w:type="gramEnd"/>
      <w:r w:rsidRPr="000C60E4">
        <w:t xml:space="preserve"> Flow of funds</w:t>
      </w:r>
    </w:p>
    <w:p w:rsidR="00E109CE" w:rsidRPr="000C60E4" w:rsidRDefault="00E109CE" w:rsidP="008775B6">
      <w:pPr>
        <w:ind w:left="-90"/>
        <w:rPr>
          <w:rFonts w:cs="Times New Roman"/>
        </w:rPr>
      </w:pPr>
      <w:r w:rsidRPr="000C60E4">
        <w:rPr>
          <w:noProof/>
        </w:rPr>
        <w:drawing>
          <wp:inline distT="0" distB="0" distL="0" distR="0" wp14:anchorId="2C4D5078" wp14:editId="2D14D1CE">
            <wp:extent cx="5943600" cy="3703751"/>
            <wp:effectExtent l="0" t="0" r="0" b="0"/>
            <wp:docPr id="143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944491" cy="3704306"/>
                    </a:xfrm>
                    <a:prstGeom prst="rect">
                      <a:avLst/>
                    </a:prstGeom>
                    <a:noFill/>
                    <a:ln w="9525">
                      <a:noFill/>
                      <a:miter lim="800000"/>
                      <a:headEnd/>
                      <a:tailEnd/>
                    </a:ln>
                  </pic:spPr>
                </pic:pic>
              </a:graphicData>
            </a:graphic>
          </wp:inline>
        </w:drawing>
      </w:r>
    </w:p>
    <w:p w:rsidR="00E109CE" w:rsidRPr="000C60E4" w:rsidRDefault="00E109CE" w:rsidP="00745BB0">
      <w:pPr>
        <w:pStyle w:val="Source"/>
        <w:rPr>
          <w:rFonts w:cs="Times New Roman"/>
          <w:lang w:bidi="en-US"/>
        </w:rPr>
      </w:pPr>
      <w:r w:rsidRPr="000C60E4">
        <w:rPr>
          <w:rFonts w:cs="Times New Roman"/>
          <w:lang w:bidi="en-US"/>
        </w:rPr>
        <w:t xml:space="preserve"> Source: </w:t>
      </w:r>
      <w:r>
        <w:t>Menon et al. 2013.</w:t>
      </w:r>
    </w:p>
    <w:p w:rsidR="00E109CE" w:rsidRPr="000C60E4" w:rsidRDefault="00E109CE" w:rsidP="00E109CE">
      <w:pPr>
        <w:pStyle w:val="BodyText0"/>
      </w:pPr>
    </w:p>
    <w:p w:rsidR="00E109CE" w:rsidRPr="00347F1C" w:rsidRDefault="00E109CE" w:rsidP="00E109CE">
      <w:pPr>
        <w:pStyle w:val="Heading4"/>
      </w:pPr>
      <w:r w:rsidRPr="00347F1C">
        <w:t>d. Service delivery</w:t>
      </w:r>
    </w:p>
    <w:p w:rsidR="00E109CE" w:rsidRPr="000C60E4" w:rsidRDefault="00E109CE" w:rsidP="00745BB0">
      <w:pPr>
        <w:pStyle w:val="BodyText0"/>
        <w:jc w:val="both"/>
      </w:pPr>
      <w:r w:rsidRPr="000C60E4">
        <w:t>Secondary and tertiary health care services are provided by MOH-affiliated public hospitals, university hospitals, and private hospitals</w:t>
      </w:r>
      <w:r>
        <w:t xml:space="preserve">, </w:t>
      </w:r>
      <w:r w:rsidRPr="000C60E4">
        <w:t>although the MOH predominantly controls these services. In 2011, there were 1,453 hospitals in Turkey, of which 840 were owned by MOH, 65 were university hospitals, 503 were private facilities, and 45 were owned by other public establishments and local administrations (</w:t>
      </w:r>
      <w:r>
        <w:t>MOH</w:t>
      </w:r>
      <w:r w:rsidRPr="000C60E4">
        <w:t xml:space="preserve"> 2011</w:t>
      </w:r>
      <w:r>
        <w:t>b</w:t>
      </w:r>
      <w:r w:rsidRPr="000C60E4">
        <w:t xml:space="preserve">). A total of 20,243 family practice doctors and family health personnel (mainly nurses and midwifes) worked in primary and preventive care services in 6,463 family health centers at December 31, 2011 (World Bank 2013). </w:t>
      </w:r>
    </w:p>
    <w:p w:rsidR="00E109CE" w:rsidRPr="000C60E4" w:rsidRDefault="00E109CE" w:rsidP="00745BB0">
      <w:pPr>
        <w:pStyle w:val="Heading2"/>
      </w:pPr>
      <w:r w:rsidRPr="000C60E4">
        <w:lastRenderedPageBreak/>
        <w:t>B.</w:t>
      </w:r>
      <w:r w:rsidRPr="000C60E4">
        <w:tab/>
        <w:t>Current status of health financing</w:t>
      </w:r>
    </w:p>
    <w:p w:rsidR="00E109CE" w:rsidRPr="000C60E4" w:rsidRDefault="00E109CE" w:rsidP="00745BB0">
      <w:pPr>
        <w:pStyle w:val="Heading3"/>
      </w:pPr>
      <w:r w:rsidRPr="000C60E4">
        <w:t>1.</w:t>
      </w:r>
      <w:r w:rsidRPr="000C60E4">
        <w:tab/>
        <w:t xml:space="preserve">How sustainable is current coverage? </w:t>
      </w:r>
    </w:p>
    <w:p w:rsidR="00E109CE" w:rsidRDefault="00E109CE" w:rsidP="00E109CE">
      <w:pPr>
        <w:pStyle w:val="Heading4"/>
      </w:pPr>
      <w:r w:rsidRPr="000C60E4">
        <w:t xml:space="preserve">a. Fiscal space </w:t>
      </w:r>
    </w:p>
    <w:p w:rsidR="00E109CE" w:rsidRPr="000C60E4" w:rsidRDefault="00E109CE" w:rsidP="00745BB0">
      <w:pPr>
        <w:pStyle w:val="BodyText0"/>
        <w:jc w:val="both"/>
      </w:pPr>
      <w:r w:rsidRPr="000C60E4">
        <w:t>The last decade has been</w:t>
      </w:r>
      <w:r w:rsidRPr="000C60E4">
        <w:rPr>
          <w:b/>
        </w:rPr>
        <w:t xml:space="preserve"> </w:t>
      </w:r>
      <w:r w:rsidRPr="000C60E4">
        <w:t xml:space="preserve">a period of rapid economic growth and development for Turkey, </w:t>
      </w:r>
      <w:r>
        <w:t xml:space="preserve">largely </w:t>
      </w:r>
      <w:r w:rsidRPr="000C60E4">
        <w:t xml:space="preserve">thanks to sound macroeconomic management and structural reforms since a banking crisis in 2001. </w:t>
      </w:r>
      <w:r>
        <w:t>T</w:t>
      </w:r>
      <w:r w:rsidRPr="000C60E4">
        <w:t>he economy grew by an average of almost 5.5</w:t>
      </w:r>
      <w:r w:rsidRPr="000C60E4">
        <w:rPr>
          <w:rFonts w:ascii="Courier New" w:hAnsi="Courier New" w:cs="Courier New"/>
        </w:rPr>
        <w:t> </w:t>
      </w:r>
      <w:r w:rsidRPr="000C60E4">
        <w:t>percent in 2002</w:t>
      </w:r>
      <w:r w:rsidRPr="000C60E4">
        <w:rPr>
          <w:rFonts w:cs="Andes"/>
        </w:rPr>
        <w:t>–</w:t>
      </w:r>
      <w:r w:rsidRPr="000C60E4">
        <w:t>11, compared with the pre-2001 average of around 4</w:t>
      </w:r>
      <w:r w:rsidRPr="000C60E4">
        <w:rPr>
          <w:rFonts w:ascii="Courier New" w:hAnsi="Courier New" w:cs="Courier New"/>
        </w:rPr>
        <w:t> </w:t>
      </w:r>
      <w:r w:rsidRPr="000C60E4">
        <w:t>percent. Per capita income tripled over the period to reach $10,444 in 2011. The government prioritized the health sector, enabling expansion of breadth and depth of coverage. Through improved efficiency in health spending, the introduction of fixed global budgets for MOH hospitals in 2007, and expenditure caps for university and private hospitals and for pharmaceuticals in 2010, fiscal sustainability of the UHI is ensured. SSI deficits have narrowed and are covered by the government budget.</w:t>
      </w:r>
    </w:p>
    <w:p w:rsidR="00E109CE" w:rsidRDefault="00E109CE" w:rsidP="00E109CE">
      <w:pPr>
        <w:pStyle w:val="Heading4"/>
      </w:pPr>
      <w:r w:rsidRPr="000C60E4">
        <w:t>b. Cost management and value for money</w:t>
      </w:r>
    </w:p>
    <w:p w:rsidR="00E109CE" w:rsidRPr="000C60E4" w:rsidRDefault="00E109CE" w:rsidP="00745BB0">
      <w:pPr>
        <w:pStyle w:val="BodyText0"/>
        <w:jc w:val="both"/>
        <w:rPr>
          <w:lang w:bidi="en-US"/>
        </w:rPr>
      </w:pPr>
      <w:r w:rsidRPr="000C60E4">
        <w:rPr>
          <w:lang w:bidi="en-US"/>
        </w:rPr>
        <w:t xml:space="preserve">For its spending and income levels, Turkey appears to get reasonable value for money in terms of health outcomes. The relative generosity of the comprehensive benefit package and spending on pharmaceuticals are key cost drivers. Changes to the system are made regularly to ensure continuing efficiency gains on both demand and supply sides. </w:t>
      </w:r>
    </w:p>
    <w:p w:rsidR="00E109CE" w:rsidRPr="000C60E4" w:rsidRDefault="00E109CE" w:rsidP="00745BB0">
      <w:pPr>
        <w:pStyle w:val="BodyText0"/>
        <w:jc w:val="both"/>
        <w:rPr>
          <w:lang w:bidi="en-US"/>
        </w:rPr>
      </w:pPr>
      <w:r w:rsidRPr="000C60E4">
        <w:rPr>
          <w:lang w:bidi="en-US"/>
        </w:rPr>
        <w:t>Under the Family Medicine Program, funded through general revenues within the budget of the MOH, family medicine physicians and other family medicine staff are contracted individually. They are expected to function as a unit under the overall guidance and management of the family physician. The payment for family medicine staff has five components (Table</w:t>
      </w:r>
      <w:r w:rsidRPr="000C60E4">
        <w:rPr>
          <w:rFonts w:ascii="Courier New" w:hAnsi="Courier New" w:cs="Courier New"/>
          <w:lang w:bidi="en-US"/>
        </w:rPr>
        <w:t> </w:t>
      </w:r>
      <w:r w:rsidRPr="000C60E4">
        <w:rPr>
          <w:lang w:bidi="en-US"/>
        </w:rPr>
        <w:t>4).</w:t>
      </w:r>
    </w:p>
    <w:p w:rsidR="00745BB0" w:rsidRDefault="00745BB0" w:rsidP="00E109CE">
      <w:pPr>
        <w:pStyle w:val="BodyText0"/>
        <w:rPr>
          <w:lang w:bidi="en-US"/>
        </w:rPr>
      </w:pPr>
    </w:p>
    <w:p w:rsidR="00E109CE" w:rsidRPr="000C60E4" w:rsidRDefault="00E109CE" w:rsidP="00745BB0">
      <w:pPr>
        <w:pStyle w:val="Caption"/>
        <w:rPr>
          <w:lang w:bidi="en-US"/>
        </w:rPr>
      </w:pPr>
      <w:proofErr w:type="gramStart"/>
      <w:r w:rsidRPr="000C60E4">
        <w:rPr>
          <w:lang w:bidi="en-US"/>
        </w:rPr>
        <w:t>Table 4</w:t>
      </w:r>
      <w:r>
        <w:rPr>
          <w:lang w:bidi="en-US"/>
        </w:rPr>
        <w:t>.</w:t>
      </w:r>
      <w:proofErr w:type="gramEnd"/>
      <w:r w:rsidRPr="000C60E4">
        <w:rPr>
          <w:lang w:bidi="en-US"/>
        </w:rPr>
        <w:t xml:space="preserve"> Five components of payments for family medicine staff</w:t>
      </w:r>
    </w:p>
    <w:tbl>
      <w:tblPr>
        <w:tblStyle w:val="TableGrid"/>
        <w:tblW w:w="9385" w:type="dxa"/>
        <w:tblLook w:val="04A0" w:firstRow="1" w:lastRow="0" w:firstColumn="1" w:lastColumn="0" w:noHBand="0" w:noVBand="1"/>
      </w:tblPr>
      <w:tblGrid>
        <w:gridCol w:w="2750"/>
        <w:gridCol w:w="6635"/>
      </w:tblGrid>
      <w:tr w:rsidR="00E109CE" w:rsidRPr="00745BB0" w:rsidTr="00745BB0">
        <w:trPr>
          <w:cantSplit/>
        </w:trPr>
        <w:tc>
          <w:tcPr>
            <w:tcW w:w="2750" w:type="dxa"/>
          </w:tcPr>
          <w:p w:rsidR="00E109CE" w:rsidRPr="00745BB0" w:rsidRDefault="00E109CE" w:rsidP="0040656D">
            <w:pPr>
              <w:rPr>
                <w:sz w:val="22"/>
                <w:szCs w:val="22"/>
                <w:lang w:bidi="en-US"/>
              </w:rPr>
            </w:pPr>
          </w:p>
          <w:p w:rsidR="00E109CE" w:rsidRPr="00745BB0" w:rsidRDefault="00E109CE" w:rsidP="0040656D">
            <w:pPr>
              <w:rPr>
                <w:sz w:val="22"/>
                <w:szCs w:val="22"/>
                <w:lang w:bidi="en-US"/>
              </w:rPr>
            </w:pPr>
          </w:p>
          <w:p w:rsidR="00E109CE" w:rsidRPr="00745BB0" w:rsidRDefault="00E109CE" w:rsidP="0040656D">
            <w:pPr>
              <w:rPr>
                <w:sz w:val="22"/>
                <w:szCs w:val="22"/>
                <w:lang w:bidi="en-US"/>
              </w:rPr>
            </w:pPr>
            <w:r w:rsidRPr="00745BB0">
              <w:rPr>
                <w:sz w:val="22"/>
                <w:szCs w:val="22"/>
                <w:lang w:bidi="en-US"/>
              </w:rPr>
              <w:t xml:space="preserve">A. Capitation-based payment </w:t>
            </w:r>
          </w:p>
        </w:tc>
        <w:tc>
          <w:tcPr>
            <w:tcW w:w="6635" w:type="dxa"/>
          </w:tcPr>
          <w:p w:rsidR="00E109CE" w:rsidRPr="00745BB0" w:rsidRDefault="00E109CE" w:rsidP="00E109CE">
            <w:pPr>
              <w:pStyle w:val="ListParagraph"/>
              <w:numPr>
                <w:ilvl w:val="0"/>
                <w:numId w:val="38"/>
              </w:numPr>
              <w:contextualSpacing/>
              <w:rPr>
                <w:sz w:val="22"/>
                <w:szCs w:val="22"/>
                <w:lang w:bidi="en-US"/>
              </w:rPr>
            </w:pPr>
            <w:r w:rsidRPr="00745BB0">
              <w:rPr>
                <w:sz w:val="22"/>
                <w:szCs w:val="22"/>
                <w:lang w:bidi="en-US"/>
              </w:rPr>
              <w:t>The monthly base payment for family physicians is defined with a capitation-linked formula, i.e. in proportion to the number of people registered to the family physician.</w:t>
            </w:r>
          </w:p>
          <w:p w:rsidR="00E109CE" w:rsidRPr="00745BB0" w:rsidRDefault="00E109CE" w:rsidP="00E109CE">
            <w:pPr>
              <w:pStyle w:val="ListParagraph"/>
              <w:numPr>
                <w:ilvl w:val="0"/>
                <w:numId w:val="38"/>
              </w:numPr>
              <w:contextualSpacing/>
              <w:rPr>
                <w:sz w:val="22"/>
                <w:szCs w:val="22"/>
                <w:lang w:bidi="en-US"/>
              </w:rPr>
            </w:pPr>
            <w:r w:rsidRPr="00745BB0">
              <w:rPr>
                <w:sz w:val="22"/>
                <w:szCs w:val="22"/>
                <w:lang w:bidi="en-US"/>
              </w:rPr>
              <w:t>Pregnant women have the highest payment coefficient (adjustment factor of 3), followed by prisoners (adjustment factor of 2.25), children under 4 years and the elderly over 65 years (adjustment factor of 1.6), and the general population that does not fall into any of these categories (adjustment factor of 0.79).</w:t>
            </w:r>
          </w:p>
        </w:tc>
      </w:tr>
      <w:tr w:rsidR="00E109CE" w:rsidRPr="00745BB0" w:rsidTr="00745BB0">
        <w:trPr>
          <w:cantSplit/>
        </w:trPr>
        <w:tc>
          <w:tcPr>
            <w:tcW w:w="2750" w:type="dxa"/>
          </w:tcPr>
          <w:p w:rsidR="00E109CE" w:rsidRPr="00745BB0" w:rsidRDefault="00E109CE" w:rsidP="0040656D">
            <w:pPr>
              <w:rPr>
                <w:sz w:val="22"/>
                <w:szCs w:val="22"/>
                <w:lang w:bidi="en-US"/>
              </w:rPr>
            </w:pPr>
          </w:p>
          <w:p w:rsidR="00E109CE" w:rsidRPr="00745BB0" w:rsidRDefault="00E109CE" w:rsidP="0040656D">
            <w:pPr>
              <w:rPr>
                <w:sz w:val="22"/>
                <w:szCs w:val="22"/>
                <w:lang w:bidi="en-US"/>
              </w:rPr>
            </w:pPr>
            <w:r w:rsidRPr="00745BB0">
              <w:rPr>
                <w:sz w:val="22"/>
                <w:szCs w:val="22"/>
                <w:lang w:bidi="en-US"/>
              </w:rPr>
              <w:t>B. Capitation adjusted for socioeconomic level of area</w:t>
            </w:r>
          </w:p>
        </w:tc>
        <w:tc>
          <w:tcPr>
            <w:tcW w:w="6635" w:type="dxa"/>
          </w:tcPr>
          <w:p w:rsidR="00E109CE" w:rsidRPr="00745BB0" w:rsidRDefault="00E109CE" w:rsidP="00E109CE">
            <w:pPr>
              <w:pStyle w:val="ListParagraph"/>
              <w:numPr>
                <w:ilvl w:val="0"/>
                <w:numId w:val="39"/>
              </w:numPr>
              <w:contextualSpacing/>
              <w:rPr>
                <w:sz w:val="22"/>
                <w:szCs w:val="22"/>
                <w:lang w:bidi="en-US"/>
              </w:rPr>
            </w:pPr>
            <w:r w:rsidRPr="00745BB0">
              <w:rPr>
                <w:sz w:val="22"/>
                <w:szCs w:val="22"/>
                <w:lang w:bidi="en-US"/>
              </w:rPr>
              <w:t>The monthly base payment is adjusted for the socioeconomic development of the area in which the family physician practices. Family physicians serving in less developed districts with a shortage of medical personnel receive an additional payment “service credit” on a sliding scale that is linked to the socioeconomic development index of the district.</w:t>
            </w:r>
          </w:p>
        </w:tc>
      </w:tr>
      <w:tr w:rsidR="00E109CE" w:rsidRPr="00745BB0" w:rsidTr="00745BB0">
        <w:trPr>
          <w:cantSplit/>
        </w:trPr>
        <w:tc>
          <w:tcPr>
            <w:tcW w:w="2750" w:type="dxa"/>
          </w:tcPr>
          <w:p w:rsidR="00E109CE" w:rsidRPr="00745BB0" w:rsidRDefault="00E109CE" w:rsidP="0040656D">
            <w:pPr>
              <w:rPr>
                <w:sz w:val="22"/>
                <w:szCs w:val="22"/>
                <w:lang w:bidi="en-US"/>
              </w:rPr>
            </w:pPr>
          </w:p>
          <w:p w:rsidR="00E109CE" w:rsidRPr="00745BB0" w:rsidRDefault="00E109CE" w:rsidP="0040656D">
            <w:pPr>
              <w:rPr>
                <w:sz w:val="22"/>
                <w:szCs w:val="22"/>
                <w:lang w:bidi="en-US"/>
              </w:rPr>
            </w:pPr>
          </w:p>
          <w:p w:rsidR="00E109CE" w:rsidRPr="00745BB0" w:rsidRDefault="00E109CE" w:rsidP="0040656D">
            <w:pPr>
              <w:rPr>
                <w:sz w:val="22"/>
                <w:szCs w:val="22"/>
                <w:lang w:bidi="en-US"/>
              </w:rPr>
            </w:pPr>
          </w:p>
          <w:p w:rsidR="00E109CE" w:rsidRPr="00745BB0" w:rsidRDefault="00E109CE" w:rsidP="0040656D">
            <w:pPr>
              <w:rPr>
                <w:sz w:val="22"/>
                <w:szCs w:val="22"/>
                <w:lang w:bidi="en-US"/>
              </w:rPr>
            </w:pPr>
          </w:p>
          <w:p w:rsidR="00E109CE" w:rsidRPr="00745BB0" w:rsidRDefault="00E109CE" w:rsidP="0040656D">
            <w:pPr>
              <w:rPr>
                <w:sz w:val="22"/>
                <w:szCs w:val="22"/>
                <w:lang w:bidi="en-US"/>
              </w:rPr>
            </w:pPr>
            <w:r w:rsidRPr="00745BB0">
              <w:rPr>
                <w:sz w:val="22"/>
                <w:szCs w:val="22"/>
                <w:lang w:bidi="en-US"/>
              </w:rPr>
              <w:t>C. Operational costs and other reimbursements</w:t>
            </w:r>
          </w:p>
        </w:tc>
        <w:tc>
          <w:tcPr>
            <w:tcW w:w="6635" w:type="dxa"/>
          </w:tcPr>
          <w:p w:rsidR="00E109CE" w:rsidRPr="00745BB0" w:rsidRDefault="00E109CE" w:rsidP="00E109CE">
            <w:pPr>
              <w:pStyle w:val="ListParagraph"/>
              <w:numPr>
                <w:ilvl w:val="0"/>
                <w:numId w:val="39"/>
              </w:numPr>
              <w:contextualSpacing/>
              <w:rPr>
                <w:sz w:val="22"/>
                <w:szCs w:val="22"/>
                <w:lang w:bidi="en-US"/>
              </w:rPr>
            </w:pPr>
            <w:r w:rsidRPr="00745BB0">
              <w:rPr>
                <w:sz w:val="22"/>
                <w:szCs w:val="22"/>
                <w:lang w:bidi="en-US"/>
              </w:rPr>
              <w:t>Family physicians are paid a lump sum each month to cover equipment and operational expenses including rent (where needed), electricity, fuel, water, telephone, Internet, data processing, cleaning, office supplies, small repairs, secretarial and medical consumables. This lump sum payment is calculated as 50</w:t>
            </w:r>
            <w:r w:rsidRPr="00745BB0">
              <w:rPr>
                <w:rFonts w:ascii="Courier New" w:hAnsi="Courier New" w:cs="Courier New"/>
                <w:sz w:val="22"/>
                <w:szCs w:val="22"/>
                <w:lang w:bidi="en-US"/>
              </w:rPr>
              <w:t> </w:t>
            </w:r>
            <w:r w:rsidRPr="00745BB0">
              <w:rPr>
                <w:sz w:val="22"/>
                <w:szCs w:val="22"/>
                <w:lang w:bidi="en-US"/>
              </w:rPr>
              <w:t xml:space="preserve">percent of the maximum monthly base payment. </w:t>
            </w:r>
          </w:p>
          <w:p w:rsidR="00E109CE" w:rsidRPr="00745BB0" w:rsidRDefault="00E109CE" w:rsidP="00E109CE">
            <w:pPr>
              <w:pStyle w:val="ListParagraph"/>
              <w:numPr>
                <w:ilvl w:val="0"/>
                <w:numId w:val="39"/>
              </w:numPr>
              <w:contextualSpacing/>
              <w:rPr>
                <w:rFonts w:cs="Times New Roman"/>
                <w:sz w:val="22"/>
                <w:szCs w:val="22"/>
                <w:lang w:bidi="en-US"/>
              </w:rPr>
            </w:pPr>
            <w:r w:rsidRPr="00745BB0">
              <w:rPr>
                <w:sz w:val="22"/>
                <w:szCs w:val="22"/>
              </w:rPr>
              <w:t>Depending on the category of the family medicine unit, family physicians are paid an additional lump sum payment that ranges from 10</w:t>
            </w:r>
            <w:r w:rsidRPr="00745BB0">
              <w:rPr>
                <w:rFonts w:ascii="Courier New" w:hAnsi="Courier New" w:cs="Courier New"/>
                <w:sz w:val="22"/>
                <w:szCs w:val="22"/>
              </w:rPr>
              <w:t> </w:t>
            </w:r>
            <w:r w:rsidRPr="00745BB0">
              <w:rPr>
                <w:sz w:val="22"/>
                <w:szCs w:val="22"/>
              </w:rPr>
              <w:t>percent of the maximum monthly base capitation payment for category D family medicine units to 50</w:t>
            </w:r>
            <w:r w:rsidRPr="00745BB0">
              <w:rPr>
                <w:rFonts w:ascii="Courier New" w:hAnsi="Courier New" w:cs="Courier New"/>
                <w:sz w:val="22"/>
                <w:szCs w:val="22"/>
              </w:rPr>
              <w:t> </w:t>
            </w:r>
            <w:r w:rsidRPr="00745BB0">
              <w:rPr>
                <w:sz w:val="22"/>
                <w:szCs w:val="22"/>
              </w:rPr>
              <w:t xml:space="preserve">percent of the maximum monthly base capitation payment for category </w:t>
            </w:r>
            <w:proofErr w:type="gramStart"/>
            <w:r w:rsidRPr="00745BB0">
              <w:rPr>
                <w:sz w:val="22"/>
                <w:szCs w:val="22"/>
              </w:rPr>
              <w:t>A</w:t>
            </w:r>
            <w:proofErr w:type="gramEnd"/>
            <w:r w:rsidRPr="00745BB0">
              <w:rPr>
                <w:sz w:val="22"/>
                <w:szCs w:val="22"/>
              </w:rPr>
              <w:t xml:space="preserve"> family medicine units. The purpose of this monthly lump sum payment is to ensure that family physicians have the additional resources needed to meet the mandated service delivery conditions. </w:t>
            </w:r>
          </w:p>
        </w:tc>
      </w:tr>
      <w:tr w:rsidR="00E109CE" w:rsidRPr="00745BB0" w:rsidTr="00745BB0">
        <w:trPr>
          <w:cantSplit/>
        </w:trPr>
        <w:tc>
          <w:tcPr>
            <w:tcW w:w="2750" w:type="dxa"/>
          </w:tcPr>
          <w:p w:rsidR="00E109CE" w:rsidRPr="00745BB0" w:rsidRDefault="00E109CE" w:rsidP="0040656D">
            <w:pPr>
              <w:rPr>
                <w:sz w:val="22"/>
                <w:szCs w:val="22"/>
                <w:lang w:bidi="en-US"/>
              </w:rPr>
            </w:pPr>
            <w:r w:rsidRPr="00745BB0">
              <w:rPr>
                <w:sz w:val="22"/>
                <w:szCs w:val="22"/>
                <w:lang w:bidi="en-US"/>
              </w:rPr>
              <w:t>D. Reimbursements for expenditures on laboratory tests and consumables</w:t>
            </w:r>
          </w:p>
        </w:tc>
        <w:tc>
          <w:tcPr>
            <w:tcW w:w="6635" w:type="dxa"/>
          </w:tcPr>
          <w:p w:rsidR="00E109CE" w:rsidRDefault="00C17DC6" w:rsidP="00C17DC6">
            <w:pPr>
              <w:pStyle w:val="ListParagraph"/>
              <w:numPr>
                <w:ilvl w:val="0"/>
                <w:numId w:val="44"/>
              </w:numPr>
              <w:rPr>
                <w:lang w:bidi="en-US"/>
              </w:rPr>
            </w:pPr>
            <w:r w:rsidRPr="00C17DC6">
              <w:rPr>
                <w:lang w:bidi="en-US"/>
              </w:rPr>
              <w:t>The</w:t>
            </w:r>
            <w:r>
              <w:rPr>
                <w:lang w:bidi="en-US"/>
              </w:rPr>
              <w:t xml:space="preserve"> Core Resource Management System of the </w:t>
            </w:r>
            <w:r w:rsidRPr="00C17DC6">
              <w:rPr>
                <w:lang w:bidi="en-US"/>
              </w:rPr>
              <w:t xml:space="preserve">Ministry of Health </w:t>
            </w:r>
            <w:r>
              <w:rPr>
                <w:lang w:bidi="en-US"/>
              </w:rPr>
              <w:t xml:space="preserve">is used to </w:t>
            </w:r>
            <w:r w:rsidRPr="00C17DC6">
              <w:rPr>
                <w:lang w:bidi="en-US"/>
              </w:rPr>
              <w:t>track</w:t>
            </w:r>
            <w:r>
              <w:rPr>
                <w:lang w:bidi="en-US"/>
              </w:rPr>
              <w:t xml:space="preserve"> </w:t>
            </w:r>
            <w:r w:rsidRPr="00C17DC6">
              <w:rPr>
                <w:lang w:bidi="en-US"/>
              </w:rPr>
              <w:t>budgets and expenditures</w:t>
            </w:r>
            <w:r>
              <w:rPr>
                <w:lang w:bidi="en-US"/>
              </w:rPr>
              <w:t xml:space="preserve"> of these items</w:t>
            </w:r>
            <w:r w:rsidRPr="00C17DC6">
              <w:rPr>
                <w:lang w:bidi="en-US"/>
              </w:rPr>
              <w:t>.</w:t>
            </w:r>
          </w:p>
          <w:p w:rsidR="00C17DC6" w:rsidRPr="00745BB0" w:rsidRDefault="00C17DC6" w:rsidP="00351CF3">
            <w:pPr>
              <w:pStyle w:val="ListParagraph"/>
              <w:numPr>
                <w:ilvl w:val="0"/>
                <w:numId w:val="44"/>
              </w:numPr>
              <w:rPr>
                <w:lang w:bidi="en-US"/>
              </w:rPr>
            </w:pPr>
            <w:r>
              <w:rPr>
                <w:lang w:bidi="en-US"/>
              </w:rPr>
              <w:t xml:space="preserve">Family Medicine Information System </w:t>
            </w:r>
            <w:r w:rsidR="00351CF3">
              <w:rPr>
                <w:lang w:bidi="en-US"/>
              </w:rPr>
              <w:t xml:space="preserve">includes an electronic health record for each person registered to the family physician, including </w:t>
            </w:r>
            <w:r>
              <w:rPr>
                <w:lang w:bidi="en-US"/>
              </w:rPr>
              <w:t>diagnostic test results from laboratories to which patients are referred</w:t>
            </w:r>
            <w:r w:rsidR="00351CF3">
              <w:rPr>
                <w:lang w:bidi="en-US"/>
              </w:rPr>
              <w:t xml:space="preserve">, and is used as an oversight for reimbursement of expenses to family medicine units. </w:t>
            </w:r>
          </w:p>
        </w:tc>
      </w:tr>
      <w:tr w:rsidR="00E109CE" w:rsidRPr="00745BB0" w:rsidTr="00745BB0">
        <w:trPr>
          <w:cantSplit/>
        </w:trPr>
        <w:tc>
          <w:tcPr>
            <w:tcW w:w="2750" w:type="dxa"/>
          </w:tcPr>
          <w:p w:rsidR="00E109CE" w:rsidRPr="00745BB0" w:rsidRDefault="00E109CE" w:rsidP="0040656D">
            <w:pPr>
              <w:rPr>
                <w:sz w:val="22"/>
                <w:szCs w:val="22"/>
                <w:lang w:bidi="en-US"/>
              </w:rPr>
            </w:pPr>
          </w:p>
          <w:p w:rsidR="00E109CE" w:rsidRPr="00745BB0" w:rsidRDefault="00E109CE" w:rsidP="0040656D">
            <w:pPr>
              <w:rPr>
                <w:sz w:val="22"/>
                <w:szCs w:val="22"/>
                <w:lang w:bidi="en-US"/>
              </w:rPr>
            </w:pPr>
            <w:r w:rsidRPr="00745BB0">
              <w:rPr>
                <w:sz w:val="22"/>
                <w:szCs w:val="22"/>
                <w:lang w:bidi="en-US"/>
              </w:rPr>
              <w:t>E. Ambulatory health care service fees</w:t>
            </w:r>
          </w:p>
          <w:p w:rsidR="00E109CE" w:rsidRPr="00745BB0" w:rsidRDefault="00E109CE" w:rsidP="0040656D">
            <w:pPr>
              <w:rPr>
                <w:sz w:val="22"/>
                <w:szCs w:val="22"/>
                <w:lang w:bidi="en-US"/>
              </w:rPr>
            </w:pPr>
          </w:p>
        </w:tc>
        <w:tc>
          <w:tcPr>
            <w:tcW w:w="6635" w:type="dxa"/>
          </w:tcPr>
          <w:p w:rsidR="00E109CE" w:rsidRPr="00745BB0" w:rsidRDefault="00E109CE" w:rsidP="00E109CE">
            <w:pPr>
              <w:pStyle w:val="ListParagraph"/>
              <w:numPr>
                <w:ilvl w:val="0"/>
                <w:numId w:val="40"/>
              </w:numPr>
              <w:contextualSpacing/>
              <w:rPr>
                <w:sz w:val="22"/>
                <w:szCs w:val="22"/>
                <w:lang w:bidi="en-US"/>
              </w:rPr>
            </w:pPr>
            <w:r w:rsidRPr="00745BB0">
              <w:rPr>
                <w:sz w:val="22"/>
                <w:szCs w:val="22"/>
                <w:lang w:bidi="en-US"/>
              </w:rPr>
              <w:t>To meet mobile health care service expenditures, family physicians receive an additional lump sum payment of 1.6</w:t>
            </w:r>
            <w:r w:rsidRPr="00745BB0">
              <w:rPr>
                <w:rFonts w:ascii="Courier New" w:hAnsi="Courier New" w:cs="Courier New"/>
                <w:sz w:val="22"/>
                <w:szCs w:val="22"/>
                <w:lang w:bidi="en-US"/>
              </w:rPr>
              <w:t> </w:t>
            </w:r>
            <w:r w:rsidRPr="00745BB0">
              <w:rPr>
                <w:sz w:val="22"/>
                <w:szCs w:val="22"/>
                <w:lang w:bidi="en-US"/>
              </w:rPr>
              <w:t xml:space="preserve">percent of the maximum base capitation payment for every 100 persons who receive mobile services. </w:t>
            </w:r>
          </w:p>
        </w:tc>
      </w:tr>
    </w:tbl>
    <w:p w:rsidR="00E109CE" w:rsidRPr="0051681F" w:rsidRDefault="00E109CE" w:rsidP="00745BB0">
      <w:pPr>
        <w:pStyle w:val="Source"/>
      </w:pPr>
      <w:r w:rsidRPr="0051681F">
        <w:t xml:space="preserve"> Source: World Bank 2013.</w:t>
      </w:r>
    </w:p>
    <w:p w:rsidR="00745BB0" w:rsidRDefault="00745BB0" w:rsidP="00E109CE">
      <w:pPr>
        <w:pStyle w:val="BodyText0"/>
        <w:rPr>
          <w:lang w:bidi="en-US"/>
        </w:rPr>
      </w:pPr>
    </w:p>
    <w:p w:rsidR="00745BB0" w:rsidRDefault="00745BB0" w:rsidP="00E109CE">
      <w:pPr>
        <w:pStyle w:val="BodyText0"/>
        <w:rPr>
          <w:lang w:bidi="en-US"/>
        </w:rPr>
      </w:pPr>
    </w:p>
    <w:p w:rsidR="00E109CE" w:rsidRDefault="00E109CE" w:rsidP="00745BB0">
      <w:pPr>
        <w:pStyle w:val="BodyText0"/>
        <w:jc w:val="both"/>
        <w:rPr>
          <w:lang w:bidi="en-US"/>
        </w:rPr>
      </w:pPr>
      <w:r w:rsidRPr="000C60E4">
        <w:rPr>
          <w:lang w:bidi="en-US"/>
        </w:rPr>
        <w:t>In public hospitals doctors are paid both by salary and through revolving funds based on their performance in the previous month based on specified individual and institutional criteria. There is no differentiation between medical specialties as performance is graded by medical procedures. A different coefficient based on the difficulty and time demand is assigned to medical procedures ranging from medical examination to operation and invasive diagnostic techniques. The coefficients differ for part-time practitioners, specialists and for some departments such as intensive care, dialysis, operating rooms, and emergency.</w:t>
      </w:r>
    </w:p>
    <w:p w:rsidR="00745BB0" w:rsidRDefault="007D7CBC" w:rsidP="00745BB0">
      <w:pPr>
        <w:pStyle w:val="BodyText0"/>
        <w:jc w:val="both"/>
        <w:rPr>
          <w:lang w:bidi="en-US"/>
        </w:rPr>
      </w:pPr>
      <w:r>
        <w:rPr>
          <w:lang w:bidi="en-US"/>
        </w:rPr>
        <w:t xml:space="preserve">The range of provider payment types under the current health system are described in Table 5, below.  They include: </w:t>
      </w:r>
      <w:r w:rsidR="00745BB0">
        <w:rPr>
          <w:lang w:bidi="en-US"/>
        </w:rPr>
        <w:t>Case-based payment</w:t>
      </w:r>
      <w:r>
        <w:rPr>
          <w:lang w:bidi="en-US"/>
        </w:rPr>
        <w:t>s such as diagnostic related groups - CP</w:t>
      </w:r>
      <w:r w:rsidR="00745BB0">
        <w:rPr>
          <w:lang w:bidi="en-US"/>
        </w:rPr>
        <w:t>;</w:t>
      </w:r>
      <w:r>
        <w:rPr>
          <w:lang w:bidi="en-US"/>
        </w:rPr>
        <w:t xml:space="preserve"> p</w:t>
      </w:r>
      <w:r w:rsidR="00745BB0">
        <w:rPr>
          <w:lang w:bidi="en-US"/>
        </w:rPr>
        <w:t>reference price system to subsidize medical goods and pharmac</w:t>
      </w:r>
      <w:r>
        <w:rPr>
          <w:lang w:bidi="en-US"/>
        </w:rPr>
        <w:t>euticals purchased by patients (RP); c</w:t>
      </w:r>
      <w:r w:rsidR="00745BB0">
        <w:rPr>
          <w:lang w:bidi="en-US"/>
        </w:rPr>
        <w:t xml:space="preserve">apitation </w:t>
      </w:r>
      <w:r>
        <w:rPr>
          <w:lang w:bidi="en-US"/>
        </w:rPr>
        <w:t xml:space="preserve">for </w:t>
      </w:r>
      <w:r w:rsidR="00745BB0">
        <w:rPr>
          <w:lang w:bidi="en-US"/>
        </w:rPr>
        <w:t>all services for an individual for a fixed period of time</w:t>
      </w:r>
      <w:r>
        <w:rPr>
          <w:lang w:bidi="en-US"/>
        </w:rPr>
        <w:t xml:space="preserve"> (CP</w:t>
      </w:r>
      <w:r w:rsidR="00745BB0">
        <w:rPr>
          <w:lang w:bidi="en-US"/>
        </w:rPr>
        <w:t>);</w:t>
      </w:r>
      <w:r>
        <w:rPr>
          <w:lang w:bidi="en-US"/>
        </w:rPr>
        <w:t xml:space="preserve"> </w:t>
      </w:r>
      <w:r w:rsidR="00745BB0">
        <w:rPr>
          <w:lang w:bidi="en-US"/>
        </w:rPr>
        <w:t>Performance-related pay</w:t>
      </w:r>
      <w:r>
        <w:rPr>
          <w:lang w:bidi="en-US"/>
        </w:rPr>
        <w:t xml:space="preserve"> (P4P)</w:t>
      </w:r>
      <w:r w:rsidR="00745BB0">
        <w:rPr>
          <w:lang w:bidi="en-US"/>
        </w:rPr>
        <w:t xml:space="preserve">; </w:t>
      </w:r>
      <w:r>
        <w:rPr>
          <w:lang w:bidi="en-US"/>
        </w:rPr>
        <w:t xml:space="preserve">and </w:t>
      </w:r>
      <w:r w:rsidR="00745BB0">
        <w:rPr>
          <w:lang w:bidi="en-US"/>
        </w:rPr>
        <w:t>fee for service</w:t>
      </w:r>
      <w:r>
        <w:rPr>
          <w:lang w:bidi="en-US"/>
        </w:rPr>
        <w:t xml:space="preserve"> (FFS)</w:t>
      </w:r>
      <w:r w:rsidR="00745BB0">
        <w:rPr>
          <w:lang w:bidi="en-US"/>
        </w:rPr>
        <w:t>.</w:t>
      </w:r>
      <w:r>
        <w:rPr>
          <w:lang w:bidi="en-US"/>
        </w:rPr>
        <w:t xml:space="preserve">  For public hospitals there is a performance based payment system for the personnel, which covers all categories workers including administrative personnel.</w:t>
      </w:r>
    </w:p>
    <w:p w:rsidR="00745BB0" w:rsidRDefault="00745BB0" w:rsidP="00745BB0">
      <w:pPr>
        <w:pStyle w:val="BodyText0"/>
        <w:jc w:val="both"/>
        <w:rPr>
          <w:lang w:bidi="en-US"/>
        </w:rPr>
      </w:pPr>
    </w:p>
    <w:p w:rsidR="007D7CBC" w:rsidRDefault="007D7CBC" w:rsidP="00745BB0">
      <w:pPr>
        <w:pStyle w:val="BodyText0"/>
        <w:jc w:val="both"/>
        <w:rPr>
          <w:lang w:bidi="en-US"/>
        </w:rPr>
      </w:pPr>
    </w:p>
    <w:p w:rsidR="00E109CE" w:rsidRPr="000C60E4" w:rsidRDefault="00E109CE" w:rsidP="007D7CBC">
      <w:pPr>
        <w:pStyle w:val="Caption"/>
        <w:rPr>
          <w:lang w:bidi="en-US"/>
        </w:rPr>
      </w:pPr>
      <w:proofErr w:type="gramStart"/>
      <w:r w:rsidRPr="000C60E4">
        <w:rPr>
          <w:lang w:bidi="en-US"/>
        </w:rPr>
        <w:t>Table 5</w:t>
      </w:r>
      <w:r>
        <w:rPr>
          <w:lang w:bidi="en-US"/>
        </w:rPr>
        <w:t>.</w:t>
      </w:r>
      <w:proofErr w:type="gramEnd"/>
      <w:r w:rsidRPr="000C60E4">
        <w:rPr>
          <w:lang w:bidi="en-US"/>
        </w:rPr>
        <w:t xml:space="preserve"> Payment systems </w:t>
      </w:r>
    </w:p>
    <w:tbl>
      <w:tblPr>
        <w:tblStyle w:val="TableGrid"/>
        <w:tblW w:w="0" w:type="auto"/>
        <w:tblCellMar>
          <w:left w:w="115" w:type="dxa"/>
          <w:right w:w="115" w:type="dxa"/>
        </w:tblCellMar>
        <w:tblLook w:val="04A0" w:firstRow="1" w:lastRow="0" w:firstColumn="1" w:lastColumn="0" w:noHBand="0" w:noVBand="1"/>
      </w:tblPr>
      <w:tblGrid>
        <w:gridCol w:w="6276"/>
        <w:gridCol w:w="1551"/>
        <w:gridCol w:w="1763"/>
      </w:tblGrid>
      <w:tr w:rsidR="00E109CE" w:rsidRPr="007D7CBC" w:rsidTr="00C458E4">
        <w:trPr>
          <w:trHeight w:val="629"/>
        </w:trPr>
        <w:tc>
          <w:tcPr>
            <w:tcW w:w="0" w:type="auto"/>
          </w:tcPr>
          <w:p w:rsidR="00E109CE" w:rsidRPr="007D7CBC" w:rsidRDefault="00E109CE" w:rsidP="007D7CBC">
            <w:pPr>
              <w:jc w:val="center"/>
              <w:rPr>
                <w:b/>
              </w:rPr>
            </w:pPr>
            <w:r w:rsidRPr="007D7CBC">
              <w:rPr>
                <w:b/>
              </w:rPr>
              <w:t>Service type</w:t>
            </w:r>
          </w:p>
        </w:tc>
        <w:tc>
          <w:tcPr>
            <w:tcW w:w="0" w:type="auto"/>
          </w:tcPr>
          <w:p w:rsidR="00E109CE" w:rsidRPr="007D7CBC" w:rsidRDefault="00E109CE" w:rsidP="007D7CBC">
            <w:pPr>
              <w:jc w:val="center"/>
              <w:rPr>
                <w:b/>
              </w:rPr>
            </w:pPr>
            <w:r w:rsidRPr="007D7CBC">
              <w:rPr>
                <w:b/>
              </w:rPr>
              <w:t>Payment system</w:t>
            </w:r>
          </w:p>
        </w:tc>
        <w:tc>
          <w:tcPr>
            <w:tcW w:w="0" w:type="auto"/>
          </w:tcPr>
          <w:p w:rsidR="00E109CE" w:rsidRPr="007D7CBC" w:rsidRDefault="00E109CE" w:rsidP="007D7CBC">
            <w:pPr>
              <w:jc w:val="center"/>
              <w:rPr>
                <w:b/>
              </w:rPr>
            </w:pPr>
            <w:r w:rsidRPr="007D7CBC">
              <w:rPr>
                <w:b/>
              </w:rPr>
              <w:t>Utilization controls</w:t>
            </w:r>
          </w:p>
        </w:tc>
      </w:tr>
      <w:tr w:rsidR="00E109CE" w:rsidRPr="007D7CBC" w:rsidTr="00C458E4">
        <w:trPr>
          <w:trHeight w:val="432"/>
        </w:trPr>
        <w:tc>
          <w:tcPr>
            <w:tcW w:w="0" w:type="auto"/>
          </w:tcPr>
          <w:p w:rsidR="00E109CE" w:rsidRPr="007D7CBC" w:rsidRDefault="00E109CE" w:rsidP="00C458E4">
            <w:r w:rsidRPr="007D7CBC">
              <w:t xml:space="preserve">Inpatient </w:t>
            </w:r>
            <w:proofErr w:type="spellStart"/>
            <w:r w:rsidRPr="007D7CBC">
              <w:t>services</w:t>
            </w:r>
            <w:r w:rsidRPr="007D7CBC">
              <w:rPr>
                <w:vertAlign w:val="superscript"/>
              </w:rPr>
              <w:t>a</w:t>
            </w:r>
            <w:proofErr w:type="spellEnd"/>
          </w:p>
        </w:tc>
        <w:tc>
          <w:tcPr>
            <w:tcW w:w="0" w:type="auto"/>
          </w:tcPr>
          <w:p w:rsidR="00E109CE" w:rsidRPr="007D7CBC" w:rsidRDefault="00E109CE" w:rsidP="00C458E4"/>
        </w:tc>
        <w:tc>
          <w:tcPr>
            <w:tcW w:w="0" w:type="auto"/>
          </w:tcPr>
          <w:p w:rsidR="00E109CE" w:rsidRPr="007D7CBC" w:rsidRDefault="00E109CE" w:rsidP="00C458E4"/>
        </w:tc>
      </w:tr>
      <w:tr w:rsidR="00E109CE" w:rsidRPr="007D7CBC" w:rsidTr="00C458E4">
        <w:trPr>
          <w:trHeight w:val="432"/>
        </w:trPr>
        <w:tc>
          <w:tcPr>
            <w:tcW w:w="0" w:type="auto"/>
          </w:tcPr>
          <w:p w:rsidR="00E109CE" w:rsidRPr="007D7CBC" w:rsidRDefault="00E109CE" w:rsidP="00C458E4">
            <w:r w:rsidRPr="007D7CBC">
              <w:t>Birth delivery</w:t>
            </w:r>
          </w:p>
        </w:tc>
        <w:tc>
          <w:tcPr>
            <w:tcW w:w="0" w:type="auto"/>
          </w:tcPr>
          <w:p w:rsidR="00E109CE" w:rsidRPr="007D7CBC" w:rsidRDefault="00E109CE" w:rsidP="00C458E4">
            <w:r w:rsidRPr="007D7CBC">
              <w:t>CP</w:t>
            </w:r>
          </w:p>
        </w:tc>
        <w:tc>
          <w:tcPr>
            <w:tcW w:w="0" w:type="auto"/>
          </w:tcPr>
          <w:p w:rsidR="00E109CE" w:rsidRPr="007D7CBC" w:rsidRDefault="00E109CE" w:rsidP="00C458E4"/>
        </w:tc>
      </w:tr>
      <w:tr w:rsidR="00E109CE" w:rsidRPr="007D7CBC" w:rsidTr="00C458E4">
        <w:trPr>
          <w:trHeight w:val="432"/>
        </w:trPr>
        <w:tc>
          <w:tcPr>
            <w:tcW w:w="0" w:type="auto"/>
          </w:tcPr>
          <w:p w:rsidR="00E109CE" w:rsidRPr="007D7CBC" w:rsidRDefault="00E109CE" w:rsidP="00C458E4">
            <w:r w:rsidRPr="007D7CBC">
              <w:t>Emergency services</w:t>
            </w:r>
          </w:p>
        </w:tc>
        <w:tc>
          <w:tcPr>
            <w:tcW w:w="0" w:type="auto"/>
          </w:tcPr>
          <w:p w:rsidR="00E109CE" w:rsidRPr="007D7CBC" w:rsidRDefault="00E109CE" w:rsidP="00C458E4">
            <w:r w:rsidRPr="007D7CBC">
              <w:t>CP</w:t>
            </w:r>
          </w:p>
        </w:tc>
        <w:tc>
          <w:tcPr>
            <w:tcW w:w="0" w:type="auto"/>
          </w:tcPr>
          <w:p w:rsidR="00E109CE" w:rsidRPr="007D7CBC" w:rsidRDefault="00E109CE" w:rsidP="00C458E4"/>
        </w:tc>
      </w:tr>
      <w:tr w:rsidR="00E109CE" w:rsidRPr="007D7CBC" w:rsidTr="00C458E4">
        <w:trPr>
          <w:trHeight w:val="432"/>
        </w:trPr>
        <w:tc>
          <w:tcPr>
            <w:tcW w:w="0" w:type="auto"/>
          </w:tcPr>
          <w:p w:rsidR="00E109CE" w:rsidRPr="007D7CBC" w:rsidRDefault="00E109CE" w:rsidP="00C458E4">
            <w:r w:rsidRPr="007D7CBC">
              <w:t>Other Inpatient hospital services</w:t>
            </w:r>
          </w:p>
        </w:tc>
        <w:tc>
          <w:tcPr>
            <w:tcW w:w="0" w:type="auto"/>
          </w:tcPr>
          <w:p w:rsidR="00E109CE" w:rsidRPr="007D7CBC" w:rsidRDefault="00E109CE" w:rsidP="00C458E4"/>
        </w:tc>
        <w:tc>
          <w:tcPr>
            <w:tcW w:w="0" w:type="auto"/>
          </w:tcPr>
          <w:p w:rsidR="00E109CE" w:rsidRPr="007D7CBC" w:rsidRDefault="00E109CE" w:rsidP="00C458E4"/>
        </w:tc>
      </w:tr>
      <w:tr w:rsidR="00E109CE" w:rsidRPr="007D7CBC" w:rsidTr="00C458E4">
        <w:trPr>
          <w:trHeight w:val="432"/>
        </w:trPr>
        <w:tc>
          <w:tcPr>
            <w:tcW w:w="0" w:type="auto"/>
          </w:tcPr>
          <w:p w:rsidR="00E109CE" w:rsidRPr="007D7CBC" w:rsidRDefault="00E109CE" w:rsidP="00C458E4">
            <w:r w:rsidRPr="007D7CBC">
              <w:t>Hospital component (hotel services, nursing care, disposables, tests)</w:t>
            </w:r>
          </w:p>
        </w:tc>
        <w:tc>
          <w:tcPr>
            <w:tcW w:w="0" w:type="auto"/>
          </w:tcPr>
          <w:p w:rsidR="00E109CE" w:rsidRPr="007D7CBC" w:rsidRDefault="00E109CE" w:rsidP="00C458E4">
            <w:r w:rsidRPr="007D7CBC">
              <w:t>CP</w:t>
            </w:r>
          </w:p>
        </w:tc>
        <w:tc>
          <w:tcPr>
            <w:tcW w:w="0" w:type="auto"/>
          </w:tcPr>
          <w:p w:rsidR="00E109CE" w:rsidRPr="007D7CBC" w:rsidRDefault="00E109CE" w:rsidP="00C458E4"/>
        </w:tc>
      </w:tr>
      <w:tr w:rsidR="00E109CE" w:rsidRPr="007D7CBC" w:rsidTr="00C458E4">
        <w:trPr>
          <w:trHeight w:val="432"/>
        </w:trPr>
        <w:tc>
          <w:tcPr>
            <w:tcW w:w="0" w:type="auto"/>
          </w:tcPr>
          <w:p w:rsidR="00E109CE" w:rsidRPr="007D7CBC" w:rsidRDefault="00E109CE" w:rsidP="00C458E4">
            <w:r w:rsidRPr="007D7CBC">
              <w:t>Physician service components</w:t>
            </w:r>
          </w:p>
        </w:tc>
        <w:tc>
          <w:tcPr>
            <w:tcW w:w="0" w:type="auto"/>
          </w:tcPr>
          <w:p w:rsidR="00E109CE" w:rsidRPr="007D7CBC" w:rsidRDefault="00E109CE" w:rsidP="00C458E4">
            <w:r w:rsidRPr="007D7CBC">
              <w:t>CP</w:t>
            </w:r>
          </w:p>
        </w:tc>
        <w:tc>
          <w:tcPr>
            <w:tcW w:w="0" w:type="auto"/>
          </w:tcPr>
          <w:p w:rsidR="00E109CE" w:rsidRPr="007D7CBC" w:rsidRDefault="00E109CE" w:rsidP="00C458E4"/>
        </w:tc>
      </w:tr>
      <w:tr w:rsidR="00E109CE" w:rsidRPr="007D7CBC" w:rsidTr="00C458E4">
        <w:trPr>
          <w:trHeight w:val="432"/>
        </w:trPr>
        <w:tc>
          <w:tcPr>
            <w:tcW w:w="0" w:type="auto"/>
          </w:tcPr>
          <w:p w:rsidR="00E109CE" w:rsidRPr="007D7CBC" w:rsidRDefault="00E109CE" w:rsidP="00C458E4">
            <w:r w:rsidRPr="007D7CBC">
              <w:t>Pharmaceuticals</w:t>
            </w:r>
          </w:p>
        </w:tc>
        <w:tc>
          <w:tcPr>
            <w:tcW w:w="0" w:type="auto"/>
          </w:tcPr>
          <w:p w:rsidR="00E109CE" w:rsidRPr="007D7CBC" w:rsidRDefault="00E109CE" w:rsidP="00C458E4">
            <w:r w:rsidRPr="007D7CBC">
              <w:t>RP</w:t>
            </w:r>
          </w:p>
        </w:tc>
        <w:tc>
          <w:tcPr>
            <w:tcW w:w="0" w:type="auto"/>
          </w:tcPr>
          <w:p w:rsidR="00E109CE" w:rsidRPr="007D7CBC" w:rsidRDefault="00E109CE" w:rsidP="00C458E4"/>
        </w:tc>
      </w:tr>
      <w:tr w:rsidR="00E109CE" w:rsidRPr="007D7CBC" w:rsidTr="00C458E4">
        <w:trPr>
          <w:trHeight w:val="432"/>
        </w:trPr>
        <w:tc>
          <w:tcPr>
            <w:tcW w:w="0" w:type="auto"/>
          </w:tcPr>
          <w:p w:rsidR="00E109CE" w:rsidRPr="007D7CBC" w:rsidRDefault="00E109CE" w:rsidP="00C458E4">
            <w:r w:rsidRPr="007D7CBC">
              <w:t>Diagnostic imaging</w:t>
            </w:r>
          </w:p>
        </w:tc>
        <w:tc>
          <w:tcPr>
            <w:tcW w:w="0" w:type="auto"/>
          </w:tcPr>
          <w:p w:rsidR="00E109CE" w:rsidRPr="007D7CBC" w:rsidRDefault="00E109CE" w:rsidP="00C458E4">
            <w:r w:rsidRPr="007D7CBC">
              <w:t>CP</w:t>
            </w:r>
          </w:p>
        </w:tc>
        <w:tc>
          <w:tcPr>
            <w:tcW w:w="0" w:type="auto"/>
          </w:tcPr>
          <w:p w:rsidR="00E109CE" w:rsidRPr="007D7CBC" w:rsidRDefault="00E109CE" w:rsidP="00C458E4"/>
        </w:tc>
      </w:tr>
      <w:tr w:rsidR="00E109CE" w:rsidRPr="007D7CBC" w:rsidTr="00C458E4">
        <w:trPr>
          <w:trHeight w:val="432"/>
        </w:trPr>
        <w:tc>
          <w:tcPr>
            <w:tcW w:w="0" w:type="auto"/>
          </w:tcPr>
          <w:p w:rsidR="00E109CE" w:rsidRPr="007D7CBC" w:rsidRDefault="00E109CE" w:rsidP="00C458E4">
            <w:r w:rsidRPr="007D7CBC">
              <w:t>Adjustments (e.g. teaching, disp. share of poor, capital)</w:t>
            </w:r>
          </w:p>
        </w:tc>
        <w:tc>
          <w:tcPr>
            <w:tcW w:w="0" w:type="auto"/>
          </w:tcPr>
          <w:p w:rsidR="00E109CE" w:rsidRPr="007D7CBC" w:rsidRDefault="00E109CE" w:rsidP="00C458E4"/>
        </w:tc>
        <w:tc>
          <w:tcPr>
            <w:tcW w:w="0" w:type="auto"/>
          </w:tcPr>
          <w:p w:rsidR="00E109CE" w:rsidRPr="007D7CBC" w:rsidRDefault="00E109CE" w:rsidP="00C458E4"/>
        </w:tc>
      </w:tr>
      <w:tr w:rsidR="00E109CE" w:rsidRPr="007D7CBC" w:rsidTr="00C458E4">
        <w:trPr>
          <w:trHeight w:val="432"/>
        </w:trPr>
        <w:tc>
          <w:tcPr>
            <w:tcW w:w="0" w:type="auto"/>
          </w:tcPr>
          <w:p w:rsidR="00E109CE" w:rsidRPr="007D7CBC" w:rsidRDefault="00E109CE" w:rsidP="00C458E4">
            <w:r w:rsidRPr="007D7CBC">
              <w:t>Outpatient Services</w:t>
            </w:r>
          </w:p>
        </w:tc>
        <w:tc>
          <w:tcPr>
            <w:tcW w:w="0" w:type="auto"/>
          </w:tcPr>
          <w:p w:rsidR="00E109CE" w:rsidRPr="007D7CBC" w:rsidRDefault="00E109CE" w:rsidP="00C458E4"/>
        </w:tc>
        <w:tc>
          <w:tcPr>
            <w:tcW w:w="0" w:type="auto"/>
          </w:tcPr>
          <w:p w:rsidR="00E109CE" w:rsidRPr="007D7CBC" w:rsidRDefault="00E109CE" w:rsidP="00C458E4"/>
        </w:tc>
      </w:tr>
      <w:tr w:rsidR="00E109CE" w:rsidRPr="007D7CBC" w:rsidTr="00C458E4">
        <w:trPr>
          <w:trHeight w:val="432"/>
        </w:trPr>
        <w:tc>
          <w:tcPr>
            <w:tcW w:w="0" w:type="auto"/>
          </w:tcPr>
          <w:p w:rsidR="00E109CE" w:rsidRPr="007D7CBC" w:rsidRDefault="00E109CE" w:rsidP="00C458E4">
            <w:r w:rsidRPr="007D7CBC">
              <w:t>Public health services, such as immunizations</w:t>
            </w:r>
          </w:p>
        </w:tc>
        <w:tc>
          <w:tcPr>
            <w:tcW w:w="0" w:type="auto"/>
          </w:tcPr>
          <w:p w:rsidR="00E109CE" w:rsidRPr="007D7CBC" w:rsidRDefault="00E109CE" w:rsidP="00C458E4">
            <w:r w:rsidRPr="007D7CBC">
              <w:t>CAP, P4P</w:t>
            </w:r>
          </w:p>
        </w:tc>
        <w:tc>
          <w:tcPr>
            <w:tcW w:w="0" w:type="auto"/>
          </w:tcPr>
          <w:p w:rsidR="00E109CE" w:rsidRPr="007D7CBC" w:rsidRDefault="00E109CE" w:rsidP="00C458E4"/>
        </w:tc>
      </w:tr>
      <w:tr w:rsidR="00E109CE" w:rsidRPr="007D7CBC" w:rsidTr="00C458E4">
        <w:trPr>
          <w:trHeight w:val="432"/>
        </w:trPr>
        <w:tc>
          <w:tcPr>
            <w:tcW w:w="0" w:type="auto"/>
          </w:tcPr>
          <w:p w:rsidR="00E109CE" w:rsidRPr="007D7CBC" w:rsidRDefault="00E109CE" w:rsidP="00C458E4">
            <w:r w:rsidRPr="007D7CBC">
              <w:t>Outpatient primary care contacts</w:t>
            </w:r>
          </w:p>
        </w:tc>
        <w:tc>
          <w:tcPr>
            <w:tcW w:w="0" w:type="auto"/>
          </w:tcPr>
          <w:p w:rsidR="00E109CE" w:rsidRPr="007D7CBC" w:rsidRDefault="00E109CE" w:rsidP="00C458E4">
            <w:r w:rsidRPr="007D7CBC">
              <w:t>CAP, P4P</w:t>
            </w:r>
          </w:p>
        </w:tc>
        <w:tc>
          <w:tcPr>
            <w:tcW w:w="0" w:type="auto"/>
          </w:tcPr>
          <w:p w:rsidR="00E109CE" w:rsidRPr="007D7CBC" w:rsidRDefault="00E109CE" w:rsidP="00C458E4"/>
        </w:tc>
      </w:tr>
      <w:tr w:rsidR="00E109CE" w:rsidRPr="007D7CBC" w:rsidTr="00C458E4">
        <w:trPr>
          <w:trHeight w:val="432"/>
        </w:trPr>
        <w:tc>
          <w:tcPr>
            <w:tcW w:w="0" w:type="auto"/>
          </w:tcPr>
          <w:p w:rsidR="00E109CE" w:rsidRPr="007D7CBC" w:rsidRDefault="00E109CE" w:rsidP="00C458E4">
            <w:r w:rsidRPr="007D7CBC">
              <w:t>Outpatient specialist contacts</w:t>
            </w:r>
          </w:p>
        </w:tc>
        <w:tc>
          <w:tcPr>
            <w:tcW w:w="0" w:type="auto"/>
          </w:tcPr>
          <w:p w:rsidR="00E109CE" w:rsidRPr="007D7CBC" w:rsidRDefault="00E109CE" w:rsidP="00C458E4">
            <w:r w:rsidRPr="007D7CBC">
              <w:t>FFS</w:t>
            </w:r>
          </w:p>
        </w:tc>
        <w:tc>
          <w:tcPr>
            <w:tcW w:w="0" w:type="auto"/>
          </w:tcPr>
          <w:p w:rsidR="00E109CE" w:rsidRPr="007D7CBC" w:rsidRDefault="00E109CE" w:rsidP="00C458E4">
            <w:r w:rsidRPr="007D7CBC">
              <w:t>Copayment</w:t>
            </w:r>
          </w:p>
        </w:tc>
      </w:tr>
      <w:tr w:rsidR="00E109CE" w:rsidRPr="007D7CBC" w:rsidTr="00C458E4">
        <w:trPr>
          <w:trHeight w:val="432"/>
        </w:trPr>
        <w:tc>
          <w:tcPr>
            <w:tcW w:w="0" w:type="auto"/>
          </w:tcPr>
          <w:p w:rsidR="00E109CE" w:rsidRPr="007D7CBC" w:rsidRDefault="00E109CE" w:rsidP="00C458E4">
            <w:r w:rsidRPr="007D7CBC">
              <w:t xml:space="preserve">Pharmaceuticals for outpatient services </w:t>
            </w:r>
          </w:p>
        </w:tc>
        <w:tc>
          <w:tcPr>
            <w:tcW w:w="0" w:type="auto"/>
          </w:tcPr>
          <w:p w:rsidR="00E109CE" w:rsidRPr="007D7CBC" w:rsidRDefault="00E109CE" w:rsidP="00C458E4">
            <w:r w:rsidRPr="007D7CBC">
              <w:t>RP</w:t>
            </w:r>
          </w:p>
        </w:tc>
        <w:tc>
          <w:tcPr>
            <w:tcW w:w="0" w:type="auto"/>
          </w:tcPr>
          <w:p w:rsidR="00E109CE" w:rsidRPr="007D7CBC" w:rsidRDefault="00E109CE" w:rsidP="00C458E4">
            <w:r w:rsidRPr="007D7CBC">
              <w:t>Copayment</w:t>
            </w:r>
          </w:p>
        </w:tc>
      </w:tr>
      <w:tr w:rsidR="00E109CE" w:rsidRPr="007D7CBC" w:rsidTr="00C458E4">
        <w:trPr>
          <w:trHeight w:val="432"/>
        </w:trPr>
        <w:tc>
          <w:tcPr>
            <w:tcW w:w="0" w:type="auto"/>
          </w:tcPr>
          <w:p w:rsidR="00E109CE" w:rsidRPr="007D7CBC" w:rsidRDefault="00E109CE" w:rsidP="00C458E4">
            <w:r w:rsidRPr="007D7CBC">
              <w:t>Clinical laboratory tests for outpatient services</w:t>
            </w:r>
          </w:p>
        </w:tc>
        <w:tc>
          <w:tcPr>
            <w:tcW w:w="0" w:type="auto"/>
          </w:tcPr>
          <w:p w:rsidR="00E109CE" w:rsidRPr="007D7CBC" w:rsidRDefault="00E109CE" w:rsidP="00C458E4">
            <w:r w:rsidRPr="007D7CBC">
              <w:t>FFS</w:t>
            </w:r>
          </w:p>
        </w:tc>
        <w:tc>
          <w:tcPr>
            <w:tcW w:w="0" w:type="auto"/>
          </w:tcPr>
          <w:p w:rsidR="00E109CE" w:rsidRPr="007D7CBC" w:rsidRDefault="00E109CE" w:rsidP="00C458E4"/>
        </w:tc>
      </w:tr>
      <w:tr w:rsidR="00E109CE" w:rsidRPr="007D7CBC" w:rsidTr="00C458E4">
        <w:trPr>
          <w:trHeight w:val="432"/>
        </w:trPr>
        <w:tc>
          <w:tcPr>
            <w:tcW w:w="0" w:type="auto"/>
          </w:tcPr>
          <w:p w:rsidR="00E109CE" w:rsidRPr="007D7CBC" w:rsidRDefault="00E109CE" w:rsidP="00C458E4">
            <w:r w:rsidRPr="007D7CBC">
              <w:t>Diagnostic imaging for outpatient services– basic (X rays and ultrasound)</w:t>
            </w:r>
          </w:p>
        </w:tc>
        <w:tc>
          <w:tcPr>
            <w:tcW w:w="0" w:type="auto"/>
          </w:tcPr>
          <w:p w:rsidR="00E109CE" w:rsidRPr="007D7CBC" w:rsidRDefault="00E109CE" w:rsidP="00C458E4">
            <w:r w:rsidRPr="007D7CBC">
              <w:t>FFS</w:t>
            </w:r>
          </w:p>
        </w:tc>
        <w:tc>
          <w:tcPr>
            <w:tcW w:w="0" w:type="auto"/>
          </w:tcPr>
          <w:p w:rsidR="00E109CE" w:rsidRPr="007D7CBC" w:rsidRDefault="00E109CE" w:rsidP="00C458E4"/>
        </w:tc>
      </w:tr>
      <w:tr w:rsidR="00E109CE" w:rsidRPr="007D7CBC" w:rsidTr="00C458E4">
        <w:trPr>
          <w:trHeight w:val="432"/>
        </w:trPr>
        <w:tc>
          <w:tcPr>
            <w:tcW w:w="0" w:type="auto"/>
          </w:tcPr>
          <w:p w:rsidR="00E109CE" w:rsidRPr="007D7CBC" w:rsidRDefault="00E109CE" w:rsidP="00C458E4">
            <w:r w:rsidRPr="007D7CBC">
              <w:t>Diagnostic imaging for outpatient services—beyond X-rays and ultrasound (e.g. MRI, Cat Scan)</w:t>
            </w:r>
          </w:p>
        </w:tc>
        <w:tc>
          <w:tcPr>
            <w:tcW w:w="0" w:type="auto"/>
          </w:tcPr>
          <w:p w:rsidR="00E109CE" w:rsidRPr="007D7CBC" w:rsidRDefault="00E109CE" w:rsidP="00C458E4">
            <w:r w:rsidRPr="007D7CBC">
              <w:t>FFS</w:t>
            </w:r>
          </w:p>
        </w:tc>
        <w:tc>
          <w:tcPr>
            <w:tcW w:w="0" w:type="auto"/>
          </w:tcPr>
          <w:p w:rsidR="00E109CE" w:rsidRPr="007D7CBC" w:rsidRDefault="00E109CE" w:rsidP="00C458E4"/>
        </w:tc>
      </w:tr>
      <w:tr w:rsidR="00E109CE" w:rsidRPr="007D7CBC" w:rsidTr="00C458E4">
        <w:trPr>
          <w:trHeight w:val="432"/>
        </w:trPr>
        <w:tc>
          <w:tcPr>
            <w:tcW w:w="0" w:type="auto"/>
          </w:tcPr>
          <w:p w:rsidR="00E109CE" w:rsidRPr="007D7CBC" w:rsidRDefault="00E109CE" w:rsidP="00C458E4">
            <w:r w:rsidRPr="007D7CBC">
              <w:t>Other services</w:t>
            </w:r>
          </w:p>
        </w:tc>
        <w:tc>
          <w:tcPr>
            <w:tcW w:w="0" w:type="auto"/>
          </w:tcPr>
          <w:p w:rsidR="00E109CE" w:rsidRPr="007D7CBC" w:rsidRDefault="00E109CE" w:rsidP="00C458E4"/>
        </w:tc>
        <w:tc>
          <w:tcPr>
            <w:tcW w:w="0" w:type="auto"/>
          </w:tcPr>
          <w:p w:rsidR="00E109CE" w:rsidRPr="007D7CBC" w:rsidRDefault="00E109CE" w:rsidP="00C458E4"/>
        </w:tc>
      </w:tr>
      <w:tr w:rsidR="00E109CE" w:rsidRPr="007D7CBC" w:rsidTr="00C458E4">
        <w:trPr>
          <w:trHeight w:val="432"/>
        </w:trPr>
        <w:tc>
          <w:tcPr>
            <w:tcW w:w="0" w:type="auto"/>
          </w:tcPr>
          <w:p w:rsidR="00E109CE" w:rsidRPr="007D7CBC" w:rsidRDefault="00E109CE" w:rsidP="00C458E4">
            <w:r w:rsidRPr="007D7CBC">
              <w:t xml:space="preserve">Eyeglasses </w:t>
            </w:r>
          </w:p>
        </w:tc>
        <w:tc>
          <w:tcPr>
            <w:tcW w:w="0" w:type="auto"/>
          </w:tcPr>
          <w:p w:rsidR="00E109CE" w:rsidRPr="007D7CBC" w:rsidRDefault="00E109CE" w:rsidP="00C458E4">
            <w:r w:rsidRPr="007D7CBC">
              <w:t>CP</w:t>
            </w:r>
          </w:p>
        </w:tc>
        <w:tc>
          <w:tcPr>
            <w:tcW w:w="0" w:type="auto"/>
          </w:tcPr>
          <w:p w:rsidR="00E109CE" w:rsidRPr="007D7CBC" w:rsidRDefault="00E109CE" w:rsidP="00C458E4">
            <w:r w:rsidRPr="007D7CBC">
              <w:t>Copayment</w:t>
            </w:r>
          </w:p>
        </w:tc>
      </w:tr>
      <w:tr w:rsidR="00E109CE" w:rsidRPr="007D7CBC" w:rsidTr="00C458E4">
        <w:trPr>
          <w:trHeight w:val="432"/>
        </w:trPr>
        <w:tc>
          <w:tcPr>
            <w:tcW w:w="0" w:type="auto"/>
          </w:tcPr>
          <w:p w:rsidR="00E109CE" w:rsidRPr="007D7CBC" w:rsidRDefault="00E109CE" w:rsidP="00C458E4">
            <w:r w:rsidRPr="007D7CBC">
              <w:t xml:space="preserve">Dental care </w:t>
            </w:r>
          </w:p>
        </w:tc>
        <w:tc>
          <w:tcPr>
            <w:tcW w:w="0" w:type="auto"/>
          </w:tcPr>
          <w:p w:rsidR="00E109CE" w:rsidRPr="007D7CBC" w:rsidRDefault="00E109CE" w:rsidP="00C458E4">
            <w:r w:rsidRPr="007D7CBC">
              <w:t>CP</w:t>
            </w:r>
          </w:p>
        </w:tc>
        <w:tc>
          <w:tcPr>
            <w:tcW w:w="0" w:type="auto"/>
          </w:tcPr>
          <w:p w:rsidR="00E109CE" w:rsidRPr="007D7CBC" w:rsidRDefault="00E109CE" w:rsidP="00C458E4">
            <w:r w:rsidRPr="007D7CBC">
              <w:t>Copayment</w:t>
            </w:r>
          </w:p>
        </w:tc>
      </w:tr>
      <w:tr w:rsidR="00E109CE" w:rsidRPr="007D7CBC" w:rsidTr="00C458E4">
        <w:trPr>
          <w:trHeight w:val="432"/>
        </w:trPr>
        <w:tc>
          <w:tcPr>
            <w:tcW w:w="0" w:type="auto"/>
          </w:tcPr>
          <w:p w:rsidR="00E109CE" w:rsidRPr="007D7CBC" w:rsidRDefault="00E109CE" w:rsidP="00C458E4">
            <w:r w:rsidRPr="007D7CBC">
              <w:t>Prosthetics and orthotics</w:t>
            </w:r>
          </w:p>
        </w:tc>
        <w:tc>
          <w:tcPr>
            <w:tcW w:w="0" w:type="auto"/>
          </w:tcPr>
          <w:p w:rsidR="00E109CE" w:rsidRPr="007D7CBC" w:rsidRDefault="00E109CE" w:rsidP="00C458E4">
            <w:r w:rsidRPr="007D7CBC">
              <w:t>CP</w:t>
            </w:r>
          </w:p>
        </w:tc>
        <w:tc>
          <w:tcPr>
            <w:tcW w:w="0" w:type="auto"/>
          </w:tcPr>
          <w:p w:rsidR="00E109CE" w:rsidRPr="007D7CBC" w:rsidRDefault="00E109CE" w:rsidP="00C458E4">
            <w:r w:rsidRPr="007D7CBC">
              <w:t>Copayment</w:t>
            </w:r>
          </w:p>
        </w:tc>
      </w:tr>
      <w:tr w:rsidR="00E109CE" w:rsidRPr="007D7CBC" w:rsidTr="00C458E4">
        <w:trPr>
          <w:trHeight w:val="432"/>
        </w:trPr>
        <w:tc>
          <w:tcPr>
            <w:tcW w:w="0" w:type="auto"/>
          </w:tcPr>
          <w:p w:rsidR="00E109CE" w:rsidRPr="007D7CBC" w:rsidRDefault="00E109CE" w:rsidP="00C458E4">
            <w:r w:rsidRPr="007D7CBC">
              <w:t>Dialysis or Transplants</w:t>
            </w:r>
          </w:p>
        </w:tc>
        <w:tc>
          <w:tcPr>
            <w:tcW w:w="0" w:type="auto"/>
          </w:tcPr>
          <w:p w:rsidR="00E109CE" w:rsidRPr="007D7CBC" w:rsidRDefault="00E109CE" w:rsidP="00C458E4">
            <w:r w:rsidRPr="007D7CBC">
              <w:t>CP</w:t>
            </w:r>
          </w:p>
        </w:tc>
        <w:tc>
          <w:tcPr>
            <w:tcW w:w="0" w:type="auto"/>
          </w:tcPr>
          <w:p w:rsidR="00E109CE" w:rsidRPr="007D7CBC" w:rsidRDefault="00E109CE" w:rsidP="00C458E4"/>
        </w:tc>
      </w:tr>
      <w:tr w:rsidR="00E109CE" w:rsidRPr="007D7CBC" w:rsidTr="00C458E4">
        <w:trPr>
          <w:trHeight w:val="432"/>
        </w:trPr>
        <w:tc>
          <w:tcPr>
            <w:tcW w:w="0" w:type="auto"/>
          </w:tcPr>
          <w:p w:rsidR="00E109CE" w:rsidRPr="007D7CBC" w:rsidRDefault="00E109CE" w:rsidP="00C458E4">
            <w:r w:rsidRPr="007D7CBC">
              <w:t>Home-care services</w:t>
            </w:r>
          </w:p>
        </w:tc>
        <w:tc>
          <w:tcPr>
            <w:tcW w:w="0" w:type="auto"/>
          </w:tcPr>
          <w:p w:rsidR="00E109CE" w:rsidRPr="007D7CBC" w:rsidRDefault="00E109CE" w:rsidP="00C458E4">
            <w:r w:rsidRPr="007D7CBC">
              <w:t>CP</w:t>
            </w:r>
          </w:p>
        </w:tc>
        <w:tc>
          <w:tcPr>
            <w:tcW w:w="0" w:type="auto"/>
          </w:tcPr>
          <w:p w:rsidR="00E109CE" w:rsidRPr="007D7CBC" w:rsidRDefault="00E109CE" w:rsidP="00C458E4"/>
        </w:tc>
      </w:tr>
    </w:tbl>
    <w:p w:rsidR="00E109CE" w:rsidRDefault="00E109CE" w:rsidP="007D7CBC">
      <w:pPr>
        <w:pStyle w:val="Source"/>
        <w:rPr>
          <w:lang w:bidi="en-US"/>
        </w:rPr>
      </w:pPr>
      <w:r>
        <w:rPr>
          <w:lang w:bidi="en-US"/>
        </w:rPr>
        <w:t>Source: Menon et al. 2013.</w:t>
      </w:r>
    </w:p>
    <w:p w:rsidR="00E109CE" w:rsidRPr="000C60E4" w:rsidRDefault="00E109CE" w:rsidP="007D7CBC">
      <w:pPr>
        <w:pStyle w:val="Source"/>
        <w:rPr>
          <w:lang w:bidi="en-US"/>
        </w:rPr>
      </w:pPr>
      <w:r>
        <w:rPr>
          <w:lang w:bidi="en-US"/>
        </w:rPr>
        <w:lastRenderedPageBreak/>
        <w:t>a.</w:t>
      </w:r>
      <w:r w:rsidRPr="000C60E4">
        <w:rPr>
          <w:lang w:bidi="en-US"/>
        </w:rPr>
        <w:t xml:space="preserve"> For public hospitals there is a performance based payment system, which covers all workers including administrative personnel. </w:t>
      </w:r>
    </w:p>
    <w:p w:rsidR="00E109CE" w:rsidRDefault="00E109CE" w:rsidP="007D7CBC">
      <w:pPr>
        <w:pStyle w:val="Source"/>
        <w:rPr>
          <w:lang w:bidi="en-US"/>
        </w:rPr>
      </w:pPr>
      <w:r w:rsidRPr="000C60E4">
        <w:rPr>
          <w:lang w:bidi="en-US"/>
        </w:rPr>
        <w:t>CP: Case payment (e.g. DRG); RP: Preference price system to subsidize medical goods and pharmaceuticals purchased by patients; CAP: Capitation (all services for an individual for a fixed period of time); P4P: Performance-related pay; FFS: fee</w:t>
      </w:r>
      <w:r>
        <w:rPr>
          <w:lang w:bidi="en-US"/>
        </w:rPr>
        <w:t xml:space="preserve"> </w:t>
      </w:r>
      <w:r w:rsidRPr="000C60E4">
        <w:rPr>
          <w:lang w:bidi="en-US"/>
        </w:rPr>
        <w:t>for</w:t>
      </w:r>
      <w:r>
        <w:rPr>
          <w:lang w:bidi="en-US"/>
        </w:rPr>
        <w:t xml:space="preserve"> </w:t>
      </w:r>
      <w:r w:rsidRPr="000C60E4">
        <w:rPr>
          <w:lang w:bidi="en-US"/>
        </w:rPr>
        <w:t>service.</w:t>
      </w:r>
    </w:p>
    <w:p w:rsidR="00E109CE" w:rsidRPr="000C60E4" w:rsidRDefault="00E109CE" w:rsidP="00E109CE">
      <w:pPr>
        <w:rPr>
          <w:lang w:bidi="en-US"/>
        </w:rPr>
      </w:pPr>
      <w:r w:rsidRPr="000C60E4">
        <w:rPr>
          <w:lang w:bidi="en-US"/>
        </w:rPr>
        <w:t xml:space="preserve"> </w:t>
      </w:r>
    </w:p>
    <w:p w:rsidR="00E109CE" w:rsidRPr="000C60E4" w:rsidRDefault="00E109CE" w:rsidP="007D7CBC">
      <w:pPr>
        <w:pStyle w:val="Heading3"/>
        <w:rPr>
          <w:lang w:bidi="en-US"/>
        </w:rPr>
      </w:pPr>
      <w:r w:rsidRPr="000C60E4">
        <w:rPr>
          <w:lang w:bidi="en-US"/>
        </w:rPr>
        <w:t>2.</w:t>
      </w:r>
      <w:r w:rsidRPr="000C60E4">
        <w:rPr>
          <w:lang w:bidi="en-US"/>
        </w:rPr>
        <w:tab/>
        <w:t xml:space="preserve">How equitable is coverage? </w:t>
      </w:r>
    </w:p>
    <w:p w:rsidR="00E109CE" w:rsidRDefault="00E109CE" w:rsidP="00E109CE">
      <w:pPr>
        <w:pStyle w:val="Heading4"/>
      </w:pPr>
      <w:r w:rsidRPr="000C60E4">
        <w:t xml:space="preserve">a. Solidarity and redistribution </w:t>
      </w:r>
    </w:p>
    <w:p w:rsidR="00E109CE" w:rsidRPr="000C60E4" w:rsidRDefault="00E109CE" w:rsidP="00BC7C6C">
      <w:pPr>
        <w:pStyle w:val="BodyText0"/>
        <w:jc w:val="both"/>
      </w:pPr>
      <w:r w:rsidRPr="000C60E4">
        <w:t>Financial protection in Turkey is high, equitable, and continues to improve under the HTP. All population groups are covered under a single universal health insurance program and premium contributions differ based on income (see Table</w:t>
      </w:r>
      <w:r w:rsidRPr="000C60E4">
        <w:rPr>
          <w:rFonts w:ascii="Courier New" w:hAnsi="Courier New" w:cs="Courier New"/>
        </w:rPr>
        <w:t> </w:t>
      </w:r>
      <w:r w:rsidRPr="000C60E4">
        <w:t xml:space="preserve">2). </w:t>
      </w:r>
    </w:p>
    <w:p w:rsidR="00E109CE" w:rsidRDefault="00E109CE" w:rsidP="00E109CE">
      <w:pPr>
        <w:pStyle w:val="Heading4"/>
        <w:rPr>
          <w:lang w:bidi="en-US"/>
        </w:rPr>
      </w:pPr>
      <w:r w:rsidRPr="000C60E4">
        <w:rPr>
          <w:lang w:bidi="en-US"/>
        </w:rPr>
        <w:t>b. Targeting for priority population groups</w:t>
      </w:r>
      <w:bookmarkStart w:id="1" w:name="_Toc324849725"/>
    </w:p>
    <w:p w:rsidR="00E109CE" w:rsidRPr="000C60E4" w:rsidRDefault="00E109CE" w:rsidP="00BC7C6C">
      <w:pPr>
        <w:pStyle w:val="BodyText0"/>
        <w:jc w:val="both"/>
        <w:rPr>
          <w:lang w:bidi="en-US"/>
        </w:rPr>
      </w:pPr>
      <w:r w:rsidRPr="000C60E4">
        <w:rPr>
          <w:lang w:bidi="en-US"/>
        </w:rPr>
        <w:t>Incentives to focus on maternal and child health (MCH) including immunizations, a key health sector priority under Millennium Development Goals (MDGs) 4 and 5, are introduced under the Family Medicine Program to service providers through the following performance levers:</w:t>
      </w:r>
    </w:p>
    <w:p w:rsidR="00E109CE" w:rsidRPr="000C60E4" w:rsidRDefault="00E109CE" w:rsidP="00BC7C6C">
      <w:pPr>
        <w:pStyle w:val="Bullet"/>
        <w:numPr>
          <w:ilvl w:val="0"/>
          <w:numId w:val="16"/>
        </w:numPr>
        <w:jc w:val="both"/>
        <w:rPr>
          <w:lang w:bidi="en-US"/>
        </w:rPr>
      </w:pPr>
      <w:r w:rsidRPr="000C60E4">
        <w:rPr>
          <w:lang w:bidi="en-US"/>
        </w:rPr>
        <w:t xml:space="preserve">Up to 20 percent of base salary payments are </w:t>
      </w:r>
      <w:r>
        <w:rPr>
          <w:lang w:bidi="en-US"/>
        </w:rPr>
        <w:t>“</w:t>
      </w:r>
      <w:r w:rsidRPr="000C60E4">
        <w:rPr>
          <w:lang w:bidi="en-US"/>
        </w:rPr>
        <w:t>at risk</w:t>
      </w:r>
      <w:r>
        <w:rPr>
          <w:lang w:bidi="en-US"/>
        </w:rPr>
        <w:t>”</w:t>
      </w:r>
      <w:r w:rsidRPr="000C60E4">
        <w:rPr>
          <w:lang w:bidi="en-US"/>
        </w:rPr>
        <w:t xml:space="preserve"> conditional on meeting MCH coverage targets. </w:t>
      </w:r>
    </w:p>
    <w:p w:rsidR="00E109CE" w:rsidRPr="000C60E4" w:rsidRDefault="00E109CE" w:rsidP="00BC7C6C">
      <w:pPr>
        <w:pStyle w:val="Bullet"/>
        <w:numPr>
          <w:ilvl w:val="0"/>
          <w:numId w:val="16"/>
        </w:numPr>
        <w:jc w:val="both"/>
        <w:rPr>
          <w:lang w:bidi="en-US"/>
        </w:rPr>
      </w:pPr>
      <w:r w:rsidRPr="000C60E4">
        <w:rPr>
          <w:lang w:bidi="en-US"/>
        </w:rPr>
        <w:t>Provider contracts could potentially be terminated for repeated failure to meet MCH performance targets.</w:t>
      </w:r>
    </w:p>
    <w:p w:rsidR="00E109CE" w:rsidRPr="000C60E4" w:rsidRDefault="00E109CE" w:rsidP="00BC7C6C">
      <w:pPr>
        <w:pStyle w:val="Bullet"/>
        <w:numPr>
          <w:ilvl w:val="0"/>
          <w:numId w:val="16"/>
        </w:numPr>
        <w:jc w:val="both"/>
        <w:rPr>
          <w:lang w:bidi="en-US"/>
        </w:rPr>
      </w:pPr>
      <w:r w:rsidRPr="000C60E4">
        <w:rPr>
          <w:lang w:bidi="en-US"/>
        </w:rPr>
        <w:t>The base capitation payment assigns higher weights to enrolling pregnant women and children to motivate providers to improve access to care among these categories of the population. Pregnant women have a payment coefficient of 3 while under-fives have a payment coefficient of 1.6. Both these payment coefficients are considerably higher than the coefficient of 0.79 for the general (non-prison) population. In effect this means that family medicine providers are paid more per pregnant woman and child under five</w:t>
      </w:r>
      <w:r>
        <w:rPr>
          <w:lang w:bidi="en-US"/>
        </w:rPr>
        <w:t xml:space="preserve">, which </w:t>
      </w:r>
      <w:r w:rsidRPr="000C60E4">
        <w:rPr>
          <w:lang w:bidi="en-US"/>
        </w:rPr>
        <w:t>incentivizes family medicine personnel to seek out pregnancies and register children under five</w:t>
      </w:r>
      <w:r>
        <w:rPr>
          <w:lang w:bidi="en-US"/>
        </w:rPr>
        <w:t>,</w:t>
      </w:r>
      <w:r w:rsidRPr="000C60E4">
        <w:rPr>
          <w:lang w:bidi="en-US"/>
        </w:rPr>
        <w:t xml:space="preserve"> </w:t>
      </w:r>
      <w:r>
        <w:rPr>
          <w:lang w:bidi="en-US"/>
        </w:rPr>
        <w:t xml:space="preserve">thus </w:t>
      </w:r>
      <w:r w:rsidRPr="000C60E4">
        <w:rPr>
          <w:lang w:bidi="en-US"/>
        </w:rPr>
        <w:t xml:space="preserve">improving </w:t>
      </w:r>
      <w:r>
        <w:rPr>
          <w:lang w:bidi="en-US"/>
        </w:rPr>
        <w:t xml:space="preserve">their </w:t>
      </w:r>
      <w:r w:rsidRPr="000C60E4">
        <w:rPr>
          <w:lang w:bidi="en-US"/>
        </w:rPr>
        <w:t>access to care.</w:t>
      </w:r>
      <w:bookmarkEnd w:id="1"/>
      <w:r w:rsidRPr="000C60E4">
        <w:rPr>
          <w:lang w:bidi="en-US"/>
        </w:rPr>
        <w:t xml:space="preserve"> </w:t>
      </w:r>
    </w:p>
    <w:p w:rsidR="00E109CE" w:rsidRPr="000C60E4" w:rsidRDefault="00E109CE" w:rsidP="00BC7C6C">
      <w:pPr>
        <w:pStyle w:val="Heading2"/>
      </w:pPr>
      <w:r w:rsidRPr="000C60E4">
        <w:t>C.</w:t>
      </w:r>
      <w:r w:rsidRPr="000C60E4">
        <w:tab/>
        <w:t xml:space="preserve">Human resources for health (HRH) policies </w:t>
      </w:r>
    </w:p>
    <w:p w:rsidR="00E109CE" w:rsidRPr="000C60E4" w:rsidRDefault="00E109CE" w:rsidP="00BC7C6C">
      <w:pPr>
        <w:pStyle w:val="Heading3"/>
      </w:pPr>
      <w:r w:rsidRPr="000C60E4">
        <w:t>1.</w:t>
      </w:r>
      <w:r w:rsidRPr="000C60E4">
        <w:tab/>
        <w:t>Current sta</w:t>
      </w:r>
      <w:r w:rsidRPr="00BC7C6C">
        <w:t>tus</w:t>
      </w:r>
      <w:r w:rsidRPr="000C60E4">
        <w:t xml:space="preserve"> of HRH</w:t>
      </w:r>
    </w:p>
    <w:p w:rsidR="00E109CE" w:rsidRPr="000C60E4" w:rsidRDefault="00E109CE" w:rsidP="00BC7C6C">
      <w:pPr>
        <w:pStyle w:val="BodyText0"/>
        <w:jc w:val="both"/>
      </w:pPr>
      <w:r w:rsidRPr="000C60E4">
        <w:t xml:space="preserve">Inequitable geographic distribution of HRH in Turkey has been a longstanding issue, one recognized and addressed by the MOH through the HTP. </w:t>
      </w:r>
      <w:r>
        <w:t xml:space="preserve">As a result of various policy changes introduced by </w:t>
      </w:r>
      <w:r w:rsidRPr="000C60E4">
        <w:t>MOH</w:t>
      </w:r>
      <w:r>
        <w:t xml:space="preserve"> (see below under “Labor market dynamics”),</w:t>
      </w:r>
      <w:r w:rsidRPr="000C60E4">
        <w:t xml:space="preserve"> the personnel gap between the highest and lowest provinces fell </w:t>
      </w:r>
      <w:r>
        <w:t xml:space="preserve">between 2001 and 2011 </w:t>
      </w:r>
      <w:r w:rsidRPr="000C60E4">
        <w:t xml:space="preserve">as follows: for specialists from 1:14 to 1:2.7; for general practitioners from 1:9 to 1:2.3; and for nurses and midwives from 1:8 to 1:4. </w:t>
      </w:r>
    </w:p>
    <w:p w:rsidR="00E109CE" w:rsidRPr="000C60E4" w:rsidRDefault="00E109CE" w:rsidP="00BC7C6C">
      <w:pPr>
        <w:pStyle w:val="BodyText0"/>
        <w:jc w:val="both"/>
      </w:pPr>
      <w:r w:rsidRPr="000C60E4">
        <w:t>But disparities remain</w:t>
      </w:r>
      <w:r>
        <w:t>: i</w:t>
      </w:r>
      <w:r w:rsidRPr="000C60E4">
        <w:t xml:space="preserve">n 2011, Western Anatolia had 2.6 physicians per 1,000 </w:t>
      </w:r>
      <w:proofErr w:type="gramStart"/>
      <w:r w:rsidRPr="000C60E4">
        <w:t>population</w:t>
      </w:r>
      <w:proofErr w:type="gramEnd"/>
      <w:r w:rsidRPr="000C60E4">
        <w:t xml:space="preserve">, against Southeastern Anatolia’s 1.16 physicians (the lowest). The highest-ranking region for nurse and midwife density was the Eastern Black Sea, which had 1.84 times as high density as Southeastern Anatolia, the lowest ranking. </w:t>
      </w:r>
    </w:p>
    <w:p w:rsidR="00E109CE" w:rsidRPr="000C60E4" w:rsidRDefault="00E109CE" w:rsidP="00BC7C6C">
      <w:pPr>
        <w:pStyle w:val="BodyText0"/>
        <w:jc w:val="both"/>
      </w:pPr>
      <w:r w:rsidRPr="000C60E4">
        <w:t xml:space="preserve"> </w:t>
      </w:r>
    </w:p>
    <w:p w:rsidR="00E109CE" w:rsidRPr="000C60E4" w:rsidRDefault="00E109CE" w:rsidP="00BC7C6C">
      <w:pPr>
        <w:pStyle w:val="Caption"/>
      </w:pPr>
      <w:r w:rsidRPr="000C60E4">
        <w:lastRenderedPageBreak/>
        <w:t>Table 6: Current status of HRH</w:t>
      </w:r>
    </w:p>
    <w:tbl>
      <w:tblPr>
        <w:tblpPr w:leftFromText="180" w:rightFromText="18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1332"/>
        <w:gridCol w:w="1170"/>
        <w:gridCol w:w="1890"/>
        <w:gridCol w:w="1530"/>
        <w:gridCol w:w="1170"/>
        <w:gridCol w:w="1170"/>
        <w:gridCol w:w="1530"/>
      </w:tblGrid>
      <w:tr w:rsidR="00E109CE" w:rsidRPr="000C60E4" w:rsidTr="00C1645E">
        <w:trPr>
          <w:cantSplit/>
          <w:tblHeader/>
        </w:trPr>
        <w:tc>
          <w:tcPr>
            <w:tcW w:w="1332" w:type="dxa"/>
            <w:vMerge w:val="restart"/>
            <w:shd w:val="clear" w:color="auto" w:fill="DBE5F1" w:themeFill="accent1" w:themeFillTint="33"/>
          </w:tcPr>
          <w:p w:rsidR="00E109CE" w:rsidRPr="00841C6A" w:rsidRDefault="00E109CE" w:rsidP="00841C6A">
            <w:pPr>
              <w:jc w:val="center"/>
              <w:rPr>
                <w:b/>
              </w:rPr>
            </w:pPr>
          </w:p>
        </w:tc>
        <w:tc>
          <w:tcPr>
            <w:tcW w:w="1170" w:type="dxa"/>
            <w:vMerge w:val="restart"/>
            <w:shd w:val="clear" w:color="auto" w:fill="DBE5F1" w:themeFill="accent1" w:themeFillTint="33"/>
          </w:tcPr>
          <w:p w:rsidR="00E90D33" w:rsidRPr="00841C6A" w:rsidRDefault="00E90D33" w:rsidP="00841C6A">
            <w:pPr>
              <w:jc w:val="center"/>
              <w:rPr>
                <w:b/>
                <w:sz w:val="20"/>
                <w:szCs w:val="20"/>
              </w:rPr>
            </w:pPr>
          </w:p>
          <w:p w:rsidR="00E109CE" w:rsidRPr="00841C6A" w:rsidRDefault="00E109CE" w:rsidP="00841C6A">
            <w:pPr>
              <w:jc w:val="center"/>
              <w:rPr>
                <w:b/>
                <w:sz w:val="20"/>
                <w:szCs w:val="20"/>
              </w:rPr>
            </w:pPr>
            <w:r w:rsidRPr="00841C6A">
              <w:rPr>
                <w:b/>
                <w:sz w:val="20"/>
                <w:szCs w:val="20"/>
              </w:rPr>
              <w:t>Current number per 1,000 population</w:t>
            </w:r>
          </w:p>
        </w:tc>
        <w:tc>
          <w:tcPr>
            <w:tcW w:w="4590" w:type="dxa"/>
            <w:gridSpan w:val="3"/>
            <w:shd w:val="clear" w:color="auto" w:fill="DBE5F1" w:themeFill="accent1" w:themeFillTint="33"/>
          </w:tcPr>
          <w:p w:rsidR="00E109CE" w:rsidRPr="00841C6A" w:rsidRDefault="00E109CE" w:rsidP="00841C6A">
            <w:pPr>
              <w:jc w:val="center"/>
              <w:rPr>
                <w:b/>
                <w:sz w:val="20"/>
                <w:szCs w:val="20"/>
              </w:rPr>
            </w:pPr>
            <w:r w:rsidRPr="00841C6A">
              <w:rPr>
                <w:b/>
                <w:sz w:val="20"/>
                <w:szCs w:val="20"/>
              </w:rPr>
              <w:t>Entry</w:t>
            </w:r>
          </w:p>
        </w:tc>
        <w:tc>
          <w:tcPr>
            <w:tcW w:w="2700" w:type="dxa"/>
            <w:gridSpan w:val="2"/>
            <w:shd w:val="clear" w:color="auto" w:fill="DBE5F1" w:themeFill="accent1" w:themeFillTint="33"/>
          </w:tcPr>
          <w:p w:rsidR="00E109CE" w:rsidRPr="00841C6A" w:rsidRDefault="00E109CE" w:rsidP="00841C6A">
            <w:pPr>
              <w:jc w:val="center"/>
              <w:rPr>
                <w:b/>
                <w:sz w:val="20"/>
                <w:szCs w:val="20"/>
              </w:rPr>
            </w:pPr>
            <w:r w:rsidRPr="00841C6A">
              <w:rPr>
                <w:b/>
                <w:sz w:val="20"/>
                <w:szCs w:val="20"/>
              </w:rPr>
              <w:t>Exit</w:t>
            </w:r>
          </w:p>
        </w:tc>
      </w:tr>
      <w:tr w:rsidR="00E109CE" w:rsidRPr="000C60E4" w:rsidTr="00C1645E">
        <w:trPr>
          <w:cantSplit/>
          <w:tblHeader/>
        </w:trPr>
        <w:tc>
          <w:tcPr>
            <w:tcW w:w="1332" w:type="dxa"/>
            <w:vMerge/>
            <w:shd w:val="clear" w:color="auto" w:fill="DBE5F1" w:themeFill="accent1" w:themeFillTint="33"/>
          </w:tcPr>
          <w:p w:rsidR="00E109CE" w:rsidRPr="00841C6A" w:rsidRDefault="00E109CE" w:rsidP="00841C6A">
            <w:pPr>
              <w:jc w:val="center"/>
              <w:rPr>
                <w:b/>
              </w:rPr>
            </w:pPr>
          </w:p>
        </w:tc>
        <w:tc>
          <w:tcPr>
            <w:tcW w:w="1170" w:type="dxa"/>
            <w:vMerge/>
            <w:shd w:val="clear" w:color="auto" w:fill="DBE5F1" w:themeFill="accent1" w:themeFillTint="33"/>
          </w:tcPr>
          <w:p w:rsidR="00E109CE" w:rsidRPr="00841C6A" w:rsidRDefault="00E109CE" w:rsidP="00841C6A">
            <w:pPr>
              <w:jc w:val="center"/>
              <w:rPr>
                <w:b/>
                <w:sz w:val="20"/>
                <w:szCs w:val="20"/>
              </w:rPr>
            </w:pPr>
          </w:p>
        </w:tc>
        <w:tc>
          <w:tcPr>
            <w:tcW w:w="1890" w:type="dxa"/>
            <w:shd w:val="clear" w:color="auto" w:fill="DBE5F1" w:themeFill="accent1" w:themeFillTint="33"/>
          </w:tcPr>
          <w:p w:rsidR="00E109CE" w:rsidRPr="00841C6A" w:rsidRDefault="00E109CE" w:rsidP="00841C6A">
            <w:pPr>
              <w:jc w:val="center"/>
              <w:rPr>
                <w:b/>
                <w:sz w:val="20"/>
                <w:szCs w:val="20"/>
              </w:rPr>
            </w:pPr>
            <w:r w:rsidRPr="00841C6A">
              <w:rPr>
                <w:b/>
                <w:sz w:val="20"/>
                <w:szCs w:val="20"/>
              </w:rPr>
              <w:t>Qualifications</w:t>
            </w:r>
          </w:p>
        </w:tc>
        <w:tc>
          <w:tcPr>
            <w:tcW w:w="1530" w:type="dxa"/>
            <w:shd w:val="clear" w:color="auto" w:fill="DBE5F1" w:themeFill="accent1" w:themeFillTint="33"/>
          </w:tcPr>
          <w:p w:rsidR="00E109CE" w:rsidRPr="00841C6A" w:rsidRDefault="00E109CE" w:rsidP="00841C6A">
            <w:pPr>
              <w:jc w:val="center"/>
              <w:rPr>
                <w:b/>
                <w:sz w:val="20"/>
                <w:szCs w:val="20"/>
              </w:rPr>
            </w:pPr>
            <w:r w:rsidRPr="00841C6A">
              <w:rPr>
                <w:b/>
                <w:sz w:val="20"/>
                <w:szCs w:val="20"/>
              </w:rPr>
              <w:t>Government determines the number of new entrants</w:t>
            </w:r>
          </w:p>
        </w:tc>
        <w:tc>
          <w:tcPr>
            <w:tcW w:w="1170" w:type="dxa"/>
            <w:shd w:val="clear" w:color="auto" w:fill="DBE5F1" w:themeFill="accent1" w:themeFillTint="33"/>
          </w:tcPr>
          <w:p w:rsidR="00E109CE" w:rsidRPr="00841C6A" w:rsidRDefault="00E109CE" w:rsidP="00841C6A">
            <w:pPr>
              <w:jc w:val="center"/>
              <w:rPr>
                <w:b/>
                <w:sz w:val="20"/>
                <w:szCs w:val="20"/>
              </w:rPr>
            </w:pPr>
            <w:r w:rsidRPr="00841C6A">
              <w:rPr>
                <w:b/>
                <w:sz w:val="20"/>
                <w:szCs w:val="20"/>
              </w:rPr>
              <w:t>Number of entrants per year</w:t>
            </w:r>
          </w:p>
        </w:tc>
        <w:tc>
          <w:tcPr>
            <w:tcW w:w="1170" w:type="dxa"/>
            <w:shd w:val="clear" w:color="auto" w:fill="DBE5F1" w:themeFill="accent1" w:themeFillTint="33"/>
          </w:tcPr>
          <w:p w:rsidR="00E109CE" w:rsidRPr="00841C6A" w:rsidRDefault="00E109CE" w:rsidP="00841C6A">
            <w:pPr>
              <w:jc w:val="center"/>
              <w:rPr>
                <w:b/>
                <w:sz w:val="20"/>
                <w:szCs w:val="20"/>
              </w:rPr>
            </w:pPr>
            <w:r w:rsidRPr="00841C6A">
              <w:rPr>
                <w:b/>
                <w:sz w:val="20"/>
                <w:szCs w:val="20"/>
              </w:rPr>
              <w:t>Number of years of education</w:t>
            </w:r>
          </w:p>
        </w:tc>
        <w:tc>
          <w:tcPr>
            <w:tcW w:w="1530" w:type="dxa"/>
            <w:shd w:val="clear" w:color="auto" w:fill="DBE5F1" w:themeFill="accent1" w:themeFillTint="33"/>
          </w:tcPr>
          <w:p w:rsidR="00E109CE" w:rsidRPr="00841C6A" w:rsidRDefault="00E109CE" w:rsidP="00841C6A">
            <w:pPr>
              <w:jc w:val="center"/>
              <w:rPr>
                <w:b/>
                <w:sz w:val="20"/>
                <w:szCs w:val="20"/>
              </w:rPr>
            </w:pPr>
            <w:r w:rsidRPr="00841C6A">
              <w:rPr>
                <w:b/>
                <w:sz w:val="20"/>
                <w:szCs w:val="20"/>
              </w:rPr>
              <w:t>Number of newly licensed per year</w:t>
            </w:r>
          </w:p>
        </w:tc>
      </w:tr>
      <w:tr w:rsidR="00E109CE" w:rsidRPr="000C60E4" w:rsidTr="00C1645E">
        <w:trPr>
          <w:cantSplit/>
          <w:trHeight w:val="1103"/>
          <w:tblHeader/>
        </w:trPr>
        <w:tc>
          <w:tcPr>
            <w:tcW w:w="1332" w:type="dxa"/>
            <w:vMerge w:val="restart"/>
          </w:tcPr>
          <w:p w:rsidR="00E109CE" w:rsidRPr="000C60E4" w:rsidRDefault="00E109CE" w:rsidP="00E109CE"/>
          <w:p w:rsidR="00E109CE" w:rsidRPr="000C60E4" w:rsidRDefault="00E109CE" w:rsidP="00E109CE"/>
          <w:p w:rsidR="00E109CE" w:rsidRPr="000C60E4" w:rsidRDefault="00E109CE" w:rsidP="00E109CE"/>
          <w:p w:rsidR="00E109CE" w:rsidRPr="000C60E4" w:rsidRDefault="00E109CE" w:rsidP="00E109CE">
            <w:r w:rsidRPr="000C60E4">
              <w:t>Physicians</w:t>
            </w:r>
          </w:p>
        </w:tc>
        <w:tc>
          <w:tcPr>
            <w:tcW w:w="1170" w:type="dxa"/>
            <w:vMerge w:val="restart"/>
          </w:tcPr>
          <w:p w:rsidR="00E109CE" w:rsidRPr="000C60E4" w:rsidRDefault="00E109CE" w:rsidP="00E109CE"/>
          <w:p w:rsidR="00E109CE" w:rsidRPr="000C60E4" w:rsidRDefault="00E109CE" w:rsidP="00E109CE"/>
          <w:p w:rsidR="00E109CE" w:rsidRPr="000C60E4" w:rsidRDefault="00E109CE" w:rsidP="00E109CE">
            <w:r w:rsidRPr="000C60E4">
              <w:t>1.69 (2011)</w:t>
            </w:r>
          </w:p>
        </w:tc>
        <w:tc>
          <w:tcPr>
            <w:tcW w:w="1890" w:type="dxa"/>
          </w:tcPr>
          <w:p w:rsidR="00E109CE" w:rsidRPr="000C60E4" w:rsidRDefault="00E109CE" w:rsidP="00E109CE">
            <w:r w:rsidRPr="000C60E4">
              <w:t>Undergraduate Degree + Compulsory Medical Service</w:t>
            </w:r>
          </w:p>
        </w:tc>
        <w:tc>
          <w:tcPr>
            <w:tcW w:w="1530" w:type="dxa"/>
          </w:tcPr>
          <w:p w:rsidR="00E109CE" w:rsidRPr="000C60E4" w:rsidRDefault="00E109CE" w:rsidP="00E109CE">
            <w:proofErr w:type="spellStart"/>
            <w:r w:rsidRPr="000C60E4">
              <w:t>NO</w:t>
            </w:r>
            <w:r w:rsidRPr="004C2AF6">
              <w:rPr>
                <w:vertAlign w:val="superscript"/>
              </w:rPr>
              <w:t>a</w:t>
            </w:r>
            <w:proofErr w:type="spellEnd"/>
          </w:p>
        </w:tc>
        <w:tc>
          <w:tcPr>
            <w:tcW w:w="1170" w:type="dxa"/>
          </w:tcPr>
          <w:p w:rsidR="00E109CE" w:rsidRPr="000C60E4" w:rsidRDefault="00E109CE" w:rsidP="00E109CE">
            <w:r>
              <w:t>8,438 (</w:t>
            </w:r>
            <w:r w:rsidRPr="000C60E4">
              <w:t>2010-2011)</w:t>
            </w:r>
          </w:p>
        </w:tc>
        <w:tc>
          <w:tcPr>
            <w:tcW w:w="1170" w:type="dxa"/>
          </w:tcPr>
          <w:p w:rsidR="00E109CE" w:rsidRPr="000C60E4" w:rsidRDefault="00E109CE" w:rsidP="00E109CE">
            <w:r w:rsidRPr="000C60E4">
              <w:t xml:space="preserve">6 years </w:t>
            </w:r>
          </w:p>
          <w:p w:rsidR="00E109CE" w:rsidRPr="000C60E4" w:rsidRDefault="00E109CE" w:rsidP="00E109CE"/>
        </w:tc>
        <w:tc>
          <w:tcPr>
            <w:tcW w:w="1530" w:type="dxa"/>
          </w:tcPr>
          <w:p w:rsidR="00E109CE" w:rsidRPr="000C60E4" w:rsidRDefault="00E109CE" w:rsidP="00E109CE">
            <w:r>
              <w:t>5,</w:t>
            </w:r>
            <w:r w:rsidRPr="000C60E4">
              <w:t>138 (2010-2011)</w:t>
            </w:r>
          </w:p>
        </w:tc>
      </w:tr>
      <w:tr w:rsidR="00E109CE" w:rsidRPr="000C60E4" w:rsidTr="00C1645E">
        <w:trPr>
          <w:cantSplit/>
          <w:trHeight w:val="1816"/>
          <w:tblHeader/>
        </w:trPr>
        <w:tc>
          <w:tcPr>
            <w:tcW w:w="1332" w:type="dxa"/>
            <w:vMerge/>
          </w:tcPr>
          <w:p w:rsidR="00E109CE" w:rsidRPr="000C60E4" w:rsidRDefault="00E109CE" w:rsidP="00E109CE"/>
        </w:tc>
        <w:tc>
          <w:tcPr>
            <w:tcW w:w="1170" w:type="dxa"/>
            <w:vMerge/>
          </w:tcPr>
          <w:p w:rsidR="00E109CE" w:rsidRPr="000C60E4" w:rsidRDefault="00E109CE" w:rsidP="00E109CE"/>
        </w:tc>
        <w:tc>
          <w:tcPr>
            <w:tcW w:w="1890" w:type="dxa"/>
          </w:tcPr>
          <w:p w:rsidR="00E109CE" w:rsidRPr="000C60E4" w:rsidRDefault="00E109CE" w:rsidP="00E109CE">
            <w:r w:rsidRPr="000C60E4">
              <w:t>Specialized Physicians: Successful in “Central Medical Specialization Examination” +Specialization Training</w:t>
            </w:r>
          </w:p>
        </w:tc>
        <w:tc>
          <w:tcPr>
            <w:tcW w:w="1530" w:type="dxa"/>
          </w:tcPr>
          <w:p w:rsidR="00E109CE" w:rsidRPr="000C60E4" w:rsidRDefault="00E109CE" w:rsidP="00E109CE"/>
        </w:tc>
        <w:tc>
          <w:tcPr>
            <w:tcW w:w="1170" w:type="dxa"/>
          </w:tcPr>
          <w:p w:rsidR="00E109CE" w:rsidRPr="000C60E4" w:rsidRDefault="00E109CE" w:rsidP="00E109CE">
            <w:r>
              <w:t>4,</w:t>
            </w:r>
            <w:r w:rsidRPr="000C60E4">
              <w:t>295 (in 2010-2011)</w:t>
            </w:r>
          </w:p>
        </w:tc>
        <w:tc>
          <w:tcPr>
            <w:tcW w:w="1170" w:type="dxa"/>
          </w:tcPr>
          <w:p w:rsidR="00E109CE" w:rsidRPr="000C60E4" w:rsidRDefault="00E109CE" w:rsidP="00E109CE">
            <w:r w:rsidRPr="000C60E4">
              <w:t xml:space="preserve">3-5 years </w:t>
            </w:r>
          </w:p>
        </w:tc>
        <w:tc>
          <w:tcPr>
            <w:tcW w:w="1530" w:type="dxa"/>
          </w:tcPr>
          <w:p w:rsidR="00E109CE" w:rsidRPr="000C60E4" w:rsidRDefault="00E109CE" w:rsidP="00E109CE">
            <w:r>
              <w:t>4,</w:t>
            </w:r>
            <w:r w:rsidRPr="000C60E4">
              <w:t>980 (in 2010-2011)</w:t>
            </w:r>
          </w:p>
        </w:tc>
      </w:tr>
      <w:tr w:rsidR="00E109CE" w:rsidRPr="000C60E4" w:rsidTr="00C1645E">
        <w:trPr>
          <w:cantSplit/>
          <w:trHeight w:val="701"/>
          <w:tblHeader/>
        </w:trPr>
        <w:tc>
          <w:tcPr>
            <w:tcW w:w="1332" w:type="dxa"/>
            <w:vMerge w:val="restart"/>
          </w:tcPr>
          <w:p w:rsidR="00E109CE" w:rsidRPr="000C60E4" w:rsidRDefault="00E109CE" w:rsidP="00E109CE"/>
          <w:p w:rsidR="00E109CE" w:rsidRPr="000C60E4" w:rsidRDefault="00E109CE" w:rsidP="00E109CE"/>
          <w:p w:rsidR="00E109CE" w:rsidRPr="000C60E4" w:rsidRDefault="00E109CE" w:rsidP="00E109CE">
            <w:r w:rsidRPr="000C60E4">
              <w:t>Nurses</w:t>
            </w:r>
          </w:p>
        </w:tc>
        <w:tc>
          <w:tcPr>
            <w:tcW w:w="1170" w:type="dxa"/>
            <w:vMerge w:val="restart"/>
          </w:tcPr>
          <w:p w:rsidR="00E109CE" w:rsidRPr="000C60E4" w:rsidRDefault="00E109CE" w:rsidP="00E109CE"/>
          <w:p w:rsidR="00E109CE" w:rsidRPr="000C60E4" w:rsidRDefault="00E109CE" w:rsidP="00E109CE"/>
          <w:p w:rsidR="00E109CE" w:rsidRPr="000C60E4" w:rsidRDefault="00E109CE" w:rsidP="00E109CE">
            <w:r>
              <w:t>1.67 (</w:t>
            </w:r>
            <w:r w:rsidRPr="000C60E4">
              <w:t>2011)</w:t>
            </w:r>
          </w:p>
          <w:p w:rsidR="00E109CE" w:rsidRPr="000C60E4" w:rsidRDefault="00E109CE" w:rsidP="00E109CE"/>
        </w:tc>
        <w:tc>
          <w:tcPr>
            <w:tcW w:w="1890" w:type="dxa"/>
          </w:tcPr>
          <w:p w:rsidR="00E109CE" w:rsidRPr="000C60E4" w:rsidRDefault="00E109CE" w:rsidP="00E109CE">
            <w:r w:rsidRPr="000C60E4">
              <w:t>Undergraduate degree</w:t>
            </w:r>
          </w:p>
          <w:p w:rsidR="00E109CE" w:rsidRPr="000C60E4" w:rsidRDefault="00E109CE" w:rsidP="00E109CE"/>
        </w:tc>
        <w:tc>
          <w:tcPr>
            <w:tcW w:w="1530" w:type="dxa"/>
          </w:tcPr>
          <w:p w:rsidR="00E109CE" w:rsidRPr="000C60E4" w:rsidRDefault="00E109CE" w:rsidP="00E109CE">
            <w:proofErr w:type="spellStart"/>
            <w:r w:rsidRPr="000C60E4">
              <w:t>NO</w:t>
            </w:r>
            <w:r w:rsidRPr="00E109CE">
              <w:rPr>
                <w:vertAlign w:val="superscript"/>
              </w:rPr>
              <w:t>a</w:t>
            </w:r>
            <w:proofErr w:type="spellEnd"/>
          </w:p>
        </w:tc>
        <w:tc>
          <w:tcPr>
            <w:tcW w:w="1170" w:type="dxa"/>
          </w:tcPr>
          <w:p w:rsidR="00E109CE" w:rsidRPr="000C60E4" w:rsidRDefault="00E109CE" w:rsidP="00E109CE">
            <w:r>
              <w:t>7,734 (</w:t>
            </w:r>
            <w:r w:rsidRPr="000C60E4">
              <w:t>2010-2011)</w:t>
            </w:r>
          </w:p>
          <w:p w:rsidR="00E109CE" w:rsidRPr="000C60E4" w:rsidRDefault="00E109CE" w:rsidP="00E109CE"/>
        </w:tc>
        <w:tc>
          <w:tcPr>
            <w:tcW w:w="1170" w:type="dxa"/>
          </w:tcPr>
          <w:p w:rsidR="00E109CE" w:rsidRPr="000C60E4" w:rsidRDefault="00E109CE" w:rsidP="00E109CE">
            <w:r w:rsidRPr="000C60E4">
              <w:t xml:space="preserve">4 years </w:t>
            </w:r>
          </w:p>
          <w:p w:rsidR="00E109CE" w:rsidRPr="000C60E4" w:rsidRDefault="00E109CE" w:rsidP="00E109CE"/>
          <w:p w:rsidR="00E109CE" w:rsidRPr="000C60E4" w:rsidRDefault="00E109CE" w:rsidP="00E109CE"/>
        </w:tc>
        <w:tc>
          <w:tcPr>
            <w:tcW w:w="1530" w:type="dxa"/>
          </w:tcPr>
          <w:p w:rsidR="00E109CE" w:rsidRPr="000C60E4" w:rsidRDefault="00E109CE" w:rsidP="00E109CE">
            <w:r>
              <w:t>4,358 (</w:t>
            </w:r>
            <w:r w:rsidRPr="000C60E4">
              <w:t>2010-2011)</w:t>
            </w:r>
          </w:p>
          <w:p w:rsidR="00E109CE" w:rsidRPr="000C60E4" w:rsidRDefault="00E109CE" w:rsidP="00E109CE">
            <w:pPr>
              <w:rPr>
                <w:lang w:eastAsia="ja-JP"/>
              </w:rPr>
            </w:pPr>
          </w:p>
        </w:tc>
      </w:tr>
      <w:tr w:rsidR="00E109CE" w:rsidRPr="000C60E4" w:rsidTr="00C1645E">
        <w:trPr>
          <w:cantSplit/>
          <w:trHeight w:val="817"/>
          <w:tblHeader/>
        </w:trPr>
        <w:tc>
          <w:tcPr>
            <w:tcW w:w="1332" w:type="dxa"/>
            <w:vMerge/>
          </w:tcPr>
          <w:p w:rsidR="00E109CE" w:rsidRPr="000C60E4" w:rsidRDefault="00E109CE" w:rsidP="00E109CE"/>
        </w:tc>
        <w:tc>
          <w:tcPr>
            <w:tcW w:w="1170" w:type="dxa"/>
            <w:vMerge/>
          </w:tcPr>
          <w:p w:rsidR="00E109CE" w:rsidRPr="000C60E4" w:rsidRDefault="00E109CE" w:rsidP="00E109CE"/>
        </w:tc>
        <w:tc>
          <w:tcPr>
            <w:tcW w:w="1890" w:type="dxa"/>
          </w:tcPr>
          <w:p w:rsidR="00E109CE" w:rsidRPr="000C60E4" w:rsidRDefault="00E109CE" w:rsidP="00E109CE">
            <w:r w:rsidRPr="000C60E4">
              <w:t>Vocational high school degree</w:t>
            </w:r>
          </w:p>
        </w:tc>
        <w:tc>
          <w:tcPr>
            <w:tcW w:w="1530" w:type="dxa"/>
          </w:tcPr>
          <w:p w:rsidR="00E109CE" w:rsidRPr="000C60E4" w:rsidRDefault="00E109CE" w:rsidP="00E109CE">
            <w:proofErr w:type="spellStart"/>
            <w:r w:rsidRPr="000C60E4">
              <w:t>YES</w:t>
            </w:r>
            <w:r w:rsidRPr="00E109CE">
              <w:rPr>
                <w:vertAlign w:val="superscript"/>
              </w:rPr>
              <w:t>b</w:t>
            </w:r>
            <w:proofErr w:type="spellEnd"/>
          </w:p>
        </w:tc>
        <w:tc>
          <w:tcPr>
            <w:tcW w:w="1170" w:type="dxa"/>
          </w:tcPr>
          <w:p w:rsidR="00E109CE" w:rsidRPr="000C60E4" w:rsidRDefault="00E109CE" w:rsidP="00E109CE">
            <w:r>
              <w:t>10,296 (</w:t>
            </w:r>
            <w:r w:rsidRPr="000C60E4">
              <w:t xml:space="preserve">2011-2012) </w:t>
            </w:r>
          </w:p>
        </w:tc>
        <w:tc>
          <w:tcPr>
            <w:tcW w:w="1170" w:type="dxa"/>
          </w:tcPr>
          <w:p w:rsidR="00E109CE" w:rsidRPr="000C60E4" w:rsidRDefault="00E109CE" w:rsidP="00E109CE">
            <w:r w:rsidRPr="000C60E4">
              <w:t xml:space="preserve">4 years </w:t>
            </w:r>
          </w:p>
        </w:tc>
        <w:tc>
          <w:tcPr>
            <w:tcW w:w="1530" w:type="dxa"/>
          </w:tcPr>
          <w:p w:rsidR="00E109CE" w:rsidRPr="000C60E4" w:rsidRDefault="00E109CE" w:rsidP="00E109CE">
            <w:pPr>
              <w:rPr>
                <w:lang w:eastAsia="ja-JP"/>
              </w:rPr>
            </w:pPr>
            <w:r>
              <w:rPr>
                <w:lang w:eastAsia="ja-JP"/>
              </w:rPr>
              <w:t>8,874 (</w:t>
            </w:r>
            <w:r w:rsidRPr="000C60E4">
              <w:rPr>
                <w:lang w:eastAsia="ja-JP"/>
              </w:rPr>
              <w:t>2010-2011)</w:t>
            </w:r>
          </w:p>
        </w:tc>
      </w:tr>
      <w:tr w:rsidR="00E109CE" w:rsidRPr="000C60E4" w:rsidTr="00C1645E">
        <w:trPr>
          <w:cantSplit/>
          <w:tblHeader/>
        </w:trPr>
        <w:tc>
          <w:tcPr>
            <w:tcW w:w="1332" w:type="dxa"/>
          </w:tcPr>
          <w:p w:rsidR="00E109CE" w:rsidRPr="000C60E4" w:rsidRDefault="00E109CE" w:rsidP="00E109CE">
            <w:r w:rsidRPr="000C60E4">
              <w:t>Midwives</w:t>
            </w:r>
          </w:p>
        </w:tc>
        <w:tc>
          <w:tcPr>
            <w:tcW w:w="1170" w:type="dxa"/>
          </w:tcPr>
          <w:p w:rsidR="00E109CE" w:rsidRPr="000C60E4" w:rsidRDefault="00E109CE" w:rsidP="00E109CE">
            <w:r w:rsidRPr="000C60E4">
              <w:t>0.70 (2011)</w:t>
            </w:r>
          </w:p>
        </w:tc>
        <w:tc>
          <w:tcPr>
            <w:tcW w:w="1890" w:type="dxa"/>
          </w:tcPr>
          <w:p w:rsidR="00E109CE" w:rsidRPr="000C60E4" w:rsidRDefault="00E109CE" w:rsidP="00E109CE">
            <w:r w:rsidRPr="000C60E4">
              <w:t xml:space="preserve">Undergraduate degree </w:t>
            </w:r>
          </w:p>
        </w:tc>
        <w:tc>
          <w:tcPr>
            <w:tcW w:w="1530" w:type="dxa"/>
          </w:tcPr>
          <w:p w:rsidR="00E109CE" w:rsidRPr="000C60E4" w:rsidRDefault="00E109CE" w:rsidP="00E109CE">
            <w:proofErr w:type="spellStart"/>
            <w:r w:rsidRPr="000C60E4">
              <w:t>NO</w:t>
            </w:r>
            <w:r>
              <w:rPr>
                <w:vertAlign w:val="superscript"/>
              </w:rPr>
              <w:t>b</w:t>
            </w:r>
            <w:proofErr w:type="spellEnd"/>
          </w:p>
        </w:tc>
        <w:tc>
          <w:tcPr>
            <w:tcW w:w="1170" w:type="dxa"/>
          </w:tcPr>
          <w:p w:rsidR="00E109CE" w:rsidRPr="000C60E4" w:rsidRDefault="00E109CE" w:rsidP="00E109CE">
            <w:r>
              <w:t>1,</w:t>
            </w:r>
            <w:r w:rsidRPr="000C60E4">
              <w:t>889</w:t>
            </w:r>
          </w:p>
        </w:tc>
        <w:tc>
          <w:tcPr>
            <w:tcW w:w="1170" w:type="dxa"/>
          </w:tcPr>
          <w:p w:rsidR="00E109CE" w:rsidRPr="000C60E4" w:rsidRDefault="00E109CE" w:rsidP="00E109CE">
            <w:r w:rsidRPr="000C60E4">
              <w:t>4 years</w:t>
            </w:r>
          </w:p>
        </w:tc>
        <w:tc>
          <w:tcPr>
            <w:tcW w:w="1530" w:type="dxa"/>
          </w:tcPr>
          <w:p w:rsidR="00E109CE" w:rsidRPr="000C60E4" w:rsidRDefault="00E109CE" w:rsidP="00E109CE">
            <w:pPr>
              <w:rPr>
                <w:lang w:eastAsia="ja-JP"/>
              </w:rPr>
            </w:pPr>
            <w:r>
              <w:t>1,</w:t>
            </w:r>
            <w:r w:rsidRPr="000C60E4">
              <w:t>307 (2010-2011)</w:t>
            </w:r>
          </w:p>
        </w:tc>
      </w:tr>
      <w:tr w:rsidR="00E109CE" w:rsidRPr="000C60E4" w:rsidTr="00C1645E">
        <w:trPr>
          <w:cantSplit/>
          <w:tblHeader/>
        </w:trPr>
        <w:tc>
          <w:tcPr>
            <w:tcW w:w="1332" w:type="dxa"/>
          </w:tcPr>
          <w:p w:rsidR="00E109CE" w:rsidRPr="00E109CE" w:rsidRDefault="00E109CE" w:rsidP="00C1645E">
            <w:r w:rsidRPr="00E109CE">
              <w:t xml:space="preserve">Community health </w:t>
            </w:r>
            <w:proofErr w:type="spellStart"/>
            <w:r w:rsidRPr="00E109CE">
              <w:t>workers</w:t>
            </w:r>
            <w:r w:rsidR="00C1645E" w:rsidRPr="00C1645E">
              <w:rPr>
                <w:vertAlign w:val="superscript"/>
              </w:rPr>
              <w:t>c</w:t>
            </w:r>
            <w:proofErr w:type="spellEnd"/>
          </w:p>
        </w:tc>
        <w:tc>
          <w:tcPr>
            <w:tcW w:w="1170" w:type="dxa"/>
          </w:tcPr>
          <w:p w:rsidR="00E109CE" w:rsidRPr="000C60E4" w:rsidRDefault="00E109CE" w:rsidP="00E109CE">
            <w:pPr>
              <w:jc w:val="center"/>
            </w:pPr>
            <w:r w:rsidRPr="000C60E4">
              <w:t>N/A</w:t>
            </w:r>
          </w:p>
        </w:tc>
        <w:tc>
          <w:tcPr>
            <w:tcW w:w="1890" w:type="dxa"/>
          </w:tcPr>
          <w:p w:rsidR="00E109CE" w:rsidRPr="000C60E4" w:rsidRDefault="00E109CE" w:rsidP="00E109CE">
            <w:pPr>
              <w:jc w:val="center"/>
            </w:pPr>
            <w:r w:rsidRPr="000C60E4">
              <w:t>N/A</w:t>
            </w:r>
          </w:p>
        </w:tc>
        <w:tc>
          <w:tcPr>
            <w:tcW w:w="1530" w:type="dxa"/>
          </w:tcPr>
          <w:p w:rsidR="00E109CE" w:rsidRPr="000C60E4" w:rsidRDefault="00E109CE" w:rsidP="00E109CE">
            <w:pPr>
              <w:jc w:val="center"/>
            </w:pPr>
            <w:r w:rsidRPr="000C60E4">
              <w:t>N/A</w:t>
            </w:r>
          </w:p>
        </w:tc>
        <w:tc>
          <w:tcPr>
            <w:tcW w:w="1170" w:type="dxa"/>
          </w:tcPr>
          <w:p w:rsidR="00E109CE" w:rsidRPr="000C60E4" w:rsidRDefault="00E109CE" w:rsidP="00E109CE">
            <w:pPr>
              <w:jc w:val="center"/>
            </w:pPr>
            <w:r w:rsidRPr="000C60E4">
              <w:t>N/A</w:t>
            </w:r>
          </w:p>
        </w:tc>
        <w:tc>
          <w:tcPr>
            <w:tcW w:w="1170" w:type="dxa"/>
          </w:tcPr>
          <w:p w:rsidR="00E109CE" w:rsidRPr="000C60E4" w:rsidRDefault="00E109CE" w:rsidP="00E109CE">
            <w:pPr>
              <w:jc w:val="center"/>
            </w:pPr>
            <w:r w:rsidRPr="000C60E4">
              <w:t>N/A</w:t>
            </w:r>
          </w:p>
        </w:tc>
        <w:tc>
          <w:tcPr>
            <w:tcW w:w="1530" w:type="dxa"/>
          </w:tcPr>
          <w:p w:rsidR="00E109CE" w:rsidRPr="000C60E4" w:rsidRDefault="00E109CE" w:rsidP="00E109CE">
            <w:pPr>
              <w:jc w:val="center"/>
            </w:pPr>
            <w:r w:rsidRPr="000C60E4">
              <w:t>N/A</w:t>
            </w:r>
          </w:p>
        </w:tc>
      </w:tr>
    </w:tbl>
    <w:p w:rsidR="00E109CE" w:rsidRPr="0051681F" w:rsidRDefault="00E109CE" w:rsidP="00BC7C6C">
      <w:pPr>
        <w:pStyle w:val="Source"/>
      </w:pPr>
      <w:r w:rsidRPr="0051681F">
        <w:t>Source: Ministry of Health 2011a</w:t>
      </w:r>
      <w:r>
        <w:t>.</w:t>
      </w:r>
    </w:p>
    <w:p w:rsidR="00E109CE" w:rsidRDefault="00E109CE" w:rsidP="00BC7C6C">
      <w:pPr>
        <w:pStyle w:val="Source"/>
      </w:pPr>
      <w:r>
        <w:t>a.</w:t>
      </w:r>
      <w:r w:rsidRPr="004C2AF6">
        <w:t xml:space="preserve"> Physician education and higher education of health professionals is regulated by the Higher Education Council</w:t>
      </w:r>
      <w:r>
        <w:t>,</w:t>
      </w:r>
      <w:r w:rsidRPr="004C2AF6">
        <w:t xml:space="preserve"> a fully autonomous supreme corporate public body responsible for the planning, coordination, governance, and supervision of higher education.</w:t>
      </w:r>
    </w:p>
    <w:p w:rsidR="00E109CE" w:rsidRDefault="00E109CE" w:rsidP="00BC7C6C">
      <w:pPr>
        <w:pStyle w:val="Source"/>
      </w:pPr>
      <w:r>
        <w:t>b.</w:t>
      </w:r>
      <w:r w:rsidRPr="004C2AF6">
        <w:t xml:space="preserve"> Vocational high school entrants are determined by the Ministry of National Education.</w:t>
      </w:r>
    </w:p>
    <w:p w:rsidR="00E109CE" w:rsidRPr="0051681F" w:rsidRDefault="00E109CE" w:rsidP="00BC7C6C">
      <w:pPr>
        <w:pStyle w:val="Source"/>
      </w:pPr>
      <w:r>
        <w:t xml:space="preserve">c. </w:t>
      </w:r>
      <w:r w:rsidRPr="0051681F">
        <w:t>Community health worker is not an applicable category in Turkey.</w:t>
      </w:r>
    </w:p>
    <w:p w:rsidR="00E109CE" w:rsidRDefault="00E109CE" w:rsidP="00E109CE">
      <w:pPr>
        <w:pStyle w:val="BodyText0"/>
      </w:pPr>
    </w:p>
    <w:p w:rsidR="00C1645E" w:rsidRPr="000C60E4" w:rsidRDefault="00C1645E" w:rsidP="00C1645E">
      <w:pPr>
        <w:pStyle w:val="BodyText0"/>
        <w:jc w:val="both"/>
      </w:pPr>
      <w:r w:rsidRPr="000C60E4">
        <w:t>In 2011, 58.2</w:t>
      </w:r>
      <w:r w:rsidRPr="000C60E4">
        <w:rPr>
          <w:rFonts w:ascii="Courier New" w:hAnsi="Courier New" w:cs="Courier New"/>
        </w:rPr>
        <w:t> </w:t>
      </w:r>
      <w:r w:rsidRPr="000C60E4">
        <w:t>percent of all physicians and 77</w:t>
      </w:r>
      <w:r w:rsidRPr="000C60E4">
        <w:rPr>
          <w:rFonts w:ascii="Courier New" w:hAnsi="Courier New" w:cs="Courier New"/>
        </w:rPr>
        <w:t> </w:t>
      </w:r>
      <w:r w:rsidRPr="000C60E4">
        <w:t>percent of all nurses and midwives worked in MOH facilities; 20.9</w:t>
      </w:r>
      <w:r w:rsidRPr="000C60E4">
        <w:rPr>
          <w:rFonts w:ascii="Courier New" w:hAnsi="Courier New" w:cs="Courier New"/>
        </w:rPr>
        <w:t> </w:t>
      </w:r>
      <w:r w:rsidRPr="000C60E4">
        <w:t>percent of all physicians and 10.3</w:t>
      </w:r>
      <w:r w:rsidRPr="000C60E4">
        <w:rPr>
          <w:rFonts w:ascii="Courier New" w:hAnsi="Courier New" w:cs="Courier New"/>
        </w:rPr>
        <w:t> </w:t>
      </w:r>
      <w:r w:rsidRPr="000C60E4">
        <w:t>percent of all nurses and midwives worked in universities; and 10.3</w:t>
      </w:r>
      <w:r w:rsidRPr="000C60E4">
        <w:rPr>
          <w:rFonts w:ascii="Courier New" w:hAnsi="Courier New" w:cs="Courier New"/>
        </w:rPr>
        <w:t> </w:t>
      </w:r>
      <w:r w:rsidRPr="000C60E4">
        <w:t>percent of all physicians and 12.7</w:t>
      </w:r>
      <w:r w:rsidRPr="000C60E4">
        <w:rPr>
          <w:rFonts w:ascii="Courier New" w:hAnsi="Courier New" w:cs="Courier New"/>
        </w:rPr>
        <w:t> </w:t>
      </w:r>
      <w:r w:rsidRPr="000C60E4">
        <w:t>percent of all nurses and midwives worked in the private sector (</w:t>
      </w:r>
      <w:r>
        <w:t>MOH</w:t>
      </w:r>
      <w:r w:rsidRPr="000C60E4">
        <w:t xml:space="preserve"> 2011</w:t>
      </w:r>
      <w:r>
        <w:t>b</w:t>
      </w:r>
      <w:r w:rsidRPr="000C60E4">
        <w:t xml:space="preserve">). In 2011, there were 0.65 physicians per 1,000 population specialized in gynecology and obstetrics, 0.64 in internal diseases, 0.53 in </w:t>
      </w:r>
      <w:r w:rsidRPr="000C60E4">
        <w:lastRenderedPageBreak/>
        <w:t>anesthesiology, while only 0.03 physicians per 1</w:t>
      </w:r>
      <w:r>
        <w:t>,</w:t>
      </w:r>
      <w:r w:rsidRPr="000C60E4">
        <w:t xml:space="preserve">000 </w:t>
      </w:r>
      <w:proofErr w:type="gramStart"/>
      <w:r w:rsidRPr="000C60E4">
        <w:t>population</w:t>
      </w:r>
      <w:proofErr w:type="gramEnd"/>
      <w:r w:rsidRPr="000C60E4">
        <w:t xml:space="preserve"> specialized in medical oncology and 0.07 in thoracic surgery</w:t>
      </w:r>
      <w:r>
        <w:t xml:space="preserve"> </w:t>
      </w:r>
      <w:r w:rsidRPr="000C60E4">
        <w:t>(</w:t>
      </w:r>
      <w:r>
        <w:t>MOH</w:t>
      </w:r>
      <w:r w:rsidRPr="000C60E4">
        <w:t xml:space="preserve"> 2011</w:t>
      </w:r>
      <w:r>
        <w:t>b</w:t>
      </w:r>
      <w:r w:rsidRPr="000C60E4">
        <w:t>).</w:t>
      </w:r>
      <w:r w:rsidRPr="00D345E5">
        <w:t xml:space="preserve"> </w:t>
      </w:r>
    </w:p>
    <w:p w:rsidR="00C1645E" w:rsidRDefault="00C1645E" w:rsidP="00C1645E">
      <w:pPr>
        <w:pStyle w:val="BodyText0"/>
      </w:pPr>
      <w:r w:rsidRPr="000C60E4">
        <w:t>The number of faculties of medicine increased from 56 in 2008/09 to 69 in 2010/11, and the number of students who recently enrolled in faculties of medicine increased from 6,655 to 8,438 over the same period, which should greatly improve the density of physicians and nurses after 2015 (</w:t>
      </w:r>
      <w:r>
        <w:t>MOH</w:t>
      </w:r>
      <w:r w:rsidRPr="000C60E4">
        <w:t xml:space="preserve"> 2011</w:t>
      </w:r>
      <w:r>
        <w:t>b</w:t>
      </w:r>
      <w:r w:rsidRPr="000C60E4">
        <w:t>).</w:t>
      </w:r>
    </w:p>
    <w:p w:rsidR="00E109CE" w:rsidRPr="000C60E4" w:rsidRDefault="00E109CE" w:rsidP="00BC7C6C">
      <w:pPr>
        <w:pStyle w:val="BodyText0"/>
        <w:jc w:val="both"/>
      </w:pPr>
      <w:r w:rsidRPr="000C60E4">
        <w:t>The State Planning Organization, the Higher Education Council, the State Department of Personnel, and the MOH are responsible for HRH policies. Workforce planning is mainly the responsibility of the General Directorate of Health Services on behalf of the MOH.</w:t>
      </w:r>
      <w:r w:rsidRPr="000C60E4">
        <w:rPr>
          <w:rStyle w:val="FootnoteReference"/>
          <w:rFonts w:asciiTheme="minorHAnsi" w:hAnsiTheme="minorHAnsi"/>
        </w:rPr>
        <w:footnoteReference w:id="2"/>
      </w:r>
      <w:r w:rsidRPr="000C60E4">
        <w:t xml:space="preserve"> The MOH is responsible for coordinating health care personnel education and employment in the public sector.</w:t>
      </w:r>
    </w:p>
    <w:p w:rsidR="00E109CE" w:rsidRPr="000C60E4" w:rsidRDefault="00E109CE" w:rsidP="00BC7C6C">
      <w:pPr>
        <w:pStyle w:val="BodyText0"/>
        <w:jc w:val="both"/>
      </w:pPr>
      <w:r w:rsidRPr="000C60E4">
        <w:t>Medical specialization requires further education after the completion of the undergraduate degree and the central medical specialization examination.</w:t>
      </w:r>
      <w:r w:rsidRPr="000C60E4">
        <w:rPr>
          <w:rStyle w:val="FootnoteReference"/>
          <w:rFonts w:asciiTheme="minorHAnsi" w:hAnsiTheme="minorHAnsi"/>
        </w:rPr>
        <w:footnoteReference w:id="3"/>
      </w:r>
      <w:r w:rsidRPr="000C60E4">
        <w:t xml:space="preserve"> Medical residency training is provided in MOH teaching hospitals. There is no health education accreditation institution. The Higher Education Council approves all new programs. </w:t>
      </w:r>
    </w:p>
    <w:p w:rsidR="00E109CE" w:rsidRPr="000C60E4" w:rsidRDefault="00E109CE" w:rsidP="00BC7C6C">
      <w:pPr>
        <w:pStyle w:val="Heading3"/>
      </w:pPr>
      <w:r w:rsidRPr="000C60E4">
        <w:t>2.</w:t>
      </w:r>
      <w:r w:rsidRPr="000C60E4">
        <w:tab/>
        <w:t>Labor market dynamics</w:t>
      </w:r>
    </w:p>
    <w:p w:rsidR="00E109CE" w:rsidRPr="000C60E4" w:rsidRDefault="00E109CE" w:rsidP="00BC7C6C">
      <w:pPr>
        <w:pStyle w:val="BodyText0"/>
        <w:jc w:val="both"/>
      </w:pPr>
      <w:r w:rsidRPr="000C60E4">
        <w:t>The Family Medicine Program explicitly encourages doctors and health workers to serve in rural populations. When a family practitioner has registered patients in rural areas, he or she is also assigned health house midwives. In addition, periodic mobile outreach services are provided to those who live in rural areas. T</w:t>
      </w:r>
      <w:r w:rsidRPr="000C60E4">
        <w:rPr>
          <w:lang w:bidi="en-US"/>
        </w:rPr>
        <w:t>he monthly base payment of family medicine physicians is adjusted for the socioeconomic development of the area in which they practice (see Table</w:t>
      </w:r>
      <w:r w:rsidRPr="000C60E4">
        <w:rPr>
          <w:rFonts w:ascii="Courier New" w:hAnsi="Courier New" w:cs="Courier New"/>
          <w:lang w:bidi="en-US"/>
        </w:rPr>
        <w:t> </w:t>
      </w:r>
      <w:r w:rsidRPr="000C60E4">
        <w:rPr>
          <w:lang w:bidi="en-US"/>
        </w:rPr>
        <w:t>4).</w:t>
      </w:r>
      <w:r w:rsidRPr="000C60E4">
        <w:t xml:space="preserve"> Family physicians working in underserved areas receive a “service credit” on a sliding scale, linked to the socioeconomic development index of the district (World Bank 2013). In the least advantaged areas, the service credit can be as high as 40</w:t>
      </w:r>
      <w:r w:rsidRPr="000C60E4">
        <w:rPr>
          <w:rFonts w:ascii="Courier New" w:hAnsi="Courier New" w:cs="Courier New"/>
        </w:rPr>
        <w:t> </w:t>
      </w:r>
      <w:r w:rsidRPr="000C60E4">
        <w:t xml:space="preserve">percent of the maximum base payment. Since the introduction of the Family Medicine Program, disparities in the distribution of health personnel across the country </w:t>
      </w:r>
      <w:r w:rsidR="00841C6A">
        <w:t>have</w:t>
      </w:r>
      <w:r>
        <w:t xml:space="preserve"> </w:t>
      </w:r>
      <w:r w:rsidRPr="000C60E4">
        <w:t xml:space="preserve">declined. </w:t>
      </w:r>
    </w:p>
    <w:p w:rsidR="00E109CE" w:rsidRPr="000C60E4" w:rsidRDefault="00E109CE" w:rsidP="00BC7C6C">
      <w:pPr>
        <w:pStyle w:val="BodyText0"/>
        <w:jc w:val="both"/>
      </w:pPr>
      <w:r w:rsidRPr="000C60E4">
        <w:t xml:space="preserve">Compulsory service for all public and private medical school graduates </w:t>
      </w:r>
      <w:r>
        <w:t xml:space="preserve">has </w:t>
      </w:r>
      <w:r w:rsidRPr="000C60E4">
        <w:t xml:space="preserve">also helped improve geographic distribution. Further, </w:t>
      </w:r>
      <w:r>
        <w:t xml:space="preserve">a </w:t>
      </w:r>
      <w:r w:rsidRPr="000C60E4">
        <w:t xml:space="preserve">Regulation on Appointment and Transfer </w:t>
      </w:r>
      <w:r>
        <w:t xml:space="preserve">has been introduced to ensure a </w:t>
      </w:r>
      <w:r w:rsidRPr="000C60E4">
        <w:t xml:space="preserve">more balanced distribution of health care personnel to all MOH health care facilities. According to this regulation, specialists, general practitioners, dentists, and pharmacists are appointed through a computer-based lottery, and other personnel are appointed </w:t>
      </w:r>
      <w:r>
        <w:t xml:space="preserve">based on the results of </w:t>
      </w:r>
      <w:r w:rsidRPr="000C60E4">
        <w:t xml:space="preserve">a </w:t>
      </w:r>
      <w:r>
        <w:t xml:space="preserve">national </w:t>
      </w:r>
      <w:r w:rsidRPr="000C60E4">
        <w:t>examination</w:t>
      </w:r>
      <w:r>
        <w:t xml:space="preserve"> system</w:t>
      </w:r>
      <w:r w:rsidRPr="000C60E4">
        <w:t>.</w:t>
      </w:r>
    </w:p>
    <w:p w:rsidR="00E109CE" w:rsidRPr="000C60E4" w:rsidRDefault="00E109CE" w:rsidP="00BC7C6C">
      <w:pPr>
        <w:pStyle w:val="BodyText0"/>
        <w:jc w:val="both"/>
      </w:pPr>
      <w:r w:rsidRPr="000C60E4">
        <w:t>Although there were variable practices for certified trainings conducted in professional fields of health by many other public and private institutions, primarily the MOH and universities, there was no regulatory framework</w:t>
      </w:r>
      <w:r>
        <w:t xml:space="preserve"> before 2010</w:t>
      </w:r>
      <w:r w:rsidRPr="000C60E4">
        <w:t xml:space="preserve">. In 2010, the MOH introduced its Implementing Regulation on Certified Trainings in order to regulate the </w:t>
      </w:r>
      <w:r>
        <w:t xml:space="preserve">policies </w:t>
      </w:r>
      <w:r w:rsidRPr="000C60E4">
        <w:t>and procedures on certified training to be delivered by the MOH, the Turkish Armed Forces, universities, public agencies and organizations, private entities, and</w:t>
      </w:r>
      <w:r>
        <w:t xml:space="preserve"> individuals</w:t>
      </w:r>
      <w:r w:rsidRPr="000C60E4">
        <w:t xml:space="preserve">. The MOH introduced the Distance Health Education System in 2006 to provide education to all health care personnel particularly </w:t>
      </w:r>
      <w:r w:rsidRPr="000C60E4">
        <w:lastRenderedPageBreak/>
        <w:t>managers, management trainees</w:t>
      </w:r>
      <w:r>
        <w:t>,</w:t>
      </w:r>
      <w:r w:rsidRPr="000C60E4">
        <w:t xml:space="preserve"> and specialists and to ensure orientation training to family physicians to be assigned in primary health care and other health care personnel to be assigned in family medicine.</w:t>
      </w:r>
    </w:p>
    <w:p w:rsidR="00E109CE" w:rsidRPr="000C60E4" w:rsidRDefault="00E109CE" w:rsidP="00BC7C6C">
      <w:pPr>
        <w:pStyle w:val="BodyText0"/>
        <w:jc w:val="both"/>
      </w:pPr>
      <w:r w:rsidRPr="000C60E4">
        <w:t>There are signs of improvement in workforce productivity over recent years. Consultations per physician per year—</w:t>
      </w:r>
      <w:proofErr w:type="gramStart"/>
      <w:r w:rsidRPr="000C60E4">
        <w:t>a crude</w:t>
      </w:r>
      <w:proofErr w:type="gramEnd"/>
      <w:r w:rsidRPr="000C60E4">
        <w:t xml:space="preserve"> measure of physicians’ productivity—increased from 2,272 in 2002 to 3,176 in 2006 and to 4,850 in 2011. Several complementary reforms contributed to the increase in productivity including the introduction of performance-based payment, the activation of dormant health centers, and the increase in the availability of examination rooms for each physician in health centers. </w:t>
      </w:r>
    </w:p>
    <w:p w:rsidR="00E109CE" w:rsidRDefault="00E109CE" w:rsidP="00BC7C6C">
      <w:pPr>
        <w:pStyle w:val="BodyText0"/>
        <w:jc w:val="both"/>
      </w:pPr>
      <w:r w:rsidRPr="000C60E4">
        <w:t>In 2004, a performance-based supplementary payment system was introduced in MOH hospitals to encourage job motivation and productivity among public sector health personnel. Health personnel receive a payment each month in addition to their regular salaries. The base salary is paid from the MOH line item budget under health personnel salaries. Bonus payment for a health worker is determined through a combination of individual and institutional performance criteria. Performance-based payments are paid from hospital earnings. Under th</w:t>
      </w:r>
      <w:r>
        <w:t>is</w:t>
      </w:r>
      <w:r w:rsidRPr="000C60E4">
        <w:t xml:space="preserve"> </w:t>
      </w:r>
      <w:r>
        <w:t xml:space="preserve">payment </w:t>
      </w:r>
      <w:r w:rsidRPr="000C60E4">
        <w:t>system, 93</w:t>
      </w:r>
      <w:r w:rsidRPr="000C60E4">
        <w:rPr>
          <w:rFonts w:ascii="Courier New" w:hAnsi="Courier New" w:cs="Courier New"/>
        </w:rPr>
        <w:t> </w:t>
      </w:r>
      <w:r w:rsidRPr="000C60E4">
        <w:t>percent of all specialist physicians preferred to work full time in the public sector in 2010, up from 11</w:t>
      </w:r>
      <w:r w:rsidRPr="000C60E4">
        <w:rPr>
          <w:rFonts w:ascii="Courier New" w:hAnsi="Courier New" w:cs="Courier New"/>
        </w:rPr>
        <w:t> </w:t>
      </w:r>
      <w:r w:rsidRPr="000C60E4">
        <w:t>percent in 2003 (</w:t>
      </w:r>
      <w:r>
        <w:t>MOH</w:t>
      </w:r>
      <w:r w:rsidRPr="000C60E4">
        <w:t xml:space="preserve"> 2011</w:t>
      </w:r>
      <w:r>
        <w:t>b</w:t>
      </w:r>
      <w:r w:rsidRPr="000C60E4">
        <w:t xml:space="preserve">). </w:t>
      </w:r>
    </w:p>
    <w:p w:rsidR="00E109CE" w:rsidRPr="000C60E4" w:rsidRDefault="00E109CE" w:rsidP="00BC7C6C">
      <w:pPr>
        <w:pStyle w:val="Heading2"/>
      </w:pPr>
      <w:r w:rsidRPr="000C60E4">
        <w:t>C.</w:t>
      </w:r>
      <w:r w:rsidRPr="000C60E4">
        <w:tab/>
        <w:t>Sequencing of reforms</w:t>
      </w:r>
    </w:p>
    <w:p w:rsidR="00E109CE" w:rsidRPr="000C60E4" w:rsidRDefault="00E109CE" w:rsidP="00BC7C6C">
      <w:pPr>
        <w:pStyle w:val="Heading3"/>
      </w:pPr>
      <w:r w:rsidRPr="000C60E4">
        <w:t>1.</w:t>
      </w:r>
      <w:r w:rsidRPr="000C60E4">
        <w:tab/>
        <w:t>How and why were the relevant UHC reforms put into effect?</w:t>
      </w:r>
    </w:p>
    <w:p w:rsidR="00E109CE" w:rsidRDefault="00E109CE" w:rsidP="00E109CE">
      <w:pPr>
        <w:pStyle w:val="Heading4"/>
      </w:pPr>
      <w:r w:rsidRPr="000C60E4">
        <w:t xml:space="preserve">a. Historical sequence </w:t>
      </w:r>
    </w:p>
    <w:p w:rsidR="00E109CE" w:rsidRPr="000C60E4" w:rsidRDefault="00E109CE" w:rsidP="00BC7C6C">
      <w:pPr>
        <w:pStyle w:val="BodyText0"/>
        <w:jc w:val="both"/>
        <w:rPr>
          <w:rFonts w:cs="Times"/>
          <w:iCs/>
        </w:rPr>
      </w:pPr>
      <w:r w:rsidRPr="000C60E4">
        <w:rPr>
          <w:lang w:bidi="en-US"/>
        </w:rPr>
        <w:t xml:space="preserve">In 2005, fragmentation in service delivery was reduced with hospitals under the </w:t>
      </w:r>
      <w:proofErr w:type="spellStart"/>
      <w:r w:rsidRPr="000C60E4">
        <w:rPr>
          <w:lang w:bidi="en-US"/>
        </w:rPr>
        <w:t>Sosyal</w:t>
      </w:r>
      <w:proofErr w:type="spellEnd"/>
      <w:r w:rsidRPr="000C60E4">
        <w:rPr>
          <w:lang w:bidi="en-US"/>
        </w:rPr>
        <w:t xml:space="preserve"> </w:t>
      </w:r>
      <w:proofErr w:type="spellStart"/>
      <w:r w:rsidRPr="000C60E4">
        <w:rPr>
          <w:lang w:bidi="en-US"/>
        </w:rPr>
        <w:t>Sigortalar</w:t>
      </w:r>
      <w:proofErr w:type="spellEnd"/>
      <w:r w:rsidRPr="000C60E4">
        <w:rPr>
          <w:lang w:bidi="en-US"/>
        </w:rPr>
        <w:t xml:space="preserve"> </w:t>
      </w:r>
      <w:proofErr w:type="spellStart"/>
      <w:r w:rsidRPr="000C60E4">
        <w:rPr>
          <w:lang w:bidi="en-US"/>
        </w:rPr>
        <w:t>Kurumu</w:t>
      </w:r>
      <w:proofErr w:type="spellEnd"/>
      <w:r w:rsidRPr="000C60E4">
        <w:rPr>
          <w:lang w:bidi="en-US"/>
        </w:rPr>
        <w:t xml:space="preserve"> for formal sector employees </w:t>
      </w:r>
      <w:r>
        <w:rPr>
          <w:lang w:bidi="en-US"/>
        </w:rPr>
        <w:t>being</w:t>
      </w:r>
      <w:r w:rsidRPr="000C60E4">
        <w:rPr>
          <w:lang w:bidi="en-US"/>
        </w:rPr>
        <w:t xml:space="preserve"> transferred to the MOH hospital system. In the same year, the family medicine program was piloted in </w:t>
      </w:r>
      <w:proofErr w:type="spellStart"/>
      <w:r w:rsidRPr="000C60E4">
        <w:rPr>
          <w:lang w:bidi="en-US"/>
        </w:rPr>
        <w:t>Duzce</w:t>
      </w:r>
      <w:proofErr w:type="spellEnd"/>
      <w:r>
        <w:rPr>
          <w:lang w:bidi="en-US"/>
        </w:rPr>
        <w:t xml:space="preserve"> </w:t>
      </w:r>
      <w:r w:rsidRPr="000C60E4">
        <w:rPr>
          <w:lang w:bidi="en-US"/>
        </w:rPr>
        <w:t>province. In 2006, fragmentation in financing was reduced with the three social insurance programs</w:t>
      </w:r>
      <w:r>
        <w:rPr>
          <w:lang w:bidi="en-US"/>
        </w:rPr>
        <w:t>—</w:t>
      </w:r>
      <w:proofErr w:type="spellStart"/>
      <w:r w:rsidRPr="00266B76">
        <w:rPr>
          <w:lang w:bidi="en-US"/>
        </w:rPr>
        <w:t>Sosyal</w:t>
      </w:r>
      <w:proofErr w:type="spellEnd"/>
      <w:r w:rsidRPr="00266B76">
        <w:rPr>
          <w:lang w:bidi="en-US"/>
        </w:rPr>
        <w:t xml:space="preserve"> </w:t>
      </w:r>
      <w:proofErr w:type="spellStart"/>
      <w:r w:rsidRPr="00266B76">
        <w:rPr>
          <w:lang w:bidi="en-US"/>
        </w:rPr>
        <w:t>Sigortalar</w:t>
      </w:r>
      <w:proofErr w:type="spellEnd"/>
      <w:r w:rsidRPr="00266B76">
        <w:rPr>
          <w:lang w:bidi="en-US"/>
        </w:rPr>
        <w:t xml:space="preserve"> </w:t>
      </w:r>
      <w:proofErr w:type="spellStart"/>
      <w:r w:rsidRPr="00266B76">
        <w:rPr>
          <w:lang w:bidi="en-US"/>
        </w:rPr>
        <w:t>Kurumu</w:t>
      </w:r>
      <w:proofErr w:type="spellEnd"/>
      <w:r w:rsidRPr="000C60E4">
        <w:rPr>
          <w:lang w:bidi="en-US"/>
        </w:rPr>
        <w:t xml:space="preserve">, Bag </w:t>
      </w:r>
      <w:proofErr w:type="spellStart"/>
      <w:r w:rsidRPr="000C60E4">
        <w:rPr>
          <w:lang w:bidi="en-US"/>
        </w:rPr>
        <w:t>Kur</w:t>
      </w:r>
      <w:proofErr w:type="spellEnd"/>
      <w:r w:rsidRPr="000C60E4">
        <w:rPr>
          <w:lang w:bidi="en-US"/>
        </w:rPr>
        <w:t xml:space="preserve"> (</w:t>
      </w:r>
      <w:r w:rsidRPr="000C60E4">
        <w:t>social insurance for the self-employed)</w:t>
      </w:r>
      <w:r>
        <w:t>,</w:t>
      </w:r>
      <w:r w:rsidRPr="000C60E4">
        <w:t xml:space="preserve"> and the social insurance for retired civil servants (</w:t>
      </w:r>
      <w:proofErr w:type="spellStart"/>
      <w:r w:rsidRPr="000C60E4">
        <w:t>Emekli</w:t>
      </w:r>
      <w:proofErr w:type="spellEnd"/>
      <w:r w:rsidRPr="000C60E4">
        <w:t xml:space="preserve"> </w:t>
      </w:r>
      <w:proofErr w:type="spellStart"/>
      <w:r w:rsidRPr="000C60E4">
        <w:t>Sandigi</w:t>
      </w:r>
      <w:proofErr w:type="spellEnd"/>
      <w:r w:rsidRPr="000C60E4">
        <w:t>)</w:t>
      </w:r>
      <w:r>
        <w:t>—</w:t>
      </w:r>
      <w:r w:rsidRPr="000C60E4">
        <w:rPr>
          <w:lang w:bidi="en-US"/>
        </w:rPr>
        <w:t>integrated into the SSI</w:t>
      </w:r>
      <w:r>
        <w:rPr>
          <w:lang w:bidi="en-US"/>
        </w:rPr>
        <w:t xml:space="preserve"> (Law No.</w:t>
      </w:r>
      <w:r>
        <w:rPr>
          <w:rFonts w:ascii="Courier New" w:hAnsi="Courier New" w:cs="Courier New"/>
          <w:lang w:bidi="en-US"/>
        </w:rPr>
        <w:t> </w:t>
      </w:r>
      <w:r>
        <w:rPr>
          <w:lang w:bidi="en-US"/>
        </w:rPr>
        <w:t>5502)</w:t>
      </w:r>
      <w:r w:rsidRPr="000C60E4">
        <w:rPr>
          <w:lang w:bidi="en-US"/>
        </w:rPr>
        <w:t xml:space="preserve">. In 2008, the Social Security and Universal Health Insurance Law was </w:t>
      </w:r>
      <w:r>
        <w:rPr>
          <w:lang w:bidi="en-US"/>
        </w:rPr>
        <w:t>adopted (Law No.</w:t>
      </w:r>
      <w:r>
        <w:rPr>
          <w:rFonts w:ascii="Courier New" w:hAnsi="Courier New" w:cs="Courier New"/>
          <w:lang w:bidi="en-US"/>
        </w:rPr>
        <w:t> </w:t>
      </w:r>
      <w:r>
        <w:rPr>
          <w:lang w:bidi="en-US"/>
        </w:rPr>
        <w:t>5510)</w:t>
      </w:r>
      <w:r w:rsidRPr="000C60E4">
        <w:rPr>
          <w:lang w:bidi="en-US"/>
        </w:rPr>
        <w:t>, which provide</w:t>
      </w:r>
      <w:r>
        <w:rPr>
          <w:lang w:bidi="en-US"/>
        </w:rPr>
        <w:t>d</w:t>
      </w:r>
      <w:r w:rsidRPr="000C60E4">
        <w:rPr>
          <w:lang w:bidi="en-US"/>
        </w:rPr>
        <w:t xml:space="preserve"> the legal basis for fully synchronized UHI</w:t>
      </w:r>
      <w:r>
        <w:rPr>
          <w:lang w:bidi="en-US"/>
        </w:rPr>
        <w:t>.</w:t>
      </w:r>
      <w:r>
        <w:rPr>
          <w:rStyle w:val="FootnoteReference"/>
          <w:rFonts w:asciiTheme="minorHAnsi" w:hAnsiTheme="minorHAnsi"/>
          <w:lang w:bidi="en-US"/>
        </w:rPr>
        <w:footnoteReference w:id="4"/>
      </w:r>
      <w:r w:rsidRPr="000C60E4">
        <w:rPr>
          <w:lang w:bidi="en-US"/>
        </w:rPr>
        <w:t xml:space="preserve"> In 2010, the Active Civil Servants program was transferred to the SSI and by 2010 the Family Medicine Program was rolled out nationwide. In 2012, the Green Card Program became a part of the SSI system. During the same period, </w:t>
      </w:r>
      <w:r w:rsidRPr="000C60E4">
        <w:t>significant efforts were made to harmonize the benefits packages of the various programs. (</w:t>
      </w:r>
      <w:r w:rsidR="000E65CE">
        <w:t xml:space="preserve">The </w:t>
      </w:r>
      <w:r w:rsidR="003D1F31">
        <w:t xml:space="preserve">Annex </w:t>
      </w:r>
      <w:r>
        <w:t xml:space="preserve">at the end of the document </w:t>
      </w:r>
      <w:r w:rsidRPr="000C60E4">
        <w:t xml:space="preserve">presents </w:t>
      </w:r>
      <w:r>
        <w:t xml:space="preserve">a </w:t>
      </w:r>
      <w:r w:rsidRPr="000C60E4">
        <w:t xml:space="preserve">timeline of health sector reform </w:t>
      </w:r>
      <w:r w:rsidR="003D1F31">
        <w:t xml:space="preserve">from </w:t>
      </w:r>
      <w:r w:rsidRPr="000C60E4">
        <w:t>2003–12.)</w:t>
      </w:r>
      <w:r w:rsidRPr="000C60E4">
        <w:rPr>
          <w:lang w:bidi="en-US"/>
        </w:rPr>
        <w:t xml:space="preserve"> </w:t>
      </w:r>
    </w:p>
    <w:p w:rsidR="00E109CE" w:rsidRDefault="00E109CE" w:rsidP="00E109CE">
      <w:pPr>
        <w:pStyle w:val="Heading4"/>
        <w:rPr>
          <w:lang w:bidi="en-US"/>
        </w:rPr>
      </w:pPr>
      <w:r w:rsidRPr="000C60E4">
        <w:rPr>
          <w:lang w:bidi="en-US"/>
        </w:rPr>
        <w:t xml:space="preserve">b. Actors </w:t>
      </w:r>
    </w:p>
    <w:p w:rsidR="00E109CE" w:rsidRPr="000C60E4" w:rsidRDefault="00E109CE" w:rsidP="00BC7C6C">
      <w:pPr>
        <w:pStyle w:val="BodyText0"/>
        <w:jc w:val="both"/>
        <w:rPr>
          <w:lang w:bidi="en-US"/>
        </w:rPr>
      </w:pPr>
      <w:r w:rsidRPr="000C60E4">
        <w:rPr>
          <w:lang w:bidi="en-US"/>
        </w:rPr>
        <w:t xml:space="preserve">The Justice and Development Party (AKP) came to power after national elections in 2002. The primary objectives of the health care sector were outlined in the AKP’s Urgent Action Plan, announced in November 2002. The HTP was launched in 2003 and had support from the highest levels of government. </w:t>
      </w:r>
    </w:p>
    <w:p w:rsidR="00E109CE" w:rsidRDefault="00E109CE" w:rsidP="00E109CE">
      <w:pPr>
        <w:pStyle w:val="Heading4"/>
        <w:rPr>
          <w:lang w:bidi="en-US"/>
        </w:rPr>
      </w:pPr>
      <w:r w:rsidRPr="000C60E4">
        <w:rPr>
          <w:lang w:bidi="en-US"/>
        </w:rPr>
        <w:lastRenderedPageBreak/>
        <w:t xml:space="preserve">c. Economic context </w:t>
      </w:r>
    </w:p>
    <w:p w:rsidR="00E109CE" w:rsidRPr="000C60E4" w:rsidRDefault="00E109CE" w:rsidP="00BC7C6C">
      <w:pPr>
        <w:pStyle w:val="BodyText0"/>
        <w:jc w:val="both"/>
        <w:rPr>
          <w:lang w:bidi="en-US"/>
        </w:rPr>
      </w:pPr>
      <w:r w:rsidRPr="000C60E4">
        <w:rPr>
          <w:lang w:bidi="en-US"/>
        </w:rPr>
        <w:t>Various governments in the past had made considerable efforts to restructure health service delivery and financing with limited success. In 2003, there was a unique opportunity when the new AKP government outlined its reform objectives under the HTP, which highlighted the need for a broad “transformation” in health care. This decade was also a period of high economic growth. This and priority to health in government policies helped support the move toward universal coverage.</w:t>
      </w:r>
    </w:p>
    <w:p w:rsidR="00E109CE" w:rsidRPr="000C60E4" w:rsidRDefault="00E109CE" w:rsidP="00BC7C6C">
      <w:pPr>
        <w:pStyle w:val="Heading1"/>
      </w:pPr>
      <w:proofErr w:type="gramStart"/>
      <w:r w:rsidRPr="000C60E4">
        <w:t>PART II.</w:t>
      </w:r>
      <w:proofErr w:type="gramEnd"/>
      <w:r w:rsidRPr="000C60E4">
        <w:tab/>
      </w:r>
      <w:r w:rsidR="003D1F31">
        <w:t xml:space="preserve">Policy Priorities and Lessons </w:t>
      </w:r>
    </w:p>
    <w:p w:rsidR="00E109CE" w:rsidRPr="000C60E4" w:rsidRDefault="00E109CE" w:rsidP="00BC7C6C">
      <w:pPr>
        <w:pStyle w:val="Heading2"/>
      </w:pPr>
      <w:r w:rsidRPr="000C60E4">
        <w:rPr>
          <w:rFonts w:asciiTheme="minorHAnsi" w:hAnsiTheme="minorHAnsi" w:cs="Times"/>
          <w:iCs/>
        </w:rPr>
        <w:t>A</w:t>
      </w:r>
      <w:r w:rsidRPr="000C60E4">
        <w:t>.</w:t>
      </w:r>
      <w:r w:rsidRPr="000C60E4">
        <w:tab/>
        <w:t xml:space="preserve"> Current policy priorities, challenges</w:t>
      </w:r>
      <w:r>
        <w:t>,</w:t>
      </w:r>
      <w:r w:rsidRPr="000C60E4">
        <w:t xml:space="preserve"> and opportunities</w:t>
      </w:r>
    </w:p>
    <w:p w:rsidR="00E109CE" w:rsidRPr="000C60E4" w:rsidRDefault="00E109CE" w:rsidP="00BC7C6C">
      <w:pPr>
        <w:jc w:val="both"/>
        <w:rPr>
          <w:rFonts w:eastAsia="Shaker2Lancet-Italic" w:cs="Shaker2Lancet-Italic"/>
          <w:b/>
          <w:i/>
          <w:iCs/>
          <w:u w:val="single"/>
        </w:rPr>
      </w:pPr>
      <w:r w:rsidRPr="000C60E4">
        <w:t xml:space="preserve">The HTP has achieved many of the goals of UHC. Several challenges remain, though, where the focus in the near future needs to be in the following four areas. </w:t>
      </w:r>
    </w:p>
    <w:p w:rsidR="00E109CE" w:rsidRPr="000C60E4" w:rsidRDefault="00E109CE" w:rsidP="00BC7C6C">
      <w:pPr>
        <w:pStyle w:val="Heading3"/>
      </w:pPr>
      <w:r w:rsidRPr="000C60E4">
        <w:t>1.</w:t>
      </w:r>
      <w:r w:rsidRPr="000C60E4">
        <w:tab/>
        <w:t>Sustainably cultivating the health workforce</w:t>
      </w:r>
    </w:p>
    <w:p w:rsidR="00E109CE" w:rsidRPr="000C60E4" w:rsidRDefault="00E109CE" w:rsidP="00BC7C6C">
      <w:pPr>
        <w:pStyle w:val="BodyText0"/>
        <w:jc w:val="both"/>
      </w:pPr>
      <w:r w:rsidRPr="000C60E4">
        <w:t xml:space="preserve">The HTP achieved rapid expansion of the health workforce, with the introduction of contracting, new employment conditions, and outsourcing. The full-time work regulation gradually eliminated dual practice and expanded public sector capacity to benefit patients, but also increased the workload for health staff. </w:t>
      </w:r>
      <w:r>
        <w:t>T</w:t>
      </w:r>
      <w:r w:rsidRPr="000C60E4">
        <w:t xml:space="preserve">here is a common perception of negligence and disregard among the health staff, who believe that they have been </w:t>
      </w:r>
      <w:r>
        <w:t>insufficiently in</w:t>
      </w:r>
      <w:r w:rsidRPr="000C60E4">
        <w:t xml:space="preserve">cluded </w:t>
      </w:r>
      <w:r>
        <w:t xml:space="preserve">in </w:t>
      </w:r>
      <w:r w:rsidRPr="000C60E4">
        <w:t>the decision-making mechanisms during this restructuring process</w:t>
      </w:r>
      <w:r>
        <w:t xml:space="preserve"> (Bump and Sparks 2013). </w:t>
      </w:r>
      <w:r w:rsidRPr="000C60E4">
        <w:t xml:space="preserve">Physicians working in training and research hospitals and family health centers underline the fact that they lack the required time and resources for improving themselves professionally within the existing system. </w:t>
      </w:r>
      <w:r w:rsidRPr="00480096">
        <w:t>As the pay-for-performance system does not include allowances for teaching or research, those interested in these activities felt personally punished</w:t>
      </w:r>
      <w:r w:rsidRPr="000C60E4" w:rsidDel="007F0AE5">
        <w:t xml:space="preserve"> </w:t>
      </w:r>
      <w:r w:rsidRPr="000C60E4">
        <w:t>(</w:t>
      </w:r>
      <w:r>
        <w:t>Bump and Sparks</w:t>
      </w:r>
      <w:r w:rsidRPr="000C60E4">
        <w:t xml:space="preserve"> 2013). </w:t>
      </w:r>
    </w:p>
    <w:p w:rsidR="00E109CE" w:rsidRDefault="00E109CE" w:rsidP="00841C6A">
      <w:pPr>
        <w:pStyle w:val="BodyText0"/>
        <w:jc w:val="both"/>
      </w:pPr>
      <w:r>
        <w:t>Specialist physicians</w:t>
      </w:r>
      <w:r w:rsidRPr="00480096">
        <w:t xml:space="preserve"> interviewed explained </w:t>
      </w:r>
      <w:r>
        <w:t>that due to</w:t>
      </w:r>
      <w:r w:rsidRPr="00480096">
        <w:t xml:space="preserve"> MOH cost controls, they are not always able to procure the supplies they need to serve patients</w:t>
      </w:r>
      <w:r>
        <w:t>.</w:t>
      </w:r>
      <w:r w:rsidRPr="00480096">
        <w:t xml:space="preserve"> Because the MOH scheduling system makes appointments that are 15 minutes in length, there is too little time to adequately diagnose problems or provide </w:t>
      </w:r>
      <w:r>
        <w:t>lifestyle guidance</w:t>
      </w:r>
      <w:r w:rsidRPr="00480096">
        <w:t>. The capacity to perform complex procedures at leading medical centers has been severely reduced</w:t>
      </w:r>
      <w:r>
        <w:t xml:space="preserve"> and concerns were </w:t>
      </w:r>
      <w:r w:rsidRPr="00480096">
        <w:t xml:space="preserve">expressed </w:t>
      </w:r>
      <w:r>
        <w:t>with regards to</w:t>
      </w:r>
      <w:r w:rsidRPr="00480096">
        <w:t xml:space="preserve"> the quality of care under the HTP because quality assurance rests on patient satisfaction, but patients are not well informed about what care is appropriate</w:t>
      </w:r>
      <w:r>
        <w:t xml:space="preserve"> (Bump and Sparks 2013)</w:t>
      </w:r>
      <w:r w:rsidRPr="00480096">
        <w:t xml:space="preserve">. </w:t>
      </w:r>
    </w:p>
    <w:p w:rsidR="00E109CE" w:rsidRPr="000C60E4" w:rsidRDefault="00E109CE" w:rsidP="00841C6A">
      <w:pPr>
        <w:pStyle w:val="BodyText0"/>
        <w:jc w:val="both"/>
      </w:pPr>
      <w:r w:rsidRPr="000C60E4">
        <w:t xml:space="preserve">These concerns by health workers may have negative implications on the quality and availability medical staff (and thus the sustainability of reform) in the medium and long term. Investments and efforts are now needed to expand opportunities for professional development and research, so as to create a committed and well-trained health workforce. </w:t>
      </w:r>
    </w:p>
    <w:p w:rsidR="00E109CE" w:rsidRPr="000C60E4" w:rsidRDefault="00E109CE" w:rsidP="00841C6A">
      <w:pPr>
        <w:pStyle w:val="Heading3"/>
      </w:pPr>
      <w:r w:rsidRPr="000C60E4">
        <w:t>2.</w:t>
      </w:r>
      <w:r w:rsidRPr="000C60E4">
        <w:tab/>
        <w:t>Quality and safety</w:t>
      </w:r>
    </w:p>
    <w:p w:rsidR="00E109CE" w:rsidRPr="000C60E4" w:rsidRDefault="00E109CE" w:rsidP="00841C6A">
      <w:pPr>
        <w:pStyle w:val="BodyText0"/>
        <w:jc w:val="both"/>
      </w:pPr>
      <w:r w:rsidRPr="000C60E4">
        <w:t xml:space="preserve">The next phase of UHC needs to focus on quality and safety in health care. While the performance-based </w:t>
      </w:r>
      <w:r w:rsidRPr="00D93063">
        <w:t xml:space="preserve">supplementary </w:t>
      </w:r>
      <w:r w:rsidRPr="000C60E4">
        <w:t xml:space="preserve">payment system incentivizes health staff for competition, health staff report that it reduces quality and safety of health services as physicians focus on number of patients treated rather than quality of care. There is a common belief among health </w:t>
      </w:r>
      <w:r w:rsidRPr="000C60E4">
        <w:lastRenderedPageBreak/>
        <w:t xml:space="preserve">staff that significant revisions are needed in various components of </w:t>
      </w:r>
      <w:r>
        <w:t>that payment system</w:t>
      </w:r>
      <w:r w:rsidRPr="000C60E4">
        <w:t xml:space="preserve">. Health staff believes that this system, which could potentially contribute to their motivation and income if executed properly, has functioned in the opposite direction. It is </w:t>
      </w:r>
      <w:proofErr w:type="gramStart"/>
      <w:r w:rsidRPr="000C60E4">
        <w:t>key</w:t>
      </w:r>
      <w:proofErr w:type="gramEnd"/>
      <w:r w:rsidRPr="000C60E4">
        <w:t xml:space="preserve"> for this quality management process that the MOH uses its regulatory powers while the SSI uses its strategic purchasing power. Both organizations should establish clear quality parameters and undertake transparent benchmarking of health</w:t>
      </w:r>
      <w:r>
        <w:t xml:space="preserve"> </w:t>
      </w:r>
      <w:r w:rsidRPr="000C60E4">
        <w:t xml:space="preserve">care providers across the country, whereby performance pay is not only linked to the number of patients cared for but other measures more appropriate for reflecting quality of care. </w:t>
      </w:r>
    </w:p>
    <w:p w:rsidR="00E109CE" w:rsidRPr="000C60E4" w:rsidRDefault="00E109CE" w:rsidP="00841C6A">
      <w:pPr>
        <w:pStyle w:val="Heading3"/>
      </w:pPr>
      <w:r w:rsidRPr="000C60E4">
        <w:t>3.</w:t>
      </w:r>
      <w:r w:rsidRPr="000C60E4">
        <w:tab/>
        <w:t>Adapting to the changing burden of disease</w:t>
      </w:r>
    </w:p>
    <w:p w:rsidR="00E109CE" w:rsidRPr="000C60E4" w:rsidRDefault="00E109CE" w:rsidP="00841C6A">
      <w:pPr>
        <w:pStyle w:val="BodyText0"/>
        <w:jc w:val="both"/>
      </w:pPr>
      <w:r w:rsidRPr="000C60E4">
        <w:t>The Global Burden of Disease 2010 analysis suggests that the country faces an emerging burden of chronic illnesses, which in disability-adjusted life-year terms increased by more than 50</w:t>
      </w:r>
      <w:r w:rsidRPr="000C60E4">
        <w:rPr>
          <w:rFonts w:ascii="Courier New" w:hAnsi="Courier New" w:cs="Courier New"/>
        </w:rPr>
        <w:t> </w:t>
      </w:r>
      <w:r w:rsidRPr="000C60E4">
        <w:t>percent in 1990</w:t>
      </w:r>
      <w:r w:rsidRPr="000C60E4">
        <w:rPr>
          <w:rFonts w:cs="Andes"/>
        </w:rPr>
        <w:t>–</w:t>
      </w:r>
      <w:r w:rsidRPr="000C60E4">
        <w:t>2010 (</w:t>
      </w:r>
      <w:proofErr w:type="spellStart"/>
      <w:r w:rsidRPr="000C60E4">
        <w:t>Atun</w:t>
      </w:r>
      <w:proofErr w:type="spellEnd"/>
      <w:r w:rsidRPr="000C60E4">
        <w:t xml:space="preserve"> et al. 2013). An efficient health system is crucial to sustain UHC as Turkey goes through this epidemiological transition with a rising burden of chronic illnesses, disability, and risks of illnesses. </w:t>
      </w:r>
    </w:p>
    <w:p w:rsidR="00E109CE" w:rsidRPr="000C60E4" w:rsidRDefault="00E109CE" w:rsidP="00841C6A">
      <w:pPr>
        <w:pStyle w:val="BodyText0"/>
        <w:jc w:val="both"/>
      </w:pPr>
      <w:r w:rsidRPr="000C60E4">
        <w:t xml:space="preserve">To manage future health risks, Turkey needs to strengthen its primary health care system further. Additional investments are needed to increase the number of family physicians and nurses, develop the skill set of staff, and improve the physical and technical resources within primary health care to establish a comprehensive system that provides high-quality services with well-functioning referral and counter-referral systems. In particular, it needs to expand access to community-based prevention and screening programs for cancer; chronic illnesses; and for physical, nutritional, and metabolic risk factors. To monitor emerging risks for </w:t>
      </w:r>
      <w:proofErr w:type="spellStart"/>
      <w:r w:rsidRPr="000C60E4">
        <w:t>noncommunicable</w:t>
      </w:r>
      <w:proofErr w:type="spellEnd"/>
      <w:r w:rsidRPr="000C60E4">
        <w:t xml:space="preserve"> diseases, it could also consider investment in population data systems. </w:t>
      </w:r>
    </w:p>
    <w:p w:rsidR="00E109CE" w:rsidRPr="000C60E4" w:rsidRDefault="00E109CE" w:rsidP="00841C6A">
      <w:pPr>
        <w:pStyle w:val="Heading3"/>
      </w:pPr>
      <w:r w:rsidRPr="000C60E4">
        <w:t>4.</w:t>
      </w:r>
      <w:r w:rsidRPr="000C60E4">
        <w:tab/>
        <w:t>Ensuring financial sustainability and containing costs</w:t>
      </w:r>
    </w:p>
    <w:p w:rsidR="00E109CE" w:rsidRPr="000C60E4" w:rsidRDefault="00E109CE" w:rsidP="00841C6A">
      <w:pPr>
        <w:pStyle w:val="BodyText0"/>
        <w:jc w:val="both"/>
      </w:pPr>
      <w:r w:rsidRPr="000C60E4">
        <w:t xml:space="preserve">As a natural consequence of improved utilization of health care services, health care expenditures have also increased. Turkey spent an additional </w:t>
      </w:r>
      <w:r>
        <w:t>1.4</w:t>
      </w:r>
      <w:r w:rsidRPr="000C60E4">
        <w:rPr>
          <w:rFonts w:ascii="Courier New" w:hAnsi="Courier New" w:cs="Courier New"/>
        </w:rPr>
        <w:t> </w:t>
      </w:r>
      <w:r w:rsidRPr="000C60E4">
        <w:t xml:space="preserve">percent of its GDP on health </w:t>
      </w:r>
      <w:r>
        <w:t>between 2003 and 2011</w:t>
      </w:r>
      <w:r w:rsidRPr="000C60E4">
        <w:t>, and the share of health care in GDP increased to 6.7</w:t>
      </w:r>
      <w:r w:rsidRPr="000C60E4">
        <w:rPr>
          <w:rFonts w:ascii="Courier New" w:hAnsi="Courier New" w:cs="Courier New"/>
        </w:rPr>
        <w:t> </w:t>
      </w:r>
      <w:r w:rsidRPr="000C60E4">
        <w:t>percent</w:t>
      </w:r>
      <w:r>
        <w:t xml:space="preserve"> by the end of this period</w:t>
      </w:r>
      <w:r w:rsidRPr="000C60E4">
        <w:t xml:space="preserve"> (Tatar et al. 2013). Turkey’s per capita health care expenditures are still relatively low and its share of health expenditures in GDP is the lowest among OECD countries. This also indicates that the progress made above has been achieved with reasonable resources (Tatar et al. 2013). </w:t>
      </w:r>
    </w:p>
    <w:p w:rsidR="00E109CE" w:rsidRPr="000C60E4" w:rsidRDefault="00E109CE" w:rsidP="00841C6A">
      <w:pPr>
        <w:pStyle w:val="BodyText0"/>
        <w:jc w:val="both"/>
      </w:pPr>
      <w:r w:rsidRPr="000C60E4">
        <w:t xml:space="preserve">Fiscal space is the main determinant of sustainability. Increasing THE may be tolerated as long as it can be sustained and supported by increasing </w:t>
      </w:r>
      <w:r>
        <w:t xml:space="preserve">government </w:t>
      </w:r>
      <w:r w:rsidRPr="000C60E4">
        <w:t xml:space="preserve">revenue and GDP. </w:t>
      </w:r>
    </w:p>
    <w:p w:rsidR="00E109CE" w:rsidRPr="000C60E4" w:rsidRDefault="00E109CE" w:rsidP="00841C6A">
      <w:pPr>
        <w:pStyle w:val="Heading3"/>
      </w:pPr>
      <w:r w:rsidRPr="000C60E4">
        <w:t>5.</w:t>
      </w:r>
      <w:r w:rsidRPr="000C60E4">
        <w:tab/>
        <w:t>Ensuring rational allocation of HRH</w:t>
      </w:r>
    </w:p>
    <w:p w:rsidR="00E109CE" w:rsidRPr="000C60E4" w:rsidRDefault="00E109CE" w:rsidP="00841C6A">
      <w:pPr>
        <w:pStyle w:val="BodyText0"/>
        <w:jc w:val="both"/>
      </w:pPr>
      <w:r w:rsidRPr="000C60E4">
        <w:t>Challenges remain in transitioning from a focus on expanding the hospital sector in terms of capacity and production, to one focused on ensuring rational use of services and countering pressure to increase spending on hospital services (</w:t>
      </w:r>
      <w:proofErr w:type="spellStart"/>
      <w:r w:rsidRPr="000C60E4">
        <w:t>Docteur</w:t>
      </w:r>
      <w:proofErr w:type="spellEnd"/>
      <w:r w:rsidRPr="000C60E4">
        <w:t xml:space="preserve"> 2013).</w:t>
      </w:r>
      <w:r>
        <w:t xml:space="preserve"> These reforms will entail: </w:t>
      </w:r>
    </w:p>
    <w:p w:rsidR="00E109CE" w:rsidRPr="000C60E4" w:rsidRDefault="00E109CE" w:rsidP="00841C6A">
      <w:pPr>
        <w:pStyle w:val="Bullet"/>
        <w:numPr>
          <w:ilvl w:val="0"/>
          <w:numId w:val="16"/>
        </w:numPr>
        <w:jc w:val="both"/>
      </w:pPr>
      <w:r w:rsidRPr="000C60E4">
        <w:t xml:space="preserve">Establishing an effective referral system that reduces demand for services that can be met more efficiently in the primary care setting. This is dependent on growing the primary care service capacity and may also require changes in public understanding regarding appropriate site for provision primary care. </w:t>
      </w:r>
    </w:p>
    <w:p w:rsidR="00E109CE" w:rsidRPr="000C60E4" w:rsidRDefault="00E109CE" w:rsidP="00841C6A">
      <w:pPr>
        <w:pStyle w:val="Bullet"/>
        <w:numPr>
          <w:ilvl w:val="0"/>
          <w:numId w:val="16"/>
        </w:numPr>
        <w:jc w:val="both"/>
      </w:pPr>
      <w:r w:rsidRPr="000C60E4">
        <w:lastRenderedPageBreak/>
        <w:t xml:space="preserve">Making needed further investment in primary care/prevention so as to improve public health while helping take pressure off of hospital sector, especially in the light of projections for large, looming increase in chronic diseases such as diabetes. </w:t>
      </w:r>
    </w:p>
    <w:p w:rsidR="00E109CE" w:rsidRPr="000C60E4" w:rsidRDefault="00E109CE" w:rsidP="00841C6A">
      <w:pPr>
        <w:pStyle w:val="Bullet"/>
        <w:numPr>
          <w:ilvl w:val="0"/>
          <w:numId w:val="16"/>
        </w:numPr>
        <w:jc w:val="both"/>
      </w:pPr>
      <w:r w:rsidRPr="000C60E4">
        <w:t>Establishing measures to combat the problem of supplier-induced demand, to the extent there is evidence of this problem emerging.</w:t>
      </w:r>
    </w:p>
    <w:p w:rsidR="00E109CE" w:rsidRPr="000C60E4" w:rsidRDefault="00E109CE" w:rsidP="00841C6A">
      <w:pPr>
        <w:pStyle w:val="Bullet"/>
        <w:numPr>
          <w:ilvl w:val="0"/>
          <w:numId w:val="16"/>
        </w:numPr>
        <w:jc w:val="both"/>
      </w:pPr>
      <w:r w:rsidRPr="000C60E4">
        <w:t>Conducting the necessary studies to ensure that the bundled payment levels are consistent with absolute and relative costs of providing the care for which payments are bundled and helping hospitals employ effective procurement models and rational decision</w:t>
      </w:r>
      <w:r>
        <w:t xml:space="preserve"> </w:t>
      </w:r>
      <w:r w:rsidRPr="000C60E4">
        <w:t xml:space="preserve">making via central assessments. </w:t>
      </w:r>
    </w:p>
    <w:p w:rsidR="00E109CE" w:rsidRDefault="00E109CE" w:rsidP="00841C6A">
      <w:pPr>
        <w:pStyle w:val="BodyText0"/>
        <w:jc w:val="both"/>
      </w:pPr>
      <w:r w:rsidRPr="000C60E4">
        <w:t xml:space="preserve">Meeting these challenges will require development within </w:t>
      </w:r>
      <w:r>
        <w:t xml:space="preserve">the </w:t>
      </w:r>
      <w:r w:rsidRPr="000C60E4">
        <w:t xml:space="preserve">SSI to become an increasingly sophisticated purchaser of hospital services and increasing capacity within </w:t>
      </w:r>
      <w:r>
        <w:t xml:space="preserve">the </w:t>
      </w:r>
      <w:r w:rsidRPr="000C60E4">
        <w:t xml:space="preserve">MOH to adopt a public-health orientation in management of hospital service supply, planning and coordination. Furthermore, the SSI and MOH will need to develop improved coherence and competence in their respective roles. Finally, </w:t>
      </w:r>
      <w:r>
        <w:t xml:space="preserve">the MOH </w:t>
      </w:r>
      <w:r w:rsidRPr="000C60E4">
        <w:t>will need to prioritize the timely production of reliable data on hospital (and health) expenditure and financing. Such data are essential for both retrospective assessment and prospective planning (</w:t>
      </w:r>
      <w:proofErr w:type="spellStart"/>
      <w:r w:rsidRPr="000C60E4">
        <w:t>Docteur</w:t>
      </w:r>
      <w:proofErr w:type="spellEnd"/>
      <w:r w:rsidRPr="000C60E4">
        <w:t xml:space="preserve"> 2013).</w:t>
      </w:r>
    </w:p>
    <w:p w:rsidR="00E109CE" w:rsidRPr="000C60E4" w:rsidRDefault="00BE2FA3" w:rsidP="00BE2FA3">
      <w:pPr>
        <w:pStyle w:val="Heading2"/>
      </w:pPr>
      <w:r>
        <w:t xml:space="preserve">B. </w:t>
      </w:r>
      <w:r w:rsidR="00E109CE" w:rsidRPr="000C60E4">
        <w:t>Lessons to be shared</w:t>
      </w:r>
    </w:p>
    <w:p w:rsidR="00E109CE" w:rsidRPr="000C60E4" w:rsidRDefault="00E109CE" w:rsidP="001405C3">
      <w:pPr>
        <w:pStyle w:val="BodyText0"/>
        <w:jc w:val="both"/>
      </w:pPr>
      <w:r w:rsidRPr="000C60E4">
        <w:t xml:space="preserve">Several lessons emerge from Turkey’s experience of UHC. </w:t>
      </w:r>
      <w:r>
        <w:t>T</w:t>
      </w:r>
      <w:r w:rsidRPr="000C60E4">
        <w:t xml:space="preserve">hough contextual and related to the political economy of reform, </w:t>
      </w:r>
      <w:r>
        <w:t xml:space="preserve">they </w:t>
      </w:r>
      <w:r w:rsidRPr="000C60E4">
        <w:t xml:space="preserve">may be useful for other middle-income countries that have embarked on </w:t>
      </w:r>
      <w:r>
        <w:t xml:space="preserve">steps to </w:t>
      </w:r>
      <w:r w:rsidRPr="000C60E4">
        <w:t>UHC.</w:t>
      </w:r>
    </w:p>
    <w:p w:rsidR="00E109CE" w:rsidRDefault="00BE2FA3" w:rsidP="00BE2FA3">
      <w:pPr>
        <w:pStyle w:val="Heading3"/>
      </w:pPr>
      <w:r>
        <w:t>1</w:t>
      </w:r>
      <w:r w:rsidR="00E109CE">
        <w:t>.</w:t>
      </w:r>
      <w:r w:rsidR="00E109CE">
        <w:tab/>
      </w:r>
      <w:r w:rsidR="00E109CE" w:rsidRPr="000C60E4">
        <w:t xml:space="preserve">Political stability and speed of reform </w:t>
      </w:r>
    </w:p>
    <w:p w:rsidR="00E109CE" w:rsidRPr="000C60E4" w:rsidRDefault="00E109CE" w:rsidP="001405C3">
      <w:pPr>
        <w:pStyle w:val="BodyText0"/>
        <w:jc w:val="both"/>
      </w:pPr>
      <w:r w:rsidRPr="000C60E4">
        <w:t>The AKP</w:t>
      </w:r>
      <w:r>
        <w:t xml:space="preserve"> </w:t>
      </w:r>
      <w:r w:rsidRPr="000C60E4">
        <w:t>acted quickly on health reform to capitalize on the popular support it enjoyed following the 2002 elections. The political stability achieved by the government, which benefited from a majority in the Grand National Assembly, was an important factor that enabled the transformation (</w:t>
      </w:r>
      <w:proofErr w:type="spellStart"/>
      <w:r w:rsidRPr="000C60E4">
        <w:t>Atun</w:t>
      </w:r>
      <w:proofErr w:type="spellEnd"/>
      <w:r w:rsidRPr="000C60E4">
        <w:t xml:space="preserve"> et al. 2013). The MOH reduced the time needed to develop its policies by drawing largely from health reform plans that had been devised throughout the 1990s. Previously, various coalition governments had developed reform plans, but had been unable to gain the broad support required to adopt and implement them </w:t>
      </w:r>
      <w:r w:rsidRPr="000C60E4">
        <w:fldChar w:fldCharType="begin"/>
      </w:r>
      <w:r w:rsidRPr="000C60E4">
        <w:instrText xml:space="preserve"> ADDIN EN.CITE &lt;EndNote&gt;&lt;Cite&gt;&lt;Author&gt;Tatar&lt;/Author&gt;&lt;Year&gt;2011&lt;/Year&gt;&lt;IDText&gt;Turkey Health system review&lt;/IDText&gt;&lt;DisplayText&gt;(Tatar, Mollahaliloglu et al. 2011)&lt;/DisplayText&gt;&lt;record&gt;&lt;titles&gt;&lt;title&gt;Turkey Health system review&lt;/title&gt;&lt;secondary-title&gt;Health Systems in Transition&lt;/secondary-title&gt;&lt;short-title&gt;Turkey Health system review&lt;/short-title&gt;&lt;/titles&gt;&lt;contributors&gt;&lt;authors&gt;&lt;author&gt;Tatar, Mehtap&lt;/author&gt;&lt;author&gt;Mollahaliloglu, Salih&lt;/author&gt;&lt;author&gt;Sahin, Bayram&lt;/author&gt;&lt;author&gt;Aydın, Sabahattin&lt;/author&gt;&lt;author&gt;Maresso, Anna&lt;/author&gt;&lt;author&gt;Hernández-Quevedo, Cristina&lt;/author&gt;&lt;/authors&gt;&lt;/contributors&gt;&lt;added-date format="utc"&gt;1375726006&lt;/added-date&gt;&lt;ref-type name="Report"&gt;27&lt;/ref-type&gt;&lt;dates&gt;&lt;year&gt;2011&lt;/year&gt;&lt;/dates&gt;&lt;rec-number&gt;743&lt;/rec-number&gt;&lt;last-updated-date format="utc"&gt;1375726006&lt;/last-updated-date&gt;&lt;contributors&gt;&lt;secondary-authors&gt;&lt;author&gt;Policy, European Observatory on Health Systems and&lt;/author&gt;&lt;/secondary-authors&gt;&lt;/contributors&gt;&lt;/record&gt;&lt;/Cite&gt;&lt;/EndNote&gt;</w:instrText>
      </w:r>
      <w:r w:rsidRPr="000C60E4">
        <w:fldChar w:fldCharType="separate"/>
      </w:r>
      <w:r w:rsidRPr="000C60E4">
        <w:t>(Tatar et al. 2011)</w:t>
      </w:r>
      <w:r w:rsidRPr="000C60E4">
        <w:fldChar w:fldCharType="end"/>
      </w:r>
      <w:r w:rsidRPr="000C60E4">
        <w:t xml:space="preserve">. </w:t>
      </w:r>
    </w:p>
    <w:p w:rsidR="00E109CE" w:rsidRDefault="00BE2FA3" w:rsidP="00BE2FA3">
      <w:pPr>
        <w:pStyle w:val="Heading3"/>
      </w:pPr>
      <w:r>
        <w:t>2.</w:t>
      </w:r>
      <w:r w:rsidR="00E109CE">
        <w:tab/>
      </w:r>
      <w:r w:rsidR="00E109CE" w:rsidRPr="000C60E4">
        <w:t xml:space="preserve">Committed health transformation team </w:t>
      </w:r>
    </w:p>
    <w:p w:rsidR="00E109CE" w:rsidRPr="000C60E4" w:rsidRDefault="00E109CE" w:rsidP="001405C3">
      <w:pPr>
        <w:pStyle w:val="BodyText0"/>
        <w:jc w:val="both"/>
        <w:rPr>
          <w:rFonts w:eastAsia="ScalaLancetPro" w:cs="ScalaLancetPro"/>
        </w:rPr>
      </w:pPr>
      <w:r w:rsidRPr="000C60E4">
        <w:t xml:space="preserve">On taking office in 2003, Minister </w:t>
      </w:r>
      <w:proofErr w:type="spellStart"/>
      <w:r w:rsidRPr="000C60E4">
        <w:t>Akdağ</w:t>
      </w:r>
      <w:proofErr w:type="spellEnd"/>
      <w:r w:rsidRPr="000C60E4">
        <w:t xml:space="preserve"> and his reform team embraced them for their own use. This reform team was in place from 2003 to 2013, when </w:t>
      </w:r>
      <w:r>
        <w:t xml:space="preserve">he </w:t>
      </w:r>
      <w:r w:rsidRPr="000C60E4">
        <w:t>stepped down a</w:t>
      </w:r>
      <w:r>
        <w:t>s</w:t>
      </w:r>
      <w:r w:rsidRPr="000C60E4">
        <w:t xml:space="preserve"> minister of health (</w:t>
      </w:r>
      <w:proofErr w:type="spellStart"/>
      <w:r w:rsidRPr="000C60E4">
        <w:t>Atun</w:t>
      </w:r>
      <w:proofErr w:type="spellEnd"/>
      <w:r w:rsidRPr="000C60E4">
        <w:t xml:space="preserve"> et al. 2013). This team of trusted colleagues worked closely with the minister on all aspects of the design, adoption</w:t>
      </w:r>
      <w:r>
        <w:t>,</w:t>
      </w:r>
      <w:r w:rsidRPr="000C60E4">
        <w:t xml:space="preserve"> and implementation of the reform. According to interviews with current and former senior officials involved with the process, the reform team drew on the technical expertise of those who had devised these reforms and in parallel developed a politically viable communications strategy to present and promote the HTP. </w:t>
      </w:r>
      <w:r w:rsidRPr="000C60E4">
        <w:rPr>
          <w:rFonts w:eastAsia="ScalaLancetPro" w:cs="ScalaLancetPro"/>
        </w:rPr>
        <w:t xml:space="preserve">A committed transformation team at the </w:t>
      </w:r>
      <w:r>
        <w:rPr>
          <w:rFonts w:eastAsia="ScalaLancetPro" w:cs="ScalaLancetPro"/>
        </w:rPr>
        <w:t>MOH</w:t>
      </w:r>
      <w:r w:rsidRPr="000C60E4">
        <w:rPr>
          <w:rFonts w:eastAsia="ScalaLancetPro" w:cs="ScalaLancetPro"/>
        </w:rPr>
        <w:t xml:space="preserve">, strong prime ministerial support for change, and the leadership and continuity of the minister of health and senior management provided the opportunity to execute laws that had been legislated by the Grand National Assembly </w:t>
      </w:r>
      <w:r w:rsidRPr="000C60E4">
        <w:t xml:space="preserve">(Bump </w:t>
      </w:r>
      <w:r>
        <w:t xml:space="preserve">and </w:t>
      </w:r>
      <w:r w:rsidRPr="000C60E4">
        <w:t>Sparks 2013).</w:t>
      </w:r>
    </w:p>
    <w:p w:rsidR="00E109CE" w:rsidRDefault="00BE2FA3" w:rsidP="00BE2FA3">
      <w:pPr>
        <w:pStyle w:val="Heading3"/>
      </w:pPr>
      <w:r>
        <w:lastRenderedPageBreak/>
        <w:t>3</w:t>
      </w:r>
      <w:r w:rsidR="00E109CE">
        <w:t>.</w:t>
      </w:r>
      <w:r w:rsidR="00E109CE">
        <w:tab/>
      </w:r>
      <w:r w:rsidR="00E109CE" w:rsidRPr="000C60E4">
        <w:t xml:space="preserve">Use of citizen satisfaction surveys </w:t>
      </w:r>
    </w:p>
    <w:p w:rsidR="00E109CE" w:rsidRPr="000C60E4" w:rsidRDefault="00E109CE" w:rsidP="001405C3">
      <w:pPr>
        <w:pStyle w:val="BodyText0"/>
        <w:jc w:val="both"/>
      </w:pPr>
      <w:r w:rsidRPr="000C60E4">
        <w:t>A key feature of the HTP was the emphasis placed on systematic</w:t>
      </w:r>
      <w:r>
        <w:t>ally</w:t>
      </w:r>
      <w:r w:rsidRPr="000C60E4">
        <w:t xml:space="preserve"> </w:t>
      </w:r>
      <w:r w:rsidRPr="00AC7186">
        <w:t xml:space="preserve">gathering </w:t>
      </w:r>
      <w:r w:rsidRPr="000C60E4">
        <w:t>information about population perceptions of general living conditions and public services. Regular focus groups and annual household surveys undertaken by the Turkish Statistical Institute (Life Satisfaction Surveys) provided comprehensive intelligence to the government on citizen satisfaction with public services so that it could fine-tune its policies. Health services, the worst performing in 2003 of all public services surveyed regularly, were to improve substantially with the introduction of the HTP and UHC (</w:t>
      </w:r>
      <w:proofErr w:type="spellStart"/>
      <w:r w:rsidRPr="000C60E4">
        <w:t>Atun</w:t>
      </w:r>
      <w:proofErr w:type="spellEnd"/>
      <w:r w:rsidRPr="000C60E4">
        <w:t xml:space="preserve"> et al. 2013). Improved satisfaction levels increased the legitimacy of the HTP, providing a receptive context for change, and increased the standing of the </w:t>
      </w:r>
      <w:r>
        <w:t>MOH</w:t>
      </w:r>
      <w:r w:rsidRPr="000C60E4">
        <w:t xml:space="preserve"> and its minister within the Cabinet of Ministers. In 2003–12, health transitioned from being a marginal ministry (as in the 1980s and 1990s, with ministerial changes almost annual</w:t>
      </w:r>
      <w:r>
        <w:t>ly</w:t>
      </w:r>
      <w:r w:rsidRPr="000C60E4">
        <w:t>) to a strong and assertive ministry, with annual budget increases (</w:t>
      </w:r>
      <w:proofErr w:type="spellStart"/>
      <w:r w:rsidRPr="000C60E4">
        <w:t>Atun</w:t>
      </w:r>
      <w:proofErr w:type="spellEnd"/>
      <w:r w:rsidRPr="000C60E4">
        <w:t xml:space="preserve"> et al. 2013). </w:t>
      </w:r>
    </w:p>
    <w:p w:rsidR="00E109CE" w:rsidRDefault="00BE2FA3" w:rsidP="00BE2FA3">
      <w:pPr>
        <w:pStyle w:val="Heading3"/>
      </w:pPr>
      <w:r>
        <w:t xml:space="preserve">4. </w:t>
      </w:r>
      <w:r w:rsidR="00E109CE" w:rsidRPr="000C60E4">
        <w:t xml:space="preserve">Clear and well-communicated vision </w:t>
      </w:r>
    </w:p>
    <w:p w:rsidR="00E109CE" w:rsidRPr="000C60E4" w:rsidRDefault="00E109CE" w:rsidP="001405C3">
      <w:pPr>
        <w:pStyle w:val="BodyText0"/>
        <w:jc w:val="both"/>
        <w:rPr>
          <w:b/>
        </w:rPr>
      </w:pPr>
      <w:r>
        <w:rPr>
          <w:rFonts w:eastAsia="ScalaLancetPro" w:cs="ScalaLancetPro"/>
        </w:rPr>
        <w:t xml:space="preserve">The last decade’s </w:t>
      </w:r>
      <w:r w:rsidRPr="000C60E4">
        <w:rPr>
          <w:rFonts w:eastAsia="ScalaLancetPro" w:cs="ScalaLancetPro"/>
        </w:rPr>
        <w:t xml:space="preserve">reforms in the hospital sector appear positive </w:t>
      </w:r>
      <w:r>
        <w:rPr>
          <w:rFonts w:eastAsia="ScalaLancetPro" w:cs="ScalaLancetPro"/>
        </w:rPr>
        <w:t xml:space="preserve">for </w:t>
      </w:r>
      <w:r w:rsidRPr="000C60E4">
        <w:rPr>
          <w:rFonts w:eastAsia="ScalaLancetPro" w:cs="ScalaLancetPro"/>
        </w:rPr>
        <w:t xml:space="preserve">increasing equitable access to higher-quality services. </w:t>
      </w:r>
      <w:r w:rsidRPr="000C60E4">
        <w:t xml:space="preserve">Keys to success included a clear and well-communicated vision for the model </w:t>
      </w:r>
      <w:proofErr w:type="gramStart"/>
      <w:r w:rsidRPr="000C60E4">
        <w:t>pursued,</w:t>
      </w:r>
      <w:proofErr w:type="gramEnd"/>
      <w:r w:rsidRPr="000C60E4">
        <w:t xml:space="preserve"> a plan for strategically implementing the reforms in an appropriate sequence</w:t>
      </w:r>
      <w:r>
        <w:t>,</w:t>
      </w:r>
      <w:r w:rsidRPr="000C60E4">
        <w:t xml:space="preserve"> </w:t>
      </w:r>
      <w:r>
        <w:t xml:space="preserve">and </w:t>
      </w:r>
      <w:r w:rsidRPr="000C60E4">
        <w:t>backup plans to surmount legal and administrative barriers</w:t>
      </w:r>
      <w:r>
        <w:t xml:space="preserve"> </w:t>
      </w:r>
      <w:r w:rsidRPr="000C60E4">
        <w:t>(</w:t>
      </w:r>
      <w:proofErr w:type="spellStart"/>
      <w:r w:rsidRPr="000C60E4">
        <w:t>Docteur</w:t>
      </w:r>
      <w:proofErr w:type="spellEnd"/>
      <w:r w:rsidRPr="000C60E4">
        <w:t xml:space="preserve"> 2013)</w:t>
      </w:r>
      <w:r>
        <w:t>.</w:t>
      </w:r>
    </w:p>
    <w:p w:rsidR="00E109CE" w:rsidRDefault="00BE2FA3" w:rsidP="00BE2FA3">
      <w:pPr>
        <w:pStyle w:val="Heading3"/>
      </w:pPr>
      <w:r>
        <w:t xml:space="preserve">5. </w:t>
      </w:r>
      <w:r w:rsidR="00E109CE" w:rsidRPr="000C60E4">
        <w:t>Combination of comprehensive demand-side changes with supply-side transformation</w:t>
      </w:r>
    </w:p>
    <w:p w:rsidR="007B1583" w:rsidRDefault="00E109CE" w:rsidP="001405C3">
      <w:pPr>
        <w:pStyle w:val="BodyText0"/>
        <w:jc w:val="both"/>
      </w:pPr>
      <w:r w:rsidRPr="000C60E4">
        <w:t>Comprehensive health system changes on the demand side (expansion of health insurance for the poor and conditional cash transfers) and the supply side (human resources and service delivery) were instrumental in expand</w:t>
      </w:r>
      <w:r>
        <w:t>ing</w:t>
      </w:r>
      <w:r w:rsidRPr="000C60E4">
        <w:t xml:space="preserve"> insurance coverage and translati</w:t>
      </w:r>
      <w:r>
        <w:t>ng</w:t>
      </w:r>
      <w:r w:rsidRPr="000C60E4">
        <w:t xml:space="preserve"> UHC to </w:t>
      </w:r>
      <w:r>
        <w:t xml:space="preserve">greater </w:t>
      </w:r>
      <w:r w:rsidRPr="000C60E4">
        <w:t>service access, especially for the most disadvantaged population</w:t>
      </w:r>
      <w:r>
        <w:t xml:space="preserve"> groups</w:t>
      </w:r>
      <w:r w:rsidRPr="000C60E4">
        <w:t>. Although improved insurance coverage enhances access, benefits were more likely to be realized and were stronger in the presence of supply-side interventions (</w:t>
      </w:r>
      <w:proofErr w:type="spellStart"/>
      <w:r w:rsidRPr="000C60E4">
        <w:t>Atun</w:t>
      </w:r>
      <w:proofErr w:type="spellEnd"/>
      <w:r w:rsidRPr="000C60E4">
        <w:t xml:space="preserve"> e</w:t>
      </w:r>
      <w:r>
        <w:t>t</w:t>
      </w:r>
      <w:r w:rsidRPr="000C60E4">
        <w:t xml:space="preserve"> al</w:t>
      </w:r>
      <w:r>
        <w:t>.</w:t>
      </w:r>
      <w:r w:rsidRPr="000C60E4">
        <w:t xml:space="preserve"> 2013).</w:t>
      </w:r>
    </w:p>
    <w:p w:rsidR="007B1583" w:rsidRDefault="007B1583">
      <w:r>
        <w:br w:type="page"/>
      </w:r>
    </w:p>
    <w:p w:rsidR="00E109CE" w:rsidRPr="000C60E4" w:rsidRDefault="00E109CE" w:rsidP="00BC7C6C">
      <w:pPr>
        <w:pStyle w:val="Heading1"/>
        <w:rPr>
          <w:lang w:bidi="en-US"/>
        </w:rPr>
      </w:pPr>
      <w:r w:rsidRPr="000C60E4">
        <w:rPr>
          <w:lang w:bidi="en-US"/>
        </w:rPr>
        <w:lastRenderedPageBreak/>
        <w:t>References</w:t>
      </w:r>
    </w:p>
    <w:p w:rsidR="00E109CE" w:rsidRDefault="00E109CE" w:rsidP="00BC7C6C">
      <w:pPr>
        <w:pStyle w:val="Reference"/>
      </w:pPr>
      <w:r w:rsidRPr="0022439E">
        <w:t>Aran, M.</w:t>
      </w:r>
      <w:r>
        <w:t>,</w:t>
      </w:r>
      <w:r w:rsidRPr="0022439E">
        <w:t xml:space="preserve"> and J</w:t>
      </w:r>
      <w:r w:rsidR="00BC7C6C">
        <w:t>.</w:t>
      </w:r>
      <w:r>
        <w:t xml:space="preserve"> </w:t>
      </w:r>
      <w:r w:rsidRPr="0022439E">
        <w:t>Hentschel</w:t>
      </w:r>
      <w:r>
        <w:t>. 2012. “</w:t>
      </w:r>
      <w:r w:rsidRPr="0022439E">
        <w:t>Protection in Good and Bad Times? The Turkish Green Card Health Program</w:t>
      </w:r>
      <w:r>
        <w:t>.”</w:t>
      </w:r>
      <w:r w:rsidRPr="0022439E">
        <w:t xml:space="preserve"> August 1. </w:t>
      </w:r>
      <w:r w:rsidR="001405C3">
        <w:t xml:space="preserve"> </w:t>
      </w:r>
      <w:r w:rsidRPr="0022439E">
        <w:t>World Bank Policy Research Working Paper No. 6178. http://ssrn.com/abstract=2133813</w:t>
      </w:r>
    </w:p>
    <w:p w:rsidR="00E109CE" w:rsidRDefault="00E109CE" w:rsidP="00BC7C6C">
      <w:pPr>
        <w:pStyle w:val="Reference"/>
        <w:rPr>
          <w:rFonts w:ascii="Trebuchet MS" w:hAnsi="Trebuchet MS"/>
          <w:color w:val="404040"/>
          <w:sz w:val="20"/>
          <w:szCs w:val="20"/>
        </w:rPr>
      </w:pPr>
      <w:r>
        <w:t>Atun, R., S. Aydın, S. Chakraborty, S.</w:t>
      </w:r>
      <w:r w:rsidRPr="007149D4">
        <w:rPr>
          <w:rFonts w:cs="Times New Roman"/>
        </w:rPr>
        <w:t xml:space="preserve"> Sümer</w:t>
      </w:r>
      <w:r>
        <w:t xml:space="preserve">, M. Aran, </w:t>
      </w:r>
      <w:r w:rsidRPr="007149D4">
        <w:rPr>
          <w:rFonts w:cs="Times New Roman"/>
        </w:rPr>
        <w:t>I</w:t>
      </w:r>
      <w:r>
        <w:rPr>
          <w:rFonts w:cs="Times New Roman"/>
        </w:rPr>
        <w:t xml:space="preserve">. </w:t>
      </w:r>
      <w:r w:rsidRPr="007149D4">
        <w:rPr>
          <w:rFonts w:cs="Times New Roman"/>
        </w:rPr>
        <w:t>Gürol, S</w:t>
      </w:r>
      <w:r>
        <w:rPr>
          <w:rFonts w:cs="Times New Roman"/>
        </w:rPr>
        <w:t>. Nazlıoğlu</w:t>
      </w:r>
      <w:r w:rsidRPr="007149D4">
        <w:rPr>
          <w:rFonts w:cs="Times New Roman"/>
        </w:rPr>
        <w:t>, Ş</w:t>
      </w:r>
      <w:r>
        <w:rPr>
          <w:rFonts w:cs="Times New Roman"/>
        </w:rPr>
        <w:t>. Özgülcü</w:t>
      </w:r>
      <w:r w:rsidRPr="007149D4">
        <w:rPr>
          <w:rFonts w:cs="Times New Roman"/>
        </w:rPr>
        <w:t>, Ü</w:t>
      </w:r>
      <w:r>
        <w:rPr>
          <w:rFonts w:cs="Times New Roman"/>
        </w:rPr>
        <w:t xml:space="preserve">. </w:t>
      </w:r>
      <w:r w:rsidRPr="007149D4">
        <w:rPr>
          <w:rFonts w:cs="Times New Roman"/>
        </w:rPr>
        <w:t xml:space="preserve"> Aydoğan, B</w:t>
      </w:r>
      <w:r>
        <w:rPr>
          <w:rFonts w:cs="Times New Roman"/>
        </w:rPr>
        <w:t>.</w:t>
      </w:r>
      <w:r w:rsidRPr="007149D4">
        <w:rPr>
          <w:rFonts w:cs="Times New Roman"/>
        </w:rPr>
        <w:t xml:space="preserve"> Ayar, U</w:t>
      </w:r>
      <w:r>
        <w:rPr>
          <w:rFonts w:cs="Times New Roman"/>
        </w:rPr>
        <w:t>.</w:t>
      </w:r>
      <w:r w:rsidRPr="007149D4">
        <w:rPr>
          <w:rFonts w:cs="Times New Roman"/>
        </w:rPr>
        <w:t xml:space="preserve"> Di</w:t>
      </w:r>
      <w:r>
        <w:rPr>
          <w:rFonts w:cs="Times New Roman"/>
        </w:rPr>
        <w:t>lmen , and R. Akdağ</w:t>
      </w:r>
      <w:r>
        <w:t xml:space="preserve">. 2013. “Universal Health Coverage in Turkey: Enhancement of Equity”. </w:t>
      </w:r>
      <w:r w:rsidRPr="00AB0EFB">
        <w:rPr>
          <w:i/>
        </w:rPr>
        <w:t>The Lancet</w:t>
      </w:r>
      <w:r>
        <w:t xml:space="preserve">, 382: 9886, pp. </w:t>
      </w:r>
      <w:r w:rsidRPr="007149D4">
        <w:t>65 - 99</w:t>
      </w:r>
      <w:r>
        <w:t xml:space="preserve"> (</w:t>
      </w:r>
      <w:r>
        <w:rPr>
          <w:rFonts w:ascii="Trebuchet MS" w:hAnsi="Trebuchet MS"/>
          <w:color w:val="404040"/>
          <w:sz w:val="20"/>
          <w:szCs w:val="20"/>
        </w:rPr>
        <w:t xml:space="preserve">doi:10.1016/S0140-6736(13)61051-X) </w:t>
      </w:r>
    </w:p>
    <w:p w:rsidR="00BC7C6C" w:rsidRPr="00BC7C6C" w:rsidRDefault="00BC7C6C" w:rsidP="00BC7C6C">
      <w:pPr>
        <w:pStyle w:val="Reference"/>
      </w:pPr>
      <w:r w:rsidRPr="00BC7C6C">
        <w:t>Bump, J., and S. Sparkes. 2013. A Political Economy Analysis of Turkey’s Health Transformation Program. Washington, DC: World Bank.</w:t>
      </w:r>
    </w:p>
    <w:p w:rsidR="00E109CE" w:rsidRPr="00BC7C6C" w:rsidRDefault="00E109CE" w:rsidP="00BC7C6C">
      <w:pPr>
        <w:pStyle w:val="Reference"/>
      </w:pPr>
      <w:r w:rsidRPr="00BC7C6C">
        <w:t xml:space="preserve">Docteur, </w:t>
      </w:r>
      <w:r w:rsidR="00BC7C6C">
        <w:t>E</w:t>
      </w:r>
      <w:r w:rsidRPr="00BC7C6C">
        <w:t>. 2013. “Hospital sector reform in Turkey 2003–2012: An assessment of changes in governance, administration and financing.” 11 August. Unpublished background paper prepared for the World Bank.</w:t>
      </w:r>
    </w:p>
    <w:p w:rsidR="00E109CE" w:rsidRPr="00BC7C6C" w:rsidRDefault="00E109CE" w:rsidP="00BC7C6C">
      <w:pPr>
        <w:pStyle w:val="Reference"/>
      </w:pPr>
      <w:r w:rsidRPr="00BC7C6C">
        <w:t>Menon, R., S. Mollahaliloglu, and I. Postolovska. 2013. UNICO Studies Series 18. “Toward Universal Coverage: Turkey’s Green Card Program for the Poor.” World Bank: Washington, DC.</w:t>
      </w:r>
    </w:p>
    <w:p w:rsidR="00E109CE" w:rsidRPr="000C60E4" w:rsidRDefault="00E109CE" w:rsidP="00BC7C6C">
      <w:pPr>
        <w:pStyle w:val="Reference"/>
      </w:pPr>
      <w:r w:rsidRPr="00BC7C6C">
        <w:t>Ikegami, N.,  Y. Tagawa, and Y. Tsugawa. Forthcoming. Chapter 9, “National Hospital Reform Results and Challenges”  in Universal Health Coverage for Inclusive and Sustainable Development: Lessons from Japan</w:t>
      </w:r>
      <w:r w:rsidRPr="00415FD5">
        <w:t xml:space="preserve">, </w:t>
      </w:r>
      <w:r>
        <w:t xml:space="preserve">N. Ikegami, editor.  </w:t>
      </w:r>
      <w:r w:rsidRPr="000C60E4">
        <w:t>World Bank: Washington, DC.</w:t>
      </w:r>
    </w:p>
    <w:p w:rsidR="00E109CE" w:rsidRDefault="00E109CE" w:rsidP="00BC7C6C">
      <w:pPr>
        <w:pStyle w:val="Reference"/>
      </w:pPr>
      <w:r>
        <w:rPr>
          <w:rFonts w:eastAsia="Cambria"/>
        </w:rPr>
        <w:t>MOH (</w:t>
      </w:r>
      <w:r w:rsidRPr="000C60E4">
        <w:rPr>
          <w:rFonts w:eastAsia="Cambria"/>
        </w:rPr>
        <w:t>Ministry of Health</w:t>
      </w:r>
      <w:r>
        <w:rPr>
          <w:rFonts w:eastAsia="Cambria"/>
        </w:rPr>
        <w:t>)</w:t>
      </w:r>
      <w:r w:rsidRPr="000C60E4">
        <w:rPr>
          <w:rFonts w:eastAsia="Cambria"/>
        </w:rPr>
        <w:t xml:space="preserve">. </w:t>
      </w:r>
      <w:r w:rsidRPr="000C60E4">
        <w:t>2011</w:t>
      </w:r>
      <w:r>
        <w:t>a</w:t>
      </w:r>
      <w:r w:rsidRPr="000C60E4">
        <w:t>. Turkey Health Transformation Program Evaluation Report 2003–2010. Ankara</w:t>
      </w:r>
      <w:r>
        <w:t>:</w:t>
      </w:r>
      <w:r w:rsidRPr="000C60E4">
        <w:t xml:space="preserve"> Ministry of Health.</w:t>
      </w:r>
    </w:p>
    <w:p w:rsidR="00E109CE" w:rsidRDefault="00E109CE" w:rsidP="00BC7C6C">
      <w:pPr>
        <w:pStyle w:val="Reference"/>
      </w:pPr>
      <w:r>
        <w:t xml:space="preserve">———. </w:t>
      </w:r>
      <w:r w:rsidRPr="000C60E4">
        <w:t>2011</w:t>
      </w:r>
      <w:r>
        <w:t>b</w:t>
      </w:r>
      <w:r w:rsidRPr="000C60E4">
        <w:t xml:space="preserve">. </w:t>
      </w:r>
      <w:r w:rsidRPr="000C60E4">
        <w:rPr>
          <w:i/>
        </w:rPr>
        <w:t>Health Statistics Yearbook 2011.</w:t>
      </w:r>
      <w:r w:rsidRPr="000C60E4">
        <w:t xml:space="preserve"> Ankara</w:t>
      </w:r>
      <w:r>
        <w:t xml:space="preserve">: </w:t>
      </w:r>
      <w:r w:rsidRPr="00AB0EFB">
        <w:t>Ministry of Health</w:t>
      </w:r>
      <w:r w:rsidRPr="000C60E4">
        <w:t>.</w:t>
      </w:r>
    </w:p>
    <w:p w:rsidR="001405C3" w:rsidRDefault="001405C3" w:rsidP="00BC7C6C">
      <w:pPr>
        <w:pStyle w:val="Reference"/>
      </w:pPr>
      <w:r>
        <w:t xml:space="preserve">Tatar, M., S. </w:t>
      </w:r>
      <w:r w:rsidRPr="001405C3">
        <w:t xml:space="preserve">Mollahaliloğlu, </w:t>
      </w:r>
      <w:r>
        <w:t>B. Sahin</w:t>
      </w:r>
      <w:r w:rsidRPr="001405C3">
        <w:t xml:space="preserve">, </w:t>
      </w:r>
      <w:r>
        <w:t xml:space="preserve">S. </w:t>
      </w:r>
      <w:r w:rsidRPr="001405C3">
        <w:t>A</w:t>
      </w:r>
      <w:r>
        <w:t>yd</w:t>
      </w:r>
      <w:r w:rsidRPr="001405C3">
        <w:t xml:space="preserve">in, </w:t>
      </w:r>
      <w:r>
        <w:t xml:space="preserve">A. </w:t>
      </w:r>
      <w:r w:rsidRPr="001405C3">
        <w:t xml:space="preserve">Maresso, </w:t>
      </w:r>
      <w:r>
        <w:t xml:space="preserve">and C. </w:t>
      </w:r>
      <w:r w:rsidRPr="001405C3">
        <w:t>Hernández-Quevedo.</w:t>
      </w:r>
      <w:r>
        <w:t xml:space="preserve"> 2011.  “Turkey. Health System Review”. </w:t>
      </w:r>
      <w:r w:rsidRPr="001405C3">
        <w:t>Health Syst Transit. 2011;13(6):1-186, xiii-xiv.</w:t>
      </w:r>
      <w:r>
        <w:t xml:space="preserve"> </w:t>
      </w:r>
      <w:r w:rsidRPr="001405C3">
        <w:t>http://www.ncbi.nlm.nih.gov/pubmed/22455830</w:t>
      </w:r>
    </w:p>
    <w:p w:rsidR="00E109CE" w:rsidRPr="000C60E4" w:rsidRDefault="00BC7C6C" w:rsidP="00BC7C6C">
      <w:pPr>
        <w:pStyle w:val="Reference"/>
      </w:pPr>
      <w:r>
        <w:t>Tatar, M.</w:t>
      </w:r>
      <w:r w:rsidR="00E109CE">
        <w:t>, and Y</w:t>
      </w:r>
      <w:r>
        <w:t>.</w:t>
      </w:r>
      <w:r w:rsidR="00E109CE">
        <w:t xml:space="preserve"> Çelik.</w:t>
      </w:r>
      <w:r w:rsidR="00E109CE" w:rsidRPr="0092565E">
        <w:t xml:space="preserve"> </w:t>
      </w:r>
      <w:r w:rsidR="00E109CE">
        <w:t xml:space="preserve">2013. “Health Financing in Turkey: An Overview and Value for Money Analysis.” Unpublished report prepared for the World Bank. </w:t>
      </w:r>
    </w:p>
    <w:p w:rsidR="00E109CE" w:rsidRPr="000C60E4" w:rsidRDefault="00E109CE" w:rsidP="00BC7C6C">
      <w:pPr>
        <w:pStyle w:val="Reference"/>
      </w:pPr>
      <w:r w:rsidRPr="000C60E4">
        <w:t>World Bank. 2013. Turkey</w:t>
      </w:r>
      <w:r>
        <w:t>—</w:t>
      </w:r>
      <w:r w:rsidRPr="000C60E4">
        <w:t>Performance</w:t>
      </w:r>
      <w:r>
        <w:t>-</w:t>
      </w:r>
      <w:r w:rsidRPr="000C60E4">
        <w:t xml:space="preserve">based Contracting Scheme in Family Medicine: Design and Achievements. Washington, DC. </w:t>
      </w:r>
    </w:p>
    <w:p w:rsidR="00E109CE" w:rsidRDefault="00E109CE" w:rsidP="00E109CE">
      <w:pPr>
        <w:rPr>
          <w:lang w:bidi="en-US"/>
        </w:rPr>
      </w:pPr>
    </w:p>
    <w:p w:rsidR="00E109CE" w:rsidRDefault="00E109CE" w:rsidP="00E109CE">
      <w:pPr>
        <w:rPr>
          <w:lang w:bidi="en-US"/>
        </w:rPr>
      </w:pPr>
    </w:p>
    <w:p w:rsidR="00E109CE" w:rsidRDefault="00E109CE" w:rsidP="00E109CE">
      <w:pPr>
        <w:sectPr w:rsidR="00E109CE" w:rsidSect="00E83DD0">
          <w:footerReference w:type="default" r:id="rId13"/>
          <w:pgSz w:w="12240" w:h="15840"/>
          <w:pgMar w:top="1440" w:right="1440" w:bottom="1440" w:left="1440" w:header="720" w:footer="720" w:gutter="0"/>
          <w:pgNumType w:start="1"/>
          <w:cols w:space="720"/>
          <w:docGrid w:linePitch="360"/>
        </w:sectPr>
      </w:pPr>
    </w:p>
    <w:p w:rsidR="00AB7358" w:rsidRDefault="003D1F31" w:rsidP="000B4AC7">
      <w:pPr>
        <w:jc w:val="center"/>
      </w:pPr>
      <w:r w:rsidRPr="007D76C8">
        <w:rPr>
          <w:noProof/>
        </w:rPr>
        <w:lastRenderedPageBreak/>
        <mc:AlternateContent>
          <mc:Choice Requires="wps">
            <w:drawing>
              <wp:anchor distT="0" distB="0" distL="114300" distR="114300" simplePos="0" relativeHeight="251659264" behindDoc="0" locked="0" layoutInCell="1" allowOverlap="1" wp14:anchorId="303DE3EA" wp14:editId="515D6152">
                <wp:simplePos x="0" y="0"/>
                <wp:positionH relativeFrom="column">
                  <wp:posOffset>-2540</wp:posOffset>
                </wp:positionH>
                <wp:positionV relativeFrom="paragraph">
                  <wp:posOffset>-424180</wp:posOffset>
                </wp:positionV>
                <wp:extent cx="4686300" cy="342900"/>
                <wp:effectExtent l="0" t="0" r="0" b="0"/>
                <wp:wrapSquare wrapText="bothSides"/>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40656D" w:rsidRPr="003D1F31" w:rsidRDefault="003D1F31" w:rsidP="00E109CE">
                            <w:pPr>
                              <w:rPr>
                                <w:b/>
                              </w:rPr>
                            </w:pPr>
                            <w:r w:rsidRPr="003D1F31">
                              <w:rPr>
                                <w:b/>
                              </w:rPr>
                              <w:t>Annex:  Timelines of Health Reform in Turkey, 2003-2012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6" o:spid="_x0000_s1029" type="#_x0000_t202" style="position:absolute;left:0;text-align:left;margin-left:-.2pt;margin-top:-33.4pt;width:36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" filled="f" stroked="f">
                <v:path arrowok="t"/>
                <v:textbox>
                  <w:txbxContent>
                    <w:p w:rsidR="0040656D" w:rsidRPr="003D1F31" w:rsidRDefault="003D1F31" w:rsidP="00E109CE">
                      <w:pPr>
                        <w:rPr>
                          <w:b/>
                        </w:rPr>
                      </w:pPr>
                      <w:r w:rsidRPr="003D1F31">
                        <w:rPr>
                          <w:b/>
                        </w:rPr>
                        <w:t>Annex:  Timelines of Health Reform in Turkey, 2003-2012</w:t>
                      </w:r>
                    </w:p>
                  </w:txbxContent>
                </v:textbox>
                <w10:wrap type="square"/>
              </v:shape>
            </w:pict>
          </mc:Fallback>
        </mc:AlternateContent>
      </w:r>
      <w:r w:rsidR="007B1583" w:rsidRPr="007B1583">
        <w:rPr>
          <w:noProof/>
        </w:rPr>
        <w:drawing>
          <wp:inline distT="0" distB="0" distL="0" distR="0" wp14:anchorId="6B6F3325" wp14:editId="240A0A67">
            <wp:extent cx="7786240" cy="5824784"/>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00976" cy="5835808"/>
                    </a:xfrm>
                    <a:prstGeom prst="rect">
                      <a:avLst/>
                    </a:prstGeom>
                    <a:noFill/>
                    <a:ln>
                      <a:noFill/>
                    </a:ln>
                  </pic:spPr>
                </pic:pic>
              </a:graphicData>
            </a:graphic>
          </wp:inline>
        </w:drawing>
      </w:r>
    </w:p>
    <w:sectPr w:rsidR="00AB7358" w:rsidSect="005B718B">
      <w:pgSz w:w="15840" w:h="12240" w:orient="landscape"/>
      <w:pgMar w:top="1440" w:right="144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8F3" w:rsidRDefault="000948F3" w:rsidP="00E109CE">
      <w:pPr>
        <w:spacing w:after="0"/>
      </w:pPr>
      <w:r>
        <w:separator/>
      </w:r>
    </w:p>
  </w:endnote>
  <w:endnote w:type="continuationSeparator" w:id="0">
    <w:p w:rsidR="000948F3" w:rsidRDefault="000948F3" w:rsidP="00E109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ndes">
    <w:panose1 w:val="00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Optima LT Std">
    <w:altName w:val="Cambria"/>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haker2Lancet-Italic">
    <w:altName w:val="MS Mincho"/>
    <w:panose1 w:val="00000000000000000000"/>
    <w:charset w:val="80"/>
    <w:family w:val="auto"/>
    <w:notTrueType/>
    <w:pitch w:val="default"/>
    <w:sig w:usb0="00000001" w:usb1="08070000" w:usb2="00000010" w:usb3="00000000" w:csb0="00020000" w:csb1="00000000"/>
  </w:font>
  <w:font w:name="ScalaLancetPro">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6D" w:rsidRDefault="0040656D">
    <w:pPr>
      <w:pStyle w:val="Footer"/>
      <w:jc w:val="center"/>
    </w:pPr>
  </w:p>
  <w:p w:rsidR="0040656D" w:rsidRDefault="00406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742281"/>
      <w:docPartObj>
        <w:docPartGallery w:val="Page Numbers (Bottom of Page)"/>
        <w:docPartUnique/>
      </w:docPartObj>
    </w:sdtPr>
    <w:sdtEndPr>
      <w:rPr>
        <w:noProof/>
      </w:rPr>
    </w:sdtEndPr>
    <w:sdtContent>
      <w:p w:rsidR="003D1F31" w:rsidRDefault="003D1F31">
        <w:pPr>
          <w:pStyle w:val="Footer"/>
          <w:jc w:val="center"/>
        </w:pPr>
        <w:r>
          <w:fldChar w:fldCharType="begin"/>
        </w:r>
        <w:r>
          <w:instrText xml:space="preserve"> PAGE   \* MERGEFORMAT </w:instrText>
        </w:r>
        <w:r>
          <w:fldChar w:fldCharType="separate"/>
        </w:r>
        <w:r w:rsidR="001C7FDB">
          <w:rPr>
            <w:noProof/>
          </w:rPr>
          <w:t>iii</w:t>
        </w:r>
        <w:r>
          <w:rPr>
            <w:noProof/>
          </w:rPr>
          <w:fldChar w:fldCharType="end"/>
        </w:r>
      </w:p>
    </w:sdtContent>
  </w:sdt>
  <w:p w:rsidR="0040656D" w:rsidRDefault="0040656D" w:rsidP="004065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D0" w:rsidRDefault="00E83DD0">
    <w:pPr>
      <w:pStyle w:val="Footer"/>
      <w:jc w:val="center"/>
    </w:pPr>
  </w:p>
  <w:p w:rsidR="00E83DD0" w:rsidRDefault="001C7FDB">
    <w:pPr>
      <w:pStyle w:val="Footer"/>
      <w:jc w:val="center"/>
    </w:pPr>
    <w:sdt>
      <w:sdtPr>
        <w:id w:val="-475987059"/>
        <w:docPartObj>
          <w:docPartGallery w:val="Page Numbers (Bottom of Page)"/>
          <w:docPartUnique/>
        </w:docPartObj>
      </w:sdtPr>
      <w:sdtEndPr>
        <w:rPr>
          <w:noProof/>
        </w:rPr>
      </w:sdtEndPr>
      <w:sdtContent>
        <w:r w:rsidR="00E83DD0">
          <w:fldChar w:fldCharType="begin"/>
        </w:r>
        <w:r w:rsidR="00E83DD0">
          <w:instrText xml:space="preserve"> PAGE   \* MERGEFORMAT </w:instrText>
        </w:r>
        <w:r w:rsidR="00E83DD0">
          <w:fldChar w:fldCharType="separate"/>
        </w:r>
        <w:r>
          <w:rPr>
            <w:noProof/>
          </w:rPr>
          <w:t>18</w:t>
        </w:r>
        <w:r w:rsidR="00E83DD0">
          <w:rPr>
            <w:noProof/>
          </w:rPr>
          <w:fldChar w:fldCharType="end"/>
        </w:r>
      </w:sdtContent>
    </w:sdt>
  </w:p>
  <w:p w:rsidR="00E83DD0" w:rsidRDefault="00E83DD0" w:rsidP="00406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8F3" w:rsidRDefault="000948F3" w:rsidP="00E109CE">
      <w:pPr>
        <w:spacing w:after="0"/>
      </w:pPr>
      <w:r>
        <w:separator/>
      </w:r>
    </w:p>
  </w:footnote>
  <w:footnote w:type="continuationSeparator" w:id="0">
    <w:p w:rsidR="000948F3" w:rsidRDefault="000948F3" w:rsidP="00E109CE">
      <w:pPr>
        <w:spacing w:after="0"/>
      </w:pPr>
      <w:r>
        <w:continuationSeparator/>
      </w:r>
    </w:p>
  </w:footnote>
  <w:footnote w:id="1">
    <w:p w:rsidR="00727E4F" w:rsidRDefault="00727E4F" w:rsidP="00727E4F">
      <w:r>
        <w:rPr>
          <w:rStyle w:val="FootnoteReference"/>
        </w:rPr>
        <w:footnoteRef/>
      </w:r>
      <w:r>
        <w:t xml:space="preserve"> The Health Implementation Guide (HIG (</w:t>
      </w:r>
      <w:proofErr w:type="spellStart"/>
      <w:r>
        <w:t>Sağ</w:t>
      </w:r>
      <w:proofErr w:type="spellEnd"/>
      <w:r>
        <w:t xml:space="preserve"> </w:t>
      </w:r>
      <w:proofErr w:type="spellStart"/>
      <w:r>
        <w:t>lık</w:t>
      </w:r>
      <w:proofErr w:type="spellEnd"/>
      <w:r>
        <w:t xml:space="preserve"> </w:t>
      </w:r>
      <w:proofErr w:type="spellStart"/>
      <w:r>
        <w:t>Uygulama</w:t>
      </w:r>
      <w:proofErr w:type="spellEnd"/>
      <w:r>
        <w:t xml:space="preserve"> </w:t>
      </w:r>
      <w:proofErr w:type="spellStart"/>
      <w:r>
        <w:t>Tebliğ</w:t>
      </w:r>
      <w:proofErr w:type="spellEnd"/>
      <w:r>
        <w:t xml:space="preserve"> </w:t>
      </w:r>
      <w:proofErr w:type="spellStart"/>
      <w:r>
        <w:t>i</w:t>
      </w:r>
      <w:proofErr w:type="spellEnd"/>
      <w:r>
        <w:t>)), published annually, covers the rules and regulations for the benefits package and there is a unified guide that covers all existing schemes. For more details, see Tatar et al., 2011.</w:t>
      </w:r>
    </w:p>
  </w:footnote>
  <w:footnote w:id="2">
    <w:p w:rsidR="0040656D" w:rsidRPr="009E5763" w:rsidRDefault="0040656D" w:rsidP="00BC7C6C">
      <w:pPr>
        <w:pStyle w:val="Footnote"/>
      </w:pPr>
      <w:r w:rsidRPr="009E5763">
        <w:rPr>
          <w:rStyle w:val="FootnoteReference"/>
        </w:rPr>
        <w:footnoteRef/>
      </w:r>
      <w:r w:rsidRPr="009E5763">
        <w:t xml:space="preserve"> Turkish Public Hospitals Institution and the General Directorate of Health Research</w:t>
      </w:r>
      <w:r w:rsidRPr="009E5763" w:rsidDel="007608D9">
        <w:t xml:space="preserve"> </w:t>
      </w:r>
      <w:r>
        <w:t xml:space="preserve">also </w:t>
      </w:r>
      <w:r w:rsidRPr="009E5763">
        <w:t xml:space="preserve">have responsibilities in this area. </w:t>
      </w:r>
    </w:p>
  </w:footnote>
  <w:footnote w:id="3">
    <w:p w:rsidR="0040656D" w:rsidRPr="009E5763" w:rsidRDefault="0040656D" w:rsidP="00BC7C6C">
      <w:pPr>
        <w:pStyle w:val="Footnote"/>
      </w:pPr>
      <w:r w:rsidRPr="009E5763">
        <w:rPr>
          <w:rStyle w:val="FootnoteReference"/>
          <w:sz w:val="18"/>
        </w:rPr>
        <w:footnoteRef/>
      </w:r>
      <w:r w:rsidRPr="009E5763">
        <w:t xml:space="preserve"> The duration of specialization training depends on the requirements of the specialty.</w:t>
      </w:r>
    </w:p>
  </w:footnote>
  <w:footnote w:id="4">
    <w:p w:rsidR="0040656D" w:rsidRPr="006E3C67" w:rsidRDefault="0040656D" w:rsidP="00BC7C6C">
      <w:pPr>
        <w:pStyle w:val="Footnote"/>
        <w:rPr>
          <w:lang w:val="tr-TR"/>
        </w:rPr>
      </w:pPr>
      <w:r>
        <w:rPr>
          <w:rStyle w:val="FootnoteReference"/>
        </w:rPr>
        <w:footnoteRef/>
      </w:r>
      <w:r>
        <w:t xml:space="preserve"> </w:t>
      </w:r>
      <w:r>
        <w:rPr>
          <w:lang w:val="tr-TR"/>
        </w:rPr>
        <w:t xml:space="preserve">Law No. 5510 was accepted in 2006, though it took some time to be phased in.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DD0"/>
    <w:multiLevelType w:val="hybridMultilevel"/>
    <w:tmpl w:val="96525620"/>
    <w:lvl w:ilvl="0" w:tplc="A210E020">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E2456"/>
    <w:multiLevelType w:val="hybridMultilevel"/>
    <w:tmpl w:val="68C01378"/>
    <w:lvl w:ilvl="0" w:tplc="24A43150">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6E24DE"/>
    <w:multiLevelType w:val="hybridMultilevel"/>
    <w:tmpl w:val="04AEBF5C"/>
    <w:lvl w:ilvl="0" w:tplc="4E76621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37EF9"/>
    <w:multiLevelType w:val="multilevel"/>
    <w:tmpl w:val="84D2F476"/>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31C34B75"/>
    <w:multiLevelType w:val="hybridMultilevel"/>
    <w:tmpl w:val="AA16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C517D"/>
    <w:multiLevelType w:val="hybridMultilevel"/>
    <w:tmpl w:val="ACE6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522B6"/>
    <w:multiLevelType w:val="hybridMultilevel"/>
    <w:tmpl w:val="A34E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F82AC9"/>
    <w:multiLevelType w:val="hybridMultilevel"/>
    <w:tmpl w:val="307C78F8"/>
    <w:lvl w:ilvl="0" w:tplc="1F66E9BE">
      <w:start w:val="1"/>
      <w:numFmt w:val="decimal"/>
      <w:pStyle w:val="ParaNumberPinar"/>
      <w:lvlText w:val="%1."/>
      <w:lvlJc w:val="left"/>
      <w:pPr>
        <w:ind w:left="360" w:hanging="360"/>
      </w:pPr>
      <w:rPr>
        <w:rFonts w:ascii="Garamond" w:hAnsi="Garamond" w:hint="default"/>
        <w:b w:val="0"/>
        <w:i w:val="0"/>
        <w:caps w:val="0"/>
        <w:strike w:val="0"/>
        <w:dstrike w:val="0"/>
        <w:vanish w:val="0"/>
        <w:color w:val="auto"/>
        <w:sz w:val="24"/>
        <w:u w:val="none"/>
        <w:vertAlign w:val="baseline"/>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8">
    <w:nsid w:val="5E1F2504"/>
    <w:multiLevelType w:val="hybridMultilevel"/>
    <w:tmpl w:val="E4843310"/>
    <w:lvl w:ilvl="0" w:tplc="4C0258BC">
      <w:start w:val="1"/>
      <w:numFmt w:val="upperLetter"/>
      <w:pStyle w:val="ColorfulList-Accent11"/>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F8B1E9B"/>
    <w:multiLevelType w:val="hybridMultilevel"/>
    <w:tmpl w:val="B936B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3F63E9"/>
    <w:multiLevelType w:val="hybridMultilevel"/>
    <w:tmpl w:val="74CADC90"/>
    <w:lvl w:ilvl="0" w:tplc="965A6172">
      <w:start w:val="1"/>
      <w:numFmt w:val="decimal"/>
      <w:lvlText w:val="%1."/>
      <w:lvlJc w:val="left"/>
      <w:pPr>
        <w:ind w:left="720" w:hanging="360"/>
      </w:pPr>
      <w:rPr>
        <w:rFonts w:ascii="Andes" w:hAnsi="Andes"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CB3C72"/>
    <w:multiLevelType w:val="hybridMultilevel"/>
    <w:tmpl w:val="320A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111F90"/>
    <w:multiLevelType w:val="multilevel"/>
    <w:tmpl w:val="DAFCB80E"/>
    <w:styleLink w:val="StyleOutlinenumbered"/>
    <w:lvl w:ilvl="0">
      <w:start w:val="1"/>
      <w:numFmt w:val="decimal"/>
      <w:lvlText w:val="%1."/>
      <w:lvlJc w:val="left"/>
      <w:pPr>
        <w:tabs>
          <w:tab w:val="num" w:pos="720"/>
        </w:tabs>
      </w:pPr>
      <w:rPr>
        <w:rFonts w:cs="Times New Roman" w:hint="default"/>
        <w:sz w:val="22"/>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6D0532DF"/>
    <w:multiLevelType w:val="hybridMultilevel"/>
    <w:tmpl w:val="DDF459B0"/>
    <w:lvl w:ilvl="0" w:tplc="C89A5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AF96F29"/>
    <w:multiLevelType w:val="hybridMultilevel"/>
    <w:tmpl w:val="B0845408"/>
    <w:lvl w:ilvl="0" w:tplc="46C667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BD03A67"/>
    <w:multiLevelType w:val="hybridMultilevel"/>
    <w:tmpl w:val="1CBCBF0A"/>
    <w:lvl w:ilvl="0" w:tplc="7FF8DED8">
      <w:numFmt w:val="bullet"/>
      <w:pStyle w:val="ListParagraph"/>
      <w:lvlText w:val="-"/>
      <w:lvlJc w:val="left"/>
      <w:pPr>
        <w:ind w:left="360" w:hanging="360"/>
      </w:pPr>
      <w:rPr>
        <w:rFonts w:ascii="Calibri" w:eastAsia="Calibri" w:hAnsi="Calibri" w:cs="Times New Roman" w:hint="default"/>
      </w:rPr>
    </w:lvl>
    <w:lvl w:ilvl="1" w:tplc="04090019" w:tentative="1">
      <w:start w:val="1"/>
      <w:numFmt w:val="bullet"/>
      <w:lvlText w:val="o"/>
      <w:lvlJc w:val="left"/>
      <w:pPr>
        <w:ind w:left="1080" w:hanging="360"/>
      </w:pPr>
      <w:rPr>
        <w:rFonts w:ascii="Courier New" w:hAnsi="Courier New" w:cs="Wingding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Wingdings"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Wingdings" w:hint="default"/>
      </w:rPr>
    </w:lvl>
    <w:lvl w:ilvl="8" w:tplc="0409001B"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7"/>
  </w:num>
  <w:num w:numId="12">
    <w:abstractNumId w:val="1"/>
  </w:num>
  <w:num w:numId="13">
    <w:abstractNumId w:val="7"/>
  </w:num>
  <w:num w:numId="14">
    <w:abstractNumId w:val="8"/>
  </w:num>
  <w:num w:numId="15">
    <w:abstractNumId w:val="14"/>
  </w:num>
  <w:num w:numId="16">
    <w:abstractNumId w:val="0"/>
  </w:num>
  <w:num w:numId="17">
    <w:abstractNumId w:val="12"/>
    <w:lvlOverride w:ilvl="0">
      <w:lvl w:ilvl="0">
        <w:start w:val="1"/>
        <w:numFmt w:val="decimal"/>
        <w:lvlText w:val="%1."/>
        <w:lvlJc w:val="left"/>
        <w:pPr>
          <w:tabs>
            <w:tab w:val="num" w:pos="720"/>
          </w:tabs>
        </w:pPr>
        <w:rPr>
          <w:rFonts w:cs="Times New Roman" w:hint="default"/>
          <w:color w:val="auto"/>
          <w:sz w:val="22"/>
        </w:rPr>
      </w:lvl>
    </w:lvlOverride>
  </w:num>
  <w:num w:numId="18">
    <w:abstractNumId w:val="12"/>
  </w:num>
  <w:num w:numId="19">
    <w:abstractNumId w:val="8"/>
  </w:num>
  <w:num w:numId="20">
    <w:abstractNumId w:val="14"/>
  </w:num>
  <w:num w:numId="21">
    <w:abstractNumId w:val="0"/>
  </w:num>
  <w:num w:numId="22">
    <w:abstractNumId w:val="12"/>
    <w:lvlOverride w:ilvl="0">
      <w:lvl w:ilvl="0">
        <w:start w:val="1"/>
        <w:numFmt w:val="decimal"/>
        <w:lvlText w:val="%1."/>
        <w:lvlJc w:val="left"/>
        <w:pPr>
          <w:tabs>
            <w:tab w:val="num" w:pos="720"/>
          </w:tabs>
        </w:pPr>
        <w:rPr>
          <w:rFonts w:cs="Times New Roman" w:hint="default"/>
          <w:color w:val="auto"/>
          <w:sz w:val="22"/>
        </w:rPr>
      </w:lvl>
    </w:lvlOverride>
  </w:num>
  <w:num w:numId="23">
    <w:abstractNumId w:val="12"/>
  </w:num>
  <w:num w:numId="24">
    <w:abstractNumId w:val="1"/>
  </w:num>
  <w:num w:numId="25">
    <w:abstractNumId w:val="7"/>
  </w:num>
  <w:num w:numId="26">
    <w:abstractNumId w:val="1"/>
  </w:num>
  <w:num w:numId="27">
    <w:abstractNumId w:val="7"/>
  </w:num>
  <w:num w:numId="28">
    <w:abstractNumId w:val="1"/>
  </w:num>
  <w:num w:numId="29">
    <w:abstractNumId w:val="7"/>
  </w:num>
  <w:num w:numId="30">
    <w:abstractNumId w:val="8"/>
  </w:num>
  <w:num w:numId="31">
    <w:abstractNumId w:val="14"/>
  </w:num>
  <w:num w:numId="32">
    <w:abstractNumId w:val="0"/>
  </w:num>
  <w:num w:numId="33">
    <w:abstractNumId w:val="12"/>
  </w:num>
  <w:num w:numId="34">
    <w:abstractNumId w:val="12"/>
  </w:num>
  <w:num w:numId="35">
    <w:abstractNumId w:val="10"/>
  </w:num>
  <w:num w:numId="36">
    <w:abstractNumId w:val="9"/>
  </w:num>
  <w:num w:numId="37">
    <w:abstractNumId w:val="15"/>
  </w:num>
  <w:num w:numId="38">
    <w:abstractNumId w:val="5"/>
  </w:num>
  <w:num w:numId="39">
    <w:abstractNumId w:val="11"/>
  </w:num>
  <w:num w:numId="40">
    <w:abstractNumId w:val="4"/>
  </w:num>
  <w:num w:numId="41">
    <w:abstractNumId w:val="13"/>
  </w:num>
  <w:num w:numId="42">
    <w:abstractNumId w:val="2"/>
  </w:num>
  <w:num w:numId="43">
    <w:abstractNumId w:val="1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CE"/>
    <w:rsid w:val="00042438"/>
    <w:rsid w:val="00042A8D"/>
    <w:rsid w:val="000546A0"/>
    <w:rsid w:val="00062081"/>
    <w:rsid w:val="00076B89"/>
    <w:rsid w:val="000914AF"/>
    <w:rsid w:val="000948F3"/>
    <w:rsid w:val="000A0206"/>
    <w:rsid w:val="000B11A5"/>
    <w:rsid w:val="000B13B2"/>
    <w:rsid w:val="000B4AC7"/>
    <w:rsid w:val="000D2102"/>
    <w:rsid w:val="000E021D"/>
    <w:rsid w:val="000E65CE"/>
    <w:rsid w:val="000E702C"/>
    <w:rsid w:val="000F713B"/>
    <w:rsid w:val="00101E4A"/>
    <w:rsid w:val="001063C9"/>
    <w:rsid w:val="001126AF"/>
    <w:rsid w:val="0011536E"/>
    <w:rsid w:val="00130D65"/>
    <w:rsid w:val="001405C3"/>
    <w:rsid w:val="00141474"/>
    <w:rsid w:val="001535A5"/>
    <w:rsid w:val="00153BB9"/>
    <w:rsid w:val="001632FC"/>
    <w:rsid w:val="00167754"/>
    <w:rsid w:val="00177BF4"/>
    <w:rsid w:val="00183446"/>
    <w:rsid w:val="0018585A"/>
    <w:rsid w:val="00192A3A"/>
    <w:rsid w:val="00195A82"/>
    <w:rsid w:val="00195A9E"/>
    <w:rsid w:val="001A77C0"/>
    <w:rsid w:val="001B453E"/>
    <w:rsid w:val="001B6060"/>
    <w:rsid w:val="001C12EF"/>
    <w:rsid w:val="001C6A90"/>
    <w:rsid w:val="001C7FDB"/>
    <w:rsid w:val="001E4D1C"/>
    <w:rsid w:val="001F0330"/>
    <w:rsid w:val="001F4B6C"/>
    <w:rsid w:val="00200C2A"/>
    <w:rsid w:val="00203215"/>
    <w:rsid w:val="00213C68"/>
    <w:rsid w:val="00230A77"/>
    <w:rsid w:val="002352F6"/>
    <w:rsid w:val="00236FFA"/>
    <w:rsid w:val="00250452"/>
    <w:rsid w:val="002511D3"/>
    <w:rsid w:val="00254732"/>
    <w:rsid w:val="002774CA"/>
    <w:rsid w:val="0027787B"/>
    <w:rsid w:val="00286454"/>
    <w:rsid w:val="00291BCB"/>
    <w:rsid w:val="002A3D4E"/>
    <w:rsid w:val="002A5F5C"/>
    <w:rsid w:val="002A6ED3"/>
    <w:rsid w:val="002C66ED"/>
    <w:rsid w:val="002D350D"/>
    <w:rsid w:val="002D5D11"/>
    <w:rsid w:val="002D76D6"/>
    <w:rsid w:val="002F0934"/>
    <w:rsid w:val="002F5B62"/>
    <w:rsid w:val="002F5C9A"/>
    <w:rsid w:val="002F718D"/>
    <w:rsid w:val="00302664"/>
    <w:rsid w:val="003255CC"/>
    <w:rsid w:val="00343C50"/>
    <w:rsid w:val="00351CF3"/>
    <w:rsid w:val="003523C1"/>
    <w:rsid w:val="0037159D"/>
    <w:rsid w:val="003730C8"/>
    <w:rsid w:val="00382444"/>
    <w:rsid w:val="003A15EC"/>
    <w:rsid w:val="003A292C"/>
    <w:rsid w:val="003A303B"/>
    <w:rsid w:val="003B2F4A"/>
    <w:rsid w:val="003B4911"/>
    <w:rsid w:val="003D1F31"/>
    <w:rsid w:val="003E1533"/>
    <w:rsid w:val="003F0E3E"/>
    <w:rsid w:val="003F119E"/>
    <w:rsid w:val="0040656D"/>
    <w:rsid w:val="00413035"/>
    <w:rsid w:val="00413FA7"/>
    <w:rsid w:val="00416F3C"/>
    <w:rsid w:val="00421CCA"/>
    <w:rsid w:val="00455A59"/>
    <w:rsid w:val="0046320E"/>
    <w:rsid w:val="00465C32"/>
    <w:rsid w:val="00471F23"/>
    <w:rsid w:val="00472CCC"/>
    <w:rsid w:val="004836DC"/>
    <w:rsid w:val="004848CE"/>
    <w:rsid w:val="004851F8"/>
    <w:rsid w:val="00487989"/>
    <w:rsid w:val="00493915"/>
    <w:rsid w:val="00496597"/>
    <w:rsid w:val="004A5B4A"/>
    <w:rsid w:val="004B3FE1"/>
    <w:rsid w:val="004C5D23"/>
    <w:rsid w:val="004E71C5"/>
    <w:rsid w:val="004F71EB"/>
    <w:rsid w:val="004F782D"/>
    <w:rsid w:val="00500A8E"/>
    <w:rsid w:val="00501DF4"/>
    <w:rsid w:val="00512280"/>
    <w:rsid w:val="00515DDD"/>
    <w:rsid w:val="00523E4D"/>
    <w:rsid w:val="00525F22"/>
    <w:rsid w:val="005309EB"/>
    <w:rsid w:val="00531447"/>
    <w:rsid w:val="00533C32"/>
    <w:rsid w:val="005340CB"/>
    <w:rsid w:val="00534A12"/>
    <w:rsid w:val="00552FD0"/>
    <w:rsid w:val="0055302C"/>
    <w:rsid w:val="00561192"/>
    <w:rsid w:val="00564F43"/>
    <w:rsid w:val="005713AE"/>
    <w:rsid w:val="00577DAF"/>
    <w:rsid w:val="0058555D"/>
    <w:rsid w:val="005A22F5"/>
    <w:rsid w:val="005A4C8E"/>
    <w:rsid w:val="005B103E"/>
    <w:rsid w:val="005B718B"/>
    <w:rsid w:val="005C66F2"/>
    <w:rsid w:val="005D6272"/>
    <w:rsid w:val="005E38DB"/>
    <w:rsid w:val="005E4F45"/>
    <w:rsid w:val="005F4587"/>
    <w:rsid w:val="005F4BD6"/>
    <w:rsid w:val="00600A42"/>
    <w:rsid w:val="006166C4"/>
    <w:rsid w:val="00621425"/>
    <w:rsid w:val="006242CC"/>
    <w:rsid w:val="0063224B"/>
    <w:rsid w:val="006331CF"/>
    <w:rsid w:val="00633AC0"/>
    <w:rsid w:val="00644C76"/>
    <w:rsid w:val="00657F9B"/>
    <w:rsid w:val="00667AE3"/>
    <w:rsid w:val="00676978"/>
    <w:rsid w:val="00680251"/>
    <w:rsid w:val="00685889"/>
    <w:rsid w:val="006858F6"/>
    <w:rsid w:val="006956C0"/>
    <w:rsid w:val="006D446C"/>
    <w:rsid w:val="006F79D4"/>
    <w:rsid w:val="007143E8"/>
    <w:rsid w:val="0071483B"/>
    <w:rsid w:val="00727E4F"/>
    <w:rsid w:val="00731FC7"/>
    <w:rsid w:val="00745BB0"/>
    <w:rsid w:val="00756160"/>
    <w:rsid w:val="007573B9"/>
    <w:rsid w:val="00784AB4"/>
    <w:rsid w:val="007A2885"/>
    <w:rsid w:val="007B1583"/>
    <w:rsid w:val="007B16F7"/>
    <w:rsid w:val="007B29CD"/>
    <w:rsid w:val="007C2CF5"/>
    <w:rsid w:val="007C54EE"/>
    <w:rsid w:val="007C5D73"/>
    <w:rsid w:val="007D16D9"/>
    <w:rsid w:val="007D6574"/>
    <w:rsid w:val="007D7BE6"/>
    <w:rsid w:val="007D7CBC"/>
    <w:rsid w:val="007E27EC"/>
    <w:rsid w:val="007E4409"/>
    <w:rsid w:val="007E59A5"/>
    <w:rsid w:val="00802EBE"/>
    <w:rsid w:val="00816D58"/>
    <w:rsid w:val="00823F25"/>
    <w:rsid w:val="00841C6A"/>
    <w:rsid w:val="00867575"/>
    <w:rsid w:val="008731A5"/>
    <w:rsid w:val="0087516E"/>
    <w:rsid w:val="008775B6"/>
    <w:rsid w:val="00881244"/>
    <w:rsid w:val="00882AD7"/>
    <w:rsid w:val="008B4C13"/>
    <w:rsid w:val="008B5200"/>
    <w:rsid w:val="008C20F6"/>
    <w:rsid w:val="008C5E63"/>
    <w:rsid w:val="008D0A5A"/>
    <w:rsid w:val="008D1B46"/>
    <w:rsid w:val="008E681B"/>
    <w:rsid w:val="008F06FF"/>
    <w:rsid w:val="0090188F"/>
    <w:rsid w:val="009075B6"/>
    <w:rsid w:val="009156B0"/>
    <w:rsid w:val="0092471F"/>
    <w:rsid w:val="0092758A"/>
    <w:rsid w:val="00940579"/>
    <w:rsid w:val="009566BF"/>
    <w:rsid w:val="009622C0"/>
    <w:rsid w:val="00972486"/>
    <w:rsid w:val="009757E0"/>
    <w:rsid w:val="009807DE"/>
    <w:rsid w:val="009822C7"/>
    <w:rsid w:val="00982812"/>
    <w:rsid w:val="00987E99"/>
    <w:rsid w:val="009A150B"/>
    <w:rsid w:val="009A2348"/>
    <w:rsid w:val="009B28DE"/>
    <w:rsid w:val="009C61A3"/>
    <w:rsid w:val="009E6654"/>
    <w:rsid w:val="00A0679A"/>
    <w:rsid w:val="00A158AD"/>
    <w:rsid w:val="00A23514"/>
    <w:rsid w:val="00A258E1"/>
    <w:rsid w:val="00A33BB4"/>
    <w:rsid w:val="00A467E4"/>
    <w:rsid w:val="00A5258C"/>
    <w:rsid w:val="00A622F3"/>
    <w:rsid w:val="00A659AD"/>
    <w:rsid w:val="00A75B46"/>
    <w:rsid w:val="00A8194F"/>
    <w:rsid w:val="00A854A3"/>
    <w:rsid w:val="00AA3D95"/>
    <w:rsid w:val="00AB2DEF"/>
    <w:rsid w:val="00AB4A2D"/>
    <w:rsid w:val="00AB7358"/>
    <w:rsid w:val="00AB78B2"/>
    <w:rsid w:val="00AC7DC1"/>
    <w:rsid w:val="00AD68AD"/>
    <w:rsid w:val="00AE7B6D"/>
    <w:rsid w:val="00AF095C"/>
    <w:rsid w:val="00B172A7"/>
    <w:rsid w:val="00B31362"/>
    <w:rsid w:val="00B35D88"/>
    <w:rsid w:val="00B42D1B"/>
    <w:rsid w:val="00B51EAE"/>
    <w:rsid w:val="00B63E1F"/>
    <w:rsid w:val="00B653E2"/>
    <w:rsid w:val="00B74BA4"/>
    <w:rsid w:val="00B77D8A"/>
    <w:rsid w:val="00B820A6"/>
    <w:rsid w:val="00B822BE"/>
    <w:rsid w:val="00B941B9"/>
    <w:rsid w:val="00B96612"/>
    <w:rsid w:val="00BA3756"/>
    <w:rsid w:val="00BB2431"/>
    <w:rsid w:val="00BB726B"/>
    <w:rsid w:val="00BC7C6C"/>
    <w:rsid w:val="00BD1969"/>
    <w:rsid w:val="00BD7A30"/>
    <w:rsid w:val="00BE2FA3"/>
    <w:rsid w:val="00BE6693"/>
    <w:rsid w:val="00BF2DB4"/>
    <w:rsid w:val="00C01201"/>
    <w:rsid w:val="00C06E0E"/>
    <w:rsid w:val="00C1645E"/>
    <w:rsid w:val="00C17DC6"/>
    <w:rsid w:val="00C22C37"/>
    <w:rsid w:val="00C2592F"/>
    <w:rsid w:val="00C354E7"/>
    <w:rsid w:val="00C458E4"/>
    <w:rsid w:val="00C619B4"/>
    <w:rsid w:val="00C67AFE"/>
    <w:rsid w:val="00C711F6"/>
    <w:rsid w:val="00C74A5B"/>
    <w:rsid w:val="00C8213A"/>
    <w:rsid w:val="00C84A8D"/>
    <w:rsid w:val="00C97F75"/>
    <w:rsid w:val="00CA5CCE"/>
    <w:rsid w:val="00CA6FDC"/>
    <w:rsid w:val="00CB6DB4"/>
    <w:rsid w:val="00CC1F08"/>
    <w:rsid w:val="00CD2562"/>
    <w:rsid w:val="00CD3272"/>
    <w:rsid w:val="00CD5EB0"/>
    <w:rsid w:val="00CD716C"/>
    <w:rsid w:val="00CF067D"/>
    <w:rsid w:val="00CF0895"/>
    <w:rsid w:val="00CF7D7C"/>
    <w:rsid w:val="00D11144"/>
    <w:rsid w:val="00D11B7E"/>
    <w:rsid w:val="00D1307B"/>
    <w:rsid w:val="00D13631"/>
    <w:rsid w:val="00D138E9"/>
    <w:rsid w:val="00D459A6"/>
    <w:rsid w:val="00D47A0A"/>
    <w:rsid w:val="00D55C86"/>
    <w:rsid w:val="00D7091F"/>
    <w:rsid w:val="00D726F8"/>
    <w:rsid w:val="00D7578C"/>
    <w:rsid w:val="00D80B7E"/>
    <w:rsid w:val="00D841E9"/>
    <w:rsid w:val="00D93DDB"/>
    <w:rsid w:val="00D95B65"/>
    <w:rsid w:val="00D95CF6"/>
    <w:rsid w:val="00D97CE5"/>
    <w:rsid w:val="00DA43F2"/>
    <w:rsid w:val="00DB29F4"/>
    <w:rsid w:val="00DD74F2"/>
    <w:rsid w:val="00DF1B33"/>
    <w:rsid w:val="00DF2DEB"/>
    <w:rsid w:val="00E01735"/>
    <w:rsid w:val="00E02517"/>
    <w:rsid w:val="00E07E93"/>
    <w:rsid w:val="00E109CE"/>
    <w:rsid w:val="00E11322"/>
    <w:rsid w:val="00E14A73"/>
    <w:rsid w:val="00E2091A"/>
    <w:rsid w:val="00E3525B"/>
    <w:rsid w:val="00E428C0"/>
    <w:rsid w:val="00E5642C"/>
    <w:rsid w:val="00E56F28"/>
    <w:rsid w:val="00E83DD0"/>
    <w:rsid w:val="00E90D33"/>
    <w:rsid w:val="00E97DF6"/>
    <w:rsid w:val="00EA1857"/>
    <w:rsid w:val="00ED126B"/>
    <w:rsid w:val="00EF54A3"/>
    <w:rsid w:val="00F03409"/>
    <w:rsid w:val="00F03BE8"/>
    <w:rsid w:val="00F15500"/>
    <w:rsid w:val="00F20775"/>
    <w:rsid w:val="00F343C5"/>
    <w:rsid w:val="00F43F36"/>
    <w:rsid w:val="00F516BC"/>
    <w:rsid w:val="00F77667"/>
    <w:rsid w:val="00F83C8E"/>
    <w:rsid w:val="00F841D2"/>
    <w:rsid w:val="00F90041"/>
    <w:rsid w:val="00FC04DD"/>
    <w:rsid w:val="00FC22B6"/>
    <w:rsid w:val="00FD0F3D"/>
    <w:rsid w:val="00FE2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3D effects 3"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rsid w:val="00E109CE"/>
    <w:rPr>
      <w:rFonts w:ascii="Andes" w:eastAsia="MS Mincho" w:hAnsi="Andes" w:cs="Calibri"/>
    </w:rPr>
  </w:style>
  <w:style w:type="paragraph" w:styleId="Heading1">
    <w:name w:val="heading 1"/>
    <w:basedOn w:val="Normal"/>
    <w:next w:val="Normal"/>
    <w:link w:val="Heading1Char"/>
    <w:uiPriority w:val="9"/>
    <w:qFormat/>
    <w:rsid w:val="00E109CE"/>
    <w:pPr>
      <w:keepNext/>
      <w:keepLines/>
      <w:spacing w:before="480" w:after="240"/>
      <w:jc w:val="center"/>
      <w:outlineLvl w:val="0"/>
    </w:pPr>
    <w:rPr>
      <w:rFonts w:eastAsiaTheme="majorEastAsia" w:cs="Arial"/>
      <w:b/>
      <w:bCs/>
      <w:color w:val="365F91" w:themeColor="accent1" w:themeShade="BF"/>
      <w:kern w:val="24"/>
      <w:sz w:val="28"/>
      <w:szCs w:val="28"/>
    </w:rPr>
  </w:style>
  <w:style w:type="paragraph" w:styleId="Heading2">
    <w:name w:val="heading 2"/>
    <w:basedOn w:val="Normal"/>
    <w:next w:val="Normal"/>
    <w:link w:val="Heading2Char"/>
    <w:unhideWhenUsed/>
    <w:qFormat/>
    <w:rsid w:val="00E109CE"/>
    <w:pPr>
      <w:keepNext/>
      <w:keepLines/>
      <w:spacing w:before="360"/>
      <w:outlineLvl w:val="1"/>
    </w:pPr>
    <w:rPr>
      <w:rFonts w:ascii="Arial" w:eastAsiaTheme="majorEastAsia" w:hAnsi="Arial" w:cstheme="majorBidi"/>
      <w:b/>
      <w:bCs/>
      <w:color w:val="1F497D" w:themeColor="text2"/>
      <w:kern w:val="24"/>
      <w:sz w:val="24"/>
      <w:szCs w:val="24"/>
    </w:rPr>
  </w:style>
  <w:style w:type="paragraph" w:styleId="Heading3">
    <w:name w:val="heading 3"/>
    <w:basedOn w:val="Normal"/>
    <w:next w:val="Normal"/>
    <w:link w:val="Heading3Char"/>
    <w:uiPriority w:val="9"/>
    <w:unhideWhenUsed/>
    <w:qFormat/>
    <w:rsid w:val="00E109CE"/>
    <w:pPr>
      <w:keepNext/>
      <w:keepLines/>
      <w:spacing w:before="240"/>
      <w:outlineLvl w:val="2"/>
    </w:pPr>
    <w:rPr>
      <w:rFonts w:eastAsiaTheme="majorEastAsia" w:cs="Arial"/>
      <w:b/>
      <w:bCs/>
      <w:color w:val="4F81BD" w:themeColor="accent1"/>
      <w:kern w:val="24"/>
    </w:rPr>
  </w:style>
  <w:style w:type="paragraph" w:styleId="Heading4">
    <w:name w:val="heading 4"/>
    <w:basedOn w:val="Heading3"/>
    <w:next w:val="Normal"/>
    <w:link w:val="Heading4Char"/>
    <w:uiPriority w:val="9"/>
    <w:unhideWhenUsed/>
    <w:qFormat/>
    <w:rsid w:val="00E109CE"/>
    <w:pPr>
      <w:ind w:left="720"/>
      <w:outlineLvl w:val="3"/>
    </w:pPr>
    <w:rPr>
      <w:rFonts w:ascii="Arial" w:hAnsi="Arial"/>
      <w:i/>
      <w:color w:val="1F497D" w:themeColor="text2"/>
    </w:rPr>
  </w:style>
  <w:style w:type="paragraph" w:styleId="Heading5">
    <w:name w:val="heading 5"/>
    <w:basedOn w:val="Heading4"/>
    <w:next w:val="Normal"/>
    <w:link w:val="Heading5Char"/>
    <w:uiPriority w:val="9"/>
    <w:unhideWhenUsed/>
    <w:qFormat/>
    <w:rsid w:val="00E109CE"/>
    <w:pPr>
      <w:outlineLvl w:val="4"/>
    </w:pPr>
    <w:rPr>
      <w:rFonts w:asciiTheme="majorHAnsi" w:hAnsiTheme="majorHAnsi" w:cstheme="majorBidi"/>
      <w:lang w:eastAsia="ja-JP"/>
    </w:rPr>
  </w:style>
  <w:style w:type="paragraph" w:styleId="Heading6">
    <w:name w:val="heading 6"/>
    <w:basedOn w:val="Normal"/>
    <w:next w:val="Normal"/>
    <w:link w:val="Heading6Char"/>
    <w:unhideWhenUsed/>
    <w:qFormat/>
    <w:rsid w:val="00E109C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109C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109C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nhideWhenUsed/>
    <w:qFormat/>
    <w:rsid w:val="00E109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9CE"/>
    <w:rPr>
      <w:rFonts w:ascii="Andes" w:eastAsiaTheme="majorEastAsia" w:hAnsi="Andes" w:cs="Arial"/>
      <w:b/>
      <w:bCs/>
      <w:color w:val="365F91" w:themeColor="accent1" w:themeShade="BF"/>
      <w:kern w:val="24"/>
      <w:sz w:val="28"/>
      <w:szCs w:val="28"/>
    </w:rPr>
  </w:style>
  <w:style w:type="character" w:customStyle="1" w:styleId="Heading2Char">
    <w:name w:val="Heading 2 Char"/>
    <w:basedOn w:val="DefaultParagraphFont"/>
    <w:link w:val="Heading2"/>
    <w:rsid w:val="00E109CE"/>
    <w:rPr>
      <w:rFonts w:ascii="Arial" w:eastAsiaTheme="majorEastAsia" w:hAnsi="Arial" w:cstheme="majorBidi"/>
      <w:b/>
      <w:bCs/>
      <w:color w:val="1F497D" w:themeColor="text2"/>
      <w:kern w:val="24"/>
      <w:sz w:val="24"/>
      <w:szCs w:val="24"/>
    </w:rPr>
  </w:style>
  <w:style w:type="character" w:customStyle="1" w:styleId="Heading3Char">
    <w:name w:val="Heading 3 Char"/>
    <w:basedOn w:val="DefaultParagraphFont"/>
    <w:link w:val="Heading3"/>
    <w:uiPriority w:val="9"/>
    <w:rsid w:val="00E109CE"/>
    <w:rPr>
      <w:rFonts w:ascii="Andes" w:eastAsiaTheme="majorEastAsia" w:hAnsi="Andes" w:cs="Arial"/>
      <w:b/>
      <w:bCs/>
      <w:color w:val="4F81BD" w:themeColor="accent1"/>
      <w:kern w:val="24"/>
    </w:rPr>
  </w:style>
  <w:style w:type="character" w:customStyle="1" w:styleId="Heading4Char">
    <w:name w:val="Heading 4 Char"/>
    <w:basedOn w:val="DefaultParagraphFont"/>
    <w:link w:val="Heading4"/>
    <w:uiPriority w:val="9"/>
    <w:rsid w:val="00E109CE"/>
    <w:rPr>
      <w:rFonts w:ascii="Arial" w:eastAsiaTheme="majorEastAsia" w:hAnsi="Arial" w:cs="Arial"/>
      <w:b/>
      <w:bCs/>
      <w:i/>
      <w:color w:val="1F497D" w:themeColor="text2"/>
      <w:kern w:val="24"/>
    </w:rPr>
  </w:style>
  <w:style w:type="character" w:customStyle="1" w:styleId="Heading5Char">
    <w:name w:val="Heading 5 Char"/>
    <w:basedOn w:val="DefaultParagraphFont"/>
    <w:link w:val="Heading5"/>
    <w:uiPriority w:val="9"/>
    <w:rsid w:val="00E109CE"/>
    <w:rPr>
      <w:rFonts w:asciiTheme="majorHAnsi" w:eastAsiaTheme="majorEastAsia" w:hAnsiTheme="majorHAnsi" w:cstheme="majorBidi"/>
      <w:b/>
      <w:bCs/>
      <w:i/>
      <w:color w:val="1F497D" w:themeColor="text2"/>
      <w:kern w:val="24"/>
      <w:lang w:eastAsia="ja-JP"/>
    </w:rPr>
  </w:style>
  <w:style w:type="character" w:customStyle="1" w:styleId="Heading6Char">
    <w:name w:val="Heading 6 Char"/>
    <w:basedOn w:val="DefaultParagraphFont"/>
    <w:link w:val="Heading6"/>
    <w:rsid w:val="00E109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109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109C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rsid w:val="00E109CE"/>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nhideWhenUsed/>
    <w:rsid w:val="001535A5"/>
    <w:pPr>
      <w:tabs>
        <w:tab w:val="left" w:pos="720"/>
      </w:tabs>
    </w:pPr>
    <w:rPr>
      <w:szCs w:val="20"/>
    </w:rPr>
  </w:style>
  <w:style w:type="character" w:customStyle="1" w:styleId="EndnoteTextChar">
    <w:name w:val="Endnote Text Char"/>
    <w:basedOn w:val="DefaultParagraphFont"/>
    <w:link w:val="EndnoteText"/>
    <w:rsid w:val="001535A5"/>
    <w:rPr>
      <w:rFonts w:ascii="Arial" w:hAnsi="Arial" w:cs="Calibri"/>
      <w:kern w:val="24"/>
      <w:sz w:val="20"/>
      <w:szCs w:val="20"/>
    </w:rPr>
  </w:style>
  <w:style w:type="paragraph" w:customStyle="1" w:styleId="Bodytext">
    <w:name w:val="Bodytext"/>
    <w:basedOn w:val="Normal"/>
    <w:link w:val="BodytextChar"/>
    <w:uiPriority w:val="99"/>
    <w:rsid w:val="001535A5"/>
  </w:style>
  <w:style w:type="paragraph" w:styleId="Caption">
    <w:name w:val="caption"/>
    <w:basedOn w:val="Normal"/>
    <w:next w:val="Normal"/>
    <w:link w:val="CaptionChar"/>
    <w:uiPriority w:val="99"/>
    <w:unhideWhenUsed/>
    <w:qFormat/>
    <w:rsid w:val="00382444"/>
    <w:pPr>
      <w:spacing w:before="240"/>
    </w:pPr>
    <w:rPr>
      <w:rFonts w:ascii="Arial" w:hAnsi="Arial"/>
      <w:b/>
      <w:bCs/>
      <w:szCs w:val="18"/>
      <w:lang w:eastAsia="ja-JP"/>
    </w:rPr>
  </w:style>
  <w:style w:type="character" w:customStyle="1" w:styleId="CaptionChar">
    <w:name w:val="Caption Char"/>
    <w:link w:val="Caption"/>
    <w:uiPriority w:val="99"/>
    <w:locked/>
    <w:rsid w:val="00382444"/>
    <w:rPr>
      <w:rFonts w:ascii="Arial" w:eastAsia="MS Mincho" w:hAnsi="Arial" w:cs="Calibri"/>
      <w:b/>
      <w:bCs/>
      <w:szCs w:val="18"/>
      <w:lang w:eastAsia="ja-JP"/>
    </w:rPr>
  </w:style>
  <w:style w:type="paragraph" w:styleId="Title">
    <w:name w:val="Title"/>
    <w:basedOn w:val="Normal"/>
    <w:next w:val="Normal"/>
    <w:link w:val="TitleChar"/>
    <w:qFormat/>
    <w:rsid w:val="00E109CE"/>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E109CE"/>
    <w:rPr>
      <w:rFonts w:ascii="Andes" w:eastAsiaTheme="majorEastAsia" w:hAnsi="Andes"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109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09C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E109CE"/>
    <w:rPr>
      <w:b/>
      <w:bCs/>
    </w:rPr>
  </w:style>
  <w:style w:type="character" w:styleId="Emphasis">
    <w:name w:val="Emphasis"/>
    <w:basedOn w:val="DefaultParagraphFont"/>
    <w:qFormat/>
    <w:rsid w:val="00E109CE"/>
    <w:rPr>
      <w:i/>
      <w:iCs/>
    </w:rPr>
  </w:style>
  <w:style w:type="paragraph" w:styleId="NoSpacing">
    <w:name w:val="No Spacing"/>
    <w:aliases w:val="Subtitle 1"/>
    <w:basedOn w:val="Heading3"/>
    <w:link w:val="NoSpacingChar"/>
    <w:uiPriority w:val="1"/>
    <w:qFormat/>
    <w:rsid w:val="00E109CE"/>
    <w:pPr>
      <w:ind w:left="-720"/>
      <w:jc w:val="center"/>
    </w:pPr>
    <w:rPr>
      <w:rFonts w:cstheme="majorBidi"/>
      <w:color w:val="1F497D" w:themeColor="text2"/>
      <w:kern w:val="0"/>
      <w:sz w:val="28"/>
      <w:szCs w:val="28"/>
    </w:rPr>
  </w:style>
  <w:style w:type="paragraph" w:styleId="ListParagraph">
    <w:name w:val="List Paragraph"/>
    <w:aliases w:val="Bullet Paragraph"/>
    <w:basedOn w:val="Normal"/>
    <w:link w:val="ListParagraphChar"/>
    <w:uiPriority w:val="34"/>
    <w:qFormat/>
    <w:rsid w:val="00E109CE"/>
    <w:pPr>
      <w:numPr>
        <w:numId w:val="37"/>
      </w:numPr>
      <w:ind w:left="720"/>
    </w:pPr>
    <w:rPr>
      <w:rFonts w:eastAsiaTheme="minorHAnsi"/>
      <w:kern w:val="24"/>
    </w:rPr>
  </w:style>
  <w:style w:type="character" w:customStyle="1" w:styleId="NoSpacingChar">
    <w:name w:val="No Spacing Char"/>
    <w:aliases w:val="Subtitle 1 Char"/>
    <w:basedOn w:val="DefaultParagraphFont"/>
    <w:link w:val="NoSpacing"/>
    <w:uiPriority w:val="1"/>
    <w:rsid w:val="00E109CE"/>
    <w:rPr>
      <w:rFonts w:ascii="Andes" w:eastAsiaTheme="majorEastAsia" w:hAnsi="Andes" w:cstheme="majorBidi"/>
      <w:b/>
      <w:bCs/>
      <w:color w:val="1F497D" w:themeColor="text2"/>
      <w:sz w:val="28"/>
      <w:szCs w:val="28"/>
    </w:rPr>
  </w:style>
  <w:style w:type="paragraph" w:styleId="Quote">
    <w:name w:val="Quote"/>
    <w:basedOn w:val="Normal"/>
    <w:next w:val="Normal"/>
    <w:link w:val="QuoteChar"/>
    <w:uiPriority w:val="29"/>
    <w:qFormat/>
    <w:rsid w:val="00E109CE"/>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E109CE"/>
    <w:rPr>
      <w:i/>
      <w:iCs/>
      <w:color w:val="000000" w:themeColor="text1"/>
    </w:rPr>
  </w:style>
  <w:style w:type="paragraph" w:styleId="IntenseQuote">
    <w:name w:val="Intense Quote"/>
    <w:basedOn w:val="Normal"/>
    <w:next w:val="Normal"/>
    <w:link w:val="IntenseQuoteChar"/>
    <w:uiPriority w:val="30"/>
    <w:qFormat/>
    <w:rsid w:val="00E109CE"/>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E109CE"/>
    <w:rPr>
      <w:b/>
      <w:bCs/>
      <w:i/>
      <w:iCs/>
      <w:color w:val="4F81BD" w:themeColor="accent1"/>
    </w:rPr>
  </w:style>
  <w:style w:type="character" w:styleId="SubtleEmphasis">
    <w:name w:val="Subtle Emphasis"/>
    <w:basedOn w:val="DefaultParagraphFont"/>
    <w:uiPriority w:val="19"/>
    <w:qFormat/>
    <w:rsid w:val="00E109CE"/>
    <w:rPr>
      <w:i/>
      <w:iCs/>
      <w:color w:val="808080" w:themeColor="text1" w:themeTint="7F"/>
    </w:rPr>
  </w:style>
  <w:style w:type="character" w:styleId="IntenseEmphasis">
    <w:name w:val="Intense Emphasis"/>
    <w:basedOn w:val="DefaultParagraphFont"/>
    <w:uiPriority w:val="21"/>
    <w:qFormat/>
    <w:rsid w:val="00E109CE"/>
    <w:rPr>
      <w:b/>
      <w:bCs/>
      <w:i/>
      <w:iCs/>
      <w:color w:val="4F81BD" w:themeColor="accent1"/>
    </w:rPr>
  </w:style>
  <w:style w:type="character" w:styleId="SubtleReference">
    <w:name w:val="Subtle Reference"/>
    <w:basedOn w:val="DefaultParagraphFont"/>
    <w:uiPriority w:val="31"/>
    <w:qFormat/>
    <w:rsid w:val="00E109CE"/>
    <w:rPr>
      <w:smallCaps/>
      <w:color w:val="C0504D" w:themeColor="accent2"/>
      <w:u w:val="single"/>
    </w:rPr>
  </w:style>
  <w:style w:type="character" w:styleId="IntenseReference">
    <w:name w:val="Intense Reference"/>
    <w:basedOn w:val="DefaultParagraphFont"/>
    <w:uiPriority w:val="32"/>
    <w:qFormat/>
    <w:rsid w:val="00E109CE"/>
    <w:rPr>
      <w:b/>
      <w:bCs/>
      <w:smallCaps/>
      <w:color w:val="C0504D" w:themeColor="accent2"/>
      <w:spacing w:val="5"/>
      <w:u w:val="single"/>
    </w:rPr>
  </w:style>
  <w:style w:type="character" w:styleId="BookTitle">
    <w:name w:val="Book Title"/>
    <w:basedOn w:val="DefaultParagraphFont"/>
    <w:uiPriority w:val="33"/>
    <w:qFormat/>
    <w:rsid w:val="00E109CE"/>
    <w:rPr>
      <w:b/>
      <w:bCs/>
      <w:smallCaps/>
      <w:spacing w:val="5"/>
    </w:rPr>
  </w:style>
  <w:style w:type="paragraph" w:styleId="TOCHeading">
    <w:name w:val="TOC Heading"/>
    <w:basedOn w:val="Heading1"/>
    <w:next w:val="Normal"/>
    <w:unhideWhenUsed/>
    <w:qFormat/>
    <w:rsid w:val="00E109CE"/>
    <w:pPr>
      <w:outlineLvl w:val="9"/>
    </w:pPr>
    <w:rPr>
      <w:kern w:val="0"/>
    </w:rPr>
  </w:style>
  <w:style w:type="paragraph" w:customStyle="1" w:styleId="2">
    <w:name w:val="リスト段落2"/>
    <w:basedOn w:val="Normal"/>
    <w:rsid w:val="001535A5"/>
    <w:pPr>
      <w:ind w:left="720"/>
      <w:contextualSpacing/>
    </w:pPr>
    <w:rPr>
      <w:rFonts w:cs="Times New Roman"/>
    </w:rPr>
  </w:style>
  <w:style w:type="table" w:styleId="LightGrid">
    <w:name w:val="Light Grid"/>
    <w:basedOn w:val="TableNormal"/>
    <w:uiPriority w:val="62"/>
    <w:rsid w:val="007D7CBC"/>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olorfulList-Accent12">
    <w:name w:val="Colorful List - Accent 12"/>
    <w:basedOn w:val="Normal"/>
    <w:uiPriority w:val="34"/>
    <w:rsid w:val="00680251"/>
    <w:pPr>
      <w:spacing w:after="200" w:line="276" w:lineRule="auto"/>
      <w:ind w:left="720"/>
      <w:contextualSpacing/>
    </w:pPr>
    <w:rPr>
      <w:rFonts w:eastAsia="Calibri" w:cs="Times New Roman"/>
    </w:rPr>
  </w:style>
  <w:style w:type="paragraph" w:customStyle="1" w:styleId="Source">
    <w:name w:val="Source"/>
    <w:basedOn w:val="BodyText0"/>
    <w:qFormat/>
    <w:rsid w:val="00E109CE"/>
    <w:pPr>
      <w:spacing w:after="0"/>
    </w:pPr>
    <w:rPr>
      <w:rFonts w:cstheme="minorBidi"/>
      <w:sz w:val="20"/>
      <w:szCs w:val="20"/>
      <w:lang w:eastAsia="ja-JP"/>
    </w:rPr>
  </w:style>
  <w:style w:type="paragraph" w:styleId="BodyText0">
    <w:name w:val="Body Text"/>
    <w:basedOn w:val="Normal"/>
    <w:link w:val="BodyTextChar0"/>
    <w:rsid w:val="001535A5"/>
  </w:style>
  <w:style w:type="character" w:customStyle="1" w:styleId="BodyTextChar0">
    <w:name w:val="Body Text Char"/>
    <w:basedOn w:val="DefaultParagraphFont"/>
    <w:link w:val="BodyText0"/>
    <w:rsid w:val="001535A5"/>
    <w:rPr>
      <w:rFonts w:ascii="Arial" w:eastAsia="MS Mincho" w:hAnsi="Arial" w:cs="Calibri"/>
      <w:sz w:val="20"/>
    </w:rPr>
  </w:style>
  <w:style w:type="paragraph" w:customStyle="1" w:styleId="TOCHeading2">
    <w:name w:val="TOC Heading2"/>
    <w:basedOn w:val="Heading1"/>
    <w:next w:val="Normal"/>
    <w:uiPriority w:val="39"/>
    <w:semiHidden/>
    <w:unhideWhenUsed/>
    <w:qFormat/>
    <w:rsid w:val="00E109CE"/>
    <w:pPr>
      <w:spacing w:after="0" w:line="276" w:lineRule="auto"/>
      <w:jc w:val="left"/>
      <w:outlineLvl w:val="9"/>
    </w:pPr>
    <w:rPr>
      <w:rFonts w:ascii="Cambria" w:eastAsia="MS Gothic" w:hAnsi="Cambria"/>
      <w:color w:val="365F91"/>
      <w:kern w:val="0"/>
      <w:lang w:eastAsia="ja-JP"/>
    </w:rPr>
  </w:style>
  <w:style w:type="paragraph" w:customStyle="1" w:styleId="ParaNumberPinar">
    <w:name w:val="Para. Number Pinar"/>
    <w:basedOn w:val="Normal"/>
    <w:rsid w:val="001535A5"/>
    <w:pPr>
      <w:numPr>
        <w:numId w:val="29"/>
      </w:numPr>
      <w:spacing w:before="120"/>
      <w:outlineLvl w:val="1"/>
    </w:pPr>
    <w:rPr>
      <w:rFonts w:ascii="Garamond" w:eastAsia="Times New Roman" w:hAnsi="Garamond" w:cs="Times New Roman"/>
      <w:sz w:val="24"/>
      <w:szCs w:val="24"/>
      <w:lang w:bidi="en-US"/>
    </w:rPr>
  </w:style>
  <w:style w:type="paragraph" w:customStyle="1" w:styleId="Footnote">
    <w:name w:val="Footnote"/>
    <w:basedOn w:val="Normal"/>
    <w:link w:val="FootnoteChar"/>
    <w:qFormat/>
    <w:rsid w:val="00BC7C6C"/>
    <w:pPr>
      <w:spacing w:after="0"/>
    </w:pPr>
    <w:rPr>
      <w:rFonts w:ascii="Arial" w:eastAsiaTheme="minorHAnsi" w:hAnsi="Arial" w:cs="Arial"/>
      <w:sz w:val="18"/>
      <w:szCs w:val="18"/>
      <w:lang w:eastAsia="ja-JP"/>
    </w:rPr>
  </w:style>
  <w:style w:type="character" w:customStyle="1" w:styleId="FootnoteChar">
    <w:name w:val="Footnote Char"/>
    <w:basedOn w:val="DefaultParagraphFont"/>
    <w:link w:val="Footnote"/>
    <w:rsid w:val="00BC7C6C"/>
    <w:rPr>
      <w:rFonts w:ascii="Arial" w:hAnsi="Arial" w:cs="Arial"/>
      <w:sz w:val="18"/>
      <w:szCs w:val="18"/>
      <w:lang w:eastAsia="ja-JP"/>
    </w:rPr>
  </w:style>
  <w:style w:type="character" w:customStyle="1" w:styleId="ListParagraphChar">
    <w:name w:val="List Paragraph Char"/>
    <w:aliases w:val="Bullet Paragraph Char"/>
    <w:link w:val="ListParagraph"/>
    <w:uiPriority w:val="34"/>
    <w:locked/>
    <w:rsid w:val="00E109CE"/>
    <w:rPr>
      <w:rFonts w:ascii="Andes" w:hAnsi="Andes" w:cs="Calibri"/>
      <w:kern w:val="24"/>
    </w:rPr>
  </w:style>
  <w:style w:type="character" w:customStyle="1" w:styleId="FootnoteTextChar1">
    <w:name w:val="Footnote Text Char1"/>
    <w:aliases w:val="FOOTNOTES Char1,fn Char1,single space Char1,ft Char1,footnote text Char Char1,footnote text Char Char Char Char Char Char1,footnote text Char Char Char Char Char2,footnote text Char1,FOOTNOTES Char,ft Char,Footnote Text Char2 Char"/>
    <w:basedOn w:val="DefaultParagraphFont"/>
    <w:rsid w:val="001535A5"/>
    <w:rPr>
      <w:rFonts w:ascii="Calibri" w:hAnsi="Calibri" w:cs="Calibri"/>
      <w:kern w:val="24"/>
      <w:sz w:val="20"/>
      <w:szCs w:val="20"/>
    </w:rPr>
  </w:style>
  <w:style w:type="paragraph" w:customStyle="1" w:styleId="NoSpacing1">
    <w:name w:val="No Spacing1"/>
    <w:basedOn w:val="Normal"/>
    <w:rsid w:val="001535A5"/>
    <w:rPr>
      <w:rFonts w:cs="Times New Roman"/>
      <w:szCs w:val="20"/>
    </w:rPr>
  </w:style>
  <w:style w:type="paragraph" w:customStyle="1" w:styleId="ColorfulList-Accent11">
    <w:name w:val="Colorful List - Accent 11"/>
    <w:basedOn w:val="Normal"/>
    <w:link w:val="ColorfulList-Accent1Char"/>
    <w:rsid w:val="001535A5"/>
    <w:pPr>
      <w:numPr>
        <w:numId w:val="30"/>
      </w:numPr>
    </w:pPr>
    <w:rPr>
      <w:rFonts w:cs="Times New Roman"/>
      <w:szCs w:val="20"/>
      <w:lang w:eastAsia="ja-JP"/>
    </w:rPr>
  </w:style>
  <w:style w:type="character" w:customStyle="1" w:styleId="ColorfulList-Accent1Char">
    <w:name w:val="Colorful List - Accent 1 Char"/>
    <w:link w:val="ColorfulList-Accent11"/>
    <w:locked/>
    <w:rsid w:val="001535A5"/>
    <w:rPr>
      <w:rFonts w:ascii="Arial" w:eastAsia="MS Mincho" w:hAnsi="Arial" w:cs="Times New Roman"/>
      <w:sz w:val="20"/>
      <w:szCs w:val="20"/>
      <w:lang w:eastAsia="ja-JP"/>
    </w:rPr>
  </w:style>
  <w:style w:type="paragraph" w:customStyle="1" w:styleId="ColorfulGrid-Accent11">
    <w:name w:val="Colorful Grid - Accent 11"/>
    <w:basedOn w:val="Normal"/>
    <w:next w:val="Normal"/>
    <w:link w:val="ColorfulGrid-Accent1Char"/>
    <w:rsid w:val="001535A5"/>
    <w:rPr>
      <w:rFonts w:ascii="Cambria" w:eastAsia="MS Gothic" w:hAnsi="Cambria" w:cs="Times New Roman"/>
      <w:i/>
      <w:color w:val="5A5A5A"/>
      <w:szCs w:val="20"/>
    </w:rPr>
  </w:style>
  <w:style w:type="character" w:customStyle="1" w:styleId="ColorfulGrid-Accent1Char">
    <w:name w:val="Colorful Grid - Accent 1 Char"/>
    <w:link w:val="ColorfulGrid-Accent11"/>
    <w:locked/>
    <w:rsid w:val="001535A5"/>
    <w:rPr>
      <w:rFonts w:ascii="Cambria" w:eastAsia="MS Gothic" w:hAnsi="Cambria" w:cs="Times New Roman"/>
      <w:i/>
      <w:color w:val="5A5A5A"/>
      <w:sz w:val="20"/>
      <w:szCs w:val="20"/>
    </w:rPr>
  </w:style>
  <w:style w:type="character" w:customStyle="1" w:styleId="SubtleEmphasis1">
    <w:name w:val="Subtle Emphasis1"/>
    <w:rsid w:val="001535A5"/>
    <w:rPr>
      <w:i/>
      <w:color w:val="5A5A5A"/>
    </w:rPr>
  </w:style>
  <w:style w:type="character" w:customStyle="1" w:styleId="IntenseEmphasis1">
    <w:name w:val="Intense Emphasis1"/>
    <w:rsid w:val="001535A5"/>
    <w:rPr>
      <w:rFonts w:ascii="Cambria" w:hAnsi="Cambria"/>
      <w:b/>
      <w:i/>
      <w:color w:val="365F91"/>
      <w:sz w:val="24"/>
    </w:rPr>
  </w:style>
  <w:style w:type="character" w:customStyle="1" w:styleId="SubtleReference1">
    <w:name w:val="Subtle Reference1"/>
    <w:rsid w:val="001535A5"/>
    <w:rPr>
      <w:color w:val="auto"/>
      <w:u w:val="single" w:color="9BBB59"/>
    </w:rPr>
  </w:style>
  <w:style w:type="character" w:customStyle="1" w:styleId="IntenseReference1">
    <w:name w:val="Intense Reference1"/>
    <w:rsid w:val="001535A5"/>
    <w:rPr>
      <w:b/>
      <w:color w:val="76923C"/>
      <w:u w:val="single" w:color="9BBB59"/>
    </w:rPr>
  </w:style>
  <w:style w:type="character" w:customStyle="1" w:styleId="BookTitle1">
    <w:name w:val="Book Title1"/>
    <w:rsid w:val="001535A5"/>
    <w:rPr>
      <w:rFonts w:ascii="Cambria" w:eastAsia="MS Gothic" w:hAnsi="Cambria"/>
      <w:b/>
      <w:i/>
      <w:color w:val="auto"/>
    </w:rPr>
  </w:style>
  <w:style w:type="paragraph" w:customStyle="1" w:styleId="TOCHeading1">
    <w:name w:val="TOC Heading1"/>
    <w:basedOn w:val="Heading1"/>
    <w:next w:val="Normal"/>
    <w:rsid w:val="001535A5"/>
    <w:pPr>
      <w:spacing w:after="0"/>
      <w:jc w:val="left"/>
      <w:outlineLvl w:val="9"/>
    </w:pPr>
    <w:rPr>
      <w:rFonts w:ascii="Cambria" w:eastAsia="MS Gothic" w:hAnsi="Cambria" w:cs="Times New Roman"/>
      <w:bCs w:val="0"/>
      <w:color w:val="365F91"/>
      <w:kern w:val="0"/>
      <w:szCs w:val="20"/>
      <w:lang w:val="fr-FR"/>
    </w:rPr>
  </w:style>
  <w:style w:type="paragraph" w:customStyle="1" w:styleId="ListParagraph1">
    <w:name w:val="List Paragraph1"/>
    <w:basedOn w:val="Normal"/>
    <w:rsid w:val="001535A5"/>
    <w:pPr>
      <w:ind w:left="720"/>
      <w:contextualSpacing/>
    </w:pPr>
    <w:rPr>
      <w:rFonts w:cs="Times New Roman"/>
    </w:rPr>
  </w:style>
  <w:style w:type="paragraph" w:customStyle="1" w:styleId="11">
    <w:name w:val="リスト段落11"/>
    <w:basedOn w:val="Normal"/>
    <w:rsid w:val="001535A5"/>
    <w:pPr>
      <w:ind w:left="1080" w:hanging="360"/>
    </w:pPr>
    <w:rPr>
      <w:rFonts w:cs="Times New Roman"/>
      <w:szCs w:val="20"/>
      <w:lang w:eastAsia="ja-JP"/>
    </w:rPr>
  </w:style>
  <w:style w:type="table" w:customStyle="1" w:styleId="LightShading1">
    <w:name w:val="Light Shading1"/>
    <w:basedOn w:val="TableNormal"/>
    <w:uiPriority w:val="60"/>
    <w:rsid w:val="001535A5"/>
    <w:pPr>
      <w:spacing w:after="0"/>
    </w:pPr>
    <w:rPr>
      <w:rFonts w:ascii="Calibri" w:eastAsia="MS Mincho"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ullet">
    <w:name w:val="Bullet"/>
    <w:basedOn w:val="BodyText0"/>
    <w:rsid w:val="001535A5"/>
    <w:pPr>
      <w:numPr>
        <w:numId w:val="32"/>
      </w:numPr>
      <w:contextualSpacing/>
    </w:pPr>
    <w:rPr>
      <w:rFonts w:cs="Times New Roman"/>
    </w:rPr>
  </w:style>
  <w:style w:type="paragraph" w:customStyle="1" w:styleId="1">
    <w:name w:val="目次の見出し1"/>
    <w:basedOn w:val="Heading1"/>
    <w:next w:val="Normal"/>
    <w:rsid w:val="001535A5"/>
    <w:pPr>
      <w:spacing w:after="0"/>
      <w:jc w:val="left"/>
      <w:outlineLvl w:val="9"/>
    </w:pPr>
    <w:rPr>
      <w:rFonts w:ascii="Cambria" w:eastAsia="MS Gothic" w:hAnsi="Cambria" w:cs="Times New Roman"/>
      <w:bCs w:val="0"/>
      <w:color w:val="365F91"/>
      <w:kern w:val="0"/>
      <w:szCs w:val="20"/>
      <w:lang w:val="fr-FR" w:eastAsia="ja-JP"/>
    </w:rPr>
  </w:style>
  <w:style w:type="paragraph" w:customStyle="1" w:styleId="10">
    <w:name w:val="行間詰め1"/>
    <w:rsid w:val="001535A5"/>
    <w:pPr>
      <w:spacing w:after="0"/>
    </w:pPr>
    <w:rPr>
      <w:rFonts w:ascii="Calibri" w:eastAsia="MS Mincho" w:hAnsi="Calibri" w:cs="Times New Roman"/>
    </w:rPr>
  </w:style>
  <w:style w:type="numbering" w:customStyle="1" w:styleId="StyleOutlinenumbered">
    <w:name w:val="Style Outline numbered"/>
    <w:rsid w:val="001535A5"/>
    <w:pPr>
      <w:numPr>
        <w:numId w:val="18"/>
      </w:numPr>
    </w:pPr>
  </w:style>
  <w:style w:type="paragraph" w:customStyle="1" w:styleId="Pa2">
    <w:name w:val="Pa2"/>
    <w:basedOn w:val="Normal"/>
    <w:next w:val="Normal"/>
    <w:uiPriority w:val="99"/>
    <w:rsid w:val="001535A5"/>
    <w:pPr>
      <w:autoSpaceDE w:val="0"/>
      <w:autoSpaceDN w:val="0"/>
      <w:adjustRightInd w:val="0"/>
      <w:spacing w:after="0" w:line="241" w:lineRule="atLeast"/>
    </w:pPr>
    <w:rPr>
      <w:rFonts w:ascii="Optima LT Std" w:hAnsi="Optima LT Std" w:cs="Times New Roman"/>
      <w:sz w:val="24"/>
      <w:szCs w:val="24"/>
    </w:rPr>
  </w:style>
  <w:style w:type="character" w:customStyle="1" w:styleId="ja50-ce-author">
    <w:name w:val="ja50-ce-author"/>
    <w:rsid w:val="001535A5"/>
  </w:style>
  <w:style w:type="character" w:customStyle="1" w:styleId="apple-converted-space">
    <w:name w:val="apple-converted-space"/>
    <w:rsid w:val="001535A5"/>
  </w:style>
  <w:style w:type="character" w:customStyle="1" w:styleId="ja50-ce-sup">
    <w:name w:val="ja50-ce-sup"/>
    <w:rsid w:val="001535A5"/>
  </w:style>
  <w:style w:type="character" w:customStyle="1" w:styleId="hps">
    <w:name w:val="hps"/>
    <w:rsid w:val="001535A5"/>
  </w:style>
  <w:style w:type="paragraph" w:customStyle="1" w:styleId="Fig">
    <w:name w:val="Fig"/>
    <w:basedOn w:val="BodyText0"/>
    <w:rsid w:val="001535A5"/>
    <w:pPr>
      <w:keepNext/>
      <w:spacing w:before="120"/>
    </w:pPr>
    <w:rPr>
      <w:rFonts w:cs="Times New Roman"/>
      <w:b/>
    </w:rPr>
  </w:style>
  <w:style w:type="character" w:customStyle="1" w:styleId="shorttext">
    <w:name w:val="short_text"/>
    <w:rsid w:val="001535A5"/>
  </w:style>
  <w:style w:type="character" w:customStyle="1" w:styleId="st">
    <w:name w:val="st"/>
    <w:basedOn w:val="DefaultParagraphFont"/>
    <w:rsid w:val="001535A5"/>
  </w:style>
  <w:style w:type="paragraph" w:customStyle="1" w:styleId="Refs">
    <w:name w:val="Refs"/>
    <w:basedOn w:val="BodyText0"/>
    <w:rsid w:val="001535A5"/>
    <w:pPr>
      <w:ind w:left="720" w:hanging="720"/>
    </w:pPr>
    <w:rPr>
      <w:rFonts w:cs="Times New Roman"/>
      <w:lang w:val="en-GB"/>
    </w:rPr>
  </w:style>
  <w:style w:type="paragraph" w:customStyle="1" w:styleId="Figure">
    <w:name w:val="Figure"/>
    <w:basedOn w:val="Normal"/>
    <w:rsid w:val="001535A5"/>
    <w:pPr>
      <w:keepNext/>
      <w:spacing w:before="240" w:line="252" w:lineRule="auto"/>
    </w:pPr>
    <w:rPr>
      <w:rFonts w:cs="Times New Roman"/>
      <w:b/>
    </w:rPr>
  </w:style>
  <w:style w:type="paragraph" w:customStyle="1" w:styleId="Table">
    <w:name w:val="Table"/>
    <w:basedOn w:val="Figure"/>
    <w:rsid w:val="001535A5"/>
    <w:rPr>
      <w:rFonts w:asciiTheme="minorHAnsi" w:hAnsiTheme="minorHAnsi"/>
    </w:rPr>
  </w:style>
  <w:style w:type="paragraph" w:customStyle="1" w:styleId="Boxtitle">
    <w:name w:val="Box title"/>
    <w:basedOn w:val="Figure"/>
    <w:rsid w:val="001535A5"/>
    <w:rPr>
      <w:rFonts w:asciiTheme="minorHAnsi" w:hAnsiTheme="minorHAnsi"/>
    </w:rPr>
  </w:style>
  <w:style w:type="character" w:customStyle="1" w:styleId="googqs-tidbit">
    <w:name w:val="goog_qs-tidbit"/>
    <w:rsid w:val="001535A5"/>
  </w:style>
  <w:style w:type="paragraph" w:styleId="TOC1">
    <w:name w:val="toc 1"/>
    <w:basedOn w:val="Normal"/>
    <w:next w:val="Normal"/>
    <w:autoRedefine/>
    <w:uiPriority w:val="39"/>
    <w:unhideWhenUsed/>
    <w:rsid w:val="001535A5"/>
    <w:pPr>
      <w:spacing w:before="120" w:after="100" w:line="252" w:lineRule="auto"/>
    </w:pPr>
    <w:rPr>
      <w:rFonts w:cs="Times New Roman"/>
    </w:rPr>
  </w:style>
  <w:style w:type="paragraph" w:styleId="TOC2">
    <w:name w:val="toc 2"/>
    <w:basedOn w:val="Normal"/>
    <w:next w:val="Normal"/>
    <w:autoRedefine/>
    <w:uiPriority w:val="39"/>
    <w:rsid w:val="001535A5"/>
    <w:pPr>
      <w:ind w:left="220"/>
    </w:pPr>
    <w:rPr>
      <w:rFonts w:cs="Times New Roman"/>
    </w:rPr>
  </w:style>
  <w:style w:type="paragraph" w:styleId="TOC3">
    <w:name w:val="toc 3"/>
    <w:basedOn w:val="Normal"/>
    <w:next w:val="Normal"/>
    <w:autoRedefine/>
    <w:uiPriority w:val="39"/>
    <w:unhideWhenUsed/>
    <w:rsid w:val="001535A5"/>
    <w:pPr>
      <w:spacing w:before="120" w:after="100" w:line="252" w:lineRule="auto"/>
      <w:ind w:left="440"/>
    </w:pPr>
    <w:rPr>
      <w:rFonts w:cs="Times New Roman"/>
    </w:rPr>
  </w:style>
  <w:style w:type="paragraph" w:styleId="CommentText">
    <w:name w:val="annotation text"/>
    <w:basedOn w:val="Normal"/>
    <w:link w:val="CommentTextChar"/>
    <w:unhideWhenUsed/>
    <w:rsid w:val="001535A5"/>
    <w:rPr>
      <w:szCs w:val="20"/>
    </w:rPr>
  </w:style>
  <w:style w:type="character" w:customStyle="1" w:styleId="CommentTextChar">
    <w:name w:val="Comment Text Char"/>
    <w:basedOn w:val="DefaultParagraphFont"/>
    <w:link w:val="CommentText"/>
    <w:rsid w:val="001535A5"/>
    <w:rPr>
      <w:rFonts w:ascii="Arial" w:hAnsi="Arial" w:cs="Calibri"/>
      <w:kern w:val="24"/>
      <w:sz w:val="20"/>
      <w:szCs w:val="20"/>
    </w:rPr>
  </w:style>
  <w:style w:type="paragraph" w:styleId="Header">
    <w:name w:val="header"/>
    <w:basedOn w:val="Normal"/>
    <w:link w:val="HeaderChar"/>
    <w:rsid w:val="001535A5"/>
    <w:pPr>
      <w:tabs>
        <w:tab w:val="center" w:pos="4252"/>
        <w:tab w:val="right" w:pos="8504"/>
      </w:tabs>
      <w:snapToGrid w:val="0"/>
    </w:pPr>
    <w:rPr>
      <w:rFonts w:cs="Times New Roman"/>
    </w:rPr>
  </w:style>
  <w:style w:type="character" w:customStyle="1" w:styleId="HeaderChar">
    <w:name w:val="Header Char"/>
    <w:basedOn w:val="DefaultParagraphFont"/>
    <w:link w:val="Header"/>
    <w:rsid w:val="001535A5"/>
    <w:rPr>
      <w:rFonts w:ascii="Arial" w:eastAsia="MS Mincho" w:hAnsi="Arial" w:cs="Times New Roman"/>
      <w:sz w:val="20"/>
    </w:rPr>
  </w:style>
  <w:style w:type="paragraph" w:styleId="Footer">
    <w:name w:val="footer"/>
    <w:basedOn w:val="Normal"/>
    <w:link w:val="FooterChar"/>
    <w:uiPriority w:val="99"/>
    <w:rsid w:val="001535A5"/>
    <w:pPr>
      <w:tabs>
        <w:tab w:val="center" w:pos="4252"/>
        <w:tab w:val="right" w:pos="8504"/>
      </w:tabs>
      <w:snapToGrid w:val="0"/>
    </w:pPr>
    <w:rPr>
      <w:rFonts w:cs="Times New Roman"/>
    </w:rPr>
  </w:style>
  <w:style w:type="character" w:customStyle="1" w:styleId="FooterChar">
    <w:name w:val="Footer Char"/>
    <w:basedOn w:val="DefaultParagraphFont"/>
    <w:link w:val="Footer"/>
    <w:uiPriority w:val="99"/>
    <w:rsid w:val="001535A5"/>
    <w:rPr>
      <w:rFonts w:ascii="Arial" w:eastAsia="MS Mincho" w:hAnsi="Arial" w:cs="Times New Roman"/>
      <w:sz w:val="20"/>
    </w:rPr>
  </w:style>
  <w:style w:type="character" w:styleId="FootnoteReference">
    <w:name w:val="footnote reference"/>
    <w:aliases w:val="ftref,Char Char1,16 Point,FO,footnote ref,Fodnotetekst Tegn Char1,Footnote Text Char2 Char Char1,Footnote Text Char2 Char Char Char Char1,BVI fnr,Ref,de nota al pie,Superscript 6 Point,Char Char Char Char Car Char, BVI fnr, Car1,Car1"/>
    <w:link w:val="FNRefeCharChar"/>
    <w:uiPriority w:val="99"/>
    <w:rsid w:val="001535A5"/>
    <w:rPr>
      <w:sz w:val="20"/>
      <w:vertAlign w:val="superscript"/>
    </w:rPr>
  </w:style>
  <w:style w:type="character" w:styleId="CommentReference">
    <w:name w:val="annotation reference"/>
    <w:basedOn w:val="DefaultParagraphFont"/>
    <w:unhideWhenUsed/>
    <w:rsid w:val="001535A5"/>
    <w:rPr>
      <w:sz w:val="16"/>
      <w:szCs w:val="16"/>
    </w:rPr>
  </w:style>
  <w:style w:type="character" w:styleId="PageNumber">
    <w:name w:val="page number"/>
    <w:basedOn w:val="DefaultParagraphFont"/>
    <w:uiPriority w:val="99"/>
    <w:rsid w:val="001535A5"/>
  </w:style>
  <w:style w:type="character" w:styleId="EndnoteReference">
    <w:name w:val="endnote reference"/>
    <w:semiHidden/>
    <w:rsid w:val="001535A5"/>
    <w:rPr>
      <w:rFonts w:cs="Times New Roman"/>
      <w:sz w:val="32"/>
      <w:szCs w:val="32"/>
      <w:vertAlign w:val="superscript"/>
    </w:rPr>
  </w:style>
  <w:style w:type="character" w:styleId="Hyperlink">
    <w:name w:val="Hyperlink"/>
    <w:basedOn w:val="DefaultParagraphFont"/>
    <w:rsid w:val="001535A5"/>
    <w:rPr>
      <w:color w:val="0000FF" w:themeColor="hyperlink"/>
      <w:u w:val="single"/>
    </w:rPr>
  </w:style>
  <w:style w:type="character" w:styleId="FollowedHyperlink">
    <w:name w:val="FollowedHyperlink"/>
    <w:rsid w:val="001535A5"/>
    <w:rPr>
      <w:color w:val="800080"/>
      <w:u w:val="single"/>
    </w:rPr>
  </w:style>
  <w:style w:type="paragraph" w:styleId="DocumentMap">
    <w:name w:val="Document Map"/>
    <w:basedOn w:val="Normal"/>
    <w:link w:val="DocumentMapChar"/>
    <w:uiPriority w:val="99"/>
    <w:semiHidden/>
    <w:unhideWhenUsed/>
    <w:rsid w:val="001535A5"/>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535A5"/>
    <w:rPr>
      <w:rFonts w:ascii="Lucida Grande" w:hAnsi="Lucida Grande" w:cs="Lucida Grande"/>
      <w:sz w:val="24"/>
      <w:szCs w:val="24"/>
    </w:rPr>
  </w:style>
  <w:style w:type="paragraph" w:styleId="NormalWeb">
    <w:name w:val="Normal (Web)"/>
    <w:basedOn w:val="Normal"/>
    <w:uiPriority w:val="99"/>
    <w:unhideWhenUsed/>
    <w:rsid w:val="001535A5"/>
    <w:pPr>
      <w:spacing w:before="100" w:beforeAutospacing="1" w:after="100" w:afterAutospacing="1" w:line="252" w:lineRule="auto"/>
    </w:pPr>
    <w:rPr>
      <w:rFonts w:ascii="Times New Roman" w:eastAsiaTheme="minorEastAsia" w:hAnsi="Times New Roman" w:cs="Times New Roman"/>
      <w:sz w:val="24"/>
      <w:szCs w:val="24"/>
    </w:rPr>
  </w:style>
  <w:style w:type="paragraph" w:styleId="HTMLPreformatted">
    <w:name w:val="HTML Preformatted"/>
    <w:basedOn w:val="Normal"/>
    <w:link w:val="HTMLPreformattedChar"/>
    <w:uiPriority w:val="99"/>
    <w:semiHidden/>
    <w:unhideWhenUsed/>
    <w:rsid w:val="00153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52"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1535A5"/>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unhideWhenUsed/>
    <w:rsid w:val="001535A5"/>
    <w:rPr>
      <w:b/>
      <w:bCs/>
    </w:rPr>
  </w:style>
  <w:style w:type="character" w:customStyle="1" w:styleId="CommentSubjectChar">
    <w:name w:val="Comment Subject Char"/>
    <w:basedOn w:val="CommentTextChar"/>
    <w:link w:val="CommentSubject"/>
    <w:uiPriority w:val="99"/>
    <w:rsid w:val="001535A5"/>
    <w:rPr>
      <w:rFonts w:ascii="Arial" w:hAnsi="Arial" w:cs="Calibri"/>
      <w:b/>
      <w:bCs/>
      <w:kern w:val="24"/>
      <w:sz w:val="20"/>
      <w:szCs w:val="20"/>
    </w:rPr>
  </w:style>
  <w:style w:type="table" w:styleId="Table3Deffects3">
    <w:name w:val="Table 3D effects 3"/>
    <w:basedOn w:val="TableNormal"/>
    <w:rsid w:val="001535A5"/>
    <w:rPr>
      <w:rFonts w:ascii="Calibri" w:eastAsia="MS Mincho"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535A5"/>
    <w:rPr>
      <w:rFonts w:ascii="Calibri" w:eastAsia="MS Mincho" w:hAnsi="Calibri"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1535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A5"/>
    <w:rPr>
      <w:rFonts w:ascii="Tahoma" w:hAnsi="Tahoma" w:cs="Tahoma"/>
      <w:kern w:val="24"/>
      <w:sz w:val="16"/>
      <w:szCs w:val="16"/>
    </w:rPr>
  </w:style>
  <w:style w:type="table" w:styleId="TableGrid">
    <w:name w:val="Table Grid"/>
    <w:basedOn w:val="TableNormal"/>
    <w:uiPriority w:val="59"/>
    <w:rsid w:val="001535A5"/>
    <w:pPr>
      <w:spacing w:after="0"/>
    </w:pPr>
    <w:rPr>
      <w:rFonts w:ascii="Calibri" w:eastAsia="MS Mincho"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535A5"/>
    <w:rPr>
      <w:color w:val="808080"/>
    </w:rPr>
  </w:style>
  <w:style w:type="table" w:styleId="LightShading-Accent1">
    <w:name w:val="Light Shading Accent 1"/>
    <w:basedOn w:val="TableNormal"/>
    <w:uiPriority w:val="60"/>
    <w:rsid w:val="00C74A5B"/>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C74A5B"/>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9"/>
    <w:rsid w:val="001535A5"/>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2">
    <w:name w:val="Light Grid Accent 2"/>
    <w:basedOn w:val="TableNormal"/>
    <w:uiPriority w:val="62"/>
    <w:rsid w:val="001535A5"/>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535A5"/>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4">
    <w:name w:val="Light Shading Accent 4"/>
    <w:basedOn w:val="TableNormal"/>
    <w:uiPriority w:val="60"/>
    <w:rsid w:val="001535A5"/>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535A5"/>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5">
    <w:name w:val="Light Shading Accent 5"/>
    <w:basedOn w:val="TableNormal"/>
    <w:uiPriority w:val="60"/>
    <w:rsid w:val="001535A5"/>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1535A5"/>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1535A5"/>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5">
    <w:name w:val="Medium List 2 Accent 5"/>
    <w:basedOn w:val="TableNormal"/>
    <w:uiPriority w:val="66"/>
    <w:rsid w:val="001535A5"/>
    <w:pPr>
      <w:spacing w:after="0"/>
    </w:pPr>
    <w:rPr>
      <w:rFonts w:asciiTheme="majorHAnsi" w:eastAsiaTheme="majorEastAsia" w:hAnsiTheme="majorHAnsi" w:cstheme="majorBidi"/>
      <w:color w:val="000000" w:themeColor="text1"/>
      <w:lang w:val="en-MY"/>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6">
    <w:name w:val="Light Grid Accent 6"/>
    <w:basedOn w:val="TableNormal"/>
    <w:uiPriority w:val="62"/>
    <w:rsid w:val="001535A5"/>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Bibliography">
    <w:name w:val="Bibliography"/>
    <w:basedOn w:val="Normal"/>
    <w:next w:val="Normal"/>
    <w:uiPriority w:val="37"/>
    <w:unhideWhenUsed/>
    <w:rsid w:val="001535A5"/>
    <w:rPr>
      <w:rFonts w:cs="Times New Roman"/>
    </w:rPr>
  </w:style>
  <w:style w:type="character" w:customStyle="1" w:styleId="BodytextChar">
    <w:name w:val="Bodytext Char"/>
    <w:basedOn w:val="DefaultParagraphFont"/>
    <w:link w:val="Bodytext"/>
    <w:uiPriority w:val="99"/>
    <w:locked/>
    <w:rsid w:val="001535A5"/>
    <w:rPr>
      <w:rFonts w:ascii="Arial" w:hAnsi="Arial" w:cs="Calibri"/>
      <w:kern w:val="24"/>
      <w:sz w:val="20"/>
    </w:rPr>
  </w:style>
  <w:style w:type="paragraph" w:customStyle="1" w:styleId="Reference">
    <w:name w:val="Reference"/>
    <w:basedOn w:val="Normal"/>
    <w:link w:val="ReferenceChar"/>
    <w:qFormat/>
    <w:rsid w:val="00E109CE"/>
    <w:pPr>
      <w:ind w:left="720" w:hanging="720"/>
    </w:pPr>
    <w:rPr>
      <w:rFonts w:eastAsiaTheme="minorHAnsi"/>
      <w:noProof/>
      <w:kern w:val="24"/>
    </w:rPr>
  </w:style>
  <w:style w:type="character" w:customStyle="1" w:styleId="ReferenceChar">
    <w:name w:val="Reference Char"/>
    <w:basedOn w:val="DefaultParagraphFont"/>
    <w:link w:val="Reference"/>
    <w:rsid w:val="00E109CE"/>
    <w:rPr>
      <w:rFonts w:ascii="Andes" w:hAnsi="Andes" w:cs="Calibri"/>
      <w:noProof/>
      <w:kern w:val="24"/>
    </w:rPr>
  </w:style>
  <w:style w:type="table" w:customStyle="1" w:styleId="LightShading-Accent11">
    <w:name w:val="Light Shading - Accent 11"/>
    <w:basedOn w:val="TableNormal"/>
    <w:uiPriority w:val="60"/>
    <w:rsid w:val="001535A5"/>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1535A5"/>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NRefeCharChar">
    <w:name w:val="FNRefe Char Char"/>
    <w:aliases w:val="BVI fnr Char Char, BVI fnr Char Char Char, BVI fnr Car Car Char Char Char,BVI fnr Car Char Char Char, BVI fnr Car Car Car Car Char Char Char Char Char"/>
    <w:basedOn w:val="Normal"/>
    <w:link w:val="FootnoteReference"/>
    <w:uiPriority w:val="99"/>
    <w:rsid w:val="001535A5"/>
    <w:pPr>
      <w:spacing w:after="160" w:line="240" w:lineRule="exact"/>
    </w:pPr>
    <w:rPr>
      <w:rFonts w:asciiTheme="minorHAnsi" w:hAnsiTheme="minorHAnsi" w:cstheme="minorBidi"/>
      <w:vertAlign w:val="superscript"/>
    </w:rPr>
  </w:style>
  <w:style w:type="paragraph" w:customStyle="1" w:styleId="BookTitle2">
    <w:name w:val="Book Title 2"/>
    <w:basedOn w:val="Normal"/>
    <w:rsid w:val="00680251"/>
    <w:pPr>
      <w:jc w:val="center"/>
    </w:pPr>
    <w:rPr>
      <w:sz w:val="32"/>
      <w:szCs w:val="32"/>
    </w:rPr>
  </w:style>
  <w:style w:type="paragraph" w:customStyle="1" w:styleId="Subtitle2">
    <w:name w:val="Subtitle 2"/>
    <w:basedOn w:val="Normal"/>
    <w:link w:val="Subtitle2Char"/>
    <w:qFormat/>
    <w:rsid w:val="00AB2DEF"/>
    <w:pPr>
      <w:jc w:val="center"/>
    </w:pPr>
    <w:rPr>
      <w:b/>
      <w:color w:val="1F497D" w:themeColor="text2"/>
      <w:sz w:val="28"/>
      <w:szCs w:val="28"/>
    </w:rPr>
  </w:style>
  <w:style w:type="character" w:customStyle="1" w:styleId="Subtitle2Char">
    <w:name w:val="Subtitle 2 Char"/>
    <w:basedOn w:val="DefaultParagraphFont"/>
    <w:link w:val="Subtitle2"/>
    <w:rsid w:val="00AB2DEF"/>
    <w:rPr>
      <w:rFonts w:ascii="Andes" w:eastAsia="MS Mincho" w:hAnsi="Andes" w:cs="Calibri"/>
      <w:b/>
      <w:color w:val="1F497D" w:themeColor="text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3D effects 3"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rsid w:val="00E109CE"/>
    <w:rPr>
      <w:rFonts w:ascii="Andes" w:eastAsia="MS Mincho" w:hAnsi="Andes" w:cs="Calibri"/>
    </w:rPr>
  </w:style>
  <w:style w:type="paragraph" w:styleId="Heading1">
    <w:name w:val="heading 1"/>
    <w:basedOn w:val="Normal"/>
    <w:next w:val="Normal"/>
    <w:link w:val="Heading1Char"/>
    <w:uiPriority w:val="9"/>
    <w:qFormat/>
    <w:rsid w:val="00E109CE"/>
    <w:pPr>
      <w:keepNext/>
      <w:keepLines/>
      <w:spacing w:before="480" w:after="240"/>
      <w:jc w:val="center"/>
      <w:outlineLvl w:val="0"/>
    </w:pPr>
    <w:rPr>
      <w:rFonts w:eastAsiaTheme="majorEastAsia" w:cs="Arial"/>
      <w:b/>
      <w:bCs/>
      <w:color w:val="365F91" w:themeColor="accent1" w:themeShade="BF"/>
      <w:kern w:val="24"/>
      <w:sz w:val="28"/>
      <w:szCs w:val="28"/>
    </w:rPr>
  </w:style>
  <w:style w:type="paragraph" w:styleId="Heading2">
    <w:name w:val="heading 2"/>
    <w:basedOn w:val="Normal"/>
    <w:next w:val="Normal"/>
    <w:link w:val="Heading2Char"/>
    <w:unhideWhenUsed/>
    <w:qFormat/>
    <w:rsid w:val="00E109CE"/>
    <w:pPr>
      <w:keepNext/>
      <w:keepLines/>
      <w:spacing w:before="360"/>
      <w:outlineLvl w:val="1"/>
    </w:pPr>
    <w:rPr>
      <w:rFonts w:ascii="Arial" w:eastAsiaTheme="majorEastAsia" w:hAnsi="Arial" w:cstheme="majorBidi"/>
      <w:b/>
      <w:bCs/>
      <w:color w:val="1F497D" w:themeColor="text2"/>
      <w:kern w:val="24"/>
      <w:sz w:val="24"/>
      <w:szCs w:val="24"/>
    </w:rPr>
  </w:style>
  <w:style w:type="paragraph" w:styleId="Heading3">
    <w:name w:val="heading 3"/>
    <w:basedOn w:val="Normal"/>
    <w:next w:val="Normal"/>
    <w:link w:val="Heading3Char"/>
    <w:uiPriority w:val="9"/>
    <w:unhideWhenUsed/>
    <w:qFormat/>
    <w:rsid w:val="00E109CE"/>
    <w:pPr>
      <w:keepNext/>
      <w:keepLines/>
      <w:spacing w:before="240"/>
      <w:outlineLvl w:val="2"/>
    </w:pPr>
    <w:rPr>
      <w:rFonts w:eastAsiaTheme="majorEastAsia" w:cs="Arial"/>
      <w:b/>
      <w:bCs/>
      <w:color w:val="4F81BD" w:themeColor="accent1"/>
      <w:kern w:val="24"/>
    </w:rPr>
  </w:style>
  <w:style w:type="paragraph" w:styleId="Heading4">
    <w:name w:val="heading 4"/>
    <w:basedOn w:val="Heading3"/>
    <w:next w:val="Normal"/>
    <w:link w:val="Heading4Char"/>
    <w:uiPriority w:val="9"/>
    <w:unhideWhenUsed/>
    <w:qFormat/>
    <w:rsid w:val="00E109CE"/>
    <w:pPr>
      <w:ind w:left="720"/>
      <w:outlineLvl w:val="3"/>
    </w:pPr>
    <w:rPr>
      <w:rFonts w:ascii="Arial" w:hAnsi="Arial"/>
      <w:i/>
      <w:color w:val="1F497D" w:themeColor="text2"/>
    </w:rPr>
  </w:style>
  <w:style w:type="paragraph" w:styleId="Heading5">
    <w:name w:val="heading 5"/>
    <w:basedOn w:val="Heading4"/>
    <w:next w:val="Normal"/>
    <w:link w:val="Heading5Char"/>
    <w:uiPriority w:val="9"/>
    <w:unhideWhenUsed/>
    <w:qFormat/>
    <w:rsid w:val="00E109CE"/>
    <w:pPr>
      <w:outlineLvl w:val="4"/>
    </w:pPr>
    <w:rPr>
      <w:rFonts w:asciiTheme="majorHAnsi" w:hAnsiTheme="majorHAnsi" w:cstheme="majorBidi"/>
      <w:lang w:eastAsia="ja-JP"/>
    </w:rPr>
  </w:style>
  <w:style w:type="paragraph" w:styleId="Heading6">
    <w:name w:val="heading 6"/>
    <w:basedOn w:val="Normal"/>
    <w:next w:val="Normal"/>
    <w:link w:val="Heading6Char"/>
    <w:unhideWhenUsed/>
    <w:qFormat/>
    <w:rsid w:val="00E109C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109C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109C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nhideWhenUsed/>
    <w:qFormat/>
    <w:rsid w:val="00E109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9CE"/>
    <w:rPr>
      <w:rFonts w:ascii="Andes" w:eastAsiaTheme="majorEastAsia" w:hAnsi="Andes" w:cs="Arial"/>
      <w:b/>
      <w:bCs/>
      <w:color w:val="365F91" w:themeColor="accent1" w:themeShade="BF"/>
      <w:kern w:val="24"/>
      <w:sz w:val="28"/>
      <w:szCs w:val="28"/>
    </w:rPr>
  </w:style>
  <w:style w:type="character" w:customStyle="1" w:styleId="Heading2Char">
    <w:name w:val="Heading 2 Char"/>
    <w:basedOn w:val="DefaultParagraphFont"/>
    <w:link w:val="Heading2"/>
    <w:rsid w:val="00E109CE"/>
    <w:rPr>
      <w:rFonts w:ascii="Arial" w:eastAsiaTheme="majorEastAsia" w:hAnsi="Arial" w:cstheme="majorBidi"/>
      <w:b/>
      <w:bCs/>
      <w:color w:val="1F497D" w:themeColor="text2"/>
      <w:kern w:val="24"/>
      <w:sz w:val="24"/>
      <w:szCs w:val="24"/>
    </w:rPr>
  </w:style>
  <w:style w:type="character" w:customStyle="1" w:styleId="Heading3Char">
    <w:name w:val="Heading 3 Char"/>
    <w:basedOn w:val="DefaultParagraphFont"/>
    <w:link w:val="Heading3"/>
    <w:uiPriority w:val="9"/>
    <w:rsid w:val="00E109CE"/>
    <w:rPr>
      <w:rFonts w:ascii="Andes" w:eastAsiaTheme="majorEastAsia" w:hAnsi="Andes" w:cs="Arial"/>
      <w:b/>
      <w:bCs/>
      <w:color w:val="4F81BD" w:themeColor="accent1"/>
      <w:kern w:val="24"/>
    </w:rPr>
  </w:style>
  <w:style w:type="character" w:customStyle="1" w:styleId="Heading4Char">
    <w:name w:val="Heading 4 Char"/>
    <w:basedOn w:val="DefaultParagraphFont"/>
    <w:link w:val="Heading4"/>
    <w:uiPriority w:val="9"/>
    <w:rsid w:val="00E109CE"/>
    <w:rPr>
      <w:rFonts w:ascii="Arial" w:eastAsiaTheme="majorEastAsia" w:hAnsi="Arial" w:cs="Arial"/>
      <w:b/>
      <w:bCs/>
      <w:i/>
      <w:color w:val="1F497D" w:themeColor="text2"/>
      <w:kern w:val="24"/>
    </w:rPr>
  </w:style>
  <w:style w:type="character" w:customStyle="1" w:styleId="Heading5Char">
    <w:name w:val="Heading 5 Char"/>
    <w:basedOn w:val="DefaultParagraphFont"/>
    <w:link w:val="Heading5"/>
    <w:uiPriority w:val="9"/>
    <w:rsid w:val="00E109CE"/>
    <w:rPr>
      <w:rFonts w:asciiTheme="majorHAnsi" w:eastAsiaTheme="majorEastAsia" w:hAnsiTheme="majorHAnsi" w:cstheme="majorBidi"/>
      <w:b/>
      <w:bCs/>
      <w:i/>
      <w:color w:val="1F497D" w:themeColor="text2"/>
      <w:kern w:val="24"/>
      <w:lang w:eastAsia="ja-JP"/>
    </w:rPr>
  </w:style>
  <w:style w:type="character" w:customStyle="1" w:styleId="Heading6Char">
    <w:name w:val="Heading 6 Char"/>
    <w:basedOn w:val="DefaultParagraphFont"/>
    <w:link w:val="Heading6"/>
    <w:rsid w:val="00E109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109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109C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rsid w:val="00E109CE"/>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nhideWhenUsed/>
    <w:rsid w:val="001535A5"/>
    <w:pPr>
      <w:tabs>
        <w:tab w:val="left" w:pos="720"/>
      </w:tabs>
    </w:pPr>
    <w:rPr>
      <w:szCs w:val="20"/>
    </w:rPr>
  </w:style>
  <w:style w:type="character" w:customStyle="1" w:styleId="EndnoteTextChar">
    <w:name w:val="Endnote Text Char"/>
    <w:basedOn w:val="DefaultParagraphFont"/>
    <w:link w:val="EndnoteText"/>
    <w:rsid w:val="001535A5"/>
    <w:rPr>
      <w:rFonts w:ascii="Arial" w:hAnsi="Arial" w:cs="Calibri"/>
      <w:kern w:val="24"/>
      <w:sz w:val="20"/>
      <w:szCs w:val="20"/>
    </w:rPr>
  </w:style>
  <w:style w:type="paragraph" w:customStyle="1" w:styleId="Bodytext">
    <w:name w:val="Bodytext"/>
    <w:basedOn w:val="Normal"/>
    <w:link w:val="BodytextChar"/>
    <w:uiPriority w:val="99"/>
    <w:rsid w:val="001535A5"/>
  </w:style>
  <w:style w:type="paragraph" w:styleId="Caption">
    <w:name w:val="caption"/>
    <w:basedOn w:val="Normal"/>
    <w:next w:val="Normal"/>
    <w:link w:val="CaptionChar"/>
    <w:uiPriority w:val="99"/>
    <w:unhideWhenUsed/>
    <w:qFormat/>
    <w:rsid w:val="00382444"/>
    <w:pPr>
      <w:spacing w:before="240"/>
    </w:pPr>
    <w:rPr>
      <w:rFonts w:ascii="Arial" w:hAnsi="Arial"/>
      <w:b/>
      <w:bCs/>
      <w:szCs w:val="18"/>
      <w:lang w:eastAsia="ja-JP"/>
    </w:rPr>
  </w:style>
  <w:style w:type="character" w:customStyle="1" w:styleId="CaptionChar">
    <w:name w:val="Caption Char"/>
    <w:link w:val="Caption"/>
    <w:uiPriority w:val="99"/>
    <w:locked/>
    <w:rsid w:val="00382444"/>
    <w:rPr>
      <w:rFonts w:ascii="Arial" w:eastAsia="MS Mincho" w:hAnsi="Arial" w:cs="Calibri"/>
      <w:b/>
      <w:bCs/>
      <w:szCs w:val="18"/>
      <w:lang w:eastAsia="ja-JP"/>
    </w:rPr>
  </w:style>
  <w:style w:type="paragraph" w:styleId="Title">
    <w:name w:val="Title"/>
    <w:basedOn w:val="Normal"/>
    <w:next w:val="Normal"/>
    <w:link w:val="TitleChar"/>
    <w:qFormat/>
    <w:rsid w:val="00E109CE"/>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E109CE"/>
    <w:rPr>
      <w:rFonts w:ascii="Andes" w:eastAsiaTheme="majorEastAsia" w:hAnsi="Andes"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109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09C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E109CE"/>
    <w:rPr>
      <w:b/>
      <w:bCs/>
    </w:rPr>
  </w:style>
  <w:style w:type="character" w:styleId="Emphasis">
    <w:name w:val="Emphasis"/>
    <w:basedOn w:val="DefaultParagraphFont"/>
    <w:qFormat/>
    <w:rsid w:val="00E109CE"/>
    <w:rPr>
      <w:i/>
      <w:iCs/>
    </w:rPr>
  </w:style>
  <w:style w:type="paragraph" w:styleId="NoSpacing">
    <w:name w:val="No Spacing"/>
    <w:aliases w:val="Subtitle 1"/>
    <w:basedOn w:val="Heading3"/>
    <w:link w:val="NoSpacingChar"/>
    <w:uiPriority w:val="1"/>
    <w:qFormat/>
    <w:rsid w:val="00E109CE"/>
    <w:pPr>
      <w:ind w:left="-720"/>
      <w:jc w:val="center"/>
    </w:pPr>
    <w:rPr>
      <w:rFonts w:cstheme="majorBidi"/>
      <w:color w:val="1F497D" w:themeColor="text2"/>
      <w:kern w:val="0"/>
      <w:sz w:val="28"/>
      <w:szCs w:val="28"/>
    </w:rPr>
  </w:style>
  <w:style w:type="paragraph" w:styleId="ListParagraph">
    <w:name w:val="List Paragraph"/>
    <w:aliases w:val="Bullet Paragraph"/>
    <w:basedOn w:val="Normal"/>
    <w:link w:val="ListParagraphChar"/>
    <w:uiPriority w:val="34"/>
    <w:qFormat/>
    <w:rsid w:val="00E109CE"/>
    <w:pPr>
      <w:numPr>
        <w:numId w:val="37"/>
      </w:numPr>
      <w:ind w:left="720"/>
    </w:pPr>
    <w:rPr>
      <w:rFonts w:eastAsiaTheme="minorHAnsi"/>
      <w:kern w:val="24"/>
    </w:rPr>
  </w:style>
  <w:style w:type="character" w:customStyle="1" w:styleId="NoSpacingChar">
    <w:name w:val="No Spacing Char"/>
    <w:aliases w:val="Subtitle 1 Char"/>
    <w:basedOn w:val="DefaultParagraphFont"/>
    <w:link w:val="NoSpacing"/>
    <w:uiPriority w:val="1"/>
    <w:rsid w:val="00E109CE"/>
    <w:rPr>
      <w:rFonts w:ascii="Andes" w:eastAsiaTheme="majorEastAsia" w:hAnsi="Andes" w:cstheme="majorBidi"/>
      <w:b/>
      <w:bCs/>
      <w:color w:val="1F497D" w:themeColor="text2"/>
      <w:sz w:val="28"/>
      <w:szCs w:val="28"/>
    </w:rPr>
  </w:style>
  <w:style w:type="paragraph" w:styleId="Quote">
    <w:name w:val="Quote"/>
    <w:basedOn w:val="Normal"/>
    <w:next w:val="Normal"/>
    <w:link w:val="QuoteChar"/>
    <w:uiPriority w:val="29"/>
    <w:qFormat/>
    <w:rsid w:val="00E109CE"/>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E109CE"/>
    <w:rPr>
      <w:i/>
      <w:iCs/>
      <w:color w:val="000000" w:themeColor="text1"/>
    </w:rPr>
  </w:style>
  <w:style w:type="paragraph" w:styleId="IntenseQuote">
    <w:name w:val="Intense Quote"/>
    <w:basedOn w:val="Normal"/>
    <w:next w:val="Normal"/>
    <w:link w:val="IntenseQuoteChar"/>
    <w:uiPriority w:val="30"/>
    <w:qFormat/>
    <w:rsid w:val="00E109CE"/>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E109CE"/>
    <w:rPr>
      <w:b/>
      <w:bCs/>
      <w:i/>
      <w:iCs/>
      <w:color w:val="4F81BD" w:themeColor="accent1"/>
    </w:rPr>
  </w:style>
  <w:style w:type="character" w:styleId="SubtleEmphasis">
    <w:name w:val="Subtle Emphasis"/>
    <w:basedOn w:val="DefaultParagraphFont"/>
    <w:uiPriority w:val="19"/>
    <w:qFormat/>
    <w:rsid w:val="00E109CE"/>
    <w:rPr>
      <w:i/>
      <w:iCs/>
      <w:color w:val="808080" w:themeColor="text1" w:themeTint="7F"/>
    </w:rPr>
  </w:style>
  <w:style w:type="character" w:styleId="IntenseEmphasis">
    <w:name w:val="Intense Emphasis"/>
    <w:basedOn w:val="DefaultParagraphFont"/>
    <w:uiPriority w:val="21"/>
    <w:qFormat/>
    <w:rsid w:val="00E109CE"/>
    <w:rPr>
      <w:b/>
      <w:bCs/>
      <w:i/>
      <w:iCs/>
      <w:color w:val="4F81BD" w:themeColor="accent1"/>
    </w:rPr>
  </w:style>
  <w:style w:type="character" w:styleId="SubtleReference">
    <w:name w:val="Subtle Reference"/>
    <w:basedOn w:val="DefaultParagraphFont"/>
    <w:uiPriority w:val="31"/>
    <w:qFormat/>
    <w:rsid w:val="00E109CE"/>
    <w:rPr>
      <w:smallCaps/>
      <w:color w:val="C0504D" w:themeColor="accent2"/>
      <w:u w:val="single"/>
    </w:rPr>
  </w:style>
  <w:style w:type="character" w:styleId="IntenseReference">
    <w:name w:val="Intense Reference"/>
    <w:basedOn w:val="DefaultParagraphFont"/>
    <w:uiPriority w:val="32"/>
    <w:qFormat/>
    <w:rsid w:val="00E109CE"/>
    <w:rPr>
      <w:b/>
      <w:bCs/>
      <w:smallCaps/>
      <w:color w:val="C0504D" w:themeColor="accent2"/>
      <w:spacing w:val="5"/>
      <w:u w:val="single"/>
    </w:rPr>
  </w:style>
  <w:style w:type="character" w:styleId="BookTitle">
    <w:name w:val="Book Title"/>
    <w:basedOn w:val="DefaultParagraphFont"/>
    <w:uiPriority w:val="33"/>
    <w:qFormat/>
    <w:rsid w:val="00E109CE"/>
    <w:rPr>
      <w:b/>
      <w:bCs/>
      <w:smallCaps/>
      <w:spacing w:val="5"/>
    </w:rPr>
  </w:style>
  <w:style w:type="paragraph" w:styleId="TOCHeading">
    <w:name w:val="TOC Heading"/>
    <w:basedOn w:val="Heading1"/>
    <w:next w:val="Normal"/>
    <w:unhideWhenUsed/>
    <w:qFormat/>
    <w:rsid w:val="00E109CE"/>
    <w:pPr>
      <w:outlineLvl w:val="9"/>
    </w:pPr>
    <w:rPr>
      <w:kern w:val="0"/>
    </w:rPr>
  </w:style>
  <w:style w:type="paragraph" w:customStyle="1" w:styleId="2">
    <w:name w:val="リスト段落2"/>
    <w:basedOn w:val="Normal"/>
    <w:rsid w:val="001535A5"/>
    <w:pPr>
      <w:ind w:left="720"/>
      <w:contextualSpacing/>
    </w:pPr>
    <w:rPr>
      <w:rFonts w:cs="Times New Roman"/>
    </w:rPr>
  </w:style>
  <w:style w:type="table" w:styleId="LightGrid">
    <w:name w:val="Light Grid"/>
    <w:basedOn w:val="TableNormal"/>
    <w:uiPriority w:val="62"/>
    <w:rsid w:val="007D7CBC"/>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olorfulList-Accent12">
    <w:name w:val="Colorful List - Accent 12"/>
    <w:basedOn w:val="Normal"/>
    <w:uiPriority w:val="34"/>
    <w:rsid w:val="00680251"/>
    <w:pPr>
      <w:spacing w:after="200" w:line="276" w:lineRule="auto"/>
      <w:ind w:left="720"/>
      <w:contextualSpacing/>
    </w:pPr>
    <w:rPr>
      <w:rFonts w:eastAsia="Calibri" w:cs="Times New Roman"/>
    </w:rPr>
  </w:style>
  <w:style w:type="paragraph" w:customStyle="1" w:styleId="Source">
    <w:name w:val="Source"/>
    <w:basedOn w:val="BodyText0"/>
    <w:qFormat/>
    <w:rsid w:val="00E109CE"/>
    <w:pPr>
      <w:spacing w:after="0"/>
    </w:pPr>
    <w:rPr>
      <w:rFonts w:cstheme="minorBidi"/>
      <w:sz w:val="20"/>
      <w:szCs w:val="20"/>
      <w:lang w:eastAsia="ja-JP"/>
    </w:rPr>
  </w:style>
  <w:style w:type="paragraph" w:styleId="BodyText0">
    <w:name w:val="Body Text"/>
    <w:basedOn w:val="Normal"/>
    <w:link w:val="BodyTextChar0"/>
    <w:rsid w:val="001535A5"/>
  </w:style>
  <w:style w:type="character" w:customStyle="1" w:styleId="BodyTextChar0">
    <w:name w:val="Body Text Char"/>
    <w:basedOn w:val="DefaultParagraphFont"/>
    <w:link w:val="BodyText0"/>
    <w:rsid w:val="001535A5"/>
    <w:rPr>
      <w:rFonts w:ascii="Arial" w:eastAsia="MS Mincho" w:hAnsi="Arial" w:cs="Calibri"/>
      <w:sz w:val="20"/>
    </w:rPr>
  </w:style>
  <w:style w:type="paragraph" w:customStyle="1" w:styleId="TOCHeading2">
    <w:name w:val="TOC Heading2"/>
    <w:basedOn w:val="Heading1"/>
    <w:next w:val="Normal"/>
    <w:uiPriority w:val="39"/>
    <w:semiHidden/>
    <w:unhideWhenUsed/>
    <w:qFormat/>
    <w:rsid w:val="00E109CE"/>
    <w:pPr>
      <w:spacing w:after="0" w:line="276" w:lineRule="auto"/>
      <w:jc w:val="left"/>
      <w:outlineLvl w:val="9"/>
    </w:pPr>
    <w:rPr>
      <w:rFonts w:ascii="Cambria" w:eastAsia="MS Gothic" w:hAnsi="Cambria"/>
      <w:color w:val="365F91"/>
      <w:kern w:val="0"/>
      <w:lang w:eastAsia="ja-JP"/>
    </w:rPr>
  </w:style>
  <w:style w:type="paragraph" w:customStyle="1" w:styleId="ParaNumberPinar">
    <w:name w:val="Para. Number Pinar"/>
    <w:basedOn w:val="Normal"/>
    <w:rsid w:val="001535A5"/>
    <w:pPr>
      <w:numPr>
        <w:numId w:val="29"/>
      </w:numPr>
      <w:spacing w:before="120"/>
      <w:outlineLvl w:val="1"/>
    </w:pPr>
    <w:rPr>
      <w:rFonts w:ascii="Garamond" w:eastAsia="Times New Roman" w:hAnsi="Garamond" w:cs="Times New Roman"/>
      <w:sz w:val="24"/>
      <w:szCs w:val="24"/>
      <w:lang w:bidi="en-US"/>
    </w:rPr>
  </w:style>
  <w:style w:type="paragraph" w:customStyle="1" w:styleId="Footnote">
    <w:name w:val="Footnote"/>
    <w:basedOn w:val="Normal"/>
    <w:link w:val="FootnoteChar"/>
    <w:qFormat/>
    <w:rsid w:val="00BC7C6C"/>
    <w:pPr>
      <w:spacing w:after="0"/>
    </w:pPr>
    <w:rPr>
      <w:rFonts w:ascii="Arial" w:eastAsiaTheme="minorHAnsi" w:hAnsi="Arial" w:cs="Arial"/>
      <w:sz w:val="18"/>
      <w:szCs w:val="18"/>
      <w:lang w:eastAsia="ja-JP"/>
    </w:rPr>
  </w:style>
  <w:style w:type="character" w:customStyle="1" w:styleId="FootnoteChar">
    <w:name w:val="Footnote Char"/>
    <w:basedOn w:val="DefaultParagraphFont"/>
    <w:link w:val="Footnote"/>
    <w:rsid w:val="00BC7C6C"/>
    <w:rPr>
      <w:rFonts w:ascii="Arial" w:hAnsi="Arial" w:cs="Arial"/>
      <w:sz w:val="18"/>
      <w:szCs w:val="18"/>
      <w:lang w:eastAsia="ja-JP"/>
    </w:rPr>
  </w:style>
  <w:style w:type="character" w:customStyle="1" w:styleId="ListParagraphChar">
    <w:name w:val="List Paragraph Char"/>
    <w:aliases w:val="Bullet Paragraph Char"/>
    <w:link w:val="ListParagraph"/>
    <w:uiPriority w:val="34"/>
    <w:locked/>
    <w:rsid w:val="00E109CE"/>
    <w:rPr>
      <w:rFonts w:ascii="Andes" w:hAnsi="Andes" w:cs="Calibri"/>
      <w:kern w:val="24"/>
    </w:rPr>
  </w:style>
  <w:style w:type="character" w:customStyle="1" w:styleId="FootnoteTextChar1">
    <w:name w:val="Footnote Text Char1"/>
    <w:aliases w:val="FOOTNOTES Char1,fn Char1,single space Char1,ft Char1,footnote text Char Char1,footnote text Char Char Char Char Char Char1,footnote text Char Char Char Char Char2,footnote text Char1,FOOTNOTES Char,ft Char,Footnote Text Char2 Char"/>
    <w:basedOn w:val="DefaultParagraphFont"/>
    <w:rsid w:val="001535A5"/>
    <w:rPr>
      <w:rFonts w:ascii="Calibri" w:hAnsi="Calibri" w:cs="Calibri"/>
      <w:kern w:val="24"/>
      <w:sz w:val="20"/>
      <w:szCs w:val="20"/>
    </w:rPr>
  </w:style>
  <w:style w:type="paragraph" w:customStyle="1" w:styleId="NoSpacing1">
    <w:name w:val="No Spacing1"/>
    <w:basedOn w:val="Normal"/>
    <w:rsid w:val="001535A5"/>
    <w:rPr>
      <w:rFonts w:cs="Times New Roman"/>
      <w:szCs w:val="20"/>
    </w:rPr>
  </w:style>
  <w:style w:type="paragraph" w:customStyle="1" w:styleId="ColorfulList-Accent11">
    <w:name w:val="Colorful List - Accent 11"/>
    <w:basedOn w:val="Normal"/>
    <w:link w:val="ColorfulList-Accent1Char"/>
    <w:rsid w:val="001535A5"/>
    <w:pPr>
      <w:numPr>
        <w:numId w:val="30"/>
      </w:numPr>
    </w:pPr>
    <w:rPr>
      <w:rFonts w:cs="Times New Roman"/>
      <w:szCs w:val="20"/>
      <w:lang w:eastAsia="ja-JP"/>
    </w:rPr>
  </w:style>
  <w:style w:type="character" w:customStyle="1" w:styleId="ColorfulList-Accent1Char">
    <w:name w:val="Colorful List - Accent 1 Char"/>
    <w:link w:val="ColorfulList-Accent11"/>
    <w:locked/>
    <w:rsid w:val="001535A5"/>
    <w:rPr>
      <w:rFonts w:ascii="Arial" w:eastAsia="MS Mincho" w:hAnsi="Arial" w:cs="Times New Roman"/>
      <w:sz w:val="20"/>
      <w:szCs w:val="20"/>
      <w:lang w:eastAsia="ja-JP"/>
    </w:rPr>
  </w:style>
  <w:style w:type="paragraph" w:customStyle="1" w:styleId="ColorfulGrid-Accent11">
    <w:name w:val="Colorful Grid - Accent 11"/>
    <w:basedOn w:val="Normal"/>
    <w:next w:val="Normal"/>
    <w:link w:val="ColorfulGrid-Accent1Char"/>
    <w:rsid w:val="001535A5"/>
    <w:rPr>
      <w:rFonts w:ascii="Cambria" w:eastAsia="MS Gothic" w:hAnsi="Cambria" w:cs="Times New Roman"/>
      <w:i/>
      <w:color w:val="5A5A5A"/>
      <w:szCs w:val="20"/>
    </w:rPr>
  </w:style>
  <w:style w:type="character" w:customStyle="1" w:styleId="ColorfulGrid-Accent1Char">
    <w:name w:val="Colorful Grid - Accent 1 Char"/>
    <w:link w:val="ColorfulGrid-Accent11"/>
    <w:locked/>
    <w:rsid w:val="001535A5"/>
    <w:rPr>
      <w:rFonts w:ascii="Cambria" w:eastAsia="MS Gothic" w:hAnsi="Cambria" w:cs="Times New Roman"/>
      <w:i/>
      <w:color w:val="5A5A5A"/>
      <w:sz w:val="20"/>
      <w:szCs w:val="20"/>
    </w:rPr>
  </w:style>
  <w:style w:type="character" w:customStyle="1" w:styleId="SubtleEmphasis1">
    <w:name w:val="Subtle Emphasis1"/>
    <w:rsid w:val="001535A5"/>
    <w:rPr>
      <w:i/>
      <w:color w:val="5A5A5A"/>
    </w:rPr>
  </w:style>
  <w:style w:type="character" w:customStyle="1" w:styleId="IntenseEmphasis1">
    <w:name w:val="Intense Emphasis1"/>
    <w:rsid w:val="001535A5"/>
    <w:rPr>
      <w:rFonts w:ascii="Cambria" w:hAnsi="Cambria"/>
      <w:b/>
      <w:i/>
      <w:color w:val="365F91"/>
      <w:sz w:val="24"/>
    </w:rPr>
  </w:style>
  <w:style w:type="character" w:customStyle="1" w:styleId="SubtleReference1">
    <w:name w:val="Subtle Reference1"/>
    <w:rsid w:val="001535A5"/>
    <w:rPr>
      <w:color w:val="auto"/>
      <w:u w:val="single" w:color="9BBB59"/>
    </w:rPr>
  </w:style>
  <w:style w:type="character" w:customStyle="1" w:styleId="IntenseReference1">
    <w:name w:val="Intense Reference1"/>
    <w:rsid w:val="001535A5"/>
    <w:rPr>
      <w:b/>
      <w:color w:val="76923C"/>
      <w:u w:val="single" w:color="9BBB59"/>
    </w:rPr>
  </w:style>
  <w:style w:type="character" w:customStyle="1" w:styleId="BookTitle1">
    <w:name w:val="Book Title1"/>
    <w:rsid w:val="001535A5"/>
    <w:rPr>
      <w:rFonts w:ascii="Cambria" w:eastAsia="MS Gothic" w:hAnsi="Cambria"/>
      <w:b/>
      <w:i/>
      <w:color w:val="auto"/>
    </w:rPr>
  </w:style>
  <w:style w:type="paragraph" w:customStyle="1" w:styleId="TOCHeading1">
    <w:name w:val="TOC Heading1"/>
    <w:basedOn w:val="Heading1"/>
    <w:next w:val="Normal"/>
    <w:rsid w:val="001535A5"/>
    <w:pPr>
      <w:spacing w:after="0"/>
      <w:jc w:val="left"/>
      <w:outlineLvl w:val="9"/>
    </w:pPr>
    <w:rPr>
      <w:rFonts w:ascii="Cambria" w:eastAsia="MS Gothic" w:hAnsi="Cambria" w:cs="Times New Roman"/>
      <w:bCs w:val="0"/>
      <w:color w:val="365F91"/>
      <w:kern w:val="0"/>
      <w:szCs w:val="20"/>
      <w:lang w:val="fr-FR"/>
    </w:rPr>
  </w:style>
  <w:style w:type="paragraph" w:customStyle="1" w:styleId="ListParagraph1">
    <w:name w:val="List Paragraph1"/>
    <w:basedOn w:val="Normal"/>
    <w:rsid w:val="001535A5"/>
    <w:pPr>
      <w:ind w:left="720"/>
      <w:contextualSpacing/>
    </w:pPr>
    <w:rPr>
      <w:rFonts w:cs="Times New Roman"/>
    </w:rPr>
  </w:style>
  <w:style w:type="paragraph" w:customStyle="1" w:styleId="11">
    <w:name w:val="リスト段落11"/>
    <w:basedOn w:val="Normal"/>
    <w:rsid w:val="001535A5"/>
    <w:pPr>
      <w:ind w:left="1080" w:hanging="360"/>
    </w:pPr>
    <w:rPr>
      <w:rFonts w:cs="Times New Roman"/>
      <w:szCs w:val="20"/>
      <w:lang w:eastAsia="ja-JP"/>
    </w:rPr>
  </w:style>
  <w:style w:type="table" w:customStyle="1" w:styleId="LightShading1">
    <w:name w:val="Light Shading1"/>
    <w:basedOn w:val="TableNormal"/>
    <w:uiPriority w:val="60"/>
    <w:rsid w:val="001535A5"/>
    <w:pPr>
      <w:spacing w:after="0"/>
    </w:pPr>
    <w:rPr>
      <w:rFonts w:ascii="Calibri" w:eastAsia="MS Mincho"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ullet">
    <w:name w:val="Bullet"/>
    <w:basedOn w:val="BodyText0"/>
    <w:rsid w:val="001535A5"/>
    <w:pPr>
      <w:numPr>
        <w:numId w:val="32"/>
      </w:numPr>
      <w:contextualSpacing/>
    </w:pPr>
    <w:rPr>
      <w:rFonts w:cs="Times New Roman"/>
    </w:rPr>
  </w:style>
  <w:style w:type="paragraph" w:customStyle="1" w:styleId="1">
    <w:name w:val="目次の見出し1"/>
    <w:basedOn w:val="Heading1"/>
    <w:next w:val="Normal"/>
    <w:rsid w:val="001535A5"/>
    <w:pPr>
      <w:spacing w:after="0"/>
      <w:jc w:val="left"/>
      <w:outlineLvl w:val="9"/>
    </w:pPr>
    <w:rPr>
      <w:rFonts w:ascii="Cambria" w:eastAsia="MS Gothic" w:hAnsi="Cambria" w:cs="Times New Roman"/>
      <w:bCs w:val="0"/>
      <w:color w:val="365F91"/>
      <w:kern w:val="0"/>
      <w:szCs w:val="20"/>
      <w:lang w:val="fr-FR" w:eastAsia="ja-JP"/>
    </w:rPr>
  </w:style>
  <w:style w:type="paragraph" w:customStyle="1" w:styleId="10">
    <w:name w:val="行間詰め1"/>
    <w:rsid w:val="001535A5"/>
    <w:pPr>
      <w:spacing w:after="0"/>
    </w:pPr>
    <w:rPr>
      <w:rFonts w:ascii="Calibri" w:eastAsia="MS Mincho" w:hAnsi="Calibri" w:cs="Times New Roman"/>
    </w:rPr>
  </w:style>
  <w:style w:type="numbering" w:customStyle="1" w:styleId="StyleOutlinenumbered">
    <w:name w:val="Style Outline numbered"/>
    <w:rsid w:val="001535A5"/>
    <w:pPr>
      <w:numPr>
        <w:numId w:val="18"/>
      </w:numPr>
    </w:pPr>
  </w:style>
  <w:style w:type="paragraph" w:customStyle="1" w:styleId="Pa2">
    <w:name w:val="Pa2"/>
    <w:basedOn w:val="Normal"/>
    <w:next w:val="Normal"/>
    <w:uiPriority w:val="99"/>
    <w:rsid w:val="001535A5"/>
    <w:pPr>
      <w:autoSpaceDE w:val="0"/>
      <w:autoSpaceDN w:val="0"/>
      <w:adjustRightInd w:val="0"/>
      <w:spacing w:after="0" w:line="241" w:lineRule="atLeast"/>
    </w:pPr>
    <w:rPr>
      <w:rFonts w:ascii="Optima LT Std" w:hAnsi="Optima LT Std" w:cs="Times New Roman"/>
      <w:sz w:val="24"/>
      <w:szCs w:val="24"/>
    </w:rPr>
  </w:style>
  <w:style w:type="character" w:customStyle="1" w:styleId="ja50-ce-author">
    <w:name w:val="ja50-ce-author"/>
    <w:rsid w:val="001535A5"/>
  </w:style>
  <w:style w:type="character" w:customStyle="1" w:styleId="apple-converted-space">
    <w:name w:val="apple-converted-space"/>
    <w:rsid w:val="001535A5"/>
  </w:style>
  <w:style w:type="character" w:customStyle="1" w:styleId="ja50-ce-sup">
    <w:name w:val="ja50-ce-sup"/>
    <w:rsid w:val="001535A5"/>
  </w:style>
  <w:style w:type="character" w:customStyle="1" w:styleId="hps">
    <w:name w:val="hps"/>
    <w:rsid w:val="001535A5"/>
  </w:style>
  <w:style w:type="paragraph" w:customStyle="1" w:styleId="Fig">
    <w:name w:val="Fig"/>
    <w:basedOn w:val="BodyText0"/>
    <w:rsid w:val="001535A5"/>
    <w:pPr>
      <w:keepNext/>
      <w:spacing w:before="120"/>
    </w:pPr>
    <w:rPr>
      <w:rFonts w:cs="Times New Roman"/>
      <w:b/>
    </w:rPr>
  </w:style>
  <w:style w:type="character" w:customStyle="1" w:styleId="shorttext">
    <w:name w:val="short_text"/>
    <w:rsid w:val="001535A5"/>
  </w:style>
  <w:style w:type="character" w:customStyle="1" w:styleId="st">
    <w:name w:val="st"/>
    <w:basedOn w:val="DefaultParagraphFont"/>
    <w:rsid w:val="001535A5"/>
  </w:style>
  <w:style w:type="paragraph" w:customStyle="1" w:styleId="Refs">
    <w:name w:val="Refs"/>
    <w:basedOn w:val="BodyText0"/>
    <w:rsid w:val="001535A5"/>
    <w:pPr>
      <w:ind w:left="720" w:hanging="720"/>
    </w:pPr>
    <w:rPr>
      <w:rFonts w:cs="Times New Roman"/>
      <w:lang w:val="en-GB"/>
    </w:rPr>
  </w:style>
  <w:style w:type="paragraph" w:customStyle="1" w:styleId="Figure">
    <w:name w:val="Figure"/>
    <w:basedOn w:val="Normal"/>
    <w:rsid w:val="001535A5"/>
    <w:pPr>
      <w:keepNext/>
      <w:spacing w:before="240" w:line="252" w:lineRule="auto"/>
    </w:pPr>
    <w:rPr>
      <w:rFonts w:cs="Times New Roman"/>
      <w:b/>
    </w:rPr>
  </w:style>
  <w:style w:type="paragraph" w:customStyle="1" w:styleId="Table">
    <w:name w:val="Table"/>
    <w:basedOn w:val="Figure"/>
    <w:rsid w:val="001535A5"/>
    <w:rPr>
      <w:rFonts w:asciiTheme="minorHAnsi" w:hAnsiTheme="minorHAnsi"/>
    </w:rPr>
  </w:style>
  <w:style w:type="paragraph" w:customStyle="1" w:styleId="Boxtitle">
    <w:name w:val="Box title"/>
    <w:basedOn w:val="Figure"/>
    <w:rsid w:val="001535A5"/>
    <w:rPr>
      <w:rFonts w:asciiTheme="minorHAnsi" w:hAnsiTheme="minorHAnsi"/>
    </w:rPr>
  </w:style>
  <w:style w:type="character" w:customStyle="1" w:styleId="googqs-tidbit">
    <w:name w:val="goog_qs-tidbit"/>
    <w:rsid w:val="001535A5"/>
  </w:style>
  <w:style w:type="paragraph" w:styleId="TOC1">
    <w:name w:val="toc 1"/>
    <w:basedOn w:val="Normal"/>
    <w:next w:val="Normal"/>
    <w:autoRedefine/>
    <w:uiPriority w:val="39"/>
    <w:unhideWhenUsed/>
    <w:rsid w:val="001535A5"/>
    <w:pPr>
      <w:spacing w:before="120" w:after="100" w:line="252" w:lineRule="auto"/>
    </w:pPr>
    <w:rPr>
      <w:rFonts w:cs="Times New Roman"/>
    </w:rPr>
  </w:style>
  <w:style w:type="paragraph" w:styleId="TOC2">
    <w:name w:val="toc 2"/>
    <w:basedOn w:val="Normal"/>
    <w:next w:val="Normal"/>
    <w:autoRedefine/>
    <w:uiPriority w:val="39"/>
    <w:rsid w:val="001535A5"/>
    <w:pPr>
      <w:ind w:left="220"/>
    </w:pPr>
    <w:rPr>
      <w:rFonts w:cs="Times New Roman"/>
    </w:rPr>
  </w:style>
  <w:style w:type="paragraph" w:styleId="TOC3">
    <w:name w:val="toc 3"/>
    <w:basedOn w:val="Normal"/>
    <w:next w:val="Normal"/>
    <w:autoRedefine/>
    <w:uiPriority w:val="39"/>
    <w:unhideWhenUsed/>
    <w:rsid w:val="001535A5"/>
    <w:pPr>
      <w:spacing w:before="120" w:after="100" w:line="252" w:lineRule="auto"/>
      <w:ind w:left="440"/>
    </w:pPr>
    <w:rPr>
      <w:rFonts w:cs="Times New Roman"/>
    </w:rPr>
  </w:style>
  <w:style w:type="paragraph" w:styleId="CommentText">
    <w:name w:val="annotation text"/>
    <w:basedOn w:val="Normal"/>
    <w:link w:val="CommentTextChar"/>
    <w:unhideWhenUsed/>
    <w:rsid w:val="001535A5"/>
    <w:rPr>
      <w:szCs w:val="20"/>
    </w:rPr>
  </w:style>
  <w:style w:type="character" w:customStyle="1" w:styleId="CommentTextChar">
    <w:name w:val="Comment Text Char"/>
    <w:basedOn w:val="DefaultParagraphFont"/>
    <w:link w:val="CommentText"/>
    <w:rsid w:val="001535A5"/>
    <w:rPr>
      <w:rFonts w:ascii="Arial" w:hAnsi="Arial" w:cs="Calibri"/>
      <w:kern w:val="24"/>
      <w:sz w:val="20"/>
      <w:szCs w:val="20"/>
    </w:rPr>
  </w:style>
  <w:style w:type="paragraph" w:styleId="Header">
    <w:name w:val="header"/>
    <w:basedOn w:val="Normal"/>
    <w:link w:val="HeaderChar"/>
    <w:rsid w:val="001535A5"/>
    <w:pPr>
      <w:tabs>
        <w:tab w:val="center" w:pos="4252"/>
        <w:tab w:val="right" w:pos="8504"/>
      </w:tabs>
      <w:snapToGrid w:val="0"/>
    </w:pPr>
    <w:rPr>
      <w:rFonts w:cs="Times New Roman"/>
    </w:rPr>
  </w:style>
  <w:style w:type="character" w:customStyle="1" w:styleId="HeaderChar">
    <w:name w:val="Header Char"/>
    <w:basedOn w:val="DefaultParagraphFont"/>
    <w:link w:val="Header"/>
    <w:rsid w:val="001535A5"/>
    <w:rPr>
      <w:rFonts w:ascii="Arial" w:eastAsia="MS Mincho" w:hAnsi="Arial" w:cs="Times New Roman"/>
      <w:sz w:val="20"/>
    </w:rPr>
  </w:style>
  <w:style w:type="paragraph" w:styleId="Footer">
    <w:name w:val="footer"/>
    <w:basedOn w:val="Normal"/>
    <w:link w:val="FooterChar"/>
    <w:uiPriority w:val="99"/>
    <w:rsid w:val="001535A5"/>
    <w:pPr>
      <w:tabs>
        <w:tab w:val="center" w:pos="4252"/>
        <w:tab w:val="right" w:pos="8504"/>
      </w:tabs>
      <w:snapToGrid w:val="0"/>
    </w:pPr>
    <w:rPr>
      <w:rFonts w:cs="Times New Roman"/>
    </w:rPr>
  </w:style>
  <w:style w:type="character" w:customStyle="1" w:styleId="FooterChar">
    <w:name w:val="Footer Char"/>
    <w:basedOn w:val="DefaultParagraphFont"/>
    <w:link w:val="Footer"/>
    <w:uiPriority w:val="99"/>
    <w:rsid w:val="001535A5"/>
    <w:rPr>
      <w:rFonts w:ascii="Arial" w:eastAsia="MS Mincho" w:hAnsi="Arial" w:cs="Times New Roman"/>
      <w:sz w:val="20"/>
    </w:rPr>
  </w:style>
  <w:style w:type="character" w:styleId="FootnoteReference">
    <w:name w:val="footnote reference"/>
    <w:aliases w:val="ftref,Char Char1,16 Point,FO,footnote ref,Fodnotetekst Tegn Char1,Footnote Text Char2 Char Char1,Footnote Text Char2 Char Char Char Char1,BVI fnr,Ref,de nota al pie,Superscript 6 Point,Char Char Char Char Car Char, BVI fnr, Car1,Car1"/>
    <w:link w:val="FNRefeCharChar"/>
    <w:uiPriority w:val="99"/>
    <w:rsid w:val="001535A5"/>
    <w:rPr>
      <w:sz w:val="20"/>
      <w:vertAlign w:val="superscript"/>
    </w:rPr>
  </w:style>
  <w:style w:type="character" w:styleId="CommentReference">
    <w:name w:val="annotation reference"/>
    <w:basedOn w:val="DefaultParagraphFont"/>
    <w:unhideWhenUsed/>
    <w:rsid w:val="001535A5"/>
    <w:rPr>
      <w:sz w:val="16"/>
      <w:szCs w:val="16"/>
    </w:rPr>
  </w:style>
  <w:style w:type="character" w:styleId="PageNumber">
    <w:name w:val="page number"/>
    <w:basedOn w:val="DefaultParagraphFont"/>
    <w:uiPriority w:val="99"/>
    <w:rsid w:val="001535A5"/>
  </w:style>
  <w:style w:type="character" w:styleId="EndnoteReference">
    <w:name w:val="endnote reference"/>
    <w:semiHidden/>
    <w:rsid w:val="001535A5"/>
    <w:rPr>
      <w:rFonts w:cs="Times New Roman"/>
      <w:sz w:val="32"/>
      <w:szCs w:val="32"/>
      <w:vertAlign w:val="superscript"/>
    </w:rPr>
  </w:style>
  <w:style w:type="character" w:styleId="Hyperlink">
    <w:name w:val="Hyperlink"/>
    <w:basedOn w:val="DefaultParagraphFont"/>
    <w:rsid w:val="001535A5"/>
    <w:rPr>
      <w:color w:val="0000FF" w:themeColor="hyperlink"/>
      <w:u w:val="single"/>
    </w:rPr>
  </w:style>
  <w:style w:type="character" w:styleId="FollowedHyperlink">
    <w:name w:val="FollowedHyperlink"/>
    <w:rsid w:val="001535A5"/>
    <w:rPr>
      <w:color w:val="800080"/>
      <w:u w:val="single"/>
    </w:rPr>
  </w:style>
  <w:style w:type="paragraph" w:styleId="DocumentMap">
    <w:name w:val="Document Map"/>
    <w:basedOn w:val="Normal"/>
    <w:link w:val="DocumentMapChar"/>
    <w:uiPriority w:val="99"/>
    <w:semiHidden/>
    <w:unhideWhenUsed/>
    <w:rsid w:val="001535A5"/>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535A5"/>
    <w:rPr>
      <w:rFonts w:ascii="Lucida Grande" w:hAnsi="Lucida Grande" w:cs="Lucida Grande"/>
      <w:sz w:val="24"/>
      <w:szCs w:val="24"/>
    </w:rPr>
  </w:style>
  <w:style w:type="paragraph" w:styleId="NormalWeb">
    <w:name w:val="Normal (Web)"/>
    <w:basedOn w:val="Normal"/>
    <w:uiPriority w:val="99"/>
    <w:unhideWhenUsed/>
    <w:rsid w:val="001535A5"/>
    <w:pPr>
      <w:spacing w:before="100" w:beforeAutospacing="1" w:after="100" w:afterAutospacing="1" w:line="252" w:lineRule="auto"/>
    </w:pPr>
    <w:rPr>
      <w:rFonts w:ascii="Times New Roman" w:eastAsiaTheme="minorEastAsia" w:hAnsi="Times New Roman" w:cs="Times New Roman"/>
      <w:sz w:val="24"/>
      <w:szCs w:val="24"/>
    </w:rPr>
  </w:style>
  <w:style w:type="paragraph" w:styleId="HTMLPreformatted">
    <w:name w:val="HTML Preformatted"/>
    <w:basedOn w:val="Normal"/>
    <w:link w:val="HTMLPreformattedChar"/>
    <w:uiPriority w:val="99"/>
    <w:semiHidden/>
    <w:unhideWhenUsed/>
    <w:rsid w:val="00153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52"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1535A5"/>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unhideWhenUsed/>
    <w:rsid w:val="001535A5"/>
    <w:rPr>
      <w:b/>
      <w:bCs/>
    </w:rPr>
  </w:style>
  <w:style w:type="character" w:customStyle="1" w:styleId="CommentSubjectChar">
    <w:name w:val="Comment Subject Char"/>
    <w:basedOn w:val="CommentTextChar"/>
    <w:link w:val="CommentSubject"/>
    <w:uiPriority w:val="99"/>
    <w:rsid w:val="001535A5"/>
    <w:rPr>
      <w:rFonts w:ascii="Arial" w:hAnsi="Arial" w:cs="Calibri"/>
      <w:b/>
      <w:bCs/>
      <w:kern w:val="24"/>
      <w:sz w:val="20"/>
      <w:szCs w:val="20"/>
    </w:rPr>
  </w:style>
  <w:style w:type="table" w:styleId="Table3Deffects3">
    <w:name w:val="Table 3D effects 3"/>
    <w:basedOn w:val="TableNormal"/>
    <w:rsid w:val="001535A5"/>
    <w:rPr>
      <w:rFonts w:ascii="Calibri" w:eastAsia="MS Mincho"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535A5"/>
    <w:rPr>
      <w:rFonts w:ascii="Calibri" w:eastAsia="MS Mincho" w:hAnsi="Calibri"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1535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A5"/>
    <w:rPr>
      <w:rFonts w:ascii="Tahoma" w:hAnsi="Tahoma" w:cs="Tahoma"/>
      <w:kern w:val="24"/>
      <w:sz w:val="16"/>
      <w:szCs w:val="16"/>
    </w:rPr>
  </w:style>
  <w:style w:type="table" w:styleId="TableGrid">
    <w:name w:val="Table Grid"/>
    <w:basedOn w:val="TableNormal"/>
    <w:uiPriority w:val="59"/>
    <w:rsid w:val="001535A5"/>
    <w:pPr>
      <w:spacing w:after="0"/>
    </w:pPr>
    <w:rPr>
      <w:rFonts w:ascii="Calibri" w:eastAsia="MS Mincho"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535A5"/>
    <w:rPr>
      <w:color w:val="808080"/>
    </w:rPr>
  </w:style>
  <w:style w:type="table" w:styleId="LightShading-Accent1">
    <w:name w:val="Light Shading Accent 1"/>
    <w:basedOn w:val="TableNormal"/>
    <w:uiPriority w:val="60"/>
    <w:rsid w:val="00C74A5B"/>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C74A5B"/>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9"/>
    <w:rsid w:val="001535A5"/>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2">
    <w:name w:val="Light Grid Accent 2"/>
    <w:basedOn w:val="TableNormal"/>
    <w:uiPriority w:val="62"/>
    <w:rsid w:val="001535A5"/>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535A5"/>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4">
    <w:name w:val="Light Shading Accent 4"/>
    <w:basedOn w:val="TableNormal"/>
    <w:uiPriority w:val="60"/>
    <w:rsid w:val="001535A5"/>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535A5"/>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5">
    <w:name w:val="Light Shading Accent 5"/>
    <w:basedOn w:val="TableNormal"/>
    <w:uiPriority w:val="60"/>
    <w:rsid w:val="001535A5"/>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1535A5"/>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1535A5"/>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5">
    <w:name w:val="Medium List 2 Accent 5"/>
    <w:basedOn w:val="TableNormal"/>
    <w:uiPriority w:val="66"/>
    <w:rsid w:val="001535A5"/>
    <w:pPr>
      <w:spacing w:after="0"/>
    </w:pPr>
    <w:rPr>
      <w:rFonts w:asciiTheme="majorHAnsi" w:eastAsiaTheme="majorEastAsia" w:hAnsiTheme="majorHAnsi" w:cstheme="majorBidi"/>
      <w:color w:val="000000" w:themeColor="text1"/>
      <w:lang w:val="en-MY"/>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6">
    <w:name w:val="Light Grid Accent 6"/>
    <w:basedOn w:val="TableNormal"/>
    <w:uiPriority w:val="62"/>
    <w:rsid w:val="001535A5"/>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Bibliography">
    <w:name w:val="Bibliography"/>
    <w:basedOn w:val="Normal"/>
    <w:next w:val="Normal"/>
    <w:uiPriority w:val="37"/>
    <w:unhideWhenUsed/>
    <w:rsid w:val="001535A5"/>
    <w:rPr>
      <w:rFonts w:cs="Times New Roman"/>
    </w:rPr>
  </w:style>
  <w:style w:type="character" w:customStyle="1" w:styleId="BodytextChar">
    <w:name w:val="Bodytext Char"/>
    <w:basedOn w:val="DefaultParagraphFont"/>
    <w:link w:val="Bodytext"/>
    <w:uiPriority w:val="99"/>
    <w:locked/>
    <w:rsid w:val="001535A5"/>
    <w:rPr>
      <w:rFonts w:ascii="Arial" w:hAnsi="Arial" w:cs="Calibri"/>
      <w:kern w:val="24"/>
      <w:sz w:val="20"/>
    </w:rPr>
  </w:style>
  <w:style w:type="paragraph" w:customStyle="1" w:styleId="Reference">
    <w:name w:val="Reference"/>
    <w:basedOn w:val="Normal"/>
    <w:link w:val="ReferenceChar"/>
    <w:qFormat/>
    <w:rsid w:val="00E109CE"/>
    <w:pPr>
      <w:ind w:left="720" w:hanging="720"/>
    </w:pPr>
    <w:rPr>
      <w:rFonts w:eastAsiaTheme="minorHAnsi"/>
      <w:noProof/>
      <w:kern w:val="24"/>
    </w:rPr>
  </w:style>
  <w:style w:type="character" w:customStyle="1" w:styleId="ReferenceChar">
    <w:name w:val="Reference Char"/>
    <w:basedOn w:val="DefaultParagraphFont"/>
    <w:link w:val="Reference"/>
    <w:rsid w:val="00E109CE"/>
    <w:rPr>
      <w:rFonts w:ascii="Andes" w:hAnsi="Andes" w:cs="Calibri"/>
      <w:noProof/>
      <w:kern w:val="24"/>
    </w:rPr>
  </w:style>
  <w:style w:type="table" w:customStyle="1" w:styleId="LightShading-Accent11">
    <w:name w:val="Light Shading - Accent 11"/>
    <w:basedOn w:val="TableNormal"/>
    <w:uiPriority w:val="60"/>
    <w:rsid w:val="001535A5"/>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1535A5"/>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NRefeCharChar">
    <w:name w:val="FNRefe Char Char"/>
    <w:aliases w:val="BVI fnr Char Char, BVI fnr Char Char Char, BVI fnr Car Car Char Char Char,BVI fnr Car Char Char Char, BVI fnr Car Car Car Car Char Char Char Char Char"/>
    <w:basedOn w:val="Normal"/>
    <w:link w:val="FootnoteReference"/>
    <w:uiPriority w:val="99"/>
    <w:rsid w:val="001535A5"/>
    <w:pPr>
      <w:spacing w:after="160" w:line="240" w:lineRule="exact"/>
    </w:pPr>
    <w:rPr>
      <w:rFonts w:asciiTheme="minorHAnsi" w:hAnsiTheme="minorHAnsi" w:cstheme="minorBidi"/>
      <w:vertAlign w:val="superscript"/>
    </w:rPr>
  </w:style>
  <w:style w:type="paragraph" w:customStyle="1" w:styleId="BookTitle2">
    <w:name w:val="Book Title 2"/>
    <w:basedOn w:val="Normal"/>
    <w:rsid w:val="00680251"/>
    <w:pPr>
      <w:jc w:val="center"/>
    </w:pPr>
    <w:rPr>
      <w:sz w:val="32"/>
      <w:szCs w:val="32"/>
    </w:rPr>
  </w:style>
  <w:style w:type="paragraph" w:customStyle="1" w:styleId="Subtitle2">
    <w:name w:val="Subtitle 2"/>
    <w:basedOn w:val="Normal"/>
    <w:link w:val="Subtitle2Char"/>
    <w:qFormat/>
    <w:rsid w:val="00AB2DEF"/>
    <w:pPr>
      <w:jc w:val="center"/>
    </w:pPr>
    <w:rPr>
      <w:b/>
      <w:color w:val="1F497D" w:themeColor="text2"/>
      <w:sz w:val="28"/>
      <w:szCs w:val="28"/>
    </w:rPr>
  </w:style>
  <w:style w:type="character" w:customStyle="1" w:styleId="Subtitle2Char">
    <w:name w:val="Subtitle 2 Char"/>
    <w:basedOn w:val="DefaultParagraphFont"/>
    <w:link w:val="Subtitle2"/>
    <w:rsid w:val="00AB2DEF"/>
    <w:rPr>
      <w:rFonts w:ascii="Andes" w:eastAsia="MS Mincho" w:hAnsi="Andes" w:cs="Calibri"/>
      <w:b/>
      <w:color w:val="1F497D" w:themeColor="tex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3664811-3ECF-4F88-84C6-E00D6BD5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6899</Words>
  <Characters>39329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 Maeda</dc:creator>
  <cp:lastModifiedBy>Jurgita Campbell</cp:lastModifiedBy>
  <cp:revision>3</cp:revision>
  <cp:lastPrinted>2014-08-19T15:04:00Z</cp:lastPrinted>
  <dcterms:created xsi:type="dcterms:W3CDTF">2014-09-14T11:54:00Z</dcterms:created>
  <dcterms:modified xsi:type="dcterms:W3CDTF">2014-10-07T17:51:00Z</dcterms:modified>
</cp:coreProperties>
</file>