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2"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20"/>
        <w:gridCol w:w="1030"/>
        <w:gridCol w:w="82"/>
        <w:gridCol w:w="1404"/>
        <w:gridCol w:w="3101"/>
        <w:gridCol w:w="936"/>
        <w:gridCol w:w="187"/>
        <w:gridCol w:w="1030"/>
        <w:gridCol w:w="210"/>
        <w:gridCol w:w="902"/>
        <w:gridCol w:w="105"/>
        <w:gridCol w:w="187"/>
        <w:gridCol w:w="8"/>
      </w:tblGrid>
      <w:tr w:rsidR="00D620E0" w:rsidTr="00136291">
        <w:trPr>
          <w:gridAfter w:val="3"/>
          <w:wAfter w:w="300" w:type="dxa"/>
        </w:trPr>
        <w:tc>
          <w:tcPr>
            <w:tcW w:w="9002" w:type="dxa"/>
            <w:gridSpan w:val="10"/>
            <w:tcBorders>
              <w:top w:val="nil"/>
              <w:left w:val="nil"/>
              <w:bottom w:val="nil"/>
              <w:right w:val="nil"/>
            </w:tcBorders>
            <w:shd w:val="clear" w:color="auto" w:fill="FFFFFF"/>
            <w:tcMar>
              <w:top w:w="50" w:type="dxa"/>
              <w:left w:w="50" w:type="dxa"/>
              <w:bottom w:w="50" w:type="dxa"/>
              <w:right w:w="50" w:type="dxa"/>
            </w:tcMar>
            <w:vAlign w:val="center"/>
          </w:tcPr>
          <w:p w:rsidR="00D620E0" w:rsidRPr="00D620E0" w:rsidRDefault="00D620E0">
            <w:pPr>
              <w:rPr>
                <w:rFonts w:ascii="Times" w:hAnsi="Times" w:cs="Times"/>
                <w:color w:val="FF0000"/>
                <w:sz w:val="2"/>
                <w:szCs w:val="2"/>
              </w:rPr>
            </w:pPr>
            <w:r w:rsidRPr="00D620E0">
              <w:rPr>
                <w:rFonts w:ascii="Times" w:hAnsi="Times" w:cs="Times"/>
                <w:color w:val="FF0000"/>
                <w:sz w:val="2"/>
                <w:szCs w:val="2"/>
              </w:rPr>
              <w:t>.</w:t>
            </w:r>
          </w:p>
        </w:tc>
      </w:tr>
      <w:tr w:rsidR="0003246C" w:rsidTr="00136291">
        <w:trPr>
          <w:gridAfter w:val="3"/>
          <w:wAfter w:w="300" w:type="dxa"/>
        </w:trPr>
        <w:tc>
          <w:tcPr>
            <w:tcW w:w="9002" w:type="dxa"/>
            <w:gridSpan w:val="10"/>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jc w:val="center"/>
              <w:rPr>
                <w:rFonts w:ascii="Times New Roman" w:hAnsi="Times New Roman" w:cs="Times New Roman"/>
              </w:rPr>
            </w:pPr>
            <w:r>
              <w:rPr>
                <w:rFonts w:ascii="Times New Roman" w:hAnsi="Times New Roman" w:cs="Times New Roman"/>
                <w:b/>
                <w:bCs/>
              </w:rPr>
              <w:t>PROJECT INFORMATION DOCUMENT (PID)</w:t>
            </w:r>
          </w:p>
        </w:tc>
      </w:tr>
      <w:tr w:rsidR="0003246C" w:rsidTr="00136291">
        <w:trPr>
          <w:gridAfter w:val="3"/>
          <w:wAfter w:w="300" w:type="dxa"/>
        </w:trPr>
        <w:tc>
          <w:tcPr>
            <w:tcW w:w="9002" w:type="dxa"/>
            <w:gridSpan w:val="10"/>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jc w:val="center"/>
              <w:rPr>
                <w:rFonts w:ascii="Times New Roman" w:hAnsi="Times New Roman" w:cs="Times New Roman"/>
              </w:rPr>
            </w:pPr>
            <w:r>
              <w:rPr>
                <w:rFonts w:ascii="Times New Roman" w:hAnsi="Times New Roman" w:cs="Times New Roman"/>
                <w:b/>
                <w:bCs/>
              </w:rPr>
              <w:t>APPRAISAL STAGE</w:t>
            </w:r>
          </w:p>
        </w:tc>
      </w:tr>
      <w:tr w:rsidR="0003246C" w:rsidTr="00136291">
        <w:trPr>
          <w:gridAfter w:val="3"/>
          <w:wAfter w:w="300" w:type="dxa"/>
        </w:trPr>
        <w:tc>
          <w:tcPr>
            <w:tcW w:w="8100" w:type="dxa"/>
            <w:gridSpan w:val="9"/>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jc w:val="right"/>
              <w:rPr>
                <w:rFonts w:ascii="Times New Roman" w:hAnsi="Times New Roman" w:cs="Times New Roman"/>
              </w:rPr>
            </w:pPr>
            <w:r>
              <w:rPr>
                <w:rFonts w:ascii="Times New Roman" w:hAnsi="Times New Roman" w:cs="Times New Roman"/>
              </w:rPr>
              <w:t>Report No.:</w:t>
            </w:r>
            <w:r w:rsidR="006440FE">
              <w:rPr>
                <w:rFonts w:ascii="Times New Roman" w:hAnsi="Times New Roman" w:cs="Times New Roman"/>
              </w:rPr>
              <w:t xml:space="preserve"> 88046</w:t>
            </w:r>
            <w:bookmarkStart w:id="0" w:name="_GoBack"/>
            <w:bookmarkEnd w:id="0"/>
            <w:r>
              <w:rPr>
                <w:rFonts w:ascii="Times New Roman" w:hAnsi="Times New Roman" w:cs="Times New Roman"/>
              </w:rPr>
              <w:t xml:space="preserve"> </w:t>
            </w:r>
          </w:p>
        </w:tc>
        <w:tc>
          <w:tcPr>
            <w:tcW w:w="902" w:type="dxa"/>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New Roman" w:hAnsi="Times New Roman" w:cs="Times New Roman"/>
                <w:color w:val="auto"/>
              </w:rPr>
            </w:pPr>
          </w:p>
        </w:tc>
      </w:tr>
      <w:tr w:rsidR="0003246C" w:rsidTr="00136291">
        <w:trPr>
          <w:gridAfter w:val="3"/>
          <w:wAfter w:w="300" w:type="dxa"/>
        </w:trPr>
        <w:tc>
          <w:tcPr>
            <w:tcW w:w="9002" w:type="dxa"/>
            <w:gridSpan w:val="10"/>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w:hAnsi="Times" w:cs="Times"/>
                <w:color w:val="FFFFFF"/>
                <w:sz w:val="2"/>
                <w:szCs w:val="2"/>
              </w:rPr>
            </w:pPr>
            <w:r>
              <w:rPr>
                <w:rFonts w:ascii="Times" w:hAnsi="Times" w:cs="Times"/>
                <w:color w:val="FFFFFF"/>
                <w:sz w:val="2"/>
                <w:szCs w:val="2"/>
              </w:rPr>
              <w:t>.</w:t>
            </w:r>
          </w:p>
        </w:tc>
      </w:tr>
      <w:tr w:rsidR="0003246C" w:rsidTr="00136291">
        <w:trPr>
          <w:gridAfter w:val="3"/>
          <w:wAfter w:w="300" w:type="dxa"/>
        </w:trPr>
        <w:tc>
          <w:tcPr>
            <w:tcW w:w="263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rPr>
                <w:rFonts w:ascii="Times New Roman" w:hAnsi="Times New Roman" w:cs="Times New Roman"/>
                <w:sz w:val="22"/>
                <w:szCs w:val="22"/>
              </w:rPr>
            </w:pPr>
            <w:r>
              <w:rPr>
                <w:rFonts w:ascii="Times New Roman" w:hAnsi="Times New Roman" w:cs="Times New Roman"/>
                <w:b/>
                <w:bCs/>
                <w:sz w:val="22"/>
                <w:szCs w:val="22"/>
              </w:rPr>
              <w:t>Project Name</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Pr="008B6AE7" w:rsidRDefault="008B6AE7" w:rsidP="008B6AE7">
            <w:pPr>
              <w:rPr>
                <w:rFonts w:ascii="Times New Roman" w:hAnsi="Times New Roman" w:cs="Times New Roman"/>
                <w:sz w:val="22"/>
              </w:rPr>
            </w:pPr>
            <w:r w:rsidRPr="008B6AE7">
              <w:rPr>
                <w:rFonts w:ascii="Times New Roman" w:hAnsi="Times New Roman" w:cs="Times New Roman"/>
              </w:rPr>
              <w:t xml:space="preserve">District Heating </w:t>
            </w:r>
            <w:r>
              <w:rPr>
                <w:rFonts w:ascii="Times New Roman" w:hAnsi="Times New Roman" w:cs="Times New Roman"/>
              </w:rPr>
              <w:t>R</w:t>
            </w:r>
            <w:r w:rsidRPr="008B6AE7">
              <w:rPr>
                <w:rFonts w:ascii="Times New Roman" w:hAnsi="Times New Roman" w:cs="Times New Roman"/>
              </w:rPr>
              <w:t xml:space="preserve">egulatory </w:t>
            </w:r>
            <w:r>
              <w:rPr>
                <w:rFonts w:ascii="Times New Roman" w:hAnsi="Times New Roman" w:cs="Times New Roman"/>
              </w:rPr>
              <w:t>R</w:t>
            </w:r>
            <w:r w:rsidRPr="008B6AE7">
              <w:rPr>
                <w:rFonts w:ascii="Times New Roman" w:hAnsi="Times New Roman" w:cs="Times New Roman"/>
              </w:rPr>
              <w:t xml:space="preserve">eform </w:t>
            </w:r>
            <w:r>
              <w:rPr>
                <w:rFonts w:ascii="Times New Roman" w:hAnsi="Times New Roman" w:cs="Times New Roman"/>
              </w:rPr>
              <w:t>S</w:t>
            </w:r>
            <w:r w:rsidRPr="008B6AE7">
              <w:rPr>
                <w:rFonts w:ascii="Times New Roman" w:hAnsi="Times New Roman" w:cs="Times New Roman"/>
              </w:rPr>
              <w:t xml:space="preserve">upport </w:t>
            </w:r>
            <w:r>
              <w:rPr>
                <w:rFonts w:ascii="Times New Roman" w:hAnsi="Times New Roman" w:cs="Times New Roman"/>
              </w:rPr>
              <w:t>P</w:t>
            </w:r>
            <w:r w:rsidRPr="008B6AE7">
              <w:rPr>
                <w:rFonts w:ascii="Times New Roman" w:hAnsi="Times New Roman" w:cs="Times New Roman"/>
              </w:rPr>
              <w:t>rogram</w:t>
            </w:r>
          </w:p>
        </w:tc>
      </w:tr>
      <w:tr w:rsidR="0003246C" w:rsidTr="00136291">
        <w:trPr>
          <w:gridAfter w:val="3"/>
          <w:wAfter w:w="300" w:type="dxa"/>
        </w:trPr>
        <w:tc>
          <w:tcPr>
            <w:tcW w:w="263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rPr>
                <w:rFonts w:ascii="Times New Roman" w:hAnsi="Times New Roman" w:cs="Times New Roman"/>
                <w:sz w:val="22"/>
                <w:szCs w:val="22"/>
              </w:rPr>
            </w:pPr>
            <w:r>
              <w:rPr>
                <w:rFonts w:ascii="Times New Roman" w:hAnsi="Times New Roman" w:cs="Times New Roman"/>
                <w:b/>
                <w:bCs/>
                <w:sz w:val="22"/>
                <w:szCs w:val="22"/>
              </w:rPr>
              <w:t>Region</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8B6AE7" w:rsidP="00BA1518">
            <w:pPr>
              <w:rPr>
                <w:rFonts w:ascii="Times New Roman" w:hAnsi="Times New Roman" w:cs="Times New Roman"/>
                <w:sz w:val="22"/>
                <w:szCs w:val="22"/>
              </w:rPr>
            </w:pPr>
            <w:r>
              <w:rPr>
                <w:rFonts w:ascii="Times New Roman" w:hAnsi="Times New Roman" w:cs="Times New Roman"/>
                <w:sz w:val="22"/>
                <w:szCs w:val="22"/>
              </w:rPr>
              <w:t>EUROPE AND CENTRAL ASIA</w:t>
            </w:r>
          </w:p>
        </w:tc>
      </w:tr>
      <w:tr w:rsidR="0003246C" w:rsidTr="00136291">
        <w:trPr>
          <w:gridAfter w:val="3"/>
          <w:wAfter w:w="300" w:type="dxa"/>
        </w:trPr>
        <w:tc>
          <w:tcPr>
            <w:tcW w:w="263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rPr>
                <w:rFonts w:ascii="Times New Roman" w:hAnsi="Times New Roman" w:cs="Times New Roman"/>
                <w:sz w:val="22"/>
                <w:szCs w:val="22"/>
              </w:rPr>
            </w:pPr>
            <w:r>
              <w:rPr>
                <w:rFonts w:ascii="Times New Roman" w:hAnsi="Times New Roman" w:cs="Times New Roman"/>
                <w:b/>
                <w:bCs/>
                <w:sz w:val="22"/>
                <w:szCs w:val="22"/>
              </w:rPr>
              <w:t>Country</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8B6AE7" w:rsidP="00BA1518">
            <w:pPr>
              <w:rPr>
                <w:rFonts w:ascii="Times New Roman" w:hAnsi="Times New Roman" w:cs="Times New Roman"/>
                <w:sz w:val="22"/>
                <w:szCs w:val="22"/>
              </w:rPr>
            </w:pPr>
            <w:r>
              <w:rPr>
                <w:rFonts w:ascii="Times New Roman" w:hAnsi="Times New Roman" w:cs="Times New Roman"/>
                <w:sz w:val="22"/>
                <w:szCs w:val="22"/>
              </w:rPr>
              <w:t>Ukraine</w:t>
            </w:r>
          </w:p>
        </w:tc>
      </w:tr>
      <w:tr w:rsidR="0003246C" w:rsidTr="00136291">
        <w:trPr>
          <w:gridAfter w:val="3"/>
          <w:wAfter w:w="300" w:type="dxa"/>
        </w:trPr>
        <w:tc>
          <w:tcPr>
            <w:tcW w:w="263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rPr>
                <w:rFonts w:ascii="Times New Roman" w:hAnsi="Times New Roman" w:cs="Times New Roman"/>
                <w:sz w:val="22"/>
                <w:szCs w:val="22"/>
              </w:rPr>
            </w:pPr>
            <w:r>
              <w:rPr>
                <w:rFonts w:ascii="Times New Roman" w:hAnsi="Times New Roman" w:cs="Times New Roman"/>
                <w:b/>
                <w:bCs/>
                <w:sz w:val="22"/>
                <w:szCs w:val="22"/>
              </w:rPr>
              <w:t>Sector(s)</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Pr="008B6AE7" w:rsidRDefault="008B6AE7" w:rsidP="00BA1518">
            <w:pPr>
              <w:rPr>
                <w:rFonts w:ascii="Times New Roman" w:hAnsi="Times New Roman" w:cs="Times New Roman"/>
              </w:rPr>
            </w:pPr>
            <w:r w:rsidRPr="008B6AE7">
              <w:rPr>
                <w:rFonts w:ascii="Times New Roman" w:hAnsi="Times New Roman" w:cs="Times New Roman"/>
              </w:rPr>
              <w:t>Energy Efficiency in Heat and Power</w:t>
            </w:r>
          </w:p>
        </w:tc>
      </w:tr>
      <w:tr w:rsidR="001264AD" w:rsidTr="00136291">
        <w:trPr>
          <w:gridAfter w:val="3"/>
          <w:wAfter w:w="300" w:type="dxa"/>
        </w:trPr>
        <w:tc>
          <w:tcPr>
            <w:tcW w:w="263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264AD" w:rsidRDefault="001264AD" w:rsidP="00BA1518">
            <w:pPr>
              <w:rPr>
                <w:rFonts w:ascii="Times New Roman" w:hAnsi="Times New Roman" w:cs="Times New Roman"/>
                <w:b/>
                <w:bCs/>
                <w:sz w:val="22"/>
                <w:szCs w:val="22"/>
              </w:rPr>
            </w:pPr>
            <w:r>
              <w:rPr>
                <w:rFonts w:ascii="Times New Roman" w:hAnsi="Times New Roman" w:cs="Times New Roman"/>
                <w:b/>
                <w:bCs/>
                <w:sz w:val="22"/>
                <w:szCs w:val="22"/>
              </w:rPr>
              <w:t>Theme(s)</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B6AE7" w:rsidRPr="008B6AE7" w:rsidRDefault="008B6AE7" w:rsidP="008B6AE7">
            <w:pPr>
              <w:rPr>
                <w:rFonts w:ascii="Times New Roman" w:hAnsi="Times New Roman" w:cs="Times New Roman"/>
              </w:rPr>
            </w:pPr>
            <w:r w:rsidRPr="008B6AE7">
              <w:rPr>
                <w:rFonts w:ascii="Times New Roman" w:hAnsi="Times New Roman" w:cs="Times New Roman"/>
              </w:rPr>
              <w:t>Other</w:t>
            </w:r>
          </w:p>
          <w:p w:rsidR="008B6AE7" w:rsidRPr="008B6AE7" w:rsidRDefault="008B6AE7" w:rsidP="008B6AE7">
            <w:pPr>
              <w:rPr>
                <w:rFonts w:ascii="Times New Roman" w:hAnsi="Times New Roman" w:cs="Times New Roman"/>
              </w:rPr>
            </w:pPr>
            <w:r w:rsidRPr="008B6AE7">
              <w:rPr>
                <w:rFonts w:ascii="Times New Roman" w:hAnsi="Times New Roman" w:cs="Times New Roman"/>
              </w:rPr>
              <w:t>Other Public Sector Governance</w:t>
            </w:r>
          </w:p>
          <w:p w:rsidR="001264AD" w:rsidRDefault="008B6AE7" w:rsidP="008B6AE7">
            <w:pPr>
              <w:rPr>
                <w:rFonts w:ascii="Times New Roman" w:hAnsi="Times New Roman" w:cs="Times New Roman"/>
                <w:sz w:val="22"/>
                <w:szCs w:val="22"/>
              </w:rPr>
            </w:pPr>
            <w:r w:rsidRPr="008B6AE7">
              <w:rPr>
                <w:rFonts w:ascii="Times New Roman" w:hAnsi="Times New Roman" w:cs="Times New Roman"/>
              </w:rPr>
              <w:t>Municipal Governance and Institution Building</w:t>
            </w:r>
          </w:p>
        </w:tc>
      </w:tr>
      <w:tr w:rsidR="0003246C" w:rsidTr="00136291">
        <w:trPr>
          <w:gridAfter w:val="3"/>
          <w:wAfter w:w="300" w:type="dxa"/>
        </w:trPr>
        <w:tc>
          <w:tcPr>
            <w:tcW w:w="263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rPr>
                <w:rFonts w:ascii="Times New Roman" w:hAnsi="Times New Roman" w:cs="Times New Roman"/>
                <w:sz w:val="22"/>
                <w:szCs w:val="22"/>
              </w:rPr>
            </w:pPr>
            <w:r>
              <w:rPr>
                <w:rFonts w:ascii="Times New Roman" w:hAnsi="Times New Roman" w:cs="Times New Roman"/>
                <w:b/>
                <w:bCs/>
                <w:sz w:val="22"/>
                <w:szCs w:val="22"/>
              </w:rPr>
              <w:t>Lending Instrument</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Pr="008B6AE7" w:rsidRDefault="008B6AE7" w:rsidP="00BA1518">
            <w:pPr>
              <w:rPr>
                <w:rFonts w:ascii="Times New Roman" w:hAnsi="Times New Roman" w:cs="Times New Roman"/>
              </w:rPr>
            </w:pPr>
            <w:r w:rsidRPr="008B6AE7">
              <w:rPr>
                <w:rFonts w:ascii="Times New Roman" w:hAnsi="Times New Roman" w:cs="Times New Roman"/>
              </w:rPr>
              <w:t>Recipient-Executed Grant</w:t>
            </w:r>
          </w:p>
        </w:tc>
      </w:tr>
      <w:tr w:rsidR="0003246C" w:rsidTr="00136291">
        <w:trPr>
          <w:gridAfter w:val="3"/>
          <w:wAfter w:w="300" w:type="dxa"/>
        </w:trPr>
        <w:tc>
          <w:tcPr>
            <w:tcW w:w="263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rPr>
                <w:rFonts w:ascii="Times New Roman" w:hAnsi="Times New Roman" w:cs="Times New Roman"/>
                <w:sz w:val="22"/>
                <w:szCs w:val="22"/>
              </w:rPr>
            </w:pPr>
            <w:r>
              <w:rPr>
                <w:rFonts w:ascii="Times New Roman" w:hAnsi="Times New Roman" w:cs="Times New Roman"/>
                <w:b/>
                <w:bCs/>
                <w:sz w:val="22"/>
                <w:szCs w:val="22"/>
              </w:rPr>
              <w:t>Project ID</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Pr="008B6AE7" w:rsidRDefault="008B6AE7" w:rsidP="00BA1518">
            <w:pPr>
              <w:rPr>
                <w:rFonts w:ascii="Times New Roman" w:hAnsi="Times New Roman" w:cs="Times New Roman"/>
              </w:rPr>
            </w:pPr>
            <w:r w:rsidRPr="008B6AE7">
              <w:rPr>
                <w:rFonts w:ascii="Times New Roman" w:hAnsi="Times New Roman" w:cs="Times New Roman"/>
              </w:rPr>
              <w:t>P147651</w:t>
            </w:r>
          </w:p>
        </w:tc>
      </w:tr>
      <w:tr w:rsidR="0003246C" w:rsidTr="00136291">
        <w:trPr>
          <w:gridAfter w:val="3"/>
          <w:wAfter w:w="300" w:type="dxa"/>
        </w:trPr>
        <w:tc>
          <w:tcPr>
            <w:tcW w:w="263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8B072E" w:rsidP="00BA1518">
            <w:pPr>
              <w:rPr>
                <w:rFonts w:ascii="Times New Roman" w:hAnsi="Times New Roman" w:cs="Times New Roman"/>
                <w:sz w:val="22"/>
                <w:szCs w:val="22"/>
              </w:rPr>
            </w:pPr>
            <w:r>
              <w:rPr>
                <w:rFonts w:ascii="Times New Roman" w:hAnsi="Times New Roman" w:cs="Times New Roman"/>
                <w:b/>
                <w:bCs/>
                <w:sz w:val="22"/>
                <w:szCs w:val="22"/>
              </w:rPr>
              <w:t>Recipient</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Pr="008B072E" w:rsidRDefault="008B072E" w:rsidP="00BA1518">
            <w:pPr>
              <w:rPr>
                <w:rFonts w:ascii="Times New Roman" w:hAnsi="Times New Roman" w:cs="Times New Roman"/>
                <w:color w:val="auto"/>
              </w:rPr>
            </w:pPr>
            <w:r w:rsidRPr="008B072E">
              <w:rPr>
                <w:rFonts w:ascii="Times New Roman" w:hAnsi="Times New Roman" w:cs="Times New Roman"/>
                <w:color w:val="auto"/>
              </w:rPr>
              <w:t>Ukraine</w:t>
            </w:r>
          </w:p>
        </w:tc>
      </w:tr>
      <w:tr w:rsidR="0003246C" w:rsidTr="00136291">
        <w:trPr>
          <w:gridAfter w:val="3"/>
          <w:wAfter w:w="300" w:type="dxa"/>
        </w:trPr>
        <w:tc>
          <w:tcPr>
            <w:tcW w:w="263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rPr>
                <w:rFonts w:ascii="Times New Roman" w:hAnsi="Times New Roman" w:cs="Times New Roman"/>
                <w:sz w:val="22"/>
                <w:szCs w:val="22"/>
              </w:rPr>
            </w:pPr>
            <w:r>
              <w:rPr>
                <w:rFonts w:ascii="Times New Roman" w:hAnsi="Times New Roman" w:cs="Times New Roman"/>
                <w:b/>
                <w:bCs/>
                <w:sz w:val="22"/>
                <w:szCs w:val="22"/>
              </w:rPr>
              <w:t>Implementing Agency</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Pr="008B072E" w:rsidRDefault="008B072E" w:rsidP="00BA1518">
            <w:pPr>
              <w:rPr>
                <w:rFonts w:ascii="Times New Roman" w:hAnsi="Times New Roman" w:cs="Times New Roman"/>
              </w:rPr>
            </w:pPr>
            <w:r w:rsidRPr="008B072E">
              <w:rPr>
                <w:rFonts w:ascii="Times New Roman" w:hAnsi="Times New Roman" w:cs="Times New Roman"/>
              </w:rPr>
              <w:t>National Commission of Ukraine for Regulation of Communal Services</w:t>
            </w:r>
          </w:p>
        </w:tc>
      </w:tr>
      <w:tr w:rsidR="0003246C" w:rsidTr="00136291">
        <w:trPr>
          <w:gridAfter w:val="3"/>
          <w:wAfter w:w="300" w:type="dxa"/>
        </w:trPr>
        <w:tc>
          <w:tcPr>
            <w:tcW w:w="263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rPr>
                <w:rFonts w:ascii="Times New Roman" w:hAnsi="Times New Roman" w:cs="Times New Roman"/>
                <w:sz w:val="22"/>
                <w:szCs w:val="22"/>
              </w:rPr>
            </w:pPr>
            <w:r>
              <w:rPr>
                <w:rFonts w:ascii="Times New Roman" w:hAnsi="Times New Roman" w:cs="Times New Roman"/>
                <w:b/>
                <w:bCs/>
                <w:sz w:val="22"/>
                <w:szCs w:val="22"/>
              </w:rPr>
              <w:t>Environmental Category</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8B072E" w:rsidP="00BA1518">
            <w:pPr>
              <w:rPr>
                <w:rFonts w:ascii="Times New Roman" w:hAnsi="Times New Roman" w:cs="Times New Roman"/>
                <w:sz w:val="22"/>
                <w:szCs w:val="22"/>
              </w:rPr>
            </w:pPr>
            <w:r>
              <w:rPr>
                <w:rFonts w:ascii="Times New Roman" w:hAnsi="Times New Roman" w:cs="Times New Roman"/>
                <w:sz w:val="22"/>
                <w:szCs w:val="22"/>
              </w:rPr>
              <w:t>C</w:t>
            </w:r>
          </w:p>
        </w:tc>
      </w:tr>
      <w:tr w:rsidR="0003246C" w:rsidTr="00136291">
        <w:trPr>
          <w:gridAfter w:val="3"/>
          <w:wAfter w:w="300" w:type="dxa"/>
        </w:trPr>
        <w:tc>
          <w:tcPr>
            <w:tcW w:w="263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rPr>
                <w:rFonts w:ascii="Times New Roman" w:hAnsi="Times New Roman" w:cs="Times New Roman"/>
                <w:sz w:val="22"/>
                <w:szCs w:val="22"/>
              </w:rPr>
            </w:pPr>
            <w:r>
              <w:rPr>
                <w:rFonts w:ascii="Times New Roman" w:hAnsi="Times New Roman" w:cs="Times New Roman"/>
                <w:b/>
                <w:bCs/>
                <w:sz w:val="22"/>
                <w:szCs w:val="22"/>
              </w:rPr>
              <w:t>Date PID Prepared/Updated</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A4457F" w:rsidP="00BA1518">
            <w:pPr>
              <w:rPr>
                <w:rFonts w:ascii="Times New Roman" w:hAnsi="Times New Roman" w:cs="Times New Roman"/>
                <w:sz w:val="22"/>
                <w:szCs w:val="22"/>
              </w:rPr>
            </w:pPr>
            <w:r>
              <w:rPr>
                <w:rFonts w:ascii="Times New Roman" w:hAnsi="Times New Roman" w:cs="Times New Roman"/>
                <w:sz w:val="22"/>
                <w:szCs w:val="22"/>
              </w:rPr>
              <w:t>May 1</w:t>
            </w:r>
            <w:r w:rsidR="008B072E">
              <w:rPr>
                <w:rFonts w:ascii="Times New Roman" w:hAnsi="Times New Roman" w:cs="Times New Roman"/>
                <w:sz w:val="22"/>
                <w:szCs w:val="22"/>
              </w:rPr>
              <w:t>, 2014</w:t>
            </w:r>
          </w:p>
        </w:tc>
      </w:tr>
      <w:tr w:rsidR="0003246C" w:rsidTr="00136291">
        <w:trPr>
          <w:gridAfter w:val="3"/>
          <w:wAfter w:w="300" w:type="dxa"/>
        </w:trPr>
        <w:tc>
          <w:tcPr>
            <w:tcW w:w="263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rPr>
                <w:rFonts w:ascii="Times New Roman" w:hAnsi="Times New Roman" w:cs="Times New Roman"/>
                <w:sz w:val="22"/>
                <w:szCs w:val="22"/>
              </w:rPr>
            </w:pPr>
            <w:r>
              <w:rPr>
                <w:rFonts w:ascii="Times New Roman" w:hAnsi="Times New Roman" w:cs="Times New Roman"/>
                <w:b/>
                <w:bCs/>
                <w:sz w:val="22"/>
                <w:szCs w:val="22"/>
              </w:rPr>
              <w:t>Estimated Date of Appraisal Completion</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A4457F" w:rsidP="00A4457F">
            <w:pPr>
              <w:rPr>
                <w:rFonts w:ascii="Times New Roman" w:hAnsi="Times New Roman" w:cs="Times New Roman"/>
                <w:sz w:val="22"/>
                <w:szCs w:val="22"/>
              </w:rPr>
            </w:pPr>
            <w:r>
              <w:rPr>
                <w:rFonts w:ascii="Times New Roman" w:hAnsi="Times New Roman" w:cs="Times New Roman"/>
                <w:sz w:val="22"/>
                <w:szCs w:val="22"/>
              </w:rPr>
              <w:t>May</w:t>
            </w:r>
            <w:r w:rsidR="00AD4B2C">
              <w:rPr>
                <w:rFonts w:ascii="Times New Roman" w:hAnsi="Times New Roman" w:cs="Times New Roman"/>
                <w:sz w:val="22"/>
                <w:szCs w:val="22"/>
              </w:rPr>
              <w:t xml:space="preserve">  </w:t>
            </w:r>
            <w:r>
              <w:rPr>
                <w:rFonts w:ascii="Times New Roman" w:hAnsi="Times New Roman" w:cs="Times New Roman"/>
                <w:sz w:val="22"/>
                <w:szCs w:val="22"/>
              </w:rPr>
              <w:t>20</w:t>
            </w:r>
            <w:r w:rsidR="00AD4B2C">
              <w:rPr>
                <w:rFonts w:ascii="Times New Roman" w:hAnsi="Times New Roman" w:cs="Times New Roman"/>
                <w:sz w:val="22"/>
                <w:szCs w:val="22"/>
              </w:rPr>
              <w:t>, 2014</w:t>
            </w:r>
          </w:p>
        </w:tc>
      </w:tr>
      <w:tr w:rsidR="0003246C" w:rsidTr="00136291">
        <w:trPr>
          <w:gridAfter w:val="3"/>
          <w:wAfter w:w="300" w:type="dxa"/>
        </w:trPr>
        <w:tc>
          <w:tcPr>
            <w:tcW w:w="263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rPr>
                <w:rFonts w:ascii="Times New Roman" w:hAnsi="Times New Roman" w:cs="Times New Roman"/>
                <w:sz w:val="22"/>
                <w:szCs w:val="22"/>
              </w:rPr>
            </w:pPr>
            <w:r>
              <w:rPr>
                <w:rFonts w:ascii="Times New Roman" w:hAnsi="Times New Roman" w:cs="Times New Roman"/>
                <w:b/>
                <w:bCs/>
                <w:sz w:val="22"/>
                <w:szCs w:val="22"/>
              </w:rPr>
              <w:t>Estimated Date of Board Approval</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AD4B2C" w:rsidP="00BA1518">
            <w:pPr>
              <w:rPr>
                <w:rFonts w:ascii="Times New Roman" w:hAnsi="Times New Roman" w:cs="Times New Roman"/>
                <w:sz w:val="22"/>
                <w:szCs w:val="22"/>
              </w:rPr>
            </w:pPr>
            <w:r>
              <w:rPr>
                <w:rFonts w:ascii="Times New Roman" w:hAnsi="Times New Roman" w:cs="Times New Roman"/>
                <w:sz w:val="22"/>
                <w:szCs w:val="22"/>
              </w:rPr>
              <w:t>N/a</w:t>
            </w:r>
          </w:p>
        </w:tc>
      </w:tr>
      <w:tr w:rsidR="0003246C" w:rsidTr="00136291">
        <w:trPr>
          <w:gridAfter w:val="3"/>
          <w:wAfter w:w="300" w:type="dxa"/>
        </w:trPr>
        <w:tc>
          <w:tcPr>
            <w:tcW w:w="263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rPr>
                <w:rFonts w:ascii="Times New Roman" w:hAnsi="Times New Roman" w:cs="Times New Roman"/>
                <w:sz w:val="22"/>
                <w:szCs w:val="22"/>
              </w:rPr>
            </w:pPr>
            <w:r>
              <w:rPr>
                <w:rFonts w:ascii="Times New Roman" w:hAnsi="Times New Roman" w:cs="Times New Roman"/>
                <w:b/>
                <w:bCs/>
                <w:sz w:val="22"/>
                <w:szCs w:val="22"/>
              </w:rPr>
              <w:t>Decision</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A4457F" w:rsidP="00A4457F">
            <w:pPr>
              <w:rPr>
                <w:rFonts w:ascii="Times New Roman" w:hAnsi="Times New Roman" w:cs="Times New Roman"/>
                <w:sz w:val="22"/>
                <w:szCs w:val="22"/>
              </w:rPr>
            </w:pPr>
            <w:r>
              <w:rPr>
                <w:rFonts w:ascii="Times New Roman" w:hAnsi="Times New Roman" w:cs="Times New Roman"/>
                <w:sz w:val="22"/>
                <w:szCs w:val="22"/>
              </w:rPr>
              <w:t>May 25</w:t>
            </w:r>
            <w:r w:rsidR="00AD4B2C">
              <w:rPr>
                <w:rFonts w:ascii="Times New Roman" w:hAnsi="Times New Roman" w:cs="Times New Roman"/>
                <w:sz w:val="22"/>
                <w:szCs w:val="22"/>
              </w:rPr>
              <w:t>, 201</w:t>
            </w:r>
            <w:r>
              <w:rPr>
                <w:rFonts w:ascii="Times New Roman" w:hAnsi="Times New Roman" w:cs="Times New Roman"/>
                <w:sz w:val="22"/>
                <w:szCs w:val="22"/>
              </w:rPr>
              <w:t>4</w:t>
            </w:r>
          </w:p>
        </w:tc>
      </w:tr>
      <w:tr w:rsidR="0003246C" w:rsidTr="00136291">
        <w:trPr>
          <w:gridAfter w:val="3"/>
          <w:wAfter w:w="300" w:type="dxa"/>
        </w:trPr>
        <w:tc>
          <w:tcPr>
            <w:tcW w:w="263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rPr>
                <w:rFonts w:ascii="Times New Roman" w:hAnsi="Times New Roman" w:cs="Times New Roman"/>
                <w:sz w:val="22"/>
                <w:szCs w:val="22"/>
              </w:rPr>
            </w:pPr>
            <w:r>
              <w:rPr>
                <w:rFonts w:ascii="Times New Roman" w:hAnsi="Times New Roman" w:cs="Times New Roman"/>
                <w:b/>
                <w:bCs/>
                <w:sz w:val="22"/>
                <w:szCs w:val="22"/>
              </w:rPr>
              <w:t>Other Decision</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AD4B2C" w:rsidP="00BA1518">
            <w:pPr>
              <w:rPr>
                <w:rFonts w:ascii="Times New Roman" w:hAnsi="Times New Roman" w:cs="Times New Roman"/>
                <w:sz w:val="22"/>
                <w:szCs w:val="22"/>
              </w:rPr>
            </w:pPr>
            <w:r>
              <w:rPr>
                <w:rFonts w:ascii="Times New Roman" w:hAnsi="Times New Roman" w:cs="Times New Roman"/>
                <w:sz w:val="22"/>
                <w:szCs w:val="22"/>
              </w:rPr>
              <w:t>N/a</w:t>
            </w:r>
          </w:p>
        </w:tc>
      </w:tr>
      <w:tr w:rsidR="0003246C" w:rsidTr="00136291">
        <w:trPr>
          <w:gridAfter w:val="3"/>
          <w:wAfter w:w="300" w:type="dxa"/>
        </w:trPr>
        <w:tc>
          <w:tcPr>
            <w:tcW w:w="9002" w:type="dxa"/>
            <w:gridSpan w:val="10"/>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w:hAnsi="Times" w:cs="Times"/>
                <w:color w:val="FFFFFF"/>
                <w:sz w:val="8"/>
                <w:szCs w:val="8"/>
              </w:rPr>
            </w:pPr>
            <w:r>
              <w:rPr>
                <w:rFonts w:ascii="Times" w:hAnsi="Times" w:cs="Times"/>
                <w:color w:val="FFFFFF"/>
                <w:sz w:val="8"/>
                <w:szCs w:val="8"/>
              </w:rPr>
              <w:t>.</w:t>
            </w:r>
          </w:p>
        </w:tc>
      </w:tr>
      <w:tr w:rsidR="0003246C" w:rsidTr="00136291">
        <w:trPr>
          <w:gridAfter w:val="3"/>
          <w:wAfter w:w="300" w:type="dxa"/>
        </w:trPr>
        <w:tc>
          <w:tcPr>
            <w:tcW w:w="9002" w:type="dxa"/>
            <w:gridSpan w:val="10"/>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New Roman" w:hAnsi="Times New Roman" w:cs="Times New Roman"/>
              </w:rPr>
            </w:pPr>
            <w:r>
              <w:rPr>
                <w:rFonts w:ascii="Times New Roman" w:hAnsi="Times New Roman" w:cs="Times New Roman"/>
                <w:b/>
                <w:bCs/>
              </w:rPr>
              <w:t>I. Project Context</w:t>
            </w:r>
          </w:p>
        </w:tc>
      </w:tr>
      <w:tr w:rsidR="0003246C" w:rsidTr="00136291">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New Roman" w:hAnsi="Times New Roman" w:cs="Times New Roman"/>
                <w:color w:val="auto"/>
              </w:rPr>
            </w:pPr>
          </w:p>
        </w:tc>
        <w:tc>
          <w:tcPr>
            <w:tcW w:w="9182" w:type="dxa"/>
            <w:gridSpan w:val="12"/>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6F46B6">
            <w:pPr>
              <w:spacing w:before="120"/>
              <w:rPr>
                <w:rFonts w:ascii="Times New Roman" w:hAnsi="Times New Roman" w:cs="Times New Roman"/>
                <w:color w:val="314F4F"/>
                <w:sz w:val="22"/>
                <w:szCs w:val="22"/>
              </w:rPr>
            </w:pPr>
            <w:r>
              <w:rPr>
                <w:rFonts w:ascii="Times New Roman" w:hAnsi="Times New Roman" w:cs="Times New Roman"/>
                <w:color w:val="314F4F"/>
                <w:sz w:val="22"/>
                <w:szCs w:val="22"/>
              </w:rPr>
              <w:t>Country Context</w:t>
            </w:r>
          </w:p>
          <w:p w:rsidR="006F46B6" w:rsidRPr="006F46B6" w:rsidRDefault="006F46B6" w:rsidP="006F46B6">
            <w:pPr>
              <w:pStyle w:val="ListParagraph"/>
              <w:numPr>
                <w:ilvl w:val="0"/>
                <w:numId w:val="5"/>
              </w:numPr>
              <w:tabs>
                <w:tab w:val="clear" w:pos="360"/>
                <w:tab w:val="num" w:pos="0"/>
              </w:tabs>
              <w:spacing w:before="120" w:after="120"/>
              <w:contextualSpacing w:val="0"/>
              <w:jc w:val="both"/>
              <w:rPr>
                <w:color w:val="000000"/>
              </w:rPr>
            </w:pPr>
            <w:r w:rsidRPr="006F46B6">
              <w:t>Ukraine is one of the 10 most energy-intensive economies in the world.</w:t>
            </w:r>
            <w:r w:rsidRPr="006F46B6">
              <w:rPr>
                <w:rStyle w:val="FootnoteReference"/>
              </w:rPr>
              <w:footnoteReference w:id="1"/>
            </w:r>
            <w:r w:rsidRPr="006F46B6">
              <w:rPr>
                <w:b/>
              </w:rPr>
              <w:t xml:space="preserve"> </w:t>
            </w:r>
            <w:r w:rsidRPr="006F46B6">
              <w:t>While Ukraine’s energy intensity</w:t>
            </w:r>
            <w:r w:rsidRPr="006F46B6">
              <w:rPr>
                <w:vertAlign w:val="superscript"/>
              </w:rPr>
              <w:footnoteReference w:id="2"/>
            </w:r>
            <w:r w:rsidRPr="006F46B6">
              <w:t xml:space="preserve"> declined at a rate of 5 percent per year during 1996-2009, it is three times higher than the EU average. Part of Ukraine’s energy efficiency problem is structural:</w:t>
            </w:r>
            <w:r w:rsidRPr="006F46B6">
              <w:rPr>
                <w:b/>
              </w:rPr>
              <w:t xml:space="preserve"> </w:t>
            </w:r>
            <w:r w:rsidRPr="006F46B6">
              <w:t xml:space="preserve">Ukraine was an important source of heavy equipment in the former Soviet Union. Nearly 20 years later, most of these assets still use the same technology. </w:t>
            </w:r>
          </w:p>
          <w:p w:rsidR="006F46B6" w:rsidRPr="006F46B6" w:rsidRDefault="00486E37" w:rsidP="006F46B6">
            <w:pPr>
              <w:pStyle w:val="ListParagraph"/>
              <w:numPr>
                <w:ilvl w:val="0"/>
                <w:numId w:val="5"/>
              </w:numPr>
              <w:tabs>
                <w:tab w:val="clear" w:pos="360"/>
                <w:tab w:val="num" w:pos="0"/>
              </w:tabs>
              <w:spacing w:after="120"/>
              <w:contextualSpacing w:val="0"/>
              <w:jc w:val="both"/>
              <w:rPr>
                <w:color w:val="000000"/>
              </w:rPr>
            </w:pPr>
            <w:r>
              <w:rPr>
                <w:bCs/>
                <w:iCs/>
              </w:rPr>
              <w:t>Ukrainian p</w:t>
            </w:r>
            <w:r w:rsidR="006F46B6" w:rsidRPr="006F46B6">
              <w:rPr>
                <w:bCs/>
                <w:iCs/>
              </w:rPr>
              <w:t>rimary energy supply</w:t>
            </w:r>
            <w:r w:rsidR="006F46B6" w:rsidRPr="006F46B6">
              <w:rPr>
                <w:i/>
                <w:iCs/>
              </w:rPr>
              <w:t xml:space="preserve"> </w:t>
            </w:r>
            <w:r w:rsidR="006F46B6" w:rsidRPr="006F46B6">
              <w:t xml:space="preserve">is dominated by natural gas. The efficiency with </w:t>
            </w:r>
            <w:r w:rsidR="006F46B6" w:rsidRPr="006F46B6">
              <w:lastRenderedPageBreak/>
              <w:t>which gas is used in Ukraine is well below modern standards, primarily due to the aging asset base. The Government of Ukraine (</w:t>
            </w:r>
            <w:proofErr w:type="spellStart"/>
            <w:r w:rsidR="006F46B6" w:rsidRPr="006F46B6">
              <w:t>GoU</w:t>
            </w:r>
            <w:proofErr w:type="spellEnd"/>
            <w:r w:rsidR="006F46B6" w:rsidRPr="006F46B6">
              <w:t>) plans to improve efficiency through a four-pronged effort: (</w:t>
            </w:r>
            <w:proofErr w:type="spellStart"/>
            <w:r w:rsidR="006F46B6" w:rsidRPr="006F46B6">
              <w:t>i</w:t>
            </w:r>
            <w:proofErr w:type="spellEnd"/>
            <w:r w:rsidR="006F46B6" w:rsidRPr="006F46B6">
              <w:t>) replacing the oldest assets with new equipment; (ii) upgrading plants</w:t>
            </w:r>
            <w:r w:rsidR="00F26A07">
              <w:t>/</w:t>
            </w:r>
            <w:r w:rsidR="006F46B6" w:rsidRPr="006F46B6">
              <w:t xml:space="preserve"> boiler houses with a reasonable remaining operating life; (iii) decreasing energy production from old </w:t>
            </w:r>
            <w:r w:rsidR="00F26A07">
              <w:t>facilities</w:t>
            </w:r>
            <w:r w:rsidR="006F46B6" w:rsidRPr="006F46B6">
              <w:t xml:space="preserve"> while investing in new </w:t>
            </w:r>
            <w:r w:rsidR="00F26A07">
              <w:t>ones</w:t>
            </w:r>
            <w:r w:rsidR="006F46B6" w:rsidRPr="006F46B6">
              <w:t xml:space="preserve">; and (iv) providing incentives to improve energy efficiency in all sectors of the economy. </w:t>
            </w:r>
          </w:p>
          <w:p w:rsidR="001264AD" w:rsidRPr="006F46B6" w:rsidRDefault="006F46B6" w:rsidP="00295183">
            <w:pPr>
              <w:pStyle w:val="ListParagraph"/>
              <w:numPr>
                <w:ilvl w:val="0"/>
                <w:numId w:val="5"/>
              </w:numPr>
              <w:tabs>
                <w:tab w:val="clear" w:pos="360"/>
                <w:tab w:val="num" w:pos="10"/>
              </w:tabs>
              <w:spacing w:after="120"/>
              <w:jc w:val="both"/>
              <w:rPr>
                <w:color w:val="314F4F"/>
                <w:sz w:val="22"/>
                <w:szCs w:val="22"/>
              </w:rPr>
            </w:pPr>
            <w:r w:rsidRPr="006F46B6">
              <w:rPr>
                <w:spacing w:val="-3"/>
                <w:lang w:val="en-GB"/>
              </w:rPr>
              <w:t xml:space="preserve">The Energy Strategy of the </w:t>
            </w:r>
            <w:proofErr w:type="spellStart"/>
            <w:r w:rsidRPr="006F46B6">
              <w:rPr>
                <w:spacing w:val="-3"/>
                <w:lang w:val="en-GB"/>
              </w:rPr>
              <w:t>GoU</w:t>
            </w:r>
            <w:proofErr w:type="spellEnd"/>
            <w:r w:rsidRPr="006F46B6">
              <w:rPr>
                <w:spacing w:val="-3"/>
                <w:lang w:val="en-GB"/>
              </w:rPr>
              <w:t xml:space="preserve"> calls for more than a 50 percent reducti</w:t>
            </w:r>
            <w:r w:rsidR="00F26A07">
              <w:rPr>
                <w:spacing w:val="-3"/>
                <w:lang w:val="en-GB"/>
              </w:rPr>
              <w:t>on in energy intensity by 2030</w:t>
            </w:r>
            <w:r w:rsidRPr="006F46B6">
              <w:rPr>
                <w:spacing w:val="-3"/>
                <w:lang w:val="en-GB"/>
              </w:rPr>
              <w:t xml:space="preserve">; this goal was reiterated in the recent Energy Strategy update. About </w:t>
            </w:r>
            <w:r w:rsidR="00F26A07">
              <w:rPr>
                <w:spacing w:val="-3"/>
                <w:lang w:val="en-GB"/>
              </w:rPr>
              <w:t>40</w:t>
            </w:r>
            <w:r w:rsidRPr="006F46B6">
              <w:rPr>
                <w:spacing w:val="-3"/>
                <w:lang w:val="en-GB"/>
              </w:rPr>
              <w:t xml:space="preserve"> percent of the savings would come from structural changes, and the rest would come from technological improvements in industries, heat supply and buildings.</w:t>
            </w:r>
          </w:p>
          <w:p w:rsidR="001264AD" w:rsidRDefault="006F46B6" w:rsidP="00BA1518">
            <w:pPr>
              <w:rPr>
                <w:rFonts w:ascii="Times New Roman" w:hAnsi="Times New Roman" w:cs="Times New Roman"/>
                <w:color w:val="314F4F"/>
                <w:sz w:val="22"/>
                <w:szCs w:val="22"/>
              </w:rPr>
            </w:pPr>
            <w:proofErr w:type="spellStart"/>
            <w:r>
              <w:rPr>
                <w:rFonts w:ascii="Times New Roman" w:hAnsi="Times New Roman" w:cs="Times New Roman"/>
                <w:color w:val="314F4F"/>
                <w:sz w:val="22"/>
                <w:szCs w:val="22"/>
              </w:rPr>
              <w:t>Sectoral</w:t>
            </w:r>
            <w:proofErr w:type="spellEnd"/>
            <w:r>
              <w:rPr>
                <w:rFonts w:ascii="Times New Roman" w:hAnsi="Times New Roman" w:cs="Times New Roman"/>
                <w:color w:val="314F4F"/>
                <w:sz w:val="22"/>
                <w:szCs w:val="22"/>
              </w:rPr>
              <w:t xml:space="preserve"> and I</w:t>
            </w:r>
            <w:r w:rsidR="001264AD">
              <w:rPr>
                <w:rFonts w:ascii="Times New Roman" w:hAnsi="Times New Roman" w:cs="Times New Roman"/>
                <w:color w:val="314F4F"/>
                <w:sz w:val="22"/>
                <w:szCs w:val="22"/>
              </w:rPr>
              <w:t>nstitutional Context</w:t>
            </w:r>
          </w:p>
        </w:tc>
      </w:tr>
      <w:tr w:rsidR="0003246C" w:rsidTr="00136291">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New Roman" w:hAnsi="Times New Roman" w:cs="Times New Roman"/>
                <w:color w:val="auto"/>
              </w:rPr>
            </w:pPr>
          </w:p>
        </w:tc>
        <w:tc>
          <w:tcPr>
            <w:tcW w:w="9182" w:type="dxa"/>
            <w:gridSpan w:val="12"/>
            <w:tcBorders>
              <w:top w:val="nil"/>
              <w:left w:val="nil"/>
              <w:bottom w:val="nil"/>
              <w:right w:val="nil"/>
            </w:tcBorders>
            <w:shd w:val="clear" w:color="auto" w:fill="FFFFFF"/>
            <w:tcMar>
              <w:top w:w="50" w:type="dxa"/>
              <w:left w:w="50" w:type="dxa"/>
              <w:bottom w:w="50" w:type="dxa"/>
              <w:right w:w="50" w:type="dxa"/>
            </w:tcMar>
            <w:vAlign w:val="center"/>
          </w:tcPr>
          <w:p w:rsidR="00EB4D9E" w:rsidRPr="00EB4D9E" w:rsidRDefault="00EB4D9E" w:rsidP="00EB4D9E">
            <w:pPr>
              <w:pStyle w:val="ListParagraph"/>
              <w:numPr>
                <w:ilvl w:val="0"/>
                <w:numId w:val="5"/>
              </w:numPr>
              <w:tabs>
                <w:tab w:val="clear" w:pos="360"/>
                <w:tab w:val="num" w:pos="0"/>
              </w:tabs>
              <w:spacing w:after="120"/>
              <w:contextualSpacing w:val="0"/>
              <w:jc w:val="both"/>
            </w:pPr>
            <w:r w:rsidRPr="00EB4D9E">
              <w:t>The DH sector is the third largest gas consumer in Ukraine, after households and industry</w:t>
            </w:r>
            <w:r w:rsidRPr="00EB4D9E">
              <w:rPr>
                <w:b/>
              </w:rPr>
              <w:t>.</w:t>
            </w:r>
            <w:r w:rsidRPr="00EB4D9E">
              <w:t xml:space="preserve"> Ukrainian DH systems were designed based on low-cost energy, mostly gas. They are inefficient but have been reliable. Most buildings in cities and towns are connected to DH networks; about 80,000 high-rise buildings consume 44 percent of the country’s heat energy resources. </w:t>
            </w:r>
          </w:p>
          <w:p w:rsidR="00EB4D9E" w:rsidRPr="00F26A07" w:rsidRDefault="00EB4D9E" w:rsidP="00EB4D9E">
            <w:pPr>
              <w:pStyle w:val="ListParagraph"/>
              <w:widowControl w:val="0"/>
              <w:numPr>
                <w:ilvl w:val="0"/>
                <w:numId w:val="5"/>
              </w:numPr>
              <w:tabs>
                <w:tab w:val="clear" w:pos="360"/>
                <w:tab w:val="num" w:pos="0"/>
              </w:tabs>
              <w:suppressAutoHyphens/>
              <w:autoSpaceDE w:val="0"/>
              <w:autoSpaceDN w:val="0"/>
              <w:adjustRightInd w:val="0"/>
              <w:spacing w:after="120"/>
              <w:contextualSpacing w:val="0"/>
              <w:jc w:val="both"/>
              <w:rPr>
                <w:lang w:val="en-GB"/>
              </w:rPr>
            </w:pPr>
            <w:r w:rsidRPr="00EB4D9E">
              <w:t>Ukraine’s DH sector faces a number of major challenges</w:t>
            </w:r>
            <w:r w:rsidR="00F26A07">
              <w:t>, including i</w:t>
            </w:r>
            <w:r w:rsidRPr="00EB4D9E">
              <w:t>nefficient regulatory practices. Until not so long ago, DH utilities were regulated locally by municipal</w:t>
            </w:r>
            <w:r w:rsidR="00F26A07">
              <w:t>/</w:t>
            </w:r>
            <w:r w:rsidRPr="00EB4D9E">
              <w:t xml:space="preserve"> regional governments. </w:t>
            </w:r>
            <w:r w:rsidRPr="00F26A07">
              <w:rPr>
                <w:lang w:val="en-GB"/>
              </w:rPr>
              <w:t xml:space="preserve">As a part of DH sector reform, the </w:t>
            </w:r>
            <w:proofErr w:type="spellStart"/>
            <w:r w:rsidRPr="00F26A07">
              <w:rPr>
                <w:lang w:val="en-GB"/>
              </w:rPr>
              <w:t>GoU</w:t>
            </w:r>
            <w:proofErr w:type="spellEnd"/>
            <w:r w:rsidRPr="00F26A07">
              <w:rPr>
                <w:lang w:val="en-GB"/>
              </w:rPr>
              <w:t xml:space="preserve"> transitioned heating prices from local level to central. The President of Ukraine signed a decree creating a </w:t>
            </w:r>
            <w:r w:rsidR="00A71268">
              <w:rPr>
                <w:lang w:val="en-GB"/>
              </w:rPr>
              <w:t>U</w:t>
            </w:r>
            <w:r w:rsidRPr="00F26A07">
              <w:rPr>
                <w:lang w:val="en-GB"/>
              </w:rPr>
              <w:t xml:space="preserve">tilities </w:t>
            </w:r>
            <w:r w:rsidR="00A71268">
              <w:rPr>
                <w:lang w:val="en-GB"/>
              </w:rPr>
              <w:t>R</w:t>
            </w:r>
            <w:r w:rsidRPr="00F26A07">
              <w:rPr>
                <w:lang w:val="en-GB"/>
              </w:rPr>
              <w:t>egulator - the National Commission for R</w:t>
            </w:r>
            <w:r w:rsidR="00F26A07">
              <w:rPr>
                <w:lang w:val="en-GB"/>
              </w:rPr>
              <w:t xml:space="preserve">egulation of Communal Services </w:t>
            </w:r>
            <w:r w:rsidRPr="00F26A07">
              <w:rPr>
                <w:lang w:val="en-GB"/>
              </w:rPr>
              <w:t xml:space="preserve">in July, 2011. The newly created Utilities Regulator issues licenses, regulates the licensees and approves tariffs for DH companies that operate boiler houses with a total capacity of over 20 </w:t>
            </w:r>
            <w:proofErr w:type="spellStart"/>
            <w:r w:rsidRPr="00F26A07">
              <w:rPr>
                <w:lang w:val="en-GB"/>
              </w:rPr>
              <w:t>Gcal</w:t>
            </w:r>
            <w:proofErr w:type="spellEnd"/>
            <w:r w:rsidRPr="00F26A07">
              <w:rPr>
                <w:lang w:val="en-GB"/>
              </w:rPr>
              <w:t xml:space="preserve">/h and/or supply over 18,000 </w:t>
            </w:r>
            <w:proofErr w:type="spellStart"/>
            <w:r w:rsidRPr="00F26A07">
              <w:rPr>
                <w:lang w:val="en-GB"/>
              </w:rPr>
              <w:t>Gcal</w:t>
            </w:r>
            <w:proofErr w:type="spellEnd"/>
            <w:r w:rsidRPr="00F26A07">
              <w:rPr>
                <w:lang w:val="en-GB"/>
              </w:rPr>
              <w:t xml:space="preserve"> annually. Currently the Utilities Regulator has over 2</w:t>
            </w:r>
            <w:r w:rsidR="00F26A07">
              <w:rPr>
                <w:lang w:val="en-GB"/>
              </w:rPr>
              <w:t>3</w:t>
            </w:r>
            <w:r w:rsidRPr="00F26A07">
              <w:rPr>
                <w:lang w:val="en-GB"/>
              </w:rPr>
              <w:t>0 licensees.</w:t>
            </w:r>
          </w:p>
          <w:p w:rsidR="00EB4D9E" w:rsidRPr="00EB4D9E" w:rsidRDefault="00EB4D9E" w:rsidP="00EB4D9E">
            <w:pPr>
              <w:pStyle w:val="Default"/>
              <w:numPr>
                <w:ilvl w:val="0"/>
                <w:numId w:val="5"/>
              </w:numPr>
              <w:tabs>
                <w:tab w:val="clear" w:pos="360"/>
                <w:tab w:val="num" w:pos="0"/>
              </w:tabs>
              <w:spacing w:after="120"/>
              <w:jc w:val="both"/>
            </w:pPr>
            <w:r w:rsidRPr="00EB4D9E">
              <w:t xml:space="preserve">Being newly established, the </w:t>
            </w:r>
            <w:r w:rsidRPr="00F26A07">
              <w:rPr>
                <w:lang w:val="en-GB"/>
              </w:rPr>
              <w:t xml:space="preserve">Utilities </w:t>
            </w:r>
            <w:r w:rsidRPr="00EB4D9E">
              <w:t xml:space="preserve">Regulator has typical start-up problems. It is not yet fully staffed, not yet fully organized and it lacks a number of procedures, methodologies, rules and regulations. Yet, the </w:t>
            </w:r>
            <w:r w:rsidRPr="00F26A07">
              <w:rPr>
                <w:lang w:val="en-GB"/>
              </w:rPr>
              <w:t xml:space="preserve">Utilities </w:t>
            </w:r>
            <w:r w:rsidRPr="00EB4D9E">
              <w:t xml:space="preserve">Regulator needs to develop and monitor application of full cost-recovery DH tariffs for its licensees, who are undergoing the regulatory process for the first time. To work efficiently and effectively the </w:t>
            </w:r>
            <w:r w:rsidRPr="00F26A07">
              <w:rPr>
                <w:lang w:val="en-GB"/>
              </w:rPr>
              <w:t xml:space="preserve">Utilities </w:t>
            </w:r>
            <w:r w:rsidRPr="00EB4D9E">
              <w:t xml:space="preserve">Regulator needs new methodologies, pieces of secondary legislation, operational rules and tools. Many existing laws are outdated as new laws were passed and new principles were established. </w:t>
            </w:r>
          </w:p>
          <w:p w:rsidR="0003246C" w:rsidRPr="00A71268" w:rsidRDefault="00EB4D9E" w:rsidP="00A71268">
            <w:pPr>
              <w:pStyle w:val="ListParagraph"/>
              <w:widowControl w:val="0"/>
              <w:numPr>
                <w:ilvl w:val="0"/>
                <w:numId w:val="5"/>
              </w:numPr>
              <w:tabs>
                <w:tab w:val="clear" w:pos="360"/>
                <w:tab w:val="num" w:pos="-90"/>
              </w:tabs>
              <w:autoSpaceDE w:val="0"/>
              <w:autoSpaceDN w:val="0"/>
              <w:adjustRightInd w:val="0"/>
              <w:spacing w:after="120"/>
              <w:contextualSpacing w:val="0"/>
              <w:jc w:val="both"/>
              <w:rPr>
                <w:sz w:val="22"/>
                <w:szCs w:val="22"/>
              </w:rPr>
            </w:pPr>
            <w:r w:rsidRPr="00EB4D9E">
              <w:t>The World Bank has a comprehensive strategy for improving efficiency within the DH sector in Ukraine</w:t>
            </w:r>
            <w:r w:rsidR="00A71268">
              <w:t xml:space="preserve">, including the </w:t>
            </w:r>
            <w:r w:rsidRPr="00EB4D9E">
              <w:t>US$382 million Ukraine District Heating Energy Efficiency Project (with US$50 million to be co-financed by the Clean Technology Fund (CTF))</w:t>
            </w:r>
            <w:r w:rsidR="00A71268">
              <w:t>, currently under finalization</w:t>
            </w:r>
            <w:r w:rsidRPr="00EB4D9E">
              <w:t xml:space="preserve">. The Bank has also developed a suggested path for energy price reforms in Ukraine, together with its impact assessment in collaboration with the IMF. The </w:t>
            </w:r>
            <w:r w:rsidR="00A71268">
              <w:t xml:space="preserve">proposed </w:t>
            </w:r>
            <w:r w:rsidRPr="00EB4D9E">
              <w:t xml:space="preserve">technical assistance (TA) program will support the long-term reform strategy of the </w:t>
            </w:r>
            <w:proofErr w:type="spellStart"/>
            <w:r w:rsidRPr="00EB4D9E">
              <w:t>GoU</w:t>
            </w:r>
            <w:proofErr w:type="spellEnd"/>
            <w:r w:rsidRPr="00EB4D9E">
              <w:t xml:space="preserve"> to decrease energy intensity of Ukrainian economy and improve its energy security. The proposed TA would support the Utilities Regulator with transitioning from cost-plus to incentive based regulation, thus promoting improved efficiency in the sector. It will help move the utilities towards financial viability while making DH services better and more affordable to the population. </w:t>
            </w:r>
          </w:p>
          <w:p w:rsidR="00A71268" w:rsidRPr="00EB4D9E" w:rsidRDefault="00A71268" w:rsidP="00A71268">
            <w:pPr>
              <w:pStyle w:val="ListParagraph"/>
              <w:widowControl w:val="0"/>
              <w:autoSpaceDE w:val="0"/>
              <w:autoSpaceDN w:val="0"/>
              <w:adjustRightInd w:val="0"/>
              <w:spacing w:after="120"/>
              <w:ind w:left="0"/>
              <w:contextualSpacing w:val="0"/>
              <w:jc w:val="both"/>
              <w:rPr>
                <w:sz w:val="22"/>
                <w:szCs w:val="22"/>
              </w:rPr>
            </w:pPr>
          </w:p>
        </w:tc>
      </w:tr>
      <w:tr w:rsidR="0003246C" w:rsidTr="00136291">
        <w:trPr>
          <w:gridAfter w:val="3"/>
          <w:wAfter w:w="300" w:type="dxa"/>
        </w:trPr>
        <w:tc>
          <w:tcPr>
            <w:tcW w:w="9002" w:type="dxa"/>
            <w:gridSpan w:val="10"/>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New Roman" w:hAnsi="Times New Roman" w:cs="Times New Roman"/>
              </w:rPr>
            </w:pPr>
            <w:r>
              <w:rPr>
                <w:rFonts w:ascii="Times New Roman" w:hAnsi="Times New Roman" w:cs="Times New Roman"/>
                <w:b/>
                <w:bCs/>
              </w:rPr>
              <w:lastRenderedPageBreak/>
              <w:t>II. Project Development Objectives</w:t>
            </w:r>
          </w:p>
        </w:tc>
      </w:tr>
      <w:tr w:rsidR="0003246C" w:rsidTr="00136291">
        <w:trPr>
          <w:gridAfter w:val="1"/>
          <w:wAfter w:w="8"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New Roman" w:hAnsi="Times New Roman" w:cs="Times New Roman"/>
                <w:color w:val="auto"/>
              </w:rPr>
            </w:pPr>
          </w:p>
        </w:tc>
        <w:tc>
          <w:tcPr>
            <w:tcW w:w="9174" w:type="dxa"/>
            <w:gridSpan w:val="11"/>
            <w:tcBorders>
              <w:top w:val="nil"/>
              <w:left w:val="nil"/>
              <w:bottom w:val="nil"/>
              <w:right w:val="nil"/>
            </w:tcBorders>
            <w:shd w:val="clear" w:color="auto" w:fill="FFFFFF"/>
            <w:tcMar>
              <w:top w:w="50" w:type="dxa"/>
              <w:left w:w="50" w:type="dxa"/>
              <w:bottom w:w="50" w:type="dxa"/>
              <w:right w:w="50" w:type="dxa"/>
            </w:tcMar>
            <w:vAlign w:val="center"/>
          </w:tcPr>
          <w:p w:rsidR="0003246C" w:rsidRDefault="00D27F46" w:rsidP="00D27F46">
            <w:pPr>
              <w:pStyle w:val="ListParagraph"/>
              <w:widowControl w:val="0"/>
              <w:numPr>
                <w:ilvl w:val="0"/>
                <w:numId w:val="5"/>
              </w:numPr>
              <w:tabs>
                <w:tab w:val="clear" w:pos="360"/>
                <w:tab w:val="num" w:pos="0"/>
              </w:tabs>
              <w:autoSpaceDE w:val="0"/>
              <w:autoSpaceDN w:val="0"/>
              <w:adjustRightInd w:val="0"/>
              <w:spacing w:before="120" w:after="120"/>
              <w:jc w:val="both"/>
              <w:rPr>
                <w:sz w:val="22"/>
                <w:szCs w:val="22"/>
              </w:rPr>
            </w:pPr>
            <w:r w:rsidRPr="00B066CF">
              <w:t xml:space="preserve">The </w:t>
            </w:r>
            <w:r>
              <w:t xml:space="preserve">project development </w:t>
            </w:r>
            <w:r w:rsidRPr="00B066CF">
              <w:t xml:space="preserve">objective is to assist the </w:t>
            </w:r>
            <w:r>
              <w:t xml:space="preserve">Ukrainian Utilities </w:t>
            </w:r>
            <w:r w:rsidRPr="00B066CF">
              <w:t>Regulator</w:t>
            </w:r>
            <w:r>
              <w:t xml:space="preserve"> </w:t>
            </w:r>
            <w:r w:rsidRPr="00B066CF">
              <w:t xml:space="preserve">with </w:t>
            </w:r>
            <w:r>
              <w:t>transitioning from</w:t>
            </w:r>
            <w:r w:rsidRPr="00B066CF">
              <w:t xml:space="preserve"> </w:t>
            </w:r>
            <w:r>
              <w:t>“cost plus” to “incentive-based” DH regulation.</w:t>
            </w:r>
          </w:p>
        </w:tc>
      </w:tr>
      <w:tr w:rsidR="0003246C" w:rsidTr="00136291">
        <w:trPr>
          <w:gridAfter w:val="3"/>
          <w:wAfter w:w="300" w:type="dxa"/>
        </w:trPr>
        <w:tc>
          <w:tcPr>
            <w:tcW w:w="9002" w:type="dxa"/>
            <w:gridSpan w:val="10"/>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1264AD">
            <w:pPr>
              <w:rPr>
                <w:rFonts w:ascii="Times New Roman" w:hAnsi="Times New Roman" w:cs="Times New Roman"/>
              </w:rPr>
            </w:pPr>
            <w:r>
              <w:rPr>
                <w:rFonts w:ascii="Times New Roman" w:hAnsi="Times New Roman" w:cs="Times New Roman"/>
                <w:b/>
                <w:bCs/>
              </w:rPr>
              <w:t>I</w:t>
            </w:r>
            <w:r w:rsidR="001264AD">
              <w:rPr>
                <w:rFonts w:ascii="Times New Roman" w:hAnsi="Times New Roman" w:cs="Times New Roman"/>
                <w:b/>
                <w:bCs/>
              </w:rPr>
              <w:t>II</w:t>
            </w:r>
            <w:r>
              <w:rPr>
                <w:rFonts w:ascii="Times New Roman" w:hAnsi="Times New Roman" w:cs="Times New Roman"/>
                <w:b/>
                <w:bCs/>
              </w:rPr>
              <w:t>. Project Description</w:t>
            </w:r>
          </w:p>
        </w:tc>
      </w:tr>
      <w:tr w:rsidR="0003246C" w:rsidTr="00CC0666">
        <w:trPr>
          <w:gridAfter w:val="1"/>
          <w:wAfter w:w="8" w:type="dxa"/>
          <w:trHeight w:val="6502"/>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New Roman" w:hAnsi="Times New Roman" w:cs="Times New Roman"/>
                <w:color w:val="auto"/>
              </w:rPr>
            </w:pPr>
          </w:p>
        </w:tc>
        <w:tc>
          <w:tcPr>
            <w:tcW w:w="9174" w:type="dxa"/>
            <w:gridSpan w:val="11"/>
            <w:tcBorders>
              <w:top w:val="nil"/>
              <w:left w:val="nil"/>
              <w:bottom w:val="nil"/>
              <w:right w:val="nil"/>
            </w:tcBorders>
            <w:shd w:val="clear" w:color="auto" w:fill="FFFFFF"/>
            <w:tcMar>
              <w:top w:w="50" w:type="dxa"/>
              <w:left w:w="50" w:type="dxa"/>
              <w:bottom w:w="50" w:type="dxa"/>
              <w:right w:w="50" w:type="dxa"/>
            </w:tcMar>
            <w:vAlign w:val="center"/>
          </w:tcPr>
          <w:p w:rsidR="00D27F46" w:rsidRDefault="00D27F46" w:rsidP="00D27F46">
            <w:pPr>
              <w:pStyle w:val="ListParagraph"/>
              <w:widowControl w:val="0"/>
              <w:numPr>
                <w:ilvl w:val="0"/>
                <w:numId w:val="5"/>
              </w:numPr>
              <w:tabs>
                <w:tab w:val="clear" w:pos="360"/>
                <w:tab w:val="num" w:pos="0"/>
              </w:tabs>
              <w:autoSpaceDE w:val="0"/>
              <w:autoSpaceDN w:val="0"/>
              <w:adjustRightInd w:val="0"/>
              <w:spacing w:after="120"/>
              <w:contextualSpacing w:val="0"/>
              <w:jc w:val="both"/>
            </w:pPr>
            <w:r w:rsidRPr="00FD24C5">
              <w:t xml:space="preserve">The proposed activity will consist of the following components: </w:t>
            </w:r>
          </w:p>
          <w:p w:rsidR="00D27F46" w:rsidRDefault="00D27F46" w:rsidP="00D27F46">
            <w:pPr>
              <w:pStyle w:val="Default"/>
              <w:numPr>
                <w:ilvl w:val="0"/>
                <w:numId w:val="5"/>
              </w:numPr>
              <w:tabs>
                <w:tab w:val="clear" w:pos="360"/>
                <w:tab w:val="num" w:pos="0"/>
              </w:tabs>
              <w:spacing w:after="120"/>
              <w:jc w:val="both"/>
            </w:pPr>
            <w:r w:rsidRPr="00CC0666">
              <w:rPr>
                <w:b/>
              </w:rPr>
              <w:t>Component 1: Support for the development of secondary legislation, transitional methodology and its piloting:</w:t>
            </w:r>
            <w:r w:rsidRPr="00FD24C5">
              <w:t xml:space="preserve"> </w:t>
            </w:r>
            <w:r>
              <w:t xml:space="preserve">This component will </w:t>
            </w:r>
            <w:r w:rsidRPr="001D5CA4">
              <w:t>support the d</w:t>
            </w:r>
            <w:r w:rsidRPr="00CC0666">
              <w:rPr>
                <w:bCs/>
              </w:rPr>
              <w:t xml:space="preserve">evelopment of secondary legislation documents covering transformation of the communal services sector to long-term (3-5 years) full operating and investment cost-recovery tariffs, with creation of incentives for reduction of operation expenses. The component will include updating the existing heat tariff </w:t>
            </w:r>
            <w:r w:rsidR="00927C2D" w:rsidRPr="00CC0666">
              <w:rPr>
                <w:bCs/>
              </w:rPr>
              <w:t>practices</w:t>
            </w:r>
            <w:r w:rsidR="00CC0666" w:rsidRPr="00CC0666">
              <w:rPr>
                <w:bCs/>
              </w:rPr>
              <w:t xml:space="preserve"> and</w:t>
            </w:r>
            <w:r w:rsidRPr="00CC0666">
              <w:rPr>
                <w:bCs/>
              </w:rPr>
              <w:t xml:space="preserve"> </w:t>
            </w:r>
            <w:r w:rsidRPr="00FD24C5">
              <w:t xml:space="preserve">development of a transitional (from </w:t>
            </w:r>
            <w:r>
              <w:t>“</w:t>
            </w:r>
            <w:r w:rsidRPr="00FD24C5">
              <w:t>cost plus</w:t>
            </w:r>
            <w:r>
              <w:t>”</w:t>
            </w:r>
            <w:r w:rsidRPr="00FD24C5">
              <w:t xml:space="preserve"> to </w:t>
            </w:r>
            <w:r>
              <w:t>“</w:t>
            </w:r>
            <w:r w:rsidRPr="00FD24C5">
              <w:t>incentive</w:t>
            </w:r>
            <w:r>
              <w:t>-</w:t>
            </w:r>
            <w:r w:rsidRPr="00FD24C5">
              <w:t xml:space="preserve"> based</w:t>
            </w:r>
            <w:r>
              <w:t>”</w:t>
            </w:r>
            <w:r w:rsidRPr="00FD24C5">
              <w:t>) methodology for calculation of the heat tariffs</w:t>
            </w:r>
            <w:r w:rsidR="00CC0666">
              <w:t>.</w:t>
            </w:r>
            <w:r w:rsidRPr="00FD24C5">
              <w:t xml:space="preserve"> </w:t>
            </w:r>
            <w:r w:rsidRPr="00292439">
              <w:t xml:space="preserve">The municipalities/ companies </w:t>
            </w:r>
            <w:r w:rsidR="00CC0666">
              <w:t xml:space="preserve">to pilot the methodology </w:t>
            </w:r>
            <w:r w:rsidRPr="00292439">
              <w:t>will be</w:t>
            </w:r>
            <w:r>
              <w:t xml:space="preserve"> selected by the end of year 1 of the project implementation</w:t>
            </w:r>
            <w:r w:rsidR="00CC0666">
              <w:t>.</w:t>
            </w:r>
            <w:r>
              <w:t xml:space="preserve"> </w:t>
            </w:r>
          </w:p>
          <w:p w:rsidR="00CC0666" w:rsidRDefault="00D27F46" w:rsidP="00D27F46">
            <w:pPr>
              <w:pStyle w:val="ListParagraph"/>
              <w:widowControl w:val="0"/>
              <w:numPr>
                <w:ilvl w:val="0"/>
                <w:numId w:val="5"/>
              </w:numPr>
              <w:tabs>
                <w:tab w:val="clear" w:pos="360"/>
                <w:tab w:val="num" w:pos="0"/>
              </w:tabs>
              <w:autoSpaceDE w:val="0"/>
              <w:autoSpaceDN w:val="0"/>
              <w:adjustRightInd w:val="0"/>
              <w:spacing w:after="120"/>
              <w:contextualSpacing w:val="0"/>
              <w:jc w:val="both"/>
            </w:pPr>
            <w:r w:rsidRPr="00CC0666">
              <w:rPr>
                <w:b/>
                <w:bCs/>
              </w:rPr>
              <w:t xml:space="preserve">Component 2: </w:t>
            </w:r>
            <w:r w:rsidRPr="00CC0666">
              <w:rPr>
                <w:b/>
              </w:rPr>
              <w:t>Introduction of sector-wide benchmarking</w:t>
            </w:r>
            <w:r w:rsidRPr="00CC0666">
              <w:rPr>
                <w:bCs/>
              </w:rPr>
              <w:t>: This component will introduce</w:t>
            </w:r>
            <w:r w:rsidRPr="00CC0666">
              <w:rPr>
                <w:bCs/>
                <w:i/>
              </w:rPr>
              <w:t xml:space="preserve"> </w:t>
            </w:r>
            <w:r w:rsidRPr="00CC0666">
              <w:rPr>
                <w:bCs/>
              </w:rPr>
              <w:t>a sector–wide benchmarking exercise</w:t>
            </w:r>
            <w:r w:rsidRPr="004A3662">
              <w:t xml:space="preserve"> to identify better performing companies, and understand the cause of better performance so that best practices can be disseminated.</w:t>
            </w:r>
          </w:p>
          <w:p w:rsidR="00D27F46" w:rsidRDefault="00D27F46" w:rsidP="00D27F46">
            <w:pPr>
              <w:pStyle w:val="ListParagraph"/>
              <w:widowControl w:val="0"/>
              <w:numPr>
                <w:ilvl w:val="0"/>
                <w:numId w:val="5"/>
              </w:numPr>
              <w:tabs>
                <w:tab w:val="clear" w:pos="360"/>
                <w:tab w:val="num" w:pos="0"/>
              </w:tabs>
              <w:autoSpaceDE w:val="0"/>
              <w:autoSpaceDN w:val="0"/>
              <w:adjustRightInd w:val="0"/>
              <w:spacing w:after="120"/>
              <w:contextualSpacing w:val="0"/>
              <w:jc w:val="both"/>
            </w:pPr>
            <w:r w:rsidRPr="004A3662">
              <w:t xml:space="preserve"> </w:t>
            </w:r>
            <w:r w:rsidRPr="00CC0666">
              <w:rPr>
                <w:b/>
                <w:sz w:val="23"/>
                <w:szCs w:val="23"/>
              </w:rPr>
              <w:t xml:space="preserve">Component 3: </w:t>
            </w:r>
            <w:r w:rsidRPr="00CC0666">
              <w:rPr>
                <w:b/>
              </w:rPr>
              <w:t>Utilities Regulator capacity building</w:t>
            </w:r>
            <w:r w:rsidRPr="00CC0666">
              <w:rPr>
                <w:b/>
                <w:sz w:val="23"/>
                <w:szCs w:val="23"/>
              </w:rPr>
              <w:t>:</w:t>
            </w:r>
            <w:r w:rsidRPr="00CC0666">
              <w:rPr>
                <w:sz w:val="23"/>
                <w:szCs w:val="23"/>
              </w:rPr>
              <w:t xml:space="preserve"> This component will provide </w:t>
            </w:r>
            <w:r w:rsidRPr="00CC0666">
              <w:rPr>
                <w:bCs/>
              </w:rPr>
              <w:t>capacity building to the Utilities Regulator</w:t>
            </w:r>
            <w:r w:rsidR="00CC0666">
              <w:rPr>
                <w:bCs/>
              </w:rPr>
              <w:t xml:space="preserve">, including </w:t>
            </w:r>
            <w:r w:rsidRPr="00DE314C">
              <w:t>an expert working full time in Kyiv and inside the Utilities Regulator.</w:t>
            </w:r>
            <w:r w:rsidRPr="00E32B8C">
              <w:t xml:space="preserve"> </w:t>
            </w:r>
          </w:p>
          <w:p w:rsidR="00D27F46" w:rsidRPr="00D27F46" w:rsidRDefault="00D27F46" w:rsidP="00D27F46">
            <w:pPr>
              <w:pStyle w:val="ListParagraph"/>
              <w:widowControl w:val="0"/>
              <w:numPr>
                <w:ilvl w:val="0"/>
                <w:numId w:val="5"/>
              </w:numPr>
              <w:tabs>
                <w:tab w:val="clear" w:pos="360"/>
                <w:tab w:val="num" w:pos="0"/>
              </w:tabs>
              <w:autoSpaceDE w:val="0"/>
              <w:autoSpaceDN w:val="0"/>
              <w:adjustRightInd w:val="0"/>
              <w:spacing w:after="120"/>
              <w:contextualSpacing w:val="0"/>
              <w:jc w:val="both"/>
            </w:pPr>
            <w:r w:rsidRPr="00D110FF">
              <w:rPr>
                <w:b/>
              </w:rPr>
              <w:t>Component 4</w:t>
            </w:r>
            <w:r>
              <w:rPr>
                <w:b/>
              </w:rPr>
              <w:t>:</w:t>
            </w:r>
            <w:r w:rsidRPr="00D110FF">
              <w:rPr>
                <w:b/>
              </w:rPr>
              <w:t xml:space="preserve"> </w:t>
            </w:r>
            <w:r w:rsidRPr="00A13FE2">
              <w:rPr>
                <w:b/>
              </w:rPr>
              <w:t xml:space="preserve">Miscellaneous regulation </w:t>
            </w:r>
            <w:r>
              <w:rPr>
                <w:b/>
              </w:rPr>
              <w:t>tools</w:t>
            </w:r>
            <w:r>
              <w:t xml:space="preserve">: </w:t>
            </w:r>
            <w:r w:rsidRPr="00DE314C">
              <w:t xml:space="preserve">This component with fund </w:t>
            </w:r>
            <w:r w:rsidRPr="00D27F46">
              <w:t xml:space="preserve">the purchase of </w:t>
            </w:r>
            <w:r w:rsidRPr="00D27F46">
              <w:rPr>
                <w:bCs/>
              </w:rPr>
              <w:t xml:space="preserve">miscellaneous regulation tools.  </w:t>
            </w:r>
            <w:r w:rsidRPr="00D27F46">
              <w:t xml:space="preserve">Implementation of the Component 1 and 2 requires corresponding process tools including tailor-made software to be provided to the Utilities Regulator.  </w:t>
            </w:r>
          </w:p>
          <w:p w:rsidR="0003246C" w:rsidRDefault="00D27F46" w:rsidP="00CC0666">
            <w:pPr>
              <w:widowControl/>
              <w:numPr>
                <w:ilvl w:val="0"/>
                <w:numId w:val="5"/>
              </w:numPr>
              <w:tabs>
                <w:tab w:val="clear" w:pos="360"/>
                <w:tab w:val="num" w:pos="0"/>
              </w:tabs>
              <w:autoSpaceDE/>
              <w:autoSpaceDN/>
              <w:adjustRightInd/>
              <w:spacing w:after="120"/>
              <w:jc w:val="both"/>
              <w:rPr>
                <w:rFonts w:ascii="Times New Roman" w:hAnsi="Times New Roman" w:cs="Times New Roman"/>
                <w:sz w:val="22"/>
                <w:szCs w:val="22"/>
              </w:rPr>
            </w:pPr>
            <w:r w:rsidRPr="00D27F46">
              <w:rPr>
                <w:rFonts w:ascii="Times New Roman" w:hAnsi="Times New Roman" w:cs="Times New Roman"/>
                <w:b/>
              </w:rPr>
              <w:t>Component 5: Implementation support and annual audit</w:t>
            </w:r>
            <w:r w:rsidRPr="00D27F46">
              <w:rPr>
                <w:rFonts w:ascii="Times New Roman" w:hAnsi="Times New Roman" w:cs="Times New Roman"/>
              </w:rPr>
              <w:t xml:space="preserve">: This component will fund project implementation assistance </w:t>
            </w:r>
            <w:r w:rsidR="00D9103A">
              <w:rPr>
                <w:rFonts w:ascii="Times New Roman" w:hAnsi="Times New Roman" w:cs="Times New Roman"/>
              </w:rPr>
              <w:t xml:space="preserve">to the </w:t>
            </w:r>
            <w:r w:rsidR="00D9103A" w:rsidRPr="00D27F46">
              <w:rPr>
                <w:rFonts w:ascii="Times New Roman" w:hAnsi="Times New Roman" w:cs="Times New Roman"/>
                <w:lang w:eastAsia="ja-JP"/>
              </w:rPr>
              <w:t>Project Implementation Unit (</w:t>
            </w:r>
            <w:r w:rsidR="00D9103A" w:rsidRPr="00D27F46">
              <w:rPr>
                <w:rFonts w:ascii="Times New Roman" w:hAnsi="Times New Roman" w:cs="Times New Roman"/>
              </w:rPr>
              <w:t>PIU</w:t>
            </w:r>
            <w:r w:rsidR="00CC0666">
              <w:rPr>
                <w:rFonts w:ascii="Times New Roman" w:hAnsi="Times New Roman" w:cs="Times New Roman"/>
              </w:rPr>
              <w:t>)</w:t>
            </w:r>
            <w:r w:rsidRPr="00D27F46">
              <w:rPr>
                <w:rFonts w:ascii="Times New Roman" w:hAnsi="Times New Roman" w:cs="Times New Roman"/>
              </w:rPr>
              <w:t>.</w:t>
            </w:r>
          </w:p>
        </w:tc>
      </w:tr>
      <w:tr w:rsidR="0003246C" w:rsidTr="00136291">
        <w:trPr>
          <w:gridAfter w:val="3"/>
          <w:wAfter w:w="300" w:type="dxa"/>
        </w:trPr>
        <w:tc>
          <w:tcPr>
            <w:tcW w:w="1232" w:type="dxa"/>
            <w:gridSpan w:val="3"/>
            <w:tcBorders>
              <w:top w:val="nil"/>
              <w:left w:val="nil"/>
              <w:bottom w:val="nil"/>
              <w:right w:val="nil"/>
            </w:tcBorders>
            <w:shd w:val="clear" w:color="auto" w:fill="FFFFFF"/>
            <w:tcMar>
              <w:top w:w="50" w:type="dxa"/>
              <w:left w:w="50" w:type="dxa"/>
              <w:bottom w:w="50" w:type="dxa"/>
              <w:right w:w="50" w:type="dxa"/>
            </w:tcMar>
            <w:vAlign w:val="center"/>
          </w:tcPr>
          <w:p w:rsidR="0003246C" w:rsidRDefault="001264AD" w:rsidP="00BA1518">
            <w:pPr>
              <w:rPr>
                <w:rFonts w:ascii="Times New Roman" w:hAnsi="Times New Roman" w:cs="Times New Roman"/>
              </w:rPr>
            </w:pPr>
            <w:r>
              <w:rPr>
                <w:rFonts w:ascii="Times New Roman" w:hAnsi="Times New Roman" w:cs="Times New Roman"/>
                <w:b/>
                <w:bCs/>
              </w:rPr>
              <w:t xml:space="preserve">IV. </w:t>
            </w:r>
            <w:r w:rsidR="0003246C">
              <w:rPr>
                <w:rFonts w:ascii="Times New Roman" w:hAnsi="Times New Roman" w:cs="Times New Roman"/>
                <w:b/>
                <w:bCs/>
              </w:rPr>
              <w:t>Financing</w:t>
            </w:r>
          </w:p>
        </w:tc>
        <w:tc>
          <w:tcPr>
            <w:tcW w:w="7770" w:type="dxa"/>
            <w:gridSpan w:val="7"/>
            <w:tcBorders>
              <w:top w:val="nil"/>
              <w:left w:val="nil"/>
              <w:bottom w:val="nil"/>
              <w:right w:val="nil"/>
            </w:tcBorders>
            <w:shd w:val="clear" w:color="auto" w:fill="FFFFFF"/>
            <w:tcMar>
              <w:top w:w="50" w:type="dxa"/>
              <w:left w:w="50" w:type="dxa"/>
              <w:bottom w:w="50" w:type="dxa"/>
              <w:right w:w="50" w:type="dxa"/>
            </w:tcMar>
            <w:vAlign w:val="bottom"/>
          </w:tcPr>
          <w:p w:rsidR="0003246C" w:rsidRDefault="0003246C" w:rsidP="00E75F21">
            <w:pPr>
              <w:rPr>
                <w:rFonts w:ascii="Times New Roman" w:hAnsi="Times New Roman" w:cs="Times New Roman"/>
                <w:color w:val="314F4F"/>
                <w:sz w:val="22"/>
                <w:szCs w:val="22"/>
              </w:rPr>
            </w:pPr>
            <w:r>
              <w:rPr>
                <w:rFonts w:ascii="Times New Roman" w:hAnsi="Times New Roman" w:cs="Times New Roman"/>
                <w:i/>
                <w:iCs/>
                <w:color w:val="314F4F"/>
                <w:sz w:val="22"/>
                <w:szCs w:val="22"/>
              </w:rPr>
              <w:t xml:space="preserve">(in </w:t>
            </w:r>
            <w:r w:rsidR="00E75F21">
              <w:rPr>
                <w:rFonts w:ascii="Times New Roman" w:hAnsi="Times New Roman" w:cs="Times New Roman"/>
                <w:i/>
                <w:iCs/>
                <w:color w:val="314F4F"/>
                <w:sz w:val="22"/>
                <w:szCs w:val="22"/>
              </w:rPr>
              <w:t>EURO</w:t>
            </w:r>
            <w:r>
              <w:rPr>
                <w:rFonts w:ascii="Times New Roman" w:hAnsi="Times New Roman" w:cs="Times New Roman"/>
                <w:i/>
                <w:iCs/>
                <w:color w:val="314F4F"/>
                <w:sz w:val="22"/>
                <w:szCs w:val="22"/>
              </w:rPr>
              <w:t xml:space="preserve"> Million)</w:t>
            </w:r>
          </w:p>
        </w:tc>
      </w:tr>
      <w:tr w:rsidR="0003246C" w:rsidTr="00136291">
        <w:trPr>
          <w:gridAfter w:val="1"/>
          <w:wAfter w:w="8"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New Roman" w:hAnsi="Times New Roman" w:cs="Times New Roman"/>
                <w:color w:val="auto"/>
              </w:rPr>
            </w:pPr>
          </w:p>
        </w:tc>
        <w:tc>
          <w:tcPr>
            <w:tcW w:w="5617" w:type="dxa"/>
            <w:gridSpan w:val="4"/>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New Roman" w:hAnsi="Times New Roman" w:cs="Times New Roman"/>
              </w:rPr>
            </w:pPr>
            <w:r>
              <w:rPr>
                <w:rFonts w:ascii="Times New Roman" w:hAnsi="Times New Roman" w:cs="Times New Roman"/>
                <w:b/>
                <w:bCs/>
              </w:rPr>
              <w:t>For Loans/Credits/Others</w:t>
            </w:r>
          </w:p>
        </w:tc>
        <w:tc>
          <w:tcPr>
            <w:tcW w:w="1123" w:type="dxa"/>
            <w:gridSpan w:val="2"/>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jc w:val="right"/>
              <w:rPr>
                <w:rFonts w:ascii="Times New Roman" w:hAnsi="Times New Roman" w:cs="Times New Roman"/>
              </w:rPr>
            </w:pPr>
            <w:r>
              <w:rPr>
                <w:rFonts w:ascii="Times New Roman" w:hAnsi="Times New Roman" w:cs="Times New Roman"/>
                <w:b/>
                <w:bCs/>
              </w:rPr>
              <w:t>Amount</w:t>
            </w:r>
          </w:p>
        </w:tc>
        <w:tc>
          <w:tcPr>
            <w:tcW w:w="2434" w:type="dxa"/>
            <w:gridSpan w:val="5"/>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New Roman" w:hAnsi="Times New Roman" w:cs="Times New Roman"/>
                <w:color w:val="auto"/>
              </w:rPr>
            </w:pPr>
          </w:p>
        </w:tc>
      </w:tr>
      <w:tr w:rsidR="0003246C" w:rsidTr="00136291">
        <w:trPr>
          <w:gridAfter w:val="1"/>
          <w:wAfter w:w="8"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New Roman" w:hAnsi="Times New Roman" w:cs="Times New Roman"/>
                <w:color w:val="auto"/>
              </w:rPr>
            </w:pPr>
          </w:p>
        </w:tc>
        <w:tc>
          <w:tcPr>
            <w:tcW w:w="5617" w:type="dxa"/>
            <w:gridSpan w:val="4"/>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New Roman" w:hAnsi="Times New Roman" w:cs="Times New Roman"/>
                <w:sz w:val="22"/>
                <w:szCs w:val="22"/>
              </w:rPr>
            </w:pPr>
            <w:r>
              <w:rPr>
                <w:rFonts w:ascii="Times New Roman" w:hAnsi="Times New Roman" w:cs="Times New Roman"/>
                <w:sz w:val="22"/>
                <w:szCs w:val="22"/>
              </w:rPr>
              <w:t>BORROWER/RECIPIENT</w:t>
            </w:r>
          </w:p>
        </w:tc>
        <w:tc>
          <w:tcPr>
            <w:tcW w:w="1123" w:type="dxa"/>
            <w:gridSpan w:val="2"/>
            <w:tcBorders>
              <w:top w:val="nil"/>
              <w:left w:val="nil"/>
              <w:bottom w:val="nil"/>
              <w:right w:val="nil"/>
            </w:tcBorders>
            <w:shd w:val="clear" w:color="auto" w:fill="FFFFFF"/>
            <w:tcMar>
              <w:top w:w="50" w:type="dxa"/>
              <w:left w:w="50" w:type="dxa"/>
              <w:bottom w:w="50" w:type="dxa"/>
              <w:right w:w="50" w:type="dxa"/>
            </w:tcMar>
            <w:vAlign w:val="center"/>
          </w:tcPr>
          <w:p w:rsidR="00E75F21" w:rsidRDefault="00E75F21" w:rsidP="00E75F21">
            <w:pPr>
              <w:jc w:val="center"/>
              <w:rPr>
                <w:rFonts w:ascii="Times New Roman" w:hAnsi="Times New Roman" w:cs="Times New Roman"/>
                <w:sz w:val="22"/>
                <w:szCs w:val="22"/>
              </w:rPr>
            </w:pPr>
            <w:r>
              <w:rPr>
                <w:rFonts w:ascii="Times New Roman" w:hAnsi="Times New Roman" w:cs="Times New Roman"/>
                <w:sz w:val="22"/>
                <w:szCs w:val="22"/>
              </w:rPr>
              <w:t>0</w:t>
            </w:r>
          </w:p>
        </w:tc>
        <w:tc>
          <w:tcPr>
            <w:tcW w:w="2434" w:type="dxa"/>
            <w:gridSpan w:val="5"/>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New Roman" w:hAnsi="Times New Roman" w:cs="Times New Roman"/>
                <w:color w:val="auto"/>
              </w:rPr>
            </w:pPr>
          </w:p>
        </w:tc>
      </w:tr>
      <w:tr w:rsidR="00E75F21" w:rsidTr="00136291">
        <w:trPr>
          <w:gridAfter w:val="1"/>
          <w:wAfter w:w="8"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E75F21" w:rsidRDefault="00E75F21" w:rsidP="00BA1518">
            <w:pPr>
              <w:rPr>
                <w:rFonts w:ascii="Times New Roman" w:hAnsi="Times New Roman" w:cs="Times New Roman"/>
                <w:color w:val="auto"/>
              </w:rPr>
            </w:pPr>
          </w:p>
        </w:tc>
        <w:tc>
          <w:tcPr>
            <w:tcW w:w="5617" w:type="dxa"/>
            <w:gridSpan w:val="4"/>
            <w:tcBorders>
              <w:top w:val="nil"/>
              <w:left w:val="nil"/>
              <w:bottom w:val="nil"/>
              <w:right w:val="nil"/>
            </w:tcBorders>
            <w:shd w:val="clear" w:color="auto" w:fill="FFFFFF"/>
            <w:tcMar>
              <w:top w:w="50" w:type="dxa"/>
              <w:left w:w="50" w:type="dxa"/>
              <w:bottom w:w="50" w:type="dxa"/>
              <w:right w:w="50" w:type="dxa"/>
            </w:tcMar>
            <w:vAlign w:val="center"/>
          </w:tcPr>
          <w:p w:rsidR="00E75F21" w:rsidRDefault="00E75F21" w:rsidP="00BA1518">
            <w:pPr>
              <w:rPr>
                <w:rFonts w:ascii="Times New Roman" w:hAnsi="Times New Roman" w:cs="Times New Roman"/>
                <w:sz w:val="22"/>
                <w:szCs w:val="22"/>
              </w:rPr>
            </w:pPr>
            <w:r>
              <w:rPr>
                <w:rFonts w:ascii="Times New Roman" w:hAnsi="Times New Roman" w:cs="Times New Roman"/>
                <w:sz w:val="22"/>
                <w:szCs w:val="22"/>
              </w:rPr>
              <w:t>SIDA</w:t>
            </w:r>
          </w:p>
        </w:tc>
        <w:tc>
          <w:tcPr>
            <w:tcW w:w="1123" w:type="dxa"/>
            <w:gridSpan w:val="2"/>
            <w:tcBorders>
              <w:top w:val="nil"/>
              <w:left w:val="nil"/>
              <w:bottom w:val="nil"/>
              <w:right w:val="nil"/>
            </w:tcBorders>
            <w:shd w:val="clear" w:color="auto" w:fill="FFFFFF"/>
            <w:tcMar>
              <w:top w:w="50" w:type="dxa"/>
              <w:left w:w="50" w:type="dxa"/>
              <w:bottom w:w="50" w:type="dxa"/>
              <w:right w:w="50" w:type="dxa"/>
            </w:tcMar>
            <w:vAlign w:val="center"/>
          </w:tcPr>
          <w:p w:rsidR="00E75F21" w:rsidRPr="00E75F21" w:rsidRDefault="00E75F21" w:rsidP="00E75F21">
            <w:pPr>
              <w:jc w:val="center"/>
              <w:rPr>
                <w:rFonts w:ascii="Times New Roman" w:hAnsi="Times New Roman" w:cs="Times New Roman"/>
                <w:sz w:val="22"/>
                <w:szCs w:val="22"/>
              </w:rPr>
            </w:pPr>
            <w:r w:rsidRPr="00E75F21">
              <w:rPr>
                <w:rFonts w:ascii="Times New Roman" w:hAnsi="Times New Roman" w:cs="Times New Roman"/>
                <w:sz w:val="22"/>
                <w:szCs w:val="22"/>
              </w:rPr>
              <w:t>1,638,600</w:t>
            </w:r>
          </w:p>
        </w:tc>
        <w:tc>
          <w:tcPr>
            <w:tcW w:w="2434" w:type="dxa"/>
            <w:gridSpan w:val="5"/>
            <w:tcBorders>
              <w:top w:val="nil"/>
              <w:left w:val="nil"/>
              <w:bottom w:val="nil"/>
              <w:right w:val="nil"/>
            </w:tcBorders>
            <w:shd w:val="clear" w:color="auto" w:fill="FFFFFF"/>
            <w:tcMar>
              <w:top w:w="50" w:type="dxa"/>
              <w:left w:w="50" w:type="dxa"/>
              <w:bottom w:w="50" w:type="dxa"/>
              <w:right w:w="50" w:type="dxa"/>
            </w:tcMar>
            <w:vAlign w:val="center"/>
          </w:tcPr>
          <w:p w:rsidR="00E75F21" w:rsidRPr="00E75F21" w:rsidRDefault="00E75F21" w:rsidP="00BA1518">
            <w:pPr>
              <w:rPr>
                <w:rFonts w:ascii="Times New Roman" w:hAnsi="Times New Roman" w:cs="Times New Roman"/>
                <w:color w:val="auto"/>
                <w:sz w:val="22"/>
                <w:szCs w:val="22"/>
              </w:rPr>
            </w:pPr>
          </w:p>
        </w:tc>
      </w:tr>
      <w:tr w:rsidR="0003246C" w:rsidTr="00136291">
        <w:trPr>
          <w:gridAfter w:val="1"/>
          <w:wAfter w:w="8"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New Roman" w:hAnsi="Times New Roman" w:cs="Times New Roman"/>
                <w:color w:val="auto"/>
              </w:rPr>
            </w:pPr>
          </w:p>
        </w:tc>
        <w:tc>
          <w:tcPr>
            <w:tcW w:w="5617" w:type="dxa"/>
            <w:gridSpan w:val="4"/>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New Roman" w:hAnsi="Times New Roman" w:cs="Times New Roman"/>
                <w:sz w:val="22"/>
                <w:szCs w:val="22"/>
              </w:rPr>
            </w:pPr>
            <w:r>
              <w:rPr>
                <w:rFonts w:ascii="Times New Roman" w:hAnsi="Times New Roman" w:cs="Times New Roman"/>
                <w:sz w:val="22"/>
                <w:szCs w:val="22"/>
              </w:rPr>
              <w:t>Financing Gap</w:t>
            </w:r>
          </w:p>
        </w:tc>
        <w:tc>
          <w:tcPr>
            <w:tcW w:w="1123" w:type="dxa"/>
            <w:gridSpan w:val="2"/>
            <w:tcBorders>
              <w:top w:val="nil"/>
              <w:left w:val="nil"/>
              <w:bottom w:val="nil"/>
              <w:right w:val="nil"/>
            </w:tcBorders>
            <w:shd w:val="clear" w:color="auto" w:fill="FFFFFF"/>
            <w:tcMar>
              <w:top w:w="50" w:type="dxa"/>
              <w:left w:w="50" w:type="dxa"/>
              <w:bottom w:w="50" w:type="dxa"/>
              <w:right w:w="50" w:type="dxa"/>
            </w:tcMar>
            <w:vAlign w:val="center"/>
          </w:tcPr>
          <w:p w:rsidR="0003246C" w:rsidRDefault="00E75F21" w:rsidP="00E75F21">
            <w:pPr>
              <w:jc w:val="center"/>
              <w:rPr>
                <w:rFonts w:ascii="Times New Roman" w:hAnsi="Times New Roman" w:cs="Times New Roman"/>
                <w:sz w:val="22"/>
                <w:szCs w:val="22"/>
              </w:rPr>
            </w:pPr>
            <w:r>
              <w:rPr>
                <w:rFonts w:ascii="Times New Roman" w:hAnsi="Times New Roman" w:cs="Times New Roman"/>
                <w:sz w:val="22"/>
                <w:szCs w:val="22"/>
              </w:rPr>
              <w:t>0</w:t>
            </w:r>
          </w:p>
        </w:tc>
        <w:tc>
          <w:tcPr>
            <w:tcW w:w="2434" w:type="dxa"/>
            <w:gridSpan w:val="5"/>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New Roman" w:hAnsi="Times New Roman" w:cs="Times New Roman"/>
                <w:color w:val="auto"/>
              </w:rPr>
            </w:pPr>
          </w:p>
        </w:tc>
      </w:tr>
      <w:tr w:rsidR="0003246C" w:rsidTr="00136291">
        <w:trPr>
          <w:gridAfter w:val="1"/>
          <w:wAfter w:w="8"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New Roman" w:hAnsi="Times New Roman" w:cs="Times New Roman"/>
                <w:color w:val="auto"/>
              </w:rPr>
            </w:pPr>
          </w:p>
        </w:tc>
        <w:tc>
          <w:tcPr>
            <w:tcW w:w="5617" w:type="dxa"/>
            <w:gridSpan w:val="4"/>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New Roman" w:hAnsi="Times New Roman" w:cs="Times New Roman"/>
                <w:sz w:val="22"/>
                <w:szCs w:val="22"/>
              </w:rPr>
            </w:pPr>
            <w:r>
              <w:rPr>
                <w:rFonts w:ascii="Times New Roman" w:hAnsi="Times New Roman" w:cs="Times New Roman"/>
                <w:sz w:val="22"/>
                <w:szCs w:val="22"/>
              </w:rPr>
              <w:t>Total</w:t>
            </w:r>
          </w:p>
        </w:tc>
        <w:tc>
          <w:tcPr>
            <w:tcW w:w="1123" w:type="dxa"/>
            <w:gridSpan w:val="2"/>
            <w:tcBorders>
              <w:top w:val="nil"/>
              <w:left w:val="nil"/>
              <w:bottom w:val="nil"/>
              <w:right w:val="nil"/>
            </w:tcBorders>
            <w:shd w:val="clear" w:color="auto" w:fill="FFFFFF"/>
            <w:tcMar>
              <w:top w:w="50" w:type="dxa"/>
              <w:left w:w="50" w:type="dxa"/>
              <w:bottom w:w="50" w:type="dxa"/>
              <w:right w:w="50" w:type="dxa"/>
            </w:tcMar>
            <w:vAlign w:val="center"/>
          </w:tcPr>
          <w:p w:rsidR="0003246C" w:rsidRPr="00E75F21" w:rsidRDefault="00E75F21" w:rsidP="00E75F21">
            <w:pPr>
              <w:jc w:val="center"/>
              <w:rPr>
                <w:rFonts w:ascii="Times New Roman" w:hAnsi="Times New Roman" w:cs="Times New Roman"/>
                <w:sz w:val="22"/>
                <w:szCs w:val="22"/>
              </w:rPr>
            </w:pPr>
            <w:r w:rsidRPr="00E75F21">
              <w:rPr>
                <w:rFonts w:ascii="Times New Roman" w:hAnsi="Times New Roman" w:cs="Times New Roman"/>
                <w:sz w:val="22"/>
                <w:szCs w:val="22"/>
              </w:rPr>
              <w:t>1,638,600</w:t>
            </w:r>
          </w:p>
        </w:tc>
        <w:tc>
          <w:tcPr>
            <w:tcW w:w="2434" w:type="dxa"/>
            <w:gridSpan w:val="5"/>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New Roman" w:hAnsi="Times New Roman" w:cs="Times New Roman"/>
                <w:color w:val="auto"/>
              </w:rPr>
            </w:pPr>
          </w:p>
        </w:tc>
      </w:tr>
      <w:tr w:rsidR="0003246C" w:rsidTr="00136291">
        <w:trPr>
          <w:gridAfter w:val="3"/>
          <w:wAfter w:w="300" w:type="dxa"/>
        </w:trPr>
        <w:tc>
          <w:tcPr>
            <w:tcW w:w="9002" w:type="dxa"/>
            <w:gridSpan w:val="10"/>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w:hAnsi="Times" w:cs="Times"/>
                <w:color w:val="FFFFFF"/>
                <w:sz w:val="8"/>
                <w:szCs w:val="8"/>
              </w:rPr>
            </w:pPr>
            <w:r>
              <w:rPr>
                <w:rFonts w:ascii="Times" w:hAnsi="Times" w:cs="Times"/>
                <w:color w:val="FFFFFF"/>
                <w:sz w:val="8"/>
                <w:szCs w:val="8"/>
              </w:rPr>
              <w:t>.</w:t>
            </w:r>
          </w:p>
        </w:tc>
      </w:tr>
      <w:tr w:rsidR="0003246C" w:rsidTr="00136291">
        <w:trPr>
          <w:gridAfter w:val="3"/>
          <w:wAfter w:w="300" w:type="dxa"/>
        </w:trPr>
        <w:tc>
          <w:tcPr>
            <w:tcW w:w="9002" w:type="dxa"/>
            <w:gridSpan w:val="10"/>
            <w:tcBorders>
              <w:top w:val="nil"/>
              <w:left w:val="nil"/>
              <w:bottom w:val="nil"/>
              <w:right w:val="nil"/>
            </w:tcBorders>
            <w:shd w:val="clear" w:color="auto" w:fill="FFFFFF"/>
            <w:tcMar>
              <w:top w:w="50" w:type="dxa"/>
              <w:left w:w="50" w:type="dxa"/>
              <w:bottom w:w="50" w:type="dxa"/>
              <w:right w:w="50" w:type="dxa"/>
            </w:tcMar>
            <w:vAlign w:val="center"/>
          </w:tcPr>
          <w:p w:rsidR="0003246C" w:rsidRDefault="001264AD" w:rsidP="00BA1518">
            <w:pPr>
              <w:rPr>
                <w:rFonts w:ascii="Times New Roman" w:hAnsi="Times New Roman" w:cs="Times New Roman"/>
              </w:rPr>
            </w:pPr>
            <w:r>
              <w:rPr>
                <w:rFonts w:ascii="Times New Roman" w:hAnsi="Times New Roman" w:cs="Times New Roman"/>
                <w:b/>
                <w:bCs/>
              </w:rPr>
              <w:t>V</w:t>
            </w:r>
            <w:r w:rsidR="0003246C">
              <w:rPr>
                <w:rFonts w:ascii="Times New Roman" w:hAnsi="Times New Roman" w:cs="Times New Roman"/>
                <w:b/>
                <w:bCs/>
              </w:rPr>
              <w:t>. Implementation</w:t>
            </w:r>
          </w:p>
        </w:tc>
      </w:tr>
      <w:tr w:rsidR="0003246C" w:rsidTr="00136291">
        <w:trPr>
          <w:gridAfter w:val="1"/>
          <w:wAfter w:w="8"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New Roman" w:hAnsi="Times New Roman" w:cs="Times New Roman"/>
                <w:color w:val="auto"/>
              </w:rPr>
            </w:pPr>
          </w:p>
        </w:tc>
        <w:tc>
          <w:tcPr>
            <w:tcW w:w="9174" w:type="dxa"/>
            <w:gridSpan w:val="11"/>
            <w:tcBorders>
              <w:top w:val="nil"/>
              <w:left w:val="nil"/>
              <w:bottom w:val="nil"/>
              <w:right w:val="nil"/>
            </w:tcBorders>
            <w:shd w:val="clear" w:color="auto" w:fill="FFFFFF"/>
            <w:tcMar>
              <w:top w:w="50" w:type="dxa"/>
              <w:left w:w="50" w:type="dxa"/>
              <w:bottom w:w="50" w:type="dxa"/>
              <w:right w:w="50" w:type="dxa"/>
            </w:tcMar>
            <w:vAlign w:val="center"/>
          </w:tcPr>
          <w:p w:rsidR="00F93EC8" w:rsidRDefault="00F93EC8" w:rsidP="008C5EA1">
            <w:pPr>
              <w:pStyle w:val="ListParagraph"/>
              <w:widowControl w:val="0"/>
              <w:numPr>
                <w:ilvl w:val="0"/>
                <w:numId w:val="5"/>
              </w:numPr>
              <w:tabs>
                <w:tab w:val="clear" w:pos="360"/>
              </w:tabs>
              <w:autoSpaceDE w:val="0"/>
              <w:autoSpaceDN w:val="0"/>
              <w:adjustRightInd w:val="0"/>
              <w:spacing w:after="120"/>
              <w:contextualSpacing w:val="0"/>
              <w:jc w:val="both"/>
            </w:pPr>
            <w:r w:rsidRPr="00A06BC1">
              <w:t xml:space="preserve">The project will be implemented </w:t>
            </w:r>
            <w:r>
              <w:t>the Utilities Regulator over the period of two years</w:t>
            </w:r>
            <w:r w:rsidRPr="00A06BC1">
              <w:t xml:space="preserve">. </w:t>
            </w:r>
            <w:r>
              <w:rPr>
                <w:lang w:eastAsia="ja-JP"/>
              </w:rPr>
              <w:t>The Utilities Regulator</w:t>
            </w:r>
            <w:r w:rsidR="005F4420">
              <w:rPr>
                <w:lang w:eastAsia="ja-JP"/>
              </w:rPr>
              <w:t xml:space="preserve"> </w:t>
            </w:r>
            <w:r w:rsidR="00D9103A">
              <w:rPr>
                <w:lang w:eastAsia="ja-JP"/>
              </w:rPr>
              <w:t xml:space="preserve">is in a process of </w:t>
            </w:r>
            <w:r w:rsidRPr="00A06BC1">
              <w:rPr>
                <w:lang w:eastAsia="ja-JP"/>
              </w:rPr>
              <w:t>establish</w:t>
            </w:r>
            <w:r w:rsidR="00D9103A">
              <w:rPr>
                <w:lang w:eastAsia="ja-JP"/>
              </w:rPr>
              <w:t>ing a PIU</w:t>
            </w:r>
            <w:r w:rsidRPr="00A06BC1">
              <w:rPr>
                <w:lang w:eastAsia="ja-JP"/>
              </w:rPr>
              <w:t>, using its existing staff</w:t>
            </w:r>
            <w:r>
              <w:rPr>
                <w:lang w:eastAsia="ja-JP"/>
              </w:rPr>
              <w:t xml:space="preserve">. </w:t>
            </w:r>
            <w:r>
              <w:t>T</w:t>
            </w:r>
            <w:r w:rsidRPr="003410CD">
              <w:t xml:space="preserve">he </w:t>
            </w:r>
            <w:r>
              <w:t xml:space="preserve">PIU </w:t>
            </w:r>
            <w:r w:rsidRPr="003410CD">
              <w:t xml:space="preserve">capacity will be strengthened by part-time </w:t>
            </w:r>
            <w:r>
              <w:t xml:space="preserve">external </w:t>
            </w:r>
            <w:r w:rsidRPr="003410CD">
              <w:t xml:space="preserve">FM </w:t>
            </w:r>
            <w:r>
              <w:t xml:space="preserve">and procurement </w:t>
            </w:r>
            <w:r w:rsidRPr="003410CD">
              <w:t>consultant</w:t>
            </w:r>
            <w:r>
              <w:t>s;</w:t>
            </w:r>
            <w:r w:rsidRPr="003410CD">
              <w:t xml:space="preserve"> </w:t>
            </w:r>
            <w:r>
              <w:t>the</w:t>
            </w:r>
            <w:r w:rsidRPr="00A06BC1">
              <w:t xml:space="preserve"> PIU capacity will be </w:t>
            </w:r>
            <w:r>
              <w:t xml:space="preserve">further </w:t>
            </w:r>
            <w:r w:rsidRPr="00A06BC1">
              <w:t xml:space="preserve">increased by </w:t>
            </w:r>
            <w:r w:rsidRPr="00A06BC1">
              <w:rPr>
                <w:lang w:eastAsia="ja-JP"/>
              </w:rPr>
              <w:t>training</w:t>
            </w:r>
            <w:r>
              <w:rPr>
                <w:lang w:eastAsia="ja-JP"/>
              </w:rPr>
              <w:t>s</w:t>
            </w:r>
            <w:r w:rsidRPr="00A06BC1">
              <w:rPr>
                <w:lang w:eastAsia="ja-JP"/>
              </w:rPr>
              <w:t xml:space="preserve"> on Bank procedures conducted by </w:t>
            </w:r>
            <w:r>
              <w:rPr>
                <w:lang w:eastAsia="ja-JP"/>
              </w:rPr>
              <w:t xml:space="preserve">the </w:t>
            </w:r>
            <w:r w:rsidRPr="00A06BC1">
              <w:rPr>
                <w:lang w:eastAsia="ja-JP"/>
              </w:rPr>
              <w:t xml:space="preserve">Bank staff. </w:t>
            </w:r>
          </w:p>
          <w:p w:rsidR="0003246C" w:rsidRDefault="00F93EC8" w:rsidP="008C5EA1">
            <w:pPr>
              <w:pStyle w:val="ListParagraph"/>
              <w:widowControl w:val="0"/>
              <w:numPr>
                <w:ilvl w:val="0"/>
                <w:numId w:val="5"/>
              </w:numPr>
              <w:tabs>
                <w:tab w:val="clear" w:pos="360"/>
                <w:tab w:val="num" w:pos="0"/>
              </w:tabs>
              <w:autoSpaceDE w:val="0"/>
              <w:autoSpaceDN w:val="0"/>
              <w:adjustRightInd w:val="0"/>
              <w:spacing w:after="120"/>
              <w:contextualSpacing w:val="0"/>
              <w:jc w:val="both"/>
              <w:rPr>
                <w:sz w:val="22"/>
                <w:szCs w:val="22"/>
              </w:rPr>
            </w:pPr>
            <w:r w:rsidRPr="00D33FC8">
              <w:t xml:space="preserve">In order to ensure that the proposed </w:t>
            </w:r>
            <w:r>
              <w:t>program</w:t>
            </w:r>
            <w:r w:rsidRPr="00D33FC8">
              <w:t xml:space="preserve"> w</w:t>
            </w:r>
            <w:r>
              <w:t>ill</w:t>
            </w:r>
            <w:r w:rsidRPr="00D33FC8">
              <w:t xml:space="preserve"> not overlap with the work of other </w:t>
            </w:r>
            <w:r w:rsidRPr="00D33FC8">
              <w:lastRenderedPageBreak/>
              <w:t>donors</w:t>
            </w:r>
            <w:r>
              <w:t xml:space="preserve"> as well as enhance quality control of the outputs</w:t>
            </w:r>
            <w:r w:rsidRPr="00D33FC8">
              <w:t xml:space="preserve">, a special coordination platform will be established to oversee the </w:t>
            </w:r>
            <w:r>
              <w:t>activity</w:t>
            </w:r>
            <w:r w:rsidRPr="00D33FC8">
              <w:t xml:space="preserve">. </w:t>
            </w:r>
            <w:r>
              <w:t xml:space="preserve">As </w:t>
            </w:r>
            <w:r w:rsidRPr="00D33FC8">
              <w:t>agreed with other IFIs and donors</w:t>
            </w:r>
            <w:r>
              <w:t xml:space="preserve">, </w:t>
            </w:r>
            <w:r w:rsidRPr="00D33FC8">
              <w:t xml:space="preserve">a Steering Committee will be </w:t>
            </w:r>
            <w:r>
              <w:t>created that</w:t>
            </w:r>
            <w:r w:rsidRPr="00D33FC8">
              <w:t xml:space="preserve"> will include representative</w:t>
            </w:r>
            <w:r>
              <w:t>s</w:t>
            </w:r>
            <w:r w:rsidRPr="00D33FC8">
              <w:t xml:space="preserve"> of the </w:t>
            </w:r>
            <w:r>
              <w:rPr>
                <w:lang w:val="en-GB"/>
              </w:rPr>
              <w:t xml:space="preserve">Utilities </w:t>
            </w:r>
            <w:r>
              <w:t>Regulator</w:t>
            </w:r>
            <w:r w:rsidRPr="00D33FC8">
              <w:t xml:space="preserve">, the World Bank, EBRD, EIB and USAID. It will meet regularly to discuss the progress of the </w:t>
            </w:r>
            <w:r>
              <w:t>project</w:t>
            </w:r>
            <w:r w:rsidRPr="00D33FC8">
              <w:t xml:space="preserve"> and related </w:t>
            </w:r>
            <w:r>
              <w:t>TA</w:t>
            </w:r>
            <w:r w:rsidRPr="00D33FC8">
              <w:t xml:space="preserve"> provided by other </w:t>
            </w:r>
            <w:r>
              <w:t>stakeholder</w:t>
            </w:r>
            <w:r w:rsidRPr="00D33FC8">
              <w:t>s.</w:t>
            </w:r>
            <w:r>
              <w:t xml:space="preserve"> </w:t>
            </w:r>
          </w:p>
        </w:tc>
      </w:tr>
      <w:tr w:rsidR="0003246C" w:rsidTr="00136291">
        <w:trPr>
          <w:gridAfter w:val="3"/>
          <w:wAfter w:w="300" w:type="dxa"/>
        </w:trPr>
        <w:tc>
          <w:tcPr>
            <w:tcW w:w="9002" w:type="dxa"/>
            <w:gridSpan w:val="10"/>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w:hAnsi="Times" w:cs="Times"/>
                <w:color w:val="FFFFFF"/>
                <w:sz w:val="8"/>
                <w:szCs w:val="8"/>
              </w:rPr>
            </w:pPr>
            <w:r>
              <w:rPr>
                <w:rFonts w:ascii="Times" w:hAnsi="Times" w:cs="Times"/>
                <w:color w:val="FFFFFF"/>
                <w:sz w:val="8"/>
                <w:szCs w:val="8"/>
              </w:rPr>
              <w:lastRenderedPageBreak/>
              <w:t>.</w:t>
            </w:r>
          </w:p>
        </w:tc>
      </w:tr>
      <w:tr w:rsidR="0003246C" w:rsidTr="00136291">
        <w:trPr>
          <w:gridAfter w:val="3"/>
          <w:wAfter w:w="300" w:type="dxa"/>
        </w:trPr>
        <w:tc>
          <w:tcPr>
            <w:tcW w:w="9002" w:type="dxa"/>
            <w:gridSpan w:val="10"/>
            <w:tcBorders>
              <w:top w:val="nil"/>
              <w:left w:val="nil"/>
              <w:bottom w:val="nil"/>
              <w:right w:val="nil"/>
            </w:tcBorders>
            <w:shd w:val="clear" w:color="auto" w:fill="FFFFFF"/>
            <w:tcMar>
              <w:top w:w="50" w:type="dxa"/>
              <w:left w:w="50" w:type="dxa"/>
              <w:bottom w:w="50" w:type="dxa"/>
              <w:right w:w="50" w:type="dxa"/>
            </w:tcMar>
            <w:vAlign w:val="center"/>
          </w:tcPr>
          <w:p w:rsidR="0003246C" w:rsidRDefault="001264AD" w:rsidP="00BA1518">
            <w:pPr>
              <w:rPr>
                <w:rFonts w:ascii="Times New Roman" w:hAnsi="Times New Roman" w:cs="Times New Roman"/>
              </w:rPr>
            </w:pPr>
            <w:r>
              <w:rPr>
                <w:rFonts w:ascii="Times New Roman" w:hAnsi="Times New Roman" w:cs="Times New Roman"/>
                <w:b/>
                <w:bCs/>
              </w:rPr>
              <w:t>V</w:t>
            </w:r>
            <w:r w:rsidR="0003246C">
              <w:rPr>
                <w:rFonts w:ascii="Times New Roman" w:hAnsi="Times New Roman" w:cs="Times New Roman"/>
                <w:b/>
                <w:bCs/>
              </w:rPr>
              <w:t>I. Safeguard Policies (including public consultation)</w:t>
            </w:r>
          </w:p>
        </w:tc>
      </w:tr>
      <w:tr w:rsidR="0003246C"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rPr>
                <w:rFonts w:ascii="Times New Roman" w:hAnsi="Times New Roman" w:cs="Times New Roman"/>
                <w:sz w:val="22"/>
                <w:szCs w:val="22"/>
              </w:rPr>
            </w:pPr>
            <w:r>
              <w:rPr>
                <w:rFonts w:ascii="Times New Roman" w:hAnsi="Times New Roman" w:cs="Times New Roman"/>
                <w:b/>
                <w:bCs/>
                <w:sz w:val="22"/>
                <w:szCs w:val="22"/>
              </w:rPr>
              <w:t>Safeguard Policies Triggered by the Project</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jc w:val="center"/>
              <w:rPr>
                <w:rFonts w:ascii="Times New Roman" w:hAnsi="Times New Roman" w:cs="Times New Roman"/>
                <w:sz w:val="22"/>
                <w:szCs w:val="22"/>
              </w:rPr>
            </w:pPr>
            <w:r>
              <w:rPr>
                <w:rFonts w:ascii="Times New Roman" w:hAnsi="Times New Roman" w:cs="Times New Roman"/>
                <w:b/>
                <w:bCs/>
                <w:sz w:val="22"/>
                <w:szCs w:val="22"/>
              </w:rPr>
              <w:t>Yes</w:t>
            </w:r>
          </w:p>
        </w:tc>
        <w:tc>
          <w:tcPr>
            <w:tcW w:w="121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jc w:val="center"/>
              <w:rPr>
                <w:rFonts w:ascii="Times New Roman" w:hAnsi="Times New Roman" w:cs="Times New Roman"/>
                <w:sz w:val="22"/>
                <w:szCs w:val="22"/>
              </w:rPr>
            </w:pPr>
            <w:r>
              <w:rPr>
                <w:rFonts w:ascii="Times New Roman" w:hAnsi="Times New Roman" w:cs="Times New Roman"/>
                <w:b/>
                <w:bCs/>
                <w:sz w:val="22"/>
                <w:szCs w:val="22"/>
              </w:rPr>
              <w:t>No</w:t>
            </w:r>
          </w:p>
        </w:tc>
      </w:tr>
      <w:tr w:rsidR="0003246C"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rPr>
                <w:rFonts w:ascii="Times New Roman" w:hAnsi="Times New Roman" w:cs="Times New Roman"/>
                <w:sz w:val="22"/>
                <w:szCs w:val="22"/>
              </w:rPr>
            </w:pPr>
            <w:r>
              <w:rPr>
                <w:rFonts w:ascii="Times New Roman" w:hAnsi="Times New Roman" w:cs="Times New Roman"/>
                <w:sz w:val="22"/>
                <w:szCs w:val="22"/>
              </w:rPr>
              <w:t>Environmental Assessment OP/BP 4.01</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jc w:val="center"/>
              <w:rPr>
                <w:rFonts w:ascii="Times New Roman" w:hAnsi="Times New Roman" w:cs="Times New Roman"/>
                <w:sz w:val="22"/>
                <w:szCs w:val="22"/>
              </w:rPr>
            </w:pPr>
          </w:p>
        </w:tc>
        <w:tc>
          <w:tcPr>
            <w:tcW w:w="121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C80C93" w:rsidP="00BA1518">
            <w:pPr>
              <w:jc w:val="center"/>
              <w:rPr>
                <w:rFonts w:ascii="Times New Roman" w:hAnsi="Times New Roman" w:cs="Times New Roman"/>
                <w:color w:val="auto"/>
              </w:rPr>
            </w:pPr>
            <w:r>
              <w:rPr>
                <w:rFonts w:ascii="Times New Roman" w:hAnsi="Times New Roman" w:cs="Times New Roman"/>
                <w:color w:val="auto"/>
              </w:rPr>
              <w:t>X</w:t>
            </w:r>
          </w:p>
        </w:tc>
      </w:tr>
      <w:tr w:rsidR="0003246C"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rPr>
                <w:rFonts w:ascii="Times New Roman" w:hAnsi="Times New Roman" w:cs="Times New Roman"/>
                <w:sz w:val="22"/>
                <w:szCs w:val="22"/>
              </w:rPr>
            </w:pPr>
            <w:r>
              <w:rPr>
                <w:rFonts w:ascii="Times New Roman" w:hAnsi="Times New Roman" w:cs="Times New Roman"/>
                <w:sz w:val="22"/>
                <w:szCs w:val="22"/>
              </w:rPr>
              <w:t>Natural Habitats OP/BP 4.04</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jc w:val="center"/>
              <w:rPr>
                <w:rFonts w:ascii="Times New Roman" w:hAnsi="Times New Roman" w:cs="Times New Roman"/>
                <w:sz w:val="22"/>
                <w:szCs w:val="22"/>
              </w:rPr>
            </w:pPr>
          </w:p>
        </w:tc>
        <w:tc>
          <w:tcPr>
            <w:tcW w:w="121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C80C93" w:rsidP="00BA1518">
            <w:pPr>
              <w:jc w:val="center"/>
              <w:rPr>
                <w:rFonts w:ascii="Times New Roman" w:hAnsi="Times New Roman" w:cs="Times New Roman"/>
                <w:color w:val="auto"/>
              </w:rPr>
            </w:pPr>
            <w:r>
              <w:rPr>
                <w:rFonts w:ascii="Times New Roman" w:hAnsi="Times New Roman" w:cs="Times New Roman"/>
                <w:color w:val="auto"/>
              </w:rPr>
              <w:t>X</w:t>
            </w:r>
          </w:p>
        </w:tc>
      </w:tr>
      <w:tr w:rsidR="0003246C"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rPr>
                <w:rFonts w:ascii="Times New Roman" w:hAnsi="Times New Roman" w:cs="Times New Roman"/>
                <w:sz w:val="22"/>
                <w:szCs w:val="22"/>
              </w:rPr>
            </w:pPr>
            <w:r>
              <w:rPr>
                <w:rFonts w:ascii="Times New Roman" w:hAnsi="Times New Roman" w:cs="Times New Roman"/>
                <w:sz w:val="22"/>
                <w:szCs w:val="22"/>
              </w:rPr>
              <w:t>Forests OP/BP 4.36</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jc w:val="center"/>
              <w:rPr>
                <w:rFonts w:ascii="Times New Roman" w:hAnsi="Times New Roman" w:cs="Times New Roman"/>
                <w:sz w:val="22"/>
                <w:szCs w:val="22"/>
              </w:rPr>
            </w:pPr>
          </w:p>
        </w:tc>
        <w:tc>
          <w:tcPr>
            <w:tcW w:w="121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C80C93" w:rsidP="00BA1518">
            <w:pPr>
              <w:jc w:val="center"/>
              <w:rPr>
                <w:rFonts w:ascii="Times New Roman" w:hAnsi="Times New Roman" w:cs="Times New Roman"/>
                <w:color w:val="auto"/>
              </w:rPr>
            </w:pPr>
            <w:r>
              <w:rPr>
                <w:rFonts w:ascii="Times New Roman" w:hAnsi="Times New Roman" w:cs="Times New Roman"/>
                <w:color w:val="auto"/>
              </w:rPr>
              <w:t>X</w:t>
            </w:r>
          </w:p>
        </w:tc>
      </w:tr>
      <w:tr w:rsidR="0003246C"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rPr>
                <w:rFonts w:ascii="Times New Roman" w:hAnsi="Times New Roman" w:cs="Times New Roman"/>
                <w:sz w:val="22"/>
                <w:szCs w:val="22"/>
              </w:rPr>
            </w:pPr>
            <w:r>
              <w:rPr>
                <w:rFonts w:ascii="Times New Roman" w:hAnsi="Times New Roman" w:cs="Times New Roman"/>
                <w:sz w:val="22"/>
                <w:szCs w:val="22"/>
              </w:rPr>
              <w:t>Pest Management OP 4.09</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jc w:val="center"/>
              <w:rPr>
                <w:rFonts w:ascii="Times New Roman" w:hAnsi="Times New Roman" w:cs="Times New Roman"/>
                <w:sz w:val="22"/>
                <w:szCs w:val="22"/>
              </w:rPr>
            </w:pPr>
          </w:p>
        </w:tc>
        <w:tc>
          <w:tcPr>
            <w:tcW w:w="121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C80C93" w:rsidP="00BA1518">
            <w:pPr>
              <w:jc w:val="center"/>
              <w:rPr>
                <w:rFonts w:ascii="Times New Roman" w:hAnsi="Times New Roman" w:cs="Times New Roman"/>
                <w:color w:val="auto"/>
              </w:rPr>
            </w:pPr>
            <w:r>
              <w:rPr>
                <w:rFonts w:ascii="Times New Roman" w:hAnsi="Times New Roman" w:cs="Times New Roman"/>
                <w:color w:val="auto"/>
              </w:rPr>
              <w:t>X</w:t>
            </w:r>
          </w:p>
        </w:tc>
      </w:tr>
      <w:tr w:rsidR="0003246C"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rPr>
                <w:rFonts w:ascii="Times New Roman" w:hAnsi="Times New Roman" w:cs="Times New Roman"/>
                <w:sz w:val="22"/>
                <w:szCs w:val="22"/>
              </w:rPr>
            </w:pPr>
            <w:r>
              <w:rPr>
                <w:rFonts w:ascii="Times New Roman" w:hAnsi="Times New Roman" w:cs="Times New Roman"/>
                <w:sz w:val="22"/>
                <w:szCs w:val="22"/>
              </w:rPr>
              <w:t>Physical Cultural Resources OP/BP 4.11</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jc w:val="center"/>
              <w:rPr>
                <w:rFonts w:ascii="Times New Roman" w:hAnsi="Times New Roman" w:cs="Times New Roman"/>
                <w:sz w:val="22"/>
                <w:szCs w:val="22"/>
              </w:rPr>
            </w:pPr>
          </w:p>
        </w:tc>
        <w:tc>
          <w:tcPr>
            <w:tcW w:w="121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C80C93" w:rsidP="00BA1518">
            <w:pPr>
              <w:jc w:val="center"/>
              <w:rPr>
                <w:rFonts w:ascii="Times New Roman" w:hAnsi="Times New Roman" w:cs="Times New Roman"/>
                <w:color w:val="auto"/>
              </w:rPr>
            </w:pPr>
            <w:r>
              <w:rPr>
                <w:rFonts w:ascii="Times New Roman" w:hAnsi="Times New Roman" w:cs="Times New Roman"/>
                <w:color w:val="auto"/>
              </w:rPr>
              <w:t>X</w:t>
            </w:r>
          </w:p>
        </w:tc>
      </w:tr>
      <w:tr w:rsidR="0003246C"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rPr>
                <w:rFonts w:ascii="Times New Roman" w:hAnsi="Times New Roman" w:cs="Times New Roman"/>
                <w:sz w:val="22"/>
                <w:szCs w:val="22"/>
              </w:rPr>
            </w:pPr>
            <w:r>
              <w:rPr>
                <w:rFonts w:ascii="Times New Roman" w:hAnsi="Times New Roman" w:cs="Times New Roman"/>
                <w:sz w:val="22"/>
                <w:szCs w:val="22"/>
              </w:rPr>
              <w:t>Indigenous Peoples OP/BP 4.10</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jc w:val="center"/>
              <w:rPr>
                <w:rFonts w:ascii="Times New Roman" w:hAnsi="Times New Roman" w:cs="Times New Roman"/>
                <w:sz w:val="22"/>
                <w:szCs w:val="22"/>
              </w:rPr>
            </w:pPr>
          </w:p>
        </w:tc>
        <w:tc>
          <w:tcPr>
            <w:tcW w:w="121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C80C93" w:rsidP="00BA1518">
            <w:pPr>
              <w:jc w:val="center"/>
              <w:rPr>
                <w:rFonts w:ascii="Times New Roman" w:hAnsi="Times New Roman" w:cs="Times New Roman"/>
                <w:color w:val="auto"/>
              </w:rPr>
            </w:pPr>
            <w:r>
              <w:rPr>
                <w:rFonts w:ascii="Times New Roman" w:hAnsi="Times New Roman" w:cs="Times New Roman"/>
                <w:color w:val="auto"/>
              </w:rPr>
              <w:t>X</w:t>
            </w:r>
          </w:p>
        </w:tc>
      </w:tr>
      <w:tr w:rsidR="0003246C"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rPr>
                <w:rFonts w:ascii="Times New Roman" w:hAnsi="Times New Roman" w:cs="Times New Roman"/>
                <w:sz w:val="22"/>
                <w:szCs w:val="22"/>
              </w:rPr>
            </w:pPr>
            <w:r>
              <w:rPr>
                <w:rFonts w:ascii="Times New Roman" w:hAnsi="Times New Roman" w:cs="Times New Roman"/>
                <w:sz w:val="22"/>
                <w:szCs w:val="22"/>
              </w:rPr>
              <w:t>Involuntary Resettlement OP/BP 4.12</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jc w:val="center"/>
              <w:rPr>
                <w:rFonts w:ascii="Times New Roman" w:hAnsi="Times New Roman" w:cs="Times New Roman"/>
                <w:sz w:val="22"/>
                <w:szCs w:val="22"/>
              </w:rPr>
            </w:pPr>
          </w:p>
        </w:tc>
        <w:tc>
          <w:tcPr>
            <w:tcW w:w="121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C80C93" w:rsidP="00BA1518">
            <w:pPr>
              <w:jc w:val="center"/>
              <w:rPr>
                <w:rFonts w:ascii="Times New Roman" w:hAnsi="Times New Roman" w:cs="Times New Roman"/>
                <w:color w:val="auto"/>
              </w:rPr>
            </w:pPr>
            <w:r>
              <w:rPr>
                <w:rFonts w:ascii="Times New Roman" w:hAnsi="Times New Roman" w:cs="Times New Roman"/>
                <w:color w:val="auto"/>
              </w:rPr>
              <w:t>X</w:t>
            </w:r>
          </w:p>
        </w:tc>
      </w:tr>
      <w:tr w:rsidR="0003246C"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rPr>
                <w:rFonts w:ascii="Times New Roman" w:hAnsi="Times New Roman" w:cs="Times New Roman"/>
                <w:sz w:val="22"/>
                <w:szCs w:val="22"/>
              </w:rPr>
            </w:pPr>
            <w:r>
              <w:rPr>
                <w:rFonts w:ascii="Times New Roman" w:hAnsi="Times New Roman" w:cs="Times New Roman"/>
                <w:sz w:val="22"/>
                <w:szCs w:val="22"/>
              </w:rPr>
              <w:t>Safety of Dams OP/BP 4.37</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jc w:val="center"/>
              <w:rPr>
                <w:rFonts w:ascii="Times New Roman" w:hAnsi="Times New Roman" w:cs="Times New Roman"/>
                <w:sz w:val="22"/>
                <w:szCs w:val="22"/>
              </w:rPr>
            </w:pPr>
          </w:p>
        </w:tc>
        <w:tc>
          <w:tcPr>
            <w:tcW w:w="121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C80C93" w:rsidP="00BA1518">
            <w:pPr>
              <w:jc w:val="center"/>
              <w:rPr>
                <w:rFonts w:ascii="Times New Roman" w:hAnsi="Times New Roman" w:cs="Times New Roman"/>
                <w:color w:val="auto"/>
              </w:rPr>
            </w:pPr>
            <w:r>
              <w:rPr>
                <w:rFonts w:ascii="Times New Roman" w:hAnsi="Times New Roman" w:cs="Times New Roman"/>
                <w:color w:val="auto"/>
              </w:rPr>
              <w:t>X</w:t>
            </w:r>
          </w:p>
        </w:tc>
      </w:tr>
      <w:tr w:rsidR="0003246C"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rPr>
                <w:rFonts w:ascii="Times New Roman" w:hAnsi="Times New Roman" w:cs="Times New Roman"/>
                <w:sz w:val="22"/>
                <w:szCs w:val="22"/>
              </w:rPr>
            </w:pPr>
            <w:r>
              <w:rPr>
                <w:rFonts w:ascii="Times New Roman" w:hAnsi="Times New Roman" w:cs="Times New Roman"/>
                <w:sz w:val="22"/>
                <w:szCs w:val="22"/>
              </w:rPr>
              <w:t>Projects on International Waterways OP/BP 7.50</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jc w:val="center"/>
              <w:rPr>
                <w:rFonts w:ascii="Times New Roman" w:hAnsi="Times New Roman" w:cs="Times New Roman"/>
                <w:sz w:val="22"/>
                <w:szCs w:val="22"/>
              </w:rPr>
            </w:pPr>
          </w:p>
        </w:tc>
        <w:tc>
          <w:tcPr>
            <w:tcW w:w="121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C80C93" w:rsidP="00BA1518">
            <w:pPr>
              <w:jc w:val="center"/>
              <w:rPr>
                <w:rFonts w:ascii="Times New Roman" w:hAnsi="Times New Roman" w:cs="Times New Roman"/>
                <w:color w:val="auto"/>
              </w:rPr>
            </w:pPr>
            <w:r>
              <w:rPr>
                <w:rFonts w:ascii="Times New Roman" w:hAnsi="Times New Roman" w:cs="Times New Roman"/>
                <w:color w:val="auto"/>
              </w:rPr>
              <w:t>X</w:t>
            </w:r>
          </w:p>
        </w:tc>
      </w:tr>
      <w:tr w:rsidR="0003246C"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03246C" w:rsidRDefault="0003246C" w:rsidP="00BA1518">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rPr>
                <w:rFonts w:ascii="Times New Roman" w:hAnsi="Times New Roman" w:cs="Times New Roman"/>
                <w:sz w:val="22"/>
                <w:szCs w:val="22"/>
              </w:rPr>
            </w:pPr>
            <w:r>
              <w:rPr>
                <w:rFonts w:ascii="Times New Roman" w:hAnsi="Times New Roman" w:cs="Times New Roman"/>
                <w:sz w:val="22"/>
                <w:szCs w:val="22"/>
              </w:rPr>
              <w:t>Projects in Disputed Areas OP/BP 7.60</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03246C" w:rsidP="00BA1518">
            <w:pPr>
              <w:jc w:val="center"/>
              <w:rPr>
                <w:rFonts w:ascii="Times New Roman" w:hAnsi="Times New Roman" w:cs="Times New Roman"/>
                <w:sz w:val="22"/>
                <w:szCs w:val="22"/>
              </w:rPr>
            </w:pPr>
          </w:p>
        </w:tc>
        <w:tc>
          <w:tcPr>
            <w:tcW w:w="121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3246C" w:rsidRDefault="00C80C93" w:rsidP="00BA1518">
            <w:pPr>
              <w:jc w:val="center"/>
              <w:rPr>
                <w:rFonts w:ascii="Times New Roman" w:hAnsi="Times New Roman" w:cs="Times New Roman"/>
                <w:color w:val="auto"/>
              </w:rPr>
            </w:pPr>
            <w:r>
              <w:rPr>
                <w:rFonts w:ascii="Times New Roman" w:hAnsi="Times New Roman" w:cs="Times New Roman"/>
                <w:color w:val="auto"/>
              </w:rPr>
              <w:t>X</w:t>
            </w:r>
          </w:p>
        </w:tc>
      </w:tr>
      <w:tr w:rsidR="00136291" w:rsidTr="00136291">
        <w:trPr>
          <w:gridAfter w:val="3"/>
          <w:wAfter w:w="300" w:type="dxa"/>
        </w:trPr>
        <w:tc>
          <w:tcPr>
            <w:tcW w:w="9002" w:type="dxa"/>
            <w:gridSpan w:val="10"/>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color w:val="auto"/>
              </w:rPr>
            </w:pPr>
          </w:p>
        </w:tc>
      </w:tr>
      <w:tr w:rsidR="00136291"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color w:val="auto"/>
              </w:rPr>
            </w:pPr>
          </w:p>
        </w:tc>
        <w:tc>
          <w:tcPr>
            <w:tcW w:w="8987" w:type="dxa"/>
            <w:gridSpan w:val="10"/>
            <w:tcBorders>
              <w:top w:val="nil"/>
              <w:left w:val="nil"/>
              <w:bottom w:val="nil"/>
              <w:right w:val="nil"/>
            </w:tcBorders>
            <w:shd w:val="clear" w:color="auto" w:fill="FFFFFF"/>
            <w:tcMar>
              <w:top w:w="50" w:type="dxa"/>
              <w:left w:w="50" w:type="dxa"/>
              <w:bottom w:w="50" w:type="dxa"/>
              <w:right w:w="50" w:type="dxa"/>
            </w:tcMar>
            <w:vAlign w:val="center"/>
          </w:tcPr>
          <w:p w:rsidR="001264AD" w:rsidRDefault="001264AD" w:rsidP="001264AD">
            <w:pPr>
              <w:rPr>
                <w:rFonts w:ascii="Times New Roman" w:hAnsi="Times New Roman" w:cs="Times New Roman"/>
                <w:b/>
                <w:bCs/>
              </w:rPr>
            </w:pPr>
            <w:r>
              <w:rPr>
                <w:rFonts w:ascii="Times New Roman" w:hAnsi="Times New Roman" w:cs="Times New Roman"/>
                <w:b/>
                <w:bCs/>
              </w:rPr>
              <w:t>VII. Contact point</w:t>
            </w:r>
          </w:p>
          <w:p w:rsidR="00136291" w:rsidRDefault="00136291" w:rsidP="001264AD">
            <w:pPr>
              <w:rPr>
                <w:rFonts w:ascii="Times New Roman" w:hAnsi="Times New Roman" w:cs="Times New Roman"/>
              </w:rPr>
            </w:pPr>
            <w:r>
              <w:rPr>
                <w:rFonts w:ascii="Times New Roman" w:hAnsi="Times New Roman" w:cs="Times New Roman"/>
                <w:b/>
                <w:bCs/>
              </w:rPr>
              <w:t>World Bank</w:t>
            </w:r>
          </w:p>
        </w:tc>
      </w:tr>
      <w:tr w:rsidR="00136291"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sz w:val="22"/>
                <w:szCs w:val="22"/>
              </w:rPr>
            </w:pPr>
            <w:r>
              <w:rPr>
                <w:rFonts w:ascii="Times New Roman" w:hAnsi="Times New Roman" w:cs="Times New Roman"/>
                <w:sz w:val="22"/>
                <w:szCs w:val="22"/>
              </w:rPr>
              <w:t>Contact:</w:t>
            </w:r>
          </w:p>
        </w:tc>
        <w:tc>
          <w:tcPr>
            <w:tcW w:w="7957" w:type="dxa"/>
            <w:gridSpan w:val="9"/>
            <w:tcBorders>
              <w:top w:val="nil"/>
              <w:left w:val="nil"/>
              <w:bottom w:val="nil"/>
              <w:right w:val="nil"/>
            </w:tcBorders>
            <w:shd w:val="clear" w:color="auto" w:fill="FFFFFF"/>
            <w:tcMar>
              <w:top w:w="50" w:type="dxa"/>
              <w:left w:w="50" w:type="dxa"/>
              <w:bottom w:w="50" w:type="dxa"/>
              <w:right w:w="50" w:type="dxa"/>
            </w:tcMar>
            <w:vAlign w:val="center"/>
          </w:tcPr>
          <w:p w:rsidR="00136291" w:rsidRDefault="00C80C93" w:rsidP="00BA1518">
            <w:pPr>
              <w:rPr>
                <w:rFonts w:ascii="Times New Roman" w:hAnsi="Times New Roman" w:cs="Times New Roman"/>
                <w:sz w:val="22"/>
                <w:szCs w:val="22"/>
              </w:rPr>
            </w:pPr>
            <w:proofErr w:type="spellStart"/>
            <w:r>
              <w:rPr>
                <w:rFonts w:ascii="Times New Roman" w:hAnsi="Times New Roman" w:cs="Times New Roman"/>
                <w:sz w:val="22"/>
                <w:szCs w:val="22"/>
              </w:rPr>
              <w:t>Yadviga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Semikolenova</w:t>
            </w:r>
            <w:proofErr w:type="spellEnd"/>
          </w:p>
        </w:tc>
      </w:tr>
      <w:tr w:rsidR="00136291"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sz w:val="22"/>
                <w:szCs w:val="22"/>
              </w:rPr>
            </w:pPr>
            <w:r>
              <w:rPr>
                <w:rFonts w:ascii="Times New Roman" w:hAnsi="Times New Roman" w:cs="Times New Roman"/>
                <w:sz w:val="22"/>
                <w:szCs w:val="22"/>
              </w:rPr>
              <w:t>Title:</w:t>
            </w:r>
          </w:p>
        </w:tc>
        <w:tc>
          <w:tcPr>
            <w:tcW w:w="7957" w:type="dxa"/>
            <w:gridSpan w:val="9"/>
            <w:tcBorders>
              <w:top w:val="nil"/>
              <w:left w:val="nil"/>
              <w:bottom w:val="nil"/>
              <w:right w:val="nil"/>
            </w:tcBorders>
            <w:shd w:val="clear" w:color="auto" w:fill="FFFFFF"/>
            <w:tcMar>
              <w:top w:w="50" w:type="dxa"/>
              <w:left w:w="50" w:type="dxa"/>
              <w:bottom w:w="50" w:type="dxa"/>
              <w:right w:w="50" w:type="dxa"/>
            </w:tcMar>
            <w:vAlign w:val="center"/>
          </w:tcPr>
          <w:p w:rsidR="00136291" w:rsidRDefault="00C80C93" w:rsidP="00BA1518">
            <w:pPr>
              <w:rPr>
                <w:rFonts w:ascii="Times New Roman" w:hAnsi="Times New Roman" w:cs="Times New Roman"/>
                <w:sz w:val="22"/>
                <w:szCs w:val="22"/>
              </w:rPr>
            </w:pPr>
            <w:r>
              <w:rPr>
                <w:rFonts w:ascii="Times New Roman" w:hAnsi="Times New Roman" w:cs="Times New Roman"/>
                <w:sz w:val="22"/>
                <w:szCs w:val="22"/>
              </w:rPr>
              <w:t>Senior Energy Economist</w:t>
            </w:r>
          </w:p>
        </w:tc>
      </w:tr>
      <w:tr w:rsidR="00136291"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sz w:val="22"/>
                <w:szCs w:val="22"/>
              </w:rPr>
            </w:pPr>
            <w:r>
              <w:rPr>
                <w:rFonts w:ascii="Times New Roman" w:hAnsi="Times New Roman" w:cs="Times New Roman"/>
                <w:sz w:val="22"/>
                <w:szCs w:val="22"/>
              </w:rPr>
              <w:t>Tel:</w:t>
            </w:r>
          </w:p>
        </w:tc>
        <w:tc>
          <w:tcPr>
            <w:tcW w:w="7957" w:type="dxa"/>
            <w:gridSpan w:val="9"/>
            <w:tcBorders>
              <w:top w:val="nil"/>
              <w:left w:val="nil"/>
              <w:bottom w:val="nil"/>
              <w:right w:val="nil"/>
            </w:tcBorders>
            <w:shd w:val="clear" w:color="auto" w:fill="FFFFFF"/>
            <w:tcMar>
              <w:top w:w="50" w:type="dxa"/>
              <w:left w:w="50" w:type="dxa"/>
              <w:bottom w:w="50" w:type="dxa"/>
              <w:right w:w="50" w:type="dxa"/>
            </w:tcMar>
            <w:vAlign w:val="center"/>
          </w:tcPr>
          <w:p w:rsidR="00136291" w:rsidRDefault="00C80C93" w:rsidP="00BA1518">
            <w:pPr>
              <w:rPr>
                <w:rFonts w:ascii="Times New Roman" w:hAnsi="Times New Roman" w:cs="Times New Roman"/>
                <w:color w:val="auto"/>
              </w:rPr>
            </w:pPr>
            <w:r>
              <w:rPr>
                <w:rFonts w:ascii="Times New Roman" w:hAnsi="Times New Roman" w:cs="Times New Roman"/>
                <w:color w:val="auto"/>
              </w:rPr>
              <w:t>+1(202) 473 7631</w:t>
            </w:r>
          </w:p>
        </w:tc>
      </w:tr>
      <w:tr w:rsidR="00136291"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sz w:val="22"/>
                <w:szCs w:val="22"/>
              </w:rPr>
            </w:pPr>
            <w:r>
              <w:rPr>
                <w:rFonts w:ascii="Times New Roman" w:hAnsi="Times New Roman" w:cs="Times New Roman"/>
                <w:sz w:val="22"/>
                <w:szCs w:val="22"/>
              </w:rPr>
              <w:t>Email:</w:t>
            </w:r>
          </w:p>
        </w:tc>
        <w:tc>
          <w:tcPr>
            <w:tcW w:w="7957" w:type="dxa"/>
            <w:gridSpan w:val="9"/>
            <w:tcBorders>
              <w:top w:val="nil"/>
              <w:left w:val="nil"/>
              <w:bottom w:val="nil"/>
              <w:right w:val="nil"/>
            </w:tcBorders>
            <w:shd w:val="clear" w:color="auto" w:fill="FFFFFF"/>
            <w:tcMar>
              <w:top w:w="50" w:type="dxa"/>
              <w:left w:w="50" w:type="dxa"/>
              <w:bottom w:w="50" w:type="dxa"/>
              <w:right w:w="50" w:type="dxa"/>
            </w:tcMar>
            <w:vAlign w:val="center"/>
          </w:tcPr>
          <w:p w:rsidR="00136291" w:rsidRDefault="00C80C93" w:rsidP="00BA1518">
            <w:pPr>
              <w:rPr>
                <w:rFonts w:ascii="Times New Roman" w:hAnsi="Times New Roman" w:cs="Times New Roman"/>
                <w:sz w:val="22"/>
                <w:szCs w:val="22"/>
              </w:rPr>
            </w:pPr>
            <w:r>
              <w:rPr>
                <w:rFonts w:ascii="Times New Roman" w:hAnsi="Times New Roman" w:cs="Times New Roman"/>
                <w:sz w:val="22"/>
                <w:szCs w:val="22"/>
              </w:rPr>
              <w:t>ysemikolenova@worldbank.org</w:t>
            </w:r>
          </w:p>
        </w:tc>
      </w:tr>
      <w:tr w:rsidR="00136291" w:rsidTr="00136291">
        <w:trPr>
          <w:gridAfter w:val="3"/>
          <w:wAfter w:w="300" w:type="dxa"/>
        </w:trPr>
        <w:tc>
          <w:tcPr>
            <w:tcW w:w="9002" w:type="dxa"/>
            <w:gridSpan w:val="10"/>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w:hAnsi="Times" w:cs="Times"/>
                <w:color w:val="FFFFFF"/>
                <w:sz w:val="8"/>
                <w:szCs w:val="8"/>
              </w:rPr>
            </w:pPr>
            <w:r>
              <w:rPr>
                <w:rFonts w:ascii="Times" w:hAnsi="Times" w:cs="Times"/>
                <w:color w:val="FFFFFF"/>
                <w:sz w:val="8"/>
                <w:szCs w:val="8"/>
              </w:rPr>
              <w:t>.</w:t>
            </w:r>
          </w:p>
        </w:tc>
      </w:tr>
      <w:tr w:rsidR="00136291"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color w:val="auto"/>
              </w:rPr>
            </w:pPr>
          </w:p>
        </w:tc>
        <w:tc>
          <w:tcPr>
            <w:tcW w:w="8987" w:type="dxa"/>
            <w:gridSpan w:val="10"/>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rPr>
            </w:pPr>
            <w:r>
              <w:rPr>
                <w:rFonts w:ascii="Times New Roman" w:hAnsi="Times New Roman" w:cs="Times New Roman"/>
                <w:b/>
                <w:bCs/>
              </w:rPr>
              <w:t>Recipient</w:t>
            </w:r>
          </w:p>
        </w:tc>
      </w:tr>
      <w:tr w:rsidR="00136291"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sz w:val="22"/>
                <w:szCs w:val="22"/>
              </w:rPr>
            </w:pPr>
            <w:r>
              <w:rPr>
                <w:rFonts w:ascii="Times New Roman" w:hAnsi="Times New Roman" w:cs="Times New Roman"/>
                <w:sz w:val="22"/>
                <w:szCs w:val="22"/>
              </w:rPr>
              <w:t>Contact:</w:t>
            </w:r>
          </w:p>
        </w:tc>
        <w:tc>
          <w:tcPr>
            <w:tcW w:w="7957" w:type="dxa"/>
            <w:gridSpan w:val="9"/>
            <w:tcBorders>
              <w:top w:val="nil"/>
              <w:left w:val="nil"/>
              <w:bottom w:val="nil"/>
              <w:right w:val="nil"/>
            </w:tcBorders>
            <w:shd w:val="clear" w:color="auto" w:fill="FFFFFF"/>
            <w:tcMar>
              <w:top w:w="50" w:type="dxa"/>
              <w:left w:w="50" w:type="dxa"/>
              <w:bottom w:w="50" w:type="dxa"/>
              <w:right w:w="50" w:type="dxa"/>
            </w:tcMar>
            <w:vAlign w:val="center"/>
          </w:tcPr>
          <w:p w:rsidR="00136291" w:rsidRPr="00D33ADE" w:rsidRDefault="00D33ADE" w:rsidP="00BA1518">
            <w:pPr>
              <w:rPr>
                <w:rFonts w:ascii="Times New Roman" w:hAnsi="Times New Roman" w:cs="Times New Roman"/>
                <w:color w:val="auto"/>
                <w:sz w:val="22"/>
                <w:szCs w:val="22"/>
              </w:rPr>
            </w:pPr>
            <w:proofErr w:type="spellStart"/>
            <w:r w:rsidRPr="00D33ADE">
              <w:rPr>
                <w:rFonts w:ascii="Times New Roman" w:hAnsi="Times New Roman" w:cs="Times New Roman"/>
                <w:sz w:val="22"/>
                <w:szCs w:val="22"/>
                <w:lang w:val="en-GB"/>
              </w:rPr>
              <w:t>Anatoloii</w:t>
            </w:r>
            <w:proofErr w:type="spellEnd"/>
            <w:r w:rsidRPr="00D33ADE">
              <w:rPr>
                <w:rFonts w:ascii="Times New Roman" w:hAnsi="Times New Roman" w:cs="Times New Roman"/>
                <w:sz w:val="22"/>
                <w:szCs w:val="22"/>
                <w:lang w:val="en-GB"/>
              </w:rPr>
              <w:t xml:space="preserve"> </w:t>
            </w:r>
            <w:proofErr w:type="spellStart"/>
            <w:r w:rsidRPr="00D33ADE">
              <w:rPr>
                <w:rFonts w:ascii="Times New Roman" w:hAnsi="Times New Roman" w:cs="Times New Roman"/>
                <w:sz w:val="22"/>
                <w:szCs w:val="22"/>
                <w:lang w:val="en-GB"/>
              </w:rPr>
              <w:t>Maksiuta</w:t>
            </w:r>
            <w:proofErr w:type="spellEnd"/>
          </w:p>
        </w:tc>
      </w:tr>
      <w:tr w:rsidR="00136291"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sz w:val="22"/>
                <w:szCs w:val="22"/>
              </w:rPr>
            </w:pPr>
            <w:r>
              <w:rPr>
                <w:rFonts w:ascii="Times New Roman" w:hAnsi="Times New Roman" w:cs="Times New Roman"/>
                <w:sz w:val="22"/>
                <w:szCs w:val="22"/>
              </w:rPr>
              <w:t>Title:</w:t>
            </w:r>
          </w:p>
        </w:tc>
        <w:tc>
          <w:tcPr>
            <w:tcW w:w="7957" w:type="dxa"/>
            <w:gridSpan w:val="9"/>
            <w:tcBorders>
              <w:top w:val="nil"/>
              <w:left w:val="nil"/>
              <w:bottom w:val="nil"/>
              <w:right w:val="nil"/>
            </w:tcBorders>
            <w:shd w:val="clear" w:color="auto" w:fill="FFFFFF"/>
            <w:tcMar>
              <w:top w:w="50" w:type="dxa"/>
              <w:left w:w="50" w:type="dxa"/>
              <w:bottom w:w="50" w:type="dxa"/>
              <w:right w:w="50" w:type="dxa"/>
            </w:tcMar>
            <w:vAlign w:val="center"/>
          </w:tcPr>
          <w:p w:rsidR="00136291" w:rsidRPr="00D33ADE" w:rsidRDefault="00D33ADE" w:rsidP="00BA1518">
            <w:pPr>
              <w:rPr>
                <w:rFonts w:ascii="Times New Roman" w:hAnsi="Times New Roman" w:cs="Times New Roman"/>
                <w:color w:val="auto"/>
                <w:sz w:val="22"/>
                <w:szCs w:val="22"/>
              </w:rPr>
            </w:pPr>
            <w:r w:rsidRPr="00D33ADE">
              <w:rPr>
                <w:rFonts w:ascii="Times New Roman" w:hAnsi="Times New Roman" w:cs="Times New Roman"/>
                <w:sz w:val="22"/>
                <w:szCs w:val="22"/>
                <w:lang w:val="en-GB"/>
              </w:rPr>
              <w:t>First Deputy Minister of Economic Development and Trade</w:t>
            </w:r>
          </w:p>
        </w:tc>
      </w:tr>
      <w:tr w:rsidR="00136291" w:rsidRPr="00EC6827"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sz w:val="22"/>
                <w:szCs w:val="22"/>
              </w:rPr>
            </w:pPr>
            <w:r>
              <w:rPr>
                <w:rFonts w:ascii="Times New Roman" w:hAnsi="Times New Roman" w:cs="Times New Roman"/>
                <w:sz w:val="22"/>
                <w:szCs w:val="22"/>
              </w:rPr>
              <w:t>Tel:</w:t>
            </w:r>
          </w:p>
        </w:tc>
        <w:tc>
          <w:tcPr>
            <w:tcW w:w="7957" w:type="dxa"/>
            <w:gridSpan w:val="9"/>
            <w:tcBorders>
              <w:top w:val="nil"/>
              <w:left w:val="nil"/>
              <w:bottom w:val="nil"/>
              <w:right w:val="nil"/>
            </w:tcBorders>
            <w:shd w:val="clear" w:color="auto" w:fill="FFFFFF"/>
            <w:tcMar>
              <w:top w:w="50" w:type="dxa"/>
              <w:left w:w="50" w:type="dxa"/>
              <w:bottom w:w="50" w:type="dxa"/>
              <w:right w:w="50" w:type="dxa"/>
            </w:tcMar>
            <w:vAlign w:val="center"/>
          </w:tcPr>
          <w:p w:rsidR="00136291" w:rsidRPr="00EC6827" w:rsidRDefault="00EC6827" w:rsidP="00EC6827">
            <w:pPr>
              <w:widowControl/>
              <w:autoSpaceDE/>
              <w:autoSpaceDN/>
              <w:adjustRightInd/>
              <w:spacing w:before="100" w:beforeAutospacing="1" w:after="100" w:afterAutospacing="1"/>
              <w:rPr>
                <w:rFonts w:ascii="Times New Roman" w:hAnsi="Times New Roman" w:cs="Times New Roman"/>
                <w:color w:val="auto"/>
                <w:sz w:val="22"/>
                <w:szCs w:val="22"/>
                <w:lang w:val="ru-RU"/>
              </w:rPr>
            </w:pPr>
            <w:r w:rsidRPr="00EC6827">
              <w:rPr>
                <w:rFonts w:ascii="Times New Roman" w:eastAsia="Times New Roman" w:hAnsi="Times New Roman" w:cs="Times New Roman"/>
                <w:sz w:val="22"/>
                <w:szCs w:val="22"/>
                <w:lang w:val="ru-RU"/>
              </w:rPr>
              <w:t>+38 (044) 253-9394</w:t>
            </w:r>
          </w:p>
        </w:tc>
      </w:tr>
      <w:tr w:rsidR="00136291"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136291" w:rsidRPr="00EC6827" w:rsidRDefault="00136291" w:rsidP="00BA1518">
            <w:pPr>
              <w:rPr>
                <w:rFonts w:ascii="Times New Roman" w:hAnsi="Times New Roman" w:cs="Times New Roman"/>
                <w:color w:val="auto"/>
                <w:lang w:val="ru-RU"/>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sz w:val="22"/>
                <w:szCs w:val="22"/>
              </w:rPr>
            </w:pPr>
            <w:r>
              <w:rPr>
                <w:rFonts w:ascii="Times New Roman" w:hAnsi="Times New Roman" w:cs="Times New Roman"/>
                <w:sz w:val="22"/>
                <w:szCs w:val="22"/>
              </w:rPr>
              <w:t>Email:</w:t>
            </w:r>
          </w:p>
        </w:tc>
        <w:tc>
          <w:tcPr>
            <w:tcW w:w="7957" w:type="dxa"/>
            <w:gridSpan w:val="9"/>
            <w:tcBorders>
              <w:top w:val="nil"/>
              <w:left w:val="nil"/>
              <w:bottom w:val="nil"/>
              <w:right w:val="nil"/>
            </w:tcBorders>
            <w:shd w:val="clear" w:color="auto" w:fill="FFFFFF"/>
            <w:tcMar>
              <w:top w:w="50" w:type="dxa"/>
              <w:left w:w="50" w:type="dxa"/>
              <w:bottom w:w="50" w:type="dxa"/>
              <w:right w:w="50" w:type="dxa"/>
            </w:tcMar>
            <w:vAlign w:val="center"/>
          </w:tcPr>
          <w:p w:rsidR="00136291" w:rsidRPr="00EC6827" w:rsidRDefault="006440FE" w:rsidP="00BA1518">
            <w:pPr>
              <w:rPr>
                <w:rFonts w:ascii="Times New Roman" w:hAnsi="Times New Roman" w:cs="Times New Roman"/>
                <w:color w:val="auto"/>
                <w:sz w:val="22"/>
                <w:szCs w:val="22"/>
              </w:rPr>
            </w:pPr>
            <w:hyperlink r:id="rId9" w:history="1">
              <w:r w:rsidR="00EC6827" w:rsidRPr="00EC6827">
                <w:rPr>
                  <w:rFonts w:ascii="Times New Roman" w:eastAsia="Times New Roman" w:hAnsi="Times New Roman" w:cs="Times New Roman"/>
                  <w:color w:val="000080"/>
                  <w:sz w:val="22"/>
                  <w:szCs w:val="22"/>
                  <w:u w:val="single"/>
                  <w:lang w:val="en-GB"/>
                </w:rPr>
                <w:t>meconomy</w:t>
              </w:r>
              <w:r w:rsidR="00EC6827" w:rsidRPr="00EC6827">
                <w:rPr>
                  <w:rFonts w:ascii="Times New Roman" w:eastAsia="Times New Roman" w:hAnsi="Times New Roman" w:cs="Times New Roman"/>
                  <w:color w:val="000080"/>
                  <w:sz w:val="22"/>
                  <w:szCs w:val="22"/>
                  <w:u w:val="single"/>
                  <w:lang w:val="ru-RU"/>
                </w:rPr>
                <w:t>@</w:t>
              </w:r>
              <w:r w:rsidR="00EC6827" w:rsidRPr="00EC6827">
                <w:rPr>
                  <w:rFonts w:ascii="Times New Roman" w:eastAsia="Times New Roman" w:hAnsi="Times New Roman" w:cs="Times New Roman"/>
                  <w:color w:val="000080"/>
                  <w:sz w:val="22"/>
                  <w:szCs w:val="22"/>
                  <w:u w:val="single"/>
                  <w:lang w:val="en-GB"/>
                </w:rPr>
                <w:t>me</w:t>
              </w:r>
              <w:r w:rsidR="00EC6827" w:rsidRPr="00EC6827">
                <w:rPr>
                  <w:rFonts w:ascii="Times New Roman" w:eastAsia="Times New Roman" w:hAnsi="Times New Roman" w:cs="Times New Roman"/>
                  <w:color w:val="000080"/>
                  <w:sz w:val="22"/>
                  <w:szCs w:val="22"/>
                  <w:u w:val="single"/>
                  <w:lang w:val="ru-RU"/>
                </w:rPr>
                <w:t>.</w:t>
              </w:r>
              <w:r w:rsidR="00EC6827" w:rsidRPr="00EC6827">
                <w:rPr>
                  <w:rFonts w:ascii="Times New Roman" w:eastAsia="Times New Roman" w:hAnsi="Times New Roman" w:cs="Times New Roman"/>
                  <w:color w:val="000080"/>
                  <w:sz w:val="22"/>
                  <w:szCs w:val="22"/>
                  <w:u w:val="single"/>
                  <w:lang w:val="en-GB"/>
                </w:rPr>
                <w:t>gov</w:t>
              </w:r>
              <w:r w:rsidR="00EC6827" w:rsidRPr="00EC6827">
                <w:rPr>
                  <w:rFonts w:ascii="Times New Roman" w:eastAsia="Times New Roman" w:hAnsi="Times New Roman" w:cs="Times New Roman"/>
                  <w:color w:val="000080"/>
                  <w:sz w:val="22"/>
                  <w:szCs w:val="22"/>
                  <w:u w:val="single"/>
                  <w:lang w:val="ru-RU"/>
                </w:rPr>
                <w:t>.</w:t>
              </w:r>
              <w:r w:rsidR="00EC6827" w:rsidRPr="00EC6827">
                <w:rPr>
                  <w:rFonts w:ascii="Times New Roman" w:eastAsia="Times New Roman" w:hAnsi="Times New Roman" w:cs="Times New Roman"/>
                  <w:color w:val="000080"/>
                  <w:sz w:val="22"/>
                  <w:szCs w:val="22"/>
                  <w:u w:val="single"/>
                  <w:lang w:val="en-GB"/>
                </w:rPr>
                <w:t>ua</w:t>
              </w:r>
            </w:hyperlink>
          </w:p>
        </w:tc>
      </w:tr>
      <w:tr w:rsidR="00136291" w:rsidTr="00136291">
        <w:trPr>
          <w:gridAfter w:val="3"/>
          <w:wAfter w:w="300" w:type="dxa"/>
        </w:trPr>
        <w:tc>
          <w:tcPr>
            <w:tcW w:w="9002" w:type="dxa"/>
            <w:gridSpan w:val="10"/>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w:hAnsi="Times" w:cs="Times"/>
                <w:color w:val="FFFFFF"/>
                <w:sz w:val="8"/>
                <w:szCs w:val="8"/>
              </w:rPr>
            </w:pPr>
            <w:r>
              <w:rPr>
                <w:rFonts w:ascii="Times" w:hAnsi="Times" w:cs="Times"/>
                <w:color w:val="FFFFFF"/>
                <w:sz w:val="8"/>
                <w:szCs w:val="8"/>
              </w:rPr>
              <w:t>.</w:t>
            </w:r>
          </w:p>
        </w:tc>
      </w:tr>
      <w:tr w:rsidR="00136291"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color w:val="auto"/>
              </w:rPr>
            </w:pPr>
          </w:p>
        </w:tc>
        <w:tc>
          <w:tcPr>
            <w:tcW w:w="8987" w:type="dxa"/>
            <w:gridSpan w:val="10"/>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rPr>
            </w:pPr>
            <w:r>
              <w:rPr>
                <w:rFonts w:ascii="Times New Roman" w:hAnsi="Times New Roman" w:cs="Times New Roman"/>
                <w:b/>
                <w:bCs/>
              </w:rPr>
              <w:t>Implementing Agencies</w:t>
            </w:r>
          </w:p>
        </w:tc>
      </w:tr>
      <w:tr w:rsidR="00136291"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sz w:val="22"/>
                <w:szCs w:val="22"/>
              </w:rPr>
            </w:pPr>
            <w:r>
              <w:rPr>
                <w:rFonts w:ascii="Times New Roman" w:hAnsi="Times New Roman" w:cs="Times New Roman"/>
                <w:sz w:val="22"/>
                <w:szCs w:val="22"/>
              </w:rPr>
              <w:t>Contact:</w:t>
            </w:r>
          </w:p>
        </w:tc>
        <w:tc>
          <w:tcPr>
            <w:tcW w:w="7957" w:type="dxa"/>
            <w:gridSpan w:val="9"/>
            <w:tcBorders>
              <w:top w:val="nil"/>
              <w:left w:val="nil"/>
              <w:bottom w:val="nil"/>
              <w:right w:val="nil"/>
            </w:tcBorders>
            <w:shd w:val="clear" w:color="auto" w:fill="FFFFFF"/>
            <w:tcMar>
              <w:top w:w="50" w:type="dxa"/>
              <w:left w:w="50" w:type="dxa"/>
              <w:bottom w:w="50" w:type="dxa"/>
              <w:right w:w="50" w:type="dxa"/>
            </w:tcMar>
            <w:vAlign w:val="center"/>
          </w:tcPr>
          <w:p w:rsidR="00136291" w:rsidRDefault="00C80C93" w:rsidP="00BA1518">
            <w:pPr>
              <w:rPr>
                <w:rFonts w:ascii="Times New Roman" w:hAnsi="Times New Roman" w:cs="Times New Roman"/>
                <w:color w:val="auto"/>
              </w:rPr>
            </w:pPr>
            <w:r>
              <w:rPr>
                <w:rFonts w:ascii="Times New Roman" w:hAnsi="Times New Roman" w:cs="Times New Roman"/>
                <w:sz w:val="22"/>
                <w:szCs w:val="22"/>
              </w:rPr>
              <w:t xml:space="preserve">Olga </w:t>
            </w:r>
            <w:proofErr w:type="spellStart"/>
            <w:r>
              <w:rPr>
                <w:rFonts w:ascii="Times New Roman" w:hAnsi="Times New Roman" w:cs="Times New Roman"/>
                <w:sz w:val="22"/>
                <w:szCs w:val="22"/>
              </w:rPr>
              <w:t>Romanyuk</w:t>
            </w:r>
            <w:proofErr w:type="spellEnd"/>
          </w:p>
        </w:tc>
      </w:tr>
      <w:tr w:rsidR="00136291"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C80C93">
            <w:pPr>
              <w:rPr>
                <w:rFonts w:ascii="Times New Roman" w:hAnsi="Times New Roman" w:cs="Times New Roman"/>
                <w:sz w:val="22"/>
                <w:szCs w:val="22"/>
              </w:rPr>
            </w:pPr>
            <w:r>
              <w:rPr>
                <w:rFonts w:ascii="Times New Roman" w:hAnsi="Times New Roman" w:cs="Times New Roman"/>
                <w:sz w:val="22"/>
                <w:szCs w:val="22"/>
              </w:rPr>
              <w:t>Title:</w:t>
            </w:r>
            <w:r w:rsidR="00C80C93">
              <w:rPr>
                <w:rFonts w:ascii="Times New Roman" w:hAnsi="Times New Roman" w:cs="Times New Roman"/>
                <w:sz w:val="22"/>
                <w:szCs w:val="22"/>
              </w:rPr>
              <w:t xml:space="preserve"> </w:t>
            </w:r>
          </w:p>
        </w:tc>
        <w:tc>
          <w:tcPr>
            <w:tcW w:w="7957" w:type="dxa"/>
            <w:gridSpan w:val="9"/>
            <w:tcBorders>
              <w:top w:val="nil"/>
              <w:left w:val="nil"/>
              <w:bottom w:val="nil"/>
              <w:right w:val="nil"/>
            </w:tcBorders>
            <w:shd w:val="clear" w:color="auto" w:fill="FFFFFF"/>
            <w:tcMar>
              <w:top w:w="50" w:type="dxa"/>
              <w:left w:w="50" w:type="dxa"/>
              <w:bottom w:w="50" w:type="dxa"/>
              <w:right w:w="50" w:type="dxa"/>
            </w:tcMar>
            <w:vAlign w:val="center"/>
          </w:tcPr>
          <w:p w:rsidR="00136291" w:rsidRDefault="00C80C93" w:rsidP="00C80C93">
            <w:pPr>
              <w:rPr>
                <w:rFonts w:ascii="Times New Roman" w:hAnsi="Times New Roman" w:cs="Times New Roman"/>
                <w:color w:val="auto"/>
              </w:rPr>
            </w:pPr>
            <w:r>
              <w:rPr>
                <w:rFonts w:ascii="Times New Roman" w:hAnsi="Times New Roman" w:cs="Times New Roman"/>
                <w:sz w:val="22"/>
                <w:szCs w:val="22"/>
              </w:rPr>
              <w:t>Commissioner</w:t>
            </w:r>
            <w:r w:rsidR="00D33ADE">
              <w:rPr>
                <w:rFonts w:ascii="Times New Roman" w:hAnsi="Times New Roman" w:cs="Times New Roman"/>
                <w:sz w:val="22"/>
                <w:szCs w:val="22"/>
              </w:rPr>
              <w:t>, National Commission for Regulation of Communal Services</w:t>
            </w:r>
          </w:p>
        </w:tc>
      </w:tr>
      <w:tr w:rsidR="00136291"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sz w:val="22"/>
                <w:szCs w:val="22"/>
              </w:rPr>
            </w:pPr>
            <w:r>
              <w:rPr>
                <w:rFonts w:ascii="Times New Roman" w:hAnsi="Times New Roman" w:cs="Times New Roman"/>
                <w:sz w:val="22"/>
                <w:szCs w:val="22"/>
              </w:rPr>
              <w:t>Tel:</w:t>
            </w:r>
          </w:p>
        </w:tc>
        <w:tc>
          <w:tcPr>
            <w:tcW w:w="7957" w:type="dxa"/>
            <w:gridSpan w:val="9"/>
            <w:tcBorders>
              <w:top w:val="nil"/>
              <w:left w:val="nil"/>
              <w:bottom w:val="nil"/>
              <w:right w:val="nil"/>
            </w:tcBorders>
            <w:shd w:val="clear" w:color="auto" w:fill="FFFFFF"/>
            <w:tcMar>
              <w:top w:w="50" w:type="dxa"/>
              <w:left w:w="50" w:type="dxa"/>
              <w:bottom w:w="50" w:type="dxa"/>
              <w:right w:w="50" w:type="dxa"/>
            </w:tcMar>
            <w:vAlign w:val="center"/>
          </w:tcPr>
          <w:p w:rsidR="00136291" w:rsidRPr="00C80C93" w:rsidRDefault="00C80C93" w:rsidP="00BA1518">
            <w:pPr>
              <w:rPr>
                <w:rFonts w:ascii="Times New Roman" w:hAnsi="Times New Roman" w:cs="Times New Roman"/>
                <w:sz w:val="22"/>
                <w:szCs w:val="22"/>
              </w:rPr>
            </w:pPr>
            <w:r w:rsidRPr="00C80C93">
              <w:rPr>
                <w:rFonts w:ascii="Times New Roman" w:hAnsi="Times New Roman" w:cs="Times New Roman"/>
                <w:sz w:val="22"/>
                <w:szCs w:val="22"/>
              </w:rPr>
              <w:t>+38 044 207 1926</w:t>
            </w:r>
          </w:p>
        </w:tc>
      </w:tr>
      <w:tr w:rsidR="00136291"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sz w:val="22"/>
                <w:szCs w:val="22"/>
              </w:rPr>
            </w:pPr>
            <w:r>
              <w:rPr>
                <w:rFonts w:ascii="Times New Roman" w:hAnsi="Times New Roman" w:cs="Times New Roman"/>
                <w:sz w:val="22"/>
                <w:szCs w:val="22"/>
              </w:rPr>
              <w:t>Email:</w:t>
            </w:r>
          </w:p>
        </w:tc>
        <w:tc>
          <w:tcPr>
            <w:tcW w:w="7957" w:type="dxa"/>
            <w:gridSpan w:val="9"/>
            <w:tcBorders>
              <w:top w:val="nil"/>
              <w:left w:val="nil"/>
              <w:bottom w:val="nil"/>
              <w:right w:val="nil"/>
            </w:tcBorders>
            <w:shd w:val="clear" w:color="auto" w:fill="FFFFFF"/>
            <w:tcMar>
              <w:top w:w="50" w:type="dxa"/>
              <w:left w:w="50" w:type="dxa"/>
              <w:bottom w:w="50" w:type="dxa"/>
              <w:right w:w="50" w:type="dxa"/>
            </w:tcMar>
            <w:vAlign w:val="center"/>
          </w:tcPr>
          <w:p w:rsidR="00136291" w:rsidRPr="00D36A74" w:rsidRDefault="00D36A74" w:rsidP="00BA1518">
            <w:pPr>
              <w:rPr>
                <w:rFonts w:ascii="Times New Roman" w:hAnsi="Times New Roman" w:cs="Times New Roman"/>
                <w:sz w:val="22"/>
                <w:szCs w:val="22"/>
              </w:rPr>
            </w:pPr>
            <w:r w:rsidRPr="00D36A74">
              <w:rPr>
                <w:rFonts w:ascii="Times New Roman" w:hAnsi="Times New Roman" w:cs="Times New Roman"/>
                <w:sz w:val="22"/>
                <w:szCs w:val="22"/>
              </w:rPr>
              <w:t>oromanyuk@nkp.gov.ua</w:t>
            </w:r>
          </w:p>
        </w:tc>
      </w:tr>
      <w:tr w:rsidR="00136291" w:rsidTr="00136291">
        <w:trPr>
          <w:gridAfter w:val="3"/>
          <w:wAfter w:w="300" w:type="dxa"/>
        </w:trPr>
        <w:tc>
          <w:tcPr>
            <w:tcW w:w="9002" w:type="dxa"/>
            <w:gridSpan w:val="10"/>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w:hAnsi="Times" w:cs="Times"/>
                <w:color w:val="FFFFFF"/>
                <w:sz w:val="4"/>
                <w:szCs w:val="4"/>
              </w:rPr>
            </w:pPr>
            <w:r>
              <w:rPr>
                <w:rFonts w:ascii="Times" w:hAnsi="Times" w:cs="Times"/>
                <w:color w:val="FFFFFF"/>
                <w:sz w:val="4"/>
                <w:szCs w:val="4"/>
              </w:rPr>
              <w:t>.</w:t>
            </w:r>
          </w:p>
        </w:tc>
      </w:tr>
      <w:tr w:rsidR="00136291" w:rsidTr="00136291">
        <w:trPr>
          <w:gridAfter w:val="3"/>
          <w:wAfter w:w="300" w:type="dxa"/>
        </w:trPr>
        <w:tc>
          <w:tcPr>
            <w:tcW w:w="9002" w:type="dxa"/>
            <w:gridSpan w:val="10"/>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w:hAnsi="Times" w:cs="Times"/>
                <w:color w:val="FFFFFF"/>
                <w:sz w:val="8"/>
                <w:szCs w:val="8"/>
              </w:rPr>
            </w:pPr>
            <w:r>
              <w:rPr>
                <w:rFonts w:ascii="Times" w:hAnsi="Times" w:cs="Times"/>
                <w:color w:val="FFFFFF"/>
                <w:sz w:val="8"/>
                <w:szCs w:val="8"/>
              </w:rPr>
              <w:t>.</w:t>
            </w:r>
          </w:p>
        </w:tc>
      </w:tr>
      <w:tr w:rsidR="00136291" w:rsidTr="00136291">
        <w:trPr>
          <w:gridAfter w:val="3"/>
          <w:wAfter w:w="300" w:type="dxa"/>
        </w:trPr>
        <w:tc>
          <w:tcPr>
            <w:tcW w:w="9002" w:type="dxa"/>
            <w:gridSpan w:val="10"/>
            <w:tcBorders>
              <w:top w:val="nil"/>
              <w:left w:val="nil"/>
              <w:bottom w:val="nil"/>
              <w:right w:val="nil"/>
            </w:tcBorders>
            <w:shd w:val="clear" w:color="auto" w:fill="FFFFFF"/>
            <w:tcMar>
              <w:top w:w="50" w:type="dxa"/>
              <w:left w:w="50" w:type="dxa"/>
              <w:bottom w:w="50" w:type="dxa"/>
              <w:right w:w="50" w:type="dxa"/>
            </w:tcMar>
            <w:vAlign w:val="center"/>
          </w:tcPr>
          <w:p w:rsidR="00136291" w:rsidRDefault="001264AD" w:rsidP="00BA1518">
            <w:pPr>
              <w:rPr>
                <w:rFonts w:ascii="Times New Roman" w:hAnsi="Times New Roman" w:cs="Times New Roman"/>
              </w:rPr>
            </w:pPr>
            <w:r>
              <w:rPr>
                <w:rFonts w:ascii="Times New Roman" w:hAnsi="Times New Roman" w:cs="Times New Roman"/>
                <w:b/>
                <w:bCs/>
              </w:rPr>
              <w:t>VIII</w:t>
            </w:r>
            <w:r w:rsidR="00136291">
              <w:rPr>
                <w:rFonts w:ascii="Times New Roman" w:hAnsi="Times New Roman" w:cs="Times New Roman"/>
                <w:b/>
                <w:bCs/>
              </w:rPr>
              <w:t>.  For more information contact:</w:t>
            </w:r>
          </w:p>
        </w:tc>
      </w:tr>
      <w:tr w:rsidR="00136291"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color w:val="auto"/>
              </w:rPr>
            </w:pPr>
          </w:p>
        </w:tc>
        <w:tc>
          <w:tcPr>
            <w:tcW w:w="8987" w:type="dxa"/>
            <w:gridSpan w:val="10"/>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sz w:val="22"/>
                <w:szCs w:val="22"/>
              </w:rPr>
            </w:pPr>
            <w:r>
              <w:rPr>
                <w:rFonts w:ascii="Times New Roman" w:hAnsi="Times New Roman" w:cs="Times New Roman"/>
                <w:sz w:val="22"/>
                <w:szCs w:val="22"/>
              </w:rPr>
              <w:t xml:space="preserve">The </w:t>
            </w:r>
            <w:proofErr w:type="spellStart"/>
            <w:r>
              <w:rPr>
                <w:rFonts w:ascii="Times New Roman" w:hAnsi="Times New Roman" w:cs="Times New Roman"/>
                <w:sz w:val="22"/>
                <w:szCs w:val="22"/>
              </w:rPr>
              <w:t>InfoShop</w:t>
            </w:r>
            <w:proofErr w:type="spellEnd"/>
          </w:p>
        </w:tc>
      </w:tr>
      <w:tr w:rsidR="00136291"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color w:val="auto"/>
              </w:rPr>
            </w:pPr>
          </w:p>
        </w:tc>
        <w:tc>
          <w:tcPr>
            <w:tcW w:w="8987" w:type="dxa"/>
            <w:gridSpan w:val="10"/>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sz w:val="22"/>
                <w:szCs w:val="22"/>
              </w:rPr>
            </w:pPr>
            <w:r>
              <w:rPr>
                <w:rFonts w:ascii="Times New Roman" w:hAnsi="Times New Roman" w:cs="Times New Roman"/>
                <w:sz w:val="22"/>
                <w:szCs w:val="22"/>
              </w:rPr>
              <w:t>The World Bank</w:t>
            </w:r>
          </w:p>
        </w:tc>
      </w:tr>
      <w:tr w:rsidR="00136291"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color w:val="auto"/>
              </w:rPr>
            </w:pPr>
          </w:p>
        </w:tc>
        <w:tc>
          <w:tcPr>
            <w:tcW w:w="8987" w:type="dxa"/>
            <w:gridSpan w:val="10"/>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sz w:val="22"/>
                <w:szCs w:val="22"/>
              </w:rPr>
            </w:pPr>
            <w:r>
              <w:rPr>
                <w:rFonts w:ascii="Times New Roman" w:hAnsi="Times New Roman" w:cs="Times New Roman"/>
                <w:sz w:val="22"/>
                <w:szCs w:val="22"/>
              </w:rPr>
              <w:t>1818 H Street, NW</w:t>
            </w:r>
          </w:p>
        </w:tc>
      </w:tr>
      <w:tr w:rsidR="00136291"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color w:val="auto"/>
              </w:rPr>
            </w:pPr>
          </w:p>
        </w:tc>
        <w:tc>
          <w:tcPr>
            <w:tcW w:w="8987" w:type="dxa"/>
            <w:gridSpan w:val="10"/>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sz w:val="22"/>
                <w:szCs w:val="22"/>
              </w:rPr>
            </w:pPr>
            <w:r>
              <w:rPr>
                <w:rFonts w:ascii="Times New Roman" w:hAnsi="Times New Roman" w:cs="Times New Roman"/>
                <w:sz w:val="22"/>
                <w:szCs w:val="22"/>
              </w:rPr>
              <w:t>Washington, D.C. 20433</w:t>
            </w:r>
          </w:p>
        </w:tc>
      </w:tr>
      <w:tr w:rsidR="00136291"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color w:val="auto"/>
              </w:rPr>
            </w:pPr>
          </w:p>
        </w:tc>
        <w:tc>
          <w:tcPr>
            <w:tcW w:w="8987" w:type="dxa"/>
            <w:gridSpan w:val="10"/>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sz w:val="22"/>
                <w:szCs w:val="22"/>
              </w:rPr>
            </w:pPr>
            <w:r>
              <w:rPr>
                <w:rFonts w:ascii="Times New Roman" w:hAnsi="Times New Roman" w:cs="Times New Roman"/>
                <w:sz w:val="22"/>
                <w:szCs w:val="22"/>
              </w:rPr>
              <w:t>Telephone: (202) 458-4500</w:t>
            </w:r>
          </w:p>
        </w:tc>
      </w:tr>
      <w:tr w:rsidR="00136291"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color w:val="auto"/>
              </w:rPr>
            </w:pPr>
          </w:p>
        </w:tc>
        <w:tc>
          <w:tcPr>
            <w:tcW w:w="8987" w:type="dxa"/>
            <w:gridSpan w:val="10"/>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sz w:val="22"/>
                <w:szCs w:val="22"/>
              </w:rPr>
            </w:pPr>
            <w:r>
              <w:rPr>
                <w:rFonts w:ascii="Times New Roman" w:hAnsi="Times New Roman" w:cs="Times New Roman"/>
                <w:sz w:val="22"/>
                <w:szCs w:val="22"/>
              </w:rPr>
              <w:t>Fax: (202) 522-1500</w:t>
            </w:r>
          </w:p>
        </w:tc>
      </w:tr>
      <w:tr w:rsidR="00136291" w:rsidTr="00136291">
        <w:trPr>
          <w:gridAfter w:val="2"/>
          <w:wAfter w:w="195" w:type="dxa"/>
        </w:trPr>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color w:val="auto"/>
              </w:rPr>
            </w:pPr>
          </w:p>
        </w:tc>
        <w:tc>
          <w:tcPr>
            <w:tcW w:w="8987" w:type="dxa"/>
            <w:gridSpan w:val="10"/>
            <w:tcBorders>
              <w:top w:val="nil"/>
              <w:left w:val="nil"/>
              <w:bottom w:val="nil"/>
              <w:right w:val="nil"/>
            </w:tcBorders>
            <w:shd w:val="clear" w:color="auto" w:fill="FFFFFF"/>
            <w:tcMar>
              <w:top w:w="50" w:type="dxa"/>
              <w:left w:w="50" w:type="dxa"/>
              <w:bottom w:w="50" w:type="dxa"/>
              <w:right w:w="50" w:type="dxa"/>
            </w:tcMar>
            <w:vAlign w:val="center"/>
          </w:tcPr>
          <w:p w:rsidR="00136291" w:rsidRDefault="00136291" w:rsidP="00BA1518">
            <w:pPr>
              <w:rPr>
                <w:rFonts w:ascii="Times New Roman" w:hAnsi="Times New Roman" w:cs="Times New Roman"/>
                <w:sz w:val="22"/>
                <w:szCs w:val="22"/>
              </w:rPr>
            </w:pPr>
            <w:r>
              <w:rPr>
                <w:rFonts w:ascii="Times New Roman" w:hAnsi="Times New Roman" w:cs="Times New Roman"/>
                <w:sz w:val="22"/>
                <w:szCs w:val="22"/>
              </w:rPr>
              <w:t>Web: http://www.worldbank.org/infoshop</w:t>
            </w:r>
          </w:p>
        </w:tc>
      </w:tr>
    </w:tbl>
    <w:p w:rsidR="0003246C" w:rsidRPr="00F84D77" w:rsidRDefault="0003246C" w:rsidP="0070551C">
      <w:pPr>
        <w:rPr>
          <w:rFonts w:ascii="Times New Roman" w:hAnsi="Times New Roman" w:cs="Times New Roman"/>
          <w:color w:val="auto"/>
        </w:rPr>
      </w:pPr>
    </w:p>
    <w:sectPr w:rsidR="0003246C" w:rsidRPr="00F84D77">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3BF" w:rsidRDefault="00F563BF" w:rsidP="00F84D77">
      <w:r>
        <w:separator/>
      </w:r>
    </w:p>
  </w:endnote>
  <w:endnote w:type="continuationSeparator" w:id="0">
    <w:p w:rsidR="00F563BF" w:rsidRDefault="00F563BF" w:rsidP="00F8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3BF" w:rsidRDefault="00F563BF" w:rsidP="00F84D77">
      <w:r>
        <w:separator/>
      </w:r>
    </w:p>
  </w:footnote>
  <w:footnote w:type="continuationSeparator" w:id="0">
    <w:p w:rsidR="00F563BF" w:rsidRDefault="00F563BF" w:rsidP="00F84D77">
      <w:r>
        <w:continuationSeparator/>
      </w:r>
    </w:p>
  </w:footnote>
  <w:footnote w:id="1">
    <w:p w:rsidR="006F46B6" w:rsidRPr="00EB4D9E" w:rsidRDefault="006F46B6" w:rsidP="00EB4D9E">
      <w:pPr>
        <w:pStyle w:val="FootnoteText"/>
        <w:jc w:val="both"/>
        <w:rPr>
          <w:rFonts w:ascii="Times New Roman" w:hAnsi="Times New Roman" w:cs="Times New Roman"/>
        </w:rPr>
      </w:pPr>
      <w:r w:rsidRPr="00EB4D9E">
        <w:rPr>
          <w:rStyle w:val="FootnoteReference"/>
          <w:rFonts w:ascii="Times New Roman" w:hAnsi="Times New Roman"/>
        </w:rPr>
        <w:footnoteRef/>
      </w:r>
      <w:r w:rsidRPr="00EB4D9E">
        <w:rPr>
          <w:rFonts w:ascii="Times New Roman" w:hAnsi="Times New Roman" w:cs="Times New Roman"/>
        </w:rPr>
        <w:t xml:space="preserve"> </w:t>
      </w:r>
      <w:proofErr w:type="gramStart"/>
      <w:r w:rsidRPr="00EB4D9E">
        <w:rPr>
          <w:rFonts w:ascii="Times New Roman" w:hAnsi="Times New Roman" w:cs="Times New Roman"/>
        </w:rPr>
        <w:t>Measured as the amount of primary energy used to produce one unit of GDP (purchasing power parity – PPP).</w:t>
      </w:r>
      <w:proofErr w:type="gramEnd"/>
      <w:r w:rsidRPr="00EB4D9E">
        <w:rPr>
          <w:rFonts w:ascii="Times New Roman" w:hAnsi="Times New Roman" w:cs="Times New Roman"/>
        </w:rPr>
        <w:t xml:space="preserve"> Source: IEA World Energy Statistics and Balances; World Development Indicators.</w:t>
      </w:r>
    </w:p>
  </w:footnote>
  <w:footnote w:id="2">
    <w:p w:rsidR="006F46B6" w:rsidRDefault="006F46B6" w:rsidP="00EB4D9E">
      <w:pPr>
        <w:pStyle w:val="FootnoteText"/>
        <w:jc w:val="both"/>
      </w:pPr>
      <w:r w:rsidRPr="00EB4D9E">
        <w:rPr>
          <w:rStyle w:val="FootnoteReference"/>
          <w:rFonts w:ascii="Times New Roman" w:hAnsi="Times New Roman"/>
        </w:rPr>
        <w:footnoteRef/>
      </w:r>
      <w:r w:rsidRPr="00EB4D9E">
        <w:rPr>
          <w:rFonts w:ascii="Times New Roman" w:hAnsi="Times New Roman" w:cs="Times New Roman"/>
        </w:rPr>
        <w:t xml:space="preserve"> Energy intensity is measured herein as a kilogram of oil equivalent of energy use per constant PPP GDP. Energy use refers to use of primary energy before transformation to other end-use fuels. PPP GDP is gross domestic product converted to 2005 constant international dollars using PPP rates.</w:t>
      </w:r>
      <w:r w:rsidRPr="00DC4147">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93A"/>
    <w:multiLevelType w:val="hybridMultilevel"/>
    <w:tmpl w:val="789A44F6"/>
    <w:lvl w:ilvl="0" w:tplc="10D414BA">
      <w:start w:val="1"/>
      <w:numFmt w:val="decimal"/>
      <w:lvlText w:val="%1."/>
      <w:lvlJc w:val="left"/>
      <w:pPr>
        <w:tabs>
          <w:tab w:val="num" w:pos="360"/>
        </w:tabs>
        <w:ind w:left="0" w:firstLine="0"/>
      </w:pPr>
      <w:rPr>
        <w:rFonts w:hint="default"/>
        <w:b w:val="0"/>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DB6140"/>
    <w:multiLevelType w:val="hybridMultilevel"/>
    <w:tmpl w:val="216EE048"/>
    <w:lvl w:ilvl="0" w:tplc="5BD67BA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336447"/>
    <w:multiLevelType w:val="hybridMultilevel"/>
    <w:tmpl w:val="AF34EE16"/>
    <w:lvl w:ilvl="0" w:tplc="5BD67BA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54B55EB"/>
    <w:multiLevelType w:val="hybridMultilevel"/>
    <w:tmpl w:val="8F3A0624"/>
    <w:lvl w:ilvl="0" w:tplc="5BD67BA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D93334C"/>
    <w:multiLevelType w:val="hybridMultilevel"/>
    <w:tmpl w:val="9A8C6B7C"/>
    <w:lvl w:ilvl="0" w:tplc="4CFE26F2">
      <w:start w:val="213"/>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605"/>
    <w:rsid w:val="0003246C"/>
    <w:rsid w:val="0005141C"/>
    <w:rsid w:val="000A0CFB"/>
    <w:rsid w:val="001264AD"/>
    <w:rsid w:val="00136291"/>
    <w:rsid w:val="00220EB0"/>
    <w:rsid w:val="00245605"/>
    <w:rsid w:val="00295183"/>
    <w:rsid w:val="002B1B26"/>
    <w:rsid w:val="003E69C3"/>
    <w:rsid w:val="00434D50"/>
    <w:rsid w:val="004823D2"/>
    <w:rsid w:val="00486E37"/>
    <w:rsid w:val="005A0F78"/>
    <w:rsid w:val="005C309E"/>
    <w:rsid w:val="005F4420"/>
    <w:rsid w:val="006440FE"/>
    <w:rsid w:val="006702AF"/>
    <w:rsid w:val="006F46B6"/>
    <w:rsid w:val="0070551C"/>
    <w:rsid w:val="00780FDA"/>
    <w:rsid w:val="00813470"/>
    <w:rsid w:val="00884B9F"/>
    <w:rsid w:val="008B072E"/>
    <w:rsid w:val="008B6AE7"/>
    <w:rsid w:val="008B7726"/>
    <w:rsid w:val="008C5EA1"/>
    <w:rsid w:val="00927C2D"/>
    <w:rsid w:val="009C1B53"/>
    <w:rsid w:val="00A4457F"/>
    <w:rsid w:val="00A46A07"/>
    <w:rsid w:val="00A71268"/>
    <w:rsid w:val="00AD4B2C"/>
    <w:rsid w:val="00B10838"/>
    <w:rsid w:val="00B827A8"/>
    <w:rsid w:val="00B85377"/>
    <w:rsid w:val="00BA1518"/>
    <w:rsid w:val="00C16F34"/>
    <w:rsid w:val="00C31EA0"/>
    <w:rsid w:val="00C712EB"/>
    <w:rsid w:val="00C80C93"/>
    <w:rsid w:val="00CC0666"/>
    <w:rsid w:val="00D007FE"/>
    <w:rsid w:val="00D27F46"/>
    <w:rsid w:val="00D33ADE"/>
    <w:rsid w:val="00D36A74"/>
    <w:rsid w:val="00D620E0"/>
    <w:rsid w:val="00D9103A"/>
    <w:rsid w:val="00DD2D54"/>
    <w:rsid w:val="00DF6B87"/>
    <w:rsid w:val="00E75F21"/>
    <w:rsid w:val="00EB4D9E"/>
    <w:rsid w:val="00EC6827"/>
    <w:rsid w:val="00EE324B"/>
    <w:rsid w:val="00F1627F"/>
    <w:rsid w:val="00F26A07"/>
    <w:rsid w:val="00F563BF"/>
    <w:rsid w:val="00F84D77"/>
    <w:rsid w:val="00F93EC8"/>
    <w:rsid w:val="00FD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FootnoteText">
    <w:name w:val="footnote text"/>
    <w:aliases w:val="single space,footnote text,fn,FOOTNOTES,Footnote text,ft,ADB,ADB Char,single space Char Char,Fußnotentext Char,Footnote Text Char2 Char,Footnote Text Char1 Char Char,Footnote Text Char2 Char Char Char,Footno,Footnote,Footnote Text Char1"/>
    <w:basedOn w:val="Normal"/>
    <w:link w:val="FootnoteTextChar"/>
    <w:unhideWhenUsed/>
    <w:rsid w:val="00F84D77"/>
    <w:rPr>
      <w:sz w:val="20"/>
      <w:szCs w:val="20"/>
    </w:rPr>
  </w:style>
  <w:style w:type="character" w:customStyle="1" w:styleId="FootnoteTextChar">
    <w:name w:val="Footnote Text Char"/>
    <w:aliases w:val="single space Char,footnote text Char,fn Char,FOOTNOTES Char,Footnote text Char,ft Char,ADB Char1,ADB Char Char,single space Char Char Char,Fußnotentext Char Char,Footnote Text Char2 Char Char,Footnote Text Char1 Char Char Char"/>
    <w:basedOn w:val="DefaultParagraphFont"/>
    <w:link w:val="FootnoteText"/>
    <w:locked/>
    <w:rsid w:val="00F84D77"/>
    <w:rPr>
      <w:rFonts w:ascii="Arial" w:hAnsi="Arial" w:cs="Arial"/>
      <w:color w:val="000000"/>
      <w:sz w:val="20"/>
      <w:szCs w:val="20"/>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
    <w:basedOn w:val="DefaultParagraphFont"/>
    <w:uiPriority w:val="99"/>
    <w:unhideWhenUsed/>
    <w:rsid w:val="00F84D77"/>
    <w:rPr>
      <w:rFonts w:cs="Times New Roman"/>
      <w:vertAlign w:val="superscript"/>
    </w:rPr>
  </w:style>
  <w:style w:type="table" w:styleId="TableGrid">
    <w:name w:val="Table Grid"/>
    <w:basedOn w:val="TableNormal"/>
    <w:uiPriority w:val="59"/>
    <w:rsid w:val="00136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551C"/>
    <w:rPr>
      <w:rFonts w:ascii="Tahoma" w:hAnsi="Tahoma" w:cs="Tahoma"/>
      <w:sz w:val="16"/>
      <w:szCs w:val="16"/>
    </w:rPr>
  </w:style>
  <w:style w:type="character" w:customStyle="1" w:styleId="BalloonTextChar">
    <w:name w:val="Balloon Text Char"/>
    <w:basedOn w:val="DefaultParagraphFont"/>
    <w:link w:val="BalloonText"/>
    <w:uiPriority w:val="99"/>
    <w:semiHidden/>
    <w:rsid w:val="0070551C"/>
    <w:rPr>
      <w:rFonts w:ascii="Tahoma" w:hAnsi="Tahoma" w:cs="Tahoma"/>
      <w:color w:val="000000"/>
      <w:sz w:val="16"/>
      <w:szCs w:val="16"/>
    </w:rPr>
  </w:style>
  <w:style w:type="paragraph" w:styleId="ListParagraph">
    <w:name w:val="List Paragraph"/>
    <w:basedOn w:val="Normal"/>
    <w:link w:val="ListParagraphChar"/>
    <w:uiPriority w:val="34"/>
    <w:qFormat/>
    <w:rsid w:val="006F46B6"/>
    <w:pPr>
      <w:widowControl/>
      <w:autoSpaceDE/>
      <w:autoSpaceDN/>
      <w:adjustRightInd/>
      <w:ind w:left="720"/>
      <w:contextualSpacing/>
    </w:pPr>
    <w:rPr>
      <w:rFonts w:ascii="Times New Roman" w:eastAsia="Times New Roman" w:hAnsi="Times New Roman" w:cs="Times New Roman"/>
      <w:color w:val="auto"/>
    </w:rPr>
  </w:style>
  <w:style w:type="character" w:customStyle="1" w:styleId="ListParagraphChar">
    <w:name w:val="List Paragraph Char"/>
    <w:basedOn w:val="DefaultParagraphFont"/>
    <w:link w:val="ListParagraph"/>
    <w:uiPriority w:val="34"/>
    <w:rsid w:val="006F46B6"/>
    <w:rPr>
      <w:rFonts w:ascii="Times New Roman" w:eastAsia="Times New Roman" w:hAnsi="Times New Roman"/>
      <w:sz w:val="24"/>
      <w:szCs w:val="24"/>
    </w:rPr>
  </w:style>
  <w:style w:type="paragraph" w:customStyle="1" w:styleId="Default">
    <w:name w:val="Default"/>
    <w:rsid w:val="00EB4D9E"/>
    <w:pPr>
      <w:autoSpaceDE w:val="0"/>
      <w:autoSpaceDN w:val="0"/>
      <w:adjustRightInd w:val="0"/>
      <w:spacing w:after="0" w:line="240" w:lineRule="auto"/>
    </w:pPr>
    <w:rPr>
      <w:rFonts w:ascii="Times New Roman" w:eastAsia="Times New Roman" w:hAnsi="Times New Roman"/>
      <w:color w:val="000000"/>
      <w:sz w:val="24"/>
      <w:szCs w:val="24"/>
    </w:rPr>
  </w:style>
  <w:style w:type="character" w:styleId="Hyperlink">
    <w:name w:val="Hyperlink"/>
    <w:basedOn w:val="DefaultParagraphFont"/>
    <w:uiPriority w:val="99"/>
    <w:semiHidden/>
    <w:unhideWhenUsed/>
    <w:rsid w:val="00EC6827"/>
    <w:rPr>
      <w:color w:val="3C74B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FootnoteText">
    <w:name w:val="footnote text"/>
    <w:aliases w:val="single space,footnote text,fn,FOOTNOTES,Footnote text,ft,ADB,ADB Char,single space Char Char,Fußnotentext Char,Footnote Text Char2 Char,Footnote Text Char1 Char Char,Footnote Text Char2 Char Char Char,Footno,Footnote,Footnote Text Char1"/>
    <w:basedOn w:val="Normal"/>
    <w:link w:val="FootnoteTextChar"/>
    <w:unhideWhenUsed/>
    <w:rsid w:val="00F84D77"/>
    <w:rPr>
      <w:sz w:val="20"/>
      <w:szCs w:val="20"/>
    </w:rPr>
  </w:style>
  <w:style w:type="character" w:customStyle="1" w:styleId="FootnoteTextChar">
    <w:name w:val="Footnote Text Char"/>
    <w:aliases w:val="single space Char,footnote text Char,fn Char,FOOTNOTES Char,Footnote text Char,ft Char,ADB Char1,ADB Char Char,single space Char Char Char,Fußnotentext Char Char,Footnote Text Char2 Char Char,Footnote Text Char1 Char Char Char"/>
    <w:basedOn w:val="DefaultParagraphFont"/>
    <w:link w:val="FootnoteText"/>
    <w:locked/>
    <w:rsid w:val="00F84D77"/>
    <w:rPr>
      <w:rFonts w:ascii="Arial" w:hAnsi="Arial" w:cs="Arial"/>
      <w:color w:val="000000"/>
      <w:sz w:val="20"/>
      <w:szCs w:val="20"/>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
    <w:basedOn w:val="DefaultParagraphFont"/>
    <w:uiPriority w:val="99"/>
    <w:unhideWhenUsed/>
    <w:rsid w:val="00F84D77"/>
    <w:rPr>
      <w:rFonts w:cs="Times New Roman"/>
      <w:vertAlign w:val="superscript"/>
    </w:rPr>
  </w:style>
  <w:style w:type="table" w:styleId="TableGrid">
    <w:name w:val="Table Grid"/>
    <w:basedOn w:val="TableNormal"/>
    <w:uiPriority w:val="59"/>
    <w:rsid w:val="00136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551C"/>
    <w:rPr>
      <w:rFonts w:ascii="Tahoma" w:hAnsi="Tahoma" w:cs="Tahoma"/>
      <w:sz w:val="16"/>
      <w:szCs w:val="16"/>
    </w:rPr>
  </w:style>
  <w:style w:type="character" w:customStyle="1" w:styleId="BalloonTextChar">
    <w:name w:val="Balloon Text Char"/>
    <w:basedOn w:val="DefaultParagraphFont"/>
    <w:link w:val="BalloonText"/>
    <w:uiPriority w:val="99"/>
    <w:semiHidden/>
    <w:rsid w:val="0070551C"/>
    <w:rPr>
      <w:rFonts w:ascii="Tahoma" w:hAnsi="Tahoma" w:cs="Tahoma"/>
      <w:color w:val="000000"/>
      <w:sz w:val="16"/>
      <w:szCs w:val="16"/>
    </w:rPr>
  </w:style>
  <w:style w:type="paragraph" w:styleId="ListParagraph">
    <w:name w:val="List Paragraph"/>
    <w:basedOn w:val="Normal"/>
    <w:link w:val="ListParagraphChar"/>
    <w:uiPriority w:val="34"/>
    <w:qFormat/>
    <w:rsid w:val="006F46B6"/>
    <w:pPr>
      <w:widowControl/>
      <w:autoSpaceDE/>
      <w:autoSpaceDN/>
      <w:adjustRightInd/>
      <w:ind w:left="720"/>
      <w:contextualSpacing/>
    </w:pPr>
    <w:rPr>
      <w:rFonts w:ascii="Times New Roman" w:eastAsia="Times New Roman" w:hAnsi="Times New Roman" w:cs="Times New Roman"/>
      <w:color w:val="auto"/>
    </w:rPr>
  </w:style>
  <w:style w:type="character" w:customStyle="1" w:styleId="ListParagraphChar">
    <w:name w:val="List Paragraph Char"/>
    <w:basedOn w:val="DefaultParagraphFont"/>
    <w:link w:val="ListParagraph"/>
    <w:uiPriority w:val="34"/>
    <w:rsid w:val="006F46B6"/>
    <w:rPr>
      <w:rFonts w:ascii="Times New Roman" w:eastAsia="Times New Roman" w:hAnsi="Times New Roman"/>
      <w:sz w:val="24"/>
      <w:szCs w:val="24"/>
    </w:rPr>
  </w:style>
  <w:style w:type="paragraph" w:customStyle="1" w:styleId="Default">
    <w:name w:val="Default"/>
    <w:rsid w:val="00EB4D9E"/>
    <w:pPr>
      <w:autoSpaceDE w:val="0"/>
      <w:autoSpaceDN w:val="0"/>
      <w:adjustRightInd w:val="0"/>
      <w:spacing w:after="0" w:line="240" w:lineRule="auto"/>
    </w:pPr>
    <w:rPr>
      <w:rFonts w:ascii="Times New Roman" w:eastAsia="Times New Roman" w:hAnsi="Times New Roman"/>
      <w:color w:val="000000"/>
      <w:sz w:val="24"/>
      <w:szCs w:val="24"/>
    </w:rPr>
  </w:style>
  <w:style w:type="character" w:styleId="Hyperlink">
    <w:name w:val="Hyperlink"/>
    <w:basedOn w:val="DefaultParagraphFont"/>
    <w:uiPriority w:val="99"/>
    <w:semiHidden/>
    <w:unhideWhenUsed/>
    <w:rsid w:val="00EC6827"/>
    <w:rPr>
      <w:color w:val="3C74B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01983">
      <w:bodyDiv w:val="1"/>
      <w:marLeft w:val="0"/>
      <w:marRight w:val="0"/>
      <w:marTop w:val="0"/>
      <w:marBottom w:val="0"/>
      <w:divBdr>
        <w:top w:val="none" w:sz="0" w:space="0" w:color="auto"/>
        <w:left w:val="none" w:sz="0" w:space="0" w:color="auto"/>
        <w:bottom w:val="none" w:sz="0" w:space="0" w:color="auto"/>
        <w:right w:val="none" w:sz="0" w:space="0" w:color="auto"/>
      </w:divBdr>
      <w:divsChild>
        <w:div w:id="650789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economy@me.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790E5-49A7-4619-801E-1D8DD945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1298</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wb426894</dc:creator>
  <cp:lastModifiedBy>Lina Janenaite</cp:lastModifiedBy>
  <cp:revision>35</cp:revision>
  <cp:lastPrinted>2014-05-14T18:42:00Z</cp:lastPrinted>
  <dcterms:created xsi:type="dcterms:W3CDTF">2014-03-19T20:59:00Z</dcterms:created>
  <dcterms:modified xsi:type="dcterms:W3CDTF">2014-05-14T18:42:00Z</dcterms:modified>
</cp:coreProperties>
</file>