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283684" w:rsidP="00FC1AA5">
      <w:pPr>
        <w:jc w:val="center"/>
        <w:rPr>
          <w:b/>
          <w:bCs/>
        </w:rPr>
      </w:pPr>
      <w:r>
        <w:rPr>
          <w:b/>
          <w:bCs/>
        </w:rPr>
        <w:t xml:space="preserve">PROGRAM </w:t>
      </w:r>
      <w:r w:rsidR="00A126FA">
        <w:rPr>
          <w:b/>
          <w:bCs/>
        </w:rPr>
        <w:t>INFORMATION DOCUMENT (PID)</w:t>
      </w:r>
    </w:p>
    <w:p w:rsidR="00A126FA" w:rsidRDefault="00A126FA" w:rsidP="00FC1AA5">
      <w:pPr>
        <w:jc w:val="center"/>
        <w:rPr>
          <w:b/>
          <w:bCs/>
        </w:rPr>
      </w:pPr>
      <w:r>
        <w:rPr>
          <w:b/>
          <w:bCs/>
        </w:rPr>
        <w:t>CONCEPT STAGE</w:t>
      </w:r>
    </w:p>
    <w:p w:rsidR="00283684" w:rsidRDefault="00573F0D" w:rsidP="00FC1AA5">
      <w:pPr>
        <w:jc w:val="right"/>
      </w:pPr>
      <w:r>
        <w:t>September</w:t>
      </w:r>
      <w:r w:rsidR="00271AA6">
        <w:t xml:space="preserve"> </w:t>
      </w:r>
      <w:r w:rsidR="00025FE8">
        <w:t>26</w:t>
      </w:r>
      <w:r w:rsidR="003D7E4D">
        <w:t>, 2013</w:t>
      </w:r>
    </w:p>
    <w:p w:rsidR="00C67E15" w:rsidRDefault="001D607D" w:rsidP="002E0D66">
      <w:pPr>
        <w:jc w:val="right"/>
      </w:pPr>
      <w:r>
        <w:t xml:space="preserve">Report No.: </w:t>
      </w:r>
      <w:bookmarkStart w:id="0" w:name="ReportNo"/>
      <w:bookmarkEnd w:id="0"/>
      <w:r w:rsidR="008753BB">
        <w:t>87555</w:t>
      </w:r>
      <w:bookmarkStart w:id="1" w:name="_GoBack"/>
      <w:bookmarkEnd w:id="1"/>
    </w:p>
    <w:p w:rsidR="00C67E15" w:rsidRPr="00AA5A30" w:rsidRDefault="00C67E15" w:rsidP="00FC1AA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Default="00573F0D" w:rsidP="00FC1AA5">
            <w:bookmarkStart w:id="2" w:name="PROJECTNAME"/>
            <w:r>
              <w:t>Third</w:t>
            </w:r>
            <w:r w:rsidR="000020AD">
              <w:t xml:space="preserve"> Programmatic </w:t>
            </w:r>
            <w:bookmarkEnd w:id="2"/>
            <w:r w:rsidR="00F47C23">
              <w:t>Fiscal Management and Efficiency of Expenditures Development Policy Loan</w:t>
            </w:r>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Default="000020AD" w:rsidP="00FC1AA5">
            <w:bookmarkStart w:id="3" w:name="REGION"/>
            <w:r>
              <w:t>LATIN AMERICA AND CARIBBEAN</w:t>
            </w:r>
            <w:bookmarkEnd w:id="3"/>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Default="000020AD" w:rsidP="00FC1AA5">
            <w:bookmarkStart w:id="4" w:name="COUNTRY"/>
            <w:r>
              <w:t>Panama</w:t>
            </w:r>
            <w:bookmarkEnd w:id="4"/>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Default="000020AD" w:rsidP="00FC1AA5">
            <w:bookmarkStart w:id="5" w:name="SECTOR"/>
            <w:r w:rsidRPr="00247F6D">
              <w:t>General public administration sector (80%);</w:t>
            </w:r>
            <w:r w:rsidR="00485A4A" w:rsidRPr="00247F6D">
              <w:t xml:space="preserve"> </w:t>
            </w:r>
            <w:r w:rsidRPr="00247F6D">
              <w:t>Public administration</w:t>
            </w:r>
            <w:r w:rsidR="00FC1AA5">
              <w:t xml:space="preserve"> </w:t>
            </w:r>
            <w:r w:rsidRPr="00247F6D">
              <w:t>- Other social services (20%)</w:t>
            </w:r>
            <w:bookmarkEnd w:id="5"/>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Default="00573F0D" w:rsidP="00FC1AA5">
            <w:r>
              <w:t>P146942</w:t>
            </w:r>
            <w:r w:rsidR="002E0D66">
              <w:t xml:space="preserve"> </w:t>
            </w:r>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Default="000020AD" w:rsidP="00FC1AA5">
            <w:bookmarkStart w:id="6" w:name="INSTR_NAME"/>
            <w:r>
              <w:t>Development Policy Lending</w:t>
            </w:r>
            <w:bookmarkEnd w:id="6"/>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Default="000020AD" w:rsidP="00FC1AA5">
            <w:bookmarkStart w:id="7" w:name="BORROWERNAME"/>
            <w:r>
              <w:t>REPUBLIC OF PANAMA</w:t>
            </w:r>
            <w:bookmarkEnd w:id="7"/>
          </w:p>
        </w:tc>
      </w:tr>
      <w:tr w:rsidR="001D607D" w:rsidRPr="002E0D66" w:rsidTr="003E1C79">
        <w:trPr>
          <w:trHeight w:val="140"/>
        </w:trPr>
        <w:tc>
          <w:tcPr>
            <w:tcW w:w="3420" w:type="dxa"/>
            <w:tcBorders>
              <w:top w:val="single" w:sz="4" w:space="0" w:color="auto"/>
              <w:left w:val="single" w:sz="4" w:space="0" w:color="auto"/>
              <w:bottom w:val="nil"/>
              <w:right w:val="single" w:sz="4" w:space="0" w:color="auto"/>
            </w:tcBorders>
          </w:tcPr>
          <w:p w:rsidR="001D607D" w:rsidRDefault="001D607D" w:rsidP="003E1C79">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850AAF" w:rsidRPr="00DD3DDE" w:rsidRDefault="00850AAF" w:rsidP="00850AAF">
            <w:pPr>
              <w:rPr>
                <w:lang w:val="es-MX"/>
              </w:rPr>
            </w:pPr>
            <w:bookmarkStart w:id="8" w:name="IMPLEMENTINGAGENCY"/>
            <w:bookmarkEnd w:id="8"/>
            <w:proofErr w:type="spellStart"/>
            <w:r w:rsidRPr="00DD3DDE">
              <w:rPr>
                <w:lang w:val="es-MX"/>
              </w:rPr>
              <w:t>Ministry</w:t>
            </w:r>
            <w:proofErr w:type="spellEnd"/>
            <w:r w:rsidRPr="00DD3DDE">
              <w:rPr>
                <w:lang w:val="es-MX"/>
              </w:rPr>
              <w:t xml:space="preserve"> of </w:t>
            </w:r>
            <w:proofErr w:type="spellStart"/>
            <w:r w:rsidRPr="00DD3DDE">
              <w:rPr>
                <w:lang w:val="es-MX"/>
              </w:rPr>
              <w:t>Finance</w:t>
            </w:r>
            <w:proofErr w:type="spellEnd"/>
          </w:p>
          <w:p w:rsidR="00850AAF" w:rsidRPr="00016FD3" w:rsidRDefault="00850AAF" w:rsidP="00850AAF">
            <w:pPr>
              <w:rPr>
                <w:lang w:val="es-ES"/>
              </w:rPr>
            </w:pPr>
            <w:proofErr w:type="spellStart"/>
            <w:r w:rsidRPr="00016FD3">
              <w:rPr>
                <w:lang w:val="es-ES"/>
              </w:rPr>
              <w:t>Via</w:t>
            </w:r>
            <w:proofErr w:type="spellEnd"/>
            <w:r w:rsidRPr="00016FD3">
              <w:rPr>
                <w:lang w:val="es-ES"/>
              </w:rPr>
              <w:t xml:space="preserve"> España y Calle 52, Edificio </w:t>
            </w:r>
            <w:proofErr w:type="spellStart"/>
            <w:r w:rsidRPr="00016FD3">
              <w:rPr>
                <w:lang w:val="es-ES"/>
              </w:rPr>
              <w:t>Ogawa</w:t>
            </w:r>
            <w:proofErr w:type="spellEnd"/>
          </w:p>
          <w:p w:rsidR="00850AAF" w:rsidRPr="00DD3DDE" w:rsidRDefault="00850AAF" w:rsidP="00850AAF">
            <w:pPr>
              <w:rPr>
                <w:lang w:val="es-MX"/>
              </w:rPr>
            </w:pPr>
            <w:r w:rsidRPr="00DD3DDE">
              <w:rPr>
                <w:lang w:val="es-MX"/>
              </w:rPr>
              <w:t>4to Piso</w:t>
            </w:r>
          </w:p>
          <w:p w:rsidR="00850AAF" w:rsidRPr="00DD3DDE" w:rsidRDefault="00850AAF" w:rsidP="00850AAF">
            <w:pPr>
              <w:rPr>
                <w:lang w:val="es-MX"/>
              </w:rPr>
            </w:pPr>
            <w:proofErr w:type="spellStart"/>
            <w:r w:rsidRPr="00DD3DDE">
              <w:rPr>
                <w:lang w:val="es-MX"/>
              </w:rPr>
              <w:t>Panama</w:t>
            </w:r>
            <w:proofErr w:type="spellEnd"/>
          </w:p>
          <w:p w:rsidR="00850AAF" w:rsidRPr="00DD3DDE" w:rsidRDefault="00850AAF" w:rsidP="00850AAF">
            <w:pPr>
              <w:rPr>
                <w:lang w:val="es-MX"/>
              </w:rPr>
            </w:pPr>
            <w:r w:rsidRPr="00DD3DDE">
              <w:rPr>
                <w:lang w:val="es-MX"/>
              </w:rPr>
              <w:t>Tel: (507) 507-7202</w:t>
            </w:r>
            <w:r w:rsidRPr="00DD3DDE">
              <w:rPr>
                <w:lang w:val="es-MX"/>
              </w:rPr>
              <w:tab/>
              <w:t>Fax: (507) 507-7200</w:t>
            </w:r>
          </w:p>
          <w:p w:rsidR="001D607D" w:rsidRPr="002D186B" w:rsidRDefault="00850AAF" w:rsidP="00850AAF">
            <w:pPr>
              <w:rPr>
                <w:lang w:val="es-MX"/>
              </w:rPr>
            </w:pPr>
            <w:r w:rsidRPr="00DD3DDE">
              <w:rPr>
                <w:lang w:val="es-MX"/>
              </w:rPr>
              <w:t>amendez@mef.gob.pa; crpmp@bloomberg.net</w:t>
            </w:r>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Pr="0022573E" w:rsidRDefault="001D607D" w:rsidP="003E1C79">
            <w:pPr>
              <w:rPr>
                <w:b/>
                <w:bCs/>
              </w:rPr>
            </w:pPr>
            <w:r w:rsidRPr="0022573E">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Pr="0022573E" w:rsidRDefault="00573F0D" w:rsidP="00FC1AA5">
            <w:bookmarkStart w:id="9" w:name="DATEPREPARED"/>
            <w:r>
              <w:t>September</w:t>
            </w:r>
            <w:r w:rsidR="00EF1B41" w:rsidRPr="00563A77">
              <w:t xml:space="preserve"> </w:t>
            </w:r>
            <w:r>
              <w:t>2</w:t>
            </w:r>
            <w:r w:rsidR="00025FE8">
              <w:t>6</w:t>
            </w:r>
            <w:r w:rsidR="000020AD" w:rsidRPr="00563A77">
              <w:t>, 201</w:t>
            </w:r>
            <w:bookmarkEnd w:id="9"/>
            <w:r>
              <w:t>3</w:t>
            </w:r>
            <w:r w:rsidR="008575C8" w:rsidRPr="0022573E">
              <w:t xml:space="preserve"> </w:t>
            </w:r>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Default="00573F0D" w:rsidP="00FC1AA5">
            <w:bookmarkStart w:id="10" w:name="APPRAISALDATE"/>
            <w:r>
              <w:t>November</w:t>
            </w:r>
            <w:r w:rsidR="000020AD">
              <w:t xml:space="preserve"> 5, 2013</w:t>
            </w:r>
            <w:bookmarkEnd w:id="10"/>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Default="00573F0D" w:rsidP="00FC1AA5">
            <w:bookmarkStart w:id="11" w:name="BOARDAPPROVALDATE"/>
            <w:r>
              <w:t>December</w:t>
            </w:r>
            <w:r w:rsidR="00025FE8">
              <w:t xml:space="preserve"> 19</w:t>
            </w:r>
            <w:r w:rsidR="000020AD">
              <w:t>, 2013</w:t>
            </w:r>
            <w:bookmarkEnd w:id="11"/>
          </w:p>
        </w:tc>
      </w:tr>
      <w:tr w:rsidR="001D607D" w:rsidTr="003E1C79">
        <w:tc>
          <w:tcPr>
            <w:tcW w:w="3420" w:type="dxa"/>
            <w:tcBorders>
              <w:top w:val="single" w:sz="4" w:space="0" w:color="auto"/>
              <w:left w:val="single" w:sz="4" w:space="0" w:color="auto"/>
              <w:bottom w:val="single" w:sz="4" w:space="0" w:color="auto"/>
              <w:right w:val="single" w:sz="4" w:space="0" w:color="auto"/>
            </w:tcBorders>
          </w:tcPr>
          <w:p w:rsidR="001D607D" w:rsidRDefault="001D607D" w:rsidP="003E1C79">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1D607D" w:rsidRPr="00DE739D" w:rsidRDefault="00563A77" w:rsidP="00FC1AA5">
            <w:pPr>
              <w:rPr>
                <w:i/>
                <w:u w:val="single"/>
              </w:rPr>
            </w:pPr>
            <w:r>
              <w:t>T</w:t>
            </w:r>
            <w:r w:rsidR="00483838">
              <w:t>BD</w:t>
            </w:r>
            <w:r w:rsidR="001D607D">
              <w:rPr>
                <w:i/>
                <w:u w:val="single"/>
              </w:rPr>
              <w:t xml:space="preserve"> </w:t>
            </w:r>
          </w:p>
        </w:tc>
      </w:tr>
    </w:tbl>
    <w:p w:rsidR="00671A99" w:rsidRDefault="00671A99" w:rsidP="00FC1AA5">
      <w:pPr>
        <w:jc w:val="both"/>
      </w:pPr>
    </w:p>
    <w:p w:rsidR="00671A99" w:rsidRPr="00671A99" w:rsidRDefault="00671A99" w:rsidP="00FC1AA5">
      <w:pPr>
        <w:numPr>
          <w:ilvl w:val="0"/>
          <w:numId w:val="24"/>
        </w:numPr>
        <w:jc w:val="both"/>
        <w:rPr>
          <w:b/>
          <w:i/>
        </w:rPr>
      </w:pPr>
      <w:r w:rsidRPr="00671A99">
        <w:rPr>
          <w:b/>
          <w:sz w:val="23"/>
          <w:szCs w:val="23"/>
        </w:rPr>
        <w:t xml:space="preserve">Key </w:t>
      </w:r>
      <w:r w:rsidR="00FC1AA5">
        <w:rPr>
          <w:b/>
          <w:sz w:val="23"/>
          <w:szCs w:val="23"/>
        </w:rPr>
        <w:t>D</w:t>
      </w:r>
      <w:r w:rsidRPr="00671A99">
        <w:rPr>
          <w:b/>
          <w:sz w:val="23"/>
          <w:szCs w:val="23"/>
        </w:rPr>
        <w:t xml:space="preserve">evelopment </w:t>
      </w:r>
      <w:r w:rsidR="00FC1AA5">
        <w:rPr>
          <w:b/>
          <w:sz w:val="23"/>
          <w:szCs w:val="23"/>
        </w:rPr>
        <w:t>I</w:t>
      </w:r>
      <w:r w:rsidRPr="00671A99">
        <w:rPr>
          <w:b/>
          <w:sz w:val="23"/>
          <w:szCs w:val="23"/>
        </w:rPr>
        <w:t xml:space="preserve">ssues and </w:t>
      </w:r>
      <w:r w:rsidR="00FC1AA5">
        <w:rPr>
          <w:b/>
          <w:sz w:val="23"/>
          <w:szCs w:val="23"/>
        </w:rPr>
        <w:t>R</w:t>
      </w:r>
      <w:r w:rsidRPr="004E0B73">
        <w:rPr>
          <w:b/>
          <w:sz w:val="23"/>
          <w:szCs w:val="23"/>
        </w:rPr>
        <w:t xml:space="preserve">ationale for Bank </w:t>
      </w:r>
      <w:r w:rsidR="00FC1AA5">
        <w:rPr>
          <w:b/>
          <w:sz w:val="23"/>
          <w:szCs w:val="23"/>
        </w:rPr>
        <w:t>I</w:t>
      </w:r>
      <w:r w:rsidRPr="004E0B73">
        <w:rPr>
          <w:b/>
          <w:sz w:val="23"/>
          <w:szCs w:val="23"/>
        </w:rPr>
        <w:t>nvolvement</w:t>
      </w:r>
      <w:r w:rsidRPr="00671A99">
        <w:rPr>
          <w:b/>
          <w:sz w:val="23"/>
          <w:szCs w:val="23"/>
        </w:rPr>
        <w:t xml:space="preserve"> </w:t>
      </w:r>
    </w:p>
    <w:p w:rsidR="00430E10" w:rsidRPr="00671A99" w:rsidRDefault="00430E10" w:rsidP="00FC1AA5">
      <w:pPr>
        <w:ind w:left="720"/>
        <w:jc w:val="both"/>
        <w:rPr>
          <w:i/>
        </w:rPr>
      </w:pPr>
    </w:p>
    <w:p w:rsidR="003E1C79" w:rsidRPr="00912C99" w:rsidRDefault="003E1C79" w:rsidP="00FC1AA5">
      <w:pPr>
        <w:pStyle w:val="ListParagraph"/>
        <w:overflowPunct w:val="0"/>
        <w:autoSpaceDE w:val="0"/>
        <w:autoSpaceDN w:val="0"/>
        <w:adjustRightInd w:val="0"/>
        <w:ind w:left="0"/>
        <w:jc w:val="both"/>
        <w:textAlignment w:val="baseline"/>
        <w:rPr>
          <w:bCs/>
        </w:rPr>
      </w:pPr>
      <w:r w:rsidRPr="00912C99">
        <w:rPr>
          <w:b/>
        </w:rPr>
        <w:t xml:space="preserve">Panama has made important strides in its economic </w:t>
      </w:r>
      <w:r>
        <w:rPr>
          <w:b/>
        </w:rPr>
        <w:t xml:space="preserve">and social </w:t>
      </w:r>
      <w:r w:rsidRPr="00912C99">
        <w:rPr>
          <w:b/>
        </w:rPr>
        <w:t xml:space="preserve">development in recent years. </w:t>
      </w:r>
      <w:r w:rsidRPr="00912C99">
        <w:rPr>
          <w:bCs/>
        </w:rPr>
        <w:t xml:space="preserve">Panama’s </w:t>
      </w:r>
      <w:r>
        <w:rPr>
          <w:bCs/>
        </w:rPr>
        <w:t xml:space="preserve">economic </w:t>
      </w:r>
      <w:r w:rsidRPr="00912C99">
        <w:rPr>
          <w:bCs/>
        </w:rPr>
        <w:t>growth has been one of the fastest in Latin America over the past decade. The country has done well in integrating into the global economy and has leveraged its geographical position, turning itself into a well</w:t>
      </w:r>
      <w:r>
        <w:rPr>
          <w:bCs/>
        </w:rPr>
        <w:t>-</w:t>
      </w:r>
      <w:r w:rsidRPr="00912C99">
        <w:rPr>
          <w:bCs/>
        </w:rPr>
        <w:t xml:space="preserve">connected logistics hub. </w:t>
      </w:r>
      <w:r>
        <w:rPr>
          <w:bCs/>
        </w:rPr>
        <w:t>S</w:t>
      </w:r>
      <w:r w:rsidRPr="00912C99">
        <w:rPr>
          <w:bCs/>
        </w:rPr>
        <w:t xml:space="preserve">trong economic growth and government transfers have translated into increased welfare. As a result, the overall </w:t>
      </w:r>
      <w:r>
        <w:rPr>
          <w:bCs/>
        </w:rPr>
        <w:t xml:space="preserve">income </w:t>
      </w:r>
      <w:r w:rsidRPr="00912C99">
        <w:rPr>
          <w:bCs/>
        </w:rPr>
        <w:t>poverty ra</w:t>
      </w:r>
      <w:r w:rsidR="00573F0D">
        <w:rPr>
          <w:bCs/>
        </w:rPr>
        <w:t>te fell from 45.8 percent in 2002 to 26.2</w:t>
      </w:r>
      <w:r w:rsidRPr="00912C99">
        <w:rPr>
          <w:bCs/>
        </w:rPr>
        <w:t xml:space="preserve"> percent</w:t>
      </w:r>
      <w:r w:rsidR="00573F0D">
        <w:rPr>
          <w:bCs/>
        </w:rPr>
        <w:t xml:space="preserve"> in 2012</w:t>
      </w:r>
      <w:r w:rsidRPr="00912C99">
        <w:rPr>
          <w:bCs/>
        </w:rPr>
        <w:t>, whil</w:t>
      </w:r>
      <w:r w:rsidR="00573F0D">
        <w:rPr>
          <w:bCs/>
        </w:rPr>
        <w:t>e extreme poverty fell from 21 to 11.3</w:t>
      </w:r>
      <w:r w:rsidRPr="00912C99">
        <w:rPr>
          <w:bCs/>
        </w:rPr>
        <w:t xml:space="preserve"> percent. The country has also done particularly well in terms </w:t>
      </w:r>
      <w:r w:rsidR="00573F0D">
        <w:rPr>
          <w:bCs/>
        </w:rPr>
        <w:t>of shared prosperity. Income growth of households in the bottom 40 percent of the income distribution reached 8.9 percent between 2003 and 2011, far exceeding t</w:t>
      </w:r>
      <w:r w:rsidR="00FC1AA5">
        <w:rPr>
          <w:bCs/>
        </w:rPr>
        <w:t>he average income growth of 6.6</w:t>
      </w:r>
      <w:r w:rsidR="00FC1AA5">
        <w:t> </w:t>
      </w:r>
      <w:r w:rsidR="00573F0D">
        <w:rPr>
          <w:bCs/>
        </w:rPr>
        <w:t xml:space="preserve">percent over the same period. </w:t>
      </w:r>
    </w:p>
    <w:p w:rsidR="003E1C79" w:rsidRPr="00C71CD8" w:rsidRDefault="003E1C79" w:rsidP="00FC1AA5">
      <w:pPr>
        <w:jc w:val="both"/>
        <w:rPr>
          <w:bCs/>
        </w:rPr>
      </w:pPr>
    </w:p>
    <w:p w:rsidR="003E1C79" w:rsidRDefault="003E1C79" w:rsidP="00FC1AA5">
      <w:pPr>
        <w:pStyle w:val="ListParagraph"/>
        <w:overflowPunct w:val="0"/>
        <w:autoSpaceDE w:val="0"/>
        <w:autoSpaceDN w:val="0"/>
        <w:adjustRightInd w:val="0"/>
        <w:ind w:left="0"/>
        <w:jc w:val="both"/>
        <w:textAlignment w:val="baseline"/>
        <w:rPr>
          <w:color w:val="000000"/>
        </w:rPr>
      </w:pPr>
      <w:r>
        <w:rPr>
          <w:b/>
        </w:rPr>
        <w:t>Despite these import</w:t>
      </w:r>
      <w:r w:rsidR="00573F0D">
        <w:rPr>
          <w:b/>
        </w:rPr>
        <w:t xml:space="preserve">ant achievements, inequality remains in the mid-range for Latin American countries and challenges persist in the public provision of social services. </w:t>
      </w:r>
      <w:r>
        <w:rPr>
          <w:bCs/>
        </w:rPr>
        <w:t xml:space="preserve">The </w:t>
      </w:r>
      <w:proofErr w:type="spellStart"/>
      <w:r>
        <w:rPr>
          <w:bCs/>
        </w:rPr>
        <w:t>Gini</w:t>
      </w:r>
      <w:proofErr w:type="spellEnd"/>
      <w:r>
        <w:rPr>
          <w:bCs/>
        </w:rPr>
        <w:t xml:space="preserve"> coefficient </w:t>
      </w:r>
      <w:r w:rsidR="0038497F">
        <w:rPr>
          <w:bCs/>
        </w:rPr>
        <w:t>for</w:t>
      </w:r>
      <w:r>
        <w:rPr>
          <w:bCs/>
        </w:rPr>
        <w:t xml:space="preserve"> inc</w:t>
      </w:r>
      <w:r w:rsidR="00573F0D">
        <w:rPr>
          <w:bCs/>
        </w:rPr>
        <w:t>ome inequality dropped from 0.56 in 2003 to 0.53 in 2011</w:t>
      </w:r>
      <w:r>
        <w:rPr>
          <w:bCs/>
        </w:rPr>
        <w:t xml:space="preserve">, but is still </w:t>
      </w:r>
      <w:r w:rsidR="00573F0D">
        <w:rPr>
          <w:bCs/>
        </w:rPr>
        <w:t>in the mid-range for</w:t>
      </w:r>
      <w:r>
        <w:rPr>
          <w:bCs/>
        </w:rPr>
        <w:t xml:space="preserve"> Latin America</w:t>
      </w:r>
      <w:r w:rsidR="00573F0D">
        <w:rPr>
          <w:bCs/>
        </w:rPr>
        <w:t xml:space="preserve"> countries</w:t>
      </w:r>
      <w:r>
        <w:rPr>
          <w:bCs/>
        </w:rPr>
        <w:t xml:space="preserve">. </w:t>
      </w:r>
      <w:r w:rsidR="00573F0D" w:rsidRPr="005145AF">
        <w:rPr>
          <w:color w:val="000000"/>
        </w:rPr>
        <w:t>In addition, ample scope remains for improving the public provision of social services across the country</w:t>
      </w:r>
      <w:r w:rsidR="00573F0D">
        <w:rPr>
          <w:color w:val="000000"/>
        </w:rPr>
        <w:t>. For example, children in indigenous communities still have significantly less access to basic services than children in rural or urban areas.</w:t>
      </w:r>
    </w:p>
    <w:p w:rsidR="00573F0D" w:rsidRPr="003E1C79" w:rsidRDefault="00573F0D" w:rsidP="00FC1AA5">
      <w:pPr>
        <w:pStyle w:val="ListParagraph"/>
        <w:overflowPunct w:val="0"/>
        <w:autoSpaceDE w:val="0"/>
        <w:autoSpaceDN w:val="0"/>
        <w:adjustRightInd w:val="0"/>
        <w:ind w:left="0"/>
        <w:jc w:val="both"/>
        <w:textAlignment w:val="baseline"/>
        <w:rPr>
          <w:b/>
        </w:rPr>
      </w:pPr>
    </w:p>
    <w:p w:rsidR="00065660" w:rsidRPr="00E278E0" w:rsidRDefault="003E1C79" w:rsidP="00FC1AA5">
      <w:pPr>
        <w:pStyle w:val="ListParagraph"/>
        <w:overflowPunct w:val="0"/>
        <w:autoSpaceDE w:val="0"/>
        <w:autoSpaceDN w:val="0"/>
        <w:adjustRightInd w:val="0"/>
        <w:ind w:left="0"/>
        <w:jc w:val="both"/>
        <w:textAlignment w:val="baseline"/>
        <w:rPr>
          <w:bCs/>
        </w:rPr>
      </w:pPr>
      <w:r w:rsidRPr="00563A77">
        <w:rPr>
          <w:b/>
          <w:bCs/>
        </w:rPr>
        <w:t xml:space="preserve">At the outset of its term in 2009, the Government presented a five-year strategic plan with the overall objectives of sustainable economic growth and reduction of poverty and inequality. </w:t>
      </w:r>
      <w:r w:rsidR="00271AA6" w:rsidRPr="00BC68B2">
        <w:t xml:space="preserve">The plan is built around strategies for economic growth and social development accompanied by a detailed </w:t>
      </w:r>
      <w:r w:rsidR="00271AA6">
        <w:t>five</w:t>
      </w:r>
      <w:r w:rsidR="00271AA6" w:rsidRPr="00BC68B2">
        <w:t>-year investment plan and fiscal projections.</w:t>
      </w:r>
      <w:r w:rsidR="00271AA6">
        <w:t xml:space="preserve"> </w:t>
      </w:r>
      <w:r w:rsidR="00271AA6" w:rsidRPr="00BC68B2">
        <w:t>To ensure fiscal sustainability</w:t>
      </w:r>
      <w:r w:rsidR="00271AA6">
        <w:t>,</w:t>
      </w:r>
      <w:r w:rsidR="00271AA6" w:rsidRPr="00BC68B2">
        <w:t xml:space="preserve"> the Government has complemented the plan with a set of reforms to increase tax revenue and the efficiency of </w:t>
      </w:r>
      <w:r w:rsidR="00271AA6">
        <w:t xml:space="preserve">public </w:t>
      </w:r>
      <w:r w:rsidR="00271AA6" w:rsidRPr="00BC68B2">
        <w:t>spending.</w:t>
      </w:r>
      <w:r w:rsidR="00781F0A">
        <w:rPr>
          <w:bCs/>
        </w:rPr>
        <w:t xml:space="preserve"> In particular, t</w:t>
      </w:r>
      <w:r w:rsidRPr="003E1C79">
        <w:rPr>
          <w:bCs/>
        </w:rPr>
        <w:t xml:space="preserve">he Government has </w:t>
      </w:r>
      <w:r w:rsidR="00781F0A">
        <w:rPr>
          <w:bCs/>
        </w:rPr>
        <w:t>been</w:t>
      </w:r>
      <w:r w:rsidRPr="003E1C79">
        <w:rPr>
          <w:bCs/>
        </w:rPr>
        <w:t xml:space="preserve"> improv</w:t>
      </w:r>
      <w:r w:rsidR="00781F0A">
        <w:rPr>
          <w:bCs/>
        </w:rPr>
        <w:t>ing</w:t>
      </w:r>
      <w:r w:rsidRPr="003E1C79">
        <w:rPr>
          <w:bCs/>
        </w:rPr>
        <w:t xml:space="preserve"> social protection by introducing a non-contributory pension program </w:t>
      </w:r>
      <w:r w:rsidRPr="003E1C79">
        <w:rPr>
          <w:bCs/>
          <w:i/>
          <w:iCs/>
        </w:rPr>
        <w:t>100 a los 70</w:t>
      </w:r>
      <w:r w:rsidR="00563A77">
        <w:rPr>
          <w:bCs/>
        </w:rPr>
        <w:t>,</w:t>
      </w:r>
      <w:r w:rsidRPr="003E1C79">
        <w:rPr>
          <w:bCs/>
        </w:rPr>
        <w:t xml:space="preserve"> a universal scholarship program </w:t>
      </w:r>
      <w:proofErr w:type="spellStart"/>
      <w:r w:rsidRPr="003E1C79">
        <w:rPr>
          <w:bCs/>
          <w:i/>
          <w:iCs/>
        </w:rPr>
        <w:t>Beca</w:t>
      </w:r>
      <w:proofErr w:type="spellEnd"/>
      <w:r w:rsidRPr="003E1C79">
        <w:rPr>
          <w:bCs/>
          <w:i/>
          <w:iCs/>
        </w:rPr>
        <w:t xml:space="preserve"> Universal</w:t>
      </w:r>
      <w:r w:rsidRPr="003E1C79">
        <w:rPr>
          <w:bCs/>
        </w:rPr>
        <w:t xml:space="preserve"> and improving the targeting of conditional cash transfer (CCT) programs, including </w:t>
      </w:r>
      <w:r w:rsidRPr="003E1C79">
        <w:rPr>
          <w:bCs/>
          <w:i/>
          <w:iCs/>
        </w:rPr>
        <w:t xml:space="preserve">Red de </w:t>
      </w:r>
      <w:proofErr w:type="spellStart"/>
      <w:r w:rsidRPr="003E1C79">
        <w:rPr>
          <w:bCs/>
          <w:i/>
          <w:iCs/>
        </w:rPr>
        <w:t>Oportunidades</w:t>
      </w:r>
      <w:proofErr w:type="spellEnd"/>
      <w:r w:rsidRPr="003E1C79">
        <w:rPr>
          <w:bCs/>
        </w:rPr>
        <w:t xml:space="preserve">. </w:t>
      </w:r>
      <w:r w:rsidR="00781F0A" w:rsidRPr="00BC68B2">
        <w:t xml:space="preserve">The </w:t>
      </w:r>
      <w:r w:rsidR="00781F0A">
        <w:t xml:space="preserve">approved </w:t>
      </w:r>
      <w:r w:rsidR="00781F0A" w:rsidRPr="00BC68B2">
        <w:t xml:space="preserve">tax policy and administration reforms are expected to generate 1.7 percent of GDP additional tax revenue. In addition, reforms to improve tax information sharing </w:t>
      </w:r>
      <w:r w:rsidR="00781F0A">
        <w:t>are</w:t>
      </w:r>
      <w:r w:rsidR="00781F0A" w:rsidRPr="00BC68B2">
        <w:t xml:space="preserve"> increasing transparency. To </w:t>
      </w:r>
      <w:r w:rsidR="00781F0A">
        <w:t>en</w:t>
      </w:r>
      <w:r w:rsidR="00781F0A" w:rsidRPr="00BC68B2">
        <w:t>sure that public expenditures have the greatest possible impact</w:t>
      </w:r>
      <w:r w:rsidR="00781F0A">
        <w:t>,</w:t>
      </w:r>
      <w:r w:rsidR="00781F0A" w:rsidRPr="00BC68B2">
        <w:t xml:space="preserve"> the Government has also </w:t>
      </w:r>
      <w:r w:rsidR="00781F0A">
        <w:t>launched</w:t>
      </w:r>
      <w:r w:rsidR="00781F0A" w:rsidRPr="00BC68B2">
        <w:t xml:space="preserve"> several measures to improve </w:t>
      </w:r>
      <w:r w:rsidR="00781F0A">
        <w:t>spending</w:t>
      </w:r>
      <w:r w:rsidR="00781F0A" w:rsidRPr="00BC68B2">
        <w:t xml:space="preserve"> efficiency </w:t>
      </w:r>
      <w:r w:rsidR="00781F0A">
        <w:t xml:space="preserve">in the areas of </w:t>
      </w:r>
      <w:r w:rsidR="00781F0A" w:rsidRPr="00BC68B2">
        <w:t>public procurement, debt management and targeting of transfer programs.</w:t>
      </w:r>
    </w:p>
    <w:p w:rsidR="004E0B73" w:rsidRDefault="004E0B73" w:rsidP="00FC1AA5">
      <w:pPr>
        <w:jc w:val="both"/>
        <w:rPr>
          <w:b/>
        </w:rPr>
      </w:pPr>
    </w:p>
    <w:p w:rsidR="003103C4" w:rsidRDefault="003103C4" w:rsidP="00FC1AA5">
      <w:pPr>
        <w:numPr>
          <w:ilvl w:val="0"/>
          <w:numId w:val="24"/>
        </w:numPr>
        <w:jc w:val="both"/>
        <w:rPr>
          <w:b/>
        </w:rPr>
      </w:pPr>
      <w:r w:rsidRPr="008D1059">
        <w:rPr>
          <w:b/>
        </w:rPr>
        <w:t>Proposed</w:t>
      </w:r>
      <w:r>
        <w:rPr>
          <w:b/>
        </w:rPr>
        <w:t xml:space="preserve"> O</w:t>
      </w:r>
      <w:r w:rsidRPr="008D1059">
        <w:rPr>
          <w:b/>
        </w:rPr>
        <w:t>bjective(s)</w:t>
      </w:r>
    </w:p>
    <w:p w:rsidR="00F47C23" w:rsidRDefault="00F47C23" w:rsidP="00FC1AA5">
      <w:pPr>
        <w:pStyle w:val="ListParagraph"/>
        <w:overflowPunct w:val="0"/>
        <w:autoSpaceDE w:val="0"/>
        <w:autoSpaceDN w:val="0"/>
        <w:adjustRightInd w:val="0"/>
        <w:ind w:left="0"/>
        <w:jc w:val="both"/>
        <w:textAlignment w:val="baseline"/>
        <w:rPr>
          <w:b/>
          <w:bCs/>
        </w:rPr>
      </w:pPr>
    </w:p>
    <w:p w:rsidR="002D32C6" w:rsidRPr="002D32C6" w:rsidRDefault="00430E10" w:rsidP="00FC1AA5">
      <w:pPr>
        <w:pStyle w:val="ListParagraph"/>
        <w:overflowPunct w:val="0"/>
        <w:autoSpaceDE w:val="0"/>
        <w:autoSpaceDN w:val="0"/>
        <w:adjustRightInd w:val="0"/>
        <w:ind w:left="0"/>
        <w:jc w:val="both"/>
        <w:textAlignment w:val="baseline"/>
        <w:rPr>
          <w:bCs/>
        </w:rPr>
      </w:pPr>
      <w:r w:rsidRPr="00952178">
        <w:rPr>
          <w:b/>
          <w:bCs/>
        </w:rPr>
        <w:t xml:space="preserve">The Program Development Objective of the proposed DPL series is to support the </w:t>
      </w:r>
      <w:r w:rsidR="002D32C6">
        <w:rPr>
          <w:b/>
          <w:bCs/>
          <w:lang w:val="en-US"/>
        </w:rPr>
        <w:t>G</w:t>
      </w:r>
      <w:proofErr w:type="spellStart"/>
      <w:r w:rsidRPr="00952178">
        <w:rPr>
          <w:b/>
          <w:bCs/>
        </w:rPr>
        <w:t>overnment</w:t>
      </w:r>
      <w:proofErr w:type="spellEnd"/>
      <w:r w:rsidRPr="00952178">
        <w:rPr>
          <w:b/>
          <w:bCs/>
        </w:rPr>
        <w:t xml:space="preserve"> of Panama in creating fiscal space and strengthening social transfer programs.</w:t>
      </w:r>
      <w:r w:rsidRPr="00065660">
        <w:rPr>
          <w:bCs/>
        </w:rPr>
        <w:t xml:space="preserve"> </w:t>
      </w:r>
      <w:r w:rsidR="005112CD" w:rsidRPr="00065660">
        <w:rPr>
          <w:bCs/>
        </w:rPr>
        <w:t>The operation supports four key policy areas: (</w:t>
      </w:r>
      <w:proofErr w:type="spellStart"/>
      <w:r w:rsidR="005112CD" w:rsidRPr="00065660">
        <w:rPr>
          <w:bCs/>
        </w:rPr>
        <w:t>i</w:t>
      </w:r>
      <w:proofErr w:type="spellEnd"/>
      <w:r w:rsidR="005112CD" w:rsidRPr="00065660">
        <w:rPr>
          <w:bCs/>
        </w:rPr>
        <w:t xml:space="preserve">) tax reforms, (ii) procurement, (iii) debt management, and (iv) social transfer programs. </w:t>
      </w:r>
      <w:r w:rsidR="002D32C6" w:rsidRPr="00065660">
        <w:rPr>
          <w:bCs/>
        </w:rPr>
        <w:t xml:space="preserve">The DPL series is an </w:t>
      </w:r>
      <w:r w:rsidR="002D32C6" w:rsidRPr="00E278E0">
        <w:rPr>
          <w:bCs/>
        </w:rPr>
        <w:t>import</w:t>
      </w:r>
      <w:r w:rsidR="002D32C6" w:rsidRPr="002D32C6">
        <w:rPr>
          <w:bCs/>
        </w:rPr>
        <w:t>ant componen</w:t>
      </w:r>
      <w:r w:rsidR="002D32C6" w:rsidRPr="00E278E0">
        <w:rPr>
          <w:bCs/>
        </w:rPr>
        <w:t>t of</w:t>
      </w:r>
      <w:r w:rsidR="002D32C6" w:rsidRPr="00065660">
        <w:rPr>
          <w:bCs/>
        </w:rPr>
        <w:t xml:space="preserve"> the Bank lending program to supp</w:t>
      </w:r>
      <w:r w:rsidR="002D32C6" w:rsidRPr="002D32C6">
        <w:rPr>
          <w:bCs/>
        </w:rPr>
        <w:t>ort Government</w:t>
      </w:r>
      <w:r w:rsidR="002D32C6" w:rsidRPr="00065660">
        <w:rPr>
          <w:bCs/>
        </w:rPr>
        <w:t xml:space="preserve"> designated programs under t</w:t>
      </w:r>
      <w:r w:rsidR="002D32C6">
        <w:rPr>
          <w:bCs/>
          <w:lang w:val="en-US"/>
        </w:rPr>
        <w:t>hree</w:t>
      </w:r>
      <w:r w:rsidR="002D32C6" w:rsidRPr="00065660">
        <w:rPr>
          <w:bCs/>
        </w:rPr>
        <w:t xml:space="preserve"> objectives of the CPS</w:t>
      </w:r>
      <w:r w:rsidR="002D32C6">
        <w:rPr>
          <w:bCs/>
          <w:lang w:val="en-US"/>
        </w:rPr>
        <w:t xml:space="preserve">: </w:t>
      </w:r>
      <w:r w:rsidR="006718FC">
        <w:rPr>
          <w:bCs/>
          <w:lang w:val="en-US"/>
        </w:rPr>
        <w:t>e</w:t>
      </w:r>
      <w:proofErr w:type="spellStart"/>
      <w:r w:rsidR="006718FC" w:rsidRPr="00065660">
        <w:rPr>
          <w:bCs/>
        </w:rPr>
        <w:t>conomic</w:t>
      </w:r>
      <w:proofErr w:type="spellEnd"/>
      <w:r w:rsidR="006718FC" w:rsidRPr="002D32C6">
        <w:rPr>
          <w:bCs/>
        </w:rPr>
        <w:t xml:space="preserve"> </w:t>
      </w:r>
      <w:r w:rsidR="006718FC">
        <w:rPr>
          <w:bCs/>
          <w:lang w:val="en-US"/>
        </w:rPr>
        <w:t>g</w:t>
      </w:r>
      <w:proofErr w:type="spellStart"/>
      <w:r w:rsidR="006718FC" w:rsidRPr="002D32C6">
        <w:rPr>
          <w:bCs/>
        </w:rPr>
        <w:t>rowth</w:t>
      </w:r>
      <w:proofErr w:type="spellEnd"/>
      <w:r w:rsidR="006718FC" w:rsidRPr="002D32C6">
        <w:rPr>
          <w:bCs/>
        </w:rPr>
        <w:t xml:space="preserve"> </w:t>
      </w:r>
      <w:r w:rsidR="002D32C6">
        <w:rPr>
          <w:bCs/>
          <w:lang w:val="en-US"/>
        </w:rPr>
        <w:t xml:space="preserve">that </w:t>
      </w:r>
      <w:r w:rsidR="006718FC">
        <w:rPr>
          <w:bCs/>
          <w:lang w:val="en-US"/>
        </w:rPr>
        <w:t>supports competitive a</w:t>
      </w:r>
      <w:r w:rsidR="002D32C6">
        <w:rPr>
          <w:bCs/>
          <w:lang w:val="en-US"/>
        </w:rPr>
        <w:t xml:space="preserve">dvantages, </w:t>
      </w:r>
      <w:r w:rsidR="006718FC">
        <w:rPr>
          <w:bCs/>
          <w:lang w:val="en-US"/>
        </w:rPr>
        <w:t>g</w:t>
      </w:r>
      <w:r w:rsidR="002D32C6">
        <w:rPr>
          <w:bCs/>
          <w:lang w:val="en-US"/>
        </w:rPr>
        <w:t xml:space="preserve">reater </w:t>
      </w:r>
      <w:r w:rsidR="006718FC">
        <w:rPr>
          <w:bCs/>
          <w:lang w:val="en-US"/>
        </w:rPr>
        <w:t>o</w:t>
      </w:r>
      <w:r w:rsidR="002D32C6">
        <w:rPr>
          <w:bCs/>
          <w:lang w:val="en-US"/>
        </w:rPr>
        <w:t xml:space="preserve">pportunities for </w:t>
      </w:r>
      <w:r w:rsidR="006718FC">
        <w:rPr>
          <w:bCs/>
          <w:lang w:val="en-US"/>
        </w:rPr>
        <w:t>a</w:t>
      </w:r>
      <w:r w:rsidR="002D32C6">
        <w:rPr>
          <w:bCs/>
          <w:lang w:val="en-US"/>
        </w:rPr>
        <w:t xml:space="preserve">ll, and </w:t>
      </w:r>
      <w:r w:rsidR="006718FC">
        <w:rPr>
          <w:bCs/>
          <w:lang w:val="en-US"/>
        </w:rPr>
        <w:t>e</w:t>
      </w:r>
      <w:r w:rsidR="002D32C6">
        <w:rPr>
          <w:bCs/>
          <w:lang w:val="en-US"/>
        </w:rPr>
        <w:t xml:space="preserve">nhanced </w:t>
      </w:r>
      <w:r w:rsidR="006718FC">
        <w:rPr>
          <w:bCs/>
          <w:lang w:val="en-US"/>
        </w:rPr>
        <w:t>p</w:t>
      </w:r>
      <w:r w:rsidR="002D32C6">
        <w:rPr>
          <w:bCs/>
          <w:lang w:val="en-US"/>
        </w:rPr>
        <w:t xml:space="preserve">ublic </w:t>
      </w:r>
      <w:r w:rsidR="006718FC">
        <w:rPr>
          <w:bCs/>
          <w:lang w:val="en-US"/>
        </w:rPr>
        <w:t>s</w:t>
      </w:r>
      <w:r w:rsidR="002D32C6">
        <w:rPr>
          <w:bCs/>
          <w:lang w:val="en-US"/>
        </w:rPr>
        <w:t xml:space="preserve">ector </w:t>
      </w:r>
      <w:r w:rsidR="006718FC">
        <w:rPr>
          <w:bCs/>
          <w:lang w:val="en-US"/>
        </w:rPr>
        <w:t>t</w:t>
      </w:r>
      <w:r w:rsidR="002D32C6">
        <w:rPr>
          <w:bCs/>
          <w:lang w:val="en-US"/>
        </w:rPr>
        <w:t xml:space="preserve">ransparency, </w:t>
      </w:r>
      <w:r w:rsidR="006718FC">
        <w:rPr>
          <w:bCs/>
          <w:lang w:val="en-US"/>
        </w:rPr>
        <w:t>e</w:t>
      </w:r>
      <w:r w:rsidR="002D32C6">
        <w:rPr>
          <w:bCs/>
          <w:lang w:val="en-US"/>
        </w:rPr>
        <w:t xml:space="preserve">ffectiveness and </w:t>
      </w:r>
      <w:r w:rsidR="006718FC">
        <w:rPr>
          <w:bCs/>
          <w:lang w:val="en-US"/>
        </w:rPr>
        <w:t>e</w:t>
      </w:r>
      <w:r w:rsidR="002D32C6">
        <w:rPr>
          <w:bCs/>
          <w:lang w:val="en-US"/>
        </w:rPr>
        <w:t>fficiency.</w:t>
      </w:r>
    </w:p>
    <w:p w:rsidR="00A126FA" w:rsidRPr="002D186B" w:rsidRDefault="00A126FA" w:rsidP="00FC1AA5">
      <w:pPr>
        <w:jc w:val="both"/>
        <w:rPr>
          <w:sz w:val="22"/>
          <w:szCs w:val="22"/>
          <w:lang w:val="x-none"/>
        </w:rPr>
      </w:pPr>
    </w:p>
    <w:p w:rsidR="00A126FA" w:rsidRDefault="00A126FA" w:rsidP="00FC1AA5">
      <w:pPr>
        <w:numPr>
          <w:ilvl w:val="0"/>
          <w:numId w:val="24"/>
        </w:numPr>
        <w:jc w:val="both"/>
        <w:rPr>
          <w:b/>
        </w:rPr>
      </w:pPr>
      <w:r w:rsidRPr="005B0352">
        <w:rPr>
          <w:b/>
        </w:rPr>
        <w:t>Preliminary Description</w:t>
      </w:r>
    </w:p>
    <w:p w:rsidR="009C1402" w:rsidRDefault="009C1402" w:rsidP="00FC1AA5">
      <w:pPr>
        <w:ind w:left="720"/>
        <w:jc w:val="both"/>
        <w:rPr>
          <w:b/>
        </w:rPr>
      </w:pPr>
    </w:p>
    <w:p w:rsidR="003A3D82" w:rsidRDefault="00485A4A" w:rsidP="00FC1AA5">
      <w:pPr>
        <w:pStyle w:val="ListParagraph"/>
        <w:overflowPunct w:val="0"/>
        <w:autoSpaceDE w:val="0"/>
        <w:autoSpaceDN w:val="0"/>
        <w:adjustRightInd w:val="0"/>
        <w:ind w:left="0"/>
        <w:jc w:val="both"/>
        <w:textAlignment w:val="baseline"/>
        <w:rPr>
          <w:lang w:val="en-US"/>
        </w:rPr>
      </w:pPr>
      <w:r w:rsidRPr="009C1402">
        <w:rPr>
          <w:b/>
          <w:bCs/>
        </w:rPr>
        <w:t xml:space="preserve">The proposed </w:t>
      </w:r>
      <w:r w:rsidR="00573F0D">
        <w:rPr>
          <w:b/>
          <w:bCs/>
        </w:rPr>
        <w:t>third</w:t>
      </w:r>
      <w:r w:rsidRPr="009C1402">
        <w:rPr>
          <w:b/>
          <w:bCs/>
        </w:rPr>
        <w:t xml:space="preserve"> </w:t>
      </w:r>
      <w:r w:rsidRPr="009C1402">
        <w:rPr>
          <w:rFonts w:eastAsia="Verdana"/>
          <w:b/>
          <w:bCs/>
        </w:rPr>
        <w:t xml:space="preserve">Programmatic Fiscal Management and Efficiency of Expenditures DPL </w:t>
      </w:r>
      <w:r w:rsidR="003D7E4D">
        <w:rPr>
          <w:rFonts w:eastAsia="Verdana"/>
          <w:b/>
          <w:bCs/>
        </w:rPr>
        <w:t>completes the reforms</w:t>
      </w:r>
      <w:r w:rsidRPr="009C1402">
        <w:rPr>
          <w:b/>
          <w:bCs/>
        </w:rPr>
        <w:t xml:space="preserve"> under the first </w:t>
      </w:r>
      <w:r w:rsidR="00573F0D">
        <w:rPr>
          <w:b/>
          <w:bCs/>
        </w:rPr>
        <w:t xml:space="preserve">and second </w:t>
      </w:r>
      <w:r w:rsidRPr="009C1402">
        <w:rPr>
          <w:b/>
          <w:bCs/>
        </w:rPr>
        <w:t>loan</w:t>
      </w:r>
      <w:r w:rsidR="00573F0D">
        <w:rPr>
          <w:b/>
          <w:bCs/>
        </w:rPr>
        <w:t>s</w:t>
      </w:r>
      <w:r w:rsidRPr="009C1402">
        <w:rPr>
          <w:b/>
          <w:bCs/>
        </w:rPr>
        <w:t xml:space="preserve"> in the series</w:t>
      </w:r>
      <w:r w:rsidRPr="008575C8">
        <w:rPr>
          <w:bCs/>
        </w:rPr>
        <w:t>.</w:t>
      </w:r>
      <w:r w:rsidRPr="008575C8">
        <w:t xml:space="preserve"> </w:t>
      </w:r>
      <w:r w:rsidRPr="008575C8">
        <w:rPr>
          <w:rFonts w:eastAsia="Verdana"/>
        </w:rPr>
        <w:t xml:space="preserve">The first DPL supported the legislative approval of important reforms in public financial management and social protection with an emphasis on coverage, such as broadening the tax base and increasing the number of social protection beneficiaries. The </w:t>
      </w:r>
      <w:r w:rsidR="00573F0D">
        <w:rPr>
          <w:rFonts w:eastAsia="Verdana"/>
        </w:rPr>
        <w:t>second DPL supported</w:t>
      </w:r>
      <w:r w:rsidRPr="008575C8">
        <w:rPr>
          <w:rFonts w:eastAsia="Verdana"/>
        </w:rPr>
        <w:t xml:space="preserve"> the sustained implementation of these reforms and questions of efficiency, for example a focus on large taxpayers and improved targeting of social transfer programs.</w:t>
      </w:r>
      <w:r w:rsidRPr="008575C8">
        <w:t xml:space="preserve"> </w:t>
      </w:r>
      <w:r w:rsidR="00573F0D">
        <w:t>The third DPL completes these reforms and ensure the achievement of medium-term results indicators and program objectives</w:t>
      </w:r>
      <w:r w:rsidR="002D32C6">
        <w:rPr>
          <w:lang w:val="en-US"/>
        </w:rPr>
        <w:t>.</w:t>
      </w:r>
    </w:p>
    <w:p w:rsidR="002D32C6" w:rsidRPr="002D32C6" w:rsidRDefault="002D32C6" w:rsidP="00FC1AA5">
      <w:pPr>
        <w:pStyle w:val="ListParagraph"/>
        <w:overflowPunct w:val="0"/>
        <w:autoSpaceDE w:val="0"/>
        <w:autoSpaceDN w:val="0"/>
        <w:adjustRightInd w:val="0"/>
        <w:ind w:left="0"/>
        <w:jc w:val="both"/>
        <w:textAlignment w:val="baseline"/>
        <w:rPr>
          <w:lang w:val="en-US"/>
        </w:rPr>
      </w:pPr>
    </w:p>
    <w:p w:rsidR="00485A4A" w:rsidRPr="007F57F2" w:rsidRDefault="003A3D82" w:rsidP="00FC1AA5">
      <w:pPr>
        <w:pStyle w:val="ListParagraph"/>
        <w:overflowPunct w:val="0"/>
        <w:autoSpaceDE w:val="0"/>
        <w:autoSpaceDN w:val="0"/>
        <w:adjustRightInd w:val="0"/>
        <w:ind w:left="0"/>
        <w:jc w:val="both"/>
        <w:textAlignment w:val="baseline"/>
        <w:rPr>
          <w:rFonts w:eastAsia="Calibri"/>
        </w:rPr>
      </w:pPr>
      <w:r w:rsidRPr="0038497F">
        <w:rPr>
          <w:b/>
        </w:rPr>
        <w:t>The</w:t>
      </w:r>
      <w:r w:rsidR="0038497F" w:rsidRPr="0038497F">
        <w:rPr>
          <w:b/>
        </w:rPr>
        <w:t xml:space="preserve"> four components are the following:</w:t>
      </w:r>
      <w:r w:rsidRPr="0038497F">
        <w:t xml:space="preserve"> </w:t>
      </w:r>
      <w:r w:rsidR="002D32C6">
        <w:rPr>
          <w:lang w:val="en-US"/>
        </w:rPr>
        <w:t xml:space="preserve">The </w:t>
      </w:r>
      <w:r w:rsidRPr="0038497F">
        <w:t>first component supports the Government’s tax policy and</w:t>
      </w:r>
      <w:r w:rsidR="001B30D2">
        <w:t xml:space="preserve"> administration reforms and </w:t>
      </w:r>
      <w:r w:rsidRPr="0038497F">
        <w:t>improve</w:t>
      </w:r>
      <w:r w:rsidR="001B30D2">
        <w:t xml:space="preserve">ments in </w:t>
      </w:r>
      <w:r w:rsidRPr="0038497F">
        <w:t>international tax information sharing. Together, these reforms are expected to mobilize tax revenue and facilitate the international exchange</w:t>
      </w:r>
      <w:r w:rsidRPr="008575C8">
        <w:t xml:space="preserve"> of tax information. The second component supports the Government’s efforts to </w:t>
      </w:r>
      <w:r w:rsidR="001B30D2">
        <w:t>modernize public procurement practices and transparency</w:t>
      </w:r>
      <w:r w:rsidRPr="008575C8">
        <w:t xml:space="preserve">. This component is expected to provide the foundation for increased accountability and transparency in the public sector. The third component supports the Government’s efforts in </w:t>
      </w:r>
      <w:r w:rsidR="001B30D2">
        <w:t xml:space="preserve">increasing the efficiency of </w:t>
      </w:r>
      <w:r w:rsidRPr="008575C8">
        <w:t xml:space="preserve">debt management. This component will </w:t>
      </w:r>
      <w:r w:rsidR="00F47C23">
        <w:t xml:space="preserve">help to prepare a </w:t>
      </w:r>
      <w:r w:rsidRPr="007F57F2">
        <w:rPr>
          <w:rFonts w:eastAsia="Calibri"/>
        </w:rPr>
        <w:t>medium-term debt management strategy and the develop</w:t>
      </w:r>
      <w:r w:rsidR="00F47C23" w:rsidRPr="007F57F2">
        <w:rPr>
          <w:rFonts w:eastAsia="Calibri"/>
        </w:rPr>
        <w:t>ment of</w:t>
      </w:r>
      <w:r w:rsidRPr="007F57F2">
        <w:rPr>
          <w:rFonts w:eastAsia="Calibri"/>
        </w:rPr>
        <w:t xml:space="preserve"> the domestic debt market. The fourth component supports the </w:t>
      </w:r>
      <w:r w:rsidR="00F47C23" w:rsidRPr="007F57F2">
        <w:rPr>
          <w:rFonts w:eastAsia="Calibri"/>
        </w:rPr>
        <w:t xml:space="preserve">expansion </w:t>
      </w:r>
      <w:r w:rsidRPr="007F57F2">
        <w:rPr>
          <w:rFonts w:eastAsia="Calibri"/>
        </w:rPr>
        <w:t xml:space="preserve">and </w:t>
      </w:r>
      <w:r w:rsidR="001B30D2">
        <w:rPr>
          <w:rFonts w:eastAsia="Calibri"/>
        </w:rPr>
        <w:t>improvement in</w:t>
      </w:r>
      <w:r w:rsidRPr="007F57F2">
        <w:rPr>
          <w:rFonts w:eastAsia="Calibri"/>
        </w:rPr>
        <w:t xml:space="preserve"> </w:t>
      </w:r>
      <w:r w:rsidR="001B30D2">
        <w:rPr>
          <w:rFonts w:eastAsia="Calibri"/>
        </w:rPr>
        <w:t xml:space="preserve">targeting of </w:t>
      </w:r>
      <w:r w:rsidRPr="007F57F2">
        <w:rPr>
          <w:rFonts w:eastAsia="Calibri"/>
        </w:rPr>
        <w:t>social transfer programs</w:t>
      </w:r>
      <w:r w:rsidR="001B30D2">
        <w:rPr>
          <w:rFonts w:eastAsia="Calibri"/>
        </w:rPr>
        <w:t xml:space="preserve"> with a focus on the poorest families, the </w:t>
      </w:r>
      <w:r w:rsidR="001B30D2">
        <w:rPr>
          <w:rFonts w:eastAsia="Calibri"/>
        </w:rPr>
        <w:lastRenderedPageBreak/>
        <w:t>elderly, school-age children and more recently on people with disabilities</w:t>
      </w:r>
      <w:r w:rsidR="008575C8" w:rsidRPr="007F57F2">
        <w:rPr>
          <w:rFonts w:eastAsia="Calibri"/>
        </w:rPr>
        <w:t xml:space="preserve">, with programs like the </w:t>
      </w:r>
      <w:r w:rsidR="008575C8" w:rsidRPr="007F57F2">
        <w:rPr>
          <w:rFonts w:eastAsia="Calibri"/>
          <w:i/>
        </w:rPr>
        <w:t xml:space="preserve">Red de </w:t>
      </w:r>
      <w:proofErr w:type="spellStart"/>
      <w:r w:rsidR="008575C8" w:rsidRPr="007F57F2">
        <w:rPr>
          <w:rFonts w:eastAsia="Calibri"/>
          <w:i/>
        </w:rPr>
        <w:t>Oportunidades</w:t>
      </w:r>
      <w:proofErr w:type="spellEnd"/>
      <w:r w:rsidR="008575C8" w:rsidRPr="007F57F2">
        <w:rPr>
          <w:rFonts w:eastAsia="Calibri"/>
        </w:rPr>
        <w:t xml:space="preserve"> program, the </w:t>
      </w:r>
      <w:r w:rsidR="008575C8" w:rsidRPr="007F57F2">
        <w:rPr>
          <w:rFonts w:eastAsia="Calibri"/>
          <w:i/>
        </w:rPr>
        <w:t xml:space="preserve">100 </w:t>
      </w:r>
      <w:r w:rsidR="00DD3DDE" w:rsidRPr="007F57F2">
        <w:rPr>
          <w:rFonts w:eastAsia="Calibri"/>
          <w:i/>
        </w:rPr>
        <w:t>a</w:t>
      </w:r>
      <w:r w:rsidR="008575C8" w:rsidRPr="007F57F2">
        <w:rPr>
          <w:rFonts w:eastAsia="Calibri"/>
          <w:i/>
        </w:rPr>
        <w:t xml:space="preserve"> los 70</w:t>
      </w:r>
      <w:r w:rsidR="008575C8" w:rsidRPr="007F57F2">
        <w:rPr>
          <w:rFonts w:eastAsia="Calibri"/>
        </w:rPr>
        <w:t xml:space="preserve"> program, the </w:t>
      </w:r>
      <w:proofErr w:type="spellStart"/>
      <w:r w:rsidR="008575C8" w:rsidRPr="007F57F2">
        <w:rPr>
          <w:rFonts w:eastAsia="Calibri"/>
          <w:i/>
        </w:rPr>
        <w:t>Beca</w:t>
      </w:r>
      <w:proofErr w:type="spellEnd"/>
      <w:r w:rsidR="008575C8" w:rsidRPr="007F57F2">
        <w:rPr>
          <w:rFonts w:eastAsia="Calibri"/>
          <w:i/>
        </w:rPr>
        <w:t xml:space="preserve"> Universal</w:t>
      </w:r>
      <w:r w:rsidR="001B30D2">
        <w:rPr>
          <w:rFonts w:eastAsia="Calibri"/>
        </w:rPr>
        <w:t xml:space="preserve"> program and more recently the </w:t>
      </w:r>
      <w:r w:rsidR="001B30D2" w:rsidRPr="001B30D2">
        <w:rPr>
          <w:rFonts w:eastAsia="Calibri"/>
          <w:i/>
        </w:rPr>
        <w:t>Angel Guardian</w:t>
      </w:r>
      <w:r w:rsidR="001B30D2">
        <w:rPr>
          <w:rFonts w:eastAsia="Calibri"/>
        </w:rPr>
        <w:t xml:space="preserve"> program.</w:t>
      </w:r>
    </w:p>
    <w:p w:rsidR="00483A63" w:rsidRPr="00FC1AA5" w:rsidRDefault="00483A63" w:rsidP="00FC1AA5">
      <w:pPr>
        <w:pStyle w:val="ListParagraph"/>
        <w:overflowPunct w:val="0"/>
        <w:autoSpaceDE w:val="0"/>
        <w:autoSpaceDN w:val="0"/>
        <w:adjustRightInd w:val="0"/>
        <w:ind w:left="0"/>
        <w:jc w:val="both"/>
        <w:textAlignment w:val="baseline"/>
        <w:rPr>
          <w:lang w:val="en-US"/>
        </w:rPr>
      </w:pPr>
    </w:p>
    <w:p w:rsidR="00AA5A30" w:rsidRDefault="00AA5A30" w:rsidP="00FC1AA5">
      <w:pPr>
        <w:numPr>
          <w:ilvl w:val="0"/>
          <w:numId w:val="24"/>
        </w:numPr>
        <w:jc w:val="both"/>
        <w:rPr>
          <w:b/>
        </w:rPr>
      </w:pPr>
      <w:r>
        <w:rPr>
          <w:b/>
        </w:rPr>
        <w:t>Poverty and Social Impacts and Environment Aspects</w:t>
      </w:r>
    </w:p>
    <w:p w:rsidR="00AA5A30" w:rsidRPr="002E0D66" w:rsidRDefault="00AA5A30" w:rsidP="00FC1AA5">
      <w:pPr>
        <w:pStyle w:val="CM4"/>
        <w:ind w:left="720"/>
        <w:jc w:val="both"/>
        <w:rPr>
          <w:b/>
          <w:iCs/>
          <w:sz w:val="22"/>
          <w:szCs w:val="22"/>
        </w:rPr>
      </w:pPr>
    </w:p>
    <w:p w:rsidR="00430E10" w:rsidRPr="002D186B" w:rsidRDefault="00AA5A30" w:rsidP="00FC1AA5">
      <w:pPr>
        <w:pStyle w:val="CM4"/>
        <w:jc w:val="both"/>
        <w:rPr>
          <w:b/>
          <w:iCs/>
          <w:color w:val="000000"/>
        </w:rPr>
      </w:pPr>
      <w:r w:rsidRPr="002D186B">
        <w:rPr>
          <w:b/>
          <w:iCs/>
          <w:color w:val="000000"/>
        </w:rPr>
        <w:t xml:space="preserve">Poverty and Social Impacts </w:t>
      </w:r>
    </w:p>
    <w:p w:rsidR="00430E10" w:rsidRPr="00430E10" w:rsidRDefault="00430E10" w:rsidP="00FC1AA5">
      <w:pPr>
        <w:jc w:val="both"/>
      </w:pPr>
    </w:p>
    <w:p w:rsidR="00485A4A" w:rsidRPr="008575C8" w:rsidRDefault="00485A4A" w:rsidP="00FC1AA5">
      <w:pPr>
        <w:pStyle w:val="ListParagraph"/>
        <w:overflowPunct w:val="0"/>
        <w:autoSpaceDE w:val="0"/>
        <w:autoSpaceDN w:val="0"/>
        <w:adjustRightInd w:val="0"/>
        <w:ind w:left="0"/>
        <w:jc w:val="both"/>
        <w:textAlignment w:val="baseline"/>
      </w:pPr>
      <w:r w:rsidRPr="00563A77">
        <w:rPr>
          <w:b/>
          <w:bCs/>
        </w:rPr>
        <w:t xml:space="preserve">The Government actions supported in this </w:t>
      </w:r>
      <w:r w:rsidR="009D669B" w:rsidRPr="00563A77">
        <w:rPr>
          <w:b/>
          <w:bCs/>
        </w:rPr>
        <w:t>DPL</w:t>
      </w:r>
      <w:r w:rsidRPr="00563A77">
        <w:rPr>
          <w:b/>
          <w:bCs/>
        </w:rPr>
        <w:t xml:space="preserve"> are expected to have a positive poverty and social impact.</w:t>
      </w:r>
      <w:r w:rsidRPr="008575C8">
        <w:t xml:space="preserve"> There are reasons to expect a positive or neutral impact of each of the supported reforms, as explained below. </w:t>
      </w:r>
    </w:p>
    <w:p w:rsidR="00485A4A" w:rsidRPr="008575C8" w:rsidRDefault="00485A4A" w:rsidP="00FC1AA5">
      <w:pPr>
        <w:pStyle w:val="ListParagraph"/>
        <w:ind w:left="0"/>
        <w:jc w:val="both"/>
      </w:pPr>
    </w:p>
    <w:p w:rsidR="00597BC3" w:rsidRPr="00597BC3" w:rsidRDefault="00597BC3" w:rsidP="00FC1AA5">
      <w:pPr>
        <w:pStyle w:val="ListParagraph"/>
        <w:overflowPunct w:val="0"/>
        <w:autoSpaceDE w:val="0"/>
        <w:autoSpaceDN w:val="0"/>
        <w:adjustRightInd w:val="0"/>
        <w:ind w:left="0"/>
        <w:jc w:val="both"/>
        <w:textAlignment w:val="baseline"/>
        <w:rPr>
          <w:lang w:val="en-US"/>
        </w:rPr>
      </w:pPr>
      <w:r w:rsidRPr="00773CD0">
        <w:rPr>
          <w:b/>
          <w:bCs/>
        </w:rPr>
        <w:t xml:space="preserve">The </w:t>
      </w:r>
      <w:r>
        <w:rPr>
          <w:b/>
          <w:bCs/>
        </w:rPr>
        <w:t xml:space="preserve">supported </w:t>
      </w:r>
      <w:r w:rsidRPr="00773CD0">
        <w:rPr>
          <w:b/>
          <w:bCs/>
        </w:rPr>
        <w:t xml:space="preserve">tax reform </w:t>
      </w:r>
      <w:r>
        <w:rPr>
          <w:b/>
          <w:bCs/>
        </w:rPr>
        <w:t>is</w:t>
      </w:r>
      <w:r w:rsidRPr="00773CD0">
        <w:rPr>
          <w:b/>
          <w:bCs/>
        </w:rPr>
        <w:t xml:space="preserve"> expected to have an indirect positive effect on </w:t>
      </w:r>
      <w:r>
        <w:rPr>
          <w:b/>
          <w:bCs/>
        </w:rPr>
        <w:t>Panamanians at the low end of the income distribution</w:t>
      </w:r>
      <w:r>
        <w:rPr>
          <w:b/>
          <w:bCs/>
          <w:lang w:val="en-US"/>
        </w:rPr>
        <w:t xml:space="preserve"> as more space is created for social spending.</w:t>
      </w:r>
      <w:r>
        <w:t xml:space="preserve"> Increased tax compliance for large corporations or increased transparency through international tax information sharing could generate fiscal space for increased social spending. </w:t>
      </w:r>
      <w:r>
        <w:rPr>
          <w:lang w:val="en-US"/>
        </w:rPr>
        <w:t>The Government has increased social spending with the introduction of a new social protection program for persons with severe disabilities.</w:t>
      </w:r>
    </w:p>
    <w:p w:rsidR="0022573E" w:rsidRDefault="0022573E" w:rsidP="00FC1AA5">
      <w:pPr>
        <w:pStyle w:val="ListParagraph"/>
        <w:overflowPunct w:val="0"/>
        <w:autoSpaceDE w:val="0"/>
        <w:autoSpaceDN w:val="0"/>
        <w:adjustRightInd w:val="0"/>
        <w:ind w:left="0"/>
        <w:jc w:val="both"/>
        <w:textAlignment w:val="baseline"/>
      </w:pPr>
    </w:p>
    <w:p w:rsidR="0022573E" w:rsidRPr="00675A15" w:rsidRDefault="0022573E" w:rsidP="00FC1AA5">
      <w:pPr>
        <w:pStyle w:val="ListParagraph"/>
        <w:overflowPunct w:val="0"/>
        <w:autoSpaceDE w:val="0"/>
        <w:autoSpaceDN w:val="0"/>
        <w:adjustRightInd w:val="0"/>
        <w:ind w:left="0"/>
        <w:jc w:val="both"/>
        <w:textAlignment w:val="baseline"/>
      </w:pPr>
      <w:r w:rsidRPr="00773CD0">
        <w:rPr>
          <w:b/>
          <w:bCs/>
        </w:rPr>
        <w:t>The tax information sharing component of the DPL as well as the procurement</w:t>
      </w:r>
      <w:r>
        <w:rPr>
          <w:b/>
          <w:bCs/>
        </w:rPr>
        <w:t xml:space="preserve"> and debt management</w:t>
      </w:r>
      <w:r w:rsidRPr="00773CD0">
        <w:rPr>
          <w:b/>
          <w:bCs/>
        </w:rPr>
        <w:t xml:space="preserve"> component</w:t>
      </w:r>
      <w:r>
        <w:rPr>
          <w:b/>
          <w:bCs/>
        </w:rPr>
        <w:t>s</w:t>
      </w:r>
      <w:r w:rsidRPr="00773CD0">
        <w:rPr>
          <w:b/>
          <w:bCs/>
        </w:rPr>
        <w:t xml:space="preserve"> are not expected to </w:t>
      </w:r>
      <w:r>
        <w:rPr>
          <w:b/>
          <w:bCs/>
        </w:rPr>
        <w:t xml:space="preserve">directly </w:t>
      </w:r>
      <w:r w:rsidRPr="00773CD0">
        <w:rPr>
          <w:b/>
          <w:bCs/>
        </w:rPr>
        <w:t xml:space="preserve">impact poverty or </w:t>
      </w:r>
      <w:r>
        <w:rPr>
          <w:b/>
          <w:bCs/>
        </w:rPr>
        <w:t xml:space="preserve">the </w:t>
      </w:r>
      <w:r w:rsidRPr="00773CD0">
        <w:rPr>
          <w:b/>
          <w:bCs/>
        </w:rPr>
        <w:t>distribution of incomes.</w:t>
      </w:r>
      <w:r>
        <w:rPr>
          <w:b/>
          <w:bCs/>
        </w:rPr>
        <w:t xml:space="preserve"> </w:t>
      </w:r>
      <w:r>
        <w:t>However, i</w:t>
      </w:r>
      <w:r w:rsidRPr="004E14B7">
        <w:t xml:space="preserve">ndirect effects could occur, </w:t>
      </w:r>
      <w:r>
        <w:t xml:space="preserve">for example </w:t>
      </w:r>
      <w:r w:rsidRPr="004E14B7">
        <w:t>based on</w:t>
      </w:r>
      <w:r>
        <w:t xml:space="preserve"> an overall increased transparency which could generate an improved business environment and hence more employment. Also, more efficient spending may free up resources for social development spending.</w:t>
      </w:r>
      <w:r w:rsidRPr="004E14B7">
        <w:t xml:space="preserve"> </w:t>
      </w:r>
    </w:p>
    <w:p w:rsidR="0022573E" w:rsidRDefault="0022573E" w:rsidP="00FC1AA5">
      <w:pPr>
        <w:pStyle w:val="ListParagraph"/>
        <w:overflowPunct w:val="0"/>
        <w:autoSpaceDE w:val="0"/>
        <w:autoSpaceDN w:val="0"/>
        <w:adjustRightInd w:val="0"/>
        <w:ind w:left="0"/>
        <w:jc w:val="both"/>
        <w:textAlignment w:val="baseline"/>
        <w:rPr>
          <w:bCs/>
        </w:rPr>
      </w:pPr>
    </w:p>
    <w:p w:rsidR="003D7E4D" w:rsidRDefault="003D7E4D" w:rsidP="00FC1AA5">
      <w:pPr>
        <w:pStyle w:val="ColorfulList-Accent11"/>
        <w:ind w:left="0"/>
        <w:jc w:val="both"/>
        <w:rPr>
          <w:b/>
          <w:bCs/>
        </w:rPr>
      </w:pPr>
      <w:r w:rsidRPr="00A94524">
        <w:rPr>
          <w:b/>
          <w:bCs/>
        </w:rPr>
        <w:t xml:space="preserve">Measures related to social protection programs are expected to generate significant, positive impacts for indigenous, rural and extremely poor Panamanians. </w:t>
      </w:r>
      <w:r>
        <w:t>T</w:t>
      </w:r>
      <w:r w:rsidRPr="00773CD0">
        <w:t xml:space="preserve">he development of tools to implement the recertification of the </w:t>
      </w:r>
      <w:r w:rsidRPr="00A94524">
        <w:rPr>
          <w:i/>
          <w:iCs/>
        </w:rPr>
        <w:t>100 a los 70</w:t>
      </w:r>
      <w:r>
        <w:rPr>
          <w:i/>
          <w:iCs/>
        </w:rPr>
        <w:t xml:space="preserve"> </w:t>
      </w:r>
      <w:r w:rsidRPr="00773CD0">
        <w:t>program is</w:t>
      </w:r>
      <w:r>
        <w:t xml:space="preserve"> important in order for the program to have a positive distributional impact. A universal, untargeted program </w:t>
      </w:r>
      <w:r w:rsidRPr="00A94524">
        <w:t>is</w:t>
      </w:r>
      <w:r>
        <w:t xml:space="preserve"> regressive, since poorer people tend to have lower life expectancies. For instance, people over 70 make up 3.5 percent of the lowest </w:t>
      </w:r>
      <w:proofErr w:type="spellStart"/>
      <w:r>
        <w:t>decile</w:t>
      </w:r>
      <w:proofErr w:type="spellEnd"/>
      <w:r>
        <w:t xml:space="preserve">, but 8.7 percent of the top </w:t>
      </w:r>
      <w:proofErr w:type="spellStart"/>
      <w:r>
        <w:t>decile</w:t>
      </w:r>
      <w:proofErr w:type="spellEnd"/>
      <w:r>
        <w:t xml:space="preserve">. Focusing the program according to economic need greatly improves its progressive nature. The untargeted program has a small impact on national poverty rates but halves the poverty rate among those 70 and older, and almost eradicates extreme poverty. Increasing the benefit by 20 percent will decrease even further the poverty rates among the elderly indigenous (by almost 7 percentage points) although it has a very limited impact on other groups and overall poverty (around one percentage point). However, increasing the monetary benefit makes the need to recertify and improve targeting even more important. </w:t>
      </w:r>
    </w:p>
    <w:p w:rsidR="00485A4A" w:rsidRPr="007F57F2" w:rsidRDefault="00485A4A" w:rsidP="00FC1AA5">
      <w:pPr>
        <w:pStyle w:val="CM4"/>
        <w:jc w:val="both"/>
        <w:rPr>
          <w:b/>
          <w:iCs/>
          <w:color w:val="000000"/>
          <w:sz w:val="22"/>
          <w:szCs w:val="22"/>
        </w:rPr>
      </w:pPr>
    </w:p>
    <w:p w:rsidR="00AA5A30" w:rsidRPr="002D186B" w:rsidRDefault="00AA5A30" w:rsidP="00FC1AA5">
      <w:pPr>
        <w:pStyle w:val="CM4"/>
        <w:jc w:val="both"/>
        <w:rPr>
          <w:b/>
          <w:iCs/>
          <w:color w:val="000000"/>
        </w:rPr>
      </w:pPr>
      <w:r w:rsidRPr="002D186B">
        <w:rPr>
          <w:b/>
          <w:iCs/>
          <w:color w:val="000000"/>
        </w:rPr>
        <w:t xml:space="preserve">Environment Aspects </w:t>
      </w:r>
    </w:p>
    <w:p w:rsidR="00430E10" w:rsidRPr="00430E10" w:rsidRDefault="00430E10" w:rsidP="00FC1AA5">
      <w:pPr>
        <w:jc w:val="both"/>
      </w:pPr>
    </w:p>
    <w:p w:rsidR="00485A4A" w:rsidRPr="008575C8" w:rsidRDefault="00485A4A" w:rsidP="00FC1AA5">
      <w:pPr>
        <w:pStyle w:val="ListParagraph"/>
        <w:overflowPunct w:val="0"/>
        <w:autoSpaceDE w:val="0"/>
        <w:autoSpaceDN w:val="0"/>
        <w:adjustRightInd w:val="0"/>
        <w:ind w:left="0"/>
        <w:jc w:val="both"/>
        <w:textAlignment w:val="baseline"/>
      </w:pPr>
      <w:r w:rsidRPr="00563A77">
        <w:rPr>
          <w:b/>
          <w:bCs/>
        </w:rPr>
        <w:t>The measures supported under the proposed DPL are not likely to have significant effects on the environment, forests or other natural resources</w:t>
      </w:r>
      <w:r w:rsidRPr="00563A77">
        <w:rPr>
          <w:b/>
        </w:rPr>
        <w:t xml:space="preserve">. </w:t>
      </w:r>
      <w:r w:rsidRPr="008575C8">
        <w:t>Policy actions in the areas of tax administration, tax information sharing, public procurement, debt management and social policy are not likely to have either positive or negative environmental impacts.</w:t>
      </w:r>
    </w:p>
    <w:p w:rsidR="002D32C6" w:rsidRDefault="002D32C6" w:rsidP="003723D9">
      <w:pPr>
        <w:rPr>
          <w:b/>
        </w:rPr>
      </w:pPr>
    </w:p>
    <w:p w:rsidR="00A126FA" w:rsidRPr="00B14B1C" w:rsidRDefault="00A126FA" w:rsidP="00A126FA">
      <w:pPr>
        <w:numPr>
          <w:ilvl w:val="0"/>
          <w:numId w:val="24"/>
        </w:numPr>
        <w:rPr>
          <w:b/>
        </w:rPr>
      </w:pPr>
      <w:r w:rsidRPr="00B14B1C">
        <w:rPr>
          <w:b/>
        </w:rPr>
        <w:lastRenderedPageBreak/>
        <w:t>Tentative financing</w:t>
      </w:r>
    </w:p>
    <w:p w:rsidR="00F34B6F" w:rsidRDefault="00F34B6F" w:rsidP="0059349F">
      <w:pPr>
        <w:ind w:firstLine="720"/>
      </w:pPr>
    </w:p>
    <w:tbl>
      <w:tblPr>
        <w:tblW w:w="0" w:type="auto"/>
        <w:tblLook w:val="0000" w:firstRow="0" w:lastRow="0" w:firstColumn="0" w:lastColumn="0" w:noHBand="0" w:noVBand="0"/>
      </w:tblPr>
      <w:tblGrid>
        <w:gridCol w:w="5886"/>
        <w:gridCol w:w="1556"/>
      </w:tblGrid>
      <w:tr w:rsidR="00A126FA" w:rsidTr="00DD3DDE">
        <w:trPr>
          <w:trHeight w:val="277"/>
        </w:trPr>
        <w:tc>
          <w:tcPr>
            <w:tcW w:w="5886" w:type="dxa"/>
          </w:tcPr>
          <w:p w:rsidR="00A126FA" w:rsidRDefault="00A126FA" w:rsidP="00A126FA">
            <w:r>
              <w:t>Source:</w:t>
            </w:r>
            <w:bookmarkStart w:id="12" w:name="FINANCINGTAB_PID"/>
            <w:bookmarkEnd w:id="12"/>
          </w:p>
        </w:tc>
        <w:tc>
          <w:tcPr>
            <w:tcW w:w="1556" w:type="dxa"/>
          </w:tcPr>
          <w:p w:rsidR="00A126FA" w:rsidRDefault="00A126FA" w:rsidP="00A126FA">
            <w:pPr>
              <w:tabs>
                <w:tab w:val="decimal" w:pos="252"/>
              </w:tabs>
              <w:jc w:val="center"/>
            </w:pPr>
            <w:r>
              <w:t>($m.)</w:t>
            </w:r>
          </w:p>
        </w:tc>
      </w:tr>
      <w:tr w:rsidR="000020AD" w:rsidTr="00DD3DDE">
        <w:trPr>
          <w:trHeight w:val="277"/>
        </w:trPr>
        <w:tc>
          <w:tcPr>
            <w:tcW w:w="5886" w:type="dxa"/>
          </w:tcPr>
          <w:p w:rsidR="000020AD" w:rsidRDefault="000020AD" w:rsidP="00A126FA">
            <w:pPr>
              <w:tabs>
                <w:tab w:val="right" w:pos="7200"/>
              </w:tabs>
            </w:pPr>
            <w:r>
              <w:t>Borrower</w:t>
            </w:r>
          </w:p>
        </w:tc>
        <w:tc>
          <w:tcPr>
            <w:tcW w:w="1556" w:type="dxa"/>
          </w:tcPr>
          <w:p w:rsidR="000020AD" w:rsidRDefault="000020AD" w:rsidP="00A126FA">
            <w:pPr>
              <w:tabs>
                <w:tab w:val="decimal" w:pos="252"/>
              </w:tabs>
              <w:jc w:val="center"/>
            </w:pPr>
            <w:r>
              <w:t>0</w:t>
            </w:r>
          </w:p>
        </w:tc>
      </w:tr>
      <w:tr w:rsidR="000020AD" w:rsidTr="00DD3DDE">
        <w:trPr>
          <w:trHeight w:val="277"/>
        </w:trPr>
        <w:tc>
          <w:tcPr>
            <w:tcW w:w="5886" w:type="dxa"/>
          </w:tcPr>
          <w:p w:rsidR="000020AD" w:rsidRDefault="000020AD" w:rsidP="00A126FA">
            <w:pPr>
              <w:tabs>
                <w:tab w:val="right" w:pos="7200"/>
              </w:tabs>
            </w:pPr>
            <w:r>
              <w:t>International Bank for Reconstruction and Development</w:t>
            </w:r>
          </w:p>
        </w:tc>
        <w:tc>
          <w:tcPr>
            <w:tcW w:w="1556" w:type="dxa"/>
          </w:tcPr>
          <w:p w:rsidR="000020AD" w:rsidRDefault="008A1C0D" w:rsidP="00A126FA">
            <w:pPr>
              <w:tabs>
                <w:tab w:val="decimal" w:pos="252"/>
              </w:tabs>
              <w:jc w:val="center"/>
            </w:pPr>
            <w:r>
              <w:t>2</w:t>
            </w:r>
            <w:r w:rsidR="008575C8">
              <w:t>0</w:t>
            </w:r>
            <w:r w:rsidR="000020AD">
              <w:t>0</w:t>
            </w:r>
          </w:p>
        </w:tc>
      </w:tr>
      <w:tr w:rsidR="00A126FA" w:rsidTr="00DD3DDE">
        <w:trPr>
          <w:trHeight w:val="277"/>
        </w:trPr>
        <w:tc>
          <w:tcPr>
            <w:tcW w:w="5886" w:type="dxa"/>
          </w:tcPr>
          <w:p w:rsidR="00A126FA" w:rsidRDefault="00A126FA" w:rsidP="00A126FA">
            <w:pPr>
              <w:tabs>
                <w:tab w:val="right" w:pos="7200"/>
              </w:tabs>
            </w:pPr>
            <w:r>
              <w:t>Borrower/Recipient</w:t>
            </w:r>
          </w:p>
        </w:tc>
        <w:tc>
          <w:tcPr>
            <w:tcW w:w="1556" w:type="dxa"/>
          </w:tcPr>
          <w:p w:rsidR="00A126FA" w:rsidRDefault="00A126FA" w:rsidP="00A126FA">
            <w:pPr>
              <w:tabs>
                <w:tab w:val="decimal" w:pos="252"/>
              </w:tabs>
              <w:jc w:val="center"/>
            </w:pPr>
          </w:p>
        </w:tc>
      </w:tr>
      <w:tr w:rsidR="00A126FA" w:rsidTr="00DD3DDE">
        <w:trPr>
          <w:trHeight w:val="555"/>
        </w:trPr>
        <w:tc>
          <w:tcPr>
            <w:tcW w:w="5886" w:type="dxa"/>
          </w:tcPr>
          <w:p w:rsidR="00A126FA" w:rsidRDefault="00A126FA" w:rsidP="00A126FA">
            <w:pPr>
              <w:tabs>
                <w:tab w:val="right" w:pos="7200"/>
              </w:tabs>
            </w:pPr>
            <w:r>
              <w:t>IBRD</w:t>
            </w:r>
          </w:p>
          <w:p w:rsidR="00071B65" w:rsidRDefault="00071B65" w:rsidP="00A126FA">
            <w:pPr>
              <w:tabs>
                <w:tab w:val="right" w:pos="7200"/>
              </w:tabs>
            </w:pPr>
            <w:r>
              <w:t>Others (</w:t>
            </w:r>
            <w:r w:rsidR="00FC1AA5">
              <w:t>specify</w:t>
            </w:r>
            <w:r>
              <w:t>)</w:t>
            </w:r>
          </w:p>
        </w:tc>
        <w:tc>
          <w:tcPr>
            <w:tcW w:w="1556" w:type="dxa"/>
          </w:tcPr>
          <w:p w:rsidR="00A126FA" w:rsidRDefault="00A126FA" w:rsidP="00A126FA">
            <w:pPr>
              <w:tabs>
                <w:tab w:val="decimal" w:pos="252"/>
              </w:tabs>
              <w:jc w:val="center"/>
            </w:pPr>
          </w:p>
        </w:tc>
      </w:tr>
      <w:tr w:rsidR="00A126FA" w:rsidTr="00DD3DDE">
        <w:trPr>
          <w:trHeight w:val="264"/>
        </w:trPr>
        <w:tc>
          <w:tcPr>
            <w:tcW w:w="5886" w:type="dxa"/>
          </w:tcPr>
          <w:p w:rsidR="00A126FA" w:rsidRDefault="00A126FA" w:rsidP="0000143A">
            <w:pPr>
              <w:tabs>
                <w:tab w:val="right" w:pos="7200"/>
              </w:tabs>
            </w:pPr>
            <w:r>
              <w:t>Total</w:t>
            </w:r>
          </w:p>
        </w:tc>
        <w:tc>
          <w:tcPr>
            <w:tcW w:w="1556" w:type="dxa"/>
          </w:tcPr>
          <w:p w:rsidR="00A126FA" w:rsidRDefault="008A1C0D" w:rsidP="00A126FA">
            <w:pPr>
              <w:tabs>
                <w:tab w:val="decimal" w:pos="252"/>
              </w:tabs>
              <w:jc w:val="center"/>
            </w:pPr>
            <w:r>
              <w:t>2</w:t>
            </w:r>
            <w:r w:rsidR="008575C8">
              <w:t>00</w:t>
            </w:r>
          </w:p>
        </w:tc>
      </w:tr>
    </w:tbl>
    <w:p w:rsidR="00F34B6F" w:rsidRDefault="00F34B6F" w:rsidP="00F34B6F">
      <w:pPr>
        <w:ind w:left="720"/>
        <w:rPr>
          <w:b/>
        </w:rPr>
      </w:pPr>
    </w:p>
    <w:p w:rsidR="00A126FA" w:rsidRDefault="00A126FA" w:rsidP="00A126FA">
      <w:pPr>
        <w:numPr>
          <w:ilvl w:val="0"/>
          <w:numId w:val="24"/>
        </w:numPr>
        <w:rPr>
          <w:b/>
        </w:rPr>
      </w:pPr>
      <w:r w:rsidRPr="00B14B1C">
        <w:rPr>
          <w:b/>
        </w:rPr>
        <w:t>Contact point</w:t>
      </w:r>
    </w:p>
    <w:p w:rsidR="00FC1AA5" w:rsidRPr="003E3D6A" w:rsidRDefault="00FC1AA5" w:rsidP="002D186B">
      <w:pPr>
        <w:ind w:left="720"/>
        <w:rPr>
          <w:b/>
        </w:rPr>
      </w:pPr>
    </w:p>
    <w:p w:rsidR="008F0B46" w:rsidRDefault="008F0B46" w:rsidP="008F0B46">
      <w:pPr>
        <w:pStyle w:val="ListParagraph"/>
        <w:ind w:left="0"/>
        <w:rPr>
          <w:b/>
          <w:lang w:val="en-US"/>
        </w:rPr>
      </w:pPr>
      <w:r w:rsidRPr="00225112">
        <w:rPr>
          <w:b/>
        </w:rPr>
        <w:t>World Bank</w:t>
      </w:r>
      <w:r w:rsidR="00F34B6F">
        <w:rPr>
          <w:b/>
        </w:rPr>
        <w:t xml:space="preserve"> </w:t>
      </w:r>
    </w:p>
    <w:p w:rsidR="00FC1AA5" w:rsidRPr="002D186B" w:rsidRDefault="00FC1AA5" w:rsidP="008F0B46">
      <w:pPr>
        <w:pStyle w:val="ListParagraph"/>
        <w:ind w:left="0"/>
        <w:rPr>
          <w:lang w:val="en-US"/>
        </w:rPr>
      </w:pPr>
    </w:p>
    <w:p w:rsidR="000020AD" w:rsidRPr="002D32C6" w:rsidRDefault="000020AD" w:rsidP="008F0B46">
      <w:pPr>
        <w:rPr>
          <w:lang w:val="de-DE"/>
        </w:rPr>
      </w:pPr>
      <w:bookmarkStart w:id="13" w:name="ContactInfo"/>
      <w:r w:rsidRPr="002D32C6">
        <w:rPr>
          <w:lang w:val="de-DE"/>
        </w:rPr>
        <w:t xml:space="preserve">Contact: </w:t>
      </w:r>
      <w:r w:rsidR="002D32C6" w:rsidRPr="002D32C6">
        <w:rPr>
          <w:lang w:val="de-DE"/>
        </w:rPr>
        <w:t>Friederike (</w:t>
      </w:r>
      <w:r w:rsidR="008575C8" w:rsidRPr="002D32C6">
        <w:rPr>
          <w:lang w:val="de-DE"/>
        </w:rPr>
        <w:t>Fritzi</w:t>
      </w:r>
      <w:r w:rsidR="002D32C6" w:rsidRPr="002D32C6">
        <w:rPr>
          <w:lang w:val="de-DE"/>
        </w:rPr>
        <w:t>) Koehler-G</w:t>
      </w:r>
      <w:r w:rsidR="008575C8" w:rsidRPr="002D32C6">
        <w:rPr>
          <w:lang w:val="de-DE"/>
        </w:rPr>
        <w:t>eib</w:t>
      </w:r>
    </w:p>
    <w:p w:rsidR="000020AD" w:rsidRDefault="000020AD" w:rsidP="008F0B46">
      <w:r>
        <w:t xml:space="preserve">Title: </w:t>
      </w:r>
      <w:r w:rsidR="00F441A7">
        <w:t xml:space="preserve">Senior </w:t>
      </w:r>
      <w:r w:rsidR="006718FC">
        <w:t xml:space="preserve">Country </w:t>
      </w:r>
      <w:r>
        <w:t>Economist</w:t>
      </w:r>
    </w:p>
    <w:p w:rsidR="000020AD" w:rsidRDefault="008575C8" w:rsidP="008F0B46">
      <w:r>
        <w:t>Tel: (202) 4</w:t>
      </w:r>
      <w:r w:rsidR="00483A63">
        <w:t>58</w:t>
      </w:r>
      <w:r>
        <w:t>-1716</w:t>
      </w:r>
    </w:p>
    <w:p w:rsidR="000020AD" w:rsidRDefault="008575C8" w:rsidP="008F0B46">
      <w:r>
        <w:t>Fax: (202) 614-1716</w:t>
      </w:r>
    </w:p>
    <w:p w:rsidR="008F0B46" w:rsidRDefault="000020AD" w:rsidP="008F0B46">
      <w:pPr>
        <w:rPr>
          <w:rStyle w:val="Hyperlink"/>
        </w:rPr>
      </w:pPr>
      <w:r>
        <w:t xml:space="preserve">Email: </w:t>
      </w:r>
      <w:hyperlink r:id="rId9" w:history="1">
        <w:r w:rsidR="00483A63" w:rsidRPr="00DE0412">
          <w:rPr>
            <w:rStyle w:val="Hyperlink"/>
          </w:rPr>
          <w:t>fkoehler@worldbank.org</w:t>
        </w:r>
      </w:hyperlink>
      <w:bookmarkEnd w:id="13"/>
    </w:p>
    <w:p w:rsidR="00F441A7" w:rsidRDefault="00F441A7" w:rsidP="008F0B46"/>
    <w:p w:rsidR="00483A63" w:rsidRDefault="00483A63" w:rsidP="00483A63">
      <w:r>
        <w:t xml:space="preserve">Contact: </w:t>
      </w:r>
      <w:proofErr w:type="spellStart"/>
      <w:r w:rsidR="003D7E4D">
        <w:t>Rong</w:t>
      </w:r>
      <w:proofErr w:type="spellEnd"/>
      <w:r w:rsidR="003D7E4D">
        <w:t xml:space="preserve"> Qian</w:t>
      </w:r>
    </w:p>
    <w:p w:rsidR="00483A63" w:rsidRDefault="00483A63" w:rsidP="00483A63">
      <w:r>
        <w:t xml:space="preserve">Title: </w:t>
      </w:r>
      <w:r w:rsidR="003D7E4D">
        <w:t>Country Economist</w:t>
      </w:r>
    </w:p>
    <w:p w:rsidR="00483A63" w:rsidRDefault="00483A63" w:rsidP="00483A63">
      <w:r>
        <w:t>Tel: (202) 473-</w:t>
      </w:r>
      <w:r w:rsidR="003D7E4D">
        <w:t>1758</w:t>
      </w:r>
    </w:p>
    <w:p w:rsidR="00483A63" w:rsidRDefault="00483A63" w:rsidP="00483A63">
      <w:r>
        <w:t xml:space="preserve">Fax: (202) </w:t>
      </w:r>
      <w:r w:rsidR="003D7E4D">
        <w:t>522</w:t>
      </w:r>
      <w:r>
        <w:t>-</w:t>
      </w:r>
      <w:r w:rsidR="003D7E4D">
        <w:t>3134</w:t>
      </w:r>
    </w:p>
    <w:p w:rsidR="00483A63" w:rsidRDefault="00483A63" w:rsidP="008F0B46">
      <w:r>
        <w:t xml:space="preserve">Email: </w:t>
      </w:r>
      <w:hyperlink r:id="rId10" w:history="1">
        <w:r w:rsidR="00B64D76" w:rsidRPr="00D35F51">
          <w:rPr>
            <w:rStyle w:val="Hyperlink"/>
          </w:rPr>
          <w:t>rqian@worldbank.org</w:t>
        </w:r>
      </w:hyperlink>
    </w:p>
    <w:p w:rsidR="00483A63" w:rsidRDefault="00483A63" w:rsidP="008F0B46"/>
    <w:p w:rsidR="008F0B46" w:rsidRDefault="008F0B46" w:rsidP="008F0B46">
      <w:pPr>
        <w:rPr>
          <w:b/>
        </w:rPr>
      </w:pPr>
      <w:r w:rsidRPr="00225112">
        <w:rPr>
          <w:b/>
        </w:rPr>
        <w:t>Borrower</w:t>
      </w:r>
    </w:p>
    <w:p w:rsidR="00FC1AA5" w:rsidRPr="00225112" w:rsidRDefault="00FC1AA5" w:rsidP="008F0B46">
      <w:pPr>
        <w:rPr>
          <w:b/>
        </w:rPr>
      </w:pPr>
    </w:p>
    <w:p w:rsidR="008575C8" w:rsidRDefault="008575C8" w:rsidP="008575C8">
      <w:r>
        <w:t>Ministry of Finance</w:t>
      </w:r>
    </w:p>
    <w:p w:rsidR="008575C8" w:rsidRPr="00016FD3" w:rsidRDefault="008575C8" w:rsidP="008575C8">
      <w:pPr>
        <w:rPr>
          <w:lang w:val="es-ES"/>
        </w:rPr>
      </w:pPr>
      <w:proofErr w:type="spellStart"/>
      <w:r w:rsidRPr="00016FD3">
        <w:rPr>
          <w:lang w:val="es-ES"/>
        </w:rPr>
        <w:t>Via</w:t>
      </w:r>
      <w:proofErr w:type="spellEnd"/>
      <w:r w:rsidRPr="00016FD3">
        <w:rPr>
          <w:lang w:val="es-ES"/>
        </w:rPr>
        <w:t xml:space="preserve"> España y Calle 52, Edificio </w:t>
      </w:r>
      <w:proofErr w:type="spellStart"/>
      <w:r w:rsidRPr="00016FD3">
        <w:rPr>
          <w:lang w:val="es-ES"/>
        </w:rPr>
        <w:t>Ogawa</w:t>
      </w:r>
      <w:proofErr w:type="spellEnd"/>
    </w:p>
    <w:p w:rsidR="008575C8" w:rsidRPr="00DD3DDE" w:rsidRDefault="008575C8" w:rsidP="008575C8">
      <w:pPr>
        <w:rPr>
          <w:lang w:val="es-MX"/>
        </w:rPr>
      </w:pPr>
      <w:r w:rsidRPr="00DD3DDE">
        <w:rPr>
          <w:lang w:val="es-MX"/>
        </w:rPr>
        <w:t>4to Piso</w:t>
      </w:r>
    </w:p>
    <w:p w:rsidR="008575C8" w:rsidRPr="00DD3DDE" w:rsidRDefault="008575C8" w:rsidP="008575C8">
      <w:pPr>
        <w:rPr>
          <w:lang w:val="es-MX"/>
        </w:rPr>
      </w:pPr>
      <w:proofErr w:type="spellStart"/>
      <w:r w:rsidRPr="00DD3DDE">
        <w:rPr>
          <w:lang w:val="es-MX"/>
        </w:rPr>
        <w:t>Panama</w:t>
      </w:r>
      <w:proofErr w:type="spellEnd"/>
    </w:p>
    <w:p w:rsidR="008575C8" w:rsidRPr="00DD3DDE" w:rsidRDefault="008575C8" w:rsidP="008575C8">
      <w:pPr>
        <w:rPr>
          <w:lang w:val="es-MX"/>
        </w:rPr>
      </w:pPr>
      <w:r w:rsidRPr="00DD3DDE">
        <w:rPr>
          <w:lang w:val="es-MX"/>
        </w:rPr>
        <w:t>Tel: (507) 507-7202</w:t>
      </w:r>
      <w:r w:rsidRPr="00DD3DDE">
        <w:rPr>
          <w:lang w:val="es-MX"/>
        </w:rPr>
        <w:tab/>
        <w:t>Fax: (507) 507-7200</w:t>
      </w:r>
    </w:p>
    <w:p w:rsidR="008F0B46" w:rsidRPr="00DD3DDE" w:rsidRDefault="008575C8" w:rsidP="008575C8">
      <w:pPr>
        <w:rPr>
          <w:lang w:val="es-MX"/>
        </w:rPr>
      </w:pPr>
      <w:r w:rsidRPr="00DD3DDE">
        <w:rPr>
          <w:lang w:val="es-MX"/>
        </w:rPr>
        <w:t>amendez@mef.gob.pa; crpmp@bloomberg.net</w:t>
      </w:r>
      <w:r w:rsidR="008F0B46" w:rsidRPr="00DD3DDE">
        <w:rPr>
          <w:lang w:val="es-MX"/>
        </w:rPr>
        <w:tab/>
      </w:r>
    </w:p>
    <w:p w:rsidR="0059349F" w:rsidRPr="00DD3DDE" w:rsidRDefault="0059349F" w:rsidP="00A126FA">
      <w:pPr>
        <w:rPr>
          <w:lang w:val="es-MX"/>
        </w:rPr>
      </w:pPr>
    </w:p>
    <w:p w:rsidR="0059349F" w:rsidRDefault="0059349F" w:rsidP="0059349F">
      <w:pPr>
        <w:numPr>
          <w:ilvl w:val="0"/>
          <w:numId w:val="24"/>
        </w:numPr>
        <w:rPr>
          <w:b/>
        </w:rPr>
      </w:pPr>
      <w:r w:rsidRPr="0059349F">
        <w:rPr>
          <w:b/>
        </w:rPr>
        <w:t>For more information contact</w:t>
      </w:r>
    </w:p>
    <w:p w:rsidR="00FC1AA5" w:rsidRPr="0059349F" w:rsidRDefault="00FC1AA5" w:rsidP="002D186B">
      <w:pPr>
        <w:ind w:left="720"/>
        <w:rPr>
          <w:b/>
        </w:rPr>
      </w:pPr>
    </w:p>
    <w:p w:rsidR="0059349F" w:rsidRPr="00C82216" w:rsidRDefault="0059349F" w:rsidP="008F0B46">
      <w:r w:rsidRPr="00C82216">
        <w:t xml:space="preserve">The </w:t>
      </w:r>
      <w:proofErr w:type="spellStart"/>
      <w:r w:rsidRPr="00C82216">
        <w:t>InfoShop</w:t>
      </w:r>
      <w:proofErr w:type="spellEnd"/>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59349F" w:rsidP="008F0B46">
      <w:r w:rsidRPr="00C82216">
        <w:t>Telephone: (202) 458-</w:t>
      </w:r>
      <w:r w:rsidR="00C070C8">
        <w:t>4500</w:t>
      </w:r>
    </w:p>
    <w:p w:rsidR="0059349F" w:rsidRPr="00C82216" w:rsidRDefault="0059349F" w:rsidP="008F0B46">
      <w:r w:rsidRPr="00C82216">
        <w:t>Fax: (202) 522-1500</w:t>
      </w:r>
    </w:p>
    <w:p w:rsidR="0059349F" w:rsidRPr="00A30F2B" w:rsidRDefault="0059349F" w:rsidP="00A126FA">
      <w:r w:rsidRPr="00C82216">
        <w:t>Web: http://www.worldbank.org/infoshop</w:t>
      </w:r>
    </w:p>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DC" w:rsidRDefault="009612DC">
      <w:r>
        <w:separator/>
      </w:r>
    </w:p>
  </w:endnote>
  <w:endnote w:type="continuationSeparator" w:id="0">
    <w:p w:rsidR="009612DC" w:rsidRDefault="0096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DC" w:rsidRDefault="009612DC">
      <w:r>
        <w:separator/>
      </w:r>
    </w:p>
  </w:footnote>
  <w:footnote w:type="continuationSeparator" w:id="0">
    <w:p w:rsidR="009612DC" w:rsidRDefault="00961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0E3ED5"/>
    <w:multiLevelType w:val="hybridMultilevel"/>
    <w:tmpl w:val="295E6F70"/>
    <w:lvl w:ilvl="0" w:tplc="8EEEC58A">
      <w:start w:val="1"/>
      <w:numFmt w:val="decimal"/>
      <w:lvlText w:val="%1."/>
      <w:lvlJc w:val="left"/>
      <w:pPr>
        <w:ind w:left="0" w:firstLine="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9209C1"/>
    <w:multiLevelType w:val="hybridMultilevel"/>
    <w:tmpl w:val="26E0E8AE"/>
    <w:lvl w:ilvl="0" w:tplc="B6B4C00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F15AAA"/>
    <w:multiLevelType w:val="hybridMultilevel"/>
    <w:tmpl w:val="0744FDD8"/>
    <w:lvl w:ilvl="0" w:tplc="2356EAEA">
      <w:start w:val="8"/>
      <w:numFmt w:val="decimal"/>
      <w:lvlText w:val="%1."/>
      <w:lvlJc w:val="left"/>
      <w:pPr>
        <w:ind w:left="0" w:firstLine="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351D3"/>
    <w:multiLevelType w:val="hybridMultilevel"/>
    <w:tmpl w:val="814A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6">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1C2266"/>
    <w:multiLevelType w:val="hybridMultilevel"/>
    <w:tmpl w:val="351E3A96"/>
    <w:lvl w:ilvl="0" w:tplc="DE6A12EE">
      <w:start w:val="75"/>
      <w:numFmt w:val="decimal"/>
      <w:lvlText w:val="%1."/>
      <w:lvlJc w:val="left"/>
      <w:pPr>
        <w:ind w:left="0" w:firstLine="0"/>
      </w:pPr>
      <w:rPr>
        <w:rFonts w:ascii="Times New Roman" w:hAnsi="Times New Roman" w:cs="Times New Roman" w:hint="default"/>
        <w:b w:val="0"/>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28"/>
  </w:num>
  <w:num w:numId="4">
    <w:abstractNumId w:val="1"/>
  </w:num>
  <w:num w:numId="5">
    <w:abstractNumId w:val="15"/>
  </w:num>
  <w:num w:numId="6">
    <w:abstractNumId w:val="0"/>
  </w:num>
  <w:num w:numId="7">
    <w:abstractNumId w:val="21"/>
  </w:num>
  <w:num w:numId="8">
    <w:abstractNumId w:val="7"/>
  </w:num>
  <w:num w:numId="9">
    <w:abstractNumId w:val="17"/>
  </w:num>
  <w:num w:numId="10">
    <w:abstractNumId w:val="2"/>
  </w:num>
  <w:num w:numId="11">
    <w:abstractNumId w:val="11"/>
  </w:num>
  <w:num w:numId="12">
    <w:abstractNumId w:val="16"/>
  </w:num>
  <w:num w:numId="13">
    <w:abstractNumId w:val="10"/>
  </w:num>
  <w:num w:numId="14">
    <w:abstractNumId w:val="25"/>
  </w:num>
  <w:num w:numId="15">
    <w:abstractNumId w:val="30"/>
  </w:num>
  <w:num w:numId="16">
    <w:abstractNumId w:val="8"/>
  </w:num>
  <w:num w:numId="17">
    <w:abstractNumId w:val="12"/>
  </w:num>
  <w:num w:numId="18">
    <w:abstractNumId w:val="27"/>
  </w:num>
  <w:num w:numId="19">
    <w:abstractNumId w:val="18"/>
  </w:num>
  <w:num w:numId="20">
    <w:abstractNumId w:val="3"/>
  </w:num>
  <w:num w:numId="21">
    <w:abstractNumId w:val="24"/>
  </w:num>
  <w:num w:numId="22">
    <w:abstractNumId w:val="19"/>
  </w:num>
  <w:num w:numId="23">
    <w:abstractNumId w:val="5"/>
  </w:num>
  <w:num w:numId="24">
    <w:abstractNumId w:val="26"/>
  </w:num>
  <w:num w:numId="25">
    <w:abstractNumId w:val="20"/>
  </w:num>
  <w:num w:numId="26">
    <w:abstractNumId w:val="4"/>
  </w:num>
  <w:num w:numId="27">
    <w:abstractNumId w:val="29"/>
  </w:num>
  <w:num w:numId="28">
    <w:abstractNumId w:val="23"/>
  </w:num>
  <w:num w:numId="29">
    <w:abstractNumId w:val="9"/>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143A"/>
    <w:rsid w:val="000020AD"/>
    <w:rsid w:val="00007917"/>
    <w:rsid w:val="00016FD3"/>
    <w:rsid w:val="00025FE8"/>
    <w:rsid w:val="00030402"/>
    <w:rsid w:val="0006201F"/>
    <w:rsid w:val="00065660"/>
    <w:rsid w:val="00071B65"/>
    <w:rsid w:val="000736A2"/>
    <w:rsid w:val="00086692"/>
    <w:rsid w:val="000D2D1B"/>
    <w:rsid w:val="000D5AD3"/>
    <w:rsid w:val="000E2F0E"/>
    <w:rsid w:val="00101C42"/>
    <w:rsid w:val="001527BE"/>
    <w:rsid w:val="00155829"/>
    <w:rsid w:val="00171E5D"/>
    <w:rsid w:val="00182A0D"/>
    <w:rsid w:val="001936A8"/>
    <w:rsid w:val="001A4469"/>
    <w:rsid w:val="001B30D2"/>
    <w:rsid w:val="001C34D9"/>
    <w:rsid w:val="001C7353"/>
    <w:rsid w:val="001D607D"/>
    <w:rsid w:val="001E638A"/>
    <w:rsid w:val="001F4DD3"/>
    <w:rsid w:val="001F5AB5"/>
    <w:rsid w:val="001F6C07"/>
    <w:rsid w:val="0022573E"/>
    <w:rsid w:val="002428DC"/>
    <w:rsid w:val="00247F6D"/>
    <w:rsid w:val="00271AA6"/>
    <w:rsid w:val="00283684"/>
    <w:rsid w:val="002909BE"/>
    <w:rsid w:val="002D186B"/>
    <w:rsid w:val="002D32C6"/>
    <w:rsid w:val="002E0D66"/>
    <w:rsid w:val="002E2699"/>
    <w:rsid w:val="003103C4"/>
    <w:rsid w:val="00335C23"/>
    <w:rsid w:val="00337CE7"/>
    <w:rsid w:val="003642DA"/>
    <w:rsid w:val="003723D9"/>
    <w:rsid w:val="00373BDA"/>
    <w:rsid w:val="00383CBB"/>
    <w:rsid w:val="00383D2A"/>
    <w:rsid w:val="0038497F"/>
    <w:rsid w:val="003A3D82"/>
    <w:rsid w:val="003B3DB4"/>
    <w:rsid w:val="003D7E4D"/>
    <w:rsid w:val="003E1C79"/>
    <w:rsid w:val="003E3E86"/>
    <w:rsid w:val="003E7361"/>
    <w:rsid w:val="003F02CA"/>
    <w:rsid w:val="003F7D15"/>
    <w:rsid w:val="00430E10"/>
    <w:rsid w:val="00483838"/>
    <w:rsid w:val="00483A63"/>
    <w:rsid w:val="00485A4A"/>
    <w:rsid w:val="0048606E"/>
    <w:rsid w:val="004C6525"/>
    <w:rsid w:val="004D6196"/>
    <w:rsid w:val="004E0B73"/>
    <w:rsid w:val="004F0F64"/>
    <w:rsid w:val="005035BF"/>
    <w:rsid w:val="005112CD"/>
    <w:rsid w:val="005250B1"/>
    <w:rsid w:val="00563A77"/>
    <w:rsid w:val="00573F0D"/>
    <w:rsid w:val="00577870"/>
    <w:rsid w:val="00586A53"/>
    <w:rsid w:val="0059349F"/>
    <w:rsid w:val="00597BC3"/>
    <w:rsid w:val="006061FA"/>
    <w:rsid w:val="00613BF6"/>
    <w:rsid w:val="006718FC"/>
    <w:rsid w:val="00671A99"/>
    <w:rsid w:val="00674243"/>
    <w:rsid w:val="0067697E"/>
    <w:rsid w:val="00676D87"/>
    <w:rsid w:val="00690F9A"/>
    <w:rsid w:val="006C5D18"/>
    <w:rsid w:val="006F3FC6"/>
    <w:rsid w:val="00701460"/>
    <w:rsid w:val="007150F6"/>
    <w:rsid w:val="00731BC4"/>
    <w:rsid w:val="007349D3"/>
    <w:rsid w:val="00781F0A"/>
    <w:rsid w:val="007863D3"/>
    <w:rsid w:val="00787B7C"/>
    <w:rsid w:val="00793D7D"/>
    <w:rsid w:val="00796F58"/>
    <w:rsid w:val="007A03D9"/>
    <w:rsid w:val="007B7DB3"/>
    <w:rsid w:val="007F373C"/>
    <w:rsid w:val="007F57F2"/>
    <w:rsid w:val="008451FE"/>
    <w:rsid w:val="00850AAF"/>
    <w:rsid w:val="008575C8"/>
    <w:rsid w:val="008753BB"/>
    <w:rsid w:val="008A1C0D"/>
    <w:rsid w:val="008A218D"/>
    <w:rsid w:val="008A2F72"/>
    <w:rsid w:val="008C4314"/>
    <w:rsid w:val="008F0B46"/>
    <w:rsid w:val="00914E33"/>
    <w:rsid w:val="00915DAE"/>
    <w:rsid w:val="00921E31"/>
    <w:rsid w:val="00923AC9"/>
    <w:rsid w:val="009471B0"/>
    <w:rsid w:val="00952178"/>
    <w:rsid w:val="00955E10"/>
    <w:rsid w:val="009612DC"/>
    <w:rsid w:val="00963593"/>
    <w:rsid w:val="00996EEB"/>
    <w:rsid w:val="009B1BF2"/>
    <w:rsid w:val="009B3E4C"/>
    <w:rsid w:val="009B6060"/>
    <w:rsid w:val="009C1402"/>
    <w:rsid w:val="009D669B"/>
    <w:rsid w:val="009E2027"/>
    <w:rsid w:val="009E6BE9"/>
    <w:rsid w:val="009F5E4D"/>
    <w:rsid w:val="00A05BC0"/>
    <w:rsid w:val="00A126FA"/>
    <w:rsid w:val="00A25C56"/>
    <w:rsid w:val="00AA5A30"/>
    <w:rsid w:val="00AB0F65"/>
    <w:rsid w:val="00B107A6"/>
    <w:rsid w:val="00B17C5F"/>
    <w:rsid w:val="00B434C3"/>
    <w:rsid w:val="00B624FB"/>
    <w:rsid w:val="00B64D76"/>
    <w:rsid w:val="00B677C4"/>
    <w:rsid w:val="00B956D8"/>
    <w:rsid w:val="00BA5CF2"/>
    <w:rsid w:val="00C070C8"/>
    <w:rsid w:val="00C62890"/>
    <w:rsid w:val="00C63E52"/>
    <w:rsid w:val="00C67E15"/>
    <w:rsid w:val="00C96CBF"/>
    <w:rsid w:val="00CE261D"/>
    <w:rsid w:val="00D048B3"/>
    <w:rsid w:val="00D2365D"/>
    <w:rsid w:val="00D46679"/>
    <w:rsid w:val="00D545E4"/>
    <w:rsid w:val="00D632D5"/>
    <w:rsid w:val="00DB03DC"/>
    <w:rsid w:val="00DD3DDE"/>
    <w:rsid w:val="00DE739D"/>
    <w:rsid w:val="00E278E0"/>
    <w:rsid w:val="00E528E0"/>
    <w:rsid w:val="00E74295"/>
    <w:rsid w:val="00E954F3"/>
    <w:rsid w:val="00E97A83"/>
    <w:rsid w:val="00EB71DC"/>
    <w:rsid w:val="00EC042A"/>
    <w:rsid w:val="00EC6083"/>
    <w:rsid w:val="00EC6A3D"/>
    <w:rsid w:val="00EE24CF"/>
    <w:rsid w:val="00EF1B41"/>
    <w:rsid w:val="00F035E1"/>
    <w:rsid w:val="00F0622C"/>
    <w:rsid w:val="00F34A55"/>
    <w:rsid w:val="00F34B6F"/>
    <w:rsid w:val="00F41703"/>
    <w:rsid w:val="00F441A7"/>
    <w:rsid w:val="00F47C23"/>
    <w:rsid w:val="00F7168A"/>
    <w:rsid w:val="00FC1AA5"/>
    <w:rsid w:val="00FF23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lang w:val="en-US" w:eastAsia="en-US"/>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uiPriority w:val="99"/>
    <w:rsid w:val="00731BC4"/>
    <w:rPr>
      <w:sz w:val="16"/>
      <w:szCs w:val="16"/>
    </w:rPr>
  </w:style>
  <w:style w:type="paragraph" w:styleId="CommentText">
    <w:name w:val="annotation text"/>
    <w:basedOn w:val="Normal"/>
    <w:link w:val="CommentTextChar"/>
    <w:uiPriority w:val="99"/>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uiPriority w:val="99"/>
    <w:rsid w:val="00731BC4"/>
    <w:rPr>
      <w:vertAlign w:val="superscript"/>
    </w:rPr>
  </w:style>
  <w:style w:type="paragraph" w:styleId="FootnoteText">
    <w:name w:val="footnote text"/>
    <w:aliases w:val="FOOTNOTES,fn,single space,footnote text"/>
    <w:basedOn w:val="Normal"/>
    <w:link w:val="FootnoteTextChar"/>
    <w:uiPriority w:val="99"/>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41703"/>
    <w:rPr>
      <w:color w:val="0000FF"/>
      <w:u w:val="single"/>
    </w:rPr>
  </w:style>
  <w:style w:type="character" w:customStyle="1" w:styleId="FootnoteTextChar">
    <w:name w:val="Footnote Text Char"/>
    <w:aliases w:val="FOOTNOTES Char,fn Char,single space Char,footnote text Char"/>
    <w:link w:val="FootnoteText"/>
    <w:uiPriority w:val="99"/>
    <w:rsid w:val="00F41703"/>
    <w:rPr>
      <w:lang w:val="en-US" w:eastAsia="en-US" w:bidi="ar-SA"/>
    </w:rPr>
  </w:style>
  <w:style w:type="character" w:styleId="FollowedHyperlink">
    <w:name w:val="FollowedHyperlink"/>
    <w:rsid w:val="001527BE"/>
    <w:rPr>
      <w:color w:val="800080"/>
      <w:u w:val="single"/>
    </w:rPr>
  </w:style>
  <w:style w:type="paragraph" w:styleId="ListParagraph">
    <w:name w:val="List Paragraph"/>
    <w:basedOn w:val="Normal"/>
    <w:link w:val="ListParagraphChar"/>
    <w:uiPriority w:val="99"/>
    <w:qFormat/>
    <w:rsid w:val="00FF23CF"/>
    <w:pPr>
      <w:ind w:left="720"/>
      <w:contextualSpacing/>
    </w:pPr>
    <w:rPr>
      <w:lang w:val="x-none" w:eastAsia="x-none"/>
    </w:rPr>
  </w:style>
  <w:style w:type="paragraph" w:customStyle="1" w:styleId="CM3">
    <w:name w:val="CM3"/>
    <w:basedOn w:val="Normal"/>
    <w:next w:val="Normal"/>
    <w:uiPriority w:val="99"/>
    <w:rsid w:val="00671A99"/>
    <w:pPr>
      <w:widowControl w:val="0"/>
      <w:autoSpaceDE w:val="0"/>
      <w:autoSpaceDN w:val="0"/>
      <w:adjustRightInd w:val="0"/>
    </w:pPr>
  </w:style>
  <w:style w:type="paragraph" w:customStyle="1" w:styleId="CM1">
    <w:name w:val="CM1"/>
    <w:basedOn w:val="Normal"/>
    <w:next w:val="Normal"/>
    <w:uiPriority w:val="99"/>
    <w:rsid w:val="00671A99"/>
    <w:pPr>
      <w:widowControl w:val="0"/>
      <w:autoSpaceDE w:val="0"/>
      <w:autoSpaceDN w:val="0"/>
      <w:adjustRightInd w:val="0"/>
      <w:spacing w:line="253" w:lineRule="atLeast"/>
    </w:pPr>
  </w:style>
  <w:style w:type="paragraph" w:customStyle="1" w:styleId="CM4">
    <w:name w:val="CM4"/>
    <w:basedOn w:val="Normal"/>
    <w:next w:val="Normal"/>
    <w:uiPriority w:val="99"/>
    <w:rsid w:val="00AA5A30"/>
    <w:pPr>
      <w:widowControl w:val="0"/>
      <w:autoSpaceDE w:val="0"/>
      <w:autoSpaceDN w:val="0"/>
      <w:adjustRightInd w:val="0"/>
    </w:pPr>
  </w:style>
  <w:style w:type="character" w:customStyle="1" w:styleId="CommentTextChar">
    <w:name w:val="Comment Text Char"/>
    <w:basedOn w:val="DefaultParagraphFont"/>
    <w:link w:val="CommentText"/>
    <w:uiPriority w:val="99"/>
    <w:rsid w:val="00485A4A"/>
  </w:style>
  <w:style w:type="character" w:customStyle="1" w:styleId="ListParagraphChar">
    <w:name w:val="List Paragraph Char"/>
    <w:link w:val="ListParagraph"/>
    <w:uiPriority w:val="99"/>
    <w:rsid w:val="00485A4A"/>
    <w:rPr>
      <w:sz w:val="24"/>
      <w:szCs w:val="24"/>
    </w:rPr>
  </w:style>
  <w:style w:type="paragraph" w:styleId="NormalWeb">
    <w:name w:val="Normal (Web)"/>
    <w:basedOn w:val="Normal"/>
    <w:rsid w:val="005112CD"/>
  </w:style>
  <w:style w:type="paragraph" w:styleId="Header">
    <w:name w:val="header"/>
    <w:basedOn w:val="Normal"/>
    <w:link w:val="HeaderChar"/>
    <w:rsid w:val="00F47C23"/>
    <w:pPr>
      <w:tabs>
        <w:tab w:val="center" w:pos="4680"/>
        <w:tab w:val="right" w:pos="9360"/>
      </w:tabs>
    </w:pPr>
    <w:rPr>
      <w:lang w:val="x-none" w:eastAsia="x-none"/>
    </w:rPr>
  </w:style>
  <w:style w:type="character" w:customStyle="1" w:styleId="HeaderChar">
    <w:name w:val="Header Char"/>
    <w:link w:val="Header"/>
    <w:rsid w:val="00F47C23"/>
    <w:rPr>
      <w:sz w:val="24"/>
      <w:szCs w:val="24"/>
    </w:rPr>
  </w:style>
  <w:style w:type="paragraph" w:styleId="Footer">
    <w:name w:val="footer"/>
    <w:basedOn w:val="Normal"/>
    <w:link w:val="FooterChar"/>
    <w:rsid w:val="00F47C23"/>
    <w:pPr>
      <w:tabs>
        <w:tab w:val="center" w:pos="4680"/>
        <w:tab w:val="right" w:pos="9360"/>
      </w:tabs>
    </w:pPr>
    <w:rPr>
      <w:lang w:val="x-none" w:eastAsia="x-none"/>
    </w:rPr>
  </w:style>
  <w:style w:type="character" w:customStyle="1" w:styleId="FooterChar">
    <w:name w:val="Footer Char"/>
    <w:link w:val="Footer"/>
    <w:rsid w:val="00F47C23"/>
    <w:rPr>
      <w:sz w:val="24"/>
      <w:szCs w:val="24"/>
    </w:rPr>
  </w:style>
  <w:style w:type="paragraph" w:customStyle="1" w:styleId="ColorfulList-Accent11">
    <w:name w:val="Colorful List - Accent 11"/>
    <w:basedOn w:val="Normal"/>
    <w:link w:val="ColorfulList-Accent1Char"/>
    <w:uiPriority w:val="34"/>
    <w:qFormat/>
    <w:rsid w:val="003D7E4D"/>
    <w:pPr>
      <w:overflowPunct w:val="0"/>
      <w:autoSpaceDE w:val="0"/>
      <w:autoSpaceDN w:val="0"/>
      <w:adjustRightInd w:val="0"/>
      <w:ind w:left="720"/>
      <w:contextualSpacing/>
      <w:textAlignment w:val="baseline"/>
    </w:pPr>
    <w:rPr>
      <w:szCs w:val="20"/>
      <w:lang w:val="x-none" w:eastAsia="x-none"/>
    </w:rPr>
  </w:style>
  <w:style w:type="character" w:customStyle="1" w:styleId="ColorfulList-Accent1Char">
    <w:name w:val="Colorful List - Accent 1 Char"/>
    <w:link w:val="ColorfulList-Accent11"/>
    <w:uiPriority w:val="34"/>
    <w:rsid w:val="003D7E4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lang w:val="en-US" w:eastAsia="en-US"/>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uiPriority w:val="99"/>
    <w:rsid w:val="00731BC4"/>
    <w:rPr>
      <w:sz w:val="16"/>
      <w:szCs w:val="16"/>
    </w:rPr>
  </w:style>
  <w:style w:type="paragraph" w:styleId="CommentText">
    <w:name w:val="annotation text"/>
    <w:basedOn w:val="Normal"/>
    <w:link w:val="CommentTextChar"/>
    <w:uiPriority w:val="99"/>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uiPriority w:val="99"/>
    <w:rsid w:val="00731BC4"/>
    <w:rPr>
      <w:vertAlign w:val="superscript"/>
    </w:rPr>
  </w:style>
  <w:style w:type="paragraph" w:styleId="FootnoteText">
    <w:name w:val="footnote text"/>
    <w:aliases w:val="FOOTNOTES,fn,single space,footnote text"/>
    <w:basedOn w:val="Normal"/>
    <w:link w:val="FootnoteTextChar"/>
    <w:uiPriority w:val="99"/>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41703"/>
    <w:rPr>
      <w:color w:val="0000FF"/>
      <w:u w:val="single"/>
    </w:rPr>
  </w:style>
  <w:style w:type="character" w:customStyle="1" w:styleId="FootnoteTextChar">
    <w:name w:val="Footnote Text Char"/>
    <w:aliases w:val="FOOTNOTES Char,fn Char,single space Char,footnote text Char"/>
    <w:link w:val="FootnoteText"/>
    <w:uiPriority w:val="99"/>
    <w:rsid w:val="00F41703"/>
    <w:rPr>
      <w:lang w:val="en-US" w:eastAsia="en-US" w:bidi="ar-SA"/>
    </w:rPr>
  </w:style>
  <w:style w:type="character" w:styleId="FollowedHyperlink">
    <w:name w:val="FollowedHyperlink"/>
    <w:rsid w:val="001527BE"/>
    <w:rPr>
      <w:color w:val="800080"/>
      <w:u w:val="single"/>
    </w:rPr>
  </w:style>
  <w:style w:type="paragraph" w:styleId="ListParagraph">
    <w:name w:val="List Paragraph"/>
    <w:basedOn w:val="Normal"/>
    <w:link w:val="ListParagraphChar"/>
    <w:uiPriority w:val="99"/>
    <w:qFormat/>
    <w:rsid w:val="00FF23CF"/>
    <w:pPr>
      <w:ind w:left="720"/>
      <w:contextualSpacing/>
    </w:pPr>
    <w:rPr>
      <w:lang w:val="x-none" w:eastAsia="x-none"/>
    </w:rPr>
  </w:style>
  <w:style w:type="paragraph" w:customStyle="1" w:styleId="CM3">
    <w:name w:val="CM3"/>
    <w:basedOn w:val="Normal"/>
    <w:next w:val="Normal"/>
    <w:uiPriority w:val="99"/>
    <w:rsid w:val="00671A99"/>
    <w:pPr>
      <w:widowControl w:val="0"/>
      <w:autoSpaceDE w:val="0"/>
      <w:autoSpaceDN w:val="0"/>
      <w:adjustRightInd w:val="0"/>
    </w:pPr>
  </w:style>
  <w:style w:type="paragraph" w:customStyle="1" w:styleId="CM1">
    <w:name w:val="CM1"/>
    <w:basedOn w:val="Normal"/>
    <w:next w:val="Normal"/>
    <w:uiPriority w:val="99"/>
    <w:rsid w:val="00671A99"/>
    <w:pPr>
      <w:widowControl w:val="0"/>
      <w:autoSpaceDE w:val="0"/>
      <w:autoSpaceDN w:val="0"/>
      <w:adjustRightInd w:val="0"/>
      <w:spacing w:line="253" w:lineRule="atLeast"/>
    </w:pPr>
  </w:style>
  <w:style w:type="paragraph" w:customStyle="1" w:styleId="CM4">
    <w:name w:val="CM4"/>
    <w:basedOn w:val="Normal"/>
    <w:next w:val="Normal"/>
    <w:uiPriority w:val="99"/>
    <w:rsid w:val="00AA5A30"/>
    <w:pPr>
      <w:widowControl w:val="0"/>
      <w:autoSpaceDE w:val="0"/>
      <w:autoSpaceDN w:val="0"/>
      <w:adjustRightInd w:val="0"/>
    </w:pPr>
  </w:style>
  <w:style w:type="character" w:customStyle="1" w:styleId="CommentTextChar">
    <w:name w:val="Comment Text Char"/>
    <w:basedOn w:val="DefaultParagraphFont"/>
    <w:link w:val="CommentText"/>
    <w:uiPriority w:val="99"/>
    <w:rsid w:val="00485A4A"/>
  </w:style>
  <w:style w:type="character" w:customStyle="1" w:styleId="ListParagraphChar">
    <w:name w:val="List Paragraph Char"/>
    <w:link w:val="ListParagraph"/>
    <w:uiPriority w:val="99"/>
    <w:rsid w:val="00485A4A"/>
    <w:rPr>
      <w:sz w:val="24"/>
      <w:szCs w:val="24"/>
    </w:rPr>
  </w:style>
  <w:style w:type="paragraph" w:styleId="NormalWeb">
    <w:name w:val="Normal (Web)"/>
    <w:basedOn w:val="Normal"/>
    <w:rsid w:val="005112CD"/>
  </w:style>
  <w:style w:type="paragraph" w:styleId="Header">
    <w:name w:val="header"/>
    <w:basedOn w:val="Normal"/>
    <w:link w:val="HeaderChar"/>
    <w:rsid w:val="00F47C23"/>
    <w:pPr>
      <w:tabs>
        <w:tab w:val="center" w:pos="4680"/>
        <w:tab w:val="right" w:pos="9360"/>
      </w:tabs>
    </w:pPr>
    <w:rPr>
      <w:lang w:val="x-none" w:eastAsia="x-none"/>
    </w:rPr>
  </w:style>
  <w:style w:type="character" w:customStyle="1" w:styleId="HeaderChar">
    <w:name w:val="Header Char"/>
    <w:link w:val="Header"/>
    <w:rsid w:val="00F47C23"/>
    <w:rPr>
      <w:sz w:val="24"/>
      <w:szCs w:val="24"/>
    </w:rPr>
  </w:style>
  <w:style w:type="paragraph" w:styleId="Footer">
    <w:name w:val="footer"/>
    <w:basedOn w:val="Normal"/>
    <w:link w:val="FooterChar"/>
    <w:rsid w:val="00F47C23"/>
    <w:pPr>
      <w:tabs>
        <w:tab w:val="center" w:pos="4680"/>
        <w:tab w:val="right" w:pos="9360"/>
      </w:tabs>
    </w:pPr>
    <w:rPr>
      <w:lang w:val="x-none" w:eastAsia="x-none"/>
    </w:rPr>
  </w:style>
  <w:style w:type="character" w:customStyle="1" w:styleId="FooterChar">
    <w:name w:val="Footer Char"/>
    <w:link w:val="Footer"/>
    <w:rsid w:val="00F47C23"/>
    <w:rPr>
      <w:sz w:val="24"/>
      <w:szCs w:val="24"/>
    </w:rPr>
  </w:style>
  <w:style w:type="paragraph" w:customStyle="1" w:styleId="ColorfulList-Accent11">
    <w:name w:val="Colorful List - Accent 11"/>
    <w:basedOn w:val="Normal"/>
    <w:link w:val="ColorfulList-Accent1Char"/>
    <w:uiPriority w:val="34"/>
    <w:qFormat/>
    <w:rsid w:val="003D7E4D"/>
    <w:pPr>
      <w:overflowPunct w:val="0"/>
      <w:autoSpaceDE w:val="0"/>
      <w:autoSpaceDN w:val="0"/>
      <w:adjustRightInd w:val="0"/>
      <w:ind w:left="720"/>
      <w:contextualSpacing/>
      <w:textAlignment w:val="baseline"/>
    </w:pPr>
    <w:rPr>
      <w:szCs w:val="20"/>
      <w:lang w:val="x-none" w:eastAsia="x-none"/>
    </w:rPr>
  </w:style>
  <w:style w:type="character" w:customStyle="1" w:styleId="ColorfulList-Accent1Char">
    <w:name w:val="Colorful List - Accent 1 Char"/>
    <w:link w:val="ColorfulList-Accent11"/>
    <w:uiPriority w:val="34"/>
    <w:rsid w:val="003D7E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6331">
      <w:bodyDiv w:val="1"/>
      <w:marLeft w:val="0"/>
      <w:marRight w:val="0"/>
      <w:marTop w:val="0"/>
      <w:marBottom w:val="0"/>
      <w:divBdr>
        <w:top w:val="none" w:sz="0" w:space="0" w:color="auto"/>
        <w:left w:val="none" w:sz="0" w:space="0" w:color="auto"/>
        <w:bottom w:val="none" w:sz="0" w:space="0" w:color="auto"/>
        <w:right w:val="none" w:sz="0" w:space="0" w:color="auto"/>
      </w:divBdr>
      <w:divsChild>
        <w:div w:id="325547990">
          <w:marLeft w:val="0"/>
          <w:marRight w:val="0"/>
          <w:marTop w:val="0"/>
          <w:marBottom w:val="0"/>
          <w:divBdr>
            <w:top w:val="none" w:sz="0" w:space="0" w:color="auto"/>
            <w:left w:val="none" w:sz="0" w:space="0" w:color="auto"/>
            <w:bottom w:val="none" w:sz="0" w:space="0" w:color="auto"/>
            <w:right w:val="none" w:sz="0" w:space="0" w:color="auto"/>
          </w:divBdr>
          <w:divsChild>
            <w:div w:id="1544487580">
              <w:marLeft w:val="0"/>
              <w:marRight w:val="0"/>
              <w:marTop w:val="300"/>
              <w:marBottom w:val="300"/>
              <w:divBdr>
                <w:top w:val="single" w:sz="6" w:space="0" w:color="D6D6D6"/>
                <w:left w:val="single" w:sz="6" w:space="15" w:color="D6D6D6"/>
                <w:bottom w:val="single" w:sz="6" w:space="15" w:color="D6D6D6"/>
                <w:right w:val="single" w:sz="6" w:space="15" w:color="D6D6D6"/>
              </w:divBdr>
              <w:divsChild>
                <w:div w:id="813639872">
                  <w:marLeft w:val="0"/>
                  <w:marRight w:val="0"/>
                  <w:marTop w:val="0"/>
                  <w:marBottom w:val="300"/>
                  <w:divBdr>
                    <w:top w:val="none" w:sz="0" w:space="0" w:color="auto"/>
                    <w:left w:val="none" w:sz="0" w:space="0" w:color="auto"/>
                    <w:bottom w:val="none" w:sz="0" w:space="0" w:color="auto"/>
                    <w:right w:val="none" w:sz="0" w:space="0" w:color="auto"/>
                  </w:divBdr>
                  <w:divsChild>
                    <w:div w:id="980957856">
                      <w:marLeft w:val="0"/>
                      <w:marRight w:val="0"/>
                      <w:marTop w:val="0"/>
                      <w:marBottom w:val="0"/>
                      <w:divBdr>
                        <w:top w:val="none" w:sz="0" w:space="0" w:color="auto"/>
                        <w:left w:val="none" w:sz="0" w:space="0" w:color="auto"/>
                        <w:bottom w:val="none" w:sz="0" w:space="0" w:color="auto"/>
                        <w:right w:val="none" w:sz="0" w:space="0" w:color="auto"/>
                      </w:divBdr>
                      <w:divsChild>
                        <w:div w:id="1822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871860">
      <w:bodyDiv w:val="1"/>
      <w:marLeft w:val="0"/>
      <w:marRight w:val="0"/>
      <w:marTop w:val="0"/>
      <w:marBottom w:val="0"/>
      <w:divBdr>
        <w:top w:val="none" w:sz="0" w:space="0" w:color="auto"/>
        <w:left w:val="none" w:sz="0" w:space="0" w:color="auto"/>
        <w:bottom w:val="none" w:sz="0" w:space="0" w:color="auto"/>
        <w:right w:val="none" w:sz="0" w:space="0" w:color="auto"/>
      </w:divBdr>
      <w:divsChild>
        <w:div w:id="386416478">
          <w:marLeft w:val="0"/>
          <w:marRight w:val="0"/>
          <w:marTop w:val="0"/>
          <w:marBottom w:val="0"/>
          <w:divBdr>
            <w:top w:val="none" w:sz="0" w:space="0" w:color="auto"/>
            <w:left w:val="none" w:sz="0" w:space="0" w:color="auto"/>
            <w:bottom w:val="none" w:sz="0" w:space="0" w:color="auto"/>
            <w:right w:val="none" w:sz="0" w:space="0" w:color="auto"/>
          </w:divBdr>
          <w:divsChild>
            <w:div w:id="999771499">
              <w:marLeft w:val="0"/>
              <w:marRight w:val="0"/>
              <w:marTop w:val="264"/>
              <w:marBottom w:val="264"/>
              <w:divBdr>
                <w:top w:val="single" w:sz="4" w:space="0" w:color="D6D6D6"/>
                <w:left w:val="single" w:sz="4" w:space="13" w:color="D6D6D6"/>
                <w:bottom w:val="single" w:sz="4" w:space="13" w:color="D6D6D6"/>
                <w:right w:val="single" w:sz="4" w:space="13" w:color="D6D6D6"/>
              </w:divBdr>
              <w:divsChild>
                <w:div w:id="1507285380">
                  <w:marLeft w:val="0"/>
                  <w:marRight w:val="0"/>
                  <w:marTop w:val="0"/>
                  <w:marBottom w:val="264"/>
                  <w:divBdr>
                    <w:top w:val="none" w:sz="0" w:space="0" w:color="auto"/>
                    <w:left w:val="none" w:sz="0" w:space="0" w:color="auto"/>
                    <w:bottom w:val="none" w:sz="0" w:space="0" w:color="auto"/>
                    <w:right w:val="none" w:sz="0" w:space="0" w:color="auto"/>
                  </w:divBdr>
                  <w:divsChild>
                    <w:div w:id="1751661778">
                      <w:marLeft w:val="0"/>
                      <w:marRight w:val="0"/>
                      <w:marTop w:val="0"/>
                      <w:marBottom w:val="0"/>
                      <w:divBdr>
                        <w:top w:val="none" w:sz="0" w:space="0" w:color="auto"/>
                        <w:left w:val="none" w:sz="0" w:space="0" w:color="auto"/>
                        <w:bottom w:val="none" w:sz="0" w:space="0" w:color="auto"/>
                        <w:right w:val="none" w:sz="0" w:space="0" w:color="auto"/>
                      </w:divBdr>
                      <w:divsChild>
                        <w:div w:id="5410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7152">
      <w:bodyDiv w:val="1"/>
      <w:marLeft w:val="0"/>
      <w:marRight w:val="0"/>
      <w:marTop w:val="0"/>
      <w:marBottom w:val="0"/>
      <w:divBdr>
        <w:top w:val="none" w:sz="0" w:space="0" w:color="auto"/>
        <w:left w:val="none" w:sz="0" w:space="0" w:color="auto"/>
        <w:bottom w:val="none" w:sz="0" w:space="0" w:color="auto"/>
        <w:right w:val="none" w:sz="0" w:space="0" w:color="auto"/>
      </w:divBdr>
      <w:divsChild>
        <w:div w:id="2001764229">
          <w:marLeft w:val="0"/>
          <w:marRight w:val="0"/>
          <w:marTop w:val="0"/>
          <w:marBottom w:val="0"/>
          <w:divBdr>
            <w:top w:val="none" w:sz="0" w:space="0" w:color="auto"/>
            <w:left w:val="none" w:sz="0" w:space="0" w:color="auto"/>
            <w:bottom w:val="none" w:sz="0" w:space="0" w:color="auto"/>
            <w:right w:val="none" w:sz="0" w:space="0" w:color="auto"/>
          </w:divBdr>
          <w:divsChild>
            <w:div w:id="274561159">
              <w:marLeft w:val="0"/>
              <w:marRight w:val="0"/>
              <w:marTop w:val="0"/>
              <w:marBottom w:val="0"/>
              <w:divBdr>
                <w:top w:val="none" w:sz="0" w:space="0" w:color="auto"/>
                <w:left w:val="none" w:sz="0" w:space="0" w:color="auto"/>
                <w:bottom w:val="none" w:sz="0" w:space="0" w:color="auto"/>
                <w:right w:val="none" w:sz="0" w:space="0" w:color="auto"/>
              </w:divBdr>
              <w:divsChild>
                <w:div w:id="1126776920">
                  <w:marLeft w:val="0"/>
                  <w:marRight w:val="0"/>
                  <w:marTop w:val="0"/>
                  <w:marBottom w:val="0"/>
                  <w:divBdr>
                    <w:top w:val="none" w:sz="0" w:space="0" w:color="auto"/>
                    <w:left w:val="none" w:sz="0" w:space="0" w:color="auto"/>
                    <w:bottom w:val="none" w:sz="0" w:space="0" w:color="auto"/>
                    <w:right w:val="none" w:sz="0" w:space="0" w:color="auto"/>
                  </w:divBdr>
                  <w:divsChild>
                    <w:div w:id="1211840347">
                      <w:marLeft w:val="0"/>
                      <w:marRight w:val="0"/>
                      <w:marTop w:val="0"/>
                      <w:marBottom w:val="0"/>
                      <w:divBdr>
                        <w:top w:val="none" w:sz="0" w:space="0" w:color="auto"/>
                        <w:left w:val="none" w:sz="0" w:space="0" w:color="auto"/>
                        <w:bottom w:val="none" w:sz="0" w:space="0" w:color="auto"/>
                        <w:right w:val="none" w:sz="0" w:space="0" w:color="auto"/>
                      </w:divBdr>
                      <w:divsChild>
                        <w:div w:id="1850634026">
                          <w:marLeft w:val="0"/>
                          <w:marRight w:val="0"/>
                          <w:marTop w:val="0"/>
                          <w:marBottom w:val="0"/>
                          <w:divBdr>
                            <w:top w:val="none" w:sz="0" w:space="0" w:color="auto"/>
                            <w:left w:val="none" w:sz="0" w:space="0" w:color="auto"/>
                            <w:bottom w:val="none" w:sz="0" w:space="0" w:color="auto"/>
                            <w:right w:val="none" w:sz="0" w:space="0" w:color="auto"/>
                          </w:divBdr>
                          <w:divsChild>
                            <w:div w:id="1609580765">
                              <w:marLeft w:val="0"/>
                              <w:marRight w:val="0"/>
                              <w:marTop w:val="0"/>
                              <w:marBottom w:val="0"/>
                              <w:divBdr>
                                <w:top w:val="none" w:sz="0" w:space="0" w:color="auto"/>
                                <w:left w:val="none" w:sz="0" w:space="0" w:color="auto"/>
                                <w:bottom w:val="none" w:sz="0" w:space="0" w:color="auto"/>
                                <w:right w:val="none" w:sz="0" w:space="0" w:color="auto"/>
                              </w:divBdr>
                              <w:divsChild>
                                <w:div w:id="64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402059">
      <w:bodyDiv w:val="1"/>
      <w:marLeft w:val="0"/>
      <w:marRight w:val="0"/>
      <w:marTop w:val="0"/>
      <w:marBottom w:val="0"/>
      <w:divBdr>
        <w:top w:val="none" w:sz="0" w:space="0" w:color="auto"/>
        <w:left w:val="none" w:sz="0" w:space="0" w:color="auto"/>
        <w:bottom w:val="none" w:sz="0" w:space="0" w:color="auto"/>
        <w:right w:val="none" w:sz="0" w:space="0" w:color="auto"/>
      </w:divBdr>
      <w:divsChild>
        <w:div w:id="1364869494">
          <w:marLeft w:val="0"/>
          <w:marRight w:val="0"/>
          <w:marTop w:val="0"/>
          <w:marBottom w:val="0"/>
          <w:divBdr>
            <w:top w:val="none" w:sz="0" w:space="0" w:color="auto"/>
            <w:left w:val="none" w:sz="0" w:space="0" w:color="auto"/>
            <w:bottom w:val="none" w:sz="0" w:space="0" w:color="auto"/>
            <w:right w:val="none" w:sz="0" w:space="0" w:color="auto"/>
          </w:divBdr>
          <w:divsChild>
            <w:div w:id="977691207">
              <w:marLeft w:val="0"/>
              <w:marRight w:val="0"/>
              <w:marTop w:val="0"/>
              <w:marBottom w:val="0"/>
              <w:divBdr>
                <w:top w:val="none" w:sz="0" w:space="0" w:color="auto"/>
                <w:left w:val="none" w:sz="0" w:space="0" w:color="auto"/>
                <w:bottom w:val="none" w:sz="0" w:space="0" w:color="auto"/>
                <w:right w:val="none" w:sz="0" w:space="0" w:color="auto"/>
              </w:divBdr>
              <w:divsChild>
                <w:div w:id="892077651">
                  <w:marLeft w:val="0"/>
                  <w:marRight w:val="0"/>
                  <w:marTop w:val="0"/>
                  <w:marBottom w:val="0"/>
                  <w:divBdr>
                    <w:top w:val="none" w:sz="0" w:space="0" w:color="auto"/>
                    <w:left w:val="none" w:sz="0" w:space="0" w:color="auto"/>
                    <w:bottom w:val="none" w:sz="0" w:space="0" w:color="auto"/>
                    <w:right w:val="none" w:sz="0" w:space="0" w:color="auto"/>
                  </w:divBdr>
                  <w:divsChild>
                    <w:div w:id="183596659">
                      <w:marLeft w:val="0"/>
                      <w:marRight w:val="0"/>
                      <w:marTop w:val="0"/>
                      <w:marBottom w:val="0"/>
                      <w:divBdr>
                        <w:top w:val="none" w:sz="0" w:space="0" w:color="auto"/>
                        <w:left w:val="none" w:sz="0" w:space="0" w:color="auto"/>
                        <w:bottom w:val="none" w:sz="0" w:space="0" w:color="auto"/>
                        <w:right w:val="none" w:sz="0" w:space="0" w:color="auto"/>
                      </w:divBdr>
                      <w:divsChild>
                        <w:div w:id="308556340">
                          <w:marLeft w:val="0"/>
                          <w:marRight w:val="0"/>
                          <w:marTop w:val="0"/>
                          <w:marBottom w:val="0"/>
                          <w:divBdr>
                            <w:top w:val="none" w:sz="0" w:space="0" w:color="auto"/>
                            <w:left w:val="none" w:sz="0" w:space="0" w:color="auto"/>
                            <w:bottom w:val="none" w:sz="0" w:space="0" w:color="auto"/>
                            <w:right w:val="none" w:sz="0" w:space="0" w:color="auto"/>
                          </w:divBdr>
                          <w:divsChild>
                            <w:div w:id="1233194576">
                              <w:marLeft w:val="0"/>
                              <w:marRight w:val="0"/>
                              <w:marTop w:val="0"/>
                              <w:marBottom w:val="0"/>
                              <w:divBdr>
                                <w:top w:val="none" w:sz="0" w:space="0" w:color="auto"/>
                                <w:left w:val="none" w:sz="0" w:space="0" w:color="auto"/>
                                <w:bottom w:val="none" w:sz="0" w:space="0" w:color="auto"/>
                                <w:right w:val="none" w:sz="0" w:space="0" w:color="auto"/>
                              </w:divBdr>
                              <w:divsChild>
                                <w:div w:id="4063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qian@worldbank.org" TargetMode="External"/><Relationship Id="rId4" Type="http://schemas.microsoft.com/office/2007/relationships/stylesWithEffects" Target="stylesWithEffects.xml"/><Relationship Id="rId9" Type="http://schemas.openxmlformats.org/officeDocument/2006/relationships/hyperlink" Target="mailto:fkoehler@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DD52-5A05-49AD-8750-7AEA3CBF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1389</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The World Bank Group</Company>
  <LinksUpToDate>false</LinksUpToDate>
  <CharactersWithSpaces>9654</CharactersWithSpaces>
  <SharedDoc>false</SharedDoc>
  <HLinks>
    <vt:vector size="12" baseType="variant">
      <vt:variant>
        <vt:i4>7602249</vt:i4>
      </vt:variant>
      <vt:variant>
        <vt:i4>3</vt:i4>
      </vt:variant>
      <vt:variant>
        <vt:i4>0</vt:i4>
      </vt:variant>
      <vt:variant>
        <vt:i4>5</vt:i4>
      </vt:variant>
      <vt:variant>
        <vt:lpwstr>mailto:rqian@worldbank.org</vt:lpwstr>
      </vt:variant>
      <vt:variant>
        <vt:lpwstr/>
      </vt:variant>
      <vt:variant>
        <vt:i4>7667806</vt:i4>
      </vt:variant>
      <vt:variant>
        <vt:i4>0</vt:i4>
      </vt:variant>
      <vt:variant>
        <vt:i4>0</vt:i4>
      </vt:variant>
      <vt:variant>
        <vt:i4>5</vt:i4>
      </vt:variant>
      <vt:variant>
        <vt:lpwstr>mailto:fkoehler@worldbank.org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Lina Janenaite</cp:lastModifiedBy>
  <cp:revision>3</cp:revision>
  <cp:lastPrinted>2014-04-22T20:25:00Z</cp:lastPrinted>
  <dcterms:created xsi:type="dcterms:W3CDTF">2013-10-11T20:06:00Z</dcterms:created>
  <dcterms:modified xsi:type="dcterms:W3CDTF">2014-04-22T20:25:00Z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
  </property>
  <property fmtid="{D5CDD505-2E9C-101B-9397-08002B2CF9AE}" pid="3" name="TEAMLEADER">
    <vt:lpwstr>Mr Denis Medvedev</vt:lpwstr>
  </property>
</Properties>
</file>