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31B7" w:rsidRDefault="008521C5" w:rsidP="008521C5">
      <w:pPr>
        <w:spacing w:line="259" w:lineRule="auto"/>
        <w:ind w:left="2235" w:firstLine="0"/>
      </w:pPr>
      <w:r>
        <w:rPr>
          <w:b/>
          <w:color w:val="800000"/>
          <w:sz w:val="28"/>
        </w:rPr>
        <w:t xml:space="preserve">Liquefied petroleum gas transport and distribution project </w:t>
      </w:r>
    </w:p>
    <w:p w:rsidR="009A31B7" w:rsidRDefault="008521C5" w:rsidP="008521C5">
      <w:pPr>
        <w:spacing w:line="312" w:lineRule="auto"/>
        <w:ind w:left="356" w:firstLine="0"/>
        <w:jc w:val="center"/>
      </w:pPr>
      <w:r>
        <w:rPr>
          <w:rFonts w:ascii="Arial" w:eastAsia="Arial" w:hAnsi="Arial" w:cs="Arial"/>
          <w:sz w:val="16"/>
          <w:u w:val="single" w:color="000000"/>
        </w:rPr>
        <w:t>Report No</w:t>
      </w:r>
      <w:proofErr w:type="gramStart"/>
      <w:r>
        <w:rPr>
          <w:rFonts w:ascii="Arial" w:eastAsia="Arial" w:hAnsi="Arial" w:cs="Arial"/>
          <w:sz w:val="16"/>
        </w:rPr>
        <w:t>: ;</w:t>
      </w:r>
      <w:proofErr w:type="gramEnd"/>
      <w:r>
        <w:rPr>
          <w:rFonts w:ascii="Arial" w:eastAsia="Arial" w:hAnsi="Arial" w:cs="Arial"/>
          <w:sz w:val="16"/>
        </w:rPr>
        <w:t xml:space="preserve"> </w:t>
      </w:r>
      <w:r>
        <w:rPr>
          <w:rFonts w:ascii="Arial" w:eastAsia="Arial" w:hAnsi="Arial" w:cs="Arial"/>
          <w:sz w:val="16"/>
          <w:u w:val="single" w:color="000000"/>
        </w:rPr>
        <w:t>Type</w:t>
      </w:r>
      <w:r>
        <w:rPr>
          <w:rFonts w:ascii="Arial" w:eastAsia="Arial" w:hAnsi="Arial" w:cs="Arial"/>
          <w:sz w:val="16"/>
        </w:rPr>
        <w:t xml:space="preserve">: Report/Evaluation Memorandum ; </w:t>
      </w:r>
      <w:r>
        <w:rPr>
          <w:rFonts w:ascii="Arial" w:eastAsia="Arial" w:hAnsi="Arial" w:cs="Arial"/>
          <w:sz w:val="16"/>
          <w:u w:val="single" w:color="000000"/>
        </w:rPr>
        <w:t>Country</w:t>
      </w:r>
      <w:r>
        <w:rPr>
          <w:rFonts w:ascii="Arial" w:eastAsia="Arial" w:hAnsi="Arial" w:cs="Arial"/>
          <w:sz w:val="16"/>
        </w:rPr>
        <w:t xml:space="preserve">: Bangladesh; </w:t>
      </w:r>
      <w:r>
        <w:rPr>
          <w:rFonts w:ascii="Arial" w:eastAsia="Arial" w:hAnsi="Arial" w:cs="Arial"/>
          <w:sz w:val="16"/>
          <w:u w:val="single" w:color="000000"/>
        </w:rPr>
        <w:t>Region</w:t>
      </w:r>
      <w:r>
        <w:rPr>
          <w:rFonts w:ascii="Arial" w:eastAsia="Arial" w:hAnsi="Arial" w:cs="Arial"/>
          <w:sz w:val="16"/>
        </w:rPr>
        <w:t xml:space="preserve">: South Asia; </w:t>
      </w:r>
      <w:r>
        <w:rPr>
          <w:rFonts w:ascii="Arial" w:eastAsia="Arial" w:hAnsi="Arial" w:cs="Arial"/>
          <w:sz w:val="16"/>
          <w:u w:val="single" w:color="000000"/>
        </w:rPr>
        <w:t>Sector</w:t>
      </w:r>
      <w:r>
        <w:rPr>
          <w:rFonts w:ascii="Arial" w:eastAsia="Arial" w:hAnsi="Arial" w:cs="Arial"/>
          <w:sz w:val="16"/>
        </w:rPr>
        <w:t xml:space="preserve">: Refining Storage &amp; Distribution; </w:t>
      </w:r>
      <w:r>
        <w:rPr>
          <w:rFonts w:ascii="Arial" w:eastAsia="Arial" w:hAnsi="Arial" w:cs="Arial"/>
          <w:sz w:val="16"/>
          <w:u w:val="single" w:color="000000"/>
        </w:rPr>
        <w:t>Major Sector</w:t>
      </w:r>
      <w:r>
        <w:rPr>
          <w:rFonts w:ascii="Arial" w:eastAsia="Arial" w:hAnsi="Arial" w:cs="Arial"/>
          <w:sz w:val="16"/>
        </w:rPr>
        <w:t xml:space="preserve">: Oil &amp; Gas; </w:t>
      </w:r>
      <w:proofErr w:type="spellStart"/>
      <w:r>
        <w:rPr>
          <w:rFonts w:ascii="Arial" w:eastAsia="Arial" w:hAnsi="Arial" w:cs="Arial"/>
          <w:sz w:val="16"/>
          <w:u w:val="single" w:color="000000"/>
        </w:rPr>
        <w:t>ProjectID</w:t>
      </w:r>
      <w:proofErr w:type="spellEnd"/>
      <w:r>
        <w:rPr>
          <w:rFonts w:ascii="Arial" w:eastAsia="Arial" w:hAnsi="Arial" w:cs="Arial"/>
          <w:sz w:val="16"/>
        </w:rPr>
        <w:t xml:space="preserve">: P009462 </w:t>
      </w:r>
    </w:p>
    <w:p w:rsidR="009A31B7" w:rsidRDefault="008521C5" w:rsidP="008521C5">
      <w:pPr>
        <w:spacing w:after="8" w:line="237" w:lineRule="auto"/>
        <w:ind w:left="41" w:firstLine="0"/>
      </w:pPr>
      <w:r>
        <w:rPr>
          <w:rFonts w:ascii="Arial" w:eastAsia="Arial" w:hAnsi="Arial" w:cs="Arial"/>
          <w:sz w:val="16"/>
        </w:rPr>
        <w:t xml:space="preserve">  </w:t>
      </w:r>
      <w:r>
        <w:rPr>
          <w:rFonts w:ascii="Arial" w:eastAsia="Arial" w:hAnsi="Arial" w:cs="Arial"/>
          <w:sz w:val="16"/>
        </w:rPr>
        <w:tab/>
        <w:t xml:space="preserve"> </w:t>
      </w:r>
    </w:p>
    <w:p w:rsidR="009A31B7" w:rsidRDefault="008521C5" w:rsidP="008521C5">
      <w:pPr>
        <w:ind w:left="355"/>
      </w:pPr>
      <w:r>
        <w:t>B</w:t>
      </w:r>
      <w:r>
        <w:t xml:space="preserve">angladesh: Liquefied Petroleum Gas Transport and Distribution Project (Credit 2263-BD) </w:t>
      </w:r>
    </w:p>
    <w:p w:rsidR="009A31B7" w:rsidRDefault="008521C5" w:rsidP="008521C5">
      <w:pPr>
        <w:spacing w:line="259" w:lineRule="auto"/>
        <w:ind w:left="360" w:firstLine="0"/>
      </w:pPr>
      <w:r>
        <w:t xml:space="preserve"> </w:t>
      </w:r>
    </w:p>
    <w:p w:rsidR="009A31B7" w:rsidRDefault="008521C5" w:rsidP="008521C5">
      <w:pPr>
        <w:ind w:left="355"/>
      </w:pPr>
      <w:r>
        <w:t xml:space="preserve"> </w:t>
      </w:r>
      <w:r>
        <w:tab/>
        <w:t>The Liquefied Petroleum Gas Transport and Distribution Project, supported by Credit 2263-</w:t>
      </w:r>
      <w:r>
        <w:t xml:space="preserve">BD for US$67.2 million equivalent, was approved in FY91.  The Credit was closed In FY96, as scheduled, with an undisbursed amount of US$66.4 million because the physical components of the project were not implemented.  The Implementation Completion Report </w:t>
      </w:r>
      <w:r>
        <w:t xml:space="preserve">(ICR) was prepared by the South Asia </w:t>
      </w:r>
      <w:proofErr w:type="spellStart"/>
      <w:r>
        <w:t>Reizional</w:t>
      </w:r>
      <w:proofErr w:type="spellEnd"/>
      <w:r>
        <w:t xml:space="preserve"> Office.  The borrower did not submit a separate evaluation report.  </w:t>
      </w:r>
    </w:p>
    <w:p w:rsidR="009A31B7" w:rsidRDefault="008521C5" w:rsidP="008521C5">
      <w:pPr>
        <w:spacing w:line="259" w:lineRule="auto"/>
        <w:ind w:left="360" w:firstLine="0"/>
      </w:pPr>
      <w:r>
        <w:t xml:space="preserve"> </w:t>
      </w:r>
      <w:r>
        <w:t xml:space="preserve"> </w:t>
      </w:r>
    </w:p>
    <w:p w:rsidR="009A31B7" w:rsidRDefault="008521C5" w:rsidP="008521C5">
      <w:pPr>
        <w:ind w:left="1090"/>
      </w:pPr>
      <w:r>
        <w:t xml:space="preserve">The main objective of the project was to substitute liquefied petroleum gas (LPG) for imported </w:t>
      </w:r>
    </w:p>
    <w:p w:rsidR="009A31B7" w:rsidRDefault="008521C5" w:rsidP="008521C5">
      <w:pPr>
        <w:ind w:left="355"/>
      </w:pPr>
      <w:r>
        <w:t>kerosene and commercial fuelwood.  Other</w:t>
      </w:r>
      <w:r>
        <w:t xml:space="preserve"> objectives were: (i) to save on foreign exchange for imported fuel; (ii) to alleviate biomass shortages in the </w:t>
      </w:r>
      <w:proofErr w:type="spellStart"/>
      <w:r>
        <w:t>countr</w:t>
      </w:r>
      <w:r>
        <w:t>v</w:t>
      </w:r>
      <w:proofErr w:type="spellEnd"/>
      <w:r>
        <w:t>; (iii) to establish economic LPG prices; (iv) to develop a suitable institutional framework for LPG development and operations and faci</w:t>
      </w:r>
      <w:r>
        <w:t xml:space="preserve">litate private sector involvement in LPG transport and distribution; and (v) to promote an environmentally and operationally safe petroleum </w:t>
      </w:r>
      <w:proofErr w:type="spellStart"/>
      <w:r>
        <w:t>industrv</w:t>
      </w:r>
      <w:proofErr w:type="spellEnd"/>
      <w:r>
        <w:t>, Project components comprised: construction of LPG storag</w:t>
      </w:r>
      <w:bookmarkStart w:id="0" w:name="_GoBack"/>
      <w:bookmarkEnd w:id="0"/>
      <w:r>
        <w:t>e facilities, an LPG-dedicated pipeline and relate</w:t>
      </w:r>
      <w:r>
        <w:t xml:space="preserve">d river crossing drilling works, and two LPG bottling plants and storage facilities: acquisition of equipment and spare parts for the new facilities; and technical assistance. </w:t>
      </w:r>
    </w:p>
    <w:p w:rsidR="009A31B7" w:rsidRDefault="008521C5" w:rsidP="008521C5">
      <w:pPr>
        <w:spacing w:line="259" w:lineRule="auto"/>
        <w:ind w:left="360" w:firstLine="0"/>
      </w:pPr>
      <w:r>
        <w:t xml:space="preserve"> </w:t>
      </w:r>
    </w:p>
    <w:p w:rsidR="009A31B7" w:rsidRDefault="008521C5" w:rsidP="008521C5">
      <w:pPr>
        <w:ind w:left="345" w:firstLine="720"/>
      </w:pPr>
      <w:r>
        <w:t>The physical components of the project were not implemented.  The project was</w:t>
      </w:r>
      <w:r>
        <w:t xml:space="preserve"> to finance downstream transport and bottling facilities for LPG while an ongoing IDA-financed project, the Second Gas Development Project (Credit 1586-BA), was to finance upstream facilities.  These upstream facilities included the construction of the </w:t>
      </w:r>
      <w:proofErr w:type="spellStart"/>
      <w:r>
        <w:t>Ash</w:t>
      </w:r>
      <w:r>
        <w:t>uncanj</w:t>
      </w:r>
      <w:proofErr w:type="spellEnd"/>
      <w:r>
        <w:t xml:space="preserve"> fractionation plant to separate LPG - propane and </w:t>
      </w:r>
      <w:proofErr w:type="gramStart"/>
      <w:r>
        <w:t>butane.-</w:t>
      </w:r>
      <w:proofErr w:type="gramEnd"/>
      <w:r>
        <w:t xml:space="preserve"> from natural gas liquids.  The award of the contract for the plant was made a condition of project effectiveness because the proposed downstream transport and distribution facilities were de</w:t>
      </w:r>
      <w:r>
        <w:t xml:space="preserve">pendent on construction of the plant.  Credit effectiveness was extended three times because </w:t>
      </w:r>
      <w:proofErr w:type="spellStart"/>
      <w:r>
        <w:t>Govemment</w:t>
      </w:r>
      <w:proofErr w:type="spellEnd"/>
      <w:r>
        <w:t xml:space="preserve"> had not awarded the contract for the </w:t>
      </w:r>
      <w:proofErr w:type="spellStart"/>
      <w:r>
        <w:t>Ashuncanj</w:t>
      </w:r>
      <w:proofErr w:type="spellEnd"/>
      <w:r>
        <w:t xml:space="preserve"> plant, partly because of concerns that only two bidders had submitted tenders.  Finally, the bid validity </w:t>
      </w:r>
      <w:r>
        <w:t xml:space="preserve">period expired and bidders refused to continue to offer the prices bid and the Bank </w:t>
      </w:r>
      <w:proofErr w:type="gramStart"/>
      <w:r>
        <w:t>closed</w:t>
      </w:r>
      <w:proofErr w:type="gramEnd"/>
      <w:r>
        <w:t xml:space="preserve"> Credit 1586 (after three one-year extensions).  Subsequent attempts </w:t>
      </w:r>
      <w:proofErr w:type="spellStart"/>
      <w:r>
        <w:t>bv</w:t>
      </w:r>
      <w:proofErr w:type="spellEnd"/>
      <w:r>
        <w:t xml:space="preserve"> the Borrower to find other sources of suitable financing met with no success.  Meanwhile, the </w:t>
      </w:r>
      <w:r>
        <w:t xml:space="preserve">Borrower requested IDA to make Credit 2263 effective </w:t>
      </w:r>
      <w:proofErr w:type="gramStart"/>
      <w:r>
        <w:t>in order to</w:t>
      </w:r>
      <w:proofErr w:type="gramEnd"/>
      <w:r>
        <w:t xml:space="preserve"> proceed with those project components not affected </w:t>
      </w:r>
      <w:proofErr w:type="spellStart"/>
      <w:r>
        <w:t>bv</w:t>
      </w:r>
      <w:proofErr w:type="spellEnd"/>
      <w:r>
        <w:t xml:space="preserve"> the </w:t>
      </w:r>
      <w:proofErr w:type="spellStart"/>
      <w:r>
        <w:t>Ashunaanj</w:t>
      </w:r>
      <w:proofErr w:type="spellEnd"/>
      <w:r>
        <w:t xml:space="preserve"> plant delays.  IDA agreed to the Borrower's request and the project was made effective in September 1992, but disbursements</w:t>
      </w:r>
      <w:r>
        <w:t xml:space="preserve"> for the pipeline and LPG </w:t>
      </w:r>
      <w:proofErr w:type="spellStart"/>
      <w:r>
        <w:t>bottlin</w:t>
      </w:r>
      <w:proofErr w:type="spellEnd"/>
      <w:r>
        <w:t xml:space="preserve">-, plants were made conditional on the award of a contract for the </w:t>
      </w:r>
      <w:proofErr w:type="spellStart"/>
      <w:r>
        <w:t>Ashunganj</w:t>
      </w:r>
      <w:proofErr w:type="spellEnd"/>
      <w:r>
        <w:t xml:space="preserve"> plant.  However, the Government abandoned its attempts to build the plant in early 199') and IDA </w:t>
      </w:r>
      <w:proofErr w:type="spellStart"/>
      <w:r>
        <w:t>finallv</w:t>
      </w:r>
      <w:proofErr w:type="spellEnd"/>
      <w:r>
        <w:t xml:space="preserve"> closed the project </w:t>
      </w:r>
      <w:proofErr w:type="gramStart"/>
      <w:r>
        <w:t>in .June</w:t>
      </w:r>
      <w:proofErr w:type="gramEnd"/>
      <w:r>
        <w:t xml:space="preserve"> 1996: only US</w:t>
      </w:r>
      <w:r>
        <w:t xml:space="preserve">SO.84 million had been disbursed for consultant engineering services for the LPG pipeline. </w:t>
      </w:r>
    </w:p>
    <w:p w:rsidR="009A31B7" w:rsidRDefault="008521C5" w:rsidP="008521C5">
      <w:pPr>
        <w:spacing w:line="259" w:lineRule="auto"/>
        <w:ind w:left="360" w:firstLine="0"/>
      </w:pPr>
      <w:r>
        <w:t xml:space="preserve"> </w:t>
      </w:r>
    </w:p>
    <w:p w:rsidR="009A31B7" w:rsidRDefault="008521C5" w:rsidP="008521C5">
      <w:pPr>
        <w:ind w:left="345" w:firstLine="720"/>
      </w:pPr>
      <w:r>
        <w:t>The Operations Evaluation Department (OED) rates project outcome as highly unsatisfactory and sustainability as unlikely.  These ratings are consistent with those</w:t>
      </w:r>
      <w:r>
        <w:t xml:space="preserve"> in the ICN.  OED rates institutional development impact as negligible: no </w:t>
      </w:r>
      <w:proofErr w:type="spellStart"/>
      <w:r>
        <w:t>ratino</w:t>
      </w:r>
      <w:proofErr w:type="spellEnd"/>
      <w:r>
        <w:t xml:space="preserve">, was given in the ICN.  IDA performance is rated as unsatisfactory because of (i) IDA's decision to make the credit effective before the contract was awarded for the </w:t>
      </w:r>
      <w:proofErr w:type="spellStart"/>
      <w:r>
        <w:t>Ashungan</w:t>
      </w:r>
      <w:r>
        <w:t>j</w:t>
      </w:r>
      <w:proofErr w:type="spellEnd"/>
      <w:r>
        <w:t xml:space="preserve"> plant, despite the Borrower's history of long procurement delays, and (ii) the long time taken by IDA to close the project.  The ICR rates IDA's project preparation and appraisal performance as satisfactory and supervision performance as unsatisfactory. </w:t>
      </w:r>
    </w:p>
    <w:p w:rsidR="009A31B7" w:rsidRDefault="008521C5" w:rsidP="008521C5">
      <w:pPr>
        <w:spacing w:line="259" w:lineRule="auto"/>
        <w:ind w:left="360" w:firstLine="0"/>
      </w:pPr>
      <w:r>
        <w:t xml:space="preserve"> </w:t>
      </w:r>
    </w:p>
    <w:p w:rsidR="009A31B7" w:rsidRDefault="008521C5" w:rsidP="008521C5">
      <w:pPr>
        <w:ind w:left="355"/>
      </w:pPr>
      <w:r>
        <w:t xml:space="preserve"> </w:t>
      </w:r>
      <w:r>
        <w:tab/>
        <w:t>The main lesson to be drawn from the project is that implementation of projects that are part of sequential and inter-dependent investments should allow for longer lead times where there are technical uncertainties about upstream production (such as u</w:t>
      </w:r>
      <w:r>
        <w:t xml:space="preserve">ncertainty over volume of available gas for LPG production), limited institutional </w:t>
      </w:r>
      <w:r>
        <w:lastRenderedPageBreak/>
        <w:t xml:space="preserve">capacity, and a history of long procurement delays by the Borrower.  To avoid </w:t>
      </w:r>
      <w:proofErr w:type="spellStart"/>
      <w:r>
        <w:t>makinc</w:t>
      </w:r>
      <w:proofErr w:type="spellEnd"/>
      <w:r>
        <w:t xml:space="preserve">, premature commitment to </w:t>
      </w:r>
      <w:proofErr w:type="spellStart"/>
      <w:r>
        <w:t>dovmstream</w:t>
      </w:r>
      <w:proofErr w:type="spellEnd"/>
      <w:r>
        <w:t xml:space="preserve"> investments, projects should be only presented to th</w:t>
      </w:r>
      <w:r>
        <w:t xml:space="preserve">e Board when upstream projects are well under implementation </w:t>
      </w:r>
    </w:p>
    <w:p w:rsidR="009A31B7" w:rsidRDefault="008521C5" w:rsidP="008521C5">
      <w:pPr>
        <w:spacing w:line="259" w:lineRule="auto"/>
        <w:ind w:left="360" w:firstLine="0"/>
      </w:pPr>
      <w:r>
        <w:t xml:space="preserve"> </w:t>
      </w:r>
    </w:p>
    <w:p w:rsidR="009A31B7" w:rsidRDefault="008521C5" w:rsidP="008521C5">
      <w:pPr>
        <w:ind w:left="355"/>
      </w:pPr>
      <w:r>
        <w:t xml:space="preserve">The ICN satisfactory covers the events during project implementation but did not include a. </w:t>
      </w:r>
    </w:p>
    <w:p w:rsidR="009A31B7" w:rsidRDefault="008521C5" w:rsidP="008521C5">
      <w:pPr>
        <w:ind w:left="355"/>
      </w:pPr>
      <w:r>
        <w:t xml:space="preserve">separate evaluation report by the Borrower. </w:t>
      </w:r>
    </w:p>
    <w:p w:rsidR="009A31B7" w:rsidRDefault="008521C5" w:rsidP="008521C5">
      <w:pPr>
        <w:spacing w:line="259" w:lineRule="auto"/>
        <w:ind w:left="360" w:firstLine="0"/>
      </w:pPr>
      <w:r>
        <w:t xml:space="preserve"> </w:t>
      </w:r>
    </w:p>
    <w:p w:rsidR="009A31B7" w:rsidRDefault="008521C5" w:rsidP="008521C5">
      <w:pPr>
        <w:ind w:left="355"/>
      </w:pPr>
      <w:r>
        <w:t xml:space="preserve">No audit of the project is planned. </w:t>
      </w:r>
    </w:p>
    <w:sectPr w:rsidR="009A31B7" w:rsidSect="008521C5">
      <w:pgSz w:w="12240" w:h="15840"/>
      <w:pgMar w:top="1448" w:right="450" w:bottom="1498"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1B7"/>
    <w:rsid w:val="008521C5"/>
    <w:rsid w:val="009A3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44B6E"/>
  <w15:docId w15:val="{6F3D6153-71AE-4485-B547-F34274B6C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8" w:lineRule="auto"/>
      <w:ind w:left="370" w:hanging="10"/>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710</Words>
  <Characters>4049</Characters>
  <Application>Microsoft Office Word</Application>
  <DocSecurity>0</DocSecurity>
  <Lines>33</Lines>
  <Paragraphs>9</Paragraphs>
  <ScaleCrop>false</ScaleCrop>
  <Company/>
  <LinksUpToDate>false</LinksUpToDate>
  <CharactersWithSpaces>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Justsen</dc:creator>
  <cp:keywords/>
  <cp:lastModifiedBy>Marlene Justsen</cp:lastModifiedBy>
  <cp:revision>2</cp:revision>
  <dcterms:created xsi:type="dcterms:W3CDTF">2018-07-26T12:35:00Z</dcterms:created>
  <dcterms:modified xsi:type="dcterms:W3CDTF">2018-07-26T12:35:00Z</dcterms:modified>
</cp:coreProperties>
</file>