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drawings/drawing6.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9BA" w:rsidRDefault="00FD3D93" w:rsidP="00DC1E6C">
      <w:pPr>
        <w:pStyle w:val="Default"/>
        <w:jc w:val="center"/>
        <w:rPr>
          <w:b/>
          <w:bCs/>
          <w:smallCaps/>
          <w:sz w:val="28"/>
          <w:szCs w:val="28"/>
        </w:rPr>
      </w:pPr>
      <w:r>
        <w:rPr>
          <w:b/>
          <w:bCs/>
          <w:smallCaps/>
          <w:noProof/>
          <w:sz w:val="28"/>
          <w:szCs w:val="28"/>
        </w:rPr>
        <w:pict>
          <v:shapetype id="_x0000_t202" coordsize="21600,21600" o:spt="202" path="m,l,21600r21600,l21600,xe">
            <v:stroke joinstyle="miter"/>
            <v:path gradientshapeok="t" o:connecttype="rect"/>
          </v:shapetype>
          <v:shape id="_x0000_s1029" type="#_x0000_t202" style="position:absolute;left:0;text-align:left;margin-left:356.25pt;margin-top:-57.75pt;width:124.5pt;height:57pt;z-index:251658752" stroked="f">
            <v:textbox>
              <w:txbxContent>
                <w:p w:rsidR="00FD3D93" w:rsidRPr="00FD3D93" w:rsidRDefault="00FD3D93">
                  <w:pPr>
                    <w:rPr>
                      <w:rFonts w:ascii="Arial" w:hAnsi="Arial" w:cs="Arial"/>
                      <w:sz w:val="44"/>
                      <w:szCs w:val="44"/>
                    </w:rPr>
                  </w:pPr>
                  <w:r>
                    <w:rPr>
                      <w:rFonts w:ascii="Arial" w:hAnsi="Arial" w:cs="Arial"/>
                      <w:sz w:val="44"/>
                      <w:szCs w:val="44"/>
                    </w:rPr>
                    <w:t>64802</w:t>
                  </w:r>
                </w:p>
              </w:txbxContent>
            </v:textbox>
          </v:shape>
        </w:pict>
      </w:r>
    </w:p>
    <w:p w:rsidR="00B47C9A" w:rsidRDefault="00B47C9A" w:rsidP="00DC1E6C">
      <w:pPr>
        <w:pStyle w:val="Default"/>
        <w:jc w:val="center"/>
        <w:rPr>
          <w:b/>
          <w:bCs/>
          <w:smallCaps/>
          <w:sz w:val="28"/>
          <w:szCs w:val="28"/>
        </w:rPr>
      </w:pPr>
    </w:p>
    <w:p w:rsidR="001B69BA" w:rsidRDefault="001B69BA" w:rsidP="00DC1E6C">
      <w:pPr>
        <w:pStyle w:val="Default"/>
        <w:jc w:val="center"/>
        <w:rPr>
          <w:b/>
          <w:bCs/>
          <w:smallCaps/>
          <w:sz w:val="28"/>
          <w:szCs w:val="28"/>
        </w:rPr>
      </w:pPr>
    </w:p>
    <w:p w:rsidR="001B69BA" w:rsidRDefault="001B69BA" w:rsidP="00DC1E6C">
      <w:pPr>
        <w:pStyle w:val="Default"/>
        <w:jc w:val="center"/>
        <w:rPr>
          <w:b/>
          <w:bCs/>
          <w:smallCaps/>
          <w:sz w:val="28"/>
          <w:szCs w:val="28"/>
        </w:rPr>
      </w:pPr>
    </w:p>
    <w:p w:rsidR="001B69BA" w:rsidRDefault="001B69BA" w:rsidP="00DC1E6C">
      <w:pPr>
        <w:pStyle w:val="Default"/>
        <w:jc w:val="center"/>
        <w:rPr>
          <w:b/>
          <w:bCs/>
          <w:smallCaps/>
          <w:sz w:val="28"/>
          <w:szCs w:val="28"/>
        </w:rPr>
      </w:pPr>
    </w:p>
    <w:p w:rsidR="0002566B" w:rsidRDefault="0002566B" w:rsidP="00FC21AC">
      <w:pPr>
        <w:spacing w:line="360" w:lineRule="auto"/>
        <w:jc w:val="center"/>
        <w:rPr>
          <w:rFonts w:ascii="Times New Roman Bold"/>
          <w:b/>
          <w:color w:val="000000"/>
          <w:sz w:val="36"/>
          <w:szCs w:val="36"/>
        </w:rPr>
      </w:pPr>
    </w:p>
    <w:p w:rsidR="008755E7" w:rsidRPr="00160258" w:rsidRDefault="00C27AAF" w:rsidP="008755E7">
      <w:pPr>
        <w:spacing w:line="360" w:lineRule="auto"/>
        <w:jc w:val="center"/>
        <w:rPr>
          <w:rFonts w:ascii="Times New Roman Bold"/>
          <w:b/>
          <w:color w:val="000000"/>
          <w:sz w:val="32"/>
          <w:szCs w:val="32"/>
        </w:rPr>
      </w:pPr>
      <w:r w:rsidRPr="00C27AAF">
        <w:rPr>
          <w:rFonts w:ascii="Times New Roman Bold"/>
          <w:b/>
          <w:color w:val="000000"/>
          <w:sz w:val="36"/>
          <w:szCs w:val="36"/>
        </w:rPr>
        <w:t xml:space="preserve">Capital Market Integration and </w:t>
      </w:r>
      <w:proofErr w:type="spellStart"/>
      <w:r w:rsidRPr="00C27AAF">
        <w:rPr>
          <w:rFonts w:ascii="Times New Roman Bold"/>
          <w:b/>
          <w:color w:val="000000"/>
          <w:sz w:val="36"/>
          <w:szCs w:val="36"/>
        </w:rPr>
        <w:t>MiFID</w:t>
      </w:r>
      <w:proofErr w:type="spellEnd"/>
      <w:r w:rsidRPr="00C27AAF">
        <w:rPr>
          <w:rFonts w:ascii="Times New Roman Bold"/>
          <w:b/>
          <w:color w:val="000000"/>
          <w:sz w:val="36"/>
          <w:szCs w:val="36"/>
        </w:rPr>
        <w:t xml:space="preserve"> Implementation: the Bulgarian Experience</w:t>
      </w:r>
    </w:p>
    <w:p w:rsidR="008755E7" w:rsidRPr="008755E7" w:rsidRDefault="008755E7" w:rsidP="00FC21AC">
      <w:pPr>
        <w:spacing w:line="360" w:lineRule="auto"/>
        <w:jc w:val="center"/>
        <w:rPr>
          <w:rFonts w:ascii="Times New Roman Bold"/>
          <w:b/>
          <w:color w:val="000000"/>
          <w:sz w:val="36"/>
          <w:szCs w:val="36"/>
        </w:rPr>
      </w:pPr>
    </w:p>
    <w:p w:rsidR="00C27AAF" w:rsidRDefault="00C27AAF" w:rsidP="00FC21AC">
      <w:pPr>
        <w:spacing w:line="360" w:lineRule="auto"/>
        <w:jc w:val="center"/>
        <w:rPr>
          <w:rFonts w:ascii="Times New Roman Bold"/>
          <w:b/>
          <w:color w:val="000000"/>
          <w:sz w:val="28"/>
          <w:szCs w:val="28"/>
        </w:rPr>
      </w:pPr>
    </w:p>
    <w:p w:rsidR="00FC21AC" w:rsidRPr="00C27AAF" w:rsidRDefault="00C27AAF" w:rsidP="00FC21AC">
      <w:pPr>
        <w:spacing w:line="360" w:lineRule="auto"/>
        <w:jc w:val="center"/>
        <w:rPr>
          <w:rFonts w:ascii="Times New Roman Bold"/>
          <w:b/>
          <w:color w:val="000000"/>
          <w:sz w:val="28"/>
          <w:szCs w:val="28"/>
        </w:rPr>
      </w:pPr>
      <w:r w:rsidRPr="00C27AAF">
        <w:rPr>
          <w:rFonts w:ascii="Times New Roman Bold"/>
          <w:b/>
          <w:color w:val="000000"/>
          <w:sz w:val="28"/>
          <w:szCs w:val="28"/>
        </w:rPr>
        <w:t xml:space="preserve">Knowledge and Advisory Services on </w:t>
      </w:r>
      <w:r w:rsidR="00CF64B8" w:rsidRPr="00C27AAF">
        <w:rPr>
          <w:rFonts w:ascii="Times New Roman Bold"/>
          <w:b/>
          <w:color w:val="000000"/>
          <w:sz w:val="28"/>
          <w:szCs w:val="28"/>
        </w:rPr>
        <w:t>Financial Market Integration and</w:t>
      </w:r>
      <w:r w:rsidR="00FC21AC" w:rsidRPr="00C27AAF">
        <w:rPr>
          <w:rFonts w:ascii="Times New Roman Bold"/>
          <w:b/>
          <w:color w:val="000000"/>
          <w:sz w:val="28"/>
          <w:szCs w:val="28"/>
        </w:rPr>
        <w:t xml:space="preserve"> the Implementation of the Markets in Financial Instruments Directive (</w:t>
      </w:r>
      <w:proofErr w:type="spellStart"/>
      <w:r w:rsidR="00FC21AC" w:rsidRPr="00C27AAF">
        <w:rPr>
          <w:rFonts w:ascii="Times New Roman Bold"/>
          <w:b/>
          <w:color w:val="000000"/>
          <w:sz w:val="28"/>
          <w:szCs w:val="28"/>
        </w:rPr>
        <w:t>MiFID</w:t>
      </w:r>
      <w:proofErr w:type="spellEnd"/>
      <w:r w:rsidR="00FC21AC" w:rsidRPr="00C27AAF">
        <w:rPr>
          <w:rFonts w:ascii="Times New Roman Bold"/>
          <w:b/>
          <w:color w:val="000000"/>
          <w:sz w:val="28"/>
          <w:szCs w:val="28"/>
        </w:rPr>
        <w:t>) in EU Candidate and New Member States</w:t>
      </w:r>
      <w:r w:rsidR="002A0ED2" w:rsidRPr="00C27AAF">
        <w:rPr>
          <w:rStyle w:val="FootnoteReference"/>
          <w:rFonts w:ascii="Times New Roman Bold"/>
          <w:b/>
          <w:color w:val="000000"/>
          <w:sz w:val="28"/>
          <w:szCs w:val="28"/>
        </w:rPr>
        <w:footnoteReference w:id="1"/>
      </w:r>
    </w:p>
    <w:p w:rsidR="00FC21AC" w:rsidRDefault="00FC21AC" w:rsidP="00DC1E6C">
      <w:pPr>
        <w:pStyle w:val="Default"/>
        <w:jc w:val="center"/>
        <w:rPr>
          <w:b/>
          <w:bCs/>
          <w:smallCaps/>
          <w:sz w:val="28"/>
          <w:szCs w:val="28"/>
        </w:rPr>
      </w:pPr>
    </w:p>
    <w:p w:rsidR="00FC21AC" w:rsidRDefault="00FC21AC" w:rsidP="00DC1E6C">
      <w:pPr>
        <w:pStyle w:val="Default"/>
        <w:jc w:val="center"/>
        <w:rPr>
          <w:b/>
          <w:bCs/>
          <w:smallCaps/>
          <w:sz w:val="28"/>
          <w:szCs w:val="28"/>
        </w:rPr>
      </w:pPr>
    </w:p>
    <w:p w:rsidR="00FC21AC" w:rsidRDefault="00332EE1" w:rsidP="00FC21AC">
      <w:pPr>
        <w:jc w:val="center"/>
        <w:rPr>
          <w:rFonts w:ascii="Times New Roman Bold"/>
          <w:b/>
          <w:color w:val="000000"/>
          <w:sz w:val="24"/>
          <w:szCs w:val="24"/>
        </w:rPr>
      </w:pPr>
      <w:r>
        <w:rPr>
          <w:rFonts w:ascii="Times New Roman Bold"/>
          <w:b/>
          <w:color w:val="000000"/>
          <w:sz w:val="24"/>
          <w:szCs w:val="24"/>
        </w:rPr>
        <w:t>June, 2011</w:t>
      </w:r>
    </w:p>
    <w:p w:rsidR="00332EE1" w:rsidRDefault="00332EE1" w:rsidP="00332EE1">
      <w:pPr>
        <w:spacing w:after="0" w:line="240" w:lineRule="auto"/>
        <w:rPr>
          <w:rFonts w:ascii="Times New Roman" w:hAnsi="Times New Roman"/>
          <w:color w:val="000000"/>
          <w:sz w:val="24"/>
          <w:szCs w:val="24"/>
        </w:rPr>
      </w:pPr>
    </w:p>
    <w:p w:rsidR="00332EE1" w:rsidRDefault="00332EE1" w:rsidP="00332EE1">
      <w:pPr>
        <w:spacing w:after="0" w:line="240" w:lineRule="auto"/>
        <w:rPr>
          <w:rFonts w:ascii="Times New Roman" w:hAnsi="Times New Roman"/>
          <w:color w:val="000000"/>
          <w:sz w:val="24"/>
          <w:szCs w:val="24"/>
        </w:rPr>
      </w:pPr>
    </w:p>
    <w:p w:rsidR="00332EE1" w:rsidRDefault="00332EE1" w:rsidP="00332EE1">
      <w:pPr>
        <w:spacing w:after="0" w:line="240" w:lineRule="auto"/>
        <w:rPr>
          <w:rFonts w:ascii="Times New Roman" w:hAnsi="Times New Roman"/>
          <w:color w:val="000000"/>
          <w:sz w:val="24"/>
          <w:szCs w:val="24"/>
        </w:rPr>
      </w:pPr>
    </w:p>
    <w:p w:rsidR="00332EE1" w:rsidRDefault="00332EE1" w:rsidP="00332EE1">
      <w:pPr>
        <w:spacing w:after="0" w:line="240" w:lineRule="auto"/>
        <w:rPr>
          <w:rFonts w:ascii="Times New Roman" w:hAnsi="Times New Roman"/>
          <w:color w:val="000000"/>
          <w:sz w:val="24"/>
          <w:szCs w:val="24"/>
        </w:rPr>
      </w:pPr>
    </w:p>
    <w:p w:rsidR="00332EE1" w:rsidRDefault="00332EE1" w:rsidP="00332EE1">
      <w:pPr>
        <w:spacing w:after="0" w:line="240" w:lineRule="auto"/>
        <w:rPr>
          <w:rFonts w:ascii="Times New Roman" w:hAnsi="Times New Roman"/>
          <w:color w:val="000000"/>
          <w:sz w:val="24"/>
          <w:szCs w:val="24"/>
        </w:rPr>
      </w:pPr>
    </w:p>
    <w:p w:rsidR="00332EE1" w:rsidRDefault="00332EE1" w:rsidP="00332EE1">
      <w:pPr>
        <w:spacing w:after="0" w:line="240" w:lineRule="auto"/>
        <w:rPr>
          <w:rFonts w:ascii="Times New Roman" w:hAnsi="Times New Roman"/>
          <w:color w:val="000000"/>
          <w:sz w:val="24"/>
          <w:szCs w:val="24"/>
        </w:rPr>
      </w:pPr>
    </w:p>
    <w:p w:rsidR="00332EE1" w:rsidRDefault="00332EE1" w:rsidP="00332EE1">
      <w:pPr>
        <w:spacing w:after="0" w:line="240" w:lineRule="auto"/>
        <w:rPr>
          <w:rFonts w:ascii="Times New Roman" w:hAnsi="Times New Roman"/>
          <w:color w:val="000000"/>
          <w:sz w:val="24"/>
          <w:szCs w:val="24"/>
        </w:rPr>
      </w:pPr>
    </w:p>
    <w:p w:rsidR="00332EE1" w:rsidRDefault="00332EE1" w:rsidP="00332EE1">
      <w:pPr>
        <w:spacing w:after="0" w:line="240" w:lineRule="auto"/>
        <w:rPr>
          <w:rFonts w:ascii="Times New Roman" w:hAnsi="Times New Roman"/>
          <w:color w:val="000000"/>
          <w:sz w:val="24"/>
          <w:szCs w:val="24"/>
        </w:rPr>
      </w:pPr>
    </w:p>
    <w:p w:rsidR="00332EE1" w:rsidRDefault="00332EE1" w:rsidP="00332EE1">
      <w:pPr>
        <w:spacing w:after="0" w:line="240" w:lineRule="auto"/>
        <w:rPr>
          <w:rFonts w:ascii="Times New Roman" w:hAnsi="Times New Roman"/>
          <w:color w:val="000000"/>
          <w:sz w:val="24"/>
          <w:szCs w:val="24"/>
        </w:rPr>
      </w:pPr>
    </w:p>
    <w:p w:rsidR="00332EE1" w:rsidRDefault="00332EE1" w:rsidP="00332EE1">
      <w:pPr>
        <w:spacing w:after="0" w:line="240" w:lineRule="auto"/>
        <w:rPr>
          <w:rFonts w:ascii="Times New Roman" w:hAnsi="Times New Roman"/>
          <w:color w:val="000000"/>
          <w:sz w:val="24"/>
          <w:szCs w:val="24"/>
        </w:rPr>
      </w:pPr>
    </w:p>
    <w:p w:rsidR="00332EE1" w:rsidRDefault="00332EE1" w:rsidP="00332EE1">
      <w:pPr>
        <w:spacing w:after="0" w:line="240" w:lineRule="auto"/>
        <w:rPr>
          <w:rFonts w:ascii="Times New Roman" w:hAnsi="Times New Roman"/>
          <w:color w:val="000000"/>
          <w:sz w:val="24"/>
          <w:szCs w:val="24"/>
        </w:rPr>
      </w:pPr>
      <w:r w:rsidRPr="00D541D2">
        <w:rPr>
          <w:rFonts w:ascii="Times New Roman" w:hAnsi="Times New Roman"/>
          <w:color w:val="000000"/>
          <w:sz w:val="24"/>
          <w:szCs w:val="24"/>
        </w:rPr>
        <w:t xml:space="preserve">Financial </w:t>
      </w:r>
      <w:r>
        <w:rPr>
          <w:rFonts w:ascii="Times New Roman" w:hAnsi="Times New Roman"/>
          <w:color w:val="000000"/>
          <w:sz w:val="24"/>
          <w:szCs w:val="24"/>
        </w:rPr>
        <w:t xml:space="preserve">and Private Sector Development Department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332EE1" w:rsidRPr="00F851F5" w:rsidRDefault="00332EE1" w:rsidP="00332EE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Central Europe and the </w:t>
      </w:r>
      <w:proofErr w:type="spellStart"/>
      <w:r>
        <w:rPr>
          <w:rFonts w:ascii="Times New Roman" w:hAnsi="Times New Roman"/>
          <w:color w:val="000000"/>
          <w:sz w:val="24"/>
          <w:szCs w:val="24"/>
        </w:rPr>
        <w:t>Baltics</w:t>
      </w:r>
      <w:proofErr w:type="spellEnd"/>
      <w:r>
        <w:rPr>
          <w:rFonts w:ascii="Times New Roman" w:hAnsi="Times New Roman"/>
          <w:color w:val="000000"/>
          <w:sz w:val="24"/>
          <w:szCs w:val="24"/>
        </w:rPr>
        <w:t xml:space="preserve"> Country Department</w:t>
      </w:r>
    </w:p>
    <w:p w:rsidR="00332EE1" w:rsidRPr="00F851F5" w:rsidRDefault="00332EE1" w:rsidP="00332EE1">
      <w:pPr>
        <w:spacing w:after="0" w:line="240" w:lineRule="auto"/>
        <w:rPr>
          <w:rFonts w:ascii="Times New Roman" w:hAnsi="Times New Roman"/>
          <w:color w:val="000000"/>
          <w:sz w:val="24"/>
          <w:szCs w:val="24"/>
        </w:rPr>
      </w:pPr>
      <w:r>
        <w:rPr>
          <w:rFonts w:ascii="Times New Roman" w:hAnsi="Times New Roman"/>
          <w:color w:val="000000"/>
          <w:sz w:val="24"/>
          <w:szCs w:val="24"/>
        </w:rPr>
        <w:t>Europe and Central Asia Region</w:t>
      </w:r>
    </w:p>
    <w:p w:rsidR="00332EE1" w:rsidRPr="00F851F5" w:rsidRDefault="00332EE1" w:rsidP="00332EE1">
      <w:pPr>
        <w:spacing w:after="0" w:line="240" w:lineRule="auto"/>
        <w:rPr>
          <w:rFonts w:ascii="Times New Roman" w:hAnsi="Times New Roman"/>
          <w:color w:val="000000"/>
          <w:sz w:val="24"/>
          <w:szCs w:val="24"/>
        </w:rPr>
      </w:pPr>
      <w:r>
        <w:rPr>
          <w:rFonts w:ascii="Times New Roman" w:hAnsi="Times New Roman"/>
          <w:color w:val="000000"/>
          <w:sz w:val="24"/>
          <w:szCs w:val="24"/>
        </w:rPr>
        <w:t>World Bank</w:t>
      </w:r>
    </w:p>
    <w:p w:rsidR="004641E4" w:rsidRDefault="001B69BA" w:rsidP="00B47C9A">
      <w:pPr>
        <w:rPr>
          <w:rFonts w:ascii="Times New Roman" w:hAnsi="Times New Roman"/>
          <w:color w:val="000000"/>
          <w:sz w:val="24"/>
          <w:szCs w:val="24"/>
        </w:rPr>
      </w:pPr>
      <w:r>
        <w:rPr>
          <w:rFonts w:ascii="Times New Roman Bold"/>
          <w:color w:val="000000"/>
          <w:sz w:val="24"/>
          <w:szCs w:val="24"/>
        </w:rPr>
        <w:lastRenderedPageBreak/>
        <w:br w:type="page"/>
      </w:r>
    </w:p>
    <w:p w:rsidR="00FC21AC" w:rsidRPr="00477D83" w:rsidRDefault="00F106E2" w:rsidP="00F106E2">
      <w:pPr>
        <w:rPr>
          <w:rFonts w:ascii="Times New Roman" w:hAnsi="Times New Roman"/>
          <w:b/>
          <w:color w:val="000000"/>
          <w:sz w:val="28"/>
          <w:szCs w:val="28"/>
        </w:rPr>
      </w:pPr>
      <w:r w:rsidRPr="00477D83">
        <w:rPr>
          <w:rFonts w:ascii="Times New Roman" w:hAnsi="Times New Roman"/>
          <w:b/>
          <w:color w:val="000000"/>
          <w:sz w:val="28"/>
          <w:szCs w:val="28"/>
        </w:rPr>
        <w:lastRenderedPageBreak/>
        <w:t>Abbreviations:</w:t>
      </w:r>
    </w:p>
    <w:p w:rsidR="009E7E78" w:rsidRDefault="009E7E78" w:rsidP="00D34145">
      <w:pPr>
        <w:spacing w:after="0" w:line="240" w:lineRule="auto"/>
        <w:rPr>
          <w:rFonts w:ascii="Times New Roman" w:hAnsi="Times New Roman"/>
          <w:color w:val="000000"/>
          <w:sz w:val="24"/>
          <w:szCs w:val="24"/>
        </w:rPr>
      </w:pPr>
      <w:r>
        <w:rPr>
          <w:rFonts w:ascii="Times New Roman" w:hAnsi="Times New Roman"/>
          <w:sz w:val="24"/>
          <w:szCs w:val="24"/>
        </w:rPr>
        <w:t>BALII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Bulgarian association of investment intermediaries </w:t>
      </w:r>
    </w:p>
    <w:p w:rsidR="00D34145" w:rsidRDefault="00D34145" w:rsidP="00D3414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BIS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Bank for International Settlements</w:t>
      </w:r>
    </w:p>
    <w:p w:rsidR="009E7E78" w:rsidRDefault="009E7E78" w:rsidP="00D34145">
      <w:pPr>
        <w:spacing w:after="0" w:line="240" w:lineRule="auto"/>
        <w:rPr>
          <w:rFonts w:ascii="Times New Roman" w:hAnsi="Times New Roman"/>
          <w:color w:val="000000"/>
          <w:sz w:val="24"/>
          <w:szCs w:val="24"/>
        </w:rPr>
      </w:pPr>
      <w:r>
        <w:rPr>
          <w:rFonts w:ascii="Times New Roman" w:hAnsi="Times New Roman"/>
          <w:color w:val="000000"/>
          <w:sz w:val="24"/>
          <w:szCs w:val="24"/>
        </w:rPr>
        <w:t>BME</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roofErr w:type="spellStart"/>
      <w:r w:rsidRPr="009E7E78">
        <w:rPr>
          <w:rFonts w:ascii="Times New Roman" w:hAnsi="Times New Roman"/>
          <w:color w:val="000000"/>
          <w:sz w:val="24"/>
          <w:szCs w:val="24"/>
        </w:rPr>
        <w:t>Bolsas</w:t>
      </w:r>
      <w:proofErr w:type="spellEnd"/>
      <w:r w:rsidRPr="009E7E78">
        <w:rPr>
          <w:rFonts w:ascii="Times New Roman" w:hAnsi="Times New Roman"/>
          <w:color w:val="000000"/>
          <w:sz w:val="24"/>
          <w:szCs w:val="24"/>
        </w:rPr>
        <w:t xml:space="preserve"> y </w:t>
      </w:r>
      <w:proofErr w:type="spellStart"/>
      <w:r w:rsidRPr="009E7E78">
        <w:rPr>
          <w:rFonts w:ascii="Times New Roman" w:hAnsi="Times New Roman"/>
          <w:color w:val="000000"/>
          <w:sz w:val="24"/>
          <w:szCs w:val="24"/>
        </w:rPr>
        <w:t>Mercados</w:t>
      </w:r>
      <w:proofErr w:type="spellEnd"/>
      <w:r w:rsidRPr="009E7E78">
        <w:rPr>
          <w:rFonts w:ascii="Times New Roman" w:hAnsi="Times New Roman"/>
          <w:color w:val="000000"/>
          <w:sz w:val="24"/>
          <w:szCs w:val="24"/>
        </w:rPr>
        <w:t xml:space="preserve"> </w:t>
      </w:r>
      <w:proofErr w:type="spellStart"/>
      <w:r w:rsidRPr="009E7E78">
        <w:rPr>
          <w:rFonts w:ascii="Times New Roman" w:hAnsi="Times New Roman"/>
          <w:color w:val="000000"/>
          <w:sz w:val="24"/>
          <w:szCs w:val="24"/>
        </w:rPr>
        <w:t>Españoles</w:t>
      </w:r>
      <w:proofErr w:type="spellEnd"/>
    </w:p>
    <w:p w:rsidR="00DF479B" w:rsidRDefault="00DF479B" w:rsidP="00D34145">
      <w:pPr>
        <w:spacing w:after="0" w:line="240" w:lineRule="auto"/>
        <w:rPr>
          <w:rFonts w:ascii="Times New Roman" w:hAnsi="Times New Roman"/>
          <w:color w:val="000000"/>
          <w:sz w:val="24"/>
          <w:szCs w:val="24"/>
        </w:rPr>
      </w:pPr>
      <w:r w:rsidRPr="00DF479B">
        <w:rPr>
          <w:rFonts w:ascii="Times New Roman" w:hAnsi="Times New Roman"/>
          <w:color w:val="000000"/>
          <w:sz w:val="24"/>
          <w:szCs w:val="24"/>
        </w:rPr>
        <w:t xml:space="preserve">BNBGSSS </w:t>
      </w:r>
      <w:r w:rsidRPr="00DF479B">
        <w:rPr>
          <w:rFonts w:ascii="Times New Roman" w:hAnsi="Times New Roman"/>
          <w:color w:val="000000"/>
          <w:sz w:val="24"/>
          <w:szCs w:val="24"/>
        </w:rPr>
        <w:tab/>
      </w:r>
      <w:r w:rsidRPr="00DF479B">
        <w:rPr>
          <w:rFonts w:ascii="Times New Roman" w:hAnsi="Times New Roman"/>
          <w:color w:val="000000"/>
          <w:sz w:val="24"/>
          <w:szCs w:val="24"/>
        </w:rPr>
        <w:tab/>
        <w:t xml:space="preserve">Bulgaria’s National Bank Government Securities Settlement System </w:t>
      </w:r>
    </w:p>
    <w:p w:rsidR="00EE40EA" w:rsidRDefault="00EE40EA" w:rsidP="00D34145">
      <w:pPr>
        <w:spacing w:after="0" w:line="240" w:lineRule="auto"/>
        <w:rPr>
          <w:rFonts w:ascii="Times New Roman" w:hAnsi="Times New Roman"/>
          <w:color w:val="000000"/>
          <w:sz w:val="24"/>
          <w:szCs w:val="24"/>
        </w:rPr>
      </w:pPr>
      <w:r>
        <w:rPr>
          <w:rFonts w:ascii="Times New Roman" w:hAnsi="Times New Roman"/>
          <w:color w:val="000000"/>
          <w:sz w:val="24"/>
          <w:szCs w:val="24"/>
        </w:rPr>
        <w:t>BOP</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Balance of Payments</w:t>
      </w:r>
    </w:p>
    <w:p w:rsidR="00D34145" w:rsidRDefault="00D34145" w:rsidP="00D34145">
      <w:pPr>
        <w:spacing w:after="0" w:line="240" w:lineRule="auto"/>
        <w:rPr>
          <w:rFonts w:ascii="Times New Roman" w:hAnsi="Times New Roman"/>
          <w:color w:val="000000"/>
          <w:sz w:val="24"/>
          <w:szCs w:val="24"/>
        </w:rPr>
      </w:pPr>
      <w:r>
        <w:rPr>
          <w:rFonts w:ascii="Times New Roman" w:hAnsi="Times New Roman"/>
          <w:color w:val="000000"/>
          <w:sz w:val="24"/>
          <w:szCs w:val="24"/>
        </w:rPr>
        <w:t>BSE</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Bulgarian Stock Exchange</w:t>
      </w:r>
    </w:p>
    <w:p w:rsidR="008A4846" w:rsidRPr="00CF6C2B" w:rsidRDefault="00EE40EA" w:rsidP="008A4846">
      <w:pPr>
        <w:spacing w:after="0" w:line="240" w:lineRule="auto"/>
        <w:rPr>
          <w:rFonts w:ascii="Times New Roman" w:hAnsi="Times New Roman"/>
          <w:sz w:val="24"/>
        </w:rPr>
      </w:pPr>
      <w:r w:rsidRPr="000E057F">
        <w:rPr>
          <w:rFonts w:ascii="Times New Roman" w:hAnsi="Times New Roman"/>
          <w:sz w:val="24"/>
          <w:szCs w:val="24"/>
        </w:rPr>
        <w:t>CDAD</w:t>
      </w:r>
      <w:r w:rsidR="008A4846">
        <w:rPr>
          <w:rFonts w:ascii="Times New Roman" w:hAnsi="Times New Roman"/>
          <w:sz w:val="24"/>
          <w:szCs w:val="24"/>
        </w:rPr>
        <w:tab/>
      </w:r>
      <w:r w:rsidR="008A4846">
        <w:rPr>
          <w:rFonts w:ascii="Times New Roman" w:hAnsi="Times New Roman"/>
          <w:sz w:val="24"/>
          <w:szCs w:val="24"/>
        </w:rPr>
        <w:tab/>
      </w:r>
      <w:r w:rsidR="008A4846">
        <w:rPr>
          <w:rFonts w:ascii="Times New Roman" w:hAnsi="Times New Roman"/>
          <w:sz w:val="24"/>
          <w:szCs w:val="24"/>
        </w:rPr>
        <w:tab/>
        <w:t>Central Depository AD</w:t>
      </w:r>
      <w:r w:rsidR="008A4846" w:rsidRPr="0016163A">
        <w:rPr>
          <w:rFonts w:ascii="Times New Roman" w:hAnsi="Times New Roman"/>
          <w:sz w:val="24"/>
          <w:szCs w:val="24"/>
        </w:rPr>
        <w:t>, an organization in Bulgaria providing settlement</w:t>
      </w:r>
    </w:p>
    <w:p w:rsidR="008A4846" w:rsidRDefault="008A4846" w:rsidP="008A4846">
      <w:pPr>
        <w:spacing w:after="0" w:line="240" w:lineRule="auto"/>
        <w:ind w:left="1440" w:firstLine="720"/>
        <w:rPr>
          <w:rFonts w:ascii="Times New Roman" w:hAnsi="Times New Roman"/>
          <w:sz w:val="24"/>
          <w:szCs w:val="24"/>
        </w:rPr>
      </w:pPr>
      <w:proofErr w:type="gramStart"/>
      <w:r w:rsidRPr="0016163A">
        <w:rPr>
          <w:rFonts w:ascii="Times New Roman" w:hAnsi="Times New Roman"/>
          <w:sz w:val="24"/>
          <w:szCs w:val="24"/>
        </w:rPr>
        <w:t>of</w:t>
      </w:r>
      <w:proofErr w:type="gramEnd"/>
      <w:r w:rsidRPr="0016163A">
        <w:rPr>
          <w:rFonts w:ascii="Times New Roman" w:hAnsi="Times New Roman"/>
          <w:sz w:val="24"/>
          <w:szCs w:val="24"/>
        </w:rPr>
        <w:t xml:space="preserve"> corporate securities</w:t>
      </w:r>
    </w:p>
    <w:p w:rsidR="00EA3ED8" w:rsidRDefault="00EA3ED8" w:rsidP="00F1721D">
      <w:pPr>
        <w:spacing w:after="0" w:line="240" w:lineRule="auto"/>
        <w:rPr>
          <w:rFonts w:ascii="Times New Roman" w:hAnsi="Times New Roman"/>
          <w:sz w:val="24"/>
          <w:szCs w:val="24"/>
        </w:rPr>
      </w:pPr>
      <w:r>
        <w:rPr>
          <w:rFonts w:ascii="Times New Roman" w:hAnsi="Times New Roman"/>
          <w:sz w:val="24"/>
          <w:szCs w:val="24"/>
        </w:rPr>
        <w:t>CEESEG</w:t>
      </w:r>
      <w:r>
        <w:rPr>
          <w:rFonts w:ascii="Times New Roman" w:hAnsi="Times New Roman"/>
          <w:sz w:val="24"/>
          <w:szCs w:val="24"/>
        </w:rPr>
        <w:tab/>
      </w:r>
      <w:r>
        <w:rPr>
          <w:rFonts w:ascii="Times New Roman" w:hAnsi="Times New Roman"/>
          <w:sz w:val="24"/>
          <w:szCs w:val="24"/>
        </w:rPr>
        <w:tab/>
        <w:t>Central and Eastern Europe Stock Exchange Group</w:t>
      </w:r>
    </w:p>
    <w:p w:rsidR="00CB3AE5" w:rsidRPr="00CB3AE5" w:rsidRDefault="00CB3AE5" w:rsidP="00CB3AE5">
      <w:pPr>
        <w:spacing w:after="0" w:line="240" w:lineRule="auto"/>
        <w:rPr>
          <w:rFonts w:ascii="Times New Roman" w:hAnsi="Times New Roman"/>
          <w:color w:val="000000"/>
          <w:sz w:val="24"/>
          <w:szCs w:val="24"/>
        </w:rPr>
      </w:pPr>
      <w:r w:rsidRPr="00CB3AE5">
        <w:rPr>
          <w:rFonts w:ascii="Times New Roman" w:hAnsi="Times New Roman"/>
          <w:color w:val="000000"/>
          <w:sz w:val="24"/>
          <w:szCs w:val="24"/>
        </w:rPr>
        <w:t>CSD</w:t>
      </w:r>
      <w:r w:rsidRPr="00CB3AE5">
        <w:rPr>
          <w:rFonts w:ascii="Times New Roman" w:hAnsi="Times New Roman"/>
          <w:color w:val="000000"/>
          <w:sz w:val="24"/>
          <w:szCs w:val="24"/>
        </w:rPr>
        <w:tab/>
      </w:r>
      <w:r w:rsidRPr="00CB3AE5">
        <w:rPr>
          <w:rFonts w:ascii="Times New Roman" w:hAnsi="Times New Roman"/>
          <w:color w:val="000000"/>
          <w:sz w:val="24"/>
          <w:szCs w:val="24"/>
        </w:rPr>
        <w:tab/>
      </w:r>
      <w:r w:rsidRPr="00CB3AE5">
        <w:rPr>
          <w:rFonts w:ascii="Times New Roman" w:hAnsi="Times New Roman"/>
          <w:color w:val="000000"/>
          <w:sz w:val="24"/>
          <w:szCs w:val="24"/>
        </w:rPr>
        <w:tab/>
        <w:t>Central Securities Depository</w:t>
      </w:r>
    </w:p>
    <w:p w:rsidR="00EE40EA" w:rsidRDefault="008A4846" w:rsidP="008A4846">
      <w:pPr>
        <w:spacing w:after="0" w:line="240" w:lineRule="auto"/>
        <w:rPr>
          <w:rFonts w:ascii="Times New Roman" w:hAnsi="Times New Roman"/>
          <w:sz w:val="24"/>
          <w:szCs w:val="24"/>
        </w:rPr>
      </w:pPr>
      <w:r>
        <w:rPr>
          <w:rFonts w:ascii="Times New Roman" w:hAnsi="Times New Roman"/>
          <w:sz w:val="24"/>
          <w:szCs w:val="24"/>
        </w:rPr>
        <w:t>EC</w:t>
      </w:r>
      <w:r w:rsidR="00EE40EA">
        <w:rPr>
          <w:rFonts w:ascii="Times New Roman" w:hAnsi="Times New Roman"/>
          <w:sz w:val="24"/>
          <w:szCs w:val="24"/>
        </w:rPr>
        <w:tab/>
      </w:r>
      <w:r w:rsidR="00EE40EA">
        <w:rPr>
          <w:rFonts w:ascii="Times New Roman" w:hAnsi="Times New Roman"/>
          <w:sz w:val="24"/>
          <w:szCs w:val="24"/>
        </w:rPr>
        <w:tab/>
      </w:r>
      <w:r w:rsidR="00EE40EA">
        <w:rPr>
          <w:rFonts w:ascii="Times New Roman" w:hAnsi="Times New Roman"/>
          <w:sz w:val="24"/>
          <w:szCs w:val="24"/>
        </w:rPr>
        <w:tab/>
      </w:r>
      <w:r>
        <w:rPr>
          <w:rFonts w:ascii="Times New Roman" w:hAnsi="Times New Roman"/>
          <w:sz w:val="24"/>
          <w:szCs w:val="24"/>
        </w:rPr>
        <w:t>European Commission</w:t>
      </w:r>
    </w:p>
    <w:p w:rsidR="00950FF3" w:rsidRDefault="00950FF3" w:rsidP="008A4846">
      <w:pPr>
        <w:spacing w:after="0" w:line="240" w:lineRule="auto"/>
        <w:rPr>
          <w:rFonts w:ascii="Times New Roman" w:hAnsi="Times New Roman"/>
          <w:sz w:val="24"/>
          <w:szCs w:val="24"/>
        </w:rPr>
      </w:pPr>
      <w:r>
        <w:rPr>
          <w:rFonts w:ascii="Times New Roman" w:hAnsi="Times New Roman"/>
          <w:sz w:val="24"/>
          <w:szCs w:val="24"/>
        </w:rPr>
        <w:t xml:space="preserve">ECB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European Central Bank</w:t>
      </w:r>
    </w:p>
    <w:p w:rsidR="001B6E3C" w:rsidRPr="00D541D2" w:rsidRDefault="001107B3" w:rsidP="001B6E3C">
      <w:pPr>
        <w:spacing w:after="0" w:line="240" w:lineRule="auto"/>
        <w:rPr>
          <w:rFonts w:ascii="Times New Roman" w:hAnsi="Times New Roman"/>
          <w:color w:val="000000"/>
          <w:sz w:val="24"/>
          <w:szCs w:val="24"/>
        </w:rPr>
      </w:pPr>
      <w:r>
        <w:rPr>
          <w:rFonts w:ascii="Times New Roman" w:hAnsi="Times New Roman"/>
          <w:color w:val="000000"/>
          <w:sz w:val="24"/>
          <w:szCs w:val="24"/>
        </w:rPr>
        <w:t>EGMI</w:t>
      </w:r>
      <w:r w:rsidR="001B6E3C">
        <w:rPr>
          <w:rFonts w:ascii="Times New Roman" w:hAnsi="Times New Roman"/>
          <w:color w:val="000000"/>
          <w:sz w:val="24"/>
          <w:szCs w:val="24"/>
        </w:rPr>
        <w:tab/>
      </w:r>
      <w:r w:rsidR="001B6E3C">
        <w:rPr>
          <w:rFonts w:ascii="Times New Roman" w:hAnsi="Times New Roman"/>
          <w:color w:val="000000"/>
          <w:sz w:val="24"/>
          <w:szCs w:val="24"/>
        </w:rPr>
        <w:tab/>
      </w:r>
      <w:r w:rsidR="001B6E3C">
        <w:rPr>
          <w:rFonts w:ascii="Times New Roman" w:hAnsi="Times New Roman"/>
          <w:color w:val="000000"/>
          <w:sz w:val="24"/>
          <w:szCs w:val="24"/>
        </w:rPr>
        <w:tab/>
      </w:r>
      <w:r w:rsidR="001B6E3C" w:rsidRPr="00602C3C">
        <w:rPr>
          <w:rFonts w:ascii="Times New Roman" w:hAnsi="Times New Roman"/>
          <w:sz w:val="24"/>
          <w:szCs w:val="24"/>
        </w:rPr>
        <w:t>Expert Group on Market Infrastructures</w:t>
      </w:r>
    </w:p>
    <w:p w:rsidR="001B6E3C" w:rsidRDefault="001B6E3C" w:rsidP="001B6E3C">
      <w:pPr>
        <w:spacing w:after="0" w:line="240" w:lineRule="auto"/>
        <w:rPr>
          <w:rFonts w:ascii="Times New Roman" w:hAnsi="Times New Roman"/>
          <w:color w:val="000000"/>
          <w:sz w:val="24"/>
          <w:szCs w:val="24"/>
        </w:rPr>
      </w:pPr>
      <w:r>
        <w:rPr>
          <w:rFonts w:ascii="Times New Roman" w:hAnsi="Times New Roman"/>
          <w:color w:val="000000"/>
          <w:sz w:val="24"/>
          <w:szCs w:val="24"/>
        </w:rPr>
        <w:t>EU</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European Union</w:t>
      </w:r>
    </w:p>
    <w:p w:rsidR="00362951" w:rsidRPr="0016163A" w:rsidRDefault="00362951" w:rsidP="001B6E3C">
      <w:pPr>
        <w:spacing w:after="0" w:line="240" w:lineRule="auto"/>
        <w:rPr>
          <w:rFonts w:ascii="Times New Roman" w:hAnsi="Times New Roman"/>
          <w:sz w:val="24"/>
          <w:szCs w:val="24"/>
        </w:rPr>
      </w:pPr>
      <w:r>
        <w:rPr>
          <w:rFonts w:ascii="Times New Roman" w:hAnsi="Times New Roman"/>
          <w:color w:val="000000"/>
          <w:sz w:val="24"/>
          <w:szCs w:val="24"/>
        </w:rPr>
        <w:t>FDI</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Foreign Direct Investment</w:t>
      </w:r>
    </w:p>
    <w:p w:rsidR="00D34145" w:rsidRDefault="00D34145" w:rsidP="00D34145">
      <w:pPr>
        <w:spacing w:after="0" w:line="240" w:lineRule="auto"/>
        <w:rPr>
          <w:rFonts w:ascii="Times New Roman" w:hAnsi="Times New Roman"/>
          <w:color w:val="000000"/>
          <w:sz w:val="24"/>
          <w:szCs w:val="24"/>
        </w:rPr>
      </w:pPr>
      <w:r>
        <w:rPr>
          <w:rFonts w:ascii="Times New Roman" w:hAnsi="Times New Roman"/>
          <w:color w:val="000000"/>
          <w:sz w:val="24"/>
          <w:szCs w:val="24"/>
        </w:rPr>
        <w:t>FESE</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Federation of European Stock Exchanges</w:t>
      </w:r>
    </w:p>
    <w:p w:rsidR="00EE40EA" w:rsidRDefault="00EE40EA" w:rsidP="00D34145">
      <w:pPr>
        <w:spacing w:after="0" w:line="240" w:lineRule="auto"/>
        <w:rPr>
          <w:rFonts w:ascii="Times New Roman" w:hAnsi="Times New Roman"/>
          <w:color w:val="000000"/>
          <w:sz w:val="24"/>
          <w:szCs w:val="24"/>
        </w:rPr>
      </w:pPr>
      <w:r>
        <w:rPr>
          <w:rFonts w:ascii="Times New Roman" w:hAnsi="Times New Roman"/>
          <w:color w:val="000000"/>
          <w:sz w:val="24"/>
          <w:szCs w:val="24"/>
        </w:rPr>
        <w:t>FSAP</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Financial Sector Assessment Program</w:t>
      </w:r>
    </w:p>
    <w:p w:rsidR="00362951" w:rsidRDefault="00362951" w:rsidP="00D34145">
      <w:pPr>
        <w:spacing w:after="0" w:line="240" w:lineRule="auto"/>
        <w:rPr>
          <w:rFonts w:ascii="Times New Roman" w:hAnsi="Times New Roman"/>
          <w:color w:val="000000"/>
          <w:sz w:val="24"/>
          <w:szCs w:val="24"/>
        </w:rPr>
      </w:pPr>
      <w:r>
        <w:rPr>
          <w:rFonts w:ascii="Times New Roman" w:hAnsi="Times New Roman"/>
          <w:sz w:val="24"/>
          <w:szCs w:val="24"/>
        </w:rPr>
        <w:t xml:space="preserve">FSAP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Financial Services Action Plan </w:t>
      </w:r>
    </w:p>
    <w:p w:rsidR="00D34145" w:rsidRDefault="00D34145" w:rsidP="00D34145">
      <w:pPr>
        <w:spacing w:after="0" w:line="240" w:lineRule="auto"/>
        <w:rPr>
          <w:rFonts w:ascii="Times New Roman" w:hAnsi="Times New Roman"/>
          <w:color w:val="000000"/>
          <w:sz w:val="24"/>
          <w:szCs w:val="24"/>
        </w:rPr>
      </w:pPr>
      <w:r>
        <w:rPr>
          <w:rFonts w:ascii="Times New Roman" w:hAnsi="Times New Roman"/>
          <w:color w:val="000000"/>
          <w:sz w:val="24"/>
          <w:szCs w:val="24"/>
        </w:rPr>
        <w:t>FSC</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Financial Supervision Commission</w:t>
      </w:r>
    </w:p>
    <w:p w:rsidR="001A37C1" w:rsidRDefault="001A37C1" w:rsidP="00D34145">
      <w:pPr>
        <w:spacing w:after="0" w:line="240" w:lineRule="auto"/>
        <w:rPr>
          <w:rFonts w:ascii="Times New Roman" w:hAnsi="Times New Roman"/>
          <w:color w:val="000000"/>
          <w:sz w:val="24"/>
          <w:szCs w:val="24"/>
        </w:rPr>
      </w:pPr>
      <w:r>
        <w:rPr>
          <w:rFonts w:ascii="Times New Roman" w:hAnsi="Times New Roman"/>
          <w:color w:val="000000"/>
          <w:sz w:val="24"/>
          <w:szCs w:val="24"/>
        </w:rPr>
        <w:t>FTSE</w:t>
      </w:r>
      <w:r w:rsidR="00564D8C">
        <w:rPr>
          <w:rFonts w:ascii="Times New Roman" w:hAnsi="Times New Roman"/>
          <w:color w:val="000000"/>
          <w:sz w:val="24"/>
          <w:szCs w:val="24"/>
        </w:rPr>
        <w:tab/>
      </w:r>
      <w:r w:rsidR="00564D8C">
        <w:rPr>
          <w:rFonts w:ascii="Times New Roman" w:hAnsi="Times New Roman"/>
          <w:color w:val="000000"/>
          <w:sz w:val="24"/>
          <w:szCs w:val="24"/>
        </w:rPr>
        <w:tab/>
      </w:r>
      <w:r w:rsidR="00564D8C">
        <w:rPr>
          <w:rFonts w:ascii="Times New Roman" w:hAnsi="Times New Roman"/>
          <w:color w:val="000000"/>
          <w:sz w:val="24"/>
          <w:szCs w:val="24"/>
        </w:rPr>
        <w:tab/>
        <w:t>Financial Times and London Stock Exchange</w:t>
      </w:r>
    </w:p>
    <w:p w:rsidR="00FC21AC" w:rsidRDefault="00023359" w:rsidP="00D34145">
      <w:pPr>
        <w:spacing w:after="0" w:line="240" w:lineRule="auto"/>
        <w:rPr>
          <w:rFonts w:ascii="Times New Roman" w:hAnsi="Times New Roman"/>
          <w:color w:val="000000"/>
          <w:sz w:val="24"/>
          <w:szCs w:val="24"/>
        </w:rPr>
      </w:pPr>
      <w:r>
        <w:rPr>
          <w:rFonts w:ascii="Times New Roman" w:hAnsi="Times New Roman"/>
          <w:color w:val="000000"/>
          <w:sz w:val="24"/>
          <w:szCs w:val="24"/>
        </w:rPr>
        <w:t>GDP</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Gross Domestic Product</w:t>
      </w:r>
    </w:p>
    <w:p w:rsidR="00EE40EA" w:rsidRDefault="00EE40EA" w:rsidP="00FC21AC">
      <w:pPr>
        <w:spacing w:after="0" w:line="240" w:lineRule="auto"/>
        <w:rPr>
          <w:rFonts w:ascii="Times New Roman" w:hAnsi="Times New Roman"/>
          <w:color w:val="000000"/>
          <w:sz w:val="24"/>
          <w:szCs w:val="24"/>
        </w:rPr>
      </w:pPr>
      <w:r>
        <w:rPr>
          <w:rFonts w:ascii="Times New Roman" w:hAnsi="Times New Roman"/>
          <w:color w:val="000000"/>
          <w:sz w:val="24"/>
          <w:szCs w:val="24"/>
        </w:rPr>
        <w:t>IMF</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International Monetary Fund</w:t>
      </w:r>
    </w:p>
    <w:p w:rsidR="001107B3" w:rsidRDefault="001107B3" w:rsidP="00FC21AC">
      <w:pPr>
        <w:spacing w:after="0" w:line="240" w:lineRule="auto"/>
        <w:rPr>
          <w:rFonts w:ascii="Times New Roman" w:hAnsi="Times New Roman"/>
          <w:color w:val="000000"/>
          <w:sz w:val="24"/>
          <w:szCs w:val="24"/>
        </w:rPr>
      </w:pPr>
      <w:r>
        <w:rPr>
          <w:rFonts w:ascii="Times New Roman" w:hAnsi="Times New Roman"/>
          <w:color w:val="000000"/>
          <w:sz w:val="24"/>
          <w:szCs w:val="24"/>
        </w:rPr>
        <w:t>IPO</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Initial Public Offering</w:t>
      </w:r>
    </w:p>
    <w:p w:rsidR="00F106E2" w:rsidRDefault="00023359" w:rsidP="00FC21AC">
      <w:pPr>
        <w:spacing w:after="0" w:line="240" w:lineRule="auto"/>
        <w:rPr>
          <w:rFonts w:ascii="Times New Roman" w:hAnsi="Times New Roman"/>
          <w:sz w:val="24"/>
          <w:szCs w:val="24"/>
        </w:rPr>
      </w:pPr>
      <w:proofErr w:type="spellStart"/>
      <w:r>
        <w:rPr>
          <w:rFonts w:ascii="Times New Roman" w:hAnsi="Times New Roman"/>
          <w:color w:val="000000"/>
          <w:sz w:val="24"/>
          <w:szCs w:val="24"/>
        </w:rPr>
        <w:t>MiFID</w:t>
      </w:r>
      <w:proofErr w:type="spellEnd"/>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F660B4">
        <w:rPr>
          <w:rFonts w:ascii="Times New Roman" w:hAnsi="Times New Roman"/>
          <w:sz w:val="24"/>
          <w:szCs w:val="24"/>
        </w:rPr>
        <w:t>Markets in Financial Instruments Directive</w:t>
      </w:r>
    </w:p>
    <w:p w:rsidR="000D7266" w:rsidRDefault="000D7266" w:rsidP="00FC21AC">
      <w:pPr>
        <w:spacing w:after="0" w:line="240" w:lineRule="auto"/>
        <w:rPr>
          <w:rFonts w:ascii="Times New Roman" w:hAnsi="Times New Roman"/>
          <w:sz w:val="24"/>
          <w:szCs w:val="24"/>
        </w:rPr>
      </w:pPr>
      <w:proofErr w:type="spellStart"/>
      <w:r>
        <w:rPr>
          <w:rFonts w:ascii="Times New Roman" w:hAnsi="Times New Roman"/>
          <w:sz w:val="24"/>
          <w:szCs w:val="24"/>
        </w:rPr>
        <w:t>MoF</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Ministry of Finance</w:t>
      </w:r>
    </w:p>
    <w:p w:rsidR="001A37C1" w:rsidRDefault="001A37C1" w:rsidP="00F1721D">
      <w:pPr>
        <w:spacing w:after="0" w:line="240" w:lineRule="auto"/>
        <w:ind w:left="2160" w:hanging="2160"/>
        <w:rPr>
          <w:rFonts w:ascii="Times New Roman" w:hAnsi="Times New Roman"/>
          <w:sz w:val="24"/>
          <w:szCs w:val="24"/>
        </w:rPr>
      </w:pPr>
      <w:r w:rsidRPr="00E01648">
        <w:rPr>
          <w:rFonts w:ascii="Times New Roman" w:hAnsi="Times New Roman"/>
          <w:sz w:val="24"/>
          <w:szCs w:val="24"/>
        </w:rPr>
        <w:t>NASDAQ OMX</w:t>
      </w:r>
      <w:r w:rsidR="002B63C1">
        <w:rPr>
          <w:rFonts w:ascii="Times New Roman" w:hAnsi="Times New Roman"/>
          <w:sz w:val="24"/>
          <w:szCs w:val="24"/>
        </w:rPr>
        <w:tab/>
      </w:r>
      <w:r w:rsidR="002B63C1" w:rsidRPr="00F1721D">
        <w:rPr>
          <w:rFonts w:ascii="Times New Roman" w:hAnsi="Times New Roman"/>
          <w:sz w:val="24"/>
          <w:szCs w:val="24"/>
        </w:rPr>
        <w:t>National Association of Securities Dealers Automated Quotations</w:t>
      </w:r>
      <w:r w:rsidR="002B63C1">
        <w:rPr>
          <w:rFonts w:ascii="Times New Roman" w:hAnsi="Times New Roman"/>
          <w:sz w:val="24"/>
          <w:szCs w:val="24"/>
        </w:rPr>
        <w:t xml:space="preserve"> </w:t>
      </w:r>
      <w:proofErr w:type="spellStart"/>
      <w:r w:rsidR="002B63C1" w:rsidRPr="002B63C1">
        <w:rPr>
          <w:rFonts w:ascii="Times New Roman" w:hAnsi="Times New Roman"/>
          <w:color w:val="000000"/>
          <w:sz w:val="24"/>
          <w:szCs w:val="24"/>
        </w:rPr>
        <w:t>Aktiebolaget</w:t>
      </w:r>
      <w:proofErr w:type="spellEnd"/>
      <w:r w:rsidR="002B63C1" w:rsidRPr="002B63C1">
        <w:rPr>
          <w:rFonts w:ascii="Times New Roman" w:hAnsi="Times New Roman"/>
          <w:color w:val="000000"/>
          <w:sz w:val="24"/>
          <w:szCs w:val="24"/>
        </w:rPr>
        <w:t xml:space="preserve"> </w:t>
      </w:r>
      <w:proofErr w:type="spellStart"/>
      <w:r w:rsidR="002B63C1" w:rsidRPr="002B63C1">
        <w:rPr>
          <w:rFonts w:ascii="Times New Roman" w:hAnsi="Times New Roman"/>
          <w:color w:val="000000"/>
          <w:sz w:val="24"/>
          <w:szCs w:val="24"/>
        </w:rPr>
        <w:t>Optionsmäklarna</w:t>
      </w:r>
      <w:proofErr w:type="spellEnd"/>
      <w:r w:rsidR="002B63C1" w:rsidRPr="002B63C1">
        <w:rPr>
          <w:rFonts w:ascii="Times New Roman" w:hAnsi="Times New Roman"/>
          <w:color w:val="000000"/>
          <w:sz w:val="24"/>
          <w:szCs w:val="24"/>
        </w:rPr>
        <w:t>/Helsinki Stock Exchange</w:t>
      </w:r>
    </w:p>
    <w:p w:rsidR="000F1888" w:rsidRDefault="00EE40EA" w:rsidP="00FC21AC">
      <w:pPr>
        <w:spacing w:after="0" w:line="240" w:lineRule="auto"/>
        <w:rPr>
          <w:rFonts w:ascii="Times New Roman" w:hAnsi="Times New Roman"/>
          <w:sz w:val="24"/>
          <w:szCs w:val="24"/>
        </w:rPr>
      </w:pPr>
      <w:r>
        <w:rPr>
          <w:rFonts w:ascii="Times New Roman" w:hAnsi="Times New Roman"/>
          <w:sz w:val="24"/>
          <w:szCs w:val="24"/>
        </w:rPr>
        <w:t>NYSE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New York Stock Exchange</w:t>
      </w:r>
    </w:p>
    <w:p w:rsidR="00F1721D" w:rsidRDefault="00F1721D" w:rsidP="00FC21AC">
      <w:pPr>
        <w:spacing w:after="0" w:line="240" w:lineRule="auto"/>
        <w:rPr>
          <w:rFonts w:ascii="Times New Roman" w:hAnsi="Times New Roman"/>
          <w:sz w:val="24"/>
          <w:szCs w:val="24"/>
        </w:rPr>
      </w:pPr>
      <w:r>
        <w:rPr>
          <w:rFonts w:ascii="Times New Roman" w:hAnsi="Times New Roman"/>
          <w:sz w:val="24"/>
          <w:szCs w:val="24"/>
        </w:rPr>
        <w:t>OTC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Over-The-Counter</w:t>
      </w:r>
    </w:p>
    <w:p w:rsidR="008262A2" w:rsidRDefault="008262A2" w:rsidP="00FC21AC">
      <w:pPr>
        <w:spacing w:after="0" w:line="240" w:lineRule="auto"/>
        <w:rPr>
          <w:rFonts w:ascii="Times New Roman" w:hAnsi="Times New Roman"/>
          <w:sz w:val="24"/>
          <w:szCs w:val="24"/>
        </w:rPr>
      </w:pPr>
      <w:r>
        <w:rPr>
          <w:rFonts w:ascii="Times New Roman" w:hAnsi="Times New Roman"/>
          <w:sz w:val="24"/>
          <w:szCs w:val="24"/>
        </w:rPr>
        <w:t>RM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Regulated Market</w:t>
      </w:r>
    </w:p>
    <w:p w:rsidR="001B6E3C" w:rsidRDefault="001B6E3C" w:rsidP="00FC21AC">
      <w:pPr>
        <w:spacing w:after="0" w:line="240" w:lineRule="auto"/>
        <w:rPr>
          <w:rFonts w:ascii="Times New Roman" w:hAnsi="Times New Roman"/>
          <w:sz w:val="24"/>
          <w:szCs w:val="24"/>
        </w:rPr>
      </w:pPr>
      <w:r>
        <w:rPr>
          <w:rFonts w:ascii="Times New Roman" w:hAnsi="Times New Roman"/>
          <w:sz w:val="24"/>
          <w:szCs w:val="24"/>
        </w:rPr>
        <w:t>SPV</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Special Purpose Vehicle</w:t>
      </w:r>
    </w:p>
    <w:p w:rsidR="001A37C1" w:rsidRDefault="001A37C1" w:rsidP="00FC21AC">
      <w:pPr>
        <w:spacing w:after="0" w:line="240" w:lineRule="auto"/>
        <w:rPr>
          <w:rFonts w:ascii="Times New Roman" w:hAnsi="Times New Roman"/>
          <w:sz w:val="24"/>
          <w:szCs w:val="24"/>
        </w:rPr>
      </w:pPr>
      <w:r>
        <w:rPr>
          <w:rFonts w:ascii="Times New Roman" w:hAnsi="Times New Roman"/>
          <w:sz w:val="24"/>
          <w:szCs w:val="24"/>
        </w:rPr>
        <w:t>SIX</w:t>
      </w:r>
      <w:r w:rsidR="002B63C1">
        <w:rPr>
          <w:rFonts w:ascii="Times New Roman" w:hAnsi="Times New Roman"/>
          <w:sz w:val="24"/>
          <w:szCs w:val="24"/>
        </w:rPr>
        <w:tab/>
      </w:r>
      <w:r w:rsidR="002B63C1">
        <w:rPr>
          <w:rFonts w:ascii="Times New Roman" w:hAnsi="Times New Roman"/>
          <w:sz w:val="24"/>
          <w:szCs w:val="24"/>
        </w:rPr>
        <w:tab/>
      </w:r>
      <w:r w:rsidR="00564D8C">
        <w:rPr>
          <w:rFonts w:ascii="Times New Roman" w:hAnsi="Times New Roman"/>
          <w:sz w:val="24"/>
          <w:szCs w:val="24"/>
        </w:rPr>
        <w:tab/>
      </w:r>
      <w:r w:rsidR="002B63C1">
        <w:rPr>
          <w:rFonts w:ascii="Times New Roman" w:hAnsi="Times New Roman"/>
          <w:sz w:val="24"/>
          <w:szCs w:val="24"/>
        </w:rPr>
        <w:t>Swiss Infrastructure and Exchange</w:t>
      </w:r>
    </w:p>
    <w:p w:rsidR="001B6E3C" w:rsidRDefault="001B6E3C" w:rsidP="00FC21AC">
      <w:pPr>
        <w:spacing w:after="0" w:line="240" w:lineRule="auto"/>
        <w:rPr>
          <w:rFonts w:ascii="Times New Roman" w:hAnsi="Times New Roman"/>
          <w:sz w:val="24"/>
          <w:szCs w:val="24"/>
        </w:rPr>
      </w:pPr>
      <w:r>
        <w:rPr>
          <w:rFonts w:ascii="Times New Roman" w:hAnsi="Times New Roman"/>
          <w:sz w:val="24"/>
          <w:szCs w:val="24"/>
        </w:rPr>
        <w:t>WDI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World Development Indicators</w:t>
      </w:r>
    </w:p>
    <w:p w:rsidR="00EA3ED8" w:rsidRDefault="00EA3ED8" w:rsidP="00FC21AC">
      <w:pPr>
        <w:spacing w:after="0" w:line="240" w:lineRule="auto"/>
        <w:rPr>
          <w:rFonts w:ascii="Times New Roman" w:hAnsi="Times New Roman"/>
          <w:sz w:val="24"/>
          <w:szCs w:val="24"/>
        </w:rPr>
      </w:pPr>
    </w:p>
    <w:p w:rsidR="000F1888" w:rsidRDefault="000F1888">
      <w:pPr>
        <w:spacing w:after="0" w:line="240" w:lineRule="auto"/>
        <w:rPr>
          <w:rFonts w:ascii="Times New Roman" w:hAnsi="Times New Roman"/>
          <w:sz w:val="24"/>
          <w:szCs w:val="24"/>
        </w:rPr>
      </w:pPr>
      <w:r>
        <w:rPr>
          <w:rFonts w:ascii="Times New Roman" w:hAnsi="Times New Roman"/>
          <w:sz w:val="24"/>
          <w:szCs w:val="24"/>
        </w:rPr>
        <w:br w:type="page"/>
      </w:r>
    </w:p>
    <w:p w:rsidR="00EE40EA" w:rsidRPr="00F6138C" w:rsidRDefault="000F1888" w:rsidP="00F6138C">
      <w:pPr>
        <w:spacing w:after="0" w:line="240" w:lineRule="auto"/>
        <w:jc w:val="center"/>
        <w:rPr>
          <w:rFonts w:ascii="Times New Roman" w:hAnsi="Times New Roman"/>
          <w:b/>
          <w:sz w:val="32"/>
          <w:szCs w:val="32"/>
        </w:rPr>
      </w:pPr>
      <w:r w:rsidRPr="00F6138C">
        <w:rPr>
          <w:rFonts w:ascii="Times New Roman" w:hAnsi="Times New Roman"/>
          <w:b/>
          <w:sz w:val="32"/>
          <w:szCs w:val="32"/>
        </w:rPr>
        <w:lastRenderedPageBreak/>
        <w:t>Table of Content</w:t>
      </w:r>
      <w:r w:rsidR="00477D83">
        <w:rPr>
          <w:rFonts w:ascii="Times New Roman" w:hAnsi="Times New Roman"/>
          <w:b/>
          <w:sz w:val="32"/>
          <w:szCs w:val="32"/>
        </w:rPr>
        <w:t>s</w:t>
      </w:r>
    </w:p>
    <w:p w:rsidR="00D34145" w:rsidRDefault="00D34145" w:rsidP="00FC21AC">
      <w:pPr>
        <w:spacing w:after="0" w:line="240" w:lineRule="auto"/>
        <w:rPr>
          <w:rFonts w:ascii="Times New Roman" w:hAnsi="Times New Roman"/>
          <w:sz w:val="24"/>
          <w:szCs w:val="24"/>
        </w:rPr>
      </w:pPr>
    </w:p>
    <w:p w:rsidR="00023359" w:rsidRDefault="00023359" w:rsidP="00FC21AC">
      <w:pPr>
        <w:spacing w:after="0" w:line="240" w:lineRule="auto"/>
        <w:rPr>
          <w:rFonts w:ascii="Times New Roman" w:hAnsi="Times New Roman"/>
          <w:color w:val="000000"/>
          <w:sz w:val="24"/>
          <w:szCs w:val="24"/>
        </w:rPr>
      </w:pPr>
    </w:p>
    <w:p w:rsidR="003634FF" w:rsidRDefault="00A63D05">
      <w:pPr>
        <w:pStyle w:val="TOC1"/>
        <w:rPr>
          <w:rFonts w:ascii="Calibri" w:hAnsi="Calibri"/>
          <w:noProof/>
          <w:sz w:val="22"/>
        </w:rPr>
      </w:pPr>
      <w:r>
        <w:rPr>
          <w:color w:val="000000"/>
          <w:szCs w:val="24"/>
        </w:rPr>
        <w:fldChar w:fldCharType="begin"/>
      </w:r>
      <w:r w:rsidR="00B0734D">
        <w:rPr>
          <w:color w:val="000000"/>
          <w:szCs w:val="24"/>
        </w:rPr>
        <w:instrText xml:space="preserve"> TOC \h \z \t "main,1,main_num,1" </w:instrText>
      </w:r>
      <w:r>
        <w:rPr>
          <w:color w:val="000000"/>
          <w:szCs w:val="24"/>
        </w:rPr>
        <w:fldChar w:fldCharType="separate"/>
      </w:r>
      <w:hyperlink w:anchor="_Toc297111585" w:history="1">
        <w:r w:rsidR="003634FF" w:rsidRPr="004D2C33">
          <w:rPr>
            <w:rStyle w:val="Hyperlink"/>
            <w:noProof/>
          </w:rPr>
          <w:t>I</w:t>
        </w:r>
        <w:r w:rsidR="003634FF">
          <w:rPr>
            <w:rFonts w:ascii="Calibri" w:hAnsi="Calibri"/>
            <w:noProof/>
            <w:sz w:val="22"/>
          </w:rPr>
          <w:tab/>
        </w:r>
        <w:r w:rsidR="003634FF" w:rsidRPr="004D2C33">
          <w:rPr>
            <w:rStyle w:val="Hyperlink"/>
            <w:noProof/>
          </w:rPr>
          <w:t>Executive Summary: Capital Market Integration and MiFID Implementation: the Bulgarian</w:t>
        </w:r>
        <w:r w:rsidR="003634FF" w:rsidRPr="004D2C33">
          <w:rPr>
            <w:rStyle w:val="Hyperlink"/>
            <w:rFonts w:hAnsi="Calibri"/>
            <w:noProof/>
          </w:rPr>
          <w:t xml:space="preserve"> Experience</w:t>
        </w:r>
        <w:r w:rsidR="003634FF">
          <w:rPr>
            <w:noProof/>
            <w:webHidden/>
          </w:rPr>
          <w:tab/>
        </w:r>
        <w:r>
          <w:rPr>
            <w:noProof/>
            <w:webHidden/>
          </w:rPr>
          <w:fldChar w:fldCharType="begin"/>
        </w:r>
        <w:r w:rsidR="003634FF">
          <w:rPr>
            <w:noProof/>
            <w:webHidden/>
          </w:rPr>
          <w:instrText xml:space="preserve"> PAGEREF _Toc297111585 \h </w:instrText>
        </w:r>
        <w:r>
          <w:rPr>
            <w:noProof/>
            <w:webHidden/>
          </w:rPr>
        </w:r>
        <w:r>
          <w:rPr>
            <w:noProof/>
            <w:webHidden/>
          </w:rPr>
          <w:fldChar w:fldCharType="separate"/>
        </w:r>
        <w:r w:rsidR="003634FF">
          <w:rPr>
            <w:noProof/>
            <w:webHidden/>
          </w:rPr>
          <w:t>4</w:t>
        </w:r>
        <w:r>
          <w:rPr>
            <w:noProof/>
            <w:webHidden/>
          </w:rPr>
          <w:fldChar w:fldCharType="end"/>
        </w:r>
      </w:hyperlink>
    </w:p>
    <w:p w:rsidR="003634FF" w:rsidRDefault="00A63D05">
      <w:pPr>
        <w:pStyle w:val="TOC1"/>
        <w:rPr>
          <w:rFonts w:ascii="Calibri" w:hAnsi="Calibri"/>
          <w:noProof/>
          <w:sz w:val="22"/>
        </w:rPr>
      </w:pPr>
      <w:hyperlink w:anchor="_Toc297111586" w:history="1">
        <w:r w:rsidR="003634FF" w:rsidRPr="004D2C33">
          <w:rPr>
            <w:rStyle w:val="Hyperlink"/>
            <w:noProof/>
          </w:rPr>
          <w:t>II</w:t>
        </w:r>
        <w:r w:rsidR="003634FF">
          <w:rPr>
            <w:rFonts w:ascii="Calibri" w:hAnsi="Calibri"/>
            <w:noProof/>
            <w:sz w:val="22"/>
          </w:rPr>
          <w:tab/>
        </w:r>
        <w:r w:rsidR="003634FF" w:rsidRPr="004D2C33">
          <w:rPr>
            <w:rStyle w:val="Hyperlink"/>
            <w:noProof/>
          </w:rPr>
          <w:t>Introduction</w:t>
        </w:r>
        <w:r w:rsidR="003634FF">
          <w:rPr>
            <w:noProof/>
            <w:webHidden/>
          </w:rPr>
          <w:tab/>
        </w:r>
        <w:r>
          <w:rPr>
            <w:noProof/>
            <w:webHidden/>
          </w:rPr>
          <w:fldChar w:fldCharType="begin"/>
        </w:r>
        <w:r w:rsidR="003634FF">
          <w:rPr>
            <w:noProof/>
            <w:webHidden/>
          </w:rPr>
          <w:instrText xml:space="preserve"> PAGEREF _Toc297111586 \h </w:instrText>
        </w:r>
        <w:r>
          <w:rPr>
            <w:noProof/>
            <w:webHidden/>
          </w:rPr>
        </w:r>
        <w:r>
          <w:rPr>
            <w:noProof/>
            <w:webHidden/>
          </w:rPr>
          <w:fldChar w:fldCharType="separate"/>
        </w:r>
        <w:r w:rsidR="003634FF">
          <w:rPr>
            <w:noProof/>
            <w:webHidden/>
          </w:rPr>
          <w:t>1</w:t>
        </w:r>
        <w:r>
          <w:rPr>
            <w:noProof/>
            <w:webHidden/>
          </w:rPr>
          <w:fldChar w:fldCharType="end"/>
        </w:r>
      </w:hyperlink>
    </w:p>
    <w:p w:rsidR="003634FF" w:rsidRDefault="00A63D05">
      <w:pPr>
        <w:pStyle w:val="TOC1"/>
        <w:rPr>
          <w:rFonts w:ascii="Calibri" w:hAnsi="Calibri"/>
          <w:noProof/>
          <w:sz w:val="22"/>
        </w:rPr>
      </w:pPr>
      <w:hyperlink w:anchor="_Toc297111587" w:history="1">
        <w:r w:rsidR="003634FF" w:rsidRPr="004D2C33">
          <w:rPr>
            <w:rStyle w:val="Hyperlink"/>
            <w:noProof/>
          </w:rPr>
          <w:t>III</w:t>
        </w:r>
        <w:r w:rsidR="003634FF">
          <w:rPr>
            <w:rFonts w:ascii="Calibri" w:hAnsi="Calibri"/>
            <w:noProof/>
            <w:sz w:val="22"/>
          </w:rPr>
          <w:tab/>
        </w:r>
        <w:r w:rsidR="003634FF" w:rsidRPr="004D2C33">
          <w:rPr>
            <w:rStyle w:val="Hyperlink"/>
            <w:noProof/>
          </w:rPr>
          <w:t>Capital Market in Bulgaria - Recent Trends and Integration in the European Market</w:t>
        </w:r>
        <w:r w:rsidR="003634FF">
          <w:rPr>
            <w:noProof/>
            <w:webHidden/>
          </w:rPr>
          <w:tab/>
        </w:r>
        <w:r>
          <w:rPr>
            <w:noProof/>
            <w:webHidden/>
          </w:rPr>
          <w:fldChar w:fldCharType="begin"/>
        </w:r>
        <w:r w:rsidR="003634FF">
          <w:rPr>
            <w:noProof/>
            <w:webHidden/>
          </w:rPr>
          <w:instrText xml:space="preserve"> PAGEREF _Toc297111587 \h </w:instrText>
        </w:r>
        <w:r>
          <w:rPr>
            <w:noProof/>
            <w:webHidden/>
          </w:rPr>
        </w:r>
        <w:r>
          <w:rPr>
            <w:noProof/>
            <w:webHidden/>
          </w:rPr>
          <w:fldChar w:fldCharType="separate"/>
        </w:r>
        <w:r w:rsidR="003634FF">
          <w:rPr>
            <w:noProof/>
            <w:webHidden/>
          </w:rPr>
          <w:t>3</w:t>
        </w:r>
        <w:r>
          <w:rPr>
            <w:noProof/>
            <w:webHidden/>
          </w:rPr>
          <w:fldChar w:fldCharType="end"/>
        </w:r>
      </w:hyperlink>
    </w:p>
    <w:p w:rsidR="003634FF" w:rsidRDefault="00A63D05">
      <w:pPr>
        <w:pStyle w:val="TOC1"/>
        <w:rPr>
          <w:rFonts w:ascii="Calibri" w:hAnsi="Calibri"/>
          <w:noProof/>
          <w:sz w:val="22"/>
        </w:rPr>
      </w:pPr>
      <w:hyperlink w:anchor="_Toc297111588" w:history="1">
        <w:r w:rsidR="003634FF" w:rsidRPr="004D2C33">
          <w:rPr>
            <w:rStyle w:val="Hyperlink"/>
            <w:noProof/>
          </w:rPr>
          <w:t>IV</w:t>
        </w:r>
        <w:r w:rsidR="003634FF">
          <w:rPr>
            <w:rFonts w:ascii="Calibri" w:hAnsi="Calibri"/>
            <w:noProof/>
            <w:sz w:val="22"/>
          </w:rPr>
          <w:tab/>
        </w:r>
        <w:r w:rsidR="003634FF" w:rsidRPr="004D2C33">
          <w:rPr>
            <w:rStyle w:val="Hyperlink"/>
            <w:noProof/>
          </w:rPr>
          <w:t>MiFID Implementation in Bulgaria</w:t>
        </w:r>
        <w:r w:rsidR="003634FF">
          <w:rPr>
            <w:noProof/>
            <w:webHidden/>
          </w:rPr>
          <w:tab/>
        </w:r>
        <w:r>
          <w:rPr>
            <w:noProof/>
            <w:webHidden/>
          </w:rPr>
          <w:fldChar w:fldCharType="begin"/>
        </w:r>
        <w:r w:rsidR="003634FF">
          <w:rPr>
            <w:noProof/>
            <w:webHidden/>
          </w:rPr>
          <w:instrText xml:space="preserve"> PAGEREF _Toc297111588 \h </w:instrText>
        </w:r>
        <w:r>
          <w:rPr>
            <w:noProof/>
            <w:webHidden/>
          </w:rPr>
        </w:r>
        <w:r>
          <w:rPr>
            <w:noProof/>
            <w:webHidden/>
          </w:rPr>
          <w:fldChar w:fldCharType="separate"/>
        </w:r>
        <w:r w:rsidR="003634FF">
          <w:rPr>
            <w:noProof/>
            <w:webHidden/>
          </w:rPr>
          <w:t>14</w:t>
        </w:r>
        <w:r>
          <w:rPr>
            <w:noProof/>
            <w:webHidden/>
          </w:rPr>
          <w:fldChar w:fldCharType="end"/>
        </w:r>
      </w:hyperlink>
    </w:p>
    <w:p w:rsidR="003634FF" w:rsidRDefault="00A63D05">
      <w:pPr>
        <w:pStyle w:val="TOC1"/>
        <w:rPr>
          <w:rFonts w:ascii="Calibri" w:hAnsi="Calibri"/>
          <w:noProof/>
          <w:sz w:val="22"/>
        </w:rPr>
      </w:pPr>
      <w:hyperlink w:anchor="_Toc297111589" w:history="1">
        <w:r w:rsidR="003634FF" w:rsidRPr="004D2C33">
          <w:rPr>
            <w:rStyle w:val="Hyperlink"/>
            <w:noProof/>
          </w:rPr>
          <w:t>V</w:t>
        </w:r>
        <w:r w:rsidR="003634FF">
          <w:rPr>
            <w:rFonts w:ascii="Calibri" w:hAnsi="Calibri"/>
            <w:noProof/>
            <w:sz w:val="22"/>
          </w:rPr>
          <w:tab/>
        </w:r>
        <w:r w:rsidR="003634FF" w:rsidRPr="004D2C33">
          <w:rPr>
            <w:rStyle w:val="Hyperlink"/>
            <w:noProof/>
          </w:rPr>
          <w:t>Recommendations</w:t>
        </w:r>
        <w:r w:rsidR="003634FF">
          <w:rPr>
            <w:noProof/>
            <w:webHidden/>
          </w:rPr>
          <w:tab/>
        </w:r>
        <w:r>
          <w:rPr>
            <w:noProof/>
            <w:webHidden/>
          </w:rPr>
          <w:fldChar w:fldCharType="begin"/>
        </w:r>
        <w:r w:rsidR="003634FF">
          <w:rPr>
            <w:noProof/>
            <w:webHidden/>
          </w:rPr>
          <w:instrText xml:space="preserve"> PAGEREF _Toc297111589 \h </w:instrText>
        </w:r>
        <w:r>
          <w:rPr>
            <w:noProof/>
            <w:webHidden/>
          </w:rPr>
        </w:r>
        <w:r>
          <w:rPr>
            <w:noProof/>
            <w:webHidden/>
          </w:rPr>
          <w:fldChar w:fldCharType="separate"/>
        </w:r>
        <w:r w:rsidR="003634FF">
          <w:rPr>
            <w:noProof/>
            <w:webHidden/>
          </w:rPr>
          <w:t>19</w:t>
        </w:r>
        <w:r>
          <w:rPr>
            <w:noProof/>
            <w:webHidden/>
          </w:rPr>
          <w:fldChar w:fldCharType="end"/>
        </w:r>
      </w:hyperlink>
    </w:p>
    <w:p w:rsidR="003634FF" w:rsidRDefault="00A63D05">
      <w:pPr>
        <w:pStyle w:val="TOC1"/>
        <w:rPr>
          <w:rFonts w:ascii="Calibri" w:hAnsi="Calibri"/>
          <w:noProof/>
          <w:sz w:val="22"/>
        </w:rPr>
      </w:pPr>
      <w:hyperlink w:anchor="_Toc297111590" w:history="1">
        <w:r w:rsidR="003634FF" w:rsidRPr="004D2C33">
          <w:rPr>
            <w:rStyle w:val="Hyperlink"/>
            <w:noProof/>
          </w:rPr>
          <w:t>VI</w:t>
        </w:r>
        <w:r w:rsidR="003634FF">
          <w:rPr>
            <w:rFonts w:ascii="Calibri" w:hAnsi="Calibri"/>
            <w:noProof/>
            <w:sz w:val="22"/>
          </w:rPr>
          <w:tab/>
        </w:r>
        <w:r w:rsidR="003634FF" w:rsidRPr="004D2C33">
          <w:rPr>
            <w:rStyle w:val="Hyperlink"/>
            <w:noProof/>
          </w:rPr>
          <w:t>Annex I: The Markets in Financial Instruments Directive (MiFID) - Main Concepts</w:t>
        </w:r>
        <w:r w:rsidR="003634FF">
          <w:rPr>
            <w:noProof/>
            <w:webHidden/>
          </w:rPr>
          <w:tab/>
        </w:r>
        <w:r>
          <w:rPr>
            <w:noProof/>
            <w:webHidden/>
          </w:rPr>
          <w:fldChar w:fldCharType="begin"/>
        </w:r>
        <w:r w:rsidR="003634FF">
          <w:rPr>
            <w:noProof/>
            <w:webHidden/>
          </w:rPr>
          <w:instrText xml:space="preserve"> PAGEREF _Toc297111590 \h </w:instrText>
        </w:r>
        <w:r>
          <w:rPr>
            <w:noProof/>
            <w:webHidden/>
          </w:rPr>
        </w:r>
        <w:r>
          <w:rPr>
            <w:noProof/>
            <w:webHidden/>
          </w:rPr>
          <w:fldChar w:fldCharType="separate"/>
        </w:r>
        <w:r w:rsidR="003634FF">
          <w:rPr>
            <w:noProof/>
            <w:webHidden/>
          </w:rPr>
          <w:t>21</w:t>
        </w:r>
        <w:r>
          <w:rPr>
            <w:noProof/>
            <w:webHidden/>
          </w:rPr>
          <w:fldChar w:fldCharType="end"/>
        </w:r>
      </w:hyperlink>
    </w:p>
    <w:p w:rsidR="003634FF" w:rsidRDefault="00A63D05">
      <w:pPr>
        <w:pStyle w:val="TOC1"/>
        <w:rPr>
          <w:rFonts w:ascii="Calibri" w:hAnsi="Calibri"/>
          <w:noProof/>
          <w:sz w:val="22"/>
        </w:rPr>
      </w:pPr>
      <w:hyperlink w:anchor="_Toc297111591" w:history="1">
        <w:r w:rsidR="003634FF" w:rsidRPr="004D2C33">
          <w:rPr>
            <w:rStyle w:val="Hyperlink"/>
            <w:noProof/>
          </w:rPr>
          <w:t>VII</w:t>
        </w:r>
        <w:r w:rsidR="003634FF">
          <w:rPr>
            <w:rFonts w:ascii="Calibri" w:hAnsi="Calibri"/>
            <w:noProof/>
            <w:sz w:val="22"/>
          </w:rPr>
          <w:tab/>
        </w:r>
        <w:r w:rsidR="003634FF" w:rsidRPr="004D2C33">
          <w:rPr>
            <w:rStyle w:val="Hyperlink"/>
            <w:noProof/>
          </w:rPr>
          <w:t>Annex II: List of Institution Met During the Team Visit</w:t>
        </w:r>
        <w:r w:rsidR="003634FF">
          <w:rPr>
            <w:noProof/>
            <w:webHidden/>
          </w:rPr>
          <w:tab/>
        </w:r>
        <w:r>
          <w:rPr>
            <w:noProof/>
            <w:webHidden/>
          </w:rPr>
          <w:fldChar w:fldCharType="begin"/>
        </w:r>
        <w:r w:rsidR="003634FF">
          <w:rPr>
            <w:noProof/>
            <w:webHidden/>
          </w:rPr>
          <w:instrText xml:space="preserve"> PAGEREF _Toc297111591 \h </w:instrText>
        </w:r>
        <w:r>
          <w:rPr>
            <w:noProof/>
            <w:webHidden/>
          </w:rPr>
        </w:r>
        <w:r>
          <w:rPr>
            <w:noProof/>
            <w:webHidden/>
          </w:rPr>
          <w:fldChar w:fldCharType="separate"/>
        </w:r>
        <w:r w:rsidR="003634FF">
          <w:rPr>
            <w:noProof/>
            <w:webHidden/>
          </w:rPr>
          <w:t>28</w:t>
        </w:r>
        <w:r>
          <w:rPr>
            <w:noProof/>
            <w:webHidden/>
          </w:rPr>
          <w:fldChar w:fldCharType="end"/>
        </w:r>
      </w:hyperlink>
    </w:p>
    <w:p w:rsidR="003634FF" w:rsidRDefault="00A63D05">
      <w:pPr>
        <w:pStyle w:val="TOC1"/>
        <w:rPr>
          <w:rFonts w:ascii="Calibri" w:hAnsi="Calibri"/>
          <w:noProof/>
          <w:sz w:val="22"/>
        </w:rPr>
      </w:pPr>
      <w:hyperlink w:anchor="_Toc297111592" w:history="1">
        <w:r w:rsidR="003634FF" w:rsidRPr="004D2C33">
          <w:rPr>
            <w:rStyle w:val="Hyperlink"/>
            <w:noProof/>
          </w:rPr>
          <w:t>VIII</w:t>
        </w:r>
        <w:r w:rsidR="003634FF">
          <w:rPr>
            <w:rFonts w:ascii="Calibri" w:hAnsi="Calibri"/>
            <w:noProof/>
            <w:sz w:val="22"/>
          </w:rPr>
          <w:tab/>
        </w:r>
        <w:r w:rsidR="003634FF" w:rsidRPr="004D2C33">
          <w:rPr>
            <w:rStyle w:val="Hyperlink"/>
            <w:noProof/>
          </w:rPr>
          <w:t>Annex III: Bibliografy</w:t>
        </w:r>
        <w:r w:rsidR="003634FF">
          <w:rPr>
            <w:noProof/>
            <w:webHidden/>
          </w:rPr>
          <w:tab/>
        </w:r>
        <w:r>
          <w:rPr>
            <w:noProof/>
            <w:webHidden/>
          </w:rPr>
          <w:fldChar w:fldCharType="begin"/>
        </w:r>
        <w:r w:rsidR="003634FF">
          <w:rPr>
            <w:noProof/>
            <w:webHidden/>
          </w:rPr>
          <w:instrText xml:space="preserve"> PAGEREF _Toc297111592 \h </w:instrText>
        </w:r>
        <w:r>
          <w:rPr>
            <w:noProof/>
            <w:webHidden/>
          </w:rPr>
        </w:r>
        <w:r>
          <w:rPr>
            <w:noProof/>
            <w:webHidden/>
          </w:rPr>
          <w:fldChar w:fldCharType="separate"/>
        </w:r>
        <w:r w:rsidR="003634FF">
          <w:rPr>
            <w:noProof/>
            <w:webHidden/>
          </w:rPr>
          <w:t>29</w:t>
        </w:r>
        <w:r>
          <w:rPr>
            <w:noProof/>
            <w:webHidden/>
          </w:rPr>
          <w:fldChar w:fldCharType="end"/>
        </w:r>
      </w:hyperlink>
    </w:p>
    <w:p w:rsidR="00F106E2" w:rsidRDefault="00A63D05" w:rsidP="00FC21AC">
      <w:pPr>
        <w:spacing w:after="0" w:line="240" w:lineRule="auto"/>
        <w:rPr>
          <w:rFonts w:ascii="Times New Roman" w:hAnsi="Times New Roman"/>
          <w:color w:val="000000"/>
          <w:sz w:val="24"/>
          <w:szCs w:val="24"/>
        </w:rPr>
      </w:pPr>
      <w:r>
        <w:rPr>
          <w:rFonts w:ascii="Times New Roman" w:hAnsi="Times New Roman"/>
          <w:color w:val="000000"/>
          <w:sz w:val="24"/>
          <w:szCs w:val="24"/>
        </w:rPr>
        <w:fldChar w:fldCharType="end"/>
      </w:r>
    </w:p>
    <w:p w:rsidR="003107A8" w:rsidRPr="00F6138C" w:rsidRDefault="003107A8" w:rsidP="00FC21AC">
      <w:pPr>
        <w:spacing w:after="0" w:line="240" w:lineRule="auto"/>
        <w:rPr>
          <w:rFonts w:ascii="Times New Roman" w:hAnsi="Times New Roman"/>
          <w:b/>
          <w:color w:val="000000"/>
          <w:sz w:val="24"/>
          <w:szCs w:val="24"/>
        </w:rPr>
      </w:pPr>
      <w:r w:rsidRPr="00F6138C">
        <w:rPr>
          <w:rFonts w:ascii="Times New Roman" w:hAnsi="Times New Roman"/>
          <w:b/>
          <w:color w:val="000000"/>
          <w:sz w:val="24"/>
          <w:szCs w:val="24"/>
        </w:rPr>
        <w:t>Tables</w:t>
      </w:r>
    </w:p>
    <w:p w:rsidR="003107A8" w:rsidRDefault="003107A8" w:rsidP="00FC21AC">
      <w:pPr>
        <w:spacing w:after="0" w:line="240" w:lineRule="auto"/>
        <w:rPr>
          <w:rFonts w:ascii="Times New Roman" w:hAnsi="Times New Roman"/>
          <w:color w:val="000000"/>
          <w:sz w:val="24"/>
          <w:szCs w:val="24"/>
        </w:rPr>
      </w:pPr>
    </w:p>
    <w:p w:rsidR="003634FF" w:rsidRDefault="00A63D05">
      <w:pPr>
        <w:pStyle w:val="TableofFigures"/>
        <w:tabs>
          <w:tab w:val="right" w:leader="dot" w:pos="9350"/>
        </w:tabs>
        <w:rPr>
          <w:rFonts w:ascii="Calibri" w:hAnsi="Calibri"/>
          <w:noProof/>
          <w:sz w:val="22"/>
        </w:rPr>
      </w:pPr>
      <w:r>
        <w:rPr>
          <w:color w:val="000000"/>
          <w:szCs w:val="24"/>
        </w:rPr>
        <w:fldChar w:fldCharType="begin"/>
      </w:r>
      <w:r w:rsidR="00AD16C3">
        <w:rPr>
          <w:color w:val="000000"/>
          <w:szCs w:val="24"/>
        </w:rPr>
        <w:instrText xml:space="preserve"> TOC \h \z \c "Table" </w:instrText>
      </w:r>
      <w:r>
        <w:rPr>
          <w:color w:val="000000"/>
          <w:szCs w:val="24"/>
        </w:rPr>
        <w:fldChar w:fldCharType="separate"/>
      </w:r>
      <w:hyperlink w:anchor="_Toc297111593" w:history="1">
        <w:r w:rsidR="003634FF" w:rsidRPr="000A2008">
          <w:rPr>
            <w:rStyle w:val="Hyperlink"/>
            <w:noProof/>
          </w:rPr>
          <w:t>Table 1: Bulgaria Capital Markets, Intermediaries and Collective Investment Schemes</w:t>
        </w:r>
        <w:r w:rsidR="003634FF">
          <w:rPr>
            <w:noProof/>
            <w:webHidden/>
          </w:rPr>
          <w:tab/>
        </w:r>
        <w:r>
          <w:rPr>
            <w:noProof/>
            <w:webHidden/>
          </w:rPr>
          <w:fldChar w:fldCharType="begin"/>
        </w:r>
        <w:r w:rsidR="003634FF">
          <w:rPr>
            <w:noProof/>
            <w:webHidden/>
          </w:rPr>
          <w:instrText xml:space="preserve"> PAGEREF _Toc297111593 \h </w:instrText>
        </w:r>
        <w:r>
          <w:rPr>
            <w:noProof/>
            <w:webHidden/>
          </w:rPr>
        </w:r>
        <w:r>
          <w:rPr>
            <w:noProof/>
            <w:webHidden/>
          </w:rPr>
          <w:fldChar w:fldCharType="separate"/>
        </w:r>
        <w:r w:rsidR="003634FF">
          <w:rPr>
            <w:noProof/>
            <w:webHidden/>
          </w:rPr>
          <w:t>3</w:t>
        </w:r>
        <w:r>
          <w:rPr>
            <w:noProof/>
            <w:webHidden/>
          </w:rPr>
          <w:fldChar w:fldCharType="end"/>
        </w:r>
      </w:hyperlink>
    </w:p>
    <w:p w:rsidR="003634FF" w:rsidRDefault="00A63D05">
      <w:pPr>
        <w:pStyle w:val="TableofFigures"/>
        <w:tabs>
          <w:tab w:val="right" w:leader="dot" w:pos="9350"/>
        </w:tabs>
        <w:rPr>
          <w:rFonts w:ascii="Calibri" w:hAnsi="Calibri"/>
          <w:noProof/>
          <w:sz w:val="22"/>
        </w:rPr>
      </w:pPr>
      <w:hyperlink w:anchor="_Toc297111594" w:history="1">
        <w:r w:rsidR="003634FF" w:rsidRPr="000A2008">
          <w:rPr>
            <w:rStyle w:val="Hyperlink"/>
            <w:noProof/>
          </w:rPr>
          <w:t>Table 2: BSE Market Segments</w:t>
        </w:r>
        <w:r w:rsidR="003634FF">
          <w:rPr>
            <w:noProof/>
            <w:webHidden/>
          </w:rPr>
          <w:tab/>
        </w:r>
        <w:r>
          <w:rPr>
            <w:noProof/>
            <w:webHidden/>
          </w:rPr>
          <w:fldChar w:fldCharType="begin"/>
        </w:r>
        <w:r w:rsidR="003634FF">
          <w:rPr>
            <w:noProof/>
            <w:webHidden/>
          </w:rPr>
          <w:instrText xml:space="preserve"> PAGEREF _Toc297111594 \h </w:instrText>
        </w:r>
        <w:r>
          <w:rPr>
            <w:noProof/>
            <w:webHidden/>
          </w:rPr>
        </w:r>
        <w:r>
          <w:rPr>
            <w:noProof/>
            <w:webHidden/>
          </w:rPr>
          <w:fldChar w:fldCharType="separate"/>
        </w:r>
        <w:r w:rsidR="003634FF">
          <w:rPr>
            <w:noProof/>
            <w:webHidden/>
          </w:rPr>
          <w:t>6</w:t>
        </w:r>
        <w:r>
          <w:rPr>
            <w:noProof/>
            <w:webHidden/>
          </w:rPr>
          <w:fldChar w:fldCharType="end"/>
        </w:r>
      </w:hyperlink>
    </w:p>
    <w:p w:rsidR="003634FF" w:rsidRDefault="00A63D05">
      <w:pPr>
        <w:pStyle w:val="TableofFigures"/>
        <w:tabs>
          <w:tab w:val="right" w:leader="dot" w:pos="9350"/>
        </w:tabs>
        <w:rPr>
          <w:rFonts w:ascii="Calibri" w:hAnsi="Calibri"/>
          <w:noProof/>
          <w:sz w:val="22"/>
        </w:rPr>
      </w:pPr>
      <w:hyperlink w:anchor="_Toc297111595" w:history="1">
        <w:r w:rsidR="003634FF" w:rsidRPr="000A2008">
          <w:rPr>
            <w:rStyle w:val="Hyperlink"/>
            <w:noProof/>
          </w:rPr>
          <w:t>Table 3: Foreign Equity Trading as Share of Total Trading</w:t>
        </w:r>
        <w:r w:rsidR="003634FF">
          <w:rPr>
            <w:noProof/>
            <w:webHidden/>
          </w:rPr>
          <w:tab/>
        </w:r>
        <w:r>
          <w:rPr>
            <w:noProof/>
            <w:webHidden/>
          </w:rPr>
          <w:fldChar w:fldCharType="begin"/>
        </w:r>
        <w:r w:rsidR="003634FF">
          <w:rPr>
            <w:noProof/>
            <w:webHidden/>
          </w:rPr>
          <w:instrText xml:space="preserve"> PAGEREF _Toc297111595 \h </w:instrText>
        </w:r>
        <w:r>
          <w:rPr>
            <w:noProof/>
            <w:webHidden/>
          </w:rPr>
        </w:r>
        <w:r>
          <w:rPr>
            <w:noProof/>
            <w:webHidden/>
          </w:rPr>
          <w:fldChar w:fldCharType="separate"/>
        </w:r>
        <w:r w:rsidR="003634FF">
          <w:rPr>
            <w:noProof/>
            <w:webHidden/>
          </w:rPr>
          <w:t>10</w:t>
        </w:r>
        <w:r>
          <w:rPr>
            <w:noProof/>
            <w:webHidden/>
          </w:rPr>
          <w:fldChar w:fldCharType="end"/>
        </w:r>
      </w:hyperlink>
    </w:p>
    <w:p w:rsidR="003634FF" w:rsidRDefault="00A63D05">
      <w:pPr>
        <w:pStyle w:val="TableofFigures"/>
        <w:tabs>
          <w:tab w:val="right" w:leader="dot" w:pos="9350"/>
        </w:tabs>
        <w:rPr>
          <w:rFonts w:ascii="Calibri" w:hAnsi="Calibri"/>
          <w:noProof/>
          <w:sz w:val="22"/>
        </w:rPr>
      </w:pPr>
      <w:hyperlink w:anchor="_Toc297111596" w:history="1">
        <w:r w:rsidR="003634FF" w:rsidRPr="000A2008">
          <w:rPr>
            <w:rStyle w:val="Hyperlink"/>
            <w:noProof/>
          </w:rPr>
          <w:t>Table 4: Most Frequent Violations by Investment Firms</w:t>
        </w:r>
        <w:r w:rsidR="003634FF">
          <w:rPr>
            <w:noProof/>
            <w:webHidden/>
          </w:rPr>
          <w:tab/>
        </w:r>
        <w:r>
          <w:rPr>
            <w:noProof/>
            <w:webHidden/>
          </w:rPr>
          <w:fldChar w:fldCharType="begin"/>
        </w:r>
        <w:r w:rsidR="003634FF">
          <w:rPr>
            <w:noProof/>
            <w:webHidden/>
          </w:rPr>
          <w:instrText xml:space="preserve"> PAGEREF _Toc297111596 \h </w:instrText>
        </w:r>
        <w:r>
          <w:rPr>
            <w:noProof/>
            <w:webHidden/>
          </w:rPr>
        </w:r>
        <w:r>
          <w:rPr>
            <w:noProof/>
            <w:webHidden/>
          </w:rPr>
          <w:fldChar w:fldCharType="separate"/>
        </w:r>
        <w:r w:rsidR="003634FF">
          <w:rPr>
            <w:noProof/>
            <w:webHidden/>
          </w:rPr>
          <w:t>18</w:t>
        </w:r>
        <w:r>
          <w:rPr>
            <w:noProof/>
            <w:webHidden/>
          </w:rPr>
          <w:fldChar w:fldCharType="end"/>
        </w:r>
      </w:hyperlink>
    </w:p>
    <w:p w:rsidR="00F106E2" w:rsidRDefault="00A63D05" w:rsidP="00FC21AC">
      <w:pPr>
        <w:spacing w:after="0" w:line="240" w:lineRule="auto"/>
        <w:rPr>
          <w:rFonts w:ascii="Times New Roman" w:hAnsi="Times New Roman"/>
          <w:color w:val="000000"/>
          <w:sz w:val="24"/>
          <w:szCs w:val="24"/>
        </w:rPr>
      </w:pPr>
      <w:r>
        <w:rPr>
          <w:rFonts w:ascii="Times New Roman" w:hAnsi="Times New Roman"/>
          <w:color w:val="000000"/>
          <w:sz w:val="24"/>
          <w:szCs w:val="24"/>
        </w:rPr>
        <w:fldChar w:fldCharType="end"/>
      </w:r>
    </w:p>
    <w:p w:rsidR="00F106E2" w:rsidRPr="00F6138C" w:rsidRDefault="003107A8" w:rsidP="00FC21AC">
      <w:pPr>
        <w:spacing w:after="0" w:line="240" w:lineRule="auto"/>
        <w:rPr>
          <w:rFonts w:ascii="Times New Roman" w:hAnsi="Times New Roman"/>
          <w:b/>
          <w:color w:val="000000"/>
          <w:sz w:val="24"/>
          <w:szCs w:val="24"/>
        </w:rPr>
      </w:pPr>
      <w:r w:rsidRPr="00F6138C">
        <w:rPr>
          <w:rFonts w:ascii="Times New Roman" w:hAnsi="Times New Roman"/>
          <w:b/>
          <w:color w:val="000000"/>
          <w:sz w:val="24"/>
          <w:szCs w:val="24"/>
        </w:rPr>
        <w:t>Figures</w:t>
      </w:r>
    </w:p>
    <w:p w:rsidR="00F106E2" w:rsidRDefault="00F106E2" w:rsidP="00FC21AC">
      <w:pPr>
        <w:spacing w:after="0" w:line="240" w:lineRule="auto"/>
        <w:rPr>
          <w:rFonts w:ascii="Times New Roman" w:hAnsi="Times New Roman"/>
          <w:color w:val="000000"/>
          <w:sz w:val="24"/>
          <w:szCs w:val="24"/>
        </w:rPr>
      </w:pPr>
    </w:p>
    <w:p w:rsidR="003634FF" w:rsidRDefault="00A63D05">
      <w:pPr>
        <w:pStyle w:val="TableofFigures"/>
        <w:tabs>
          <w:tab w:val="right" w:leader="dot" w:pos="9350"/>
        </w:tabs>
        <w:rPr>
          <w:rFonts w:ascii="Calibri" w:hAnsi="Calibri"/>
          <w:noProof/>
          <w:sz w:val="22"/>
        </w:rPr>
      </w:pPr>
      <w:r>
        <w:rPr>
          <w:color w:val="000000"/>
          <w:szCs w:val="24"/>
        </w:rPr>
        <w:fldChar w:fldCharType="begin"/>
      </w:r>
      <w:r w:rsidR="003107A8">
        <w:rPr>
          <w:color w:val="000000"/>
          <w:szCs w:val="24"/>
        </w:rPr>
        <w:instrText xml:space="preserve"> TOC \h \z \c "Figure" </w:instrText>
      </w:r>
      <w:r>
        <w:rPr>
          <w:color w:val="000000"/>
          <w:szCs w:val="24"/>
        </w:rPr>
        <w:fldChar w:fldCharType="separate"/>
      </w:r>
      <w:hyperlink w:anchor="_Toc297111597" w:history="1">
        <w:r w:rsidR="003634FF" w:rsidRPr="00C40C8C">
          <w:rPr>
            <w:rStyle w:val="Hyperlink"/>
            <w:noProof/>
          </w:rPr>
          <w:t>Figure 1: Equity Market Capitalizations in Europe, 2010</w:t>
        </w:r>
        <w:r w:rsidR="003634FF">
          <w:rPr>
            <w:noProof/>
            <w:webHidden/>
          </w:rPr>
          <w:tab/>
        </w:r>
        <w:r>
          <w:rPr>
            <w:noProof/>
            <w:webHidden/>
          </w:rPr>
          <w:fldChar w:fldCharType="begin"/>
        </w:r>
        <w:r w:rsidR="003634FF">
          <w:rPr>
            <w:noProof/>
            <w:webHidden/>
          </w:rPr>
          <w:instrText xml:space="preserve"> PAGEREF _Toc297111597 \h </w:instrText>
        </w:r>
        <w:r>
          <w:rPr>
            <w:noProof/>
            <w:webHidden/>
          </w:rPr>
        </w:r>
        <w:r>
          <w:rPr>
            <w:noProof/>
            <w:webHidden/>
          </w:rPr>
          <w:fldChar w:fldCharType="separate"/>
        </w:r>
        <w:r w:rsidR="003634FF">
          <w:rPr>
            <w:noProof/>
            <w:webHidden/>
          </w:rPr>
          <w:t>4</w:t>
        </w:r>
        <w:r>
          <w:rPr>
            <w:noProof/>
            <w:webHidden/>
          </w:rPr>
          <w:fldChar w:fldCharType="end"/>
        </w:r>
      </w:hyperlink>
    </w:p>
    <w:p w:rsidR="003634FF" w:rsidRDefault="00A63D05">
      <w:pPr>
        <w:pStyle w:val="TableofFigures"/>
        <w:tabs>
          <w:tab w:val="right" w:leader="dot" w:pos="9350"/>
        </w:tabs>
        <w:rPr>
          <w:rFonts w:ascii="Calibri" w:hAnsi="Calibri"/>
          <w:noProof/>
          <w:sz w:val="22"/>
        </w:rPr>
      </w:pPr>
      <w:hyperlink w:anchor="_Toc297111598" w:history="1">
        <w:r w:rsidR="003634FF" w:rsidRPr="00C40C8C">
          <w:rPr>
            <w:rStyle w:val="Hyperlink"/>
            <w:noProof/>
          </w:rPr>
          <w:t>Figure 2: Bulgaria Equity Market Capitalization and SOFIX Index, Annual Growth</w:t>
        </w:r>
        <w:r w:rsidR="003634FF">
          <w:rPr>
            <w:noProof/>
            <w:webHidden/>
          </w:rPr>
          <w:tab/>
        </w:r>
        <w:r>
          <w:rPr>
            <w:noProof/>
            <w:webHidden/>
          </w:rPr>
          <w:fldChar w:fldCharType="begin"/>
        </w:r>
        <w:r w:rsidR="003634FF">
          <w:rPr>
            <w:noProof/>
            <w:webHidden/>
          </w:rPr>
          <w:instrText xml:space="preserve"> PAGEREF _Toc297111598 \h </w:instrText>
        </w:r>
        <w:r>
          <w:rPr>
            <w:noProof/>
            <w:webHidden/>
          </w:rPr>
        </w:r>
        <w:r>
          <w:rPr>
            <w:noProof/>
            <w:webHidden/>
          </w:rPr>
          <w:fldChar w:fldCharType="separate"/>
        </w:r>
        <w:r w:rsidR="003634FF">
          <w:rPr>
            <w:noProof/>
            <w:webHidden/>
          </w:rPr>
          <w:t>4</w:t>
        </w:r>
        <w:r>
          <w:rPr>
            <w:noProof/>
            <w:webHidden/>
          </w:rPr>
          <w:fldChar w:fldCharType="end"/>
        </w:r>
      </w:hyperlink>
    </w:p>
    <w:p w:rsidR="003634FF" w:rsidRDefault="00A63D05">
      <w:pPr>
        <w:pStyle w:val="TableofFigures"/>
        <w:tabs>
          <w:tab w:val="right" w:leader="dot" w:pos="9350"/>
        </w:tabs>
        <w:rPr>
          <w:rFonts w:ascii="Calibri" w:hAnsi="Calibri"/>
          <w:noProof/>
          <w:sz w:val="22"/>
        </w:rPr>
      </w:pPr>
      <w:hyperlink w:anchor="_Toc297111599" w:history="1">
        <w:r w:rsidR="003634FF" w:rsidRPr="00C40C8C">
          <w:rPr>
            <w:rStyle w:val="Hyperlink"/>
            <w:noProof/>
          </w:rPr>
          <w:t>Figure 3: Turnover Ratios in Europe, 2009</w:t>
        </w:r>
        <w:r w:rsidR="003634FF">
          <w:rPr>
            <w:noProof/>
            <w:webHidden/>
          </w:rPr>
          <w:tab/>
        </w:r>
        <w:r>
          <w:rPr>
            <w:noProof/>
            <w:webHidden/>
          </w:rPr>
          <w:fldChar w:fldCharType="begin"/>
        </w:r>
        <w:r w:rsidR="003634FF">
          <w:rPr>
            <w:noProof/>
            <w:webHidden/>
          </w:rPr>
          <w:instrText xml:space="preserve"> PAGEREF _Toc297111599 \h </w:instrText>
        </w:r>
        <w:r>
          <w:rPr>
            <w:noProof/>
            <w:webHidden/>
          </w:rPr>
        </w:r>
        <w:r>
          <w:rPr>
            <w:noProof/>
            <w:webHidden/>
          </w:rPr>
          <w:fldChar w:fldCharType="separate"/>
        </w:r>
        <w:r w:rsidR="003634FF">
          <w:rPr>
            <w:noProof/>
            <w:webHidden/>
          </w:rPr>
          <w:t>5</w:t>
        </w:r>
        <w:r>
          <w:rPr>
            <w:noProof/>
            <w:webHidden/>
          </w:rPr>
          <w:fldChar w:fldCharType="end"/>
        </w:r>
      </w:hyperlink>
    </w:p>
    <w:p w:rsidR="003634FF" w:rsidRDefault="00A63D05">
      <w:pPr>
        <w:pStyle w:val="TableofFigures"/>
        <w:tabs>
          <w:tab w:val="right" w:leader="dot" w:pos="9350"/>
        </w:tabs>
        <w:rPr>
          <w:rFonts w:ascii="Calibri" w:hAnsi="Calibri"/>
          <w:noProof/>
          <w:sz w:val="22"/>
        </w:rPr>
      </w:pPr>
      <w:hyperlink w:anchor="_Toc297111600" w:history="1">
        <w:r w:rsidR="003634FF" w:rsidRPr="00C40C8C">
          <w:rPr>
            <w:rStyle w:val="Hyperlink"/>
            <w:noProof/>
          </w:rPr>
          <w:t>Figure 4: Size of Bond Markets in Europe</w:t>
        </w:r>
        <w:r w:rsidR="003634FF">
          <w:rPr>
            <w:noProof/>
            <w:webHidden/>
          </w:rPr>
          <w:tab/>
        </w:r>
        <w:r>
          <w:rPr>
            <w:noProof/>
            <w:webHidden/>
          </w:rPr>
          <w:fldChar w:fldCharType="begin"/>
        </w:r>
        <w:r w:rsidR="003634FF">
          <w:rPr>
            <w:noProof/>
            <w:webHidden/>
          </w:rPr>
          <w:instrText xml:space="preserve"> PAGEREF _Toc297111600 \h </w:instrText>
        </w:r>
        <w:r>
          <w:rPr>
            <w:noProof/>
            <w:webHidden/>
          </w:rPr>
        </w:r>
        <w:r>
          <w:rPr>
            <w:noProof/>
            <w:webHidden/>
          </w:rPr>
          <w:fldChar w:fldCharType="separate"/>
        </w:r>
        <w:r w:rsidR="003634FF">
          <w:rPr>
            <w:noProof/>
            <w:webHidden/>
          </w:rPr>
          <w:t>6</w:t>
        </w:r>
        <w:r>
          <w:rPr>
            <w:noProof/>
            <w:webHidden/>
          </w:rPr>
          <w:fldChar w:fldCharType="end"/>
        </w:r>
      </w:hyperlink>
    </w:p>
    <w:p w:rsidR="003634FF" w:rsidRDefault="00A63D05">
      <w:pPr>
        <w:pStyle w:val="TableofFigures"/>
        <w:tabs>
          <w:tab w:val="right" w:leader="dot" w:pos="9350"/>
        </w:tabs>
        <w:rPr>
          <w:rFonts w:ascii="Calibri" w:hAnsi="Calibri"/>
          <w:noProof/>
          <w:sz w:val="22"/>
        </w:rPr>
      </w:pPr>
      <w:hyperlink w:anchor="_Toc297111601" w:history="1">
        <w:r w:rsidR="003634FF" w:rsidRPr="00C40C8C">
          <w:rPr>
            <w:rStyle w:val="Hyperlink"/>
            <w:noProof/>
          </w:rPr>
          <w:t>Figure 5: Evolution of Bond Market in Bulgaria</w:t>
        </w:r>
        <w:r w:rsidR="003634FF">
          <w:rPr>
            <w:noProof/>
            <w:webHidden/>
          </w:rPr>
          <w:tab/>
        </w:r>
        <w:r>
          <w:rPr>
            <w:noProof/>
            <w:webHidden/>
          </w:rPr>
          <w:fldChar w:fldCharType="begin"/>
        </w:r>
        <w:r w:rsidR="003634FF">
          <w:rPr>
            <w:noProof/>
            <w:webHidden/>
          </w:rPr>
          <w:instrText xml:space="preserve"> PAGEREF _Toc297111601 \h </w:instrText>
        </w:r>
        <w:r>
          <w:rPr>
            <w:noProof/>
            <w:webHidden/>
          </w:rPr>
        </w:r>
        <w:r>
          <w:rPr>
            <w:noProof/>
            <w:webHidden/>
          </w:rPr>
          <w:fldChar w:fldCharType="separate"/>
        </w:r>
        <w:r w:rsidR="003634FF">
          <w:rPr>
            <w:noProof/>
            <w:webHidden/>
          </w:rPr>
          <w:t>7</w:t>
        </w:r>
        <w:r>
          <w:rPr>
            <w:noProof/>
            <w:webHidden/>
          </w:rPr>
          <w:fldChar w:fldCharType="end"/>
        </w:r>
      </w:hyperlink>
    </w:p>
    <w:p w:rsidR="003634FF" w:rsidRDefault="00A63D05">
      <w:pPr>
        <w:pStyle w:val="TableofFigures"/>
        <w:tabs>
          <w:tab w:val="right" w:leader="dot" w:pos="9350"/>
        </w:tabs>
        <w:rPr>
          <w:rFonts w:ascii="Calibri" w:hAnsi="Calibri"/>
          <w:noProof/>
          <w:sz w:val="22"/>
        </w:rPr>
      </w:pPr>
      <w:hyperlink w:anchor="_Toc297111602" w:history="1">
        <w:r w:rsidR="003634FF" w:rsidRPr="00C40C8C">
          <w:rPr>
            <w:rStyle w:val="Hyperlink"/>
            <w:noProof/>
          </w:rPr>
          <w:t>Figure 6: Stock of Foreign Investments into Bulgaria</w:t>
        </w:r>
        <w:r w:rsidR="003634FF">
          <w:rPr>
            <w:noProof/>
            <w:webHidden/>
          </w:rPr>
          <w:tab/>
        </w:r>
        <w:r>
          <w:rPr>
            <w:noProof/>
            <w:webHidden/>
          </w:rPr>
          <w:fldChar w:fldCharType="begin"/>
        </w:r>
        <w:r w:rsidR="003634FF">
          <w:rPr>
            <w:noProof/>
            <w:webHidden/>
          </w:rPr>
          <w:instrText xml:space="preserve"> PAGEREF _Toc297111602 \h </w:instrText>
        </w:r>
        <w:r>
          <w:rPr>
            <w:noProof/>
            <w:webHidden/>
          </w:rPr>
        </w:r>
        <w:r>
          <w:rPr>
            <w:noProof/>
            <w:webHidden/>
          </w:rPr>
          <w:fldChar w:fldCharType="separate"/>
        </w:r>
        <w:r w:rsidR="003634FF">
          <w:rPr>
            <w:noProof/>
            <w:webHidden/>
          </w:rPr>
          <w:t>7</w:t>
        </w:r>
        <w:r>
          <w:rPr>
            <w:noProof/>
            <w:webHidden/>
          </w:rPr>
          <w:fldChar w:fldCharType="end"/>
        </w:r>
      </w:hyperlink>
    </w:p>
    <w:p w:rsidR="003634FF" w:rsidRDefault="00A63D05">
      <w:pPr>
        <w:pStyle w:val="TableofFigures"/>
        <w:tabs>
          <w:tab w:val="right" w:leader="dot" w:pos="9350"/>
        </w:tabs>
        <w:rPr>
          <w:rFonts w:ascii="Calibri" w:hAnsi="Calibri"/>
          <w:noProof/>
          <w:sz w:val="22"/>
        </w:rPr>
      </w:pPr>
      <w:hyperlink w:anchor="_Toc297111603" w:history="1">
        <w:r w:rsidR="003634FF" w:rsidRPr="00C40C8C">
          <w:rPr>
            <w:rStyle w:val="Hyperlink"/>
            <w:noProof/>
          </w:rPr>
          <w:t>Figure 9: R2 – Price Variation Explained by FTSE 100 Movements</w:t>
        </w:r>
        <w:r w:rsidR="003634FF">
          <w:rPr>
            <w:noProof/>
            <w:webHidden/>
          </w:rPr>
          <w:tab/>
        </w:r>
        <w:r>
          <w:rPr>
            <w:noProof/>
            <w:webHidden/>
          </w:rPr>
          <w:fldChar w:fldCharType="begin"/>
        </w:r>
        <w:r w:rsidR="003634FF">
          <w:rPr>
            <w:noProof/>
            <w:webHidden/>
          </w:rPr>
          <w:instrText xml:space="preserve"> PAGEREF _Toc297111603 \h </w:instrText>
        </w:r>
        <w:r>
          <w:rPr>
            <w:noProof/>
            <w:webHidden/>
          </w:rPr>
        </w:r>
        <w:r>
          <w:rPr>
            <w:noProof/>
            <w:webHidden/>
          </w:rPr>
          <w:fldChar w:fldCharType="separate"/>
        </w:r>
        <w:r w:rsidR="003634FF">
          <w:rPr>
            <w:noProof/>
            <w:webHidden/>
          </w:rPr>
          <w:t>9</w:t>
        </w:r>
        <w:r>
          <w:rPr>
            <w:noProof/>
            <w:webHidden/>
          </w:rPr>
          <w:fldChar w:fldCharType="end"/>
        </w:r>
      </w:hyperlink>
    </w:p>
    <w:p w:rsidR="00F106E2" w:rsidRDefault="00A63D05" w:rsidP="00FC21AC">
      <w:pPr>
        <w:spacing w:after="0" w:line="240" w:lineRule="auto"/>
        <w:rPr>
          <w:rFonts w:ascii="Times New Roman" w:hAnsi="Times New Roman"/>
          <w:color w:val="000000"/>
          <w:sz w:val="24"/>
          <w:szCs w:val="24"/>
        </w:rPr>
      </w:pPr>
      <w:r>
        <w:rPr>
          <w:rFonts w:ascii="Times New Roman" w:hAnsi="Times New Roman"/>
          <w:color w:val="000000"/>
          <w:sz w:val="24"/>
          <w:szCs w:val="24"/>
        </w:rPr>
        <w:fldChar w:fldCharType="end"/>
      </w:r>
    </w:p>
    <w:p w:rsidR="00F106E2" w:rsidRDefault="00F106E2" w:rsidP="00FC21AC">
      <w:pPr>
        <w:spacing w:after="0" w:line="240" w:lineRule="auto"/>
        <w:rPr>
          <w:rFonts w:ascii="Times New Roman" w:hAnsi="Times New Roman"/>
          <w:color w:val="000000"/>
          <w:sz w:val="24"/>
          <w:szCs w:val="24"/>
        </w:rPr>
      </w:pPr>
    </w:p>
    <w:p w:rsidR="00A56CAF" w:rsidRDefault="001B69BA" w:rsidP="00F10E93">
      <w:pPr>
        <w:pStyle w:val="mainnum"/>
      </w:pPr>
      <w:r>
        <w:br w:type="page"/>
      </w:r>
      <w:bookmarkStart w:id="0" w:name="_Toc297111585"/>
      <w:r w:rsidR="00D66944" w:rsidRPr="00F10E93">
        <w:lastRenderedPageBreak/>
        <w:t>Executive Summary</w:t>
      </w:r>
      <w:r w:rsidR="00565887" w:rsidRPr="00F10E93">
        <w:t xml:space="preserve">: </w:t>
      </w:r>
      <w:r w:rsidR="00A56CAF" w:rsidRPr="00A56CAF">
        <w:t xml:space="preserve">Capital Market Integration and </w:t>
      </w:r>
      <w:proofErr w:type="spellStart"/>
      <w:r w:rsidR="00A56CAF" w:rsidRPr="00A56CAF">
        <w:t>MiFID</w:t>
      </w:r>
      <w:proofErr w:type="spellEnd"/>
      <w:r w:rsidR="00A56CAF" w:rsidRPr="00A56CAF">
        <w:t xml:space="preserve"> Implementation: the </w:t>
      </w:r>
      <w:r w:rsidR="00A56CAF" w:rsidRPr="00A56CAF">
        <w:rPr>
          <w:szCs w:val="32"/>
        </w:rPr>
        <w:t>Bulgarian</w:t>
      </w:r>
      <w:r w:rsidR="00A56CAF" w:rsidRPr="00A56CAF">
        <w:rPr>
          <w:rFonts w:hAnsi="Calibri"/>
          <w:b w:val="0"/>
          <w:color w:val="000000"/>
          <w:szCs w:val="32"/>
        </w:rPr>
        <w:t xml:space="preserve"> Experience</w:t>
      </w:r>
      <w:bookmarkEnd w:id="0"/>
    </w:p>
    <w:p w:rsidR="00A56CAF" w:rsidRPr="00F10E93" w:rsidRDefault="00A56CAF" w:rsidP="00A56CAF">
      <w:pPr>
        <w:pStyle w:val="mainnum"/>
        <w:numPr>
          <w:ilvl w:val="0"/>
          <w:numId w:val="0"/>
        </w:numPr>
        <w:jc w:val="left"/>
      </w:pPr>
    </w:p>
    <w:p w:rsidR="00565887" w:rsidRDefault="00565887" w:rsidP="005422D0">
      <w:pPr>
        <w:pStyle w:val="ListParagraph"/>
        <w:numPr>
          <w:ilvl w:val="0"/>
          <w:numId w:val="3"/>
        </w:numPr>
        <w:ind w:left="0" w:firstLine="0"/>
        <w:jc w:val="both"/>
        <w:rPr>
          <w:rFonts w:ascii="Times New Roman" w:hAnsi="Times New Roman"/>
          <w:sz w:val="24"/>
          <w:szCs w:val="24"/>
        </w:rPr>
      </w:pPr>
      <w:r w:rsidRPr="005422D0">
        <w:rPr>
          <w:rFonts w:ascii="Times New Roman" w:hAnsi="Times New Roman"/>
          <w:sz w:val="24"/>
          <w:szCs w:val="24"/>
        </w:rPr>
        <w:t xml:space="preserve">This note aims to assess the implementation of </w:t>
      </w:r>
      <w:proofErr w:type="spellStart"/>
      <w:r w:rsidRPr="005422D0">
        <w:rPr>
          <w:rFonts w:ascii="Times New Roman" w:hAnsi="Times New Roman"/>
          <w:sz w:val="24"/>
          <w:szCs w:val="24"/>
        </w:rPr>
        <w:t>MiFID</w:t>
      </w:r>
      <w:proofErr w:type="spellEnd"/>
      <w:r w:rsidRPr="005422D0">
        <w:rPr>
          <w:rFonts w:ascii="Times New Roman" w:hAnsi="Times New Roman"/>
          <w:sz w:val="24"/>
          <w:szCs w:val="24"/>
        </w:rPr>
        <w:t xml:space="preserve"> in Bulgaria, provide an initial view on the impact it had on the Bulgarian securities markets, and draw lessons </w:t>
      </w:r>
      <w:r w:rsidR="004E1B13">
        <w:rPr>
          <w:rFonts w:ascii="Times New Roman" w:hAnsi="Times New Roman"/>
          <w:sz w:val="24"/>
          <w:szCs w:val="24"/>
        </w:rPr>
        <w:t>from</w:t>
      </w:r>
      <w:r w:rsidR="004E1B13" w:rsidRPr="005422D0">
        <w:rPr>
          <w:rFonts w:ascii="Times New Roman" w:hAnsi="Times New Roman"/>
          <w:sz w:val="24"/>
          <w:szCs w:val="24"/>
        </w:rPr>
        <w:t xml:space="preserve"> </w:t>
      </w:r>
      <w:r w:rsidRPr="005422D0">
        <w:rPr>
          <w:rFonts w:ascii="Times New Roman" w:hAnsi="Times New Roman"/>
          <w:sz w:val="24"/>
          <w:szCs w:val="24"/>
        </w:rPr>
        <w:t xml:space="preserve">the experience. </w:t>
      </w:r>
    </w:p>
    <w:p w:rsidR="005422D0" w:rsidRPr="005422D0" w:rsidRDefault="005422D0" w:rsidP="005422D0">
      <w:pPr>
        <w:pStyle w:val="ListParagraph"/>
        <w:ind w:left="0"/>
        <w:jc w:val="both"/>
        <w:rPr>
          <w:rFonts w:ascii="Times New Roman" w:hAnsi="Times New Roman"/>
          <w:sz w:val="24"/>
          <w:szCs w:val="24"/>
        </w:rPr>
      </w:pPr>
    </w:p>
    <w:p w:rsidR="00565887" w:rsidRPr="005422D0" w:rsidRDefault="006C01B8" w:rsidP="005422D0">
      <w:pPr>
        <w:pStyle w:val="ListParagraph"/>
        <w:numPr>
          <w:ilvl w:val="0"/>
          <w:numId w:val="3"/>
        </w:numPr>
        <w:tabs>
          <w:tab w:val="left" w:pos="90"/>
        </w:tabs>
        <w:ind w:left="0" w:firstLine="0"/>
        <w:jc w:val="both"/>
        <w:rPr>
          <w:rFonts w:ascii="Times New Roman Bold" w:hAnsi="Times New Roman Bold"/>
          <w:sz w:val="24"/>
          <w:szCs w:val="24"/>
        </w:rPr>
      </w:pPr>
      <w:r w:rsidRPr="005422D0">
        <w:rPr>
          <w:rFonts w:ascii="Times New Roman" w:hAnsi="Times New Roman"/>
          <w:b/>
          <w:sz w:val="24"/>
          <w:szCs w:val="24"/>
        </w:rPr>
        <w:t xml:space="preserve">Bulgaria entered the European Union (EU) and adopted </w:t>
      </w:r>
      <w:proofErr w:type="spellStart"/>
      <w:r w:rsidRPr="005422D0">
        <w:rPr>
          <w:rFonts w:ascii="Times New Roman" w:hAnsi="Times New Roman"/>
          <w:b/>
          <w:sz w:val="24"/>
          <w:szCs w:val="24"/>
        </w:rPr>
        <w:t>MiFID</w:t>
      </w:r>
      <w:proofErr w:type="spellEnd"/>
      <w:r w:rsidRPr="005422D0">
        <w:rPr>
          <w:rFonts w:ascii="Times New Roman" w:hAnsi="Times New Roman"/>
          <w:b/>
          <w:sz w:val="24"/>
          <w:szCs w:val="24"/>
        </w:rPr>
        <w:t xml:space="preserve"> at the cusp of a global crisis that hit central Europe particularly hard.</w:t>
      </w:r>
      <w:r w:rsidRPr="005422D0">
        <w:rPr>
          <w:rFonts w:ascii="Times New Roman" w:hAnsi="Times New Roman"/>
          <w:sz w:val="24"/>
          <w:szCs w:val="24"/>
        </w:rPr>
        <w:t xml:space="preserve"> </w:t>
      </w:r>
      <w:proofErr w:type="spellStart"/>
      <w:r w:rsidR="00EA7DBA" w:rsidRPr="005422D0">
        <w:rPr>
          <w:rFonts w:ascii="Times New Roman" w:hAnsi="Times New Roman"/>
          <w:sz w:val="24"/>
          <w:szCs w:val="24"/>
        </w:rPr>
        <w:t>MiFID</w:t>
      </w:r>
      <w:proofErr w:type="spellEnd"/>
      <w:r w:rsidR="00EA7DBA" w:rsidRPr="005422D0">
        <w:rPr>
          <w:rFonts w:ascii="Times New Roman" w:hAnsi="Times New Roman"/>
          <w:sz w:val="24"/>
          <w:szCs w:val="24"/>
        </w:rPr>
        <w:t xml:space="preserve"> i</w:t>
      </w:r>
      <w:r w:rsidR="005F13D1" w:rsidRPr="005422D0">
        <w:rPr>
          <w:rFonts w:ascii="Times New Roman" w:hAnsi="Times New Roman"/>
          <w:sz w:val="24"/>
          <w:szCs w:val="24"/>
        </w:rPr>
        <w:t xml:space="preserve">mplementation in Bulgaria began along with other </w:t>
      </w:r>
      <w:r w:rsidR="00EA7DBA" w:rsidRPr="005422D0">
        <w:rPr>
          <w:rFonts w:ascii="Times New Roman" w:hAnsi="Times New Roman"/>
          <w:sz w:val="24"/>
          <w:szCs w:val="24"/>
        </w:rPr>
        <w:t>EU</w:t>
      </w:r>
      <w:r w:rsidR="005F13D1" w:rsidRPr="005422D0">
        <w:rPr>
          <w:rFonts w:ascii="Times New Roman" w:hAnsi="Times New Roman"/>
          <w:sz w:val="24"/>
          <w:szCs w:val="24"/>
        </w:rPr>
        <w:t xml:space="preserve"> countries </w:t>
      </w:r>
      <w:r w:rsidR="00016B52">
        <w:rPr>
          <w:rFonts w:ascii="Times New Roman" w:hAnsi="Times New Roman"/>
          <w:sz w:val="24"/>
          <w:szCs w:val="24"/>
        </w:rPr>
        <w:t>on</w:t>
      </w:r>
      <w:r w:rsidR="00016B52" w:rsidRPr="005422D0">
        <w:rPr>
          <w:rFonts w:ascii="Times New Roman" w:hAnsi="Times New Roman"/>
          <w:sz w:val="24"/>
          <w:szCs w:val="24"/>
        </w:rPr>
        <w:t xml:space="preserve"> </w:t>
      </w:r>
      <w:r w:rsidR="005F13D1" w:rsidRPr="005422D0">
        <w:rPr>
          <w:rFonts w:ascii="Times New Roman" w:hAnsi="Times New Roman"/>
          <w:sz w:val="24"/>
          <w:szCs w:val="24"/>
        </w:rPr>
        <w:t xml:space="preserve">November </w:t>
      </w:r>
      <w:r w:rsidR="00016B52">
        <w:rPr>
          <w:rFonts w:ascii="Times New Roman" w:hAnsi="Times New Roman"/>
          <w:sz w:val="24"/>
          <w:szCs w:val="24"/>
        </w:rPr>
        <w:t>1</w:t>
      </w:r>
      <w:r w:rsidR="00016B52" w:rsidRPr="00016B52">
        <w:rPr>
          <w:rFonts w:ascii="Times New Roman" w:hAnsi="Times New Roman"/>
          <w:sz w:val="24"/>
          <w:szCs w:val="24"/>
          <w:vertAlign w:val="superscript"/>
        </w:rPr>
        <w:t>st</w:t>
      </w:r>
      <w:r w:rsidR="00016B52">
        <w:rPr>
          <w:rFonts w:ascii="Times New Roman" w:hAnsi="Times New Roman"/>
          <w:sz w:val="24"/>
          <w:szCs w:val="24"/>
        </w:rPr>
        <w:t xml:space="preserve"> </w:t>
      </w:r>
      <w:r w:rsidR="005F13D1" w:rsidRPr="005422D0">
        <w:rPr>
          <w:rFonts w:ascii="Times New Roman" w:hAnsi="Times New Roman"/>
          <w:sz w:val="24"/>
          <w:szCs w:val="24"/>
        </w:rPr>
        <w:t>2007</w:t>
      </w:r>
      <w:r w:rsidR="00A064B6">
        <w:rPr>
          <w:rFonts w:ascii="Times New Roman" w:hAnsi="Times New Roman"/>
          <w:sz w:val="24"/>
          <w:szCs w:val="24"/>
        </w:rPr>
        <w:t>,</w:t>
      </w:r>
      <w:r w:rsidR="005F13D1" w:rsidRPr="005422D0">
        <w:rPr>
          <w:rFonts w:ascii="Times New Roman" w:hAnsi="Times New Roman"/>
          <w:sz w:val="24"/>
          <w:szCs w:val="24"/>
        </w:rPr>
        <w:t xml:space="preserve"> less than a year after Bulgaria had entered the </w:t>
      </w:r>
      <w:r w:rsidR="00EA7DBA" w:rsidRPr="005422D0">
        <w:rPr>
          <w:rFonts w:ascii="Times New Roman" w:hAnsi="Times New Roman"/>
          <w:sz w:val="24"/>
          <w:szCs w:val="24"/>
        </w:rPr>
        <w:t>u</w:t>
      </w:r>
      <w:r w:rsidR="005F13D1" w:rsidRPr="005422D0">
        <w:rPr>
          <w:rFonts w:ascii="Times New Roman" w:hAnsi="Times New Roman"/>
          <w:sz w:val="24"/>
          <w:szCs w:val="24"/>
        </w:rPr>
        <w:t>nion.</w:t>
      </w:r>
      <w:r w:rsidR="007E212B" w:rsidRPr="005422D0">
        <w:rPr>
          <w:rFonts w:ascii="Times New Roman" w:hAnsi="Times New Roman"/>
          <w:sz w:val="24"/>
          <w:szCs w:val="24"/>
        </w:rPr>
        <w:t xml:space="preserve"> Important changes for the local market were the introduction of the passport</w:t>
      </w:r>
      <w:r w:rsidR="00BF1DCC" w:rsidRPr="005422D0">
        <w:rPr>
          <w:rFonts w:ascii="Times New Roman" w:hAnsi="Times New Roman"/>
          <w:sz w:val="24"/>
          <w:szCs w:val="24"/>
        </w:rPr>
        <w:t>,</w:t>
      </w:r>
      <w:r w:rsidR="007E212B" w:rsidRPr="005422D0">
        <w:rPr>
          <w:rFonts w:ascii="Times New Roman" w:hAnsi="Times New Roman"/>
          <w:sz w:val="24"/>
          <w:szCs w:val="24"/>
        </w:rPr>
        <w:t xml:space="preserve"> </w:t>
      </w:r>
      <w:r w:rsidR="00BF1DCC" w:rsidRPr="005422D0">
        <w:rPr>
          <w:rFonts w:ascii="Times New Roman" w:hAnsi="Times New Roman"/>
          <w:sz w:val="24"/>
          <w:szCs w:val="24"/>
        </w:rPr>
        <w:t xml:space="preserve">which </w:t>
      </w:r>
      <w:r w:rsidR="007E212B" w:rsidRPr="005422D0">
        <w:rPr>
          <w:rFonts w:ascii="Times New Roman" w:hAnsi="Times New Roman"/>
          <w:sz w:val="24"/>
          <w:szCs w:val="24"/>
        </w:rPr>
        <w:t>al</w:t>
      </w:r>
      <w:r w:rsidR="00EA7DBA" w:rsidRPr="005422D0">
        <w:rPr>
          <w:rFonts w:ascii="Times New Roman" w:hAnsi="Times New Roman"/>
          <w:sz w:val="24"/>
          <w:szCs w:val="24"/>
        </w:rPr>
        <w:t>lows intermediaries to operate</w:t>
      </w:r>
      <w:r w:rsidR="007E212B" w:rsidRPr="005422D0">
        <w:rPr>
          <w:rFonts w:ascii="Times New Roman" w:hAnsi="Times New Roman"/>
          <w:sz w:val="24"/>
          <w:szCs w:val="24"/>
        </w:rPr>
        <w:t xml:space="preserve"> throughout Europe under the </w:t>
      </w:r>
      <w:r w:rsidR="00BF1DCC" w:rsidRPr="005422D0">
        <w:rPr>
          <w:rFonts w:ascii="Times New Roman" w:hAnsi="Times New Roman"/>
          <w:sz w:val="24"/>
          <w:szCs w:val="24"/>
        </w:rPr>
        <w:t>local license,</w:t>
      </w:r>
      <w:r w:rsidR="007E212B" w:rsidRPr="005422D0">
        <w:rPr>
          <w:rFonts w:ascii="Times New Roman" w:hAnsi="Times New Roman"/>
          <w:sz w:val="24"/>
          <w:szCs w:val="24"/>
        </w:rPr>
        <w:t xml:space="preserve"> </w:t>
      </w:r>
      <w:r w:rsidRPr="005422D0">
        <w:rPr>
          <w:rFonts w:ascii="Times New Roman" w:hAnsi="Times New Roman"/>
          <w:sz w:val="24"/>
          <w:szCs w:val="24"/>
        </w:rPr>
        <w:t xml:space="preserve">a more competitive environment for trading venues as </w:t>
      </w:r>
      <w:r w:rsidR="00A064B6">
        <w:rPr>
          <w:rFonts w:ascii="Times New Roman" w:hAnsi="Times New Roman"/>
          <w:sz w:val="24"/>
          <w:szCs w:val="24"/>
        </w:rPr>
        <w:t xml:space="preserve">shares listed on the </w:t>
      </w:r>
      <w:r w:rsidRPr="005422D0">
        <w:rPr>
          <w:rFonts w:ascii="Times New Roman" w:hAnsi="Times New Roman"/>
          <w:sz w:val="24"/>
          <w:szCs w:val="24"/>
        </w:rPr>
        <w:t>regulated market</w:t>
      </w:r>
      <w:r w:rsidR="00A064B6" w:rsidRPr="005422D0" w:rsidDel="00A064B6">
        <w:rPr>
          <w:rFonts w:ascii="Times New Roman" w:hAnsi="Times New Roman"/>
          <w:sz w:val="24"/>
          <w:szCs w:val="24"/>
        </w:rPr>
        <w:t xml:space="preserve"> </w:t>
      </w:r>
      <w:r w:rsidR="00016B52">
        <w:rPr>
          <w:rFonts w:ascii="Times New Roman" w:hAnsi="Times New Roman"/>
          <w:sz w:val="24"/>
          <w:szCs w:val="24"/>
        </w:rPr>
        <w:t>(RM)</w:t>
      </w:r>
      <w:r w:rsidRPr="005422D0">
        <w:rPr>
          <w:rFonts w:ascii="Times New Roman" w:hAnsi="Times New Roman"/>
          <w:sz w:val="24"/>
          <w:szCs w:val="24"/>
        </w:rPr>
        <w:t xml:space="preserve"> shares can be traded anywhere in Europe</w:t>
      </w:r>
      <w:r w:rsidR="004E1B13">
        <w:rPr>
          <w:rFonts w:ascii="Times New Roman" w:hAnsi="Times New Roman"/>
          <w:sz w:val="24"/>
          <w:szCs w:val="24"/>
        </w:rPr>
        <w:t>,</w:t>
      </w:r>
      <w:r w:rsidR="00F9145C" w:rsidRPr="005422D0">
        <w:rPr>
          <w:rFonts w:ascii="Times New Roman" w:hAnsi="Times New Roman"/>
          <w:sz w:val="24"/>
          <w:szCs w:val="24"/>
        </w:rPr>
        <w:t xml:space="preserve"> and greater role for home supervisor.</w:t>
      </w:r>
      <w:r w:rsidR="007E212B" w:rsidRPr="005422D0">
        <w:rPr>
          <w:rFonts w:ascii="Times New Roman" w:hAnsi="Times New Roman"/>
          <w:sz w:val="24"/>
          <w:szCs w:val="24"/>
        </w:rPr>
        <w:t xml:space="preserve"> </w:t>
      </w:r>
      <w:r w:rsidR="005F13D1" w:rsidRPr="005422D0">
        <w:rPr>
          <w:rFonts w:ascii="Times New Roman Bold" w:hAnsi="Times New Roman Bold"/>
          <w:sz w:val="24"/>
          <w:szCs w:val="24"/>
        </w:rPr>
        <w:t xml:space="preserve"> </w:t>
      </w:r>
    </w:p>
    <w:p w:rsidR="005F13D1" w:rsidRPr="001D573C" w:rsidRDefault="006C01B8" w:rsidP="005422D0">
      <w:pPr>
        <w:numPr>
          <w:ilvl w:val="0"/>
          <w:numId w:val="3"/>
        </w:numPr>
        <w:ind w:left="0" w:firstLine="0"/>
        <w:jc w:val="both"/>
        <w:rPr>
          <w:rFonts w:ascii="Times New Roman Bold" w:hAnsi="Times New Roman Bold"/>
          <w:sz w:val="24"/>
          <w:szCs w:val="24"/>
        </w:rPr>
      </w:pPr>
      <w:r w:rsidRPr="005422D0">
        <w:rPr>
          <w:rFonts w:ascii="Times New Roman" w:hAnsi="Times New Roman"/>
          <w:b/>
          <w:sz w:val="24"/>
          <w:szCs w:val="24"/>
        </w:rPr>
        <w:t xml:space="preserve">The crisis had a severe impact on the Bulgarian capital market in terms of prices, depth and liquidity. </w:t>
      </w:r>
      <w:r w:rsidR="006578F9" w:rsidRPr="001D573C">
        <w:rPr>
          <w:rFonts w:ascii="Times New Roman" w:hAnsi="Times New Roman"/>
          <w:sz w:val="24"/>
          <w:szCs w:val="24"/>
        </w:rPr>
        <w:t xml:space="preserve">Market capitalization dropped from 51 </w:t>
      </w:r>
      <w:r w:rsidR="00016B52" w:rsidRPr="00352513">
        <w:rPr>
          <w:rFonts w:ascii="Times New Roman" w:hAnsi="Times New Roman"/>
          <w:sz w:val="24"/>
          <w:szCs w:val="24"/>
        </w:rPr>
        <w:t xml:space="preserve">in 2007 to 15 </w:t>
      </w:r>
      <w:r w:rsidR="00016B52">
        <w:rPr>
          <w:rFonts w:ascii="Times New Roman" w:hAnsi="Times New Roman"/>
          <w:sz w:val="24"/>
          <w:szCs w:val="24"/>
        </w:rPr>
        <w:t xml:space="preserve">percent of GDP </w:t>
      </w:r>
      <w:r w:rsidR="00016B52" w:rsidRPr="00352513">
        <w:rPr>
          <w:rFonts w:ascii="Times New Roman" w:hAnsi="Times New Roman"/>
          <w:sz w:val="24"/>
          <w:szCs w:val="24"/>
        </w:rPr>
        <w:t>in 2010</w:t>
      </w:r>
      <w:r w:rsidR="00016B52">
        <w:rPr>
          <w:rFonts w:ascii="Times New Roman" w:hAnsi="Times New Roman"/>
          <w:sz w:val="24"/>
          <w:szCs w:val="24"/>
        </w:rPr>
        <w:t>,</w:t>
      </w:r>
      <w:r w:rsidR="006578F9" w:rsidRPr="001D573C">
        <w:rPr>
          <w:rFonts w:ascii="Times New Roman" w:hAnsi="Times New Roman"/>
          <w:sz w:val="24"/>
          <w:szCs w:val="24"/>
        </w:rPr>
        <w:t xml:space="preserve"> mostly driven by a sharp drop in the valuation of </w:t>
      </w:r>
      <w:r w:rsidR="00AA1BB8" w:rsidRPr="001D573C">
        <w:rPr>
          <w:rFonts w:ascii="Times New Roman" w:hAnsi="Times New Roman"/>
          <w:sz w:val="24"/>
          <w:szCs w:val="24"/>
        </w:rPr>
        <w:t>listed firms</w:t>
      </w:r>
      <w:r w:rsidR="006578F9" w:rsidRPr="001D573C">
        <w:rPr>
          <w:rFonts w:ascii="Times New Roman" w:hAnsi="Times New Roman"/>
          <w:sz w:val="24"/>
          <w:szCs w:val="24"/>
        </w:rPr>
        <w:t>, and liquidity dropped with annual trading amounting to only 5 percent of market capitalization in 2010.</w:t>
      </w:r>
      <w:r w:rsidR="00D52134" w:rsidRPr="001D573C">
        <w:rPr>
          <w:rFonts w:ascii="Times New Roman" w:hAnsi="Times New Roman"/>
          <w:sz w:val="24"/>
          <w:szCs w:val="24"/>
        </w:rPr>
        <w:t xml:space="preserve"> </w:t>
      </w:r>
      <w:r w:rsidR="00BF1DCC">
        <w:rPr>
          <w:rFonts w:ascii="Times New Roman" w:hAnsi="Times New Roman"/>
          <w:sz w:val="24"/>
          <w:szCs w:val="24"/>
        </w:rPr>
        <w:t>These developments have overshadowed the capital markets in the period.</w:t>
      </w:r>
    </w:p>
    <w:p w:rsidR="00F851F5" w:rsidRDefault="005422D0" w:rsidP="00016B52">
      <w:pPr>
        <w:numPr>
          <w:ilvl w:val="0"/>
          <w:numId w:val="3"/>
        </w:numPr>
        <w:tabs>
          <w:tab w:val="left" w:pos="0"/>
        </w:tabs>
        <w:ind w:left="0" w:firstLine="0"/>
        <w:jc w:val="both"/>
        <w:rPr>
          <w:rFonts w:ascii="Times New Roman" w:hAnsi="Times New Roman"/>
          <w:sz w:val="24"/>
          <w:szCs w:val="24"/>
        </w:rPr>
      </w:pPr>
      <w:proofErr w:type="spellStart"/>
      <w:r w:rsidRPr="00016B52">
        <w:rPr>
          <w:rFonts w:ascii="Times New Roman" w:hAnsi="Times New Roman"/>
          <w:b/>
          <w:sz w:val="24"/>
          <w:szCs w:val="24"/>
        </w:rPr>
        <w:t>MiFID</w:t>
      </w:r>
      <w:proofErr w:type="spellEnd"/>
      <w:r w:rsidRPr="00016B52">
        <w:rPr>
          <w:rFonts w:ascii="Times New Roman" w:hAnsi="Times New Roman"/>
          <w:b/>
          <w:sz w:val="24"/>
          <w:szCs w:val="24"/>
        </w:rPr>
        <w:t xml:space="preserve"> has had a very modest impact on market development and structure since</w:t>
      </w:r>
      <w:r w:rsidR="00016B52">
        <w:rPr>
          <w:rFonts w:ascii="Times New Roman" w:hAnsi="Times New Roman"/>
          <w:b/>
          <w:sz w:val="24"/>
          <w:szCs w:val="24"/>
        </w:rPr>
        <w:t xml:space="preserve"> initiation</w:t>
      </w:r>
      <w:r w:rsidRPr="00016B52">
        <w:rPr>
          <w:rFonts w:ascii="Times New Roman" w:hAnsi="Times New Roman"/>
          <w:b/>
          <w:sz w:val="24"/>
          <w:szCs w:val="24"/>
        </w:rPr>
        <w:t xml:space="preserve">. </w:t>
      </w:r>
      <w:r w:rsidR="00352D03" w:rsidRPr="00016B52">
        <w:rPr>
          <w:rFonts w:ascii="Times New Roman" w:hAnsi="Times New Roman"/>
          <w:sz w:val="24"/>
          <w:szCs w:val="24"/>
        </w:rPr>
        <w:t xml:space="preserve">The </w:t>
      </w:r>
      <w:r w:rsidR="001D573C" w:rsidRPr="00016B52">
        <w:rPr>
          <w:rFonts w:ascii="Times New Roman" w:hAnsi="Times New Roman"/>
          <w:sz w:val="24"/>
          <w:szCs w:val="24"/>
        </w:rPr>
        <w:t xml:space="preserve">Bulgarian Stock Exchange (BSE) remains the only trading venue in Bulgaria, </w:t>
      </w:r>
      <w:r w:rsidR="004D1841" w:rsidRPr="00016B52">
        <w:rPr>
          <w:rFonts w:ascii="Times New Roman" w:hAnsi="Times New Roman"/>
          <w:sz w:val="24"/>
          <w:szCs w:val="24"/>
        </w:rPr>
        <w:t xml:space="preserve">as is the case in most other EU Member States, but with the difference that </w:t>
      </w:r>
      <w:r w:rsidR="00016B52">
        <w:rPr>
          <w:rFonts w:ascii="Times New Roman" w:hAnsi="Times New Roman"/>
          <w:sz w:val="24"/>
          <w:szCs w:val="24"/>
        </w:rPr>
        <w:t>although</w:t>
      </w:r>
      <w:r w:rsidR="00016B52" w:rsidRPr="00016B52">
        <w:rPr>
          <w:rFonts w:ascii="Times New Roman" w:hAnsi="Times New Roman"/>
          <w:sz w:val="24"/>
          <w:szCs w:val="24"/>
        </w:rPr>
        <w:t xml:space="preserve"> </w:t>
      </w:r>
      <w:r w:rsidR="00CA3BCF" w:rsidRPr="00016B52">
        <w:rPr>
          <w:rFonts w:ascii="Times New Roman" w:hAnsi="Times New Roman"/>
          <w:sz w:val="24"/>
          <w:szCs w:val="24"/>
        </w:rPr>
        <w:t xml:space="preserve">Bulgarian companies </w:t>
      </w:r>
      <w:r w:rsidR="00016B52">
        <w:rPr>
          <w:rFonts w:ascii="Times New Roman" w:hAnsi="Times New Roman"/>
          <w:sz w:val="24"/>
          <w:szCs w:val="24"/>
        </w:rPr>
        <w:t>gained</w:t>
      </w:r>
      <w:r w:rsidR="00016B52" w:rsidRPr="00016B52">
        <w:rPr>
          <w:rFonts w:ascii="Times New Roman" w:hAnsi="Times New Roman"/>
          <w:sz w:val="24"/>
          <w:szCs w:val="24"/>
        </w:rPr>
        <w:t xml:space="preserve"> </w:t>
      </w:r>
      <w:r w:rsidR="00CA3BCF" w:rsidRPr="00016B52">
        <w:rPr>
          <w:rFonts w:ascii="Times New Roman" w:hAnsi="Times New Roman"/>
          <w:sz w:val="24"/>
          <w:szCs w:val="24"/>
        </w:rPr>
        <w:t xml:space="preserve">access to </w:t>
      </w:r>
      <w:r w:rsidR="00A064B6">
        <w:rPr>
          <w:rFonts w:ascii="Times New Roman" w:hAnsi="Times New Roman"/>
          <w:sz w:val="24"/>
          <w:szCs w:val="24"/>
        </w:rPr>
        <w:t xml:space="preserve">a </w:t>
      </w:r>
      <w:r w:rsidR="00CA3BCF" w:rsidRPr="00016B52">
        <w:rPr>
          <w:rFonts w:ascii="Times New Roman" w:hAnsi="Times New Roman"/>
          <w:sz w:val="24"/>
          <w:szCs w:val="24"/>
        </w:rPr>
        <w:t>variety of trading venue</w:t>
      </w:r>
      <w:r w:rsidR="00A064B6">
        <w:rPr>
          <w:rFonts w:ascii="Times New Roman" w:hAnsi="Times New Roman"/>
          <w:sz w:val="24"/>
          <w:szCs w:val="24"/>
        </w:rPr>
        <w:t>s</w:t>
      </w:r>
      <w:r w:rsidR="00CA3BCF" w:rsidRPr="00016B52">
        <w:rPr>
          <w:rFonts w:ascii="Times New Roman" w:hAnsi="Times New Roman"/>
          <w:sz w:val="24"/>
          <w:szCs w:val="24"/>
        </w:rPr>
        <w:t xml:space="preserve"> in Europe, </w:t>
      </w:r>
      <w:r w:rsidR="004D1841" w:rsidRPr="00016B52">
        <w:rPr>
          <w:rFonts w:ascii="Times New Roman" w:hAnsi="Times New Roman"/>
          <w:sz w:val="24"/>
          <w:szCs w:val="24"/>
        </w:rPr>
        <w:t xml:space="preserve">most of the trading in BSE-listed shares </w:t>
      </w:r>
      <w:r w:rsidR="00CA3BCF" w:rsidRPr="00016B52">
        <w:rPr>
          <w:rFonts w:ascii="Times New Roman" w:hAnsi="Times New Roman"/>
          <w:sz w:val="24"/>
          <w:szCs w:val="24"/>
        </w:rPr>
        <w:t>still</w:t>
      </w:r>
      <w:r w:rsidR="004D1841" w:rsidRPr="00016B52">
        <w:rPr>
          <w:rFonts w:ascii="Times New Roman" w:hAnsi="Times New Roman"/>
          <w:sz w:val="24"/>
          <w:szCs w:val="24"/>
        </w:rPr>
        <w:t xml:space="preserve"> </w:t>
      </w:r>
      <w:r w:rsidR="004E1B13" w:rsidRPr="00016B52">
        <w:rPr>
          <w:rFonts w:ascii="Times New Roman" w:hAnsi="Times New Roman"/>
          <w:sz w:val="24"/>
          <w:szCs w:val="24"/>
        </w:rPr>
        <w:t>occur</w:t>
      </w:r>
      <w:r w:rsidR="004E1B13">
        <w:rPr>
          <w:rFonts w:ascii="Times New Roman" w:hAnsi="Times New Roman"/>
          <w:sz w:val="24"/>
          <w:szCs w:val="24"/>
        </w:rPr>
        <w:t>s</w:t>
      </w:r>
      <w:r w:rsidR="004E1B13" w:rsidRPr="00016B52">
        <w:rPr>
          <w:rFonts w:ascii="Times New Roman" w:hAnsi="Times New Roman"/>
          <w:sz w:val="24"/>
          <w:szCs w:val="24"/>
        </w:rPr>
        <w:t xml:space="preserve"> </w:t>
      </w:r>
      <w:r w:rsidR="004D1841" w:rsidRPr="00016B52">
        <w:rPr>
          <w:rFonts w:ascii="Times New Roman" w:hAnsi="Times New Roman"/>
          <w:sz w:val="24"/>
          <w:szCs w:val="24"/>
        </w:rPr>
        <w:t>in Bulgaria</w:t>
      </w:r>
      <w:r w:rsidR="00CA3BCF" w:rsidRPr="00016B52">
        <w:rPr>
          <w:rFonts w:ascii="Times New Roman" w:hAnsi="Times New Roman"/>
          <w:sz w:val="24"/>
          <w:szCs w:val="24"/>
        </w:rPr>
        <w:t xml:space="preserve">. Due to the small size of </w:t>
      </w:r>
      <w:r w:rsidR="008262A2" w:rsidRPr="00016B52">
        <w:rPr>
          <w:rFonts w:ascii="Times New Roman" w:hAnsi="Times New Roman"/>
          <w:sz w:val="24"/>
          <w:szCs w:val="24"/>
        </w:rPr>
        <w:t xml:space="preserve">Bulgarian </w:t>
      </w:r>
      <w:r w:rsidR="00CA3BCF" w:rsidRPr="00016B52">
        <w:rPr>
          <w:rFonts w:ascii="Times New Roman" w:hAnsi="Times New Roman"/>
          <w:sz w:val="24"/>
          <w:szCs w:val="24"/>
        </w:rPr>
        <w:t>companies, there has not been much interest from the pan-European venues,</w:t>
      </w:r>
      <w:r w:rsidR="004D1841" w:rsidRPr="00016B52">
        <w:rPr>
          <w:rFonts w:ascii="Times New Roman" w:hAnsi="Times New Roman"/>
          <w:sz w:val="24"/>
          <w:szCs w:val="24"/>
        </w:rPr>
        <w:t xml:space="preserve"> </w:t>
      </w:r>
      <w:r w:rsidR="004E1B13">
        <w:rPr>
          <w:rFonts w:ascii="Times New Roman" w:hAnsi="Times New Roman"/>
          <w:sz w:val="24"/>
          <w:szCs w:val="24"/>
        </w:rPr>
        <w:t xml:space="preserve">as </w:t>
      </w:r>
      <w:r w:rsidR="004D1841" w:rsidRPr="00016B52">
        <w:rPr>
          <w:rFonts w:ascii="Times New Roman" w:hAnsi="Times New Roman"/>
          <w:sz w:val="24"/>
          <w:szCs w:val="24"/>
        </w:rPr>
        <w:t xml:space="preserve">most of the </w:t>
      </w:r>
      <w:proofErr w:type="spellStart"/>
      <w:r w:rsidR="004D1841" w:rsidRPr="00016B52">
        <w:rPr>
          <w:rFonts w:ascii="Times New Roman" w:hAnsi="Times New Roman"/>
          <w:sz w:val="24"/>
          <w:szCs w:val="24"/>
        </w:rPr>
        <w:t>MiFID</w:t>
      </w:r>
      <w:proofErr w:type="spellEnd"/>
      <w:r w:rsidR="004D1841" w:rsidRPr="00016B52">
        <w:rPr>
          <w:rFonts w:ascii="Times New Roman" w:hAnsi="Times New Roman"/>
          <w:sz w:val="24"/>
          <w:szCs w:val="24"/>
        </w:rPr>
        <w:t xml:space="preserve"> competition in Europe has been concentrated on the blue chips</w:t>
      </w:r>
      <w:r w:rsidR="00016B52">
        <w:rPr>
          <w:rStyle w:val="FootnoteReference"/>
          <w:rFonts w:ascii="Times New Roman" w:hAnsi="Times New Roman"/>
          <w:sz w:val="24"/>
          <w:szCs w:val="24"/>
        </w:rPr>
        <w:footnoteReference w:id="2"/>
      </w:r>
      <w:r w:rsidR="004D1841" w:rsidRPr="00016B52">
        <w:rPr>
          <w:rFonts w:ascii="Times New Roman" w:hAnsi="Times New Roman"/>
          <w:sz w:val="24"/>
          <w:szCs w:val="24"/>
        </w:rPr>
        <w:t>. T</w:t>
      </w:r>
      <w:r w:rsidR="001D573C" w:rsidRPr="00016B52">
        <w:rPr>
          <w:rFonts w:ascii="Times New Roman" w:hAnsi="Times New Roman"/>
          <w:sz w:val="24"/>
          <w:szCs w:val="24"/>
        </w:rPr>
        <w:t xml:space="preserve">he </w:t>
      </w:r>
      <w:r w:rsidR="00352D03" w:rsidRPr="00016B52">
        <w:rPr>
          <w:rFonts w:ascii="Times New Roman" w:hAnsi="Times New Roman"/>
          <w:sz w:val="24"/>
          <w:szCs w:val="24"/>
        </w:rPr>
        <w:t>small domestic market is</w:t>
      </w:r>
      <w:r w:rsidR="001D573C" w:rsidRPr="00016B52">
        <w:rPr>
          <w:rFonts w:ascii="Times New Roman" w:hAnsi="Times New Roman"/>
          <w:sz w:val="24"/>
          <w:szCs w:val="24"/>
        </w:rPr>
        <w:t xml:space="preserve"> still</w:t>
      </w:r>
      <w:r w:rsidR="00352D03" w:rsidRPr="00016B52">
        <w:rPr>
          <w:rFonts w:ascii="Times New Roman" w:hAnsi="Times New Roman"/>
          <w:sz w:val="24"/>
          <w:szCs w:val="24"/>
        </w:rPr>
        <w:t xml:space="preserve"> served by a large number </w:t>
      </w:r>
      <w:r w:rsidR="001D573C" w:rsidRPr="00016B52">
        <w:rPr>
          <w:rFonts w:ascii="Times New Roman" w:hAnsi="Times New Roman"/>
          <w:sz w:val="24"/>
          <w:szCs w:val="24"/>
        </w:rPr>
        <w:t xml:space="preserve">of intermediaries as it was before the introduction of </w:t>
      </w:r>
      <w:proofErr w:type="spellStart"/>
      <w:r w:rsidR="001D573C" w:rsidRPr="00016B52">
        <w:rPr>
          <w:rFonts w:ascii="Times New Roman" w:hAnsi="Times New Roman"/>
          <w:sz w:val="24"/>
          <w:szCs w:val="24"/>
        </w:rPr>
        <w:t>MiFID</w:t>
      </w:r>
      <w:proofErr w:type="spellEnd"/>
      <w:r w:rsidR="004D6B4D">
        <w:rPr>
          <w:rFonts w:ascii="Times New Roman" w:hAnsi="Times New Roman"/>
          <w:sz w:val="24"/>
          <w:szCs w:val="24"/>
        </w:rPr>
        <w:t>, f</w:t>
      </w:r>
      <w:r w:rsidR="00016B52">
        <w:rPr>
          <w:rFonts w:ascii="Times New Roman" w:hAnsi="Times New Roman"/>
          <w:sz w:val="24"/>
          <w:szCs w:val="24"/>
        </w:rPr>
        <w:t xml:space="preserve">ocused on operations </w:t>
      </w:r>
      <w:r w:rsidR="001D573C" w:rsidRPr="00016B52">
        <w:rPr>
          <w:rFonts w:ascii="Times New Roman" w:hAnsi="Times New Roman"/>
          <w:sz w:val="24"/>
          <w:szCs w:val="24"/>
        </w:rPr>
        <w:t xml:space="preserve">on </w:t>
      </w:r>
      <w:r w:rsidR="001D573C" w:rsidRPr="00016B52">
        <w:rPr>
          <w:rFonts w:ascii="Times New Roman" w:hAnsi="Times New Roman" w:hint="eastAsia"/>
          <w:sz w:val="24"/>
          <w:szCs w:val="24"/>
        </w:rPr>
        <w:t>the</w:t>
      </w:r>
      <w:r w:rsidR="001D573C" w:rsidRPr="00016B52">
        <w:rPr>
          <w:rFonts w:ascii="Times New Roman" w:hAnsi="Times New Roman"/>
          <w:sz w:val="24"/>
          <w:szCs w:val="24"/>
        </w:rPr>
        <w:t xml:space="preserve"> domestic market. Whereas other forms of international financial integration has been significant, including foreign direct investments (FDI), foreign borrowing and domestic on</w:t>
      </w:r>
      <w:r w:rsidR="00A064B6">
        <w:rPr>
          <w:rFonts w:ascii="Times New Roman" w:hAnsi="Times New Roman"/>
          <w:sz w:val="24"/>
          <w:szCs w:val="24"/>
        </w:rPr>
        <w:t xml:space="preserve"> </w:t>
      </w:r>
      <w:r w:rsidR="001D573C" w:rsidRPr="00016B52">
        <w:rPr>
          <w:rFonts w:ascii="Times New Roman" w:hAnsi="Times New Roman"/>
          <w:sz w:val="24"/>
          <w:szCs w:val="24"/>
        </w:rPr>
        <w:t xml:space="preserve">lending by foreign owned banks, and direct lending by European banks into Bulgaria, foreign interest in the Bulgarian </w:t>
      </w:r>
      <w:r w:rsidR="00FB37E0" w:rsidRPr="00016B52">
        <w:rPr>
          <w:rFonts w:ascii="Times New Roman" w:hAnsi="Times New Roman"/>
          <w:sz w:val="24"/>
          <w:szCs w:val="24"/>
        </w:rPr>
        <w:t>capital</w:t>
      </w:r>
      <w:r w:rsidR="001D573C" w:rsidRPr="00016B52">
        <w:rPr>
          <w:rFonts w:ascii="Times New Roman" w:hAnsi="Times New Roman"/>
          <w:sz w:val="24"/>
          <w:szCs w:val="24"/>
        </w:rPr>
        <w:t xml:space="preserve"> market has been modest. </w:t>
      </w:r>
      <w:r w:rsidR="0082472A" w:rsidRPr="00016B52">
        <w:rPr>
          <w:rFonts w:ascii="Times New Roman" w:hAnsi="Times New Roman"/>
          <w:sz w:val="24"/>
          <w:szCs w:val="24"/>
        </w:rPr>
        <w:t xml:space="preserve">Perhaps the most important aspect of this integration has been </w:t>
      </w:r>
      <w:r w:rsidR="00EA2087" w:rsidRPr="00016B52">
        <w:rPr>
          <w:rFonts w:ascii="Times New Roman" w:hAnsi="Times New Roman"/>
          <w:sz w:val="24"/>
          <w:szCs w:val="24"/>
        </w:rPr>
        <w:t xml:space="preserve">the presence of foreign banks facilitating investments abroad and investment banking services to companies in Bulgaria. </w:t>
      </w:r>
    </w:p>
    <w:p w:rsidR="00B47C9A" w:rsidRPr="00016B52" w:rsidRDefault="00B47C9A" w:rsidP="00B47C9A">
      <w:pPr>
        <w:tabs>
          <w:tab w:val="left" w:pos="0"/>
        </w:tabs>
        <w:jc w:val="both"/>
        <w:rPr>
          <w:rFonts w:ascii="Times New Roman" w:hAnsi="Times New Roman"/>
          <w:sz w:val="24"/>
          <w:szCs w:val="24"/>
        </w:rPr>
      </w:pPr>
    </w:p>
    <w:p w:rsidR="001D573C" w:rsidRPr="003634FF" w:rsidRDefault="001D573C" w:rsidP="00A064B6">
      <w:pPr>
        <w:numPr>
          <w:ilvl w:val="0"/>
          <w:numId w:val="3"/>
        </w:numPr>
        <w:tabs>
          <w:tab w:val="left" w:pos="0"/>
        </w:tabs>
        <w:ind w:left="0" w:firstLine="0"/>
        <w:jc w:val="both"/>
        <w:rPr>
          <w:rFonts w:ascii="Times New Roman" w:hAnsi="Times New Roman"/>
          <w:sz w:val="24"/>
          <w:szCs w:val="24"/>
        </w:rPr>
      </w:pPr>
      <w:r w:rsidRPr="003634FF">
        <w:rPr>
          <w:rFonts w:ascii="Times New Roman" w:hAnsi="Times New Roman"/>
          <w:b/>
          <w:sz w:val="24"/>
          <w:szCs w:val="24"/>
        </w:rPr>
        <w:lastRenderedPageBreak/>
        <w:t>The modest international integration raises the question of how to best achieve the</w:t>
      </w:r>
      <w:r w:rsidR="003634FF">
        <w:rPr>
          <w:rFonts w:ascii="Times New Roman" w:hAnsi="Times New Roman"/>
          <w:b/>
          <w:sz w:val="24"/>
          <w:szCs w:val="24"/>
        </w:rPr>
        <w:t xml:space="preserve"> </w:t>
      </w:r>
      <w:r w:rsidRPr="003634FF">
        <w:rPr>
          <w:rFonts w:ascii="Times New Roman" w:hAnsi="Times New Roman"/>
          <w:b/>
          <w:sz w:val="24"/>
          <w:szCs w:val="24"/>
        </w:rPr>
        <w:t xml:space="preserve">benefits of </w:t>
      </w:r>
      <w:proofErr w:type="spellStart"/>
      <w:r w:rsidRPr="003634FF">
        <w:rPr>
          <w:rFonts w:ascii="Times New Roman" w:hAnsi="Times New Roman"/>
          <w:b/>
          <w:sz w:val="24"/>
          <w:szCs w:val="24"/>
        </w:rPr>
        <w:t>MiFID</w:t>
      </w:r>
      <w:proofErr w:type="spellEnd"/>
      <w:r w:rsidRPr="003634FF">
        <w:rPr>
          <w:rFonts w:ascii="Times New Roman" w:hAnsi="Times New Roman"/>
          <w:b/>
          <w:sz w:val="24"/>
          <w:szCs w:val="24"/>
        </w:rPr>
        <w:t xml:space="preserve">, and international integration of the BSE </w:t>
      </w:r>
      <w:r w:rsidR="007E212B" w:rsidRPr="003634FF">
        <w:rPr>
          <w:rFonts w:ascii="Times New Roman" w:hAnsi="Times New Roman"/>
          <w:b/>
          <w:sz w:val="24"/>
          <w:szCs w:val="24"/>
        </w:rPr>
        <w:t>can be a part of the answer</w:t>
      </w:r>
      <w:r w:rsidR="00EA2087" w:rsidRPr="003634FF">
        <w:rPr>
          <w:rFonts w:ascii="Times New Roman" w:hAnsi="Times New Roman"/>
          <w:b/>
          <w:sz w:val="24"/>
          <w:szCs w:val="24"/>
        </w:rPr>
        <w:t>, but clearing, settlement, and depository functions are equally important</w:t>
      </w:r>
      <w:r w:rsidRPr="003634FF">
        <w:rPr>
          <w:rFonts w:ascii="Times New Roman" w:hAnsi="Times New Roman"/>
          <w:b/>
          <w:sz w:val="24"/>
          <w:szCs w:val="24"/>
        </w:rPr>
        <w:t>.</w:t>
      </w:r>
      <w:r w:rsidR="007E212B" w:rsidRPr="003634FF">
        <w:rPr>
          <w:rFonts w:ascii="Times New Roman" w:hAnsi="Times New Roman"/>
          <w:b/>
          <w:sz w:val="24"/>
          <w:szCs w:val="24"/>
        </w:rPr>
        <w:t xml:space="preserve"> </w:t>
      </w:r>
      <w:r w:rsidR="004E1B13" w:rsidRPr="003634FF">
        <w:rPr>
          <w:rFonts w:ascii="Times New Roman" w:hAnsi="Times New Roman"/>
          <w:sz w:val="24"/>
          <w:szCs w:val="24"/>
        </w:rPr>
        <w:t>T</w:t>
      </w:r>
      <w:r w:rsidR="004D1841" w:rsidRPr="003634FF">
        <w:rPr>
          <w:rFonts w:ascii="Times New Roman" w:hAnsi="Times New Roman"/>
          <w:sz w:val="24"/>
          <w:szCs w:val="24"/>
        </w:rPr>
        <w:t xml:space="preserve">he EU Single Market underpinned by </w:t>
      </w:r>
      <w:proofErr w:type="spellStart"/>
      <w:r w:rsidR="004D1841" w:rsidRPr="003634FF">
        <w:rPr>
          <w:rFonts w:ascii="Times New Roman" w:hAnsi="Times New Roman"/>
          <w:sz w:val="24"/>
          <w:szCs w:val="24"/>
        </w:rPr>
        <w:t>MiFID</w:t>
      </w:r>
      <w:proofErr w:type="spellEnd"/>
      <w:r w:rsidR="004D1841" w:rsidRPr="003634FF">
        <w:rPr>
          <w:rFonts w:ascii="Times New Roman" w:hAnsi="Times New Roman"/>
          <w:sz w:val="24"/>
          <w:szCs w:val="24"/>
        </w:rPr>
        <w:t xml:space="preserve"> and the rest of the Financial Services Action Plan</w:t>
      </w:r>
      <w:r w:rsidR="004E1B13" w:rsidRPr="003634FF">
        <w:rPr>
          <w:rFonts w:ascii="Times New Roman" w:hAnsi="Times New Roman"/>
          <w:sz w:val="24"/>
          <w:szCs w:val="24"/>
        </w:rPr>
        <w:t xml:space="preserve"> aims to provide access to a wider pool of capital for</w:t>
      </w:r>
      <w:r w:rsidR="004D1841" w:rsidRPr="003634FF">
        <w:rPr>
          <w:rFonts w:ascii="Times New Roman" w:hAnsi="Times New Roman"/>
          <w:sz w:val="24"/>
          <w:szCs w:val="24"/>
        </w:rPr>
        <w:t xml:space="preserve"> Bulgarian companies, investment firms, market operators and investors. However, the Single Market </w:t>
      </w:r>
      <w:r w:rsidR="004E1B13" w:rsidRPr="003634FF">
        <w:rPr>
          <w:rFonts w:ascii="Times New Roman" w:hAnsi="Times New Roman"/>
          <w:sz w:val="24"/>
          <w:szCs w:val="24"/>
        </w:rPr>
        <w:t xml:space="preserve">has thus far generated modest </w:t>
      </w:r>
      <w:r w:rsidR="004D1841" w:rsidRPr="003634FF">
        <w:rPr>
          <w:rFonts w:ascii="Times New Roman" w:hAnsi="Times New Roman"/>
          <w:sz w:val="24"/>
          <w:szCs w:val="24"/>
        </w:rPr>
        <w:t xml:space="preserve">benefits for small </w:t>
      </w:r>
      <w:r w:rsidR="004E1B13" w:rsidRPr="003634FF">
        <w:rPr>
          <w:rFonts w:ascii="Times New Roman" w:hAnsi="Times New Roman"/>
          <w:sz w:val="24"/>
          <w:szCs w:val="24"/>
        </w:rPr>
        <w:t xml:space="preserve">capital markets such as that of </w:t>
      </w:r>
      <w:r w:rsidR="004D1841" w:rsidRPr="003634FF">
        <w:rPr>
          <w:rFonts w:ascii="Times New Roman" w:hAnsi="Times New Roman"/>
          <w:sz w:val="24"/>
          <w:szCs w:val="24"/>
        </w:rPr>
        <w:t xml:space="preserve">Bulgaria. One </w:t>
      </w:r>
      <w:r w:rsidR="004E1B13" w:rsidRPr="003634FF">
        <w:rPr>
          <w:rFonts w:ascii="Times New Roman" w:hAnsi="Times New Roman"/>
          <w:sz w:val="24"/>
          <w:szCs w:val="24"/>
        </w:rPr>
        <w:t>solution</w:t>
      </w:r>
      <w:r w:rsidR="004D1841" w:rsidRPr="003634FF">
        <w:rPr>
          <w:rFonts w:ascii="Times New Roman" w:hAnsi="Times New Roman"/>
          <w:sz w:val="24"/>
          <w:szCs w:val="24"/>
        </w:rPr>
        <w:t xml:space="preserve"> might be to integrate Bulgaria</w:t>
      </w:r>
      <w:r w:rsidR="00F65E59" w:rsidRPr="003634FF">
        <w:rPr>
          <w:rFonts w:ascii="Times New Roman" w:hAnsi="Times New Roman"/>
          <w:sz w:val="24"/>
          <w:szCs w:val="24"/>
        </w:rPr>
        <w:t>’s market</w:t>
      </w:r>
      <w:r w:rsidR="004D1841" w:rsidRPr="003634FF">
        <w:rPr>
          <w:rFonts w:ascii="Times New Roman" w:hAnsi="Times New Roman"/>
          <w:sz w:val="24"/>
          <w:szCs w:val="24"/>
        </w:rPr>
        <w:t xml:space="preserve"> more closely with bigger </w:t>
      </w:r>
      <w:r w:rsidR="00F65E59" w:rsidRPr="003634FF">
        <w:rPr>
          <w:rFonts w:ascii="Times New Roman" w:hAnsi="Times New Roman"/>
          <w:sz w:val="24"/>
          <w:szCs w:val="24"/>
        </w:rPr>
        <w:t xml:space="preserve">and more established </w:t>
      </w:r>
      <w:r w:rsidR="004E1B13" w:rsidRPr="003634FF">
        <w:rPr>
          <w:rFonts w:ascii="Times New Roman" w:hAnsi="Times New Roman"/>
          <w:sz w:val="24"/>
          <w:szCs w:val="24"/>
        </w:rPr>
        <w:t>capital markets</w:t>
      </w:r>
      <w:r w:rsidR="007E64F3" w:rsidRPr="003634FF">
        <w:rPr>
          <w:rFonts w:ascii="Times New Roman" w:hAnsi="Times New Roman"/>
          <w:sz w:val="24"/>
          <w:szCs w:val="24"/>
        </w:rPr>
        <w:t>, and in that context p</w:t>
      </w:r>
      <w:r w:rsidR="007E212B" w:rsidRPr="003634FF">
        <w:rPr>
          <w:rFonts w:ascii="Times New Roman" w:hAnsi="Times New Roman"/>
          <w:sz w:val="24"/>
          <w:szCs w:val="24"/>
        </w:rPr>
        <w:t>lans are underway for a strategic sale of the BSE to a strong international exchange.</w:t>
      </w:r>
      <w:r w:rsidR="00A85484" w:rsidRPr="003634FF">
        <w:rPr>
          <w:rFonts w:ascii="Times New Roman" w:hAnsi="Times New Roman"/>
          <w:sz w:val="24"/>
          <w:szCs w:val="24"/>
        </w:rPr>
        <w:t xml:space="preserve"> </w:t>
      </w:r>
      <w:r w:rsidR="007E212B" w:rsidRPr="003634FF">
        <w:rPr>
          <w:rFonts w:ascii="Times New Roman" w:hAnsi="Times New Roman"/>
          <w:sz w:val="24"/>
          <w:szCs w:val="24"/>
        </w:rPr>
        <w:t xml:space="preserve">Local </w:t>
      </w:r>
      <w:r w:rsidR="004D1841" w:rsidRPr="003634FF">
        <w:rPr>
          <w:rFonts w:ascii="Times New Roman" w:hAnsi="Times New Roman"/>
          <w:sz w:val="24"/>
          <w:szCs w:val="24"/>
        </w:rPr>
        <w:t xml:space="preserve">intermediaries, too small to make direct use of their </w:t>
      </w:r>
      <w:proofErr w:type="spellStart"/>
      <w:r w:rsidR="004D1841" w:rsidRPr="003634FF">
        <w:rPr>
          <w:rFonts w:ascii="Times New Roman" w:hAnsi="Times New Roman"/>
          <w:sz w:val="24"/>
          <w:szCs w:val="24"/>
        </w:rPr>
        <w:t>MiFID</w:t>
      </w:r>
      <w:proofErr w:type="spellEnd"/>
      <w:r w:rsidR="004D1841" w:rsidRPr="003634FF">
        <w:rPr>
          <w:rFonts w:ascii="Times New Roman" w:hAnsi="Times New Roman"/>
          <w:sz w:val="24"/>
          <w:szCs w:val="24"/>
        </w:rPr>
        <w:t xml:space="preserve"> rights to compete abroad, </w:t>
      </w:r>
      <w:r w:rsidR="007E212B" w:rsidRPr="003634FF">
        <w:rPr>
          <w:rFonts w:ascii="Times New Roman" w:hAnsi="Times New Roman"/>
          <w:sz w:val="24"/>
          <w:szCs w:val="24"/>
        </w:rPr>
        <w:t xml:space="preserve">would gain </w:t>
      </w:r>
      <w:r w:rsidR="004D1841" w:rsidRPr="003634FF">
        <w:rPr>
          <w:rFonts w:ascii="Times New Roman" w:hAnsi="Times New Roman"/>
          <w:sz w:val="24"/>
          <w:szCs w:val="24"/>
        </w:rPr>
        <w:t xml:space="preserve">immediate </w:t>
      </w:r>
      <w:r w:rsidR="007E212B" w:rsidRPr="003634FF">
        <w:rPr>
          <w:rFonts w:ascii="Times New Roman" w:hAnsi="Times New Roman"/>
          <w:sz w:val="24"/>
          <w:szCs w:val="24"/>
        </w:rPr>
        <w:t>access to more and bigger trading venues, but would also face greater competition.  Listed firms</w:t>
      </w:r>
      <w:r w:rsidR="00CA3BCF" w:rsidRPr="003634FF">
        <w:rPr>
          <w:rFonts w:ascii="Times New Roman" w:hAnsi="Times New Roman"/>
          <w:sz w:val="24"/>
          <w:szCs w:val="24"/>
        </w:rPr>
        <w:t xml:space="preserve">, despite predominantly small size, </w:t>
      </w:r>
      <w:r w:rsidR="007E212B" w:rsidRPr="003634FF">
        <w:rPr>
          <w:rFonts w:ascii="Times New Roman" w:hAnsi="Times New Roman"/>
          <w:sz w:val="24"/>
          <w:szCs w:val="24"/>
        </w:rPr>
        <w:t xml:space="preserve">would gain </w:t>
      </w:r>
      <w:r w:rsidR="00CA3BCF" w:rsidRPr="003634FF">
        <w:rPr>
          <w:rFonts w:ascii="Times New Roman" w:hAnsi="Times New Roman"/>
          <w:sz w:val="24"/>
          <w:szCs w:val="24"/>
        </w:rPr>
        <w:t xml:space="preserve">more visibility and therefore </w:t>
      </w:r>
      <w:r w:rsidR="004D1841" w:rsidRPr="003634FF">
        <w:rPr>
          <w:rFonts w:ascii="Times New Roman" w:hAnsi="Times New Roman"/>
          <w:sz w:val="24"/>
          <w:szCs w:val="24"/>
        </w:rPr>
        <w:t xml:space="preserve">practical </w:t>
      </w:r>
      <w:r w:rsidR="007E212B" w:rsidRPr="003634FF">
        <w:rPr>
          <w:rFonts w:ascii="Times New Roman" w:hAnsi="Times New Roman"/>
          <w:sz w:val="24"/>
          <w:szCs w:val="24"/>
        </w:rPr>
        <w:t>access to a greater investor base</w:t>
      </w:r>
      <w:r w:rsidR="00F65E59" w:rsidRPr="003634FF">
        <w:rPr>
          <w:rFonts w:ascii="Times New Roman" w:hAnsi="Times New Roman"/>
          <w:sz w:val="24"/>
          <w:szCs w:val="24"/>
        </w:rPr>
        <w:t>. L</w:t>
      </w:r>
      <w:r w:rsidR="007E212B" w:rsidRPr="003634FF">
        <w:rPr>
          <w:rFonts w:ascii="Times New Roman" w:hAnsi="Times New Roman"/>
          <w:sz w:val="24"/>
          <w:szCs w:val="24"/>
        </w:rPr>
        <w:t>ocal investors would gain easier access to a larger market</w:t>
      </w:r>
      <w:r w:rsidR="008A0C95" w:rsidRPr="003634FF">
        <w:rPr>
          <w:rFonts w:ascii="Times New Roman" w:hAnsi="Times New Roman"/>
          <w:sz w:val="24"/>
          <w:szCs w:val="24"/>
        </w:rPr>
        <w:t xml:space="preserve"> through the local intermediaries</w:t>
      </w:r>
      <w:r w:rsidR="007E212B" w:rsidRPr="003634FF">
        <w:rPr>
          <w:rFonts w:ascii="Times New Roman" w:hAnsi="Times New Roman"/>
          <w:sz w:val="24"/>
          <w:szCs w:val="24"/>
        </w:rPr>
        <w:t xml:space="preserve">. </w:t>
      </w:r>
      <w:r w:rsidR="004C07EE" w:rsidRPr="003634FF">
        <w:rPr>
          <w:rFonts w:ascii="Times New Roman" w:hAnsi="Times New Roman"/>
          <w:sz w:val="24"/>
          <w:szCs w:val="24"/>
        </w:rPr>
        <w:t xml:space="preserve">The BSE as part of the bigger international player will be better </w:t>
      </w:r>
      <w:r w:rsidR="00A064B6" w:rsidRPr="003634FF">
        <w:rPr>
          <w:rFonts w:ascii="Times New Roman" w:hAnsi="Times New Roman"/>
          <w:sz w:val="24"/>
          <w:szCs w:val="24"/>
        </w:rPr>
        <w:t xml:space="preserve">placed </w:t>
      </w:r>
      <w:r w:rsidR="004C07EE" w:rsidRPr="003634FF">
        <w:rPr>
          <w:rFonts w:ascii="Times New Roman" w:hAnsi="Times New Roman"/>
          <w:sz w:val="24"/>
          <w:szCs w:val="24"/>
        </w:rPr>
        <w:t xml:space="preserve">to face competition from other European exchanges and </w:t>
      </w:r>
      <w:r w:rsidR="00F65E59" w:rsidRPr="003634FF">
        <w:rPr>
          <w:rFonts w:ascii="Times New Roman" w:hAnsi="Times New Roman"/>
          <w:sz w:val="24"/>
          <w:szCs w:val="24"/>
        </w:rPr>
        <w:t>multilateral trading facilities (</w:t>
      </w:r>
      <w:r w:rsidR="004C07EE" w:rsidRPr="003634FF">
        <w:rPr>
          <w:rFonts w:ascii="Times New Roman" w:hAnsi="Times New Roman"/>
          <w:sz w:val="24"/>
          <w:szCs w:val="24"/>
        </w:rPr>
        <w:t>MTF</w:t>
      </w:r>
      <w:r w:rsidR="00F65E59" w:rsidRPr="003634FF">
        <w:rPr>
          <w:rFonts w:ascii="Times New Roman" w:hAnsi="Times New Roman"/>
          <w:sz w:val="24"/>
          <w:szCs w:val="24"/>
        </w:rPr>
        <w:t>)</w:t>
      </w:r>
      <w:r w:rsidR="004C07EE" w:rsidRPr="003634FF">
        <w:rPr>
          <w:rFonts w:ascii="Times New Roman" w:hAnsi="Times New Roman"/>
          <w:sz w:val="24"/>
          <w:szCs w:val="24"/>
        </w:rPr>
        <w:t xml:space="preserve">. </w:t>
      </w:r>
      <w:r w:rsidR="00A85484" w:rsidRPr="003634FF">
        <w:rPr>
          <w:rFonts w:ascii="Times New Roman" w:hAnsi="Times New Roman"/>
          <w:sz w:val="24"/>
          <w:szCs w:val="24"/>
        </w:rPr>
        <w:t xml:space="preserve">The </w:t>
      </w:r>
      <w:r w:rsidR="00F65E59" w:rsidRPr="003634FF">
        <w:rPr>
          <w:rFonts w:ascii="Times New Roman" w:hAnsi="Times New Roman"/>
          <w:sz w:val="24"/>
          <w:szCs w:val="24"/>
        </w:rPr>
        <w:t xml:space="preserve">right </w:t>
      </w:r>
      <w:r w:rsidR="00A85484" w:rsidRPr="003634FF">
        <w:rPr>
          <w:rFonts w:ascii="Times New Roman" w:hAnsi="Times New Roman"/>
          <w:sz w:val="24"/>
          <w:szCs w:val="24"/>
        </w:rPr>
        <w:t>choice of partner is beyond the scope of this report</w:t>
      </w:r>
      <w:r w:rsidR="007E64F3" w:rsidRPr="003634FF">
        <w:rPr>
          <w:rFonts w:ascii="Times New Roman" w:hAnsi="Times New Roman"/>
          <w:sz w:val="24"/>
          <w:szCs w:val="24"/>
        </w:rPr>
        <w:t>.</w:t>
      </w:r>
      <w:r w:rsidR="00F65E59" w:rsidRPr="003634FF">
        <w:rPr>
          <w:rFonts w:ascii="Times New Roman" w:hAnsi="Times New Roman"/>
          <w:sz w:val="24"/>
          <w:szCs w:val="24"/>
        </w:rPr>
        <w:t xml:space="preserve"> </w:t>
      </w:r>
      <w:r w:rsidR="007E64F3" w:rsidRPr="003634FF">
        <w:rPr>
          <w:rFonts w:ascii="Times New Roman" w:hAnsi="Times New Roman"/>
          <w:sz w:val="24"/>
          <w:szCs w:val="24"/>
        </w:rPr>
        <w:t xml:space="preserve">A </w:t>
      </w:r>
      <w:r w:rsidR="00A85484" w:rsidRPr="003634FF">
        <w:rPr>
          <w:rFonts w:ascii="Times New Roman" w:hAnsi="Times New Roman"/>
          <w:sz w:val="24"/>
          <w:szCs w:val="24"/>
        </w:rPr>
        <w:t xml:space="preserve">regional approach </w:t>
      </w:r>
      <w:r w:rsidR="007E64F3" w:rsidRPr="003634FF">
        <w:rPr>
          <w:rFonts w:ascii="Times New Roman" w:hAnsi="Times New Roman"/>
          <w:sz w:val="24"/>
          <w:szCs w:val="24"/>
        </w:rPr>
        <w:t xml:space="preserve">to analyzing this question is proposed not only because other countries in the region face a similar question, but also because Bulgaria’s optimal choice depends on the </w:t>
      </w:r>
      <w:r w:rsidR="00F65E59" w:rsidRPr="003634FF">
        <w:rPr>
          <w:rFonts w:ascii="Times New Roman" w:hAnsi="Times New Roman"/>
          <w:sz w:val="24"/>
          <w:szCs w:val="24"/>
        </w:rPr>
        <w:t>actions</w:t>
      </w:r>
      <w:r w:rsidR="007E64F3" w:rsidRPr="003634FF">
        <w:rPr>
          <w:rFonts w:ascii="Times New Roman" w:hAnsi="Times New Roman"/>
          <w:sz w:val="24"/>
          <w:szCs w:val="24"/>
        </w:rPr>
        <w:t xml:space="preserve"> of other countries in the region </w:t>
      </w:r>
      <w:r w:rsidR="00F65E59" w:rsidRPr="003634FF">
        <w:rPr>
          <w:rFonts w:ascii="Times New Roman" w:hAnsi="Times New Roman"/>
          <w:sz w:val="24"/>
          <w:szCs w:val="24"/>
        </w:rPr>
        <w:t>and</w:t>
      </w:r>
      <w:r w:rsidR="007E64F3" w:rsidRPr="003634FF">
        <w:rPr>
          <w:rFonts w:ascii="Times New Roman" w:hAnsi="Times New Roman"/>
          <w:sz w:val="24"/>
          <w:szCs w:val="24"/>
        </w:rPr>
        <w:t xml:space="preserve"> how they </w:t>
      </w:r>
      <w:r w:rsidR="00F65E59" w:rsidRPr="003634FF">
        <w:rPr>
          <w:rFonts w:ascii="Times New Roman" w:hAnsi="Times New Roman"/>
          <w:sz w:val="24"/>
          <w:szCs w:val="24"/>
        </w:rPr>
        <w:t xml:space="preserve">will </w:t>
      </w:r>
      <w:r w:rsidR="007E64F3" w:rsidRPr="003634FF">
        <w:rPr>
          <w:rFonts w:ascii="Times New Roman" w:hAnsi="Times New Roman"/>
          <w:sz w:val="24"/>
          <w:szCs w:val="24"/>
        </w:rPr>
        <w:t>ch</w:t>
      </w:r>
      <w:r w:rsidR="00F65E59" w:rsidRPr="003634FF">
        <w:rPr>
          <w:rFonts w:ascii="Times New Roman" w:hAnsi="Times New Roman"/>
          <w:sz w:val="24"/>
          <w:szCs w:val="24"/>
        </w:rPr>
        <w:t>o</w:t>
      </w:r>
      <w:r w:rsidR="007E64F3" w:rsidRPr="003634FF">
        <w:rPr>
          <w:rFonts w:ascii="Times New Roman" w:hAnsi="Times New Roman"/>
          <w:sz w:val="24"/>
          <w:szCs w:val="24"/>
        </w:rPr>
        <w:t xml:space="preserve">ose to integrate their markets. </w:t>
      </w:r>
    </w:p>
    <w:p w:rsidR="00EA7DBA" w:rsidRPr="00A064B6" w:rsidRDefault="005F13D1" w:rsidP="00EA7DBA">
      <w:pPr>
        <w:numPr>
          <w:ilvl w:val="0"/>
          <w:numId w:val="3"/>
        </w:numPr>
        <w:tabs>
          <w:tab w:val="left" w:pos="0"/>
        </w:tabs>
        <w:ind w:left="0" w:firstLine="0"/>
        <w:jc w:val="both"/>
        <w:rPr>
          <w:rFonts w:ascii="Times New Roman" w:hAnsi="Times New Roman"/>
          <w:b/>
          <w:sz w:val="24"/>
          <w:szCs w:val="24"/>
        </w:rPr>
      </w:pPr>
      <w:r w:rsidRPr="004D6B4D">
        <w:rPr>
          <w:rFonts w:ascii="Times New Roman" w:hAnsi="Times New Roman"/>
          <w:b/>
          <w:sz w:val="24"/>
          <w:szCs w:val="24"/>
        </w:rPr>
        <w:t xml:space="preserve">The crisis offered a </w:t>
      </w:r>
      <w:r w:rsidR="007E212B" w:rsidRPr="004D6B4D">
        <w:rPr>
          <w:rFonts w:ascii="Times New Roman" w:hAnsi="Times New Roman"/>
          <w:b/>
          <w:sz w:val="24"/>
          <w:szCs w:val="24"/>
        </w:rPr>
        <w:t xml:space="preserve">low activity </w:t>
      </w:r>
      <w:r w:rsidRPr="004D6B4D">
        <w:rPr>
          <w:rFonts w:ascii="Times New Roman" w:hAnsi="Times New Roman"/>
          <w:b/>
          <w:sz w:val="24"/>
          <w:szCs w:val="24"/>
        </w:rPr>
        <w:t>period to adopt and implement the legal framework</w:t>
      </w:r>
      <w:r w:rsidR="00A064B6">
        <w:rPr>
          <w:rFonts w:ascii="Times New Roman" w:hAnsi="Times New Roman"/>
          <w:b/>
          <w:sz w:val="24"/>
          <w:szCs w:val="24"/>
        </w:rPr>
        <w:t xml:space="preserve"> for </w:t>
      </w:r>
      <w:proofErr w:type="spellStart"/>
      <w:r w:rsidRPr="00A064B6">
        <w:rPr>
          <w:rFonts w:ascii="Times New Roman" w:hAnsi="Times New Roman"/>
          <w:b/>
          <w:sz w:val="24"/>
          <w:szCs w:val="24"/>
        </w:rPr>
        <w:t>MiFID</w:t>
      </w:r>
      <w:proofErr w:type="spellEnd"/>
      <w:r w:rsidRPr="00A064B6">
        <w:rPr>
          <w:rFonts w:ascii="Times New Roman" w:hAnsi="Times New Roman"/>
          <w:b/>
          <w:sz w:val="24"/>
          <w:szCs w:val="24"/>
        </w:rPr>
        <w:t xml:space="preserve">, but as cross border capital market activities grow the authorities must maintain foresight and vigilance to ensure effective </w:t>
      </w:r>
      <w:r w:rsidRPr="00A064B6">
        <w:rPr>
          <w:rFonts w:ascii="Times New Roman" w:hAnsi="Times New Roman" w:hint="eastAsia"/>
          <w:b/>
          <w:sz w:val="24"/>
          <w:szCs w:val="24"/>
        </w:rPr>
        <w:t>oversight</w:t>
      </w:r>
      <w:r w:rsidRPr="00A064B6">
        <w:rPr>
          <w:rFonts w:ascii="Times New Roman" w:hAnsi="Times New Roman"/>
          <w:b/>
          <w:sz w:val="24"/>
          <w:szCs w:val="24"/>
        </w:rPr>
        <w:t xml:space="preserve">. </w:t>
      </w:r>
      <w:r w:rsidR="00EA7DBA" w:rsidRPr="00A064B6">
        <w:rPr>
          <w:rFonts w:ascii="Times New Roman" w:hAnsi="Times New Roman"/>
          <w:sz w:val="24"/>
          <w:szCs w:val="24"/>
        </w:rPr>
        <w:t xml:space="preserve">The </w:t>
      </w:r>
      <w:r w:rsidR="00F65E59">
        <w:rPr>
          <w:rFonts w:ascii="Times New Roman" w:hAnsi="Times New Roman"/>
          <w:sz w:val="24"/>
          <w:szCs w:val="24"/>
        </w:rPr>
        <w:t xml:space="preserve">domestic </w:t>
      </w:r>
      <w:r w:rsidR="00EA7DBA" w:rsidRPr="00A064B6">
        <w:rPr>
          <w:rFonts w:ascii="Times New Roman" w:hAnsi="Times New Roman"/>
          <w:sz w:val="24"/>
          <w:szCs w:val="24"/>
        </w:rPr>
        <w:t xml:space="preserve">legal framework </w:t>
      </w:r>
      <w:r w:rsidR="00F65E59">
        <w:rPr>
          <w:rFonts w:ascii="Times New Roman" w:hAnsi="Times New Roman"/>
          <w:sz w:val="24"/>
          <w:szCs w:val="24"/>
        </w:rPr>
        <w:t xml:space="preserve">for </w:t>
      </w:r>
      <w:proofErr w:type="spellStart"/>
      <w:r w:rsidR="00F65E59">
        <w:rPr>
          <w:rFonts w:ascii="Times New Roman" w:hAnsi="Times New Roman"/>
          <w:sz w:val="24"/>
          <w:szCs w:val="24"/>
        </w:rPr>
        <w:t>MiFID</w:t>
      </w:r>
      <w:proofErr w:type="spellEnd"/>
      <w:r w:rsidR="00F65E59">
        <w:rPr>
          <w:rFonts w:ascii="Times New Roman" w:hAnsi="Times New Roman"/>
          <w:sz w:val="24"/>
          <w:szCs w:val="24"/>
        </w:rPr>
        <w:t xml:space="preserve"> </w:t>
      </w:r>
      <w:r w:rsidR="00EA7DBA" w:rsidRPr="00A064B6">
        <w:rPr>
          <w:rFonts w:ascii="Times New Roman" w:hAnsi="Times New Roman"/>
          <w:sz w:val="24"/>
          <w:szCs w:val="24"/>
        </w:rPr>
        <w:t>was quickly adopted</w:t>
      </w:r>
      <w:r w:rsidR="009C59B4" w:rsidRPr="00A064B6">
        <w:rPr>
          <w:rFonts w:ascii="Times New Roman" w:hAnsi="Times New Roman"/>
          <w:sz w:val="24"/>
          <w:szCs w:val="24"/>
        </w:rPr>
        <w:t xml:space="preserve">. </w:t>
      </w:r>
      <w:proofErr w:type="spellStart"/>
      <w:r w:rsidR="009C59B4" w:rsidRPr="00A064B6">
        <w:rPr>
          <w:rFonts w:ascii="Times New Roman" w:hAnsi="Times New Roman"/>
          <w:sz w:val="24"/>
          <w:szCs w:val="24"/>
        </w:rPr>
        <w:t>MiFID</w:t>
      </w:r>
      <w:proofErr w:type="spellEnd"/>
      <w:r w:rsidR="009C59B4" w:rsidRPr="00A064B6">
        <w:rPr>
          <w:rFonts w:ascii="Times New Roman" w:hAnsi="Times New Roman"/>
          <w:sz w:val="24"/>
          <w:szCs w:val="24"/>
        </w:rPr>
        <w:t xml:space="preserve"> implementation challenges were mitigated by the depressed market as </w:t>
      </w:r>
      <w:r w:rsidR="00EA7DBA" w:rsidRPr="00A064B6">
        <w:rPr>
          <w:rFonts w:ascii="Times New Roman" w:hAnsi="Times New Roman"/>
          <w:sz w:val="24"/>
          <w:szCs w:val="24"/>
        </w:rPr>
        <w:t xml:space="preserve">trading </w:t>
      </w:r>
      <w:r w:rsidR="00A064B6" w:rsidRPr="00A064B6">
        <w:rPr>
          <w:rFonts w:ascii="Times New Roman" w:hAnsi="Times New Roman"/>
          <w:sz w:val="24"/>
          <w:szCs w:val="24"/>
        </w:rPr>
        <w:t xml:space="preserve">remained </w:t>
      </w:r>
      <w:r w:rsidR="00EA7DBA" w:rsidRPr="00A064B6">
        <w:rPr>
          <w:rFonts w:ascii="Times New Roman" w:hAnsi="Times New Roman"/>
          <w:sz w:val="24"/>
          <w:szCs w:val="24"/>
        </w:rPr>
        <w:t>not only largely domestic, but also on a single trading venue, the BSE. Ensuring price transparency and best execution, key aspect</w:t>
      </w:r>
      <w:r w:rsidR="009C59B4" w:rsidRPr="00A064B6">
        <w:rPr>
          <w:rFonts w:ascii="Times New Roman" w:hAnsi="Times New Roman"/>
          <w:sz w:val="24"/>
          <w:szCs w:val="24"/>
        </w:rPr>
        <w:t>s</w:t>
      </w:r>
      <w:r w:rsidR="00EA7DBA" w:rsidRPr="00A064B6">
        <w:rPr>
          <w:rFonts w:ascii="Times New Roman" w:hAnsi="Times New Roman"/>
          <w:sz w:val="24"/>
          <w:szCs w:val="24"/>
        </w:rPr>
        <w:t xml:space="preserve"> of </w:t>
      </w:r>
      <w:proofErr w:type="spellStart"/>
      <w:r w:rsidR="00EA7DBA" w:rsidRPr="00A064B6">
        <w:rPr>
          <w:rFonts w:ascii="Times New Roman" w:hAnsi="Times New Roman"/>
          <w:sz w:val="24"/>
          <w:szCs w:val="24"/>
        </w:rPr>
        <w:t>MiFID</w:t>
      </w:r>
      <w:proofErr w:type="spellEnd"/>
      <w:r w:rsidR="009C59B4" w:rsidRPr="00A064B6">
        <w:rPr>
          <w:rFonts w:ascii="Times New Roman" w:hAnsi="Times New Roman"/>
          <w:sz w:val="24"/>
          <w:szCs w:val="24"/>
        </w:rPr>
        <w:t>,</w:t>
      </w:r>
      <w:r w:rsidR="00EA7DBA" w:rsidRPr="00A064B6">
        <w:rPr>
          <w:rFonts w:ascii="Times New Roman" w:hAnsi="Times New Roman"/>
          <w:sz w:val="24"/>
          <w:szCs w:val="24"/>
        </w:rPr>
        <w:t xml:space="preserve"> has been relatively straightforward, but that will change as the </w:t>
      </w:r>
      <w:r w:rsidR="008A0C95" w:rsidRPr="00A064B6">
        <w:rPr>
          <w:rFonts w:ascii="Times New Roman" w:hAnsi="Times New Roman"/>
          <w:sz w:val="24"/>
          <w:szCs w:val="24"/>
        </w:rPr>
        <w:t xml:space="preserve">investment </w:t>
      </w:r>
      <w:r w:rsidR="009C59B4" w:rsidRPr="00A064B6">
        <w:rPr>
          <w:rFonts w:ascii="Times New Roman" w:hAnsi="Times New Roman"/>
          <w:sz w:val="24"/>
          <w:szCs w:val="24"/>
        </w:rPr>
        <w:t xml:space="preserve">industry </w:t>
      </w:r>
      <w:r w:rsidR="008A0C95" w:rsidRPr="00A064B6">
        <w:rPr>
          <w:rFonts w:ascii="Times New Roman" w:hAnsi="Times New Roman"/>
          <w:sz w:val="24"/>
          <w:szCs w:val="24"/>
        </w:rPr>
        <w:t>integrates with the rest of EU</w:t>
      </w:r>
      <w:r w:rsidR="00F65E59">
        <w:rPr>
          <w:rFonts w:ascii="Times New Roman" w:hAnsi="Times New Roman"/>
          <w:sz w:val="24"/>
          <w:szCs w:val="24"/>
        </w:rPr>
        <w:t xml:space="preserve"> and trading becomes more dispersed</w:t>
      </w:r>
      <w:r w:rsidR="00EA7DBA" w:rsidRPr="00A064B6">
        <w:rPr>
          <w:rFonts w:ascii="Times New Roman" w:hAnsi="Times New Roman"/>
          <w:sz w:val="24"/>
          <w:szCs w:val="24"/>
        </w:rPr>
        <w:t xml:space="preserve">. </w:t>
      </w:r>
    </w:p>
    <w:p w:rsidR="00F851F5" w:rsidRPr="00A064B6" w:rsidRDefault="00EA7DBA" w:rsidP="005422D0">
      <w:pPr>
        <w:pStyle w:val="ListParagraph"/>
        <w:numPr>
          <w:ilvl w:val="0"/>
          <w:numId w:val="3"/>
        </w:numPr>
        <w:ind w:left="0" w:firstLine="0"/>
        <w:jc w:val="both"/>
        <w:rPr>
          <w:rFonts w:ascii="Times New Roman" w:hAnsi="Times New Roman"/>
          <w:sz w:val="24"/>
          <w:szCs w:val="24"/>
        </w:rPr>
      </w:pPr>
      <w:r w:rsidRPr="00A064B6">
        <w:rPr>
          <w:rFonts w:ascii="Times New Roman" w:hAnsi="Times New Roman"/>
          <w:b/>
          <w:sz w:val="24"/>
          <w:szCs w:val="24"/>
        </w:rPr>
        <w:t xml:space="preserve">The new regulatory requirements established by </w:t>
      </w:r>
      <w:proofErr w:type="spellStart"/>
      <w:r w:rsidRPr="00A064B6">
        <w:rPr>
          <w:rFonts w:ascii="Times New Roman" w:hAnsi="Times New Roman"/>
          <w:b/>
          <w:sz w:val="24"/>
          <w:szCs w:val="24"/>
        </w:rPr>
        <w:t>MiFID</w:t>
      </w:r>
      <w:proofErr w:type="spellEnd"/>
      <w:r w:rsidRPr="00A064B6">
        <w:rPr>
          <w:rFonts w:ascii="Times New Roman" w:hAnsi="Times New Roman"/>
          <w:b/>
          <w:sz w:val="24"/>
          <w:szCs w:val="24"/>
        </w:rPr>
        <w:t xml:space="preserve"> have added administrative and business operation burdens for the investment</w:t>
      </w:r>
      <w:r w:rsidR="008A0C95" w:rsidRPr="00A064B6">
        <w:rPr>
          <w:rFonts w:ascii="Times New Roman" w:hAnsi="Times New Roman"/>
          <w:b/>
          <w:sz w:val="24"/>
          <w:szCs w:val="24"/>
        </w:rPr>
        <w:t xml:space="preserve"> firms</w:t>
      </w:r>
      <w:r w:rsidR="007E64F3">
        <w:rPr>
          <w:rFonts w:ascii="Times New Roman" w:hAnsi="Times New Roman"/>
          <w:b/>
          <w:sz w:val="24"/>
          <w:szCs w:val="24"/>
        </w:rPr>
        <w:t>.</w:t>
      </w:r>
      <w:r w:rsidRPr="007E64F3">
        <w:rPr>
          <w:rFonts w:ascii="Times New Roman" w:hAnsi="Times New Roman"/>
          <w:sz w:val="24"/>
          <w:szCs w:val="24"/>
        </w:rPr>
        <w:t xml:space="preserve">  Concerns have been raised over increased reporting to the regulator and a significant increase</w:t>
      </w:r>
      <w:r w:rsidRPr="00A064B6">
        <w:rPr>
          <w:rFonts w:ascii="Times New Roman" w:hAnsi="Times New Roman"/>
          <w:sz w:val="24"/>
          <w:szCs w:val="24"/>
        </w:rPr>
        <w:t xml:space="preserve"> in paper work between the industry and their clients.  </w:t>
      </w:r>
    </w:p>
    <w:p w:rsidR="00EA2087" w:rsidRPr="00A064B6" w:rsidRDefault="00EA2087" w:rsidP="00EA2087">
      <w:pPr>
        <w:pStyle w:val="ListParagraph"/>
        <w:spacing w:after="0" w:line="240" w:lineRule="auto"/>
        <w:ind w:left="0"/>
        <w:jc w:val="both"/>
        <w:rPr>
          <w:rFonts w:ascii="Times New Roman" w:hAnsi="Times New Roman"/>
          <w:sz w:val="24"/>
          <w:szCs w:val="24"/>
        </w:rPr>
      </w:pPr>
    </w:p>
    <w:p w:rsidR="00F851F5" w:rsidRPr="00A064B6" w:rsidRDefault="00D66944" w:rsidP="005422D0">
      <w:pPr>
        <w:pStyle w:val="ListParagraph"/>
        <w:numPr>
          <w:ilvl w:val="0"/>
          <w:numId w:val="3"/>
        </w:numPr>
        <w:ind w:left="0" w:firstLine="0"/>
        <w:jc w:val="both"/>
        <w:rPr>
          <w:rFonts w:ascii="Times New Roman" w:hAnsi="Times New Roman"/>
          <w:b/>
          <w:sz w:val="24"/>
          <w:szCs w:val="24"/>
        </w:rPr>
      </w:pPr>
      <w:r w:rsidRPr="00A064B6">
        <w:rPr>
          <w:rFonts w:ascii="Times New Roman" w:hAnsi="Times New Roman"/>
          <w:b/>
          <w:sz w:val="24"/>
          <w:szCs w:val="24"/>
        </w:rPr>
        <w:t>Based on the review, the report recommends the following</w:t>
      </w:r>
      <w:r w:rsidR="00F851F5" w:rsidRPr="00A064B6">
        <w:rPr>
          <w:rFonts w:ascii="Times New Roman" w:hAnsi="Times New Roman"/>
          <w:b/>
          <w:sz w:val="24"/>
          <w:szCs w:val="24"/>
        </w:rPr>
        <w:t>:</w:t>
      </w:r>
    </w:p>
    <w:p w:rsidR="005304C7" w:rsidRDefault="005E13ED" w:rsidP="00F65E59">
      <w:pPr>
        <w:pStyle w:val="ListParagraph"/>
        <w:numPr>
          <w:ilvl w:val="0"/>
          <w:numId w:val="17"/>
        </w:numPr>
        <w:ind w:left="630"/>
        <w:jc w:val="both"/>
        <w:rPr>
          <w:rFonts w:ascii="Times New Roman" w:hAnsi="Times New Roman"/>
          <w:sz w:val="24"/>
        </w:rPr>
      </w:pPr>
      <w:r w:rsidRPr="00F65E59">
        <w:rPr>
          <w:rFonts w:ascii="Times New Roman" w:hAnsi="Times New Roman"/>
          <w:i/>
          <w:sz w:val="24"/>
          <w:szCs w:val="24"/>
        </w:rPr>
        <w:t xml:space="preserve">The </w:t>
      </w:r>
      <w:r w:rsidR="005422D0" w:rsidRPr="00F65E59">
        <w:rPr>
          <w:rFonts w:ascii="Times New Roman" w:hAnsi="Times New Roman"/>
          <w:i/>
          <w:sz w:val="24"/>
          <w:szCs w:val="24"/>
        </w:rPr>
        <w:t>Ministry of Finance</w:t>
      </w:r>
      <w:r w:rsidR="000736F4" w:rsidRPr="00F65E59">
        <w:rPr>
          <w:rFonts w:ascii="Times New Roman" w:hAnsi="Times New Roman"/>
          <w:i/>
          <w:sz w:val="24"/>
          <w:szCs w:val="24"/>
        </w:rPr>
        <w:t xml:space="preserve"> (</w:t>
      </w:r>
      <w:proofErr w:type="spellStart"/>
      <w:r w:rsidR="000736F4" w:rsidRPr="00F65E59">
        <w:rPr>
          <w:rFonts w:ascii="Times New Roman" w:hAnsi="Times New Roman"/>
          <w:i/>
          <w:sz w:val="24"/>
          <w:szCs w:val="24"/>
        </w:rPr>
        <w:t>MoF</w:t>
      </w:r>
      <w:proofErr w:type="spellEnd"/>
      <w:r w:rsidR="000736F4" w:rsidRPr="00F65E59">
        <w:rPr>
          <w:rFonts w:ascii="Times New Roman" w:hAnsi="Times New Roman"/>
          <w:i/>
          <w:sz w:val="24"/>
          <w:szCs w:val="24"/>
        </w:rPr>
        <w:t>)</w:t>
      </w:r>
      <w:r w:rsidR="005422D0" w:rsidRPr="00F65E59">
        <w:rPr>
          <w:rFonts w:ascii="Times New Roman" w:hAnsi="Times New Roman"/>
          <w:i/>
          <w:sz w:val="24"/>
          <w:szCs w:val="24"/>
        </w:rPr>
        <w:t xml:space="preserve"> to take the lead in</w:t>
      </w:r>
      <w:r w:rsidR="00D66944" w:rsidRPr="00F65E59">
        <w:rPr>
          <w:rFonts w:ascii="Times New Roman" w:hAnsi="Times New Roman"/>
          <w:i/>
          <w:sz w:val="24"/>
          <w:szCs w:val="24"/>
        </w:rPr>
        <w:t xml:space="preserve"> a strategic sale of </w:t>
      </w:r>
      <w:r w:rsidR="006360E9" w:rsidRPr="00F65E59">
        <w:rPr>
          <w:rFonts w:ascii="Times New Roman" w:hAnsi="Times New Roman"/>
          <w:i/>
          <w:sz w:val="24"/>
          <w:szCs w:val="24"/>
        </w:rPr>
        <w:t xml:space="preserve">the </w:t>
      </w:r>
      <w:r w:rsidR="00D66944" w:rsidRPr="00F65E59">
        <w:rPr>
          <w:rFonts w:ascii="Times New Roman" w:hAnsi="Times New Roman"/>
          <w:i/>
          <w:sz w:val="24"/>
          <w:szCs w:val="24"/>
        </w:rPr>
        <w:t>BSE</w:t>
      </w:r>
      <w:r w:rsidR="000736F4" w:rsidRPr="00F65E59">
        <w:rPr>
          <w:rFonts w:ascii="Times New Roman" w:hAnsi="Times New Roman"/>
          <w:i/>
          <w:sz w:val="24"/>
          <w:szCs w:val="24"/>
        </w:rPr>
        <w:t xml:space="preserve"> </w:t>
      </w:r>
      <w:r w:rsidR="00D66944" w:rsidRPr="00F65E59">
        <w:rPr>
          <w:rFonts w:ascii="Times New Roman" w:hAnsi="Times New Roman"/>
          <w:i/>
          <w:sz w:val="24"/>
          <w:szCs w:val="24"/>
        </w:rPr>
        <w:t xml:space="preserve">(along with the </w:t>
      </w:r>
      <w:r w:rsidR="006360E9" w:rsidRPr="00F65E59">
        <w:rPr>
          <w:rFonts w:ascii="Times New Roman" w:hAnsi="Times New Roman"/>
          <w:i/>
          <w:sz w:val="24"/>
          <w:szCs w:val="24"/>
        </w:rPr>
        <w:t>c</w:t>
      </w:r>
      <w:r w:rsidR="00D66944" w:rsidRPr="00F65E59">
        <w:rPr>
          <w:rFonts w:ascii="Times New Roman" w:hAnsi="Times New Roman"/>
          <w:i/>
          <w:sz w:val="24"/>
          <w:szCs w:val="24"/>
        </w:rPr>
        <w:t xml:space="preserve">entral </w:t>
      </w:r>
      <w:r w:rsidR="006360E9" w:rsidRPr="00F65E59">
        <w:rPr>
          <w:rFonts w:ascii="Times New Roman" w:hAnsi="Times New Roman"/>
          <w:i/>
          <w:sz w:val="24"/>
          <w:szCs w:val="24"/>
        </w:rPr>
        <w:t>d</w:t>
      </w:r>
      <w:r w:rsidR="00D66944" w:rsidRPr="00F65E59">
        <w:rPr>
          <w:rFonts w:ascii="Times New Roman" w:hAnsi="Times New Roman"/>
          <w:i/>
          <w:sz w:val="24"/>
          <w:szCs w:val="24"/>
        </w:rPr>
        <w:t>epository) to a major international stock exchange.</w:t>
      </w:r>
      <w:r w:rsidR="00A97731" w:rsidRPr="00A064B6">
        <w:rPr>
          <w:rFonts w:ascii="Times New Roman" w:hAnsi="Times New Roman"/>
          <w:sz w:val="24"/>
          <w:szCs w:val="24"/>
        </w:rPr>
        <w:t xml:space="preserve"> </w:t>
      </w:r>
      <w:r w:rsidR="00A97731" w:rsidRPr="00A064B6">
        <w:rPr>
          <w:rFonts w:ascii="Times New Roman" w:eastAsia="Calibri" w:hAnsi="Times New Roman"/>
          <w:sz w:val="24"/>
          <w:szCs w:val="24"/>
        </w:rPr>
        <w:t xml:space="preserve">Strategic sale will </w:t>
      </w:r>
      <w:r w:rsidR="004D6B4D" w:rsidRPr="00A064B6">
        <w:rPr>
          <w:rFonts w:ascii="Times New Roman" w:eastAsia="Calibri" w:hAnsi="Times New Roman"/>
          <w:sz w:val="24"/>
          <w:szCs w:val="24"/>
        </w:rPr>
        <w:t>enable the</w:t>
      </w:r>
      <w:r w:rsidR="00A97731" w:rsidRPr="00A064B6">
        <w:rPr>
          <w:rFonts w:ascii="Times New Roman" w:eastAsia="Calibri" w:hAnsi="Times New Roman"/>
          <w:sz w:val="24"/>
          <w:szCs w:val="24"/>
        </w:rPr>
        <w:t xml:space="preserve"> local market players </w:t>
      </w:r>
      <w:r w:rsidR="004D6B4D" w:rsidRPr="00A064B6">
        <w:rPr>
          <w:rFonts w:ascii="Times New Roman" w:eastAsia="Calibri" w:hAnsi="Times New Roman"/>
          <w:sz w:val="24"/>
          <w:szCs w:val="24"/>
        </w:rPr>
        <w:t xml:space="preserve">to </w:t>
      </w:r>
      <w:r w:rsidR="00A97731" w:rsidRPr="00A064B6">
        <w:rPr>
          <w:rFonts w:ascii="Times New Roman" w:eastAsia="Calibri" w:hAnsi="Times New Roman"/>
          <w:sz w:val="24"/>
          <w:szCs w:val="24"/>
        </w:rPr>
        <w:t>get more visibility though membership/listing in a big internatio</w:t>
      </w:r>
      <w:r w:rsidR="00A97731">
        <w:rPr>
          <w:rFonts w:ascii="Times New Roman" w:eastAsia="Calibri" w:hAnsi="Times New Roman"/>
          <w:sz w:val="24"/>
          <w:szCs w:val="24"/>
        </w:rPr>
        <w:t xml:space="preserve">nal market operator, while the BSE will be in </w:t>
      </w:r>
      <w:r w:rsidR="004D6B4D">
        <w:rPr>
          <w:rFonts w:ascii="Times New Roman" w:eastAsia="Calibri" w:hAnsi="Times New Roman"/>
          <w:sz w:val="24"/>
          <w:szCs w:val="24"/>
        </w:rPr>
        <w:t xml:space="preserve">a </w:t>
      </w:r>
      <w:r w:rsidR="00A97731">
        <w:rPr>
          <w:rFonts w:ascii="Times New Roman" w:eastAsia="Calibri" w:hAnsi="Times New Roman"/>
          <w:sz w:val="24"/>
          <w:szCs w:val="24"/>
        </w:rPr>
        <w:t>better position to face competition from larger trading venues in Europe. Furthermore, the p</w:t>
      </w:r>
      <w:r w:rsidR="00A97731" w:rsidRPr="00421C1B">
        <w:rPr>
          <w:rFonts w:ascii="Times New Roman" w:eastAsia="Calibri" w:hAnsi="Times New Roman"/>
          <w:sz w:val="24"/>
          <w:szCs w:val="24"/>
        </w:rPr>
        <w:t xml:space="preserve">resence of </w:t>
      </w:r>
      <w:r w:rsidR="00A97731">
        <w:rPr>
          <w:rFonts w:ascii="Times New Roman" w:eastAsia="Calibri" w:hAnsi="Times New Roman"/>
          <w:sz w:val="24"/>
          <w:szCs w:val="24"/>
        </w:rPr>
        <w:t xml:space="preserve">an </w:t>
      </w:r>
      <w:r w:rsidR="00A97731" w:rsidRPr="00421C1B">
        <w:rPr>
          <w:rFonts w:ascii="Times New Roman" w:eastAsia="Calibri" w:hAnsi="Times New Roman"/>
          <w:sz w:val="24"/>
          <w:szCs w:val="24"/>
        </w:rPr>
        <w:lastRenderedPageBreak/>
        <w:t>international operator will hel</w:t>
      </w:r>
      <w:r w:rsidR="00A97731">
        <w:rPr>
          <w:rFonts w:ascii="Times New Roman" w:eastAsia="Calibri" w:hAnsi="Times New Roman"/>
          <w:sz w:val="24"/>
          <w:szCs w:val="24"/>
        </w:rPr>
        <w:t>p</w:t>
      </w:r>
      <w:r w:rsidR="00A97731" w:rsidRPr="00421C1B">
        <w:rPr>
          <w:rFonts w:ascii="Times New Roman" w:eastAsia="Calibri" w:hAnsi="Times New Roman"/>
          <w:sz w:val="24"/>
          <w:szCs w:val="24"/>
        </w:rPr>
        <w:t xml:space="preserve"> reform the CDAD structure and operation to allow it to link up with other</w:t>
      </w:r>
      <w:r w:rsidR="00A97731">
        <w:rPr>
          <w:rFonts w:ascii="Times New Roman" w:eastAsia="Calibri" w:hAnsi="Times New Roman"/>
          <w:sz w:val="24"/>
          <w:szCs w:val="24"/>
        </w:rPr>
        <w:t xml:space="preserve"> central depositories</w:t>
      </w:r>
      <w:r w:rsidR="00A97731" w:rsidRPr="00421C1B">
        <w:rPr>
          <w:rFonts w:ascii="Times New Roman" w:eastAsia="Calibri" w:hAnsi="Times New Roman"/>
          <w:sz w:val="24"/>
          <w:szCs w:val="24"/>
        </w:rPr>
        <w:t xml:space="preserve"> in Europe</w:t>
      </w:r>
      <w:r w:rsidR="004D6B4D">
        <w:rPr>
          <w:rFonts w:ascii="Times New Roman" w:eastAsia="Calibri" w:hAnsi="Times New Roman"/>
          <w:sz w:val="24"/>
          <w:szCs w:val="24"/>
        </w:rPr>
        <w:t>.</w:t>
      </w:r>
    </w:p>
    <w:p w:rsidR="00A97731" w:rsidRDefault="00A064B6" w:rsidP="00F65E59">
      <w:pPr>
        <w:pStyle w:val="ListParagraph"/>
        <w:numPr>
          <w:ilvl w:val="0"/>
          <w:numId w:val="17"/>
        </w:numPr>
        <w:ind w:left="630"/>
        <w:jc w:val="both"/>
        <w:rPr>
          <w:rFonts w:ascii="Times New Roman" w:eastAsia="Calibri" w:hAnsi="Times New Roman"/>
          <w:sz w:val="24"/>
          <w:szCs w:val="24"/>
        </w:rPr>
      </w:pPr>
      <w:r w:rsidRPr="00F65E59">
        <w:rPr>
          <w:rFonts w:ascii="Times New Roman" w:eastAsia="Calibri" w:hAnsi="Times New Roman"/>
          <w:i/>
          <w:sz w:val="24"/>
          <w:szCs w:val="24"/>
        </w:rPr>
        <w:t xml:space="preserve">The </w:t>
      </w:r>
      <w:r w:rsidR="005422D0" w:rsidRPr="00F65E59">
        <w:rPr>
          <w:rFonts w:ascii="Times New Roman" w:eastAsia="Calibri" w:hAnsi="Times New Roman"/>
          <w:i/>
          <w:sz w:val="24"/>
          <w:szCs w:val="24"/>
        </w:rPr>
        <w:t>FSC to m</w:t>
      </w:r>
      <w:r w:rsidR="00D66944" w:rsidRPr="00F65E59">
        <w:rPr>
          <w:rFonts w:ascii="Times New Roman" w:eastAsia="Calibri" w:hAnsi="Times New Roman"/>
          <w:i/>
          <w:sz w:val="24"/>
          <w:szCs w:val="24"/>
        </w:rPr>
        <w:t>aintain foresight of potential advancements in market development locally as well as across borders and adapt the regulatory and supervisory framework as needed.</w:t>
      </w:r>
      <w:r w:rsidR="00A97731">
        <w:rPr>
          <w:rFonts w:ascii="Times New Roman" w:eastAsia="Calibri" w:hAnsi="Times New Roman"/>
          <w:sz w:val="24"/>
          <w:szCs w:val="24"/>
        </w:rPr>
        <w:t xml:space="preserve"> </w:t>
      </w:r>
      <w:r w:rsidR="000736F4">
        <w:rPr>
          <w:rFonts w:ascii="Times New Roman" w:eastAsia="Calibri" w:hAnsi="Times New Roman"/>
          <w:sz w:val="24"/>
          <w:szCs w:val="24"/>
        </w:rPr>
        <w:t xml:space="preserve">As EU capital markets framework </w:t>
      </w:r>
      <w:r w:rsidR="004D6B4D">
        <w:rPr>
          <w:rFonts w:ascii="Times New Roman" w:eastAsia="Calibri" w:hAnsi="Times New Roman"/>
          <w:sz w:val="24"/>
          <w:szCs w:val="24"/>
        </w:rPr>
        <w:t>undergoes</w:t>
      </w:r>
      <w:r w:rsidR="000736F4">
        <w:rPr>
          <w:rFonts w:ascii="Times New Roman" w:eastAsia="Calibri" w:hAnsi="Times New Roman"/>
          <w:sz w:val="24"/>
          <w:szCs w:val="24"/>
        </w:rPr>
        <w:t xml:space="preserve"> important changes and the local capital market in Bulgaria potentially develops and integrate</w:t>
      </w:r>
      <w:r>
        <w:rPr>
          <w:rFonts w:ascii="Times New Roman" w:eastAsia="Calibri" w:hAnsi="Times New Roman"/>
          <w:sz w:val="24"/>
          <w:szCs w:val="24"/>
        </w:rPr>
        <w:t>s</w:t>
      </w:r>
      <w:r w:rsidR="000736F4">
        <w:rPr>
          <w:rFonts w:ascii="Times New Roman" w:eastAsia="Calibri" w:hAnsi="Times New Roman"/>
          <w:sz w:val="24"/>
          <w:szCs w:val="24"/>
        </w:rPr>
        <w:t xml:space="preserve"> with the rest of Europe it is important that the FSC </w:t>
      </w:r>
      <w:r w:rsidR="00D77084">
        <w:rPr>
          <w:rFonts w:ascii="Times New Roman" w:eastAsia="Calibri" w:hAnsi="Times New Roman"/>
          <w:sz w:val="24"/>
          <w:szCs w:val="24"/>
        </w:rPr>
        <w:t xml:space="preserve">embraces changes and </w:t>
      </w:r>
      <w:r w:rsidR="000736F4">
        <w:rPr>
          <w:rFonts w:ascii="Times New Roman" w:eastAsia="Calibri" w:hAnsi="Times New Roman"/>
          <w:sz w:val="24"/>
          <w:szCs w:val="24"/>
        </w:rPr>
        <w:t>prepares the industry</w:t>
      </w:r>
      <w:r w:rsidR="004D6B4D">
        <w:rPr>
          <w:rFonts w:ascii="Times New Roman" w:eastAsia="Calibri" w:hAnsi="Times New Roman"/>
          <w:sz w:val="24"/>
          <w:szCs w:val="24"/>
        </w:rPr>
        <w:t xml:space="preserve"> for them</w:t>
      </w:r>
      <w:r w:rsidR="000736F4">
        <w:rPr>
          <w:rFonts w:ascii="Times New Roman" w:eastAsia="Calibri" w:hAnsi="Times New Roman"/>
          <w:sz w:val="24"/>
          <w:szCs w:val="24"/>
        </w:rPr>
        <w:t xml:space="preserve">. </w:t>
      </w:r>
      <w:r w:rsidR="004D6B4D">
        <w:rPr>
          <w:rFonts w:ascii="Times New Roman" w:eastAsia="Calibri" w:hAnsi="Times New Roman"/>
          <w:sz w:val="24"/>
          <w:szCs w:val="24"/>
        </w:rPr>
        <w:t>As a result, c</w:t>
      </w:r>
      <w:r w:rsidR="00A97731">
        <w:rPr>
          <w:rFonts w:ascii="Times New Roman" w:eastAsia="Calibri" w:hAnsi="Times New Roman"/>
          <w:sz w:val="24"/>
          <w:szCs w:val="24"/>
        </w:rPr>
        <w:t>apital market participants as well as a broader financial market will benefit from more transparent, better integrated and robust capital market.</w:t>
      </w:r>
    </w:p>
    <w:p w:rsidR="000736F4" w:rsidRPr="004D6B4D" w:rsidRDefault="000736F4" w:rsidP="00F65E59">
      <w:pPr>
        <w:pStyle w:val="ListParagraph"/>
        <w:numPr>
          <w:ilvl w:val="0"/>
          <w:numId w:val="17"/>
        </w:numPr>
        <w:ind w:left="630"/>
        <w:jc w:val="both"/>
        <w:rPr>
          <w:rFonts w:ascii="Times New Roman" w:eastAsia="Calibri" w:hAnsi="Times New Roman"/>
          <w:sz w:val="24"/>
          <w:szCs w:val="24"/>
        </w:rPr>
      </w:pPr>
      <w:r w:rsidRPr="00F65E59">
        <w:rPr>
          <w:rFonts w:ascii="Times New Roman" w:hAnsi="Times New Roman"/>
          <w:i/>
          <w:sz w:val="24"/>
          <w:szCs w:val="24"/>
        </w:rPr>
        <w:t xml:space="preserve"> </w:t>
      </w:r>
      <w:r w:rsidR="005422D0" w:rsidRPr="00F65E59">
        <w:rPr>
          <w:rFonts w:ascii="Times New Roman" w:eastAsia="Calibri" w:hAnsi="Times New Roman"/>
          <w:i/>
          <w:sz w:val="24"/>
          <w:szCs w:val="24"/>
        </w:rPr>
        <w:t>T</w:t>
      </w:r>
      <w:r w:rsidR="00A064B6" w:rsidRPr="00F65E59">
        <w:rPr>
          <w:rFonts w:ascii="Times New Roman" w:eastAsia="Calibri" w:hAnsi="Times New Roman"/>
          <w:i/>
          <w:sz w:val="24"/>
          <w:szCs w:val="24"/>
        </w:rPr>
        <w:t>he</w:t>
      </w:r>
      <w:r w:rsidR="005422D0" w:rsidRPr="00F65E59">
        <w:rPr>
          <w:rFonts w:ascii="Times New Roman" w:eastAsia="Calibri" w:hAnsi="Times New Roman"/>
          <w:i/>
          <w:sz w:val="24"/>
          <w:szCs w:val="24"/>
        </w:rPr>
        <w:t xml:space="preserve"> FSC to o</w:t>
      </w:r>
      <w:r w:rsidR="00D66944" w:rsidRPr="00F65E59">
        <w:rPr>
          <w:rFonts w:ascii="Times New Roman" w:eastAsia="Calibri" w:hAnsi="Times New Roman"/>
          <w:i/>
          <w:sz w:val="24"/>
          <w:szCs w:val="24"/>
        </w:rPr>
        <w:t xml:space="preserve">ptimize the compliance and client handling functions </w:t>
      </w:r>
      <w:r w:rsidRPr="00F65E59">
        <w:rPr>
          <w:rFonts w:ascii="Times New Roman" w:eastAsia="Calibri" w:hAnsi="Times New Roman"/>
          <w:i/>
          <w:sz w:val="24"/>
          <w:szCs w:val="24"/>
        </w:rPr>
        <w:t xml:space="preserve">in order </w:t>
      </w:r>
      <w:r w:rsidR="00D66944" w:rsidRPr="00F65E59">
        <w:rPr>
          <w:rFonts w:ascii="Times New Roman" w:eastAsia="Calibri" w:hAnsi="Times New Roman"/>
          <w:i/>
          <w:sz w:val="24"/>
          <w:szCs w:val="24"/>
        </w:rPr>
        <w:t xml:space="preserve">to improve the business environment for the industry.  </w:t>
      </w:r>
      <w:r w:rsidRPr="004D6B4D">
        <w:rPr>
          <w:rFonts w:ascii="Times New Roman" w:eastAsia="Calibri" w:hAnsi="Times New Roman"/>
          <w:sz w:val="24"/>
          <w:szCs w:val="24"/>
        </w:rPr>
        <w:t xml:space="preserve">This would include reducing the number of reports and issuance frequency of compliance instructions, and other compliance oriented reforms. The broker/client transactional costs could be reduced by electronic contracts and signatures. By taking the lead in implementation of this recommendation the FSC will help create more cost-effective and vibrant industry. </w:t>
      </w:r>
    </w:p>
    <w:p w:rsidR="005304C7" w:rsidRDefault="005422D0" w:rsidP="00F65E59">
      <w:pPr>
        <w:pStyle w:val="ListParagraph"/>
        <w:numPr>
          <w:ilvl w:val="0"/>
          <w:numId w:val="17"/>
        </w:numPr>
        <w:ind w:left="630"/>
        <w:jc w:val="both"/>
        <w:rPr>
          <w:rFonts w:ascii="Times New Roman" w:hAnsi="Times New Roman"/>
          <w:sz w:val="24"/>
          <w:szCs w:val="24"/>
        </w:rPr>
      </w:pPr>
      <w:r w:rsidRPr="00F65E59">
        <w:rPr>
          <w:rFonts w:ascii="Times New Roman" w:hAnsi="Times New Roman"/>
          <w:i/>
          <w:sz w:val="24"/>
          <w:szCs w:val="24"/>
        </w:rPr>
        <w:t>T</w:t>
      </w:r>
      <w:r w:rsidR="00A064B6" w:rsidRPr="00F65E59">
        <w:rPr>
          <w:rFonts w:ascii="Times New Roman" w:hAnsi="Times New Roman"/>
          <w:i/>
          <w:sz w:val="24"/>
          <w:szCs w:val="24"/>
        </w:rPr>
        <w:t>he</w:t>
      </w:r>
      <w:r w:rsidRPr="00F65E59">
        <w:rPr>
          <w:rFonts w:ascii="Times New Roman" w:hAnsi="Times New Roman"/>
          <w:i/>
          <w:sz w:val="24"/>
          <w:szCs w:val="24"/>
        </w:rPr>
        <w:t xml:space="preserve"> FSC to </w:t>
      </w:r>
      <w:r w:rsidR="004D6B4D" w:rsidRPr="00F65E59">
        <w:rPr>
          <w:rFonts w:ascii="Times New Roman" w:hAnsi="Times New Roman"/>
          <w:i/>
          <w:sz w:val="24"/>
          <w:szCs w:val="24"/>
        </w:rPr>
        <w:t>l</w:t>
      </w:r>
      <w:r w:rsidR="00D66944" w:rsidRPr="00F65E59">
        <w:rPr>
          <w:rFonts w:ascii="Times New Roman" w:hAnsi="Times New Roman"/>
          <w:i/>
          <w:sz w:val="24"/>
          <w:szCs w:val="24"/>
        </w:rPr>
        <w:t>essen the barriers for investment firms to conduct business abroad.</w:t>
      </w:r>
      <w:r w:rsidR="000736F4" w:rsidRPr="00F65E59">
        <w:rPr>
          <w:rFonts w:ascii="Times New Roman" w:hAnsi="Times New Roman"/>
          <w:i/>
          <w:sz w:val="24"/>
          <w:szCs w:val="24"/>
        </w:rPr>
        <w:t xml:space="preserve"> </w:t>
      </w:r>
      <w:r w:rsidR="000736F4" w:rsidRPr="00F65E59">
        <w:rPr>
          <w:rFonts w:ascii="Times New Roman" w:hAnsi="Times New Roman"/>
          <w:sz w:val="24"/>
          <w:szCs w:val="24"/>
        </w:rPr>
        <w:t xml:space="preserve">Bulgarian firms are not experienced in conducting business abroad and they lack international connections. The FSC could assist this process through providing information to the </w:t>
      </w:r>
      <w:r w:rsidR="000736F4">
        <w:rPr>
          <w:rFonts w:ascii="Times New Roman" w:hAnsi="Times New Roman"/>
          <w:sz w:val="24"/>
          <w:szCs w:val="24"/>
        </w:rPr>
        <w:t xml:space="preserve">industry, </w:t>
      </w:r>
      <w:r w:rsidR="000736F4" w:rsidRPr="00AA47EF">
        <w:rPr>
          <w:rFonts w:ascii="Times New Roman" w:hAnsi="Times New Roman"/>
          <w:sz w:val="24"/>
          <w:szCs w:val="24"/>
        </w:rPr>
        <w:t>reduc</w:t>
      </w:r>
      <w:r w:rsidR="000736F4">
        <w:rPr>
          <w:rFonts w:ascii="Times New Roman" w:hAnsi="Times New Roman"/>
          <w:sz w:val="24"/>
          <w:szCs w:val="24"/>
        </w:rPr>
        <w:t>ing</w:t>
      </w:r>
      <w:r w:rsidR="000736F4" w:rsidRPr="00AA47EF">
        <w:rPr>
          <w:rFonts w:ascii="Times New Roman" w:hAnsi="Times New Roman"/>
          <w:sz w:val="24"/>
          <w:szCs w:val="24"/>
        </w:rPr>
        <w:t xml:space="preserve"> administrative barriers for setting up overseas branches, </w:t>
      </w:r>
      <w:r w:rsidR="000736F4">
        <w:rPr>
          <w:rFonts w:ascii="Times New Roman" w:hAnsi="Times New Roman"/>
          <w:sz w:val="24"/>
          <w:szCs w:val="24"/>
        </w:rPr>
        <w:t xml:space="preserve">or reconsidering </w:t>
      </w:r>
      <w:r w:rsidR="000736F4" w:rsidRPr="00AA47EF">
        <w:rPr>
          <w:rFonts w:ascii="Times New Roman" w:hAnsi="Times New Roman"/>
          <w:sz w:val="24"/>
          <w:szCs w:val="24"/>
        </w:rPr>
        <w:t>the use of tied agents for trading abroad.</w:t>
      </w:r>
      <w:r w:rsidR="000736F4">
        <w:rPr>
          <w:rFonts w:ascii="Times New Roman" w:hAnsi="Times New Roman"/>
          <w:sz w:val="24"/>
          <w:szCs w:val="24"/>
        </w:rPr>
        <w:t xml:space="preserve"> This way the industry will be</w:t>
      </w:r>
      <w:r w:rsidR="00F65E59">
        <w:rPr>
          <w:rFonts w:ascii="Times New Roman" w:hAnsi="Times New Roman"/>
          <w:sz w:val="24"/>
          <w:szCs w:val="24"/>
        </w:rPr>
        <w:t xml:space="preserve"> better</w:t>
      </w:r>
      <w:r w:rsidR="000736F4">
        <w:rPr>
          <w:rFonts w:ascii="Times New Roman" w:hAnsi="Times New Roman"/>
          <w:sz w:val="24"/>
          <w:szCs w:val="24"/>
        </w:rPr>
        <w:t xml:space="preserve"> able to realize full benefits of </w:t>
      </w:r>
      <w:r w:rsidR="004D6B4D">
        <w:rPr>
          <w:rFonts w:ascii="Times New Roman" w:hAnsi="Times New Roman"/>
          <w:sz w:val="24"/>
          <w:szCs w:val="24"/>
        </w:rPr>
        <w:t xml:space="preserve">the </w:t>
      </w:r>
      <w:r w:rsidR="000736F4">
        <w:rPr>
          <w:rFonts w:ascii="Times New Roman" w:hAnsi="Times New Roman"/>
          <w:sz w:val="24"/>
          <w:szCs w:val="24"/>
        </w:rPr>
        <w:t>capital market integration</w:t>
      </w:r>
      <w:r w:rsidR="004D6B4D">
        <w:rPr>
          <w:rFonts w:ascii="Times New Roman" w:hAnsi="Times New Roman"/>
          <w:sz w:val="24"/>
          <w:szCs w:val="24"/>
        </w:rPr>
        <w:t>.</w:t>
      </w:r>
    </w:p>
    <w:p w:rsidR="00C71947" w:rsidRDefault="00C71947">
      <w:pPr>
        <w:spacing w:after="0" w:line="240" w:lineRule="auto"/>
        <w:rPr>
          <w:rFonts w:ascii="Times New Roman Bold" w:hAnsi="Times New Roman Bold"/>
          <w:b/>
          <w:sz w:val="24"/>
          <w:szCs w:val="24"/>
        </w:rPr>
        <w:sectPr w:rsidR="00C71947" w:rsidSect="000A3B15">
          <w:footerReference w:type="default" r:id="rId9"/>
          <w:pgSz w:w="12240" w:h="15840"/>
          <w:pgMar w:top="1440" w:right="1440" w:bottom="1440" w:left="1440" w:header="720" w:footer="720" w:gutter="0"/>
          <w:cols w:space="720"/>
          <w:docGrid w:linePitch="360"/>
        </w:sectPr>
      </w:pPr>
    </w:p>
    <w:p w:rsidR="00F851F5" w:rsidRPr="00F851F5" w:rsidRDefault="00F851F5">
      <w:pPr>
        <w:spacing w:after="0" w:line="240" w:lineRule="auto"/>
        <w:rPr>
          <w:rFonts w:ascii="Times New Roman Bold" w:hAnsi="Times New Roman Bold"/>
          <w:b/>
          <w:sz w:val="24"/>
          <w:szCs w:val="24"/>
        </w:rPr>
      </w:pPr>
    </w:p>
    <w:p w:rsidR="005304C7" w:rsidRPr="001A4BD7" w:rsidRDefault="00D66944" w:rsidP="001A4BD7">
      <w:pPr>
        <w:pStyle w:val="mainnum"/>
      </w:pPr>
      <w:bookmarkStart w:id="1" w:name="_Toc297111586"/>
      <w:r w:rsidRPr="001A4BD7">
        <w:t>Introduction</w:t>
      </w:r>
      <w:bookmarkEnd w:id="1"/>
    </w:p>
    <w:p w:rsidR="005348D4" w:rsidRPr="00F851F5" w:rsidRDefault="00D66944">
      <w:pPr>
        <w:pStyle w:val="ListParagraph"/>
        <w:numPr>
          <w:ilvl w:val="0"/>
          <w:numId w:val="3"/>
        </w:numPr>
        <w:ind w:left="0" w:firstLine="0"/>
        <w:jc w:val="both"/>
        <w:rPr>
          <w:rFonts w:ascii="Times New Roman" w:hAnsi="Times New Roman"/>
          <w:sz w:val="24"/>
          <w:szCs w:val="24"/>
        </w:rPr>
      </w:pPr>
      <w:r w:rsidRPr="00C64A2F">
        <w:rPr>
          <w:rFonts w:ascii="Times New Roman" w:hAnsi="Times New Roman"/>
          <w:b/>
          <w:sz w:val="24"/>
          <w:szCs w:val="24"/>
        </w:rPr>
        <w:t>Bulgaria began the adoption of the Markets in Financial Instruments Directive (</w:t>
      </w:r>
      <w:proofErr w:type="spellStart"/>
      <w:r w:rsidRPr="00C64A2F">
        <w:rPr>
          <w:rFonts w:ascii="Times New Roman" w:hAnsi="Times New Roman"/>
          <w:b/>
          <w:sz w:val="24"/>
          <w:szCs w:val="24"/>
        </w:rPr>
        <w:t>MiFID</w:t>
      </w:r>
      <w:proofErr w:type="spellEnd"/>
      <w:r w:rsidRPr="00C64A2F">
        <w:rPr>
          <w:rFonts w:ascii="Times New Roman" w:hAnsi="Times New Roman"/>
          <w:b/>
          <w:sz w:val="24"/>
          <w:szCs w:val="24"/>
        </w:rPr>
        <w:t xml:space="preserve">) along with other European Union (EU) Member States in November 2007.  </w:t>
      </w:r>
      <w:proofErr w:type="spellStart"/>
      <w:r>
        <w:rPr>
          <w:rFonts w:ascii="Times New Roman" w:hAnsi="Times New Roman"/>
          <w:sz w:val="24"/>
          <w:szCs w:val="24"/>
        </w:rPr>
        <w:t>MiFID</w:t>
      </w:r>
      <w:proofErr w:type="spellEnd"/>
      <w:r>
        <w:rPr>
          <w:rFonts w:ascii="Times New Roman" w:hAnsi="Times New Roman"/>
          <w:sz w:val="24"/>
          <w:szCs w:val="24"/>
        </w:rPr>
        <w:t xml:space="preserve"> created a new competitive framework among investment firms and securities exchanges within EU, as well as between securities exchanges and alternative trading systems within EU.  </w:t>
      </w:r>
    </w:p>
    <w:p w:rsidR="00FC21AC" w:rsidRPr="00F851F5" w:rsidRDefault="00FC21AC" w:rsidP="00FC21AC">
      <w:pPr>
        <w:pStyle w:val="ListParagraph"/>
        <w:ind w:left="630"/>
        <w:jc w:val="both"/>
        <w:rPr>
          <w:rFonts w:ascii="Times New Roman" w:hAnsi="Times New Roman"/>
          <w:sz w:val="24"/>
          <w:szCs w:val="24"/>
        </w:rPr>
      </w:pPr>
    </w:p>
    <w:p w:rsidR="005348D4" w:rsidRDefault="00FC21AC">
      <w:pPr>
        <w:pStyle w:val="ListParagraph"/>
        <w:numPr>
          <w:ilvl w:val="0"/>
          <w:numId w:val="3"/>
        </w:numPr>
        <w:ind w:left="0" w:firstLine="0"/>
        <w:jc w:val="both"/>
        <w:rPr>
          <w:rFonts w:ascii="Times New Roman" w:hAnsi="Times New Roman"/>
          <w:sz w:val="24"/>
          <w:szCs w:val="24"/>
        </w:rPr>
      </w:pPr>
      <w:proofErr w:type="spellStart"/>
      <w:r w:rsidRPr="00C64A2F">
        <w:rPr>
          <w:rFonts w:ascii="Times New Roman" w:hAnsi="Times New Roman"/>
          <w:b/>
          <w:sz w:val="24"/>
          <w:szCs w:val="24"/>
        </w:rPr>
        <w:t>MiFID</w:t>
      </w:r>
      <w:proofErr w:type="spellEnd"/>
      <w:r w:rsidRPr="00C64A2F">
        <w:rPr>
          <w:rFonts w:ascii="Times New Roman" w:hAnsi="Times New Roman"/>
          <w:b/>
          <w:sz w:val="24"/>
          <w:szCs w:val="24"/>
        </w:rPr>
        <w:t xml:space="preserve"> raised implementation challenges for securities market </w:t>
      </w:r>
      <w:r w:rsidR="00CA3573" w:rsidRPr="00C64A2F">
        <w:rPr>
          <w:rFonts w:ascii="Times New Roman" w:hAnsi="Times New Roman"/>
          <w:b/>
          <w:sz w:val="24"/>
          <w:szCs w:val="24"/>
        </w:rPr>
        <w:t xml:space="preserve">regulators and </w:t>
      </w:r>
      <w:r w:rsidRPr="00C64A2F">
        <w:rPr>
          <w:rFonts w:ascii="Times New Roman" w:hAnsi="Times New Roman"/>
          <w:b/>
          <w:sz w:val="24"/>
          <w:szCs w:val="24"/>
        </w:rPr>
        <w:t xml:space="preserve">participants </w:t>
      </w:r>
      <w:r w:rsidR="00C64A2F" w:rsidRPr="00C64A2F">
        <w:rPr>
          <w:rFonts w:ascii="Times New Roman" w:hAnsi="Times New Roman"/>
          <w:b/>
          <w:sz w:val="24"/>
          <w:szCs w:val="24"/>
        </w:rPr>
        <w:t xml:space="preserve">not only in existing EU countries, but also </w:t>
      </w:r>
      <w:r w:rsidRPr="00C64A2F">
        <w:rPr>
          <w:rFonts w:ascii="Times New Roman" w:hAnsi="Times New Roman"/>
          <w:b/>
          <w:sz w:val="24"/>
          <w:szCs w:val="24"/>
        </w:rPr>
        <w:t xml:space="preserve">candidate </w:t>
      </w:r>
      <w:r w:rsidR="007078A7" w:rsidRPr="00C64A2F">
        <w:rPr>
          <w:rFonts w:ascii="Times New Roman" w:hAnsi="Times New Roman"/>
          <w:b/>
          <w:sz w:val="24"/>
          <w:szCs w:val="24"/>
        </w:rPr>
        <w:t>countries</w:t>
      </w:r>
      <w:r w:rsidRPr="00C64A2F">
        <w:rPr>
          <w:rFonts w:ascii="Times New Roman" w:hAnsi="Times New Roman"/>
          <w:b/>
          <w:sz w:val="24"/>
          <w:szCs w:val="24"/>
        </w:rPr>
        <w:t xml:space="preserve"> and </w:t>
      </w:r>
      <w:r w:rsidR="00C64A2F" w:rsidRPr="00C64A2F">
        <w:rPr>
          <w:rFonts w:ascii="Times New Roman" w:hAnsi="Times New Roman"/>
          <w:b/>
          <w:sz w:val="24"/>
          <w:szCs w:val="24"/>
        </w:rPr>
        <w:t>the World Bank has provided advice on the process.</w:t>
      </w:r>
      <w:r w:rsidR="00C64A2F">
        <w:rPr>
          <w:rFonts w:ascii="Times New Roman" w:hAnsi="Times New Roman"/>
          <w:sz w:val="24"/>
          <w:szCs w:val="24"/>
        </w:rPr>
        <w:t xml:space="preserve"> </w:t>
      </w:r>
      <w:r w:rsidRPr="00E03780">
        <w:rPr>
          <w:rFonts w:ascii="Times New Roman" w:hAnsi="Times New Roman"/>
          <w:sz w:val="24"/>
          <w:szCs w:val="24"/>
        </w:rPr>
        <w:t xml:space="preserve">The </w:t>
      </w:r>
      <w:r w:rsidR="00C64A2F" w:rsidRPr="00E03780">
        <w:rPr>
          <w:rFonts w:ascii="Times New Roman" w:hAnsi="Times New Roman"/>
          <w:sz w:val="24"/>
          <w:szCs w:val="24"/>
        </w:rPr>
        <w:t>challenge</w:t>
      </w:r>
      <w:r w:rsidR="00C64A2F">
        <w:rPr>
          <w:rFonts w:ascii="Times New Roman" w:hAnsi="Times New Roman"/>
          <w:sz w:val="24"/>
          <w:szCs w:val="24"/>
        </w:rPr>
        <w:t>s</w:t>
      </w:r>
      <w:r w:rsidR="00C64A2F" w:rsidRPr="00E03780">
        <w:rPr>
          <w:rFonts w:ascii="Times New Roman" w:hAnsi="Times New Roman"/>
          <w:sz w:val="24"/>
          <w:szCs w:val="24"/>
        </w:rPr>
        <w:t xml:space="preserve"> of </w:t>
      </w:r>
      <w:r w:rsidR="00C64A2F">
        <w:rPr>
          <w:rFonts w:ascii="Times New Roman" w:hAnsi="Times New Roman"/>
          <w:sz w:val="24"/>
          <w:szCs w:val="24"/>
        </w:rPr>
        <w:t xml:space="preserve">implementing </w:t>
      </w:r>
      <w:proofErr w:type="spellStart"/>
      <w:r w:rsidR="00C64A2F" w:rsidRPr="00E03780">
        <w:rPr>
          <w:rFonts w:ascii="Times New Roman" w:hAnsi="Times New Roman"/>
          <w:sz w:val="24"/>
          <w:szCs w:val="24"/>
        </w:rPr>
        <w:t>MiFID</w:t>
      </w:r>
      <w:proofErr w:type="spellEnd"/>
      <w:r w:rsidR="00C64A2F" w:rsidRPr="00E03780">
        <w:rPr>
          <w:rFonts w:ascii="Times New Roman" w:hAnsi="Times New Roman"/>
          <w:sz w:val="24"/>
          <w:szCs w:val="24"/>
        </w:rPr>
        <w:t xml:space="preserve"> </w:t>
      </w:r>
      <w:r w:rsidR="00C64A2F">
        <w:rPr>
          <w:rFonts w:ascii="Times New Roman" w:hAnsi="Times New Roman"/>
          <w:sz w:val="24"/>
          <w:szCs w:val="24"/>
        </w:rPr>
        <w:t xml:space="preserve">go </w:t>
      </w:r>
      <w:r w:rsidRPr="00E03780">
        <w:rPr>
          <w:rFonts w:ascii="Times New Roman" w:hAnsi="Times New Roman"/>
          <w:sz w:val="24"/>
          <w:szCs w:val="24"/>
        </w:rPr>
        <w:t xml:space="preserve">beyond the transposition of the </w:t>
      </w:r>
      <w:r w:rsidR="0091714A">
        <w:rPr>
          <w:rFonts w:ascii="Times New Roman" w:hAnsi="Times New Roman"/>
          <w:sz w:val="24"/>
          <w:szCs w:val="24"/>
        </w:rPr>
        <w:t>d</w:t>
      </w:r>
      <w:r w:rsidRPr="00E03780">
        <w:rPr>
          <w:rFonts w:ascii="Times New Roman" w:hAnsi="Times New Roman"/>
          <w:sz w:val="24"/>
          <w:szCs w:val="24"/>
        </w:rPr>
        <w:t xml:space="preserve">irective into domestic legislation.  </w:t>
      </w:r>
      <w:proofErr w:type="spellStart"/>
      <w:r w:rsidRPr="00E03780">
        <w:rPr>
          <w:rFonts w:ascii="Times New Roman" w:hAnsi="Times New Roman"/>
          <w:sz w:val="24"/>
          <w:szCs w:val="24"/>
        </w:rPr>
        <w:t>MiFID</w:t>
      </w:r>
      <w:proofErr w:type="spellEnd"/>
      <w:r w:rsidRPr="00E03780">
        <w:rPr>
          <w:rFonts w:ascii="Times New Roman" w:hAnsi="Times New Roman"/>
          <w:sz w:val="24"/>
          <w:szCs w:val="24"/>
        </w:rPr>
        <w:t xml:space="preserve"> introduced a new business model for the European securities market with far-reaching implications for investment brokerage firms, regulated markets and securities market regulators. </w:t>
      </w:r>
      <w:r w:rsidR="00AD41EE" w:rsidRPr="00E03780">
        <w:rPr>
          <w:rFonts w:ascii="Times New Roman" w:hAnsi="Times New Roman"/>
          <w:sz w:val="24"/>
          <w:szCs w:val="24"/>
        </w:rPr>
        <w:t>In this context</w:t>
      </w:r>
      <w:r w:rsidR="00CA3573" w:rsidRPr="00E03780">
        <w:rPr>
          <w:rFonts w:ascii="Times New Roman" w:hAnsi="Times New Roman"/>
          <w:sz w:val="24"/>
          <w:szCs w:val="24"/>
        </w:rPr>
        <w:t xml:space="preserve"> </w:t>
      </w:r>
      <w:r w:rsidR="00CA3573">
        <w:rPr>
          <w:rFonts w:ascii="Times New Roman" w:hAnsi="Times New Roman"/>
          <w:sz w:val="24"/>
          <w:szCs w:val="24"/>
        </w:rPr>
        <w:t xml:space="preserve">the World </w:t>
      </w:r>
      <w:r w:rsidRPr="00240DE7">
        <w:rPr>
          <w:rFonts w:ascii="Times New Roman" w:hAnsi="Times New Roman"/>
          <w:sz w:val="24"/>
          <w:szCs w:val="24"/>
        </w:rPr>
        <w:t xml:space="preserve">Bank has been involved in the assessment of </w:t>
      </w:r>
      <w:proofErr w:type="spellStart"/>
      <w:r w:rsidRPr="00240DE7">
        <w:rPr>
          <w:rFonts w:ascii="Times New Roman" w:hAnsi="Times New Roman"/>
          <w:sz w:val="24"/>
          <w:szCs w:val="24"/>
        </w:rPr>
        <w:t>MiFID</w:t>
      </w:r>
      <w:proofErr w:type="spellEnd"/>
      <w:r w:rsidRPr="00240DE7">
        <w:rPr>
          <w:rFonts w:ascii="Times New Roman" w:hAnsi="Times New Roman"/>
          <w:sz w:val="24"/>
          <w:szCs w:val="24"/>
        </w:rPr>
        <w:t xml:space="preserve"> implementation in </w:t>
      </w:r>
      <w:r w:rsidRPr="00CA3573">
        <w:rPr>
          <w:rFonts w:ascii="Times New Roman" w:hAnsi="Times New Roman"/>
          <w:sz w:val="24"/>
          <w:szCs w:val="24"/>
        </w:rPr>
        <w:t xml:space="preserve">EU </w:t>
      </w:r>
      <w:r w:rsidR="00C64A2F">
        <w:rPr>
          <w:rFonts w:ascii="Times New Roman" w:hAnsi="Times New Roman"/>
          <w:sz w:val="24"/>
          <w:szCs w:val="24"/>
        </w:rPr>
        <w:t>n</w:t>
      </w:r>
      <w:r w:rsidRPr="00CA3573">
        <w:rPr>
          <w:rFonts w:ascii="Times New Roman" w:hAnsi="Times New Roman"/>
          <w:sz w:val="24"/>
          <w:szCs w:val="24"/>
        </w:rPr>
        <w:t xml:space="preserve">ew </w:t>
      </w:r>
      <w:r w:rsidR="00C64A2F">
        <w:rPr>
          <w:rFonts w:ascii="Times New Roman" w:hAnsi="Times New Roman"/>
          <w:sz w:val="24"/>
          <w:szCs w:val="24"/>
        </w:rPr>
        <w:t>m</w:t>
      </w:r>
      <w:r w:rsidRPr="00CA3573">
        <w:rPr>
          <w:rFonts w:ascii="Times New Roman" w:hAnsi="Times New Roman"/>
          <w:sz w:val="24"/>
          <w:szCs w:val="24"/>
        </w:rPr>
        <w:t xml:space="preserve">ember </w:t>
      </w:r>
      <w:r w:rsidR="00C64A2F">
        <w:rPr>
          <w:rFonts w:ascii="Times New Roman" w:hAnsi="Times New Roman"/>
          <w:sz w:val="24"/>
          <w:szCs w:val="24"/>
        </w:rPr>
        <w:t>s</w:t>
      </w:r>
      <w:r w:rsidRPr="00CA3573">
        <w:rPr>
          <w:rFonts w:ascii="Times New Roman" w:hAnsi="Times New Roman"/>
          <w:sz w:val="24"/>
          <w:szCs w:val="24"/>
        </w:rPr>
        <w:t xml:space="preserve">tates and EU candidate countries. </w:t>
      </w:r>
    </w:p>
    <w:p w:rsidR="00240DE7" w:rsidRPr="00C64A2F" w:rsidRDefault="00240DE7" w:rsidP="00240DE7">
      <w:pPr>
        <w:pStyle w:val="ListParagraph"/>
        <w:jc w:val="both"/>
        <w:rPr>
          <w:rFonts w:ascii="Times New Roman" w:hAnsi="Times New Roman"/>
          <w:b/>
          <w:sz w:val="24"/>
          <w:szCs w:val="24"/>
        </w:rPr>
      </w:pPr>
    </w:p>
    <w:p w:rsidR="005348D4" w:rsidRDefault="00FC21AC">
      <w:pPr>
        <w:pStyle w:val="ListParagraph"/>
        <w:numPr>
          <w:ilvl w:val="0"/>
          <w:numId w:val="3"/>
        </w:numPr>
        <w:ind w:left="0" w:firstLine="0"/>
        <w:jc w:val="both"/>
        <w:rPr>
          <w:rFonts w:ascii="Times New Roman" w:hAnsi="Times New Roman"/>
          <w:sz w:val="24"/>
          <w:szCs w:val="24"/>
        </w:rPr>
      </w:pPr>
      <w:r w:rsidRPr="00C64A2F">
        <w:rPr>
          <w:rFonts w:ascii="Times New Roman" w:hAnsi="Times New Roman"/>
          <w:b/>
          <w:sz w:val="24"/>
          <w:szCs w:val="24"/>
        </w:rPr>
        <w:t xml:space="preserve">This </w:t>
      </w:r>
      <w:r w:rsidR="00AD41EE" w:rsidRPr="00C64A2F">
        <w:rPr>
          <w:rFonts w:ascii="Times New Roman" w:hAnsi="Times New Roman"/>
          <w:b/>
          <w:sz w:val="24"/>
          <w:szCs w:val="24"/>
        </w:rPr>
        <w:t xml:space="preserve">note </w:t>
      </w:r>
      <w:r w:rsidRPr="00C64A2F">
        <w:rPr>
          <w:rFonts w:ascii="Times New Roman" w:hAnsi="Times New Roman"/>
          <w:b/>
          <w:sz w:val="24"/>
          <w:szCs w:val="24"/>
        </w:rPr>
        <w:t xml:space="preserve">aims to </w:t>
      </w:r>
      <w:r w:rsidR="00AD41EE" w:rsidRPr="00C64A2F">
        <w:rPr>
          <w:rFonts w:ascii="Times New Roman" w:hAnsi="Times New Roman"/>
          <w:b/>
          <w:sz w:val="24"/>
          <w:szCs w:val="24"/>
        </w:rPr>
        <w:t xml:space="preserve">assess the implementation of </w:t>
      </w:r>
      <w:proofErr w:type="spellStart"/>
      <w:r w:rsidR="00AD41EE" w:rsidRPr="00C64A2F">
        <w:rPr>
          <w:rFonts w:ascii="Times New Roman" w:hAnsi="Times New Roman"/>
          <w:b/>
          <w:sz w:val="24"/>
          <w:szCs w:val="24"/>
        </w:rPr>
        <w:t>MiFID</w:t>
      </w:r>
      <w:proofErr w:type="spellEnd"/>
      <w:r w:rsidR="00AD41EE" w:rsidRPr="00C64A2F">
        <w:rPr>
          <w:rFonts w:ascii="Times New Roman" w:hAnsi="Times New Roman"/>
          <w:b/>
          <w:sz w:val="24"/>
          <w:szCs w:val="24"/>
        </w:rPr>
        <w:t xml:space="preserve"> in Bulgaria, provide an initial view on the impact it had on the Bulgarian securities markets, and draw lessons about the experience. </w:t>
      </w:r>
      <w:r w:rsidR="00EA2087" w:rsidRPr="00EA2087">
        <w:rPr>
          <w:rFonts w:ascii="Times New Roman" w:hAnsi="Times New Roman"/>
          <w:sz w:val="24"/>
          <w:szCs w:val="24"/>
        </w:rPr>
        <w:t>The</w:t>
      </w:r>
      <w:r w:rsidR="00EA2087">
        <w:rPr>
          <w:rFonts w:ascii="Times New Roman" w:hAnsi="Times New Roman"/>
          <w:b/>
          <w:sz w:val="24"/>
          <w:szCs w:val="24"/>
        </w:rPr>
        <w:t xml:space="preserve"> </w:t>
      </w:r>
      <w:r w:rsidR="00EA2087" w:rsidRPr="00EA2087">
        <w:rPr>
          <w:rFonts w:ascii="Times New Roman" w:hAnsi="Times New Roman"/>
          <w:sz w:val="24"/>
          <w:szCs w:val="24"/>
        </w:rPr>
        <w:t>economic benefits</w:t>
      </w:r>
      <w:r w:rsidR="00EA2087">
        <w:rPr>
          <w:rFonts w:ascii="Times New Roman" w:hAnsi="Times New Roman"/>
          <w:sz w:val="24"/>
          <w:szCs w:val="24"/>
        </w:rPr>
        <w:t xml:space="preserve"> sought from </w:t>
      </w:r>
      <w:proofErr w:type="spellStart"/>
      <w:r w:rsidR="00EA2087">
        <w:rPr>
          <w:rFonts w:ascii="Times New Roman" w:hAnsi="Times New Roman"/>
          <w:sz w:val="24"/>
          <w:szCs w:val="24"/>
        </w:rPr>
        <w:t>MiFID</w:t>
      </w:r>
      <w:proofErr w:type="spellEnd"/>
      <w:r w:rsidR="00EA2087">
        <w:rPr>
          <w:rFonts w:ascii="Times New Roman" w:hAnsi="Times New Roman"/>
          <w:sz w:val="24"/>
          <w:szCs w:val="24"/>
        </w:rPr>
        <w:t xml:space="preserve"> materialize as capital markets integrate, i.e. as Bulgarian investors gain cheaper, easier, and greater access to foreign assets, and as Bulgarian firms gain cheaper, easier, and greater access to funding from foreign investors. </w:t>
      </w:r>
      <w:r w:rsidR="00AD41EE">
        <w:rPr>
          <w:rFonts w:ascii="Times New Roman" w:hAnsi="Times New Roman"/>
          <w:sz w:val="24"/>
          <w:szCs w:val="24"/>
        </w:rPr>
        <w:t xml:space="preserve">The note seeks to </w:t>
      </w:r>
      <w:r w:rsidRPr="00CA3573">
        <w:rPr>
          <w:rFonts w:ascii="Times New Roman" w:hAnsi="Times New Roman"/>
          <w:sz w:val="24"/>
          <w:szCs w:val="24"/>
        </w:rPr>
        <w:t xml:space="preserve">reveal implementation gaps and/or risks </w:t>
      </w:r>
      <w:r w:rsidR="00AD41EE">
        <w:rPr>
          <w:rFonts w:ascii="Times New Roman" w:hAnsi="Times New Roman"/>
          <w:sz w:val="24"/>
          <w:szCs w:val="24"/>
        </w:rPr>
        <w:t xml:space="preserve">to the objectives of </w:t>
      </w:r>
      <w:proofErr w:type="spellStart"/>
      <w:r w:rsidR="00AD41EE">
        <w:rPr>
          <w:rFonts w:ascii="Times New Roman" w:hAnsi="Times New Roman"/>
          <w:sz w:val="24"/>
          <w:szCs w:val="24"/>
        </w:rPr>
        <w:t>MiFID</w:t>
      </w:r>
      <w:proofErr w:type="spellEnd"/>
      <w:r w:rsidRPr="00CA3573">
        <w:rPr>
          <w:rFonts w:ascii="Times New Roman" w:hAnsi="Times New Roman"/>
          <w:sz w:val="24"/>
          <w:szCs w:val="24"/>
        </w:rPr>
        <w:t xml:space="preserve">.  The analysis is not an enforcement tool as it is based on </w:t>
      </w:r>
      <w:r w:rsidR="00EA2087">
        <w:rPr>
          <w:rFonts w:ascii="Times New Roman" w:hAnsi="Times New Roman"/>
          <w:sz w:val="24"/>
          <w:szCs w:val="24"/>
        </w:rPr>
        <w:t xml:space="preserve">feedback from </w:t>
      </w:r>
      <w:r w:rsidRPr="00CA3573">
        <w:rPr>
          <w:rFonts w:ascii="Times New Roman" w:hAnsi="Times New Roman"/>
          <w:sz w:val="24"/>
          <w:szCs w:val="24"/>
        </w:rPr>
        <w:t xml:space="preserve">a limited </w:t>
      </w:r>
      <w:r w:rsidR="0091714A">
        <w:rPr>
          <w:rFonts w:ascii="Times New Roman" w:hAnsi="Times New Roman"/>
          <w:sz w:val="24"/>
          <w:szCs w:val="24"/>
        </w:rPr>
        <w:t xml:space="preserve">yet </w:t>
      </w:r>
      <w:r w:rsidRPr="00CA3573">
        <w:rPr>
          <w:rFonts w:ascii="Times New Roman" w:hAnsi="Times New Roman"/>
          <w:sz w:val="24"/>
          <w:szCs w:val="24"/>
        </w:rPr>
        <w:t>varied sample of participants</w:t>
      </w:r>
      <w:r w:rsidR="004E6DCD">
        <w:rPr>
          <w:rStyle w:val="FootnoteReference"/>
          <w:rFonts w:ascii="Times New Roman" w:hAnsi="Times New Roman"/>
          <w:sz w:val="24"/>
          <w:szCs w:val="24"/>
        </w:rPr>
        <w:footnoteReference w:id="3"/>
      </w:r>
      <w:r w:rsidR="00EA2087">
        <w:rPr>
          <w:rFonts w:ascii="Times New Roman" w:hAnsi="Times New Roman"/>
          <w:sz w:val="24"/>
          <w:szCs w:val="24"/>
        </w:rPr>
        <w:t>.</w:t>
      </w:r>
      <w:r w:rsidRPr="00CA3573">
        <w:rPr>
          <w:rFonts w:ascii="Times New Roman" w:hAnsi="Times New Roman"/>
          <w:sz w:val="24"/>
          <w:szCs w:val="24"/>
        </w:rPr>
        <w:t xml:space="preserve"> </w:t>
      </w:r>
      <w:r w:rsidR="00EA2087">
        <w:rPr>
          <w:rFonts w:ascii="Times New Roman" w:hAnsi="Times New Roman"/>
          <w:sz w:val="24"/>
          <w:szCs w:val="24"/>
        </w:rPr>
        <w:t xml:space="preserve">Instead </w:t>
      </w:r>
      <w:r w:rsidR="0091714A">
        <w:rPr>
          <w:rFonts w:ascii="Times New Roman" w:hAnsi="Times New Roman"/>
          <w:sz w:val="24"/>
          <w:szCs w:val="24"/>
        </w:rPr>
        <w:t xml:space="preserve">it aims </w:t>
      </w:r>
      <w:r w:rsidRPr="00CA3573">
        <w:rPr>
          <w:rFonts w:ascii="Times New Roman" w:hAnsi="Times New Roman"/>
          <w:sz w:val="24"/>
          <w:szCs w:val="24"/>
        </w:rPr>
        <w:t xml:space="preserve">to provide insights </w:t>
      </w:r>
      <w:r w:rsidR="0091714A">
        <w:rPr>
          <w:rFonts w:ascii="Times New Roman" w:hAnsi="Times New Roman"/>
          <w:sz w:val="24"/>
          <w:szCs w:val="24"/>
        </w:rPr>
        <w:t>in</w:t>
      </w:r>
      <w:r w:rsidRPr="00CA3573">
        <w:rPr>
          <w:rFonts w:ascii="Times New Roman" w:hAnsi="Times New Roman"/>
          <w:sz w:val="24"/>
          <w:szCs w:val="24"/>
        </w:rPr>
        <w:t xml:space="preserve">to how public policy and regulatory/supervisory approaches can better track and provide incentives </w:t>
      </w:r>
      <w:r w:rsidR="00EA2087">
        <w:rPr>
          <w:rFonts w:ascii="Times New Roman" w:hAnsi="Times New Roman"/>
          <w:sz w:val="24"/>
          <w:szCs w:val="24"/>
        </w:rPr>
        <w:t xml:space="preserve">for </w:t>
      </w:r>
      <w:r w:rsidRPr="00CA3573">
        <w:rPr>
          <w:rFonts w:ascii="Times New Roman" w:hAnsi="Times New Roman"/>
          <w:sz w:val="24"/>
          <w:szCs w:val="24"/>
        </w:rPr>
        <w:t xml:space="preserve">the industry to adapt more quickly to </w:t>
      </w:r>
      <w:proofErr w:type="spellStart"/>
      <w:r w:rsidRPr="00CA3573">
        <w:rPr>
          <w:rFonts w:ascii="Times New Roman" w:hAnsi="Times New Roman"/>
          <w:sz w:val="24"/>
          <w:szCs w:val="24"/>
        </w:rPr>
        <w:t>MiFID</w:t>
      </w:r>
      <w:proofErr w:type="spellEnd"/>
      <w:r w:rsidRPr="00CA3573">
        <w:rPr>
          <w:rFonts w:ascii="Times New Roman" w:hAnsi="Times New Roman"/>
          <w:sz w:val="24"/>
          <w:szCs w:val="24"/>
        </w:rPr>
        <w:t xml:space="preserve"> requirements</w:t>
      </w:r>
      <w:r w:rsidR="00EA2087">
        <w:rPr>
          <w:rFonts w:ascii="Times New Roman" w:hAnsi="Times New Roman"/>
          <w:sz w:val="24"/>
          <w:szCs w:val="24"/>
        </w:rPr>
        <w:t xml:space="preserve"> and to achieve the benefits of integration</w:t>
      </w:r>
      <w:r w:rsidRPr="00E03780">
        <w:rPr>
          <w:rFonts w:ascii="Times New Roman" w:hAnsi="Times New Roman"/>
          <w:sz w:val="24"/>
          <w:szCs w:val="24"/>
        </w:rPr>
        <w:t xml:space="preserve">. </w:t>
      </w:r>
    </w:p>
    <w:p w:rsidR="005B3BD2" w:rsidRDefault="005B3BD2" w:rsidP="005B3BD2">
      <w:pPr>
        <w:pStyle w:val="ListParagraph"/>
        <w:rPr>
          <w:rFonts w:ascii="Times New Roman" w:hAnsi="Times New Roman"/>
          <w:sz w:val="24"/>
          <w:szCs w:val="24"/>
        </w:rPr>
      </w:pPr>
    </w:p>
    <w:p w:rsidR="005B3BD2" w:rsidRDefault="005B3BD2">
      <w:pPr>
        <w:pStyle w:val="ListParagraph"/>
        <w:numPr>
          <w:ilvl w:val="0"/>
          <w:numId w:val="3"/>
        </w:numPr>
        <w:ind w:left="0" w:firstLine="0"/>
        <w:jc w:val="both"/>
        <w:rPr>
          <w:rFonts w:ascii="Times New Roman" w:hAnsi="Times New Roman"/>
          <w:sz w:val="24"/>
          <w:szCs w:val="24"/>
        </w:rPr>
      </w:pPr>
      <w:r w:rsidRPr="00C27AAF">
        <w:rPr>
          <w:rFonts w:ascii="Times New Roman" w:hAnsi="Times New Roman"/>
          <w:b/>
          <w:sz w:val="24"/>
          <w:szCs w:val="24"/>
        </w:rPr>
        <w:t xml:space="preserve">This </w:t>
      </w:r>
      <w:r w:rsidR="00A064B6">
        <w:rPr>
          <w:rFonts w:ascii="Times New Roman" w:hAnsi="Times New Roman"/>
          <w:b/>
          <w:sz w:val="24"/>
          <w:szCs w:val="24"/>
        </w:rPr>
        <w:t xml:space="preserve">note </w:t>
      </w:r>
      <w:r w:rsidRPr="00C27AAF">
        <w:rPr>
          <w:rFonts w:ascii="Times New Roman" w:hAnsi="Times New Roman"/>
          <w:b/>
          <w:sz w:val="24"/>
          <w:szCs w:val="24"/>
        </w:rPr>
        <w:t xml:space="preserve">is part of the World Bank’s regional knowledge and advisory services focused on the assessment of </w:t>
      </w:r>
      <w:proofErr w:type="spellStart"/>
      <w:r w:rsidRPr="00C27AAF">
        <w:rPr>
          <w:rFonts w:ascii="Times New Roman" w:hAnsi="Times New Roman"/>
          <w:b/>
          <w:sz w:val="24"/>
          <w:szCs w:val="24"/>
        </w:rPr>
        <w:t>MiFID</w:t>
      </w:r>
      <w:proofErr w:type="spellEnd"/>
      <w:r w:rsidRPr="00C27AAF">
        <w:rPr>
          <w:rFonts w:ascii="Times New Roman" w:hAnsi="Times New Roman"/>
          <w:b/>
          <w:sz w:val="24"/>
          <w:szCs w:val="24"/>
        </w:rPr>
        <w:t xml:space="preserve"> implementation in EU New Member States and EU candidate countries.</w:t>
      </w:r>
      <w:r w:rsidRPr="00A70219">
        <w:rPr>
          <w:rFonts w:ascii="Times New Roman" w:hAnsi="Times New Roman"/>
          <w:sz w:val="24"/>
          <w:szCs w:val="24"/>
        </w:rPr>
        <w:t xml:space="preserve"> A similar report was already produced for Croatia and more limited assessment had been completed for Lithuania and Romania. The World Bank’s effort</w:t>
      </w:r>
      <w:r w:rsidR="00A70219">
        <w:rPr>
          <w:rFonts w:ascii="Times New Roman" w:hAnsi="Times New Roman"/>
          <w:sz w:val="24"/>
          <w:szCs w:val="24"/>
        </w:rPr>
        <w:t>s</w:t>
      </w:r>
      <w:r w:rsidRPr="00A70219">
        <w:rPr>
          <w:rFonts w:ascii="Times New Roman" w:hAnsi="Times New Roman"/>
          <w:sz w:val="24"/>
          <w:szCs w:val="24"/>
        </w:rPr>
        <w:t xml:space="preserve"> in this area ha</w:t>
      </w:r>
      <w:r w:rsidR="00A70219">
        <w:rPr>
          <w:rFonts w:ascii="Times New Roman" w:hAnsi="Times New Roman"/>
          <w:sz w:val="24"/>
          <w:szCs w:val="24"/>
        </w:rPr>
        <w:t>ve</w:t>
      </w:r>
      <w:r w:rsidRPr="00A70219">
        <w:rPr>
          <w:rFonts w:ascii="Times New Roman" w:hAnsi="Times New Roman"/>
          <w:sz w:val="24"/>
          <w:szCs w:val="24"/>
        </w:rPr>
        <w:t xml:space="preserve"> been welcomed by the European Commission (EC) and the results of this </w:t>
      </w:r>
      <w:r w:rsidR="00A70219">
        <w:rPr>
          <w:rFonts w:ascii="Times New Roman" w:hAnsi="Times New Roman"/>
          <w:sz w:val="24"/>
          <w:szCs w:val="24"/>
        </w:rPr>
        <w:t xml:space="preserve">work </w:t>
      </w:r>
      <w:r w:rsidRPr="00A70219">
        <w:rPr>
          <w:rFonts w:ascii="Times New Roman" w:hAnsi="Times New Roman"/>
          <w:sz w:val="24"/>
          <w:szCs w:val="24"/>
        </w:rPr>
        <w:t>can be share</w:t>
      </w:r>
      <w:r w:rsidR="00A70219">
        <w:rPr>
          <w:rFonts w:ascii="Times New Roman" w:hAnsi="Times New Roman"/>
          <w:sz w:val="24"/>
          <w:szCs w:val="24"/>
        </w:rPr>
        <w:t>d</w:t>
      </w:r>
      <w:r w:rsidRPr="00A70219">
        <w:rPr>
          <w:rFonts w:ascii="Times New Roman" w:hAnsi="Times New Roman"/>
          <w:sz w:val="24"/>
          <w:szCs w:val="24"/>
        </w:rPr>
        <w:t xml:space="preserve"> with </w:t>
      </w:r>
      <w:r w:rsidR="00A064B6">
        <w:rPr>
          <w:rFonts w:ascii="Times New Roman" w:hAnsi="Times New Roman"/>
          <w:sz w:val="24"/>
          <w:szCs w:val="24"/>
        </w:rPr>
        <w:t xml:space="preserve">the </w:t>
      </w:r>
      <w:r w:rsidRPr="00A70219">
        <w:rPr>
          <w:rFonts w:ascii="Times New Roman" w:hAnsi="Times New Roman"/>
          <w:sz w:val="24"/>
          <w:szCs w:val="24"/>
        </w:rPr>
        <w:t xml:space="preserve">EC </w:t>
      </w:r>
      <w:r w:rsidR="00A064B6">
        <w:rPr>
          <w:rFonts w:ascii="Times New Roman" w:hAnsi="Times New Roman"/>
          <w:sz w:val="24"/>
          <w:szCs w:val="24"/>
        </w:rPr>
        <w:t>upon</w:t>
      </w:r>
      <w:r w:rsidR="00A064B6" w:rsidRPr="00A70219">
        <w:rPr>
          <w:rFonts w:ascii="Times New Roman" w:hAnsi="Times New Roman"/>
          <w:sz w:val="24"/>
          <w:szCs w:val="24"/>
        </w:rPr>
        <w:t xml:space="preserve"> </w:t>
      </w:r>
      <w:r w:rsidRPr="00A70219">
        <w:rPr>
          <w:rFonts w:ascii="Times New Roman" w:hAnsi="Times New Roman"/>
          <w:sz w:val="24"/>
          <w:szCs w:val="24"/>
        </w:rPr>
        <w:t xml:space="preserve">a client </w:t>
      </w:r>
      <w:r w:rsidR="00A064B6">
        <w:rPr>
          <w:rFonts w:ascii="Times New Roman" w:hAnsi="Times New Roman"/>
          <w:sz w:val="24"/>
          <w:szCs w:val="24"/>
        </w:rPr>
        <w:t>request</w:t>
      </w:r>
      <w:r w:rsidRPr="00A70219">
        <w:rPr>
          <w:rFonts w:ascii="Times New Roman" w:hAnsi="Times New Roman"/>
          <w:sz w:val="24"/>
          <w:szCs w:val="24"/>
        </w:rPr>
        <w:t xml:space="preserve">. </w:t>
      </w:r>
      <w:r w:rsidR="00C27AAF">
        <w:rPr>
          <w:rFonts w:ascii="Times New Roman" w:hAnsi="Times New Roman"/>
          <w:sz w:val="24"/>
          <w:szCs w:val="24"/>
        </w:rPr>
        <w:t>Since</w:t>
      </w:r>
      <w:r w:rsidR="00A70219" w:rsidRPr="00A70219">
        <w:rPr>
          <w:rFonts w:ascii="Times New Roman" w:hAnsi="Times New Roman"/>
          <w:sz w:val="24"/>
          <w:szCs w:val="24"/>
        </w:rPr>
        <w:t xml:space="preserve"> the report analys</w:t>
      </w:r>
      <w:r w:rsidR="00C27AAF">
        <w:rPr>
          <w:rFonts w:ascii="Times New Roman" w:hAnsi="Times New Roman"/>
          <w:sz w:val="24"/>
          <w:szCs w:val="24"/>
        </w:rPr>
        <w:t>es</w:t>
      </w:r>
      <w:r w:rsidR="00A70219" w:rsidRPr="00A70219">
        <w:rPr>
          <w:rFonts w:ascii="Times New Roman" w:hAnsi="Times New Roman"/>
          <w:sz w:val="24"/>
          <w:szCs w:val="24"/>
        </w:rPr>
        <w:t xml:space="preserve"> major aspects of the </w:t>
      </w:r>
      <w:proofErr w:type="spellStart"/>
      <w:r w:rsidR="00A70219" w:rsidRPr="00A70219">
        <w:rPr>
          <w:rFonts w:ascii="Times New Roman" w:hAnsi="Times New Roman"/>
          <w:sz w:val="24"/>
          <w:szCs w:val="24"/>
        </w:rPr>
        <w:t>MiFID</w:t>
      </w:r>
      <w:proofErr w:type="spellEnd"/>
      <w:r w:rsidR="00A70219" w:rsidRPr="00A70219">
        <w:rPr>
          <w:rFonts w:ascii="Times New Roman" w:hAnsi="Times New Roman"/>
          <w:sz w:val="24"/>
          <w:szCs w:val="24"/>
        </w:rPr>
        <w:t xml:space="preserve"> implementation it is closely aligned with </w:t>
      </w:r>
      <w:r w:rsidR="00A064B6">
        <w:rPr>
          <w:rFonts w:ascii="Times New Roman" w:hAnsi="Times New Roman"/>
          <w:sz w:val="24"/>
          <w:szCs w:val="24"/>
        </w:rPr>
        <w:t xml:space="preserve">the </w:t>
      </w:r>
      <w:r w:rsidR="00A70219" w:rsidRPr="00A70219">
        <w:rPr>
          <w:rFonts w:ascii="Times New Roman" w:hAnsi="Times New Roman"/>
          <w:sz w:val="24"/>
          <w:szCs w:val="24"/>
        </w:rPr>
        <w:t xml:space="preserve">EU standards. However, the </w:t>
      </w:r>
      <w:r w:rsidRPr="00A70219">
        <w:rPr>
          <w:rFonts w:ascii="Times New Roman" w:hAnsi="Times New Roman"/>
          <w:sz w:val="24"/>
          <w:szCs w:val="24"/>
        </w:rPr>
        <w:t xml:space="preserve">methodology for the assessment of </w:t>
      </w:r>
      <w:proofErr w:type="spellStart"/>
      <w:r w:rsidRPr="00A70219">
        <w:rPr>
          <w:rFonts w:ascii="Times New Roman" w:hAnsi="Times New Roman"/>
          <w:sz w:val="24"/>
          <w:szCs w:val="24"/>
        </w:rPr>
        <w:t>MiFID</w:t>
      </w:r>
      <w:proofErr w:type="spellEnd"/>
      <w:r w:rsidRPr="00A70219">
        <w:rPr>
          <w:rFonts w:ascii="Times New Roman" w:hAnsi="Times New Roman"/>
          <w:sz w:val="24"/>
          <w:szCs w:val="24"/>
        </w:rPr>
        <w:t xml:space="preserve"> implementation was developed </w:t>
      </w:r>
      <w:r w:rsidR="00A70219" w:rsidRPr="00A70219">
        <w:rPr>
          <w:rFonts w:ascii="Times New Roman" w:hAnsi="Times New Roman"/>
          <w:sz w:val="24"/>
          <w:szCs w:val="24"/>
        </w:rPr>
        <w:t xml:space="preserve">by the World Bank’s </w:t>
      </w:r>
      <w:r w:rsidR="00C27AAF">
        <w:rPr>
          <w:rFonts w:ascii="Times New Roman" w:hAnsi="Times New Roman"/>
          <w:sz w:val="24"/>
          <w:szCs w:val="24"/>
        </w:rPr>
        <w:t xml:space="preserve">team </w:t>
      </w:r>
      <w:r w:rsidRPr="00A70219">
        <w:rPr>
          <w:rFonts w:ascii="Times New Roman" w:hAnsi="Times New Roman"/>
          <w:sz w:val="24"/>
          <w:szCs w:val="24"/>
        </w:rPr>
        <w:t xml:space="preserve">in the form of an industry self-assessment </w:t>
      </w:r>
      <w:r w:rsidR="00C27AAF">
        <w:rPr>
          <w:rFonts w:ascii="Times New Roman" w:hAnsi="Times New Roman"/>
          <w:sz w:val="24"/>
          <w:szCs w:val="24"/>
        </w:rPr>
        <w:t xml:space="preserve">survey </w:t>
      </w:r>
      <w:r w:rsidR="00A70219">
        <w:rPr>
          <w:rFonts w:ascii="Times New Roman" w:hAnsi="Times New Roman"/>
          <w:sz w:val="24"/>
          <w:szCs w:val="24"/>
        </w:rPr>
        <w:t xml:space="preserve">which was </w:t>
      </w:r>
      <w:r w:rsidRPr="00A70219">
        <w:rPr>
          <w:rFonts w:ascii="Times New Roman" w:hAnsi="Times New Roman"/>
          <w:sz w:val="24"/>
          <w:szCs w:val="24"/>
        </w:rPr>
        <w:t xml:space="preserve">administered to </w:t>
      </w:r>
      <w:r w:rsidR="00A70219">
        <w:rPr>
          <w:rFonts w:ascii="Times New Roman" w:hAnsi="Times New Roman"/>
          <w:sz w:val="24"/>
          <w:szCs w:val="24"/>
        </w:rPr>
        <w:t xml:space="preserve">local </w:t>
      </w:r>
      <w:r w:rsidRPr="00A70219">
        <w:rPr>
          <w:rFonts w:ascii="Times New Roman" w:hAnsi="Times New Roman"/>
          <w:sz w:val="24"/>
          <w:szCs w:val="24"/>
        </w:rPr>
        <w:t>market participants (investment</w:t>
      </w:r>
      <w:r w:rsidR="00A70219" w:rsidRPr="00A70219">
        <w:rPr>
          <w:rFonts w:ascii="Times New Roman" w:hAnsi="Times New Roman"/>
          <w:sz w:val="24"/>
          <w:szCs w:val="24"/>
        </w:rPr>
        <w:t xml:space="preserve"> firms and regulated market</w:t>
      </w:r>
      <w:r w:rsidRPr="00A70219">
        <w:rPr>
          <w:rFonts w:ascii="Times New Roman" w:hAnsi="Times New Roman"/>
          <w:sz w:val="24"/>
          <w:szCs w:val="24"/>
        </w:rPr>
        <w:t xml:space="preserve">) as well as market </w:t>
      </w:r>
      <w:r w:rsidR="00A70219" w:rsidRPr="00A70219">
        <w:rPr>
          <w:rFonts w:ascii="Times New Roman" w:hAnsi="Times New Roman"/>
          <w:sz w:val="24"/>
          <w:szCs w:val="24"/>
        </w:rPr>
        <w:t>regulators.</w:t>
      </w:r>
      <w:r w:rsidRPr="00A70219">
        <w:rPr>
          <w:rFonts w:ascii="Times New Roman" w:hAnsi="Times New Roman"/>
          <w:sz w:val="24"/>
          <w:szCs w:val="24"/>
        </w:rPr>
        <w:t xml:space="preserve"> </w:t>
      </w:r>
      <w:r w:rsidR="00565887">
        <w:rPr>
          <w:rFonts w:ascii="Times New Roman" w:hAnsi="Times New Roman"/>
          <w:sz w:val="24"/>
          <w:szCs w:val="24"/>
        </w:rPr>
        <w:t xml:space="preserve">Regional approach is </w:t>
      </w:r>
      <w:r w:rsidR="00565887">
        <w:rPr>
          <w:rFonts w:ascii="Times New Roman" w:hAnsi="Times New Roman"/>
          <w:sz w:val="24"/>
          <w:szCs w:val="24"/>
        </w:rPr>
        <w:lastRenderedPageBreak/>
        <w:t>further emphasized by</w:t>
      </w:r>
      <w:r w:rsidR="00C27AAF">
        <w:rPr>
          <w:rFonts w:ascii="Times New Roman" w:hAnsi="Times New Roman"/>
          <w:sz w:val="24"/>
          <w:szCs w:val="24"/>
        </w:rPr>
        <w:t xml:space="preserve"> the </w:t>
      </w:r>
      <w:r w:rsidR="00565887">
        <w:rPr>
          <w:rFonts w:ascii="Times New Roman" w:hAnsi="Times New Roman"/>
          <w:sz w:val="24"/>
          <w:szCs w:val="24"/>
        </w:rPr>
        <w:t xml:space="preserve">detailed analysis of the degree of capital market integration occurred in individual countries upon </w:t>
      </w:r>
      <w:proofErr w:type="spellStart"/>
      <w:r w:rsidR="00565887">
        <w:rPr>
          <w:rFonts w:ascii="Times New Roman" w:hAnsi="Times New Roman"/>
          <w:sz w:val="24"/>
          <w:szCs w:val="24"/>
        </w:rPr>
        <w:t>MiFID</w:t>
      </w:r>
      <w:proofErr w:type="spellEnd"/>
      <w:r w:rsidR="00565887">
        <w:rPr>
          <w:rFonts w:ascii="Times New Roman" w:hAnsi="Times New Roman"/>
          <w:sz w:val="24"/>
          <w:szCs w:val="24"/>
        </w:rPr>
        <w:t xml:space="preserve"> implementation.</w:t>
      </w:r>
    </w:p>
    <w:p w:rsidR="00240DE7" w:rsidRDefault="00240DE7" w:rsidP="00240DE7">
      <w:pPr>
        <w:pStyle w:val="ListParagraph"/>
        <w:jc w:val="both"/>
        <w:rPr>
          <w:rFonts w:ascii="Times New Roman" w:hAnsi="Times New Roman"/>
          <w:sz w:val="24"/>
          <w:szCs w:val="24"/>
          <w:highlight w:val="yellow"/>
        </w:rPr>
      </w:pPr>
    </w:p>
    <w:p w:rsidR="00AD41EE" w:rsidRPr="00C64A2F" w:rsidRDefault="00240DE7" w:rsidP="00C64A2F">
      <w:pPr>
        <w:pStyle w:val="ListParagraph"/>
        <w:numPr>
          <w:ilvl w:val="0"/>
          <w:numId w:val="3"/>
        </w:numPr>
        <w:ind w:left="0" w:firstLine="0"/>
        <w:jc w:val="both"/>
      </w:pPr>
      <w:r w:rsidRPr="00C64A2F">
        <w:rPr>
          <w:rFonts w:ascii="Times New Roman" w:hAnsi="Times New Roman"/>
          <w:b/>
          <w:sz w:val="24"/>
          <w:szCs w:val="24"/>
        </w:rPr>
        <w:t>Th</w:t>
      </w:r>
      <w:r w:rsidR="00AD41EE" w:rsidRPr="00C64A2F">
        <w:rPr>
          <w:rFonts w:ascii="Times New Roman" w:hAnsi="Times New Roman"/>
          <w:b/>
          <w:sz w:val="24"/>
          <w:szCs w:val="24"/>
        </w:rPr>
        <w:t>e</w:t>
      </w:r>
      <w:r w:rsidRPr="00C64A2F">
        <w:rPr>
          <w:rFonts w:ascii="Times New Roman" w:hAnsi="Times New Roman"/>
          <w:b/>
          <w:sz w:val="24"/>
          <w:szCs w:val="24"/>
        </w:rPr>
        <w:t xml:space="preserve"> note is organized as follows</w:t>
      </w:r>
      <w:r w:rsidR="00C64A2F" w:rsidRPr="00C64A2F">
        <w:rPr>
          <w:rFonts w:ascii="Times New Roman" w:hAnsi="Times New Roman"/>
          <w:b/>
          <w:sz w:val="24"/>
          <w:szCs w:val="24"/>
        </w:rPr>
        <w:t>:</w:t>
      </w:r>
      <w:r>
        <w:rPr>
          <w:rFonts w:ascii="Times New Roman" w:hAnsi="Times New Roman"/>
          <w:sz w:val="24"/>
          <w:szCs w:val="24"/>
        </w:rPr>
        <w:t xml:space="preserve"> </w:t>
      </w:r>
      <w:r w:rsidR="00C64A2F">
        <w:rPr>
          <w:rFonts w:ascii="Times New Roman" w:hAnsi="Times New Roman"/>
          <w:sz w:val="24"/>
          <w:szCs w:val="24"/>
        </w:rPr>
        <w:t>Section II</w:t>
      </w:r>
      <w:r w:rsidR="001D573C">
        <w:rPr>
          <w:rFonts w:ascii="Times New Roman" w:hAnsi="Times New Roman"/>
          <w:sz w:val="24"/>
          <w:szCs w:val="24"/>
        </w:rPr>
        <w:t>I</w:t>
      </w:r>
      <w:r w:rsidR="00AD41EE">
        <w:rPr>
          <w:rFonts w:ascii="Times New Roman" w:hAnsi="Times New Roman"/>
          <w:sz w:val="24"/>
          <w:szCs w:val="24"/>
        </w:rPr>
        <w:t xml:space="preserve"> </w:t>
      </w:r>
      <w:r>
        <w:rPr>
          <w:rFonts w:ascii="Times New Roman" w:hAnsi="Times New Roman"/>
          <w:sz w:val="24"/>
          <w:szCs w:val="24"/>
        </w:rPr>
        <w:t>analyze</w:t>
      </w:r>
      <w:r w:rsidR="00AD41EE">
        <w:rPr>
          <w:rFonts w:ascii="Times New Roman" w:hAnsi="Times New Roman"/>
          <w:sz w:val="24"/>
          <w:szCs w:val="24"/>
        </w:rPr>
        <w:t>s</w:t>
      </w:r>
      <w:r>
        <w:rPr>
          <w:rFonts w:ascii="Times New Roman" w:hAnsi="Times New Roman"/>
          <w:sz w:val="24"/>
          <w:szCs w:val="24"/>
        </w:rPr>
        <w:t xml:space="preserve"> </w:t>
      </w:r>
      <w:r w:rsidR="00AD41EE">
        <w:rPr>
          <w:rFonts w:ascii="Times New Roman" w:hAnsi="Times New Roman"/>
          <w:sz w:val="24"/>
          <w:szCs w:val="24"/>
        </w:rPr>
        <w:t xml:space="preserve">the Bulgarian </w:t>
      </w:r>
      <w:r>
        <w:rPr>
          <w:rFonts w:ascii="Times New Roman" w:hAnsi="Times New Roman"/>
          <w:sz w:val="24"/>
          <w:szCs w:val="24"/>
        </w:rPr>
        <w:t xml:space="preserve">capital market </w:t>
      </w:r>
      <w:r w:rsidR="00AD41EE">
        <w:rPr>
          <w:rFonts w:ascii="Times New Roman" w:hAnsi="Times New Roman"/>
          <w:sz w:val="24"/>
          <w:szCs w:val="24"/>
        </w:rPr>
        <w:t xml:space="preserve">development in </w:t>
      </w:r>
      <w:r>
        <w:rPr>
          <w:rFonts w:ascii="Times New Roman" w:hAnsi="Times New Roman"/>
          <w:sz w:val="24"/>
          <w:szCs w:val="24"/>
        </w:rPr>
        <w:t>terms of size, liquidity</w:t>
      </w:r>
      <w:r w:rsidR="00AD41EE">
        <w:rPr>
          <w:rFonts w:ascii="Times New Roman" w:hAnsi="Times New Roman"/>
          <w:sz w:val="24"/>
          <w:szCs w:val="24"/>
        </w:rPr>
        <w:t>, and international integration</w:t>
      </w:r>
      <w:r>
        <w:rPr>
          <w:rFonts w:ascii="Times New Roman" w:hAnsi="Times New Roman"/>
          <w:sz w:val="24"/>
          <w:szCs w:val="24"/>
        </w:rPr>
        <w:t xml:space="preserve">. </w:t>
      </w:r>
      <w:r w:rsidR="001D573C">
        <w:rPr>
          <w:rFonts w:ascii="Times New Roman" w:hAnsi="Times New Roman"/>
          <w:sz w:val="24"/>
          <w:szCs w:val="24"/>
        </w:rPr>
        <w:t>Section IV</w:t>
      </w:r>
      <w:r w:rsidR="00C64A2F">
        <w:rPr>
          <w:rFonts w:ascii="Times New Roman" w:hAnsi="Times New Roman"/>
          <w:sz w:val="24"/>
          <w:szCs w:val="24"/>
        </w:rPr>
        <w:t xml:space="preserve"> </w:t>
      </w:r>
      <w:r w:rsidR="00AD41EE">
        <w:rPr>
          <w:rFonts w:ascii="Times New Roman" w:hAnsi="Times New Roman"/>
          <w:sz w:val="24"/>
          <w:szCs w:val="24"/>
        </w:rPr>
        <w:t xml:space="preserve">presents </w:t>
      </w:r>
      <w:r>
        <w:rPr>
          <w:rFonts w:ascii="Times New Roman" w:hAnsi="Times New Roman"/>
          <w:sz w:val="24"/>
          <w:szCs w:val="24"/>
        </w:rPr>
        <w:t>the results of interviews and questionnaire</w:t>
      </w:r>
      <w:r w:rsidR="00AD41EE">
        <w:rPr>
          <w:rFonts w:ascii="Times New Roman" w:hAnsi="Times New Roman"/>
          <w:sz w:val="24"/>
          <w:szCs w:val="24"/>
        </w:rPr>
        <w:t xml:space="preserve"> responses</w:t>
      </w:r>
      <w:r>
        <w:rPr>
          <w:rFonts w:ascii="Times New Roman" w:hAnsi="Times New Roman"/>
          <w:sz w:val="24"/>
          <w:szCs w:val="24"/>
        </w:rPr>
        <w:t xml:space="preserve"> </w:t>
      </w:r>
      <w:r w:rsidR="00AD41EE">
        <w:rPr>
          <w:rFonts w:ascii="Times New Roman" w:hAnsi="Times New Roman"/>
          <w:sz w:val="24"/>
          <w:szCs w:val="24"/>
        </w:rPr>
        <w:t xml:space="preserve">on </w:t>
      </w:r>
      <w:r>
        <w:rPr>
          <w:rFonts w:ascii="Times New Roman" w:hAnsi="Times New Roman"/>
          <w:sz w:val="24"/>
          <w:szCs w:val="24"/>
        </w:rPr>
        <w:t xml:space="preserve">specific aspects of </w:t>
      </w:r>
      <w:proofErr w:type="spellStart"/>
      <w:r>
        <w:rPr>
          <w:rFonts w:ascii="Times New Roman" w:hAnsi="Times New Roman"/>
          <w:sz w:val="24"/>
          <w:szCs w:val="24"/>
        </w:rPr>
        <w:t>MiFID</w:t>
      </w:r>
      <w:proofErr w:type="spellEnd"/>
      <w:r>
        <w:rPr>
          <w:rFonts w:ascii="Times New Roman" w:hAnsi="Times New Roman"/>
          <w:sz w:val="24"/>
          <w:szCs w:val="24"/>
        </w:rPr>
        <w:t xml:space="preserve"> implementation.</w:t>
      </w:r>
      <w:r w:rsidRPr="00611A06">
        <w:rPr>
          <w:rFonts w:ascii="Times New Roman" w:hAnsi="Times New Roman"/>
          <w:sz w:val="24"/>
          <w:szCs w:val="24"/>
        </w:rPr>
        <w:t xml:space="preserve"> </w:t>
      </w:r>
      <w:r w:rsidR="001D573C">
        <w:rPr>
          <w:rFonts w:ascii="Times New Roman" w:hAnsi="Times New Roman"/>
          <w:sz w:val="24"/>
          <w:szCs w:val="24"/>
        </w:rPr>
        <w:t xml:space="preserve">Section </w:t>
      </w:r>
      <w:r w:rsidR="00C64A2F">
        <w:rPr>
          <w:rFonts w:ascii="Times New Roman" w:hAnsi="Times New Roman"/>
          <w:sz w:val="24"/>
          <w:szCs w:val="24"/>
        </w:rPr>
        <w:t>V</w:t>
      </w:r>
      <w:r w:rsidR="00AD41EE">
        <w:rPr>
          <w:rFonts w:ascii="Times New Roman" w:hAnsi="Times New Roman"/>
          <w:sz w:val="24"/>
          <w:szCs w:val="24"/>
        </w:rPr>
        <w:t xml:space="preserve"> </w:t>
      </w:r>
      <w:r w:rsidR="00D107B0">
        <w:rPr>
          <w:rFonts w:ascii="Times New Roman" w:hAnsi="Times New Roman"/>
          <w:sz w:val="24"/>
          <w:szCs w:val="24"/>
        </w:rPr>
        <w:t>offers</w:t>
      </w:r>
      <w:r w:rsidRPr="00611A06">
        <w:rPr>
          <w:rFonts w:ascii="Times New Roman" w:hAnsi="Times New Roman"/>
          <w:sz w:val="24"/>
          <w:szCs w:val="24"/>
        </w:rPr>
        <w:t xml:space="preserve"> recomm</w:t>
      </w:r>
      <w:r>
        <w:rPr>
          <w:rFonts w:ascii="Times New Roman" w:hAnsi="Times New Roman"/>
          <w:sz w:val="24"/>
          <w:szCs w:val="24"/>
        </w:rPr>
        <w:t xml:space="preserve">endations </w:t>
      </w:r>
      <w:r w:rsidR="00C64A2F">
        <w:rPr>
          <w:rFonts w:ascii="Times New Roman" w:hAnsi="Times New Roman"/>
          <w:sz w:val="24"/>
          <w:szCs w:val="24"/>
        </w:rPr>
        <w:t xml:space="preserve">regarding the </w:t>
      </w:r>
      <w:r w:rsidRPr="00611A06">
        <w:rPr>
          <w:rFonts w:ascii="Times New Roman" w:hAnsi="Times New Roman"/>
          <w:sz w:val="24"/>
          <w:szCs w:val="24"/>
        </w:rPr>
        <w:t xml:space="preserve">implementation of </w:t>
      </w:r>
      <w:proofErr w:type="spellStart"/>
      <w:r w:rsidRPr="00611A06">
        <w:rPr>
          <w:rFonts w:ascii="Times New Roman" w:hAnsi="Times New Roman"/>
          <w:sz w:val="24"/>
          <w:szCs w:val="24"/>
        </w:rPr>
        <w:t>MiFID</w:t>
      </w:r>
      <w:proofErr w:type="spellEnd"/>
      <w:r w:rsidRPr="00611A06">
        <w:rPr>
          <w:rFonts w:ascii="Times New Roman" w:hAnsi="Times New Roman"/>
          <w:sz w:val="24"/>
          <w:szCs w:val="24"/>
        </w:rPr>
        <w:t xml:space="preserve"> and </w:t>
      </w:r>
      <w:r w:rsidR="00AD41EE">
        <w:rPr>
          <w:rFonts w:ascii="Times New Roman" w:hAnsi="Times New Roman"/>
          <w:sz w:val="24"/>
          <w:szCs w:val="24"/>
        </w:rPr>
        <w:t xml:space="preserve">to derive the full </w:t>
      </w:r>
      <w:r w:rsidRPr="00611A06">
        <w:rPr>
          <w:rFonts w:ascii="Times New Roman" w:hAnsi="Times New Roman"/>
          <w:sz w:val="24"/>
          <w:szCs w:val="24"/>
        </w:rPr>
        <w:t>benefi</w:t>
      </w:r>
      <w:r>
        <w:rPr>
          <w:rFonts w:ascii="Times New Roman" w:hAnsi="Times New Roman"/>
          <w:sz w:val="24"/>
          <w:szCs w:val="24"/>
        </w:rPr>
        <w:t>t</w:t>
      </w:r>
      <w:r w:rsidRPr="00611A06">
        <w:rPr>
          <w:rFonts w:ascii="Times New Roman" w:hAnsi="Times New Roman"/>
          <w:sz w:val="24"/>
          <w:szCs w:val="24"/>
        </w:rPr>
        <w:t>s from</w:t>
      </w:r>
      <w:r>
        <w:rPr>
          <w:rFonts w:ascii="Times New Roman" w:hAnsi="Times New Roman"/>
          <w:sz w:val="24"/>
          <w:szCs w:val="24"/>
        </w:rPr>
        <w:t xml:space="preserve"> </w:t>
      </w:r>
      <w:r w:rsidR="00AD41EE">
        <w:rPr>
          <w:rFonts w:ascii="Times New Roman" w:hAnsi="Times New Roman"/>
          <w:sz w:val="24"/>
          <w:szCs w:val="24"/>
        </w:rPr>
        <w:t xml:space="preserve">international </w:t>
      </w:r>
      <w:r w:rsidR="00C769A7">
        <w:rPr>
          <w:rFonts w:ascii="Times New Roman" w:hAnsi="Times New Roman"/>
          <w:sz w:val="24"/>
          <w:szCs w:val="24"/>
        </w:rPr>
        <w:t>market integration</w:t>
      </w:r>
      <w:r w:rsidR="00C64A2F">
        <w:rPr>
          <w:rFonts w:ascii="Times New Roman" w:hAnsi="Times New Roman"/>
          <w:sz w:val="24"/>
          <w:szCs w:val="24"/>
        </w:rPr>
        <w:t xml:space="preserve"> and a competitive capital market</w:t>
      </w:r>
      <w:r w:rsidR="00C769A7">
        <w:rPr>
          <w:rFonts w:ascii="Times New Roman" w:hAnsi="Times New Roman"/>
          <w:sz w:val="24"/>
          <w:szCs w:val="24"/>
        </w:rPr>
        <w:t>.</w:t>
      </w:r>
    </w:p>
    <w:p w:rsidR="00D107B0" w:rsidRDefault="00D107B0">
      <w:pPr>
        <w:spacing w:after="0" w:line="240" w:lineRule="auto"/>
        <w:rPr>
          <w:rFonts w:ascii="Times New Roman Bold" w:hAnsi="Times New Roman Bold"/>
          <w:b/>
          <w:smallCaps/>
          <w:sz w:val="24"/>
          <w:szCs w:val="24"/>
        </w:rPr>
      </w:pPr>
      <w:r>
        <w:rPr>
          <w:rFonts w:ascii="Times New Roman Bold" w:hAnsi="Times New Roman Bold"/>
          <w:b/>
          <w:smallCaps/>
          <w:sz w:val="24"/>
          <w:szCs w:val="24"/>
        </w:rPr>
        <w:br w:type="page"/>
      </w:r>
    </w:p>
    <w:p w:rsidR="002C2D84" w:rsidRPr="001A4BD7" w:rsidRDefault="002C2D84" w:rsidP="001A4BD7">
      <w:pPr>
        <w:pStyle w:val="mainnum"/>
      </w:pPr>
      <w:bookmarkStart w:id="2" w:name="_Toc297111587"/>
      <w:r w:rsidRPr="001A4BD7">
        <w:lastRenderedPageBreak/>
        <w:t>Capital Market in Bulgaria</w:t>
      </w:r>
      <w:r w:rsidR="004641E4" w:rsidRPr="001A4BD7">
        <w:t xml:space="preserve"> -</w:t>
      </w:r>
      <w:r w:rsidRPr="001A4BD7">
        <w:t xml:space="preserve"> Recent Trends and Integration in </w:t>
      </w:r>
      <w:r w:rsidR="00D20384" w:rsidRPr="001A4BD7">
        <w:t xml:space="preserve">the </w:t>
      </w:r>
      <w:r w:rsidRPr="001A4BD7">
        <w:t>European Market</w:t>
      </w:r>
      <w:bookmarkEnd w:id="2"/>
    </w:p>
    <w:p w:rsidR="007C6428" w:rsidRDefault="007C6428" w:rsidP="002C2D84">
      <w:pPr>
        <w:pStyle w:val="ListParagraph"/>
        <w:ind w:left="0"/>
        <w:jc w:val="center"/>
        <w:rPr>
          <w:rFonts w:ascii="Times New Roman" w:hAnsi="Times New Roman"/>
          <w:b/>
          <w:sz w:val="24"/>
          <w:szCs w:val="24"/>
        </w:rPr>
      </w:pPr>
    </w:p>
    <w:p w:rsidR="001B69BA" w:rsidRPr="00BF289B" w:rsidRDefault="00DC1E6C" w:rsidP="001B69BA">
      <w:pPr>
        <w:pStyle w:val="ListParagraph"/>
        <w:numPr>
          <w:ilvl w:val="0"/>
          <w:numId w:val="3"/>
        </w:numPr>
        <w:ind w:left="0" w:firstLine="0"/>
        <w:jc w:val="both"/>
        <w:rPr>
          <w:rFonts w:ascii="Times New Roman" w:hAnsi="Times New Roman"/>
          <w:sz w:val="24"/>
          <w:szCs w:val="24"/>
        </w:rPr>
      </w:pPr>
      <w:r w:rsidRPr="00F83C64">
        <w:rPr>
          <w:rFonts w:ascii="Times New Roman" w:hAnsi="Times New Roman"/>
          <w:b/>
          <w:sz w:val="24"/>
          <w:szCs w:val="24"/>
        </w:rPr>
        <w:t xml:space="preserve">The Bulgarian </w:t>
      </w:r>
      <w:r w:rsidR="00417324" w:rsidRPr="00F83C64">
        <w:rPr>
          <w:rFonts w:ascii="Times New Roman" w:hAnsi="Times New Roman"/>
          <w:b/>
          <w:sz w:val="24"/>
          <w:szCs w:val="24"/>
        </w:rPr>
        <w:t xml:space="preserve">capital market </w:t>
      </w:r>
      <w:r w:rsidR="00814DFC">
        <w:rPr>
          <w:rFonts w:ascii="Times New Roman" w:hAnsi="Times New Roman"/>
          <w:b/>
          <w:sz w:val="24"/>
          <w:szCs w:val="24"/>
        </w:rPr>
        <w:t xml:space="preserve">remains </w:t>
      </w:r>
      <w:r w:rsidRPr="00F83C64">
        <w:rPr>
          <w:rFonts w:ascii="Times New Roman" w:hAnsi="Times New Roman"/>
          <w:b/>
          <w:sz w:val="24"/>
          <w:szCs w:val="24"/>
        </w:rPr>
        <w:t>small</w:t>
      </w:r>
      <w:r w:rsidR="00417324" w:rsidRPr="00F83C64">
        <w:rPr>
          <w:rFonts w:ascii="Times New Roman" w:hAnsi="Times New Roman"/>
          <w:b/>
          <w:sz w:val="24"/>
          <w:szCs w:val="24"/>
        </w:rPr>
        <w:t xml:space="preserve"> </w:t>
      </w:r>
      <w:r w:rsidR="00814DFC">
        <w:rPr>
          <w:rFonts w:ascii="Times New Roman" w:hAnsi="Times New Roman"/>
          <w:b/>
          <w:sz w:val="24"/>
          <w:szCs w:val="24"/>
        </w:rPr>
        <w:t xml:space="preserve">after </w:t>
      </w:r>
      <w:r w:rsidR="00BB3750">
        <w:rPr>
          <w:rFonts w:ascii="Times New Roman" w:hAnsi="Times New Roman"/>
          <w:b/>
          <w:sz w:val="24"/>
          <w:szCs w:val="24"/>
        </w:rPr>
        <w:t xml:space="preserve">the global crisis </w:t>
      </w:r>
      <w:r w:rsidR="006360E9">
        <w:rPr>
          <w:rFonts w:ascii="Times New Roman" w:hAnsi="Times New Roman"/>
          <w:b/>
          <w:sz w:val="24"/>
          <w:szCs w:val="24"/>
        </w:rPr>
        <w:t xml:space="preserve">reversed </w:t>
      </w:r>
      <w:r w:rsidR="00BB3750">
        <w:rPr>
          <w:rFonts w:ascii="Times New Roman" w:hAnsi="Times New Roman"/>
          <w:b/>
          <w:sz w:val="24"/>
          <w:szCs w:val="24"/>
        </w:rPr>
        <w:t>most of the gains achieved in the pre-crisis years</w:t>
      </w:r>
      <w:r w:rsidR="00D942F3" w:rsidRPr="00F83C64">
        <w:rPr>
          <w:rFonts w:ascii="Times New Roman" w:hAnsi="Times New Roman"/>
          <w:b/>
          <w:sz w:val="24"/>
          <w:szCs w:val="24"/>
        </w:rPr>
        <w:t xml:space="preserve">. </w:t>
      </w:r>
      <w:r w:rsidR="00C769A7" w:rsidRPr="00F83C64">
        <w:rPr>
          <w:rFonts w:ascii="Times New Roman" w:hAnsi="Times New Roman"/>
          <w:sz w:val="24"/>
          <w:szCs w:val="24"/>
        </w:rPr>
        <w:t>Rapid increase in equity market c</w:t>
      </w:r>
      <w:r w:rsidR="00417324" w:rsidRPr="00F83C64">
        <w:rPr>
          <w:rFonts w:ascii="Times New Roman" w:hAnsi="Times New Roman"/>
          <w:sz w:val="24"/>
          <w:szCs w:val="24"/>
        </w:rPr>
        <w:t xml:space="preserve">apitalization </w:t>
      </w:r>
      <w:r w:rsidR="00C769A7" w:rsidRPr="00F83C64">
        <w:rPr>
          <w:rFonts w:ascii="Times New Roman" w:hAnsi="Times New Roman"/>
          <w:sz w:val="24"/>
          <w:szCs w:val="24"/>
        </w:rPr>
        <w:t>from 10 percent of GDP in 2004 to</w:t>
      </w:r>
      <w:r w:rsidR="00D942F3" w:rsidRPr="00F83C64">
        <w:rPr>
          <w:rFonts w:ascii="Times New Roman" w:hAnsi="Times New Roman"/>
          <w:sz w:val="24"/>
          <w:szCs w:val="24"/>
        </w:rPr>
        <w:t xml:space="preserve"> </w:t>
      </w:r>
      <w:r w:rsidR="00622101" w:rsidRPr="00F83C64">
        <w:rPr>
          <w:rFonts w:ascii="Times New Roman" w:hAnsi="Times New Roman"/>
          <w:sz w:val="24"/>
          <w:szCs w:val="24"/>
        </w:rPr>
        <w:t>51</w:t>
      </w:r>
      <w:r w:rsidR="006360E9">
        <w:rPr>
          <w:rFonts w:ascii="Times New Roman" w:hAnsi="Times New Roman"/>
          <w:sz w:val="24"/>
          <w:szCs w:val="24"/>
        </w:rPr>
        <w:t xml:space="preserve"> percent of GDP in 2007 has been</w:t>
      </w:r>
      <w:r w:rsidR="00C31EE7">
        <w:rPr>
          <w:rFonts w:ascii="Times New Roman" w:hAnsi="Times New Roman"/>
          <w:sz w:val="24"/>
          <w:szCs w:val="24"/>
        </w:rPr>
        <w:t xml:space="preserve"> </w:t>
      </w:r>
      <w:r w:rsidR="00C769A7" w:rsidRPr="00F83C64">
        <w:rPr>
          <w:rFonts w:ascii="Times New Roman" w:hAnsi="Times New Roman"/>
          <w:sz w:val="24"/>
          <w:szCs w:val="24"/>
        </w:rPr>
        <w:t xml:space="preserve">substantially reversed to 15.3 percent </w:t>
      </w:r>
      <w:r w:rsidR="00F83C64" w:rsidRPr="00F83C64">
        <w:rPr>
          <w:rFonts w:ascii="Times New Roman" w:hAnsi="Times New Roman"/>
          <w:sz w:val="24"/>
          <w:szCs w:val="24"/>
        </w:rPr>
        <w:t xml:space="preserve">of GDP </w:t>
      </w:r>
      <w:r w:rsidR="00C769A7" w:rsidRPr="00F83C64">
        <w:rPr>
          <w:rFonts w:ascii="Times New Roman" w:hAnsi="Times New Roman"/>
          <w:sz w:val="24"/>
          <w:szCs w:val="24"/>
        </w:rPr>
        <w:t>in</w:t>
      </w:r>
      <w:r w:rsidR="00D942F3" w:rsidRPr="00F83C64">
        <w:rPr>
          <w:rFonts w:ascii="Times New Roman" w:hAnsi="Times New Roman"/>
          <w:sz w:val="24"/>
          <w:szCs w:val="24"/>
        </w:rPr>
        <w:t xml:space="preserve"> 2010</w:t>
      </w:r>
      <w:r w:rsidR="00C769A7" w:rsidRPr="00F83C64">
        <w:rPr>
          <w:rFonts w:ascii="Times New Roman" w:hAnsi="Times New Roman"/>
          <w:sz w:val="24"/>
          <w:szCs w:val="24"/>
        </w:rPr>
        <w:t xml:space="preserve">. </w:t>
      </w:r>
      <w:r w:rsidRPr="00F83C64">
        <w:rPr>
          <w:rFonts w:ascii="Times New Roman" w:hAnsi="Times New Roman"/>
          <w:sz w:val="24"/>
          <w:szCs w:val="24"/>
        </w:rPr>
        <w:t xml:space="preserve"> </w:t>
      </w:r>
      <w:r w:rsidR="00AD167B">
        <w:rPr>
          <w:rFonts w:ascii="Times New Roman" w:hAnsi="Times New Roman"/>
          <w:sz w:val="24"/>
          <w:szCs w:val="24"/>
        </w:rPr>
        <w:t>The eq</w:t>
      </w:r>
      <w:r w:rsidR="00C769A7" w:rsidRPr="00F83C64">
        <w:rPr>
          <w:rFonts w:ascii="Times New Roman" w:hAnsi="Times New Roman"/>
          <w:sz w:val="24"/>
          <w:szCs w:val="24"/>
        </w:rPr>
        <w:t>uities segment has been th</w:t>
      </w:r>
      <w:r w:rsidR="00F83C64" w:rsidRPr="00F83C64">
        <w:rPr>
          <w:rFonts w:ascii="Times New Roman" w:hAnsi="Times New Roman"/>
          <w:sz w:val="24"/>
          <w:szCs w:val="24"/>
        </w:rPr>
        <w:t>e major driver of market development</w:t>
      </w:r>
      <w:r w:rsidR="00AD167B">
        <w:rPr>
          <w:rFonts w:ascii="Times New Roman" w:hAnsi="Times New Roman"/>
          <w:sz w:val="24"/>
          <w:szCs w:val="24"/>
        </w:rPr>
        <w:t>, whereas the b</w:t>
      </w:r>
      <w:r w:rsidR="00F83C64" w:rsidRPr="00F83C64">
        <w:rPr>
          <w:rFonts w:ascii="Times New Roman" w:hAnsi="Times New Roman"/>
          <w:sz w:val="24"/>
          <w:szCs w:val="24"/>
        </w:rPr>
        <w:t xml:space="preserve">ond market has </w:t>
      </w:r>
      <w:r w:rsidR="0091714A">
        <w:rPr>
          <w:rFonts w:ascii="Times New Roman" w:hAnsi="Times New Roman"/>
          <w:sz w:val="24"/>
          <w:szCs w:val="24"/>
        </w:rPr>
        <w:t xml:space="preserve">remained </w:t>
      </w:r>
      <w:r w:rsidR="006360E9">
        <w:rPr>
          <w:rFonts w:ascii="Times New Roman" w:hAnsi="Times New Roman"/>
          <w:sz w:val="24"/>
          <w:szCs w:val="24"/>
        </w:rPr>
        <w:t>stagnant</w:t>
      </w:r>
      <w:r w:rsidR="00F83C64" w:rsidRPr="00F83C64">
        <w:rPr>
          <w:rFonts w:ascii="Times New Roman" w:hAnsi="Times New Roman"/>
          <w:sz w:val="24"/>
          <w:szCs w:val="24"/>
        </w:rPr>
        <w:t xml:space="preserve">. </w:t>
      </w:r>
      <w:r w:rsidR="00023359">
        <w:rPr>
          <w:rFonts w:ascii="Times New Roman" w:hAnsi="Times New Roman"/>
          <w:sz w:val="24"/>
          <w:szCs w:val="24"/>
        </w:rPr>
        <w:t xml:space="preserve">The government bond market reached 6.5 percent of GDP in 2010. </w:t>
      </w:r>
      <w:r w:rsidR="00F83C64" w:rsidRPr="00F83C64">
        <w:rPr>
          <w:rFonts w:ascii="Times New Roman" w:hAnsi="Times New Roman"/>
          <w:sz w:val="24"/>
          <w:szCs w:val="24"/>
        </w:rPr>
        <w:t xml:space="preserve">Pre-crisis capital market development was </w:t>
      </w:r>
      <w:r w:rsidR="00AD167B">
        <w:rPr>
          <w:rFonts w:ascii="Times New Roman" w:hAnsi="Times New Roman"/>
          <w:sz w:val="24"/>
          <w:szCs w:val="24"/>
        </w:rPr>
        <w:t>stimulated</w:t>
      </w:r>
      <w:r w:rsidR="00AD167B" w:rsidRPr="00F83C64">
        <w:rPr>
          <w:rFonts w:ascii="Times New Roman" w:hAnsi="Times New Roman"/>
          <w:sz w:val="24"/>
          <w:szCs w:val="24"/>
        </w:rPr>
        <w:t xml:space="preserve"> </w:t>
      </w:r>
      <w:r w:rsidR="00F83C64" w:rsidRPr="00F83C64">
        <w:rPr>
          <w:rFonts w:ascii="Times New Roman" w:hAnsi="Times New Roman"/>
          <w:sz w:val="24"/>
          <w:szCs w:val="24"/>
        </w:rPr>
        <w:t xml:space="preserve">by growth in </w:t>
      </w:r>
      <w:r w:rsidR="0091714A">
        <w:rPr>
          <w:rFonts w:ascii="Times New Roman" w:hAnsi="Times New Roman"/>
          <w:sz w:val="24"/>
          <w:szCs w:val="24"/>
        </w:rPr>
        <w:t xml:space="preserve">the institutional </w:t>
      </w:r>
      <w:r w:rsidR="00F83C64" w:rsidRPr="00F83C64">
        <w:rPr>
          <w:rFonts w:ascii="Times New Roman" w:hAnsi="Times New Roman"/>
          <w:sz w:val="24"/>
          <w:szCs w:val="24"/>
        </w:rPr>
        <w:t>investor base</w:t>
      </w:r>
      <w:r w:rsidR="0091714A">
        <w:rPr>
          <w:rFonts w:ascii="Times New Roman" w:hAnsi="Times New Roman"/>
          <w:sz w:val="24"/>
          <w:szCs w:val="24"/>
        </w:rPr>
        <w:t xml:space="preserve"> with</w:t>
      </w:r>
      <w:r w:rsidR="00F83C64" w:rsidRPr="00F83C64">
        <w:rPr>
          <w:rFonts w:ascii="Times New Roman" w:hAnsi="Times New Roman"/>
          <w:sz w:val="24"/>
          <w:szCs w:val="24"/>
        </w:rPr>
        <w:t xml:space="preserve"> </w:t>
      </w:r>
      <w:r w:rsidR="0091714A">
        <w:rPr>
          <w:rFonts w:ascii="Times New Roman" w:hAnsi="Times New Roman"/>
          <w:sz w:val="24"/>
          <w:szCs w:val="24"/>
        </w:rPr>
        <w:t>a</w:t>
      </w:r>
      <w:r w:rsidR="00F83C64" w:rsidRPr="00F83C64">
        <w:rPr>
          <w:rFonts w:ascii="Times New Roman" w:hAnsi="Times New Roman"/>
          <w:sz w:val="24"/>
          <w:szCs w:val="24"/>
        </w:rPr>
        <w:t>ssets of collective investment schemes reach</w:t>
      </w:r>
      <w:r w:rsidR="0091714A">
        <w:rPr>
          <w:rFonts w:ascii="Times New Roman" w:hAnsi="Times New Roman"/>
          <w:sz w:val="24"/>
          <w:szCs w:val="24"/>
        </w:rPr>
        <w:t>ing</w:t>
      </w:r>
      <w:r w:rsidR="00F83C64" w:rsidRPr="00F83C64">
        <w:rPr>
          <w:rFonts w:ascii="Times New Roman" w:hAnsi="Times New Roman"/>
          <w:sz w:val="24"/>
          <w:szCs w:val="24"/>
        </w:rPr>
        <w:t xml:space="preserve"> 382.5 BGN million in 2009</w:t>
      </w:r>
      <w:r w:rsidR="00AD167B">
        <w:rPr>
          <w:rStyle w:val="FootnoteReference"/>
          <w:rFonts w:ascii="Times New Roman" w:hAnsi="Times New Roman"/>
          <w:sz w:val="24"/>
          <w:szCs w:val="24"/>
        </w:rPr>
        <w:footnoteReference w:id="4"/>
      </w:r>
      <w:r w:rsidR="00F83C64" w:rsidRPr="00F83C64">
        <w:rPr>
          <w:rFonts w:ascii="Times New Roman" w:hAnsi="Times New Roman"/>
          <w:sz w:val="24"/>
          <w:szCs w:val="24"/>
        </w:rPr>
        <w:t>, compared to 18 BGN million in 2003.</w:t>
      </w:r>
    </w:p>
    <w:p w:rsidR="001B69BA" w:rsidRPr="00BF289B" w:rsidRDefault="001B69BA" w:rsidP="00BF289B">
      <w:pPr>
        <w:pStyle w:val="Caption"/>
        <w:keepNext/>
        <w:spacing w:after="0"/>
      </w:pPr>
      <w:bookmarkStart w:id="3" w:name="_Toc297111593"/>
      <w:r w:rsidRPr="00BF289B">
        <w:t xml:space="preserve">Table </w:t>
      </w:r>
      <w:fldSimple w:instr=" SEQ Table \* ARABIC ">
        <w:r w:rsidR="00A064B6">
          <w:rPr>
            <w:noProof/>
          </w:rPr>
          <w:t>1</w:t>
        </w:r>
      </w:fldSimple>
      <w:r w:rsidRPr="00BF289B">
        <w:t>: Bulgaria Capital Markets, Intermediaries and Collective Investment Schemes</w:t>
      </w:r>
      <w:bookmarkEnd w:id="3"/>
    </w:p>
    <w:tbl>
      <w:tblPr>
        <w:tblW w:w="9407" w:type="dxa"/>
        <w:tblInd w:w="93" w:type="dxa"/>
        <w:tblLook w:val="04A0"/>
      </w:tblPr>
      <w:tblGrid>
        <w:gridCol w:w="3975"/>
        <w:gridCol w:w="720"/>
        <w:gridCol w:w="630"/>
        <w:gridCol w:w="720"/>
        <w:gridCol w:w="720"/>
        <w:gridCol w:w="672"/>
        <w:gridCol w:w="672"/>
        <w:gridCol w:w="672"/>
        <w:gridCol w:w="626"/>
      </w:tblGrid>
      <w:tr w:rsidR="00411A14" w:rsidRPr="00E03780" w:rsidTr="001B69BA">
        <w:trPr>
          <w:trHeight w:val="151"/>
        </w:trPr>
        <w:tc>
          <w:tcPr>
            <w:tcW w:w="3975" w:type="dxa"/>
            <w:tcBorders>
              <w:top w:val="single" w:sz="4" w:space="0" w:color="auto"/>
              <w:left w:val="nil"/>
              <w:bottom w:val="single" w:sz="4" w:space="0" w:color="auto"/>
              <w:right w:val="nil"/>
            </w:tcBorders>
            <w:shd w:val="clear" w:color="000000" w:fill="FFFFFF"/>
            <w:noWrap/>
            <w:vAlign w:val="center"/>
            <w:hideMark/>
          </w:tcPr>
          <w:p w:rsidR="00FD54DD" w:rsidRPr="001B69BA" w:rsidRDefault="00FD54DD" w:rsidP="001B69BA">
            <w:pPr>
              <w:spacing w:after="0" w:line="240" w:lineRule="auto"/>
              <w:rPr>
                <w:rFonts w:ascii="Times New Roman" w:hAnsi="Times New Roman"/>
                <w:i/>
                <w:color w:val="000000"/>
                <w:sz w:val="20"/>
                <w:szCs w:val="20"/>
              </w:rPr>
            </w:pPr>
            <w:r w:rsidRPr="001B69BA">
              <w:rPr>
                <w:rFonts w:ascii="Times New Roman" w:hAnsi="Times New Roman"/>
                <w:i/>
                <w:color w:val="000000"/>
                <w:sz w:val="20"/>
                <w:szCs w:val="20"/>
              </w:rPr>
              <w:t xml:space="preserve">BGN millions unless otherwise noted </w:t>
            </w:r>
          </w:p>
        </w:tc>
        <w:tc>
          <w:tcPr>
            <w:tcW w:w="720" w:type="dxa"/>
            <w:tcBorders>
              <w:top w:val="single" w:sz="4" w:space="0" w:color="auto"/>
              <w:left w:val="nil"/>
              <w:bottom w:val="single" w:sz="8" w:space="0" w:color="000000"/>
              <w:right w:val="nil"/>
            </w:tcBorders>
            <w:shd w:val="clear" w:color="000000" w:fill="FFFFFF"/>
            <w:vAlign w:val="center"/>
            <w:hideMark/>
          </w:tcPr>
          <w:p w:rsidR="00FD54DD" w:rsidRPr="001B69BA" w:rsidRDefault="00FD54DD" w:rsidP="00E03780">
            <w:pPr>
              <w:spacing w:after="0" w:line="240" w:lineRule="auto"/>
              <w:jc w:val="center"/>
              <w:rPr>
                <w:rFonts w:ascii="Times New Roman" w:hAnsi="Times New Roman"/>
                <w:color w:val="000000"/>
                <w:sz w:val="20"/>
                <w:szCs w:val="20"/>
              </w:rPr>
            </w:pPr>
            <w:r w:rsidRPr="001B69BA">
              <w:rPr>
                <w:rFonts w:ascii="Times New Roman" w:hAnsi="Times New Roman"/>
                <w:color w:val="000000"/>
                <w:sz w:val="20"/>
                <w:szCs w:val="20"/>
              </w:rPr>
              <w:t>2003</w:t>
            </w:r>
          </w:p>
        </w:tc>
        <w:tc>
          <w:tcPr>
            <w:tcW w:w="630" w:type="dxa"/>
            <w:tcBorders>
              <w:top w:val="single" w:sz="4" w:space="0" w:color="auto"/>
              <w:left w:val="nil"/>
              <w:bottom w:val="single" w:sz="8" w:space="0" w:color="000000"/>
              <w:right w:val="nil"/>
            </w:tcBorders>
            <w:shd w:val="clear" w:color="000000" w:fill="FFFFFF"/>
            <w:vAlign w:val="center"/>
            <w:hideMark/>
          </w:tcPr>
          <w:p w:rsidR="00FD54DD" w:rsidRPr="001B69BA" w:rsidRDefault="00FD54DD" w:rsidP="00E03780">
            <w:pPr>
              <w:spacing w:after="0" w:line="240" w:lineRule="auto"/>
              <w:jc w:val="center"/>
              <w:rPr>
                <w:rFonts w:ascii="Times New Roman" w:hAnsi="Times New Roman"/>
                <w:color w:val="000000"/>
                <w:sz w:val="20"/>
                <w:szCs w:val="20"/>
              </w:rPr>
            </w:pPr>
            <w:r w:rsidRPr="001B69BA">
              <w:rPr>
                <w:rFonts w:ascii="Times New Roman" w:hAnsi="Times New Roman"/>
                <w:color w:val="000000"/>
                <w:sz w:val="20"/>
                <w:szCs w:val="20"/>
              </w:rPr>
              <w:t>2004</w:t>
            </w:r>
          </w:p>
        </w:tc>
        <w:tc>
          <w:tcPr>
            <w:tcW w:w="720" w:type="dxa"/>
            <w:tcBorders>
              <w:top w:val="single" w:sz="4" w:space="0" w:color="auto"/>
              <w:left w:val="nil"/>
              <w:bottom w:val="single" w:sz="8" w:space="0" w:color="000000"/>
              <w:right w:val="nil"/>
            </w:tcBorders>
            <w:shd w:val="clear" w:color="000000" w:fill="FFFFFF"/>
            <w:vAlign w:val="center"/>
            <w:hideMark/>
          </w:tcPr>
          <w:p w:rsidR="00FD54DD" w:rsidRPr="001B69BA" w:rsidRDefault="00FD54DD" w:rsidP="00E03780">
            <w:pPr>
              <w:spacing w:after="0" w:line="240" w:lineRule="auto"/>
              <w:jc w:val="center"/>
              <w:rPr>
                <w:rFonts w:ascii="Times New Roman" w:hAnsi="Times New Roman"/>
                <w:color w:val="000000"/>
                <w:sz w:val="20"/>
                <w:szCs w:val="20"/>
              </w:rPr>
            </w:pPr>
            <w:r w:rsidRPr="001B69BA">
              <w:rPr>
                <w:rFonts w:ascii="Times New Roman" w:hAnsi="Times New Roman"/>
                <w:color w:val="000000"/>
                <w:sz w:val="20"/>
                <w:szCs w:val="20"/>
              </w:rPr>
              <w:t>2005</w:t>
            </w:r>
          </w:p>
        </w:tc>
        <w:tc>
          <w:tcPr>
            <w:tcW w:w="720" w:type="dxa"/>
            <w:tcBorders>
              <w:top w:val="single" w:sz="4" w:space="0" w:color="auto"/>
              <w:left w:val="nil"/>
              <w:bottom w:val="single" w:sz="8" w:space="0" w:color="000000"/>
              <w:right w:val="nil"/>
            </w:tcBorders>
            <w:shd w:val="clear" w:color="000000" w:fill="FFFFFF"/>
            <w:vAlign w:val="center"/>
            <w:hideMark/>
          </w:tcPr>
          <w:p w:rsidR="00FD54DD" w:rsidRPr="001B69BA" w:rsidRDefault="00FD54DD" w:rsidP="00E03780">
            <w:pPr>
              <w:spacing w:after="0" w:line="240" w:lineRule="auto"/>
              <w:jc w:val="center"/>
              <w:rPr>
                <w:rFonts w:ascii="Times New Roman" w:hAnsi="Times New Roman"/>
                <w:color w:val="000000"/>
                <w:sz w:val="20"/>
                <w:szCs w:val="20"/>
              </w:rPr>
            </w:pPr>
            <w:r w:rsidRPr="001B69BA">
              <w:rPr>
                <w:rFonts w:ascii="Times New Roman" w:hAnsi="Times New Roman"/>
                <w:color w:val="000000"/>
                <w:sz w:val="20"/>
                <w:szCs w:val="20"/>
              </w:rPr>
              <w:t>2006</w:t>
            </w:r>
          </w:p>
        </w:tc>
        <w:tc>
          <w:tcPr>
            <w:tcW w:w="672" w:type="dxa"/>
            <w:tcBorders>
              <w:top w:val="single" w:sz="4" w:space="0" w:color="auto"/>
              <w:left w:val="nil"/>
              <w:bottom w:val="single" w:sz="8" w:space="0" w:color="000000"/>
              <w:right w:val="nil"/>
            </w:tcBorders>
            <w:shd w:val="clear" w:color="000000" w:fill="FFFFFF"/>
            <w:vAlign w:val="center"/>
            <w:hideMark/>
          </w:tcPr>
          <w:p w:rsidR="00FD54DD" w:rsidRPr="001B69BA" w:rsidRDefault="00FD54DD" w:rsidP="00E03780">
            <w:pPr>
              <w:spacing w:after="0" w:line="240" w:lineRule="auto"/>
              <w:jc w:val="center"/>
              <w:rPr>
                <w:rFonts w:ascii="Times New Roman" w:hAnsi="Times New Roman"/>
                <w:color w:val="000000"/>
                <w:sz w:val="20"/>
                <w:szCs w:val="20"/>
              </w:rPr>
            </w:pPr>
            <w:r w:rsidRPr="001B69BA">
              <w:rPr>
                <w:rFonts w:ascii="Times New Roman" w:hAnsi="Times New Roman"/>
                <w:color w:val="000000"/>
                <w:sz w:val="20"/>
                <w:szCs w:val="20"/>
              </w:rPr>
              <w:t>2007</w:t>
            </w:r>
          </w:p>
        </w:tc>
        <w:tc>
          <w:tcPr>
            <w:tcW w:w="672" w:type="dxa"/>
            <w:tcBorders>
              <w:top w:val="single" w:sz="4" w:space="0" w:color="auto"/>
              <w:left w:val="nil"/>
              <w:bottom w:val="single" w:sz="8" w:space="0" w:color="000000"/>
              <w:right w:val="nil"/>
            </w:tcBorders>
            <w:shd w:val="clear" w:color="000000" w:fill="FFFFFF"/>
            <w:vAlign w:val="center"/>
            <w:hideMark/>
          </w:tcPr>
          <w:p w:rsidR="00FD54DD" w:rsidRPr="001B69BA" w:rsidRDefault="00FD54DD" w:rsidP="00E03780">
            <w:pPr>
              <w:spacing w:after="0" w:line="240" w:lineRule="auto"/>
              <w:jc w:val="center"/>
              <w:rPr>
                <w:rFonts w:ascii="Times New Roman" w:hAnsi="Times New Roman"/>
                <w:color w:val="000000"/>
                <w:sz w:val="20"/>
                <w:szCs w:val="20"/>
              </w:rPr>
            </w:pPr>
            <w:r w:rsidRPr="001B69BA">
              <w:rPr>
                <w:rFonts w:ascii="Times New Roman" w:hAnsi="Times New Roman"/>
                <w:color w:val="000000"/>
                <w:sz w:val="20"/>
                <w:szCs w:val="20"/>
              </w:rPr>
              <w:t>2008</w:t>
            </w:r>
          </w:p>
        </w:tc>
        <w:tc>
          <w:tcPr>
            <w:tcW w:w="672" w:type="dxa"/>
            <w:tcBorders>
              <w:top w:val="single" w:sz="4" w:space="0" w:color="auto"/>
              <w:left w:val="nil"/>
              <w:bottom w:val="single" w:sz="8" w:space="0" w:color="000000"/>
              <w:right w:val="nil"/>
            </w:tcBorders>
            <w:shd w:val="clear" w:color="000000" w:fill="FFFFFF"/>
            <w:vAlign w:val="center"/>
            <w:hideMark/>
          </w:tcPr>
          <w:p w:rsidR="00FD54DD" w:rsidRPr="001B69BA" w:rsidRDefault="00FD54DD" w:rsidP="00E03780">
            <w:pPr>
              <w:spacing w:after="0" w:line="240" w:lineRule="auto"/>
              <w:jc w:val="center"/>
              <w:rPr>
                <w:rFonts w:ascii="Times New Roman" w:hAnsi="Times New Roman"/>
                <w:color w:val="000000"/>
                <w:sz w:val="20"/>
                <w:szCs w:val="20"/>
              </w:rPr>
            </w:pPr>
            <w:r w:rsidRPr="001B69BA">
              <w:rPr>
                <w:rFonts w:ascii="Times New Roman" w:hAnsi="Times New Roman"/>
                <w:color w:val="000000"/>
                <w:sz w:val="20"/>
                <w:szCs w:val="20"/>
              </w:rPr>
              <w:t>2009</w:t>
            </w:r>
          </w:p>
        </w:tc>
        <w:tc>
          <w:tcPr>
            <w:tcW w:w="626" w:type="dxa"/>
            <w:tcBorders>
              <w:top w:val="single" w:sz="4" w:space="0" w:color="auto"/>
              <w:left w:val="nil"/>
              <w:bottom w:val="single" w:sz="8" w:space="0" w:color="000000"/>
              <w:right w:val="nil"/>
            </w:tcBorders>
            <w:shd w:val="clear" w:color="000000" w:fill="FFFFFF"/>
            <w:vAlign w:val="center"/>
            <w:hideMark/>
          </w:tcPr>
          <w:p w:rsidR="00FD54DD" w:rsidRPr="001B69BA" w:rsidRDefault="00FD54DD" w:rsidP="00E03780">
            <w:pPr>
              <w:spacing w:after="0" w:line="240" w:lineRule="auto"/>
              <w:jc w:val="center"/>
              <w:rPr>
                <w:rFonts w:ascii="Times New Roman" w:hAnsi="Times New Roman"/>
                <w:color w:val="000000"/>
                <w:sz w:val="20"/>
                <w:szCs w:val="20"/>
              </w:rPr>
            </w:pPr>
            <w:r w:rsidRPr="001B69BA">
              <w:rPr>
                <w:rFonts w:ascii="Times New Roman" w:hAnsi="Times New Roman"/>
                <w:color w:val="000000"/>
                <w:sz w:val="20"/>
                <w:szCs w:val="20"/>
              </w:rPr>
              <w:t>2010</w:t>
            </w:r>
          </w:p>
        </w:tc>
      </w:tr>
      <w:tr w:rsidR="00411A14" w:rsidRPr="00E03780" w:rsidTr="00411A14">
        <w:trPr>
          <w:trHeight w:val="300"/>
        </w:trPr>
        <w:tc>
          <w:tcPr>
            <w:tcW w:w="3975" w:type="dxa"/>
            <w:tcBorders>
              <w:top w:val="single" w:sz="4" w:space="0" w:color="auto"/>
              <w:left w:val="nil"/>
              <w:bottom w:val="nil"/>
              <w:right w:val="nil"/>
            </w:tcBorders>
            <w:shd w:val="clear" w:color="000000" w:fill="FFFFFF"/>
            <w:noWrap/>
            <w:vAlign w:val="center"/>
            <w:hideMark/>
          </w:tcPr>
          <w:p w:rsidR="00E03780" w:rsidRPr="001B69BA" w:rsidRDefault="00E03780" w:rsidP="00E03780">
            <w:pPr>
              <w:spacing w:after="0" w:line="240" w:lineRule="auto"/>
              <w:rPr>
                <w:rFonts w:ascii="Times New Roman" w:hAnsi="Times New Roman"/>
                <w:b/>
                <w:bCs/>
                <w:color w:val="000000"/>
                <w:sz w:val="20"/>
                <w:szCs w:val="20"/>
              </w:rPr>
            </w:pPr>
            <w:r w:rsidRPr="001B69BA">
              <w:rPr>
                <w:rFonts w:ascii="Times New Roman" w:hAnsi="Times New Roman"/>
                <w:b/>
                <w:bCs/>
                <w:color w:val="000000"/>
                <w:sz w:val="20"/>
                <w:szCs w:val="20"/>
              </w:rPr>
              <w:t>Securities firms</w:t>
            </w:r>
          </w:p>
        </w:tc>
        <w:tc>
          <w:tcPr>
            <w:tcW w:w="720"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 </w:t>
            </w:r>
          </w:p>
        </w:tc>
        <w:tc>
          <w:tcPr>
            <w:tcW w:w="630"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 </w:t>
            </w:r>
          </w:p>
        </w:tc>
        <w:tc>
          <w:tcPr>
            <w:tcW w:w="720"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 </w:t>
            </w:r>
          </w:p>
        </w:tc>
        <w:tc>
          <w:tcPr>
            <w:tcW w:w="720"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 </w:t>
            </w:r>
          </w:p>
        </w:tc>
        <w:tc>
          <w:tcPr>
            <w:tcW w:w="672"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 </w:t>
            </w:r>
          </w:p>
        </w:tc>
        <w:tc>
          <w:tcPr>
            <w:tcW w:w="672"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 </w:t>
            </w:r>
          </w:p>
        </w:tc>
        <w:tc>
          <w:tcPr>
            <w:tcW w:w="672"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 </w:t>
            </w:r>
          </w:p>
        </w:tc>
        <w:tc>
          <w:tcPr>
            <w:tcW w:w="626"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 </w:t>
            </w:r>
          </w:p>
        </w:tc>
      </w:tr>
      <w:tr w:rsidR="00411A14" w:rsidRPr="00E03780" w:rsidTr="00411A14">
        <w:trPr>
          <w:trHeight w:val="300"/>
        </w:trPr>
        <w:tc>
          <w:tcPr>
            <w:tcW w:w="3975" w:type="dxa"/>
            <w:tcBorders>
              <w:top w:val="nil"/>
              <w:left w:val="nil"/>
              <w:bottom w:val="nil"/>
              <w:right w:val="nil"/>
            </w:tcBorders>
            <w:shd w:val="clear" w:color="000000" w:fill="FFFFFF"/>
            <w:noWrap/>
            <w:vAlign w:val="center"/>
            <w:hideMark/>
          </w:tcPr>
          <w:p w:rsidR="00E03780" w:rsidRPr="001B69BA" w:rsidRDefault="00FD54DD" w:rsidP="00E03780">
            <w:pPr>
              <w:spacing w:after="0" w:line="240" w:lineRule="auto"/>
              <w:rPr>
                <w:rFonts w:ascii="Times New Roman" w:hAnsi="Times New Roman"/>
                <w:color w:val="000000"/>
                <w:sz w:val="20"/>
                <w:szCs w:val="20"/>
              </w:rPr>
            </w:pPr>
            <w:r w:rsidRPr="001B69BA">
              <w:rPr>
                <w:rFonts w:ascii="Times New Roman" w:hAnsi="Times New Roman"/>
                <w:color w:val="000000"/>
                <w:sz w:val="20"/>
                <w:szCs w:val="20"/>
              </w:rPr>
              <w:t>N</w:t>
            </w:r>
            <w:r w:rsidR="00E03780" w:rsidRPr="001B69BA">
              <w:rPr>
                <w:rFonts w:ascii="Times New Roman" w:hAnsi="Times New Roman"/>
                <w:color w:val="000000"/>
                <w:sz w:val="20"/>
                <w:szCs w:val="20"/>
              </w:rPr>
              <w:t xml:space="preserve">umber </w:t>
            </w:r>
            <w:r w:rsidRPr="001B69BA">
              <w:rPr>
                <w:rFonts w:ascii="Times New Roman" w:hAnsi="Times New Roman"/>
                <w:color w:val="000000"/>
                <w:sz w:val="20"/>
                <w:szCs w:val="20"/>
              </w:rPr>
              <w:t>of firms</w:t>
            </w:r>
          </w:p>
        </w:tc>
        <w:tc>
          <w:tcPr>
            <w:tcW w:w="720"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108</w:t>
            </w:r>
          </w:p>
        </w:tc>
        <w:tc>
          <w:tcPr>
            <w:tcW w:w="630"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93</w:t>
            </w:r>
          </w:p>
        </w:tc>
        <w:tc>
          <w:tcPr>
            <w:tcW w:w="720"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88</w:t>
            </w:r>
          </w:p>
        </w:tc>
        <w:tc>
          <w:tcPr>
            <w:tcW w:w="720"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85</w:t>
            </w:r>
          </w:p>
        </w:tc>
        <w:tc>
          <w:tcPr>
            <w:tcW w:w="672"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83</w:t>
            </w:r>
          </w:p>
        </w:tc>
        <w:tc>
          <w:tcPr>
            <w:tcW w:w="672"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88</w:t>
            </w:r>
          </w:p>
        </w:tc>
        <w:tc>
          <w:tcPr>
            <w:tcW w:w="672"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86</w:t>
            </w:r>
          </w:p>
        </w:tc>
        <w:tc>
          <w:tcPr>
            <w:tcW w:w="626"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 80</w:t>
            </w:r>
          </w:p>
        </w:tc>
      </w:tr>
      <w:tr w:rsidR="00411A14" w:rsidRPr="00E03780" w:rsidTr="00411A14">
        <w:trPr>
          <w:trHeight w:val="300"/>
        </w:trPr>
        <w:tc>
          <w:tcPr>
            <w:tcW w:w="3975" w:type="dxa"/>
            <w:tcBorders>
              <w:top w:val="nil"/>
              <w:left w:val="nil"/>
              <w:bottom w:val="nil"/>
              <w:right w:val="nil"/>
            </w:tcBorders>
            <w:shd w:val="clear" w:color="000000" w:fill="FFFFFF"/>
            <w:noWrap/>
            <w:vAlign w:val="center"/>
            <w:hideMark/>
          </w:tcPr>
          <w:p w:rsidR="00E03780" w:rsidRPr="001B69BA" w:rsidRDefault="00FD54DD" w:rsidP="00FD54DD">
            <w:pPr>
              <w:spacing w:after="0" w:line="240" w:lineRule="auto"/>
              <w:rPr>
                <w:rFonts w:ascii="Times New Roman" w:hAnsi="Times New Roman"/>
                <w:i/>
                <w:color w:val="000000"/>
                <w:sz w:val="20"/>
                <w:szCs w:val="20"/>
              </w:rPr>
            </w:pPr>
            <w:r w:rsidRPr="001B69BA">
              <w:rPr>
                <w:rFonts w:ascii="Times New Roman" w:hAnsi="Times New Roman"/>
                <w:i/>
                <w:color w:val="000000"/>
                <w:sz w:val="20"/>
                <w:szCs w:val="20"/>
              </w:rPr>
              <w:t xml:space="preserve">   of which o</w:t>
            </w:r>
            <w:r w:rsidR="00E03780" w:rsidRPr="001B69BA">
              <w:rPr>
                <w:rFonts w:ascii="Times New Roman" w:hAnsi="Times New Roman"/>
                <w:i/>
                <w:color w:val="000000"/>
                <w:sz w:val="20"/>
                <w:szCs w:val="20"/>
              </w:rPr>
              <w:t xml:space="preserve">wned by banks </w:t>
            </w:r>
          </w:p>
        </w:tc>
        <w:tc>
          <w:tcPr>
            <w:tcW w:w="720"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31</w:t>
            </w:r>
          </w:p>
        </w:tc>
        <w:tc>
          <w:tcPr>
            <w:tcW w:w="630"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31</w:t>
            </w:r>
          </w:p>
        </w:tc>
        <w:tc>
          <w:tcPr>
            <w:tcW w:w="720"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29</w:t>
            </w:r>
          </w:p>
        </w:tc>
        <w:tc>
          <w:tcPr>
            <w:tcW w:w="720"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29</w:t>
            </w:r>
          </w:p>
        </w:tc>
        <w:tc>
          <w:tcPr>
            <w:tcW w:w="672"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25</w:t>
            </w:r>
          </w:p>
        </w:tc>
        <w:tc>
          <w:tcPr>
            <w:tcW w:w="672"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25</w:t>
            </w:r>
          </w:p>
        </w:tc>
        <w:tc>
          <w:tcPr>
            <w:tcW w:w="672"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25</w:t>
            </w:r>
          </w:p>
        </w:tc>
        <w:tc>
          <w:tcPr>
            <w:tcW w:w="626"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 25</w:t>
            </w:r>
          </w:p>
        </w:tc>
      </w:tr>
      <w:tr w:rsidR="00411A14" w:rsidRPr="00E03780" w:rsidTr="00411A14">
        <w:trPr>
          <w:trHeight w:val="300"/>
        </w:trPr>
        <w:tc>
          <w:tcPr>
            <w:tcW w:w="3975"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rPr>
                <w:rFonts w:ascii="Times New Roman" w:hAnsi="Times New Roman"/>
                <w:color w:val="000000"/>
                <w:sz w:val="20"/>
                <w:szCs w:val="20"/>
              </w:rPr>
            </w:pPr>
            <w:r w:rsidRPr="001B69BA">
              <w:rPr>
                <w:rFonts w:ascii="Times New Roman" w:hAnsi="Times New Roman"/>
                <w:color w:val="000000"/>
                <w:sz w:val="20"/>
                <w:szCs w:val="20"/>
              </w:rPr>
              <w:t xml:space="preserve">Total assets </w:t>
            </w:r>
          </w:p>
        </w:tc>
        <w:tc>
          <w:tcPr>
            <w:tcW w:w="720" w:type="dxa"/>
            <w:tcBorders>
              <w:top w:val="nil"/>
              <w:left w:val="nil"/>
              <w:bottom w:val="nil"/>
              <w:right w:val="nil"/>
            </w:tcBorders>
            <w:shd w:val="clear" w:color="000000" w:fill="FFFFFF"/>
            <w:noWrap/>
            <w:vAlign w:val="center"/>
            <w:hideMark/>
          </w:tcPr>
          <w:p w:rsidR="00E03780" w:rsidRPr="001B69BA" w:rsidRDefault="00E03780" w:rsidP="00FD54DD">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323</w:t>
            </w:r>
          </w:p>
        </w:tc>
        <w:tc>
          <w:tcPr>
            <w:tcW w:w="630" w:type="dxa"/>
            <w:tcBorders>
              <w:top w:val="nil"/>
              <w:left w:val="nil"/>
              <w:bottom w:val="nil"/>
              <w:right w:val="nil"/>
            </w:tcBorders>
            <w:shd w:val="clear" w:color="000000" w:fill="FFFFFF"/>
            <w:noWrap/>
            <w:vAlign w:val="center"/>
            <w:hideMark/>
          </w:tcPr>
          <w:p w:rsidR="00E03780" w:rsidRPr="001B69BA" w:rsidRDefault="00E03780" w:rsidP="00FD54DD">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820</w:t>
            </w:r>
          </w:p>
        </w:tc>
        <w:tc>
          <w:tcPr>
            <w:tcW w:w="720" w:type="dxa"/>
            <w:tcBorders>
              <w:top w:val="nil"/>
              <w:left w:val="nil"/>
              <w:bottom w:val="nil"/>
              <w:right w:val="nil"/>
            </w:tcBorders>
            <w:shd w:val="clear" w:color="000000" w:fill="FFFFFF"/>
            <w:noWrap/>
            <w:vAlign w:val="center"/>
            <w:hideMark/>
          </w:tcPr>
          <w:p w:rsidR="00E03780" w:rsidRPr="001B69BA" w:rsidRDefault="00E03780" w:rsidP="00FD54DD">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1</w:t>
            </w:r>
            <w:r w:rsidR="00FD54DD" w:rsidRPr="001B69BA">
              <w:rPr>
                <w:rFonts w:ascii="Times New Roman" w:hAnsi="Times New Roman"/>
                <w:color w:val="000000"/>
                <w:sz w:val="20"/>
                <w:szCs w:val="20"/>
              </w:rPr>
              <w:t>,</w:t>
            </w:r>
            <w:r w:rsidRPr="001B69BA">
              <w:rPr>
                <w:rFonts w:ascii="Times New Roman" w:hAnsi="Times New Roman"/>
                <w:color w:val="000000"/>
                <w:sz w:val="20"/>
                <w:szCs w:val="20"/>
              </w:rPr>
              <w:t>323</w:t>
            </w:r>
          </w:p>
        </w:tc>
        <w:tc>
          <w:tcPr>
            <w:tcW w:w="720" w:type="dxa"/>
            <w:tcBorders>
              <w:top w:val="nil"/>
              <w:left w:val="nil"/>
              <w:bottom w:val="nil"/>
              <w:right w:val="nil"/>
            </w:tcBorders>
            <w:shd w:val="clear" w:color="000000" w:fill="FFFFFF"/>
            <w:noWrap/>
            <w:vAlign w:val="center"/>
            <w:hideMark/>
          </w:tcPr>
          <w:p w:rsidR="00E03780" w:rsidRPr="001B69BA" w:rsidRDefault="00E03780" w:rsidP="00FD54DD">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3</w:t>
            </w:r>
            <w:r w:rsidR="00FD54DD" w:rsidRPr="001B69BA">
              <w:rPr>
                <w:rFonts w:ascii="Times New Roman" w:hAnsi="Times New Roman"/>
                <w:color w:val="000000"/>
                <w:sz w:val="20"/>
                <w:szCs w:val="20"/>
              </w:rPr>
              <w:t>,</w:t>
            </w:r>
            <w:r w:rsidRPr="001B69BA">
              <w:rPr>
                <w:rFonts w:ascii="Times New Roman" w:hAnsi="Times New Roman"/>
                <w:color w:val="000000"/>
                <w:sz w:val="20"/>
                <w:szCs w:val="20"/>
              </w:rPr>
              <w:t>029</w:t>
            </w:r>
          </w:p>
        </w:tc>
        <w:tc>
          <w:tcPr>
            <w:tcW w:w="672" w:type="dxa"/>
            <w:tcBorders>
              <w:top w:val="nil"/>
              <w:left w:val="nil"/>
              <w:bottom w:val="nil"/>
              <w:right w:val="nil"/>
            </w:tcBorders>
            <w:shd w:val="clear" w:color="000000" w:fill="FFFFFF"/>
            <w:noWrap/>
            <w:vAlign w:val="center"/>
            <w:hideMark/>
          </w:tcPr>
          <w:p w:rsidR="00E03780" w:rsidRPr="001B69BA" w:rsidRDefault="00E03780" w:rsidP="00FD54DD">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7</w:t>
            </w:r>
            <w:r w:rsidR="00FD54DD" w:rsidRPr="001B69BA">
              <w:rPr>
                <w:rFonts w:ascii="Times New Roman" w:hAnsi="Times New Roman"/>
                <w:color w:val="000000"/>
                <w:sz w:val="20"/>
                <w:szCs w:val="20"/>
              </w:rPr>
              <w:t>,</w:t>
            </w:r>
            <w:r w:rsidRPr="001B69BA">
              <w:rPr>
                <w:rFonts w:ascii="Times New Roman" w:hAnsi="Times New Roman"/>
                <w:color w:val="000000"/>
                <w:sz w:val="20"/>
                <w:szCs w:val="20"/>
              </w:rPr>
              <w:t>723</w:t>
            </w:r>
          </w:p>
        </w:tc>
        <w:tc>
          <w:tcPr>
            <w:tcW w:w="672" w:type="dxa"/>
            <w:tcBorders>
              <w:top w:val="nil"/>
              <w:left w:val="nil"/>
              <w:bottom w:val="nil"/>
              <w:right w:val="nil"/>
            </w:tcBorders>
            <w:shd w:val="clear" w:color="000000" w:fill="FFFFFF"/>
            <w:noWrap/>
            <w:vAlign w:val="center"/>
            <w:hideMark/>
          </w:tcPr>
          <w:p w:rsidR="00E03780" w:rsidRPr="001B69BA" w:rsidRDefault="00E03780" w:rsidP="00FD54DD">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6</w:t>
            </w:r>
            <w:r w:rsidR="00FD54DD" w:rsidRPr="001B69BA">
              <w:rPr>
                <w:rFonts w:ascii="Times New Roman" w:hAnsi="Times New Roman"/>
                <w:color w:val="000000"/>
                <w:sz w:val="20"/>
                <w:szCs w:val="20"/>
              </w:rPr>
              <w:t>,</w:t>
            </w:r>
            <w:r w:rsidRPr="001B69BA">
              <w:rPr>
                <w:rFonts w:ascii="Times New Roman" w:hAnsi="Times New Roman"/>
                <w:color w:val="000000"/>
                <w:sz w:val="20"/>
                <w:szCs w:val="20"/>
              </w:rPr>
              <w:t>810</w:t>
            </w:r>
          </w:p>
        </w:tc>
        <w:tc>
          <w:tcPr>
            <w:tcW w:w="672" w:type="dxa"/>
            <w:tcBorders>
              <w:top w:val="nil"/>
              <w:left w:val="nil"/>
              <w:bottom w:val="nil"/>
              <w:right w:val="nil"/>
            </w:tcBorders>
            <w:shd w:val="clear" w:color="000000" w:fill="FFFFFF"/>
            <w:noWrap/>
            <w:vAlign w:val="center"/>
            <w:hideMark/>
          </w:tcPr>
          <w:p w:rsidR="00E03780" w:rsidRPr="001B69BA" w:rsidRDefault="00E03780" w:rsidP="00FD54DD">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5</w:t>
            </w:r>
            <w:r w:rsidR="00FD54DD" w:rsidRPr="001B69BA">
              <w:rPr>
                <w:rFonts w:ascii="Times New Roman" w:hAnsi="Times New Roman"/>
                <w:color w:val="000000"/>
                <w:sz w:val="20"/>
                <w:szCs w:val="20"/>
              </w:rPr>
              <w:t>,</w:t>
            </w:r>
            <w:r w:rsidRPr="001B69BA">
              <w:rPr>
                <w:rFonts w:ascii="Times New Roman" w:hAnsi="Times New Roman"/>
                <w:color w:val="000000"/>
                <w:sz w:val="20"/>
                <w:szCs w:val="20"/>
              </w:rPr>
              <w:t>460</w:t>
            </w:r>
          </w:p>
        </w:tc>
        <w:tc>
          <w:tcPr>
            <w:tcW w:w="626"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 </w:t>
            </w:r>
          </w:p>
        </w:tc>
      </w:tr>
      <w:tr w:rsidR="00411A14" w:rsidRPr="00E03780" w:rsidTr="00411A14">
        <w:trPr>
          <w:trHeight w:val="300"/>
        </w:trPr>
        <w:tc>
          <w:tcPr>
            <w:tcW w:w="4695" w:type="dxa"/>
            <w:gridSpan w:val="2"/>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rPr>
                <w:rFonts w:ascii="Times New Roman" w:hAnsi="Times New Roman"/>
                <w:b/>
                <w:bCs/>
                <w:color w:val="000000"/>
                <w:sz w:val="20"/>
                <w:szCs w:val="20"/>
              </w:rPr>
            </w:pPr>
            <w:r w:rsidRPr="001B69BA">
              <w:rPr>
                <w:rFonts w:ascii="Times New Roman" w:hAnsi="Times New Roman"/>
                <w:b/>
                <w:bCs/>
                <w:color w:val="000000"/>
                <w:sz w:val="20"/>
                <w:szCs w:val="20"/>
              </w:rPr>
              <w:t>Collective investment schemes</w:t>
            </w:r>
          </w:p>
        </w:tc>
        <w:tc>
          <w:tcPr>
            <w:tcW w:w="630"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rPr>
                <w:rFonts w:ascii="Times New Roman" w:hAnsi="Times New Roman"/>
                <w:b/>
                <w:bCs/>
                <w:color w:val="000000"/>
                <w:sz w:val="20"/>
                <w:szCs w:val="20"/>
              </w:rPr>
            </w:pPr>
            <w:r w:rsidRPr="001B69BA">
              <w:rPr>
                <w:rFonts w:ascii="Times New Roman" w:hAnsi="Times New Roman"/>
                <w:b/>
                <w:bCs/>
                <w:color w:val="000000"/>
                <w:sz w:val="20"/>
                <w:szCs w:val="20"/>
              </w:rPr>
              <w:t> </w:t>
            </w:r>
          </w:p>
        </w:tc>
        <w:tc>
          <w:tcPr>
            <w:tcW w:w="720"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 </w:t>
            </w:r>
          </w:p>
        </w:tc>
        <w:tc>
          <w:tcPr>
            <w:tcW w:w="720"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 </w:t>
            </w:r>
          </w:p>
        </w:tc>
        <w:tc>
          <w:tcPr>
            <w:tcW w:w="672"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 </w:t>
            </w:r>
          </w:p>
        </w:tc>
        <w:tc>
          <w:tcPr>
            <w:tcW w:w="672"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 </w:t>
            </w:r>
          </w:p>
        </w:tc>
        <w:tc>
          <w:tcPr>
            <w:tcW w:w="672"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 </w:t>
            </w:r>
          </w:p>
        </w:tc>
        <w:tc>
          <w:tcPr>
            <w:tcW w:w="626"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 </w:t>
            </w:r>
          </w:p>
        </w:tc>
      </w:tr>
      <w:tr w:rsidR="00411A14" w:rsidRPr="00E03780" w:rsidTr="00411A14">
        <w:trPr>
          <w:trHeight w:val="300"/>
        </w:trPr>
        <w:tc>
          <w:tcPr>
            <w:tcW w:w="3975" w:type="dxa"/>
            <w:tcBorders>
              <w:top w:val="nil"/>
              <w:left w:val="nil"/>
              <w:bottom w:val="nil"/>
              <w:right w:val="nil"/>
            </w:tcBorders>
            <w:shd w:val="clear" w:color="000000" w:fill="FFFFFF"/>
            <w:noWrap/>
            <w:vAlign w:val="center"/>
            <w:hideMark/>
          </w:tcPr>
          <w:p w:rsidR="00E03780" w:rsidRPr="001B69BA" w:rsidRDefault="00FD54DD" w:rsidP="00E03780">
            <w:pPr>
              <w:spacing w:after="0" w:line="240" w:lineRule="auto"/>
              <w:rPr>
                <w:rFonts w:ascii="Times New Roman" w:hAnsi="Times New Roman"/>
                <w:color w:val="000000"/>
                <w:sz w:val="20"/>
                <w:szCs w:val="20"/>
              </w:rPr>
            </w:pPr>
            <w:r w:rsidRPr="001B69BA">
              <w:rPr>
                <w:rFonts w:ascii="Times New Roman" w:hAnsi="Times New Roman"/>
                <w:color w:val="000000"/>
                <w:sz w:val="20"/>
                <w:szCs w:val="20"/>
              </w:rPr>
              <w:t>N</w:t>
            </w:r>
            <w:r w:rsidR="00E03780" w:rsidRPr="001B69BA">
              <w:rPr>
                <w:rFonts w:ascii="Times New Roman" w:hAnsi="Times New Roman"/>
                <w:color w:val="000000"/>
                <w:sz w:val="20"/>
                <w:szCs w:val="20"/>
              </w:rPr>
              <w:t xml:space="preserve">umber </w:t>
            </w:r>
            <w:r w:rsidRPr="001B69BA">
              <w:rPr>
                <w:rFonts w:ascii="Times New Roman" w:hAnsi="Times New Roman"/>
                <w:color w:val="000000"/>
                <w:sz w:val="20"/>
                <w:szCs w:val="20"/>
              </w:rPr>
              <w:t>of schemes</w:t>
            </w:r>
          </w:p>
        </w:tc>
        <w:tc>
          <w:tcPr>
            <w:tcW w:w="720"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5</w:t>
            </w:r>
          </w:p>
        </w:tc>
        <w:tc>
          <w:tcPr>
            <w:tcW w:w="630"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9</w:t>
            </w:r>
          </w:p>
        </w:tc>
        <w:tc>
          <w:tcPr>
            <w:tcW w:w="720"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25</w:t>
            </w:r>
          </w:p>
        </w:tc>
        <w:tc>
          <w:tcPr>
            <w:tcW w:w="720"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45</w:t>
            </w:r>
          </w:p>
        </w:tc>
        <w:tc>
          <w:tcPr>
            <w:tcW w:w="672"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71</w:t>
            </w:r>
          </w:p>
        </w:tc>
        <w:tc>
          <w:tcPr>
            <w:tcW w:w="672"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94</w:t>
            </w:r>
          </w:p>
        </w:tc>
        <w:tc>
          <w:tcPr>
            <w:tcW w:w="672"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102</w:t>
            </w:r>
          </w:p>
        </w:tc>
        <w:tc>
          <w:tcPr>
            <w:tcW w:w="626"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 </w:t>
            </w:r>
          </w:p>
        </w:tc>
      </w:tr>
      <w:tr w:rsidR="00411A14" w:rsidRPr="00E03780" w:rsidTr="00411A14">
        <w:trPr>
          <w:trHeight w:val="300"/>
        </w:trPr>
        <w:tc>
          <w:tcPr>
            <w:tcW w:w="3975"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rPr>
                <w:rFonts w:ascii="Times New Roman" w:hAnsi="Times New Roman"/>
                <w:color w:val="000000"/>
                <w:sz w:val="20"/>
                <w:szCs w:val="20"/>
              </w:rPr>
            </w:pPr>
            <w:r w:rsidRPr="001B69BA">
              <w:rPr>
                <w:rFonts w:ascii="Times New Roman" w:hAnsi="Times New Roman"/>
                <w:color w:val="000000"/>
                <w:sz w:val="20"/>
                <w:szCs w:val="20"/>
              </w:rPr>
              <w:t xml:space="preserve">Total assets </w:t>
            </w:r>
          </w:p>
        </w:tc>
        <w:tc>
          <w:tcPr>
            <w:tcW w:w="720" w:type="dxa"/>
            <w:tcBorders>
              <w:top w:val="nil"/>
              <w:left w:val="nil"/>
              <w:bottom w:val="nil"/>
              <w:right w:val="nil"/>
            </w:tcBorders>
            <w:shd w:val="clear" w:color="000000" w:fill="FFFFFF"/>
            <w:noWrap/>
            <w:vAlign w:val="center"/>
            <w:hideMark/>
          </w:tcPr>
          <w:p w:rsidR="00E03780" w:rsidRPr="001B69BA" w:rsidRDefault="00E03780" w:rsidP="00FD54DD">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18</w:t>
            </w:r>
          </w:p>
        </w:tc>
        <w:tc>
          <w:tcPr>
            <w:tcW w:w="630" w:type="dxa"/>
            <w:tcBorders>
              <w:top w:val="nil"/>
              <w:left w:val="nil"/>
              <w:bottom w:val="nil"/>
              <w:right w:val="nil"/>
            </w:tcBorders>
            <w:shd w:val="clear" w:color="000000" w:fill="FFFFFF"/>
            <w:noWrap/>
            <w:vAlign w:val="center"/>
            <w:hideMark/>
          </w:tcPr>
          <w:p w:rsidR="00E03780" w:rsidRPr="001B69BA" w:rsidRDefault="00E03780" w:rsidP="00FD54DD">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34</w:t>
            </w:r>
          </w:p>
        </w:tc>
        <w:tc>
          <w:tcPr>
            <w:tcW w:w="720" w:type="dxa"/>
            <w:tcBorders>
              <w:top w:val="nil"/>
              <w:left w:val="nil"/>
              <w:bottom w:val="nil"/>
              <w:right w:val="nil"/>
            </w:tcBorders>
            <w:shd w:val="clear" w:color="000000" w:fill="FFFFFF"/>
            <w:noWrap/>
            <w:vAlign w:val="center"/>
            <w:hideMark/>
          </w:tcPr>
          <w:p w:rsidR="00E03780" w:rsidRPr="001B69BA" w:rsidRDefault="00E03780" w:rsidP="00FD54DD">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95</w:t>
            </w:r>
          </w:p>
        </w:tc>
        <w:tc>
          <w:tcPr>
            <w:tcW w:w="720" w:type="dxa"/>
            <w:tcBorders>
              <w:top w:val="nil"/>
              <w:left w:val="nil"/>
              <w:bottom w:val="nil"/>
              <w:right w:val="nil"/>
            </w:tcBorders>
            <w:shd w:val="clear" w:color="000000" w:fill="FFFFFF"/>
            <w:noWrap/>
            <w:vAlign w:val="center"/>
            <w:hideMark/>
          </w:tcPr>
          <w:p w:rsidR="00E03780" w:rsidRPr="001B69BA" w:rsidRDefault="00E03780" w:rsidP="00FD54DD">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316</w:t>
            </w:r>
          </w:p>
        </w:tc>
        <w:tc>
          <w:tcPr>
            <w:tcW w:w="672" w:type="dxa"/>
            <w:tcBorders>
              <w:top w:val="nil"/>
              <w:left w:val="nil"/>
              <w:bottom w:val="nil"/>
              <w:right w:val="nil"/>
            </w:tcBorders>
            <w:shd w:val="clear" w:color="000000" w:fill="FFFFFF"/>
            <w:noWrap/>
            <w:vAlign w:val="center"/>
            <w:hideMark/>
          </w:tcPr>
          <w:p w:rsidR="00E03780" w:rsidRPr="001B69BA" w:rsidRDefault="00E03780" w:rsidP="00FD54DD">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911</w:t>
            </w:r>
          </w:p>
        </w:tc>
        <w:tc>
          <w:tcPr>
            <w:tcW w:w="672" w:type="dxa"/>
            <w:tcBorders>
              <w:top w:val="nil"/>
              <w:left w:val="nil"/>
              <w:bottom w:val="nil"/>
              <w:right w:val="nil"/>
            </w:tcBorders>
            <w:shd w:val="clear" w:color="000000" w:fill="FFFFFF"/>
            <w:noWrap/>
            <w:vAlign w:val="center"/>
            <w:hideMark/>
          </w:tcPr>
          <w:p w:rsidR="00E03780" w:rsidRPr="001B69BA" w:rsidRDefault="00E03780" w:rsidP="00FD54DD">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328</w:t>
            </w:r>
          </w:p>
        </w:tc>
        <w:tc>
          <w:tcPr>
            <w:tcW w:w="672" w:type="dxa"/>
            <w:tcBorders>
              <w:top w:val="nil"/>
              <w:left w:val="nil"/>
              <w:bottom w:val="nil"/>
              <w:right w:val="nil"/>
            </w:tcBorders>
            <w:shd w:val="clear" w:color="000000" w:fill="FFFFFF"/>
            <w:noWrap/>
            <w:vAlign w:val="center"/>
            <w:hideMark/>
          </w:tcPr>
          <w:p w:rsidR="00E03780" w:rsidRPr="001B69BA" w:rsidRDefault="00E03780" w:rsidP="00FD54DD">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38</w:t>
            </w:r>
            <w:r w:rsidR="00FD54DD" w:rsidRPr="001B69BA">
              <w:rPr>
                <w:rFonts w:ascii="Times New Roman" w:hAnsi="Times New Roman"/>
                <w:color w:val="000000"/>
                <w:sz w:val="20"/>
                <w:szCs w:val="20"/>
              </w:rPr>
              <w:t>3</w:t>
            </w:r>
          </w:p>
        </w:tc>
        <w:tc>
          <w:tcPr>
            <w:tcW w:w="626"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 </w:t>
            </w:r>
          </w:p>
        </w:tc>
      </w:tr>
      <w:tr w:rsidR="00411A14" w:rsidRPr="00E03780" w:rsidTr="00411A14">
        <w:trPr>
          <w:trHeight w:val="300"/>
        </w:trPr>
        <w:tc>
          <w:tcPr>
            <w:tcW w:w="4695" w:type="dxa"/>
            <w:gridSpan w:val="2"/>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rPr>
                <w:rFonts w:ascii="Times New Roman" w:hAnsi="Times New Roman"/>
                <w:b/>
                <w:bCs/>
                <w:color w:val="000000"/>
                <w:sz w:val="20"/>
                <w:szCs w:val="20"/>
              </w:rPr>
            </w:pPr>
            <w:r w:rsidRPr="001B69BA">
              <w:rPr>
                <w:rFonts w:ascii="Times New Roman" w:hAnsi="Times New Roman"/>
                <w:b/>
                <w:bCs/>
                <w:color w:val="000000"/>
                <w:sz w:val="20"/>
                <w:szCs w:val="20"/>
              </w:rPr>
              <w:t>Special purpose vehicles</w:t>
            </w:r>
            <w:r w:rsidR="00FD54DD" w:rsidRPr="001B69BA">
              <w:rPr>
                <w:rFonts w:ascii="Times New Roman" w:hAnsi="Times New Roman"/>
                <w:b/>
                <w:bCs/>
                <w:color w:val="000000"/>
                <w:sz w:val="20"/>
                <w:szCs w:val="20"/>
              </w:rPr>
              <w:t xml:space="preserve"> (SPV)</w:t>
            </w:r>
          </w:p>
        </w:tc>
        <w:tc>
          <w:tcPr>
            <w:tcW w:w="630"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rPr>
                <w:rFonts w:ascii="Times New Roman" w:hAnsi="Times New Roman"/>
                <w:b/>
                <w:bCs/>
                <w:color w:val="000000"/>
                <w:sz w:val="20"/>
                <w:szCs w:val="20"/>
              </w:rPr>
            </w:pPr>
            <w:r w:rsidRPr="001B69BA">
              <w:rPr>
                <w:rFonts w:ascii="Times New Roman" w:hAnsi="Times New Roman"/>
                <w:b/>
                <w:bCs/>
                <w:color w:val="000000"/>
                <w:sz w:val="20"/>
                <w:szCs w:val="20"/>
              </w:rPr>
              <w:t> </w:t>
            </w:r>
          </w:p>
        </w:tc>
        <w:tc>
          <w:tcPr>
            <w:tcW w:w="720"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 </w:t>
            </w:r>
          </w:p>
        </w:tc>
        <w:tc>
          <w:tcPr>
            <w:tcW w:w="720"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 </w:t>
            </w:r>
          </w:p>
        </w:tc>
        <w:tc>
          <w:tcPr>
            <w:tcW w:w="672"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 </w:t>
            </w:r>
          </w:p>
        </w:tc>
        <w:tc>
          <w:tcPr>
            <w:tcW w:w="672"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 </w:t>
            </w:r>
          </w:p>
        </w:tc>
        <w:tc>
          <w:tcPr>
            <w:tcW w:w="672"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 </w:t>
            </w:r>
          </w:p>
        </w:tc>
        <w:tc>
          <w:tcPr>
            <w:tcW w:w="626"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 </w:t>
            </w:r>
          </w:p>
        </w:tc>
      </w:tr>
      <w:tr w:rsidR="00411A14" w:rsidRPr="00E03780" w:rsidTr="00411A14">
        <w:trPr>
          <w:trHeight w:val="300"/>
        </w:trPr>
        <w:tc>
          <w:tcPr>
            <w:tcW w:w="3975" w:type="dxa"/>
            <w:tcBorders>
              <w:top w:val="nil"/>
              <w:left w:val="nil"/>
              <w:bottom w:val="nil"/>
              <w:right w:val="nil"/>
            </w:tcBorders>
            <w:shd w:val="clear" w:color="000000" w:fill="FFFFFF"/>
            <w:noWrap/>
            <w:vAlign w:val="center"/>
            <w:hideMark/>
          </w:tcPr>
          <w:p w:rsidR="00E03780" w:rsidRPr="001B69BA" w:rsidRDefault="00FD54DD" w:rsidP="00FD54DD">
            <w:pPr>
              <w:spacing w:after="0" w:line="240" w:lineRule="auto"/>
              <w:rPr>
                <w:rFonts w:ascii="Times New Roman" w:hAnsi="Times New Roman"/>
                <w:color w:val="000000"/>
                <w:sz w:val="20"/>
                <w:szCs w:val="20"/>
              </w:rPr>
            </w:pPr>
            <w:r w:rsidRPr="001B69BA">
              <w:rPr>
                <w:rFonts w:ascii="Times New Roman" w:hAnsi="Times New Roman"/>
                <w:color w:val="000000"/>
                <w:sz w:val="20"/>
                <w:szCs w:val="20"/>
              </w:rPr>
              <w:t>Number of SPVs s</w:t>
            </w:r>
            <w:r w:rsidR="00E03780" w:rsidRPr="001B69BA">
              <w:rPr>
                <w:rFonts w:ascii="Times New Roman" w:hAnsi="Times New Roman"/>
                <w:color w:val="000000"/>
                <w:sz w:val="20"/>
                <w:szCs w:val="20"/>
              </w:rPr>
              <w:t xml:space="preserve">pecialized in real estate </w:t>
            </w:r>
          </w:p>
        </w:tc>
        <w:tc>
          <w:tcPr>
            <w:tcW w:w="720"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2</w:t>
            </w:r>
          </w:p>
        </w:tc>
        <w:tc>
          <w:tcPr>
            <w:tcW w:w="630"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4</w:t>
            </w:r>
          </w:p>
        </w:tc>
        <w:tc>
          <w:tcPr>
            <w:tcW w:w="720"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12</w:t>
            </w:r>
          </w:p>
        </w:tc>
        <w:tc>
          <w:tcPr>
            <w:tcW w:w="720"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34</w:t>
            </w:r>
          </w:p>
        </w:tc>
        <w:tc>
          <w:tcPr>
            <w:tcW w:w="672"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52</w:t>
            </w:r>
          </w:p>
        </w:tc>
        <w:tc>
          <w:tcPr>
            <w:tcW w:w="672"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61</w:t>
            </w:r>
          </w:p>
        </w:tc>
        <w:tc>
          <w:tcPr>
            <w:tcW w:w="672"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61</w:t>
            </w:r>
          </w:p>
        </w:tc>
        <w:tc>
          <w:tcPr>
            <w:tcW w:w="626"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 </w:t>
            </w:r>
          </w:p>
        </w:tc>
      </w:tr>
      <w:tr w:rsidR="00411A14" w:rsidRPr="00E03780" w:rsidTr="00411A14">
        <w:trPr>
          <w:trHeight w:val="300"/>
        </w:trPr>
        <w:tc>
          <w:tcPr>
            <w:tcW w:w="3975" w:type="dxa"/>
            <w:tcBorders>
              <w:top w:val="nil"/>
              <w:left w:val="nil"/>
              <w:bottom w:val="nil"/>
              <w:right w:val="nil"/>
            </w:tcBorders>
            <w:shd w:val="clear" w:color="000000" w:fill="FFFFFF"/>
            <w:noWrap/>
            <w:vAlign w:val="center"/>
            <w:hideMark/>
          </w:tcPr>
          <w:p w:rsidR="00E03780" w:rsidRPr="001B69BA" w:rsidRDefault="00FD54DD" w:rsidP="00E03780">
            <w:pPr>
              <w:spacing w:after="0" w:line="240" w:lineRule="auto"/>
              <w:rPr>
                <w:rFonts w:ascii="Times New Roman" w:hAnsi="Times New Roman"/>
                <w:color w:val="000000"/>
                <w:sz w:val="20"/>
                <w:szCs w:val="20"/>
              </w:rPr>
            </w:pPr>
            <w:r w:rsidRPr="001B69BA">
              <w:rPr>
                <w:rFonts w:ascii="Times New Roman" w:hAnsi="Times New Roman"/>
                <w:color w:val="000000"/>
                <w:sz w:val="20"/>
                <w:szCs w:val="20"/>
              </w:rPr>
              <w:t>A</w:t>
            </w:r>
            <w:r w:rsidR="00E03780" w:rsidRPr="001B69BA">
              <w:rPr>
                <w:rFonts w:ascii="Times New Roman" w:hAnsi="Times New Roman"/>
                <w:color w:val="000000"/>
                <w:sz w:val="20"/>
                <w:szCs w:val="20"/>
              </w:rPr>
              <w:t xml:space="preserve">ssets </w:t>
            </w:r>
            <w:r w:rsidRPr="001B69BA">
              <w:rPr>
                <w:rFonts w:ascii="Times New Roman" w:hAnsi="Times New Roman"/>
                <w:color w:val="000000"/>
                <w:sz w:val="20"/>
                <w:szCs w:val="20"/>
              </w:rPr>
              <w:t>of SPVs specialized in real estate</w:t>
            </w:r>
          </w:p>
        </w:tc>
        <w:tc>
          <w:tcPr>
            <w:tcW w:w="720"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 </w:t>
            </w:r>
          </w:p>
        </w:tc>
        <w:tc>
          <w:tcPr>
            <w:tcW w:w="630"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 </w:t>
            </w:r>
          </w:p>
        </w:tc>
        <w:tc>
          <w:tcPr>
            <w:tcW w:w="720" w:type="dxa"/>
            <w:tcBorders>
              <w:top w:val="nil"/>
              <w:left w:val="nil"/>
              <w:bottom w:val="nil"/>
              <w:right w:val="nil"/>
            </w:tcBorders>
            <w:shd w:val="clear" w:color="000000" w:fill="FFFFFF"/>
            <w:noWrap/>
            <w:vAlign w:val="center"/>
            <w:hideMark/>
          </w:tcPr>
          <w:p w:rsidR="00E03780" w:rsidRPr="001B69BA" w:rsidRDefault="00E03780" w:rsidP="00FD54DD">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129</w:t>
            </w:r>
          </w:p>
        </w:tc>
        <w:tc>
          <w:tcPr>
            <w:tcW w:w="720" w:type="dxa"/>
            <w:tcBorders>
              <w:top w:val="nil"/>
              <w:left w:val="nil"/>
              <w:bottom w:val="nil"/>
              <w:right w:val="nil"/>
            </w:tcBorders>
            <w:shd w:val="clear" w:color="000000" w:fill="FFFFFF"/>
            <w:noWrap/>
            <w:vAlign w:val="center"/>
            <w:hideMark/>
          </w:tcPr>
          <w:p w:rsidR="00E03780" w:rsidRPr="001B69BA" w:rsidRDefault="00E03780" w:rsidP="00FD54DD">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54</w:t>
            </w:r>
            <w:r w:rsidR="00FD54DD" w:rsidRPr="001B69BA">
              <w:rPr>
                <w:rFonts w:ascii="Times New Roman" w:hAnsi="Times New Roman"/>
                <w:color w:val="000000"/>
                <w:sz w:val="20"/>
                <w:szCs w:val="20"/>
              </w:rPr>
              <w:t>2</w:t>
            </w:r>
          </w:p>
        </w:tc>
        <w:tc>
          <w:tcPr>
            <w:tcW w:w="672" w:type="dxa"/>
            <w:tcBorders>
              <w:top w:val="nil"/>
              <w:left w:val="nil"/>
              <w:bottom w:val="nil"/>
              <w:right w:val="nil"/>
            </w:tcBorders>
            <w:shd w:val="clear" w:color="000000" w:fill="FFFFFF"/>
            <w:noWrap/>
            <w:vAlign w:val="center"/>
            <w:hideMark/>
          </w:tcPr>
          <w:p w:rsidR="00E03780" w:rsidRPr="001B69BA" w:rsidRDefault="00E03780" w:rsidP="00FD54DD">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1</w:t>
            </w:r>
            <w:r w:rsidR="00FD54DD" w:rsidRPr="001B69BA">
              <w:rPr>
                <w:rFonts w:ascii="Times New Roman" w:hAnsi="Times New Roman"/>
                <w:color w:val="000000"/>
                <w:sz w:val="20"/>
                <w:szCs w:val="20"/>
              </w:rPr>
              <w:t>,</w:t>
            </w:r>
            <w:r w:rsidRPr="001B69BA">
              <w:rPr>
                <w:rFonts w:ascii="Times New Roman" w:hAnsi="Times New Roman"/>
                <w:color w:val="000000"/>
                <w:sz w:val="20"/>
                <w:szCs w:val="20"/>
              </w:rPr>
              <w:t>283</w:t>
            </w:r>
          </w:p>
        </w:tc>
        <w:tc>
          <w:tcPr>
            <w:tcW w:w="672" w:type="dxa"/>
            <w:tcBorders>
              <w:top w:val="nil"/>
              <w:left w:val="nil"/>
              <w:bottom w:val="nil"/>
              <w:right w:val="nil"/>
            </w:tcBorders>
            <w:shd w:val="clear" w:color="000000" w:fill="FFFFFF"/>
            <w:noWrap/>
            <w:vAlign w:val="center"/>
            <w:hideMark/>
          </w:tcPr>
          <w:p w:rsidR="00E03780" w:rsidRPr="001B69BA" w:rsidRDefault="00E03780" w:rsidP="00FD54DD">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1</w:t>
            </w:r>
            <w:r w:rsidR="00FD54DD" w:rsidRPr="001B69BA">
              <w:rPr>
                <w:rFonts w:ascii="Times New Roman" w:hAnsi="Times New Roman"/>
                <w:color w:val="000000"/>
                <w:sz w:val="20"/>
                <w:szCs w:val="20"/>
              </w:rPr>
              <w:t>,</w:t>
            </w:r>
            <w:r w:rsidRPr="001B69BA">
              <w:rPr>
                <w:rFonts w:ascii="Times New Roman" w:hAnsi="Times New Roman"/>
                <w:color w:val="000000"/>
                <w:sz w:val="20"/>
                <w:szCs w:val="20"/>
              </w:rPr>
              <w:t>47</w:t>
            </w:r>
            <w:r w:rsidR="00FD54DD" w:rsidRPr="001B69BA">
              <w:rPr>
                <w:rFonts w:ascii="Times New Roman" w:hAnsi="Times New Roman"/>
                <w:color w:val="000000"/>
                <w:sz w:val="20"/>
                <w:szCs w:val="20"/>
              </w:rPr>
              <w:t>8</w:t>
            </w:r>
          </w:p>
        </w:tc>
        <w:tc>
          <w:tcPr>
            <w:tcW w:w="672" w:type="dxa"/>
            <w:tcBorders>
              <w:top w:val="nil"/>
              <w:left w:val="nil"/>
              <w:bottom w:val="nil"/>
              <w:right w:val="nil"/>
            </w:tcBorders>
            <w:shd w:val="clear" w:color="000000" w:fill="FFFFFF"/>
            <w:noWrap/>
            <w:vAlign w:val="center"/>
            <w:hideMark/>
          </w:tcPr>
          <w:p w:rsidR="00E03780" w:rsidRPr="001B69BA" w:rsidRDefault="00E03780" w:rsidP="00FD54DD">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1</w:t>
            </w:r>
            <w:r w:rsidR="00FD54DD" w:rsidRPr="001B69BA">
              <w:rPr>
                <w:rFonts w:ascii="Times New Roman" w:hAnsi="Times New Roman"/>
                <w:color w:val="000000"/>
                <w:sz w:val="20"/>
                <w:szCs w:val="20"/>
              </w:rPr>
              <w:t>,</w:t>
            </w:r>
            <w:r w:rsidRPr="001B69BA">
              <w:rPr>
                <w:rFonts w:ascii="Times New Roman" w:hAnsi="Times New Roman"/>
                <w:color w:val="000000"/>
                <w:sz w:val="20"/>
                <w:szCs w:val="20"/>
              </w:rPr>
              <w:t>482</w:t>
            </w:r>
          </w:p>
        </w:tc>
        <w:tc>
          <w:tcPr>
            <w:tcW w:w="626"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 </w:t>
            </w:r>
          </w:p>
        </w:tc>
      </w:tr>
      <w:tr w:rsidR="00411A14" w:rsidRPr="00E03780" w:rsidTr="00411A14">
        <w:trPr>
          <w:trHeight w:val="300"/>
        </w:trPr>
        <w:tc>
          <w:tcPr>
            <w:tcW w:w="3975" w:type="dxa"/>
            <w:tcBorders>
              <w:top w:val="nil"/>
              <w:left w:val="nil"/>
              <w:bottom w:val="nil"/>
              <w:right w:val="nil"/>
            </w:tcBorders>
            <w:shd w:val="clear" w:color="000000" w:fill="FFFFFF"/>
            <w:noWrap/>
            <w:vAlign w:val="center"/>
            <w:hideMark/>
          </w:tcPr>
          <w:p w:rsidR="00E03780" w:rsidRPr="001B69BA" w:rsidRDefault="00FD54DD" w:rsidP="00E03780">
            <w:pPr>
              <w:spacing w:after="0" w:line="240" w:lineRule="auto"/>
              <w:rPr>
                <w:rFonts w:ascii="Times New Roman" w:hAnsi="Times New Roman"/>
                <w:color w:val="000000"/>
                <w:sz w:val="20"/>
                <w:szCs w:val="20"/>
              </w:rPr>
            </w:pPr>
            <w:r w:rsidRPr="001B69BA">
              <w:rPr>
                <w:rFonts w:ascii="Times New Roman" w:hAnsi="Times New Roman"/>
                <w:color w:val="000000"/>
                <w:sz w:val="20"/>
                <w:szCs w:val="20"/>
              </w:rPr>
              <w:t xml:space="preserve">Number of </w:t>
            </w:r>
            <w:r w:rsidR="00E03780" w:rsidRPr="001B69BA">
              <w:rPr>
                <w:rFonts w:ascii="Times New Roman" w:hAnsi="Times New Roman"/>
                <w:color w:val="000000"/>
                <w:sz w:val="20"/>
                <w:szCs w:val="20"/>
              </w:rPr>
              <w:t>S</w:t>
            </w:r>
            <w:r w:rsidR="00D63703" w:rsidRPr="001B69BA">
              <w:rPr>
                <w:rFonts w:ascii="Times New Roman" w:hAnsi="Times New Roman"/>
                <w:color w:val="000000"/>
                <w:sz w:val="20"/>
                <w:szCs w:val="20"/>
              </w:rPr>
              <w:t>PVs s</w:t>
            </w:r>
            <w:r w:rsidR="00E03780" w:rsidRPr="001B69BA">
              <w:rPr>
                <w:rFonts w:ascii="Times New Roman" w:hAnsi="Times New Roman"/>
                <w:color w:val="000000"/>
                <w:sz w:val="20"/>
                <w:szCs w:val="20"/>
              </w:rPr>
              <w:t xml:space="preserve">pecialized in receivables </w:t>
            </w:r>
          </w:p>
        </w:tc>
        <w:tc>
          <w:tcPr>
            <w:tcW w:w="720"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1</w:t>
            </w:r>
          </w:p>
        </w:tc>
        <w:tc>
          <w:tcPr>
            <w:tcW w:w="630"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1</w:t>
            </w:r>
          </w:p>
        </w:tc>
        <w:tc>
          <w:tcPr>
            <w:tcW w:w="720"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1</w:t>
            </w:r>
          </w:p>
        </w:tc>
        <w:tc>
          <w:tcPr>
            <w:tcW w:w="720"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6</w:t>
            </w:r>
          </w:p>
        </w:tc>
        <w:tc>
          <w:tcPr>
            <w:tcW w:w="672"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9</w:t>
            </w:r>
          </w:p>
        </w:tc>
        <w:tc>
          <w:tcPr>
            <w:tcW w:w="672"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8</w:t>
            </w:r>
          </w:p>
        </w:tc>
        <w:tc>
          <w:tcPr>
            <w:tcW w:w="672"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7</w:t>
            </w:r>
          </w:p>
        </w:tc>
        <w:tc>
          <w:tcPr>
            <w:tcW w:w="626"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 </w:t>
            </w:r>
          </w:p>
        </w:tc>
      </w:tr>
      <w:tr w:rsidR="00411A14" w:rsidRPr="00E03780" w:rsidTr="00411A14">
        <w:trPr>
          <w:trHeight w:val="300"/>
        </w:trPr>
        <w:tc>
          <w:tcPr>
            <w:tcW w:w="3975" w:type="dxa"/>
            <w:tcBorders>
              <w:top w:val="nil"/>
              <w:left w:val="nil"/>
              <w:bottom w:val="nil"/>
              <w:right w:val="nil"/>
            </w:tcBorders>
            <w:shd w:val="clear" w:color="000000" w:fill="FFFFFF"/>
            <w:noWrap/>
            <w:vAlign w:val="center"/>
            <w:hideMark/>
          </w:tcPr>
          <w:p w:rsidR="00E03780" w:rsidRPr="001B69BA" w:rsidRDefault="00FD54DD" w:rsidP="00E03780">
            <w:pPr>
              <w:spacing w:after="0" w:line="240" w:lineRule="auto"/>
              <w:rPr>
                <w:rFonts w:ascii="Times New Roman" w:hAnsi="Times New Roman"/>
                <w:color w:val="000000"/>
                <w:sz w:val="20"/>
                <w:szCs w:val="20"/>
              </w:rPr>
            </w:pPr>
            <w:r w:rsidRPr="001B69BA">
              <w:rPr>
                <w:rFonts w:ascii="Times New Roman" w:hAnsi="Times New Roman"/>
                <w:color w:val="000000"/>
                <w:sz w:val="20"/>
                <w:szCs w:val="20"/>
              </w:rPr>
              <w:t>Assets of SPVs specialized in receivables</w:t>
            </w:r>
            <w:r w:rsidR="00E03780" w:rsidRPr="001B69BA">
              <w:rPr>
                <w:rFonts w:ascii="Times New Roman" w:hAnsi="Times New Roman"/>
                <w:color w:val="000000"/>
                <w:sz w:val="20"/>
                <w:szCs w:val="20"/>
              </w:rPr>
              <w:t xml:space="preserve"> </w:t>
            </w:r>
          </w:p>
        </w:tc>
        <w:tc>
          <w:tcPr>
            <w:tcW w:w="720"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 </w:t>
            </w:r>
          </w:p>
        </w:tc>
        <w:tc>
          <w:tcPr>
            <w:tcW w:w="630" w:type="dxa"/>
            <w:tcBorders>
              <w:top w:val="nil"/>
              <w:left w:val="nil"/>
              <w:bottom w:val="nil"/>
              <w:right w:val="nil"/>
            </w:tcBorders>
            <w:shd w:val="clear" w:color="000000" w:fill="FFFFFF"/>
            <w:noWrap/>
            <w:vAlign w:val="bottom"/>
            <w:hideMark/>
          </w:tcPr>
          <w:p w:rsidR="00E03780" w:rsidRPr="001B69BA" w:rsidRDefault="00E03780" w:rsidP="00E03780">
            <w:pPr>
              <w:spacing w:after="0" w:line="240" w:lineRule="auto"/>
              <w:rPr>
                <w:rFonts w:ascii="Times New Roman" w:hAnsi="Times New Roman"/>
                <w:color w:val="000000"/>
                <w:sz w:val="20"/>
                <w:szCs w:val="20"/>
              </w:rPr>
            </w:pPr>
            <w:r w:rsidRPr="001B69BA">
              <w:rPr>
                <w:rFonts w:ascii="Times New Roman" w:hAnsi="Times New Roman"/>
                <w:color w:val="000000"/>
                <w:sz w:val="20"/>
                <w:szCs w:val="20"/>
              </w:rPr>
              <w:t> </w:t>
            </w:r>
          </w:p>
        </w:tc>
        <w:tc>
          <w:tcPr>
            <w:tcW w:w="720" w:type="dxa"/>
            <w:tcBorders>
              <w:top w:val="nil"/>
              <w:left w:val="nil"/>
              <w:bottom w:val="nil"/>
              <w:right w:val="nil"/>
            </w:tcBorders>
            <w:shd w:val="clear" w:color="000000" w:fill="FFFFFF"/>
            <w:noWrap/>
            <w:vAlign w:val="center"/>
            <w:hideMark/>
          </w:tcPr>
          <w:p w:rsidR="00E03780" w:rsidRPr="001B69BA" w:rsidRDefault="00E03780" w:rsidP="00FD54DD">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5</w:t>
            </w:r>
          </w:p>
        </w:tc>
        <w:tc>
          <w:tcPr>
            <w:tcW w:w="720" w:type="dxa"/>
            <w:tcBorders>
              <w:top w:val="nil"/>
              <w:left w:val="nil"/>
              <w:bottom w:val="nil"/>
              <w:right w:val="nil"/>
            </w:tcBorders>
            <w:shd w:val="clear" w:color="000000" w:fill="FFFFFF"/>
            <w:noWrap/>
            <w:vAlign w:val="center"/>
            <w:hideMark/>
          </w:tcPr>
          <w:p w:rsidR="00E03780" w:rsidRPr="001B69BA" w:rsidRDefault="00E03780" w:rsidP="00FD54DD">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97</w:t>
            </w:r>
          </w:p>
        </w:tc>
        <w:tc>
          <w:tcPr>
            <w:tcW w:w="672" w:type="dxa"/>
            <w:tcBorders>
              <w:top w:val="nil"/>
              <w:left w:val="nil"/>
              <w:bottom w:val="nil"/>
              <w:right w:val="nil"/>
            </w:tcBorders>
            <w:shd w:val="clear" w:color="000000" w:fill="FFFFFF"/>
            <w:noWrap/>
            <w:vAlign w:val="center"/>
            <w:hideMark/>
          </w:tcPr>
          <w:p w:rsidR="00E03780" w:rsidRPr="001B69BA" w:rsidRDefault="00E03780" w:rsidP="00FD54DD">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8</w:t>
            </w:r>
            <w:r w:rsidR="00FD54DD" w:rsidRPr="001B69BA">
              <w:rPr>
                <w:rFonts w:ascii="Times New Roman" w:hAnsi="Times New Roman"/>
                <w:color w:val="000000"/>
                <w:sz w:val="20"/>
                <w:szCs w:val="20"/>
              </w:rPr>
              <w:t>9</w:t>
            </w:r>
          </w:p>
        </w:tc>
        <w:tc>
          <w:tcPr>
            <w:tcW w:w="672"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82</w:t>
            </w:r>
          </w:p>
        </w:tc>
        <w:tc>
          <w:tcPr>
            <w:tcW w:w="672"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98</w:t>
            </w:r>
          </w:p>
        </w:tc>
        <w:tc>
          <w:tcPr>
            <w:tcW w:w="626"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 </w:t>
            </w:r>
          </w:p>
        </w:tc>
      </w:tr>
      <w:tr w:rsidR="00411A14" w:rsidRPr="00E03780" w:rsidTr="00411A14">
        <w:trPr>
          <w:trHeight w:val="300"/>
        </w:trPr>
        <w:tc>
          <w:tcPr>
            <w:tcW w:w="3975" w:type="dxa"/>
            <w:tcBorders>
              <w:top w:val="nil"/>
              <w:left w:val="nil"/>
              <w:bottom w:val="nil"/>
              <w:right w:val="nil"/>
            </w:tcBorders>
            <w:shd w:val="clear" w:color="000000" w:fill="FFFFFF"/>
            <w:noWrap/>
            <w:vAlign w:val="center"/>
            <w:hideMark/>
          </w:tcPr>
          <w:p w:rsidR="00E03780" w:rsidRPr="001B69BA" w:rsidRDefault="00E03780" w:rsidP="00FD54DD">
            <w:pPr>
              <w:spacing w:after="0" w:line="240" w:lineRule="auto"/>
              <w:rPr>
                <w:rFonts w:ascii="Times New Roman" w:hAnsi="Times New Roman"/>
                <w:b/>
                <w:color w:val="000000"/>
                <w:sz w:val="20"/>
                <w:szCs w:val="20"/>
              </w:rPr>
            </w:pPr>
            <w:r w:rsidRPr="001B69BA">
              <w:rPr>
                <w:rFonts w:ascii="Times New Roman" w:hAnsi="Times New Roman"/>
                <w:b/>
                <w:color w:val="000000"/>
                <w:sz w:val="20"/>
                <w:szCs w:val="20"/>
              </w:rPr>
              <w:t>B</w:t>
            </w:r>
            <w:r w:rsidR="00FD54DD" w:rsidRPr="001B69BA">
              <w:rPr>
                <w:rFonts w:ascii="Times New Roman" w:hAnsi="Times New Roman"/>
                <w:b/>
                <w:color w:val="000000"/>
                <w:sz w:val="20"/>
                <w:szCs w:val="20"/>
              </w:rPr>
              <w:t>ulgarian Stock Exchange</w:t>
            </w:r>
          </w:p>
        </w:tc>
        <w:tc>
          <w:tcPr>
            <w:tcW w:w="720"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 </w:t>
            </w:r>
          </w:p>
        </w:tc>
        <w:tc>
          <w:tcPr>
            <w:tcW w:w="630" w:type="dxa"/>
            <w:tcBorders>
              <w:top w:val="nil"/>
              <w:left w:val="nil"/>
              <w:bottom w:val="nil"/>
              <w:right w:val="nil"/>
            </w:tcBorders>
            <w:shd w:val="clear" w:color="000000" w:fill="FFFFFF"/>
            <w:noWrap/>
            <w:vAlign w:val="bottom"/>
            <w:hideMark/>
          </w:tcPr>
          <w:p w:rsidR="00E03780" w:rsidRPr="001B69BA" w:rsidRDefault="00E03780" w:rsidP="00E03780">
            <w:pPr>
              <w:spacing w:after="0" w:line="240" w:lineRule="auto"/>
              <w:rPr>
                <w:rFonts w:ascii="Times New Roman" w:hAnsi="Times New Roman"/>
                <w:color w:val="000000"/>
                <w:sz w:val="20"/>
                <w:szCs w:val="20"/>
              </w:rPr>
            </w:pPr>
            <w:r w:rsidRPr="001B69BA">
              <w:rPr>
                <w:rFonts w:ascii="Times New Roman" w:hAnsi="Times New Roman"/>
                <w:color w:val="000000"/>
                <w:sz w:val="20"/>
                <w:szCs w:val="20"/>
              </w:rPr>
              <w:t> </w:t>
            </w:r>
          </w:p>
        </w:tc>
        <w:tc>
          <w:tcPr>
            <w:tcW w:w="720"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 </w:t>
            </w:r>
          </w:p>
        </w:tc>
        <w:tc>
          <w:tcPr>
            <w:tcW w:w="720"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 </w:t>
            </w:r>
          </w:p>
        </w:tc>
        <w:tc>
          <w:tcPr>
            <w:tcW w:w="672"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 </w:t>
            </w:r>
          </w:p>
        </w:tc>
        <w:tc>
          <w:tcPr>
            <w:tcW w:w="672"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 </w:t>
            </w:r>
          </w:p>
        </w:tc>
        <w:tc>
          <w:tcPr>
            <w:tcW w:w="672"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 </w:t>
            </w:r>
          </w:p>
        </w:tc>
        <w:tc>
          <w:tcPr>
            <w:tcW w:w="626"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 </w:t>
            </w:r>
          </w:p>
        </w:tc>
      </w:tr>
      <w:tr w:rsidR="00411A14" w:rsidRPr="00E03780" w:rsidTr="00411A14">
        <w:trPr>
          <w:trHeight w:val="300"/>
        </w:trPr>
        <w:tc>
          <w:tcPr>
            <w:tcW w:w="3975" w:type="dxa"/>
            <w:tcBorders>
              <w:top w:val="nil"/>
              <w:left w:val="nil"/>
              <w:bottom w:val="nil"/>
              <w:right w:val="nil"/>
            </w:tcBorders>
            <w:shd w:val="clear" w:color="000000" w:fill="FFFFFF"/>
            <w:noWrap/>
            <w:vAlign w:val="center"/>
            <w:hideMark/>
          </w:tcPr>
          <w:p w:rsidR="00E03780" w:rsidRPr="001B69BA" w:rsidRDefault="00FD54DD" w:rsidP="00FD54DD">
            <w:pPr>
              <w:spacing w:after="0" w:line="240" w:lineRule="auto"/>
              <w:rPr>
                <w:rFonts w:ascii="Times New Roman" w:hAnsi="Times New Roman"/>
                <w:bCs/>
                <w:color w:val="000000"/>
                <w:sz w:val="20"/>
                <w:szCs w:val="20"/>
              </w:rPr>
            </w:pPr>
            <w:r w:rsidRPr="001B69BA">
              <w:rPr>
                <w:rFonts w:ascii="Times New Roman" w:hAnsi="Times New Roman"/>
                <w:bCs/>
                <w:color w:val="000000"/>
                <w:sz w:val="20"/>
                <w:szCs w:val="20"/>
              </w:rPr>
              <w:t>Number of listed c</w:t>
            </w:r>
            <w:r w:rsidR="00E03780" w:rsidRPr="001B69BA">
              <w:rPr>
                <w:rFonts w:ascii="Times New Roman" w:hAnsi="Times New Roman"/>
                <w:bCs/>
                <w:color w:val="000000"/>
                <w:sz w:val="20"/>
                <w:szCs w:val="20"/>
              </w:rPr>
              <w:t>ompanies</w:t>
            </w:r>
          </w:p>
        </w:tc>
        <w:tc>
          <w:tcPr>
            <w:tcW w:w="720"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338</w:t>
            </w:r>
          </w:p>
        </w:tc>
        <w:tc>
          <w:tcPr>
            <w:tcW w:w="630"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402</w:t>
            </w:r>
          </w:p>
        </w:tc>
        <w:tc>
          <w:tcPr>
            <w:tcW w:w="720"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343</w:t>
            </w:r>
          </w:p>
        </w:tc>
        <w:tc>
          <w:tcPr>
            <w:tcW w:w="720"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353</w:t>
            </w:r>
          </w:p>
        </w:tc>
        <w:tc>
          <w:tcPr>
            <w:tcW w:w="672"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394</w:t>
            </w:r>
          </w:p>
        </w:tc>
        <w:tc>
          <w:tcPr>
            <w:tcW w:w="672"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395</w:t>
            </w:r>
          </w:p>
        </w:tc>
        <w:tc>
          <w:tcPr>
            <w:tcW w:w="672"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395</w:t>
            </w:r>
          </w:p>
        </w:tc>
        <w:tc>
          <w:tcPr>
            <w:tcW w:w="626"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330</w:t>
            </w:r>
          </w:p>
        </w:tc>
      </w:tr>
      <w:tr w:rsidR="00411A14" w:rsidRPr="00E03780" w:rsidTr="00411A14">
        <w:trPr>
          <w:trHeight w:val="300"/>
        </w:trPr>
        <w:tc>
          <w:tcPr>
            <w:tcW w:w="3975"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rPr>
                <w:rFonts w:ascii="Times New Roman" w:hAnsi="Times New Roman"/>
                <w:bCs/>
                <w:color w:val="000000"/>
                <w:sz w:val="20"/>
                <w:szCs w:val="20"/>
              </w:rPr>
            </w:pPr>
            <w:r w:rsidRPr="001B69BA">
              <w:rPr>
                <w:rFonts w:ascii="Times New Roman" w:hAnsi="Times New Roman"/>
                <w:bCs/>
                <w:color w:val="000000"/>
                <w:sz w:val="20"/>
                <w:szCs w:val="20"/>
              </w:rPr>
              <w:t xml:space="preserve">Total annual turnover </w:t>
            </w:r>
          </w:p>
        </w:tc>
        <w:tc>
          <w:tcPr>
            <w:tcW w:w="720"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653</w:t>
            </w:r>
          </w:p>
        </w:tc>
        <w:tc>
          <w:tcPr>
            <w:tcW w:w="630" w:type="dxa"/>
            <w:tcBorders>
              <w:top w:val="nil"/>
              <w:left w:val="nil"/>
              <w:bottom w:val="nil"/>
              <w:right w:val="nil"/>
            </w:tcBorders>
            <w:shd w:val="clear" w:color="000000" w:fill="FFFFFF"/>
            <w:noWrap/>
            <w:vAlign w:val="center"/>
            <w:hideMark/>
          </w:tcPr>
          <w:p w:rsidR="00E03780" w:rsidRPr="001B69BA" w:rsidRDefault="00E03780" w:rsidP="00FD54DD">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141</w:t>
            </w:r>
          </w:p>
        </w:tc>
        <w:tc>
          <w:tcPr>
            <w:tcW w:w="720" w:type="dxa"/>
            <w:tcBorders>
              <w:top w:val="nil"/>
              <w:left w:val="nil"/>
              <w:bottom w:val="nil"/>
              <w:right w:val="nil"/>
            </w:tcBorders>
            <w:shd w:val="clear" w:color="000000" w:fill="FFFFFF"/>
            <w:noWrap/>
            <w:vAlign w:val="center"/>
            <w:hideMark/>
          </w:tcPr>
          <w:p w:rsidR="00E03780" w:rsidRPr="001B69BA" w:rsidRDefault="00E03780" w:rsidP="00FD54DD">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3</w:t>
            </w:r>
            <w:r w:rsidR="00FD54DD" w:rsidRPr="001B69BA">
              <w:rPr>
                <w:rFonts w:ascii="Times New Roman" w:hAnsi="Times New Roman"/>
                <w:color w:val="000000"/>
                <w:sz w:val="20"/>
                <w:szCs w:val="20"/>
              </w:rPr>
              <w:t>,</w:t>
            </w:r>
            <w:r w:rsidRPr="001B69BA">
              <w:rPr>
                <w:rFonts w:ascii="Times New Roman" w:hAnsi="Times New Roman"/>
                <w:color w:val="000000"/>
                <w:sz w:val="20"/>
                <w:szCs w:val="20"/>
              </w:rPr>
              <w:t>183</w:t>
            </w:r>
          </w:p>
        </w:tc>
        <w:tc>
          <w:tcPr>
            <w:tcW w:w="720" w:type="dxa"/>
            <w:tcBorders>
              <w:top w:val="nil"/>
              <w:left w:val="nil"/>
              <w:bottom w:val="nil"/>
              <w:right w:val="nil"/>
            </w:tcBorders>
            <w:shd w:val="clear" w:color="000000" w:fill="FFFFFF"/>
            <w:noWrap/>
            <w:vAlign w:val="center"/>
            <w:hideMark/>
          </w:tcPr>
          <w:p w:rsidR="00E03780" w:rsidRPr="001B69BA" w:rsidRDefault="00E03780" w:rsidP="00FD54DD">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3</w:t>
            </w:r>
            <w:r w:rsidR="00FD54DD" w:rsidRPr="001B69BA">
              <w:rPr>
                <w:rFonts w:ascii="Times New Roman" w:hAnsi="Times New Roman"/>
                <w:color w:val="000000"/>
                <w:sz w:val="20"/>
                <w:szCs w:val="20"/>
              </w:rPr>
              <w:t>,</w:t>
            </w:r>
            <w:r w:rsidRPr="001B69BA">
              <w:rPr>
                <w:rFonts w:ascii="Times New Roman" w:hAnsi="Times New Roman"/>
                <w:color w:val="000000"/>
                <w:sz w:val="20"/>
                <w:szCs w:val="20"/>
              </w:rPr>
              <w:t>384</w:t>
            </w:r>
          </w:p>
        </w:tc>
        <w:tc>
          <w:tcPr>
            <w:tcW w:w="672" w:type="dxa"/>
            <w:tcBorders>
              <w:top w:val="nil"/>
              <w:left w:val="nil"/>
              <w:bottom w:val="nil"/>
              <w:right w:val="nil"/>
            </w:tcBorders>
            <w:shd w:val="clear" w:color="000000" w:fill="FFFFFF"/>
            <w:noWrap/>
            <w:vAlign w:val="center"/>
            <w:hideMark/>
          </w:tcPr>
          <w:p w:rsidR="00E03780" w:rsidRPr="001B69BA" w:rsidRDefault="00E03780" w:rsidP="00FD54DD">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9</w:t>
            </w:r>
            <w:r w:rsidR="00FD54DD" w:rsidRPr="001B69BA">
              <w:rPr>
                <w:rFonts w:ascii="Times New Roman" w:hAnsi="Times New Roman"/>
                <w:color w:val="000000"/>
                <w:sz w:val="20"/>
                <w:szCs w:val="20"/>
              </w:rPr>
              <w:t>,</w:t>
            </w:r>
            <w:r w:rsidRPr="001B69BA">
              <w:rPr>
                <w:rFonts w:ascii="Times New Roman" w:hAnsi="Times New Roman"/>
                <w:color w:val="000000"/>
                <w:sz w:val="20"/>
                <w:szCs w:val="20"/>
              </w:rPr>
              <w:t>959</w:t>
            </w:r>
          </w:p>
        </w:tc>
        <w:tc>
          <w:tcPr>
            <w:tcW w:w="672" w:type="dxa"/>
            <w:tcBorders>
              <w:top w:val="nil"/>
              <w:left w:val="nil"/>
              <w:bottom w:val="nil"/>
              <w:right w:val="nil"/>
            </w:tcBorders>
            <w:shd w:val="clear" w:color="000000" w:fill="FFFFFF"/>
            <w:noWrap/>
            <w:vAlign w:val="center"/>
            <w:hideMark/>
          </w:tcPr>
          <w:p w:rsidR="00E03780" w:rsidRPr="001B69BA" w:rsidRDefault="00E03780" w:rsidP="00FD54DD">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2</w:t>
            </w:r>
            <w:r w:rsidR="00FD54DD" w:rsidRPr="001B69BA">
              <w:rPr>
                <w:rFonts w:ascii="Times New Roman" w:hAnsi="Times New Roman"/>
                <w:color w:val="000000"/>
                <w:sz w:val="20"/>
                <w:szCs w:val="20"/>
              </w:rPr>
              <w:t>,</w:t>
            </w:r>
            <w:r w:rsidRPr="001B69BA">
              <w:rPr>
                <w:rFonts w:ascii="Times New Roman" w:hAnsi="Times New Roman"/>
                <w:color w:val="000000"/>
                <w:sz w:val="20"/>
                <w:szCs w:val="20"/>
              </w:rPr>
              <w:t>578</w:t>
            </w:r>
          </w:p>
        </w:tc>
        <w:tc>
          <w:tcPr>
            <w:tcW w:w="672" w:type="dxa"/>
            <w:tcBorders>
              <w:top w:val="nil"/>
              <w:left w:val="nil"/>
              <w:bottom w:val="nil"/>
              <w:right w:val="nil"/>
            </w:tcBorders>
            <w:shd w:val="clear" w:color="000000" w:fill="FFFFFF"/>
            <w:noWrap/>
            <w:vAlign w:val="center"/>
            <w:hideMark/>
          </w:tcPr>
          <w:p w:rsidR="00E03780" w:rsidRPr="001B69BA" w:rsidRDefault="00E03780" w:rsidP="00FD54DD">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1</w:t>
            </w:r>
            <w:r w:rsidR="00FD54DD" w:rsidRPr="001B69BA">
              <w:rPr>
                <w:rFonts w:ascii="Times New Roman" w:hAnsi="Times New Roman"/>
                <w:color w:val="000000"/>
                <w:sz w:val="20"/>
                <w:szCs w:val="20"/>
              </w:rPr>
              <w:t>,</w:t>
            </w:r>
            <w:r w:rsidRPr="001B69BA">
              <w:rPr>
                <w:rFonts w:ascii="Times New Roman" w:hAnsi="Times New Roman"/>
                <w:color w:val="000000"/>
                <w:sz w:val="20"/>
                <w:szCs w:val="20"/>
              </w:rPr>
              <w:t>314</w:t>
            </w:r>
          </w:p>
        </w:tc>
        <w:tc>
          <w:tcPr>
            <w:tcW w:w="626" w:type="dxa"/>
            <w:tcBorders>
              <w:top w:val="nil"/>
              <w:left w:val="nil"/>
              <w:bottom w:val="nil"/>
              <w:right w:val="nil"/>
            </w:tcBorders>
            <w:shd w:val="clear" w:color="000000" w:fill="FFFFFF"/>
            <w:noWrap/>
            <w:vAlign w:val="center"/>
            <w:hideMark/>
          </w:tcPr>
          <w:p w:rsidR="00E03780" w:rsidRPr="001B69BA" w:rsidRDefault="00E03780" w:rsidP="00FD54DD">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775</w:t>
            </w:r>
          </w:p>
        </w:tc>
      </w:tr>
      <w:tr w:rsidR="00411A14" w:rsidRPr="00E03780" w:rsidTr="00411A14">
        <w:trPr>
          <w:trHeight w:val="135"/>
        </w:trPr>
        <w:tc>
          <w:tcPr>
            <w:tcW w:w="3975" w:type="dxa"/>
            <w:tcBorders>
              <w:top w:val="nil"/>
              <w:left w:val="nil"/>
              <w:bottom w:val="nil"/>
              <w:right w:val="nil"/>
            </w:tcBorders>
            <w:shd w:val="clear" w:color="000000" w:fill="FFFFFF"/>
            <w:vAlign w:val="center"/>
            <w:hideMark/>
          </w:tcPr>
          <w:p w:rsidR="00E03780" w:rsidRPr="001B69BA" w:rsidRDefault="00E03780" w:rsidP="00FD54DD">
            <w:pPr>
              <w:spacing w:after="0" w:line="240" w:lineRule="auto"/>
              <w:rPr>
                <w:rFonts w:ascii="Times New Roman" w:hAnsi="Times New Roman"/>
                <w:bCs/>
                <w:color w:val="000000"/>
                <w:sz w:val="20"/>
                <w:szCs w:val="20"/>
              </w:rPr>
            </w:pPr>
            <w:r w:rsidRPr="001B69BA">
              <w:rPr>
                <w:rFonts w:ascii="Times New Roman" w:hAnsi="Times New Roman"/>
                <w:bCs/>
                <w:color w:val="000000"/>
                <w:sz w:val="20"/>
                <w:szCs w:val="20"/>
              </w:rPr>
              <w:t xml:space="preserve">Equity </w:t>
            </w:r>
            <w:r w:rsidR="00FD54DD" w:rsidRPr="001B69BA">
              <w:rPr>
                <w:rFonts w:ascii="Times New Roman" w:hAnsi="Times New Roman"/>
                <w:bCs/>
                <w:color w:val="000000"/>
                <w:sz w:val="20"/>
                <w:szCs w:val="20"/>
              </w:rPr>
              <w:t>m</w:t>
            </w:r>
            <w:r w:rsidRPr="001B69BA">
              <w:rPr>
                <w:rFonts w:ascii="Times New Roman" w:hAnsi="Times New Roman"/>
                <w:bCs/>
                <w:color w:val="000000"/>
                <w:sz w:val="20"/>
                <w:szCs w:val="20"/>
              </w:rPr>
              <w:t>arket capitalization</w:t>
            </w:r>
            <w:r w:rsidR="00FD54DD" w:rsidRPr="001B69BA">
              <w:rPr>
                <w:rFonts w:ascii="Times New Roman" w:hAnsi="Times New Roman"/>
                <w:bCs/>
                <w:color w:val="000000"/>
                <w:sz w:val="20"/>
                <w:szCs w:val="20"/>
              </w:rPr>
              <w:t>/</w:t>
            </w:r>
            <w:r w:rsidRPr="001B69BA">
              <w:rPr>
                <w:rFonts w:ascii="Times New Roman" w:hAnsi="Times New Roman"/>
                <w:bCs/>
                <w:color w:val="000000"/>
                <w:sz w:val="20"/>
                <w:szCs w:val="20"/>
              </w:rPr>
              <w:t xml:space="preserve">GDP </w:t>
            </w:r>
            <w:r w:rsidR="00FD54DD" w:rsidRPr="001B69BA">
              <w:rPr>
                <w:rFonts w:ascii="Times New Roman" w:hAnsi="Times New Roman"/>
                <w:bCs/>
                <w:color w:val="000000"/>
                <w:sz w:val="20"/>
                <w:szCs w:val="20"/>
              </w:rPr>
              <w:t>in percent</w:t>
            </w:r>
          </w:p>
        </w:tc>
        <w:tc>
          <w:tcPr>
            <w:tcW w:w="720"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7.9</w:t>
            </w:r>
          </w:p>
        </w:tc>
        <w:tc>
          <w:tcPr>
            <w:tcW w:w="630"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10.5</w:t>
            </w:r>
          </w:p>
        </w:tc>
        <w:tc>
          <w:tcPr>
            <w:tcW w:w="720"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20.1</w:t>
            </w:r>
          </w:p>
        </w:tc>
        <w:tc>
          <w:tcPr>
            <w:tcW w:w="720"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29.3</w:t>
            </w:r>
          </w:p>
        </w:tc>
        <w:tc>
          <w:tcPr>
            <w:tcW w:w="672"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51.3</w:t>
            </w:r>
          </w:p>
        </w:tc>
        <w:tc>
          <w:tcPr>
            <w:tcW w:w="672"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17.1</w:t>
            </w:r>
          </w:p>
        </w:tc>
        <w:tc>
          <w:tcPr>
            <w:tcW w:w="672"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17.9</w:t>
            </w:r>
          </w:p>
        </w:tc>
        <w:tc>
          <w:tcPr>
            <w:tcW w:w="626" w:type="dxa"/>
            <w:tcBorders>
              <w:top w:val="nil"/>
              <w:left w:val="nil"/>
              <w:bottom w:val="nil"/>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15.3</w:t>
            </w:r>
          </w:p>
        </w:tc>
      </w:tr>
      <w:tr w:rsidR="00411A14" w:rsidRPr="00E03780" w:rsidTr="00411A14">
        <w:trPr>
          <w:trHeight w:val="324"/>
        </w:trPr>
        <w:tc>
          <w:tcPr>
            <w:tcW w:w="3975" w:type="dxa"/>
            <w:tcBorders>
              <w:top w:val="nil"/>
              <w:left w:val="nil"/>
              <w:bottom w:val="single" w:sz="8" w:space="0" w:color="auto"/>
              <w:right w:val="nil"/>
            </w:tcBorders>
            <w:shd w:val="clear" w:color="000000" w:fill="FFFFFF"/>
            <w:vAlign w:val="center"/>
            <w:hideMark/>
          </w:tcPr>
          <w:p w:rsidR="00E03780" w:rsidRPr="001B69BA" w:rsidRDefault="00FD54DD" w:rsidP="00FD54DD">
            <w:pPr>
              <w:spacing w:after="0" w:line="240" w:lineRule="auto"/>
              <w:rPr>
                <w:rFonts w:ascii="Times New Roman" w:hAnsi="Times New Roman"/>
                <w:bCs/>
                <w:color w:val="000000"/>
                <w:sz w:val="20"/>
                <w:szCs w:val="20"/>
              </w:rPr>
            </w:pPr>
            <w:r w:rsidRPr="001B69BA">
              <w:rPr>
                <w:rFonts w:ascii="Times New Roman" w:hAnsi="Times New Roman"/>
                <w:bCs/>
                <w:color w:val="000000"/>
                <w:sz w:val="20"/>
                <w:szCs w:val="20"/>
              </w:rPr>
              <w:t>Bond m</w:t>
            </w:r>
            <w:r w:rsidR="00E03780" w:rsidRPr="001B69BA">
              <w:rPr>
                <w:rFonts w:ascii="Times New Roman" w:hAnsi="Times New Roman"/>
                <w:bCs/>
                <w:color w:val="000000"/>
                <w:sz w:val="20"/>
                <w:szCs w:val="20"/>
              </w:rPr>
              <w:t>arket capitalization</w:t>
            </w:r>
            <w:r w:rsidRPr="001B69BA">
              <w:rPr>
                <w:rFonts w:ascii="Times New Roman" w:hAnsi="Times New Roman"/>
                <w:bCs/>
                <w:color w:val="000000"/>
                <w:sz w:val="20"/>
                <w:szCs w:val="20"/>
              </w:rPr>
              <w:t>/</w:t>
            </w:r>
            <w:r w:rsidR="00E03780" w:rsidRPr="001B69BA">
              <w:rPr>
                <w:rFonts w:ascii="Times New Roman" w:hAnsi="Times New Roman"/>
                <w:bCs/>
                <w:color w:val="000000"/>
                <w:sz w:val="20"/>
                <w:szCs w:val="20"/>
              </w:rPr>
              <w:t xml:space="preserve">GDP </w:t>
            </w:r>
            <w:r w:rsidRPr="001B69BA">
              <w:rPr>
                <w:rFonts w:ascii="Times New Roman" w:hAnsi="Times New Roman"/>
                <w:bCs/>
                <w:color w:val="000000"/>
                <w:sz w:val="20"/>
                <w:szCs w:val="20"/>
              </w:rPr>
              <w:t>in percent</w:t>
            </w:r>
          </w:p>
        </w:tc>
        <w:tc>
          <w:tcPr>
            <w:tcW w:w="720" w:type="dxa"/>
            <w:tcBorders>
              <w:top w:val="nil"/>
              <w:left w:val="nil"/>
              <w:bottom w:val="single" w:sz="8" w:space="0" w:color="auto"/>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12.0</w:t>
            </w:r>
          </w:p>
        </w:tc>
        <w:tc>
          <w:tcPr>
            <w:tcW w:w="630" w:type="dxa"/>
            <w:tcBorders>
              <w:top w:val="nil"/>
              <w:left w:val="nil"/>
              <w:bottom w:val="single" w:sz="8" w:space="0" w:color="auto"/>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11.9</w:t>
            </w:r>
          </w:p>
        </w:tc>
        <w:tc>
          <w:tcPr>
            <w:tcW w:w="720" w:type="dxa"/>
            <w:tcBorders>
              <w:top w:val="nil"/>
              <w:left w:val="nil"/>
              <w:bottom w:val="single" w:sz="8" w:space="0" w:color="auto"/>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10.0</w:t>
            </w:r>
          </w:p>
        </w:tc>
        <w:tc>
          <w:tcPr>
            <w:tcW w:w="720" w:type="dxa"/>
            <w:tcBorders>
              <w:top w:val="nil"/>
              <w:left w:val="nil"/>
              <w:bottom w:val="single" w:sz="8" w:space="0" w:color="auto"/>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9.2</w:t>
            </w:r>
          </w:p>
        </w:tc>
        <w:tc>
          <w:tcPr>
            <w:tcW w:w="672" w:type="dxa"/>
            <w:tcBorders>
              <w:top w:val="nil"/>
              <w:left w:val="nil"/>
              <w:bottom w:val="single" w:sz="8" w:space="0" w:color="auto"/>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8.1</w:t>
            </w:r>
          </w:p>
        </w:tc>
        <w:tc>
          <w:tcPr>
            <w:tcW w:w="672" w:type="dxa"/>
            <w:tcBorders>
              <w:top w:val="nil"/>
              <w:left w:val="nil"/>
              <w:bottom w:val="single" w:sz="8" w:space="0" w:color="auto"/>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5.3</w:t>
            </w:r>
          </w:p>
        </w:tc>
        <w:tc>
          <w:tcPr>
            <w:tcW w:w="672" w:type="dxa"/>
            <w:tcBorders>
              <w:top w:val="nil"/>
              <w:left w:val="nil"/>
              <w:bottom w:val="single" w:sz="8" w:space="0" w:color="auto"/>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6.4</w:t>
            </w:r>
          </w:p>
        </w:tc>
        <w:tc>
          <w:tcPr>
            <w:tcW w:w="626" w:type="dxa"/>
            <w:tcBorders>
              <w:top w:val="nil"/>
              <w:left w:val="nil"/>
              <w:bottom w:val="single" w:sz="8" w:space="0" w:color="auto"/>
              <w:right w:val="nil"/>
            </w:tcBorders>
            <w:shd w:val="clear" w:color="000000" w:fill="FFFFFF"/>
            <w:noWrap/>
            <w:vAlign w:val="center"/>
            <w:hideMark/>
          </w:tcPr>
          <w:p w:rsidR="00E03780" w:rsidRPr="001B69BA" w:rsidRDefault="00E03780" w:rsidP="00E03780">
            <w:pPr>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6.5</w:t>
            </w:r>
          </w:p>
        </w:tc>
      </w:tr>
    </w:tbl>
    <w:p w:rsidR="005348D4" w:rsidRPr="006B76C7" w:rsidRDefault="002738C6">
      <w:pPr>
        <w:spacing w:after="0" w:line="240" w:lineRule="auto"/>
        <w:rPr>
          <w:rFonts w:ascii="Times New Roman" w:hAnsi="Times New Roman"/>
          <w:bCs/>
          <w:color w:val="000000"/>
          <w:sz w:val="20"/>
          <w:szCs w:val="20"/>
        </w:rPr>
      </w:pPr>
      <w:r w:rsidRPr="00D63703">
        <w:rPr>
          <w:rFonts w:ascii="Times New Roman" w:hAnsi="Times New Roman"/>
          <w:bCs/>
          <w:i/>
          <w:color w:val="000000"/>
          <w:sz w:val="20"/>
          <w:szCs w:val="20"/>
        </w:rPr>
        <w:t>Source: FSC, BSE, FESE, BIS</w:t>
      </w:r>
      <w:r w:rsidR="00A94EE2" w:rsidRPr="006B76C7">
        <w:rPr>
          <w:rFonts w:ascii="Times New Roman" w:hAnsi="Times New Roman"/>
          <w:bCs/>
          <w:color w:val="000000"/>
          <w:sz w:val="20"/>
          <w:szCs w:val="20"/>
        </w:rPr>
        <w:t>.</w:t>
      </w:r>
    </w:p>
    <w:p w:rsidR="005348D4" w:rsidRDefault="005348D4">
      <w:pPr>
        <w:spacing w:after="0" w:line="240" w:lineRule="auto"/>
        <w:rPr>
          <w:rFonts w:cs="Calibri"/>
          <w:bCs/>
          <w:color w:val="000000"/>
          <w:sz w:val="20"/>
          <w:szCs w:val="20"/>
        </w:rPr>
      </w:pPr>
    </w:p>
    <w:p w:rsidR="00D63703" w:rsidRPr="00D63703" w:rsidRDefault="00D63703" w:rsidP="00D63703">
      <w:pPr>
        <w:pStyle w:val="ListParagraph"/>
        <w:numPr>
          <w:ilvl w:val="0"/>
          <w:numId w:val="3"/>
        </w:numPr>
        <w:ind w:left="0" w:firstLine="0"/>
        <w:jc w:val="both"/>
      </w:pPr>
      <w:r w:rsidRPr="00E03780">
        <w:rPr>
          <w:rFonts w:ascii="Times New Roman" w:hAnsi="Times New Roman"/>
          <w:b/>
          <w:sz w:val="24"/>
          <w:szCs w:val="24"/>
        </w:rPr>
        <w:t xml:space="preserve">The small market is served by a large number of investment intermediaries. </w:t>
      </w:r>
      <w:r w:rsidRPr="00E03780">
        <w:rPr>
          <w:rFonts w:ascii="Times New Roman" w:hAnsi="Times New Roman"/>
          <w:sz w:val="24"/>
          <w:szCs w:val="24"/>
        </w:rPr>
        <w:t xml:space="preserve">There are </w:t>
      </w:r>
      <w:r>
        <w:rPr>
          <w:rFonts w:ascii="Times New Roman" w:hAnsi="Times New Roman"/>
          <w:sz w:val="24"/>
          <w:szCs w:val="24"/>
        </w:rPr>
        <w:t>80</w:t>
      </w:r>
      <w:r w:rsidRPr="00E03780">
        <w:rPr>
          <w:rFonts w:ascii="Times New Roman" w:hAnsi="Times New Roman"/>
          <w:sz w:val="24"/>
          <w:szCs w:val="24"/>
        </w:rPr>
        <w:t xml:space="preserve"> </w:t>
      </w:r>
      <w:r>
        <w:rPr>
          <w:rFonts w:ascii="Times New Roman" w:hAnsi="Times New Roman"/>
          <w:sz w:val="24"/>
          <w:szCs w:val="24"/>
        </w:rPr>
        <w:t xml:space="preserve">licensed </w:t>
      </w:r>
      <w:r w:rsidRPr="00E03780">
        <w:rPr>
          <w:rFonts w:ascii="Times New Roman" w:hAnsi="Times New Roman"/>
          <w:sz w:val="24"/>
          <w:szCs w:val="24"/>
        </w:rPr>
        <w:t xml:space="preserve">investment </w:t>
      </w:r>
      <w:r>
        <w:rPr>
          <w:rFonts w:ascii="Times New Roman" w:hAnsi="Times New Roman"/>
          <w:sz w:val="24"/>
          <w:szCs w:val="24"/>
        </w:rPr>
        <w:t>intermediaries including 25 that are part of big banking groups (Table 1)</w:t>
      </w:r>
      <w:r w:rsidRPr="00E03780">
        <w:rPr>
          <w:rFonts w:ascii="Times New Roman" w:hAnsi="Times New Roman"/>
          <w:sz w:val="24"/>
          <w:szCs w:val="24"/>
        </w:rPr>
        <w:t xml:space="preserve">. Non-bank affiliated intermediaries are mostly smaller investment firms, with </w:t>
      </w:r>
      <w:r>
        <w:rPr>
          <w:rFonts w:ascii="Times New Roman" w:hAnsi="Times New Roman"/>
          <w:sz w:val="24"/>
          <w:szCs w:val="24"/>
        </w:rPr>
        <w:t>about</w:t>
      </w:r>
      <w:r w:rsidRPr="00E03780">
        <w:rPr>
          <w:rFonts w:ascii="Times New Roman" w:hAnsi="Times New Roman"/>
          <w:sz w:val="24"/>
          <w:szCs w:val="24"/>
        </w:rPr>
        <w:t xml:space="preserve"> 60 percent of them having </w:t>
      </w:r>
      <w:r w:rsidRPr="0091714A">
        <w:rPr>
          <w:rFonts w:ascii="Times New Roman" w:hAnsi="Times New Roman"/>
          <w:sz w:val="24"/>
          <w:szCs w:val="24"/>
        </w:rPr>
        <w:t xml:space="preserve">on average </w:t>
      </w:r>
      <w:r w:rsidRPr="00E03780">
        <w:rPr>
          <w:rFonts w:ascii="Times New Roman" w:hAnsi="Times New Roman"/>
          <w:sz w:val="24"/>
          <w:szCs w:val="24"/>
        </w:rPr>
        <w:t xml:space="preserve">3 employees. The industry </w:t>
      </w:r>
      <w:r>
        <w:rPr>
          <w:rFonts w:ascii="Times New Roman" w:hAnsi="Times New Roman"/>
          <w:sz w:val="24"/>
          <w:szCs w:val="24"/>
        </w:rPr>
        <w:t xml:space="preserve">has already consolidated since the </w:t>
      </w:r>
      <w:r w:rsidRPr="00E03780">
        <w:rPr>
          <w:rFonts w:ascii="Times New Roman" w:hAnsi="Times New Roman"/>
          <w:sz w:val="24"/>
          <w:szCs w:val="24"/>
        </w:rPr>
        <w:t>early 2000s</w:t>
      </w:r>
      <w:r>
        <w:rPr>
          <w:rFonts w:ascii="Times New Roman" w:hAnsi="Times New Roman"/>
          <w:sz w:val="24"/>
          <w:szCs w:val="24"/>
        </w:rPr>
        <w:t xml:space="preserve"> when industry </w:t>
      </w:r>
      <w:r w:rsidRPr="00E03780">
        <w:rPr>
          <w:rFonts w:ascii="Times New Roman" w:hAnsi="Times New Roman"/>
          <w:sz w:val="24"/>
          <w:szCs w:val="24"/>
        </w:rPr>
        <w:t xml:space="preserve">misconduct </w:t>
      </w:r>
      <w:r>
        <w:rPr>
          <w:rFonts w:ascii="Times New Roman" w:hAnsi="Times New Roman"/>
          <w:sz w:val="24"/>
          <w:szCs w:val="24"/>
        </w:rPr>
        <w:t xml:space="preserve">after </w:t>
      </w:r>
      <w:r w:rsidRPr="00E03780">
        <w:rPr>
          <w:rFonts w:ascii="Times New Roman" w:hAnsi="Times New Roman"/>
          <w:sz w:val="24"/>
          <w:szCs w:val="24"/>
        </w:rPr>
        <w:t>mass voucher privatization</w:t>
      </w:r>
      <w:r>
        <w:rPr>
          <w:rFonts w:ascii="Times New Roman" w:hAnsi="Times New Roman"/>
          <w:sz w:val="24"/>
          <w:szCs w:val="24"/>
        </w:rPr>
        <w:t xml:space="preserve">s led to strengthened </w:t>
      </w:r>
      <w:r w:rsidRPr="006360E9">
        <w:rPr>
          <w:rFonts w:ascii="Times New Roman" w:hAnsi="Times New Roman"/>
          <w:sz w:val="24"/>
          <w:szCs w:val="24"/>
        </w:rPr>
        <w:t>oversight</w:t>
      </w:r>
      <w:r w:rsidRPr="00E03780">
        <w:rPr>
          <w:rFonts w:ascii="Times New Roman" w:hAnsi="Times New Roman"/>
          <w:sz w:val="24"/>
          <w:szCs w:val="24"/>
        </w:rPr>
        <w:t xml:space="preserve">. </w:t>
      </w:r>
      <w:r>
        <w:rPr>
          <w:rFonts w:ascii="Times New Roman" w:hAnsi="Times New Roman"/>
          <w:sz w:val="24"/>
          <w:szCs w:val="24"/>
        </w:rPr>
        <w:t>T</w:t>
      </w:r>
      <w:r w:rsidRPr="00E03780">
        <w:rPr>
          <w:rFonts w:ascii="Times New Roman" w:hAnsi="Times New Roman"/>
          <w:sz w:val="24"/>
          <w:szCs w:val="24"/>
        </w:rPr>
        <w:t xml:space="preserve">he </w:t>
      </w:r>
      <w:r>
        <w:rPr>
          <w:rFonts w:ascii="Times New Roman" w:hAnsi="Times New Roman"/>
          <w:sz w:val="24"/>
          <w:szCs w:val="24"/>
        </w:rPr>
        <w:t xml:space="preserve">capital </w:t>
      </w:r>
      <w:r w:rsidRPr="00E03780">
        <w:rPr>
          <w:rFonts w:ascii="Times New Roman" w:hAnsi="Times New Roman"/>
          <w:sz w:val="24"/>
          <w:szCs w:val="24"/>
        </w:rPr>
        <w:t>market g</w:t>
      </w:r>
      <w:r>
        <w:rPr>
          <w:rFonts w:ascii="Times New Roman" w:hAnsi="Times New Roman"/>
          <w:sz w:val="24"/>
          <w:szCs w:val="24"/>
        </w:rPr>
        <w:t>re</w:t>
      </w:r>
      <w:r w:rsidRPr="00E03780">
        <w:rPr>
          <w:rFonts w:ascii="Times New Roman" w:hAnsi="Times New Roman"/>
          <w:sz w:val="24"/>
          <w:szCs w:val="24"/>
        </w:rPr>
        <w:t>w rapidly until 2007</w:t>
      </w:r>
      <w:r>
        <w:rPr>
          <w:rFonts w:ascii="Times New Roman" w:hAnsi="Times New Roman"/>
          <w:sz w:val="24"/>
          <w:szCs w:val="24"/>
        </w:rPr>
        <w:t>,</w:t>
      </w:r>
      <w:r w:rsidRPr="00E03780">
        <w:rPr>
          <w:rFonts w:ascii="Times New Roman" w:hAnsi="Times New Roman"/>
          <w:sz w:val="24"/>
          <w:szCs w:val="24"/>
        </w:rPr>
        <w:t xml:space="preserve"> and amid relatively low pre-</w:t>
      </w:r>
      <w:proofErr w:type="spellStart"/>
      <w:r w:rsidRPr="00E03780">
        <w:rPr>
          <w:rFonts w:ascii="Times New Roman" w:hAnsi="Times New Roman"/>
          <w:sz w:val="24"/>
          <w:szCs w:val="24"/>
        </w:rPr>
        <w:t>MiFID</w:t>
      </w:r>
      <w:proofErr w:type="spellEnd"/>
      <w:r w:rsidRPr="00E03780">
        <w:rPr>
          <w:rFonts w:ascii="Times New Roman" w:hAnsi="Times New Roman"/>
          <w:sz w:val="24"/>
          <w:szCs w:val="24"/>
        </w:rPr>
        <w:t xml:space="preserve"> capital requirements most firms stayed active. However, the assets of the industry deteriorated with </w:t>
      </w:r>
      <w:r w:rsidR="00A163FD">
        <w:rPr>
          <w:rFonts w:ascii="Times New Roman" w:hAnsi="Times New Roman"/>
          <w:sz w:val="24"/>
          <w:szCs w:val="24"/>
        </w:rPr>
        <w:t xml:space="preserve">the </w:t>
      </w:r>
      <w:r w:rsidRPr="00E03780">
        <w:rPr>
          <w:rFonts w:ascii="Times New Roman" w:hAnsi="Times New Roman"/>
          <w:sz w:val="24"/>
          <w:szCs w:val="24"/>
        </w:rPr>
        <w:lastRenderedPageBreak/>
        <w:t xml:space="preserve">financial crisis, reaching 5,460 BGN million in 2009, compared to 7,723 BGN million in 2007. Most of the firms have been operating exclusively in the domestic market and have not established networks abroad. Each investment firm is a member of </w:t>
      </w:r>
      <w:r>
        <w:rPr>
          <w:rFonts w:ascii="Times New Roman" w:hAnsi="Times New Roman"/>
          <w:sz w:val="24"/>
          <w:szCs w:val="24"/>
        </w:rPr>
        <w:t>the central depository (</w:t>
      </w:r>
      <w:r w:rsidRPr="00E03780">
        <w:rPr>
          <w:rFonts w:ascii="Times New Roman" w:hAnsi="Times New Roman"/>
          <w:sz w:val="24"/>
          <w:szCs w:val="24"/>
        </w:rPr>
        <w:t>CDAD</w:t>
      </w:r>
      <w:r>
        <w:rPr>
          <w:rFonts w:ascii="Times New Roman" w:hAnsi="Times New Roman"/>
          <w:sz w:val="24"/>
          <w:szCs w:val="24"/>
        </w:rPr>
        <w:t>)</w:t>
      </w:r>
      <w:r w:rsidRPr="00E03780">
        <w:rPr>
          <w:rFonts w:ascii="Times New Roman" w:hAnsi="Times New Roman"/>
          <w:sz w:val="24"/>
          <w:szCs w:val="24"/>
        </w:rPr>
        <w:t>, holds the required minimum number of shares in BSE-Sofia and contributes to the Guarantee Fund established to compensate for losses related to activities of investment firms</w:t>
      </w:r>
      <w:r w:rsidRPr="00D51B58">
        <w:rPr>
          <w:rStyle w:val="FootnoteReference"/>
          <w:rFonts w:ascii="Times New Roman" w:hAnsi="Times New Roman"/>
          <w:sz w:val="24"/>
          <w:szCs w:val="24"/>
        </w:rPr>
        <w:footnoteReference w:id="5"/>
      </w:r>
      <w:r w:rsidRPr="00E03780">
        <w:rPr>
          <w:rFonts w:ascii="Times New Roman" w:hAnsi="Times New Roman"/>
          <w:sz w:val="24"/>
          <w:szCs w:val="24"/>
        </w:rPr>
        <w:t>.</w:t>
      </w:r>
    </w:p>
    <w:p w:rsidR="00D63703" w:rsidRPr="00D63703" w:rsidRDefault="00D63703" w:rsidP="00D63703">
      <w:pPr>
        <w:pStyle w:val="ListParagraph"/>
        <w:ind w:left="0"/>
        <w:jc w:val="both"/>
      </w:pPr>
    </w:p>
    <w:tbl>
      <w:tblPr>
        <w:tblW w:w="9470" w:type="dxa"/>
        <w:tblInd w:w="108" w:type="dxa"/>
        <w:tblLook w:val="04A0"/>
      </w:tblPr>
      <w:tblGrid>
        <w:gridCol w:w="4770"/>
        <w:gridCol w:w="4700"/>
      </w:tblGrid>
      <w:tr w:rsidR="00044193" w:rsidRPr="009336FA" w:rsidTr="008B72DC">
        <w:trPr>
          <w:trHeight w:val="648"/>
        </w:trPr>
        <w:tc>
          <w:tcPr>
            <w:tcW w:w="4770" w:type="dxa"/>
          </w:tcPr>
          <w:p w:rsidR="00044193" w:rsidRPr="00A73D42" w:rsidRDefault="003107A8" w:rsidP="001B69BA">
            <w:pPr>
              <w:pStyle w:val="Caption"/>
              <w:keepNext/>
              <w:keepLines/>
              <w:spacing w:after="0"/>
              <w:rPr>
                <w:rFonts w:cs="Calibri"/>
                <w:b w:val="0"/>
                <w:szCs w:val="24"/>
              </w:rPr>
            </w:pPr>
            <w:bookmarkStart w:id="4" w:name="_Toc297111597"/>
            <w:r w:rsidRPr="00A73D42">
              <w:rPr>
                <w:szCs w:val="24"/>
              </w:rPr>
              <w:t xml:space="preserve">Figure </w:t>
            </w:r>
            <w:r w:rsidR="00A63D05" w:rsidRPr="00A73D42">
              <w:rPr>
                <w:szCs w:val="24"/>
              </w:rPr>
              <w:fldChar w:fldCharType="begin"/>
            </w:r>
            <w:r w:rsidRPr="00A73D42">
              <w:rPr>
                <w:szCs w:val="24"/>
              </w:rPr>
              <w:instrText xml:space="preserve"> SEQ Figure \* ARABIC </w:instrText>
            </w:r>
            <w:r w:rsidR="00A63D05" w:rsidRPr="00A73D42">
              <w:rPr>
                <w:szCs w:val="24"/>
              </w:rPr>
              <w:fldChar w:fldCharType="separate"/>
            </w:r>
            <w:r w:rsidR="00A064B6">
              <w:rPr>
                <w:noProof/>
                <w:szCs w:val="24"/>
              </w:rPr>
              <w:t>1</w:t>
            </w:r>
            <w:r w:rsidR="00A63D05" w:rsidRPr="00A73D42">
              <w:rPr>
                <w:szCs w:val="24"/>
              </w:rPr>
              <w:fldChar w:fldCharType="end"/>
            </w:r>
            <w:r w:rsidRPr="00A73D42">
              <w:rPr>
                <w:szCs w:val="24"/>
              </w:rPr>
              <w:t>: Equity Market Capitalization</w:t>
            </w:r>
            <w:r w:rsidR="001B69BA" w:rsidRPr="00A73D42">
              <w:rPr>
                <w:szCs w:val="24"/>
              </w:rPr>
              <w:t>s</w:t>
            </w:r>
            <w:r w:rsidRPr="00A73D42">
              <w:rPr>
                <w:szCs w:val="24"/>
              </w:rPr>
              <w:t xml:space="preserve"> in Europe, 2010</w:t>
            </w:r>
            <w:bookmarkEnd w:id="4"/>
            <w:r w:rsidR="002738C6" w:rsidRPr="00A73D42">
              <w:rPr>
                <w:rFonts w:cs="Calibri"/>
                <w:b w:val="0"/>
                <w:szCs w:val="24"/>
              </w:rPr>
              <w:t xml:space="preserve"> </w:t>
            </w:r>
          </w:p>
        </w:tc>
        <w:tc>
          <w:tcPr>
            <w:tcW w:w="4700" w:type="dxa"/>
          </w:tcPr>
          <w:p w:rsidR="00044193" w:rsidRPr="00A73D42" w:rsidRDefault="003107A8" w:rsidP="001B69BA">
            <w:pPr>
              <w:pStyle w:val="Caption"/>
              <w:keepNext/>
              <w:keepLines/>
              <w:spacing w:after="0"/>
              <w:rPr>
                <w:rFonts w:cs="Calibri"/>
                <w:b w:val="0"/>
                <w:szCs w:val="24"/>
              </w:rPr>
            </w:pPr>
            <w:bookmarkStart w:id="5" w:name="_Toc297111598"/>
            <w:r w:rsidRPr="00A73D42">
              <w:rPr>
                <w:szCs w:val="24"/>
              </w:rPr>
              <w:t xml:space="preserve">Figure </w:t>
            </w:r>
            <w:r w:rsidR="00A63D05" w:rsidRPr="00A73D42">
              <w:rPr>
                <w:szCs w:val="24"/>
              </w:rPr>
              <w:fldChar w:fldCharType="begin"/>
            </w:r>
            <w:r w:rsidRPr="00A73D42">
              <w:rPr>
                <w:szCs w:val="24"/>
              </w:rPr>
              <w:instrText xml:space="preserve"> SEQ Figure \* ARABIC </w:instrText>
            </w:r>
            <w:r w:rsidR="00A63D05" w:rsidRPr="00A73D42">
              <w:rPr>
                <w:szCs w:val="24"/>
              </w:rPr>
              <w:fldChar w:fldCharType="separate"/>
            </w:r>
            <w:r w:rsidR="00A064B6">
              <w:rPr>
                <w:noProof/>
                <w:szCs w:val="24"/>
              </w:rPr>
              <w:t>2</w:t>
            </w:r>
            <w:r w:rsidR="00A63D05" w:rsidRPr="00A73D42">
              <w:rPr>
                <w:szCs w:val="24"/>
              </w:rPr>
              <w:fldChar w:fldCharType="end"/>
            </w:r>
            <w:r w:rsidRPr="00A73D42">
              <w:rPr>
                <w:szCs w:val="24"/>
              </w:rPr>
              <w:t>: Bulgaria</w:t>
            </w:r>
            <w:r w:rsidRPr="00A73D42">
              <w:rPr>
                <w:rStyle w:val="FootnoteReference"/>
                <w:rFonts w:cs="Calibri"/>
                <w:b w:val="0"/>
                <w:szCs w:val="24"/>
              </w:rPr>
              <w:footnoteReference w:id="6"/>
            </w:r>
            <w:r w:rsidRPr="00A73D42">
              <w:rPr>
                <w:szCs w:val="24"/>
              </w:rPr>
              <w:t xml:space="preserve"> Equity Market Capitalization and SOFIX Index, Annual Growth</w:t>
            </w:r>
            <w:bookmarkEnd w:id="5"/>
          </w:p>
        </w:tc>
      </w:tr>
      <w:tr w:rsidR="00044193" w:rsidRPr="009336FA" w:rsidTr="008B72DC">
        <w:trPr>
          <w:trHeight w:val="3123"/>
        </w:trPr>
        <w:tc>
          <w:tcPr>
            <w:tcW w:w="4770" w:type="dxa"/>
          </w:tcPr>
          <w:p w:rsidR="00044193" w:rsidRPr="00AE5079" w:rsidRDefault="005B0697" w:rsidP="001B69BA">
            <w:pPr>
              <w:pStyle w:val="ListParagraph"/>
              <w:keepNext/>
              <w:keepLines/>
              <w:spacing w:after="0"/>
              <w:ind w:left="0"/>
              <w:jc w:val="both"/>
              <w:rPr>
                <w:rFonts w:ascii="Times New Roman" w:hAnsi="Times New Roman"/>
                <w:sz w:val="24"/>
                <w:szCs w:val="24"/>
              </w:rPr>
            </w:pPr>
            <w:r>
              <w:rPr>
                <w:rFonts w:ascii="Times New Roman" w:hAnsi="Times New Roman"/>
                <w:noProof/>
                <w:sz w:val="24"/>
                <w:szCs w:val="24"/>
              </w:rPr>
              <w:drawing>
                <wp:inline distT="0" distB="0" distL="0" distR="0">
                  <wp:extent cx="2809875" cy="1943100"/>
                  <wp:effectExtent l="19050" t="0" r="9525" b="0"/>
                  <wp:docPr id="1" name="Char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10" cstate="print"/>
                          <a:srcRect b="-84"/>
                          <a:stretch>
                            <a:fillRect/>
                          </a:stretch>
                        </pic:blipFill>
                        <pic:spPr bwMode="auto">
                          <a:xfrm>
                            <a:off x="0" y="0"/>
                            <a:ext cx="2809875" cy="1943100"/>
                          </a:xfrm>
                          <a:prstGeom prst="rect">
                            <a:avLst/>
                          </a:prstGeom>
                          <a:noFill/>
                          <a:ln w="9525">
                            <a:noFill/>
                            <a:miter lim="800000"/>
                            <a:headEnd/>
                            <a:tailEnd/>
                          </a:ln>
                        </pic:spPr>
                      </pic:pic>
                    </a:graphicData>
                  </a:graphic>
                </wp:inline>
              </w:drawing>
            </w:r>
          </w:p>
        </w:tc>
        <w:tc>
          <w:tcPr>
            <w:tcW w:w="4700" w:type="dxa"/>
          </w:tcPr>
          <w:p w:rsidR="00044193" w:rsidRPr="00AE5079" w:rsidRDefault="005B0697" w:rsidP="001B69BA">
            <w:pPr>
              <w:pStyle w:val="ListParagraph"/>
              <w:keepNext/>
              <w:keepLines/>
              <w:spacing w:after="0"/>
              <w:ind w:left="0"/>
              <w:jc w:val="both"/>
              <w:rPr>
                <w:rFonts w:ascii="Times New Roman" w:hAnsi="Times New Roman"/>
                <w:sz w:val="24"/>
                <w:szCs w:val="24"/>
              </w:rPr>
            </w:pPr>
            <w:r>
              <w:rPr>
                <w:rFonts w:ascii="Times New Roman" w:hAnsi="Times New Roman"/>
                <w:noProof/>
                <w:sz w:val="24"/>
                <w:szCs w:val="24"/>
              </w:rPr>
              <w:drawing>
                <wp:inline distT="0" distB="0" distL="0" distR="0">
                  <wp:extent cx="2790825" cy="1943100"/>
                  <wp:effectExtent l="19050" t="0" r="9525" b="0"/>
                  <wp:docPr id="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1" cstate="print"/>
                          <a:srcRect/>
                          <a:stretch>
                            <a:fillRect/>
                          </a:stretch>
                        </pic:blipFill>
                        <pic:spPr bwMode="auto">
                          <a:xfrm>
                            <a:off x="0" y="0"/>
                            <a:ext cx="2790825" cy="1943100"/>
                          </a:xfrm>
                          <a:prstGeom prst="rect">
                            <a:avLst/>
                          </a:prstGeom>
                          <a:noFill/>
                          <a:ln w="9525">
                            <a:noFill/>
                            <a:miter lim="800000"/>
                            <a:headEnd/>
                            <a:tailEnd/>
                          </a:ln>
                        </pic:spPr>
                      </pic:pic>
                    </a:graphicData>
                  </a:graphic>
                </wp:inline>
              </w:drawing>
            </w:r>
          </w:p>
        </w:tc>
      </w:tr>
      <w:tr w:rsidR="00044193" w:rsidRPr="009336FA" w:rsidTr="008B72DC">
        <w:tc>
          <w:tcPr>
            <w:tcW w:w="4770" w:type="dxa"/>
          </w:tcPr>
          <w:p w:rsidR="00044193" w:rsidRPr="00AE5079" w:rsidRDefault="002738C6" w:rsidP="001B69BA">
            <w:pPr>
              <w:pStyle w:val="ListParagraph"/>
              <w:keepNext/>
              <w:keepLines/>
              <w:spacing w:after="0"/>
              <w:ind w:left="0"/>
              <w:jc w:val="both"/>
              <w:outlineLvl w:val="0"/>
              <w:rPr>
                <w:rFonts w:ascii="Times New Roman" w:hAnsi="Times New Roman" w:cs="Calibri"/>
                <w:i/>
                <w:sz w:val="20"/>
                <w:szCs w:val="20"/>
              </w:rPr>
            </w:pPr>
            <w:r w:rsidRPr="00AE5079">
              <w:rPr>
                <w:rFonts w:ascii="Times New Roman" w:hAnsi="Times New Roman" w:cs="Calibri"/>
                <w:i/>
                <w:sz w:val="20"/>
                <w:szCs w:val="20"/>
              </w:rPr>
              <w:t>Source</w:t>
            </w:r>
            <w:r w:rsidR="00131D19" w:rsidRPr="00AE5079">
              <w:rPr>
                <w:rFonts w:ascii="Times New Roman" w:hAnsi="Times New Roman" w:cs="Calibri"/>
                <w:i/>
                <w:sz w:val="20"/>
                <w:szCs w:val="20"/>
              </w:rPr>
              <w:t>s</w:t>
            </w:r>
            <w:r w:rsidRPr="00AE5079">
              <w:rPr>
                <w:rFonts w:ascii="Times New Roman" w:hAnsi="Times New Roman" w:cs="Calibri"/>
                <w:i/>
                <w:sz w:val="20"/>
                <w:szCs w:val="20"/>
              </w:rPr>
              <w:t>: FESE for market capitalization, IMF for GDP</w:t>
            </w:r>
            <w:r w:rsidR="00131D19" w:rsidRPr="00AE5079">
              <w:rPr>
                <w:rFonts w:ascii="Times New Roman" w:hAnsi="Times New Roman" w:cs="Calibri"/>
                <w:i/>
                <w:sz w:val="20"/>
                <w:szCs w:val="20"/>
              </w:rPr>
              <w:t>.</w:t>
            </w:r>
          </w:p>
        </w:tc>
        <w:tc>
          <w:tcPr>
            <w:tcW w:w="4700" w:type="dxa"/>
          </w:tcPr>
          <w:p w:rsidR="00044193" w:rsidRPr="00AE5079" w:rsidRDefault="002738C6" w:rsidP="001B69BA">
            <w:pPr>
              <w:pStyle w:val="ListParagraph"/>
              <w:keepNext/>
              <w:keepLines/>
              <w:spacing w:after="0"/>
              <w:ind w:left="0"/>
              <w:jc w:val="both"/>
              <w:outlineLvl w:val="0"/>
              <w:rPr>
                <w:rFonts w:ascii="Times New Roman" w:hAnsi="Times New Roman" w:cs="Calibri"/>
                <w:i/>
                <w:sz w:val="20"/>
                <w:szCs w:val="20"/>
              </w:rPr>
            </w:pPr>
            <w:r w:rsidRPr="00AE5079">
              <w:rPr>
                <w:rFonts w:ascii="Times New Roman" w:hAnsi="Times New Roman" w:cs="Calibri"/>
                <w:i/>
                <w:sz w:val="20"/>
                <w:szCs w:val="20"/>
              </w:rPr>
              <w:t>Source</w:t>
            </w:r>
            <w:r w:rsidR="00131D19" w:rsidRPr="00AE5079">
              <w:rPr>
                <w:rFonts w:ascii="Times New Roman" w:hAnsi="Times New Roman" w:cs="Calibri"/>
                <w:i/>
                <w:sz w:val="20"/>
                <w:szCs w:val="20"/>
              </w:rPr>
              <w:t>s</w:t>
            </w:r>
            <w:r w:rsidRPr="00AE5079">
              <w:rPr>
                <w:rFonts w:ascii="Times New Roman" w:hAnsi="Times New Roman" w:cs="Calibri"/>
                <w:i/>
                <w:sz w:val="20"/>
                <w:szCs w:val="20"/>
              </w:rPr>
              <w:t>: FESE for market capitalization, IMF for GDP</w:t>
            </w:r>
            <w:r w:rsidR="00131D19" w:rsidRPr="00AE5079">
              <w:rPr>
                <w:rFonts w:ascii="Times New Roman" w:hAnsi="Times New Roman" w:cs="Calibri"/>
                <w:i/>
                <w:sz w:val="20"/>
                <w:szCs w:val="20"/>
              </w:rPr>
              <w:t>.</w:t>
            </w:r>
          </w:p>
        </w:tc>
      </w:tr>
    </w:tbl>
    <w:p w:rsidR="00044193" w:rsidRPr="009336FA" w:rsidRDefault="00044193" w:rsidP="00CA5018">
      <w:pPr>
        <w:pStyle w:val="ListParagraph"/>
        <w:ind w:left="0"/>
        <w:jc w:val="both"/>
        <w:rPr>
          <w:rFonts w:ascii="Times New Roman" w:hAnsi="Times New Roman"/>
          <w:b/>
          <w:sz w:val="24"/>
          <w:szCs w:val="24"/>
        </w:rPr>
      </w:pPr>
    </w:p>
    <w:p w:rsidR="001B69BA" w:rsidRPr="001B69BA" w:rsidRDefault="001B69BA" w:rsidP="001B69BA">
      <w:pPr>
        <w:pStyle w:val="ListParagraph"/>
        <w:numPr>
          <w:ilvl w:val="0"/>
          <w:numId w:val="3"/>
        </w:numPr>
        <w:ind w:left="0" w:firstLine="0"/>
        <w:jc w:val="both"/>
        <w:rPr>
          <w:rFonts w:ascii="Times New Roman" w:hAnsi="Times New Roman"/>
          <w:b/>
          <w:sz w:val="24"/>
          <w:szCs w:val="24"/>
        </w:rPr>
      </w:pPr>
      <w:r>
        <w:rPr>
          <w:rFonts w:ascii="Times New Roman" w:hAnsi="Times New Roman"/>
          <w:b/>
          <w:sz w:val="24"/>
          <w:szCs w:val="24"/>
        </w:rPr>
        <w:t>E</w:t>
      </w:r>
      <w:r w:rsidRPr="00AC2227">
        <w:rPr>
          <w:rFonts w:ascii="Times New Roman" w:hAnsi="Times New Roman"/>
          <w:b/>
          <w:sz w:val="24"/>
          <w:szCs w:val="24"/>
        </w:rPr>
        <w:t xml:space="preserve">quity market capitalization is low in Bulgaria compared to </w:t>
      </w:r>
      <w:r>
        <w:rPr>
          <w:rFonts w:ascii="Times New Roman" w:hAnsi="Times New Roman"/>
          <w:b/>
          <w:sz w:val="24"/>
          <w:szCs w:val="24"/>
        </w:rPr>
        <w:t xml:space="preserve">both developed </w:t>
      </w:r>
      <w:r w:rsidRPr="00AC2227">
        <w:rPr>
          <w:rFonts w:ascii="Times New Roman" w:hAnsi="Times New Roman"/>
          <w:b/>
          <w:sz w:val="24"/>
          <w:szCs w:val="24"/>
        </w:rPr>
        <w:t>Europe</w:t>
      </w:r>
      <w:r>
        <w:rPr>
          <w:rFonts w:ascii="Times New Roman" w:hAnsi="Times New Roman"/>
          <w:b/>
          <w:sz w:val="24"/>
          <w:szCs w:val="24"/>
        </w:rPr>
        <w:t xml:space="preserve"> and regional income </w:t>
      </w:r>
      <w:r w:rsidRPr="0082760D">
        <w:rPr>
          <w:rFonts w:ascii="Times New Roman" w:hAnsi="Times New Roman"/>
          <w:b/>
          <w:sz w:val="24"/>
          <w:szCs w:val="24"/>
        </w:rPr>
        <w:t>peers (Figure 1)</w:t>
      </w:r>
      <w:r>
        <w:rPr>
          <w:rFonts w:ascii="Times New Roman" w:hAnsi="Times New Roman"/>
          <w:b/>
          <w:sz w:val="24"/>
          <w:szCs w:val="24"/>
        </w:rPr>
        <w:t xml:space="preserve">, and whereas pre-crisis growth in capitalization reflected both new issuances and increasing prices, the post-crisis period had a stagnation in issuance and drops in </w:t>
      </w:r>
      <w:r w:rsidRPr="0082760D">
        <w:rPr>
          <w:rFonts w:ascii="Times New Roman" w:hAnsi="Times New Roman"/>
          <w:b/>
          <w:sz w:val="24"/>
          <w:szCs w:val="24"/>
        </w:rPr>
        <w:t>prices</w:t>
      </w:r>
      <w:r>
        <w:rPr>
          <w:rFonts w:ascii="Times New Roman" w:hAnsi="Times New Roman"/>
          <w:b/>
          <w:sz w:val="24"/>
          <w:szCs w:val="24"/>
        </w:rPr>
        <w:t>.</w:t>
      </w:r>
      <w:r w:rsidRPr="0082760D">
        <w:rPr>
          <w:rFonts w:ascii="Times New Roman" w:hAnsi="Times New Roman"/>
          <w:b/>
          <w:sz w:val="24"/>
          <w:szCs w:val="24"/>
        </w:rPr>
        <w:t xml:space="preserve"> </w:t>
      </w:r>
      <w:r>
        <w:rPr>
          <w:rFonts w:ascii="Times New Roman" w:hAnsi="Times New Roman"/>
          <w:sz w:val="24"/>
          <w:szCs w:val="24"/>
        </w:rPr>
        <w:t>The m</w:t>
      </w:r>
      <w:r w:rsidRPr="00AC2227">
        <w:rPr>
          <w:rFonts w:ascii="Times New Roman" w:hAnsi="Times New Roman"/>
          <w:sz w:val="24"/>
          <w:szCs w:val="24"/>
        </w:rPr>
        <w:t>ajority of medium-size</w:t>
      </w:r>
      <w:r>
        <w:rPr>
          <w:rFonts w:ascii="Times New Roman" w:hAnsi="Times New Roman"/>
          <w:sz w:val="24"/>
          <w:szCs w:val="24"/>
        </w:rPr>
        <w:t>d</w:t>
      </w:r>
      <w:r w:rsidRPr="00AC2227">
        <w:rPr>
          <w:rFonts w:ascii="Times New Roman" w:hAnsi="Times New Roman"/>
          <w:sz w:val="24"/>
          <w:szCs w:val="24"/>
        </w:rPr>
        <w:t xml:space="preserve"> and large companies are financed through bank credit or, in case of those foreign owned, </w:t>
      </w:r>
      <w:r>
        <w:rPr>
          <w:rFonts w:ascii="Times New Roman" w:hAnsi="Times New Roman"/>
          <w:sz w:val="24"/>
          <w:szCs w:val="24"/>
        </w:rPr>
        <w:t>directly from abroad</w:t>
      </w:r>
      <w:r w:rsidRPr="00AC2227">
        <w:rPr>
          <w:rFonts w:ascii="Times New Roman" w:hAnsi="Times New Roman"/>
          <w:sz w:val="24"/>
          <w:szCs w:val="24"/>
        </w:rPr>
        <w:t>. Pre-crisis p</w:t>
      </w:r>
      <w:r>
        <w:rPr>
          <w:rFonts w:ascii="Times New Roman" w:hAnsi="Times New Roman"/>
          <w:sz w:val="24"/>
          <w:szCs w:val="24"/>
        </w:rPr>
        <w:t>eak</w:t>
      </w:r>
      <w:r w:rsidRPr="00AC2227">
        <w:rPr>
          <w:rFonts w:ascii="Times New Roman" w:hAnsi="Times New Roman"/>
          <w:sz w:val="24"/>
          <w:szCs w:val="24"/>
        </w:rPr>
        <w:t>s in valuation were partially driven by foreign fund</w:t>
      </w:r>
      <w:r>
        <w:rPr>
          <w:rFonts w:ascii="Times New Roman" w:hAnsi="Times New Roman"/>
          <w:sz w:val="24"/>
          <w:szCs w:val="24"/>
        </w:rPr>
        <w:t>s</w:t>
      </w:r>
      <w:r w:rsidRPr="00AC2227">
        <w:rPr>
          <w:rFonts w:ascii="Times New Roman" w:hAnsi="Times New Roman"/>
          <w:sz w:val="24"/>
          <w:szCs w:val="24"/>
        </w:rPr>
        <w:t xml:space="preserve"> inflows, as well as a shift in asset allocations of pension funds from debt to equity</w:t>
      </w:r>
      <w:r>
        <w:rPr>
          <w:rStyle w:val="FootnoteReference"/>
          <w:rFonts w:ascii="Times New Roman" w:hAnsi="Times New Roman"/>
          <w:sz w:val="24"/>
          <w:szCs w:val="24"/>
        </w:rPr>
        <w:footnoteReference w:id="7"/>
      </w:r>
      <w:r w:rsidRPr="00AC2227">
        <w:rPr>
          <w:rFonts w:ascii="Times New Roman" w:hAnsi="Times New Roman"/>
          <w:sz w:val="24"/>
          <w:szCs w:val="24"/>
        </w:rPr>
        <w:t xml:space="preserve">. </w:t>
      </w:r>
      <w:r>
        <w:rPr>
          <w:rFonts w:ascii="Times New Roman" w:hAnsi="Times New Roman"/>
          <w:sz w:val="24"/>
          <w:szCs w:val="24"/>
        </w:rPr>
        <w:t xml:space="preserve">Pre-crisis growth in market capitalization reflected new issuance as much as price growth </w:t>
      </w:r>
      <w:r w:rsidRPr="00DA1CDD">
        <w:rPr>
          <w:rFonts w:ascii="Times New Roman" w:hAnsi="Times New Roman"/>
          <w:sz w:val="24"/>
          <w:szCs w:val="24"/>
        </w:rPr>
        <w:t>(Figure 2)</w:t>
      </w:r>
      <w:r>
        <w:rPr>
          <w:rFonts w:ascii="Times New Roman" w:hAnsi="Times New Roman"/>
          <w:sz w:val="24"/>
          <w:szCs w:val="24"/>
        </w:rPr>
        <w:t>.  However, t</w:t>
      </w:r>
      <w:r w:rsidRPr="00AC2227">
        <w:rPr>
          <w:rFonts w:ascii="Times New Roman" w:hAnsi="Times New Roman"/>
          <w:sz w:val="24"/>
          <w:szCs w:val="24"/>
        </w:rPr>
        <w:t>he financial crisis and increased reporting requirement</w:t>
      </w:r>
      <w:r>
        <w:rPr>
          <w:rFonts w:ascii="Times New Roman" w:hAnsi="Times New Roman"/>
          <w:sz w:val="24"/>
          <w:szCs w:val="24"/>
        </w:rPr>
        <w:t>s</w:t>
      </w:r>
      <w:r w:rsidRPr="00AC2227">
        <w:rPr>
          <w:rFonts w:ascii="Times New Roman" w:hAnsi="Times New Roman"/>
          <w:sz w:val="24"/>
          <w:szCs w:val="24"/>
        </w:rPr>
        <w:t xml:space="preserve"> </w:t>
      </w:r>
      <w:r>
        <w:rPr>
          <w:rFonts w:ascii="Times New Roman" w:hAnsi="Times New Roman"/>
          <w:sz w:val="24"/>
          <w:szCs w:val="24"/>
        </w:rPr>
        <w:t xml:space="preserve">led a </w:t>
      </w:r>
      <w:r w:rsidRPr="00AC2227">
        <w:rPr>
          <w:rFonts w:ascii="Times New Roman" w:hAnsi="Times New Roman"/>
          <w:sz w:val="24"/>
          <w:szCs w:val="24"/>
        </w:rPr>
        <w:t xml:space="preserve">number </w:t>
      </w:r>
      <w:r>
        <w:rPr>
          <w:rFonts w:ascii="Times New Roman" w:hAnsi="Times New Roman"/>
          <w:sz w:val="24"/>
          <w:szCs w:val="24"/>
        </w:rPr>
        <w:t>of firms to delist, and the total number of listed firms was reduced to 330 in 2010</w:t>
      </w:r>
      <w:r w:rsidRPr="00AC2227">
        <w:rPr>
          <w:rFonts w:ascii="Times New Roman" w:hAnsi="Times New Roman"/>
          <w:sz w:val="24"/>
          <w:szCs w:val="24"/>
        </w:rPr>
        <w:t>.</w:t>
      </w:r>
      <w:r w:rsidRPr="00AC2227">
        <w:rPr>
          <w:rFonts w:ascii="Times New Roman" w:hAnsi="Times New Roman"/>
          <w:b/>
          <w:sz w:val="24"/>
          <w:szCs w:val="24"/>
        </w:rPr>
        <w:t xml:space="preserve"> </w:t>
      </w:r>
      <w:r w:rsidRPr="003717C3">
        <w:rPr>
          <w:rFonts w:ascii="Times New Roman" w:hAnsi="Times New Roman"/>
          <w:sz w:val="24"/>
          <w:szCs w:val="24"/>
        </w:rPr>
        <w:t xml:space="preserve">The total capital </w:t>
      </w:r>
      <w:proofErr w:type="gramStart"/>
      <w:r w:rsidRPr="003717C3">
        <w:rPr>
          <w:rFonts w:ascii="Times New Roman" w:hAnsi="Times New Roman"/>
          <w:sz w:val="24"/>
          <w:szCs w:val="24"/>
        </w:rPr>
        <w:t>raised</w:t>
      </w:r>
      <w:proofErr w:type="gramEnd"/>
      <w:r w:rsidRPr="003717C3">
        <w:rPr>
          <w:rFonts w:ascii="Times New Roman" w:hAnsi="Times New Roman"/>
          <w:sz w:val="24"/>
          <w:szCs w:val="24"/>
        </w:rPr>
        <w:t xml:space="preserve"> through</w:t>
      </w:r>
      <w:r>
        <w:rPr>
          <w:rFonts w:ascii="Times New Roman" w:hAnsi="Times New Roman"/>
          <w:b/>
          <w:sz w:val="24"/>
          <w:szCs w:val="24"/>
        </w:rPr>
        <w:t xml:space="preserve"> </w:t>
      </w:r>
      <w:r>
        <w:rPr>
          <w:rFonts w:ascii="Times New Roman" w:hAnsi="Times New Roman"/>
          <w:sz w:val="24"/>
          <w:szCs w:val="24"/>
        </w:rPr>
        <w:t>t</w:t>
      </w:r>
      <w:r w:rsidRPr="002738C6">
        <w:rPr>
          <w:rFonts w:ascii="Times New Roman" w:hAnsi="Times New Roman"/>
          <w:sz w:val="24"/>
          <w:szCs w:val="24"/>
        </w:rPr>
        <w:t>he</w:t>
      </w:r>
      <w:r>
        <w:rPr>
          <w:rFonts w:ascii="Times New Roman" w:hAnsi="Times New Roman"/>
          <w:b/>
          <w:sz w:val="24"/>
          <w:szCs w:val="24"/>
        </w:rPr>
        <w:t xml:space="preserve"> </w:t>
      </w:r>
      <w:r w:rsidRPr="00AC2227">
        <w:rPr>
          <w:rFonts w:ascii="Times New Roman" w:hAnsi="Times New Roman"/>
          <w:sz w:val="24"/>
          <w:szCs w:val="24"/>
        </w:rPr>
        <w:t>Bulgarian Stock Exchange (BSE</w:t>
      </w:r>
      <w:r w:rsidRPr="006B76C7">
        <w:rPr>
          <w:rFonts w:ascii="Times New Roman" w:hAnsi="Times New Roman"/>
          <w:sz w:val="24"/>
          <w:szCs w:val="24"/>
        </w:rPr>
        <w:t>) dropped</w:t>
      </w:r>
      <w:r>
        <w:rPr>
          <w:rFonts w:ascii="Times New Roman" w:hAnsi="Times New Roman"/>
          <w:sz w:val="24"/>
          <w:szCs w:val="24"/>
        </w:rPr>
        <w:t xml:space="preserve"> by 65 percent in 2010 compared to 2007. There were no </w:t>
      </w:r>
      <w:r w:rsidR="00A064B6">
        <w:rPr>
          <w:rFonts w:ascii="Times New Roman" w:hAnsi="Times New Roman"/>
          <w:sz w:val="24"/>
          <w:szCs w:val="24"/>
        </w:rPr>
        <w:t>Initial Public Offerings (</w:t>
      </w:r>
      <w:r>
        <w:rPr>
          <w:rFonts w:ascii="Times New Roman" w:hAnsi="Times New Roman"/>
          <w:sz w:val="24"/>
          <w:szCs w:val="24"/>
        </w:rPr>
        <w:t>IPOs</w:t>
      </w:r>
      <w:r w:rsidR="00A064B6">
        <w:rPr>
          <w:rFonts w:ascii="Times New Roman" w:hAnsi="Times New Roman"/>
          <w:sz w:val="24"/>
          <w:szCs w:val="24"/>
        </w:rPr>
        <w:t>)</w:t>
      </w:r>
      <w:r>
        <w:rPr>
          <w:rFonts w:ascii="Times New Roman" w:hAnsi="Times New Roman"/>
          <w:sz w:val="24"/>
          <w:szCs w:val="24"/>
        </w:rPr>
        <w:t xml:space="preserve"> in 2010 and the new bond issues were by almost 50 percent lower than the year before.</w:t>
      </w:r>
    </w:p>
    <w:p w:rsidR="001B69BA" w:rsidRDefault="001B69BA" w:rsidP="001B69BA">
      <w:pPr>
        <w:pStyle w:val="ListParagraph"/>
        <w:ind w:left="0"/>
        <w:jc w:val="both"/>
        <w:rPr>
          <w:rFonts w:ascii="Times New Roman" w:hAnsi="Times New Roman"/>
          <w:b/>
          <w:sz w:val="24"/>
          <w:szCs w:val="24"/>
        </w:rPr>
      </w:pPr>
    </w:p>
    <w:p w:rsidR="00EB3582" w:rsidRPr="001B69BA" w:rsidRDefault="00B17CD7" w:rsidP="001B69BA">
      <w:pPr>
        <w:pStyle w:val="ListParagraph"/>
        <w:numPr>
          <w:ilvl w:val="0"/>
          <w:numId w:val="3"/>
        </w:numPr>
        <w:ind w:left="0" w:firstLine="0"/>
        <w:jc w:val="both"/>
        <w:rPr>
          <w:rFonts w:ascii="Times New Roman" w:hAnsi="Times New Roman"/>
          <w:sz w:val="24"/>
          <w:szCs w:val="24"/>
        </w:rPr>
      </w:pPr>
      <w:r w:rsidRPr="009336FA">
        <w:rPr>
          <w:rFonts w:ascii="Times New Roman" w:hAnsi="Times New Roman"/>
          <w:b/>
          <w:sz w:val="24"/>
          <w:szCs w:val="24"/>
        </w:rPr>
        <w:lastRenderedPageBreak/>
        <w:t xml:space="preserve">Market liquidity on the BSE is low with an average annual turnover ratio of 5 percent </w:t>
      </w:r>
      <w:r w:rsidR="00AF507B" w:rsidRPr="009336FA">
        <w:rPr>
          <w:rFonts w:ascii="Times New Roman" w:hAnsi="Times New Roman"/>
          <w:b/>
          <w:sz w:val="24"/>
          <w:szCs w:val="24"/>
        </w:rPr>
        <w:t>i</w:t>
      </w:r>
      <w:r w:rsidRPr="009336FA">
        <w:rPr>
          <w:rFonts w:ascii="Times New Roman" w:hAnsi="Times New Roman"/>
          <w:b/>
          <w:sz w:val="24"/>
          <w:szCs w:val="24"/>
        </w:rPr>
        <w:t>n 2009 (Figure 3).</w:t>
      </w:r>
      <w:r w:rsidRPr="009336FA">
        <w:rPr>
          <w:rFonts w:ascii="Times New Roman" w:hAnsi="Times New Roman"/>
          <w:sz w:val="24"/>
          <w:szCs w:val="24"/>
        </w:rPr>
        <w:t xml:space="preserve">   </w:t>
      </w:r>
      <w:r w:rsidR="009336FA">
        <w:rPr>
          <w:rFonts w:ascii="Times New Roman" w:hAnsi="Times New Roman"/>
          <w:sz w:val="24"/>
          <w:szCs w:val="24"/>
        </w:rPr>
        <w:t xml:space="preserve">The lack of liquidity can </w:t>
      </w:r>
      <w:r w:rsidRPr="009336FA">
        <w:rPr>
          <w:rFonts w:ascii="Times New Roman" w:hAnsi="Times New Roman"/>
          <w:sz w:val="24"/>
          <w:szCs w:val="24"/>
        </w:rPr>
        <w:t xml:space="preserve">be explained </w:t>
      </w:r>
      <w:r w:rsidR="009336FA">
        <w:rPr>
          <w:rFonts w:ascii="Times New Roman" w:hAnsi="Times New Roman"/>
          <w:sz w:val="24"/>
          <w:szCs w:val="24"/>
        </w:rPr>
        <w:t xml:space="preserve">in part </w:t>
      </w:r>
      <w:r w:rsidRPr="009336FA">
        <w:rPr>
          <w:rFonts w:ascii="Times New Roman" w:hAnsi="Times New Roman"/>
          <w:sz w:val="24"/>
          <w:szCs w:val="24"/>
        </w:rPr>
        <w:t>by the relatively low free float</w:t>
      </w:r>
      <w:r w:rsidR="003717C3">
        <w:rPr>
          <w:rFonts w:ascii="Times New Roman" w:hAnsi="Times New Roman"/>
          <w:sz w:val="24"/>
          <w:szCs w:val="24"/>
        </w:rPr>
        <w:t xml:space="preserve"> (officially 25 percent on average)</w:t>
      </w:r>
      <w:r w:rsidRPr="009336FA">
        <w:rPr>
          <w:rFonts w:ascii="Times New Roman" w:hAnsi="Times New Roman"/>
          <w:sz w:val="24"/>
          <w:szCs w:val="24"/>
        </w:rPr>
        <w:t>, which discourages trading by inflating ask-bid s</w:t>
      </w:r>
      <w:r w:rsidRPr="00B17CD7">
        <w:rPr>
          <w:rFonts w:ascii="Times New Roman" w:hAnsi="Times New Roman"/>
          <w:sz w:val="24"/>
          <w:szCs w:val="24"/>
        </w:rPr>
        <w:t>p</w:t>
      </w:r>
      <w:r w:rsidRPr="009336FA">
        <w:rPr>
          <w:rFonts w:ascii="Times New Roman" w:hAnsi="Times New Roman"/>
          <w:sz w:val="24"/>
          <w:szCs w:val="24"/>
        </w:rPr>
        <w:t>re</w:t>
      </w:r>
      <w:r w:rsidRPr="00B17CD7">
        <w:rPr>
          <w:rFonts w:ascii="Times New Roman" w:hAnsi="Times New Roman"/>
          <w:sz w:val="24"/>
          <w:szCs w:val="24"/>
        </w:rPr>
        <w:t>a</w:t>
      </w:r>
      <w:r w:rsidRPr="009336FA">
        <w:rPr>
          <w:rFonts w:ascii="Times New Roman" w:hAnsi="Times New Roman"/>
          <w:sz w:val="24"/>
          <w:szCs w:val="24"/>
        </w:rPr>
        <w:t>ds</w:t>
      </w:r>
      <w:r w:rsidR="00C93D88">
        <w:rPr>
          <w:rFonts w:ascii="Times New Roman" w:hAnsi="Times New Roman"/>
          <w:sz w:val="24"/>
          <w:szCs w:val="24"/>
        </w:rPr>
        <w:t>,</w:t>
      </w:r>
      <w:r w:rsidRPr="009336FA">
        <w:rPr>
          <w:rFonts w:ascii="Times New Roman" w:hAnsi="Times New Roman"/>
          <w:sz w:val="24"/>
          <w:szCs w:val="24"/>
        </w:rPr>
        <w:t xml:space="preserve"> and </w:t>
      </w:r>
      <w:r w:rsidR="009336FA">
        <w:rPr>
          <w:rFonts w:ascii="Times New Roman" w:hAnsi="Times New Roman"/>
          <w:sz w:val="24"/>
          <w:szCs w:val="24"/>
        </w:rPr>
        <w:t xml:space="preserve">in part </w:t>
      </w:r>
      <w:r w:rsidRPr="009336FA">
        <w:rPr>
          <w:rFonts w:ascii="Times New Roman" w:hAnsi="Times New Roman"/>
          <w:sz w:val="24"/>
          <w:szCs w:val="24"/>
        </w:rPr>
        <w:t xml:space="preserve">by the low trading activity of institutional investors, which mostly </w:t>
      </w:r>
      <w:r w:rsidR="00AF507B" w:rsidRPr="009336FA">
        <w:rPr>
          <w:rFonts w:ascii="Times New Roman" w:hAnsi="Times New Roman"/>
          <w:sz w:val="24"/>
          <w:szCs w:val="24"/>
        </w:rPr>
        <w:t xml:space="preserve">employ </w:t>
      </w:r>
      <w:r w:rsidRPr="009336FA">
        <w:rPr>
          <w:rFonts w:ascii="Times New Roman" w:hAnsi="Times New Roman"/>
          <w:sz w:val="24"/>
          <w:szCs w:val="24"/>
        </w:rPr>
        <w:t>“buy and hold</w:t>
      </w:r>
      <w:r w:rsidR="00AF507B" w:rsidRPr="009336FA">
        <w:rPr>
          <w:rFonts w:ascii="Times New Roman" w:hAnsi="Times New Roman"/>
          <w:sz w:val="24"/>
          <w:szCs w:val="24"/>
        </w:rPr>
        <w:t>”</w:t>
      </w:r>
      <w:r w:rsidRPr="009336FA">
        <w:rPr>
          <w:rFonts w:ascii="Times New Roman" w:hAnsi="Times New Roman"/>
          <w:sz w:val="24"/>
          <w:szCs w:val="24"/>
        </w:rPr>
        <w:t xml:space="preserve"> </w:t>
      </w:r>
      <w:r w:rsidR="00AF507B" w:rsidRPr="009336FA">
        <w:rPr>
          <w:rFonts w:ascii="Times New Roman" w:hAnsi="Times New Roman"/>
          <w:sz w:val="24"/>
          <w:szCs w:val="24"/>
        </w:rPr>
        <w:t>strategies</w:t>
      </w:r>
      <w:r w:rsidRPr="009336FA">
        <w:rPr>
          <w:rFonts w:ascii="Times New Roman" w:hAnsi="Times New Roman"/>
          <w:sz w:val="24"/>
          <w:szCs w:val="24"/>
        </w:rPr>
        <w:t>.</w:t>
      </w:r>
      <w:r w:rsidR="00F30B2A" w:rsidRPr="009336FA">
        <w:rPr>
          <w:rStyle w:val="FootnoteReference"/>
          <w:rFonts w:ascii="Times New Roman" w:hAnsi="Times New Roman"/>
          <w:sz w:val="24"/>
          <w:szCs w:val="24"/>
        </w:rPr>
        <w:footnoteReference w:id="8"/>
      </w:r>
      <w:r w:rsidR="00F30B2A" w:rsidRPr="009336FA">
        <w:rPr>
          <w:rFonts w:ascii="Times New Roman" w:hAnsi="Times New Roman"/>
          <w:sz w:val="24"/>
          <w:szCs w:val="24"/>
        </w:rPr>
        <w:t xml:space="preserve"> Because of the low liquidity, there is also a large number </w:t>
      </w:r>
      <w:r w:rsidR="00F30B2A">
        <w:rPr>
          <w:rFonts w:ascii="Times New Roman" w:hAnsi="Times New Roman"/>
          <w:sz w:val="24"/>
          <w:szCs w:val="24"/>
        </w:rPr>
        <w:t>o</w:t>
      </w:r>
      <w:r w:rsidR="00F30B2A" w:rsidRPr="009336FA">
        <w:rPr>
          <w:rFonts w:ascii="Times New Roman" w:hAnsi="Times New Roman"/>
          <w:sz w:val="24"/>
          <w:szCs w:val="24"/>
        </w:rPr>
        <w:t>f block trades in the market</w:t>
      </w:r>
      <w:r w:rsidR="009336FA">
        <w:rPr>
          <w:rFonts w:ascii="Times New Roman" w:hAnsi="Times New Roman"/>
          <w:sz w:val="24"/>
          <w:szCs w:val="24"/>
        </w:rPr>
        <w:t xml:space="preserve">.  These </w:t>
      </w:r>
      <w:r w:rsidR="00F30B2A" w:rsidRPr="009336FA">
        <w:rPr>
          <w:rFonts w:ascii="Times New Roman" w:hAnsi="Times New Roman"/>
          <w:sz w:val="24"/>
          <w:szCs w:val="24"/>
        </w:rPr>
        <w:t xml:space="preserve">must be </w:t>
      </w:r>
      <w:r w:rsidR="00AF507B" w:rsidRPr="009336FA">
        <w:rPr>
          <w:rFonts w:ascii="Times New Roman" w:hAnsi="Times New Roman"/>
          <w:sz w:val="24"/>
          <w:szCs w:val="24"/>
        </w:rPr>
        <w:t>reporte</w:t>
      </w:r>
      <w:r w:rsidR="00AF507B">
        <w:rPr>
          <w:rFonts w:ascii="Times New Roman" w:hAnsi="Times New Roman"/>
          <w:sz w:val="24"/>
          <w:szCs w:val="24"/>
        </w:rPr>
        <w:t>d</w:t>
      </w:r>
      <w:r w:rsidR="00AF507B" w:rsidRPr="009336FA">
        <w:rPr>
          <w:rFonts w:ascii="Times New Roman" w:hAnsi="Times New Roman"/>
          <w:sz w:val="24"/>
          <w:szCs w:val="24"/>
        </w:rPr>
        <w:t xml:space="preserve"> </w:t>
      </w:r>
      <w:r w:rsidR="00F30B2A" w:rsidRPr="009336FA">
        <w:rPr>
          <w:rFonts w:ascii="Times New Roman" w:hAnsi="Times New Roman"/>
          <w:sz w:val="24"/>
          <w:szCs w:val="24"/>
        </w:rPr>
        <w:t xml:space="preserve">to the BSE </w:t>
      </w:r>
      <w:r w:rsidR="009336FA">
        <w:rPr>
          <w:rFonts w:ascii="Times New Roman" w:hAnsi="Times New Roman"/>
          <w:sz w:val="24"/>
          <w:szCs w:val="24"/>
        </w:rPr>
        <w:t xml:space="preserve">within </w:t>
      </w:r>
      <w:r w:rsidR="00F30B2A" w:rsidRPr="009336FA">
        <w:rPr>
          <w:rFonts w:ascii="Times New Roman" w:hAnsi="Times New Roman"/>
          <w:sz w:val="24"/>
          <w:szCs w:val="24"/>
        </w:rPr>
        <w:t xml:space="preserve">3 minutes </w:t>
      </w:r>
      <w:r w:rsidR="009336FA">
        <w:rPr>
          <w:rFonts w:ascii="Times New Roman" w:hAnsi="Times New Roman"/>
          <w:sz w:val="24"/>
          <w:szCs w:val="24"/>
        </w:rPr>
        <w:t xml:space="preserve">of </w:t>
      </w:r>
      <w:r w:rsidR="00F30B2A" w:rsidRPr="009336FA">
        <w:rPr>
          <w:rFonts w:ascii="Times New Roman" w:hAnsi="Times New Roman"/>
          <w:sz w:val="24"/>
          <w:szCs w:val="24"/>
        </w:rPr>
        <w:t xml:space="preserve">concluding </w:t>
      </w:r>
      <w:r w:rsidR="009336FA">
        <w:rPr>
          <w:rFonts w:ascii="Times New Roman" w:hAnsi="Times New Roman"/>
          <w:sz w:val="24"/>
          <w:szCs w:val="24"/>
        </w:rPr>
        <w:t xml:space="preserve">the </w:t>
      </w:r>
      <w:r w:rsidR="00F30B2A" w:rsidRPr="009336FA">
        <w:rPr>
          <w:rFonts w:ascii="Times New Roman" w:hAnsi="Times New Roman"/>
          <w:sz w:val="24"/>
          <w:szCs w:val="24"/>
        </w:rPr>
        <w:t xml:space="preserve">transaction. </w:t>
      </w:r>
      <w:r w:rsidRPr="009336FA">
        <w:rPr>
          <w:rFonts w:ascii="Times New Roman" w:hAnsi="Times New Roman"/>
          <w:sz w:val="24"/>
          <w:szCs w:val="24"/>
        </w:rPr>
        <w:t xml:space="preserve"> The BSE</w:t>
      </w:r>
      <w:r w:rsidRPr="00B17CD7">
        <w:rPr>
          <w:rFonts w:ascii="Times New Roman" w:hAnsi="Times New Roman"/>
          <w:sz w:val="24"/>
          <w:szCs w:val="24"/>
        </w:rPr>
        <w:t xml:space="preserve"> operates in several different segments</w:t>
      </w:r>
      <w:r>
        <w:rPr>
          <w:rFonts w:ascii="Times New Roman" w:hAnsi="Times New Roman"/>
          <w:sz w:val="24"/>
          <w:szCs w:val="24"/>
        </w:rPr>
        <w:t xml:space="preserve"> (Table 2)</w:t>
      </w:r>
      <w:r w:rsidR="0083285E">
        <w:rPr>
          <w:rFonts w:ascii="Times New Roman" w:hAnsi="Times New Roman"/>
          <w:sz w:val="24"/>
          <w:szCs w:val="24"/>
        </w:rPr>
        <w:t xml:space="preserve"> both of which are governed by the ‘Regulated Market’ definition of </w:t>
      </w:r>
      <w:proofErr w:type="spellStart"/>
      <w:r w:rsidR="0083285E">
        <w:rPr>
          <w:rFonts w:ascii="Times New Roman" w:hAnsi="Times New Roman"/>
          <w:sz w:val="24"/>
          <w:szCs w:val="24"/>
        </w:rPr>
        <w:t>MiFID</w:t>
      </w:r>
      <w:proofErr w:type="spellEnd"/>
      <w:r w:rsidR="0083285E">
        <w:rPr>
          <w:rFonts w:ascii="Times New Roman" w:hAnsi="Times New Roman"/>
          <w:sz w:val="24"/>
          <w:szCs w:val="24"/>
        </w:rPr>
        <w:t>, but does not operate any MTF</w:t>
      </w:r>
      <w:r w:rsidRPr="00B17CD7">
        <w:rPr>
          <w:rFonts w:ascii="Times New Roman" w:hAnsi="Times New Roman"/>
          <w:sz w:val="24"/>
          <w:szCs w:val="24"/>
        </w:rPr>
        <w:t>. Equities are listed on official and unofficial markets, which are both divided into two segments, A and B. Listing requirements vary for the different segments and are the most restrictive on the official segment A</w:t>
      </w:r>
      <w:r w:rsidR="002738C6" w:rsidRPr="002738C6">
        <w:rPr>
          <w:vertAlign w:val="superscript"/>
        </w:rPr>
        <w:footnoteReference w:id="9"/>
      </w:r>
      <w:r w:rsidRPr="00B17CD7">
        <w:rPr>
          <w:rFonts w:ascii="Times New Roman" w:hAnsi="Times New Roman"/>
          <w:sz w:val="24"/>
          <w:szCs w:val="24"/>
        </w:rPr>
        <w:t xml:space="preserve">. </w:t>
      </w:r>
      <w:r w:rsidR="003412BC">
        <w:rPr>
          <w:rFonts w:ascii="Times New Roman" w:hAnsi="Times New Roman"/>
          <w:sz w:val="24"/>
          <w:szCs w:val="24"/>
        </w:rPr>
        <w:t xml:space="preserve">Many </w:t>
      </w:r>
      <w:r w:rsidRPr="00B17CD7">
        <w:rPr>
          <w:rFonts w:ascii="Times New Roman" w:hAnsi="Times New Roman"/>
          <w:sz w:val="24"/>
          <w:szCs w:val="24"/>
        </w:rPr>
        <w:t xml:space="preserve">companies </w:t>
      </w:r>
      <w:r w:rsidR="003412BC">
        <w:rPr>
          <w:rFonts w:ascii="Times New Roman" w:hAnsi="Times New Roman"/>
          <w:sz w:val="24"/>
          <w:szCs w:val="24"/>
        </w:rPr>
        <w:t xml:space="preserve">are </w:t>
      </w:r>
      <w:r w:rsidRPr="00B17CD7">
        <w:rPr>
          <w:rFonts w:ascii="Times New Roman" w:hAnsi="Times New Roman"/>
          <w:sz w:val="24"/>
          <w:szCs w:val="24"/>
        </w:rPr>
        <w:t xml:space="preserve">listed on </w:t>
      </w:r>
      <w:r w:rsidR="003412BC">
        <w:rPr>
          <w:rFonts w:ascii="Times New Roman" w:hAnsi="Times New Roman"/>
          <w:sz w:val="24"/>
          <w:szCs w:val="24"/>
        </w:rPr>
        <w:t xml:space="preserve">the </w:t>
      </w:r>
      <w:r w:rsidRPr="00B17CD7">
        <w:rPr>
          <w:rFonts w:ascii="Times New Roman" w:hAnsi="Times New Roman"/>
          <w:sz w:val="24"/>
          <w:szCs w:val="24"/>
        </w:rPr>
        <w:t xml:space="preserve">unofficial market, </w:t>
      </w:r>
      <w:r w:rsidR="00C27AAF">
        <w:rPr>
          <w:rFonts w:ascii="Times New Roman" w:hAnsi="Times New Roman"/>
          <w:sz w:val="24"/>
          <w:szCs w:val="24"/>
        </w:rPr>
        <w:t xml:space="preserve">and its less restrictive segment B </w:t>
      </w:r>
      <w:r w:rsidRPr="00B17CD7">
        <w:rPr>
          <w:rFonts w:ascii="Times New Roman" w:hAnsi="Times New Roman"/>
          <w:sz w:val="24"/>
          <w:szCs w:val="24"/>
        </w:rPr>
        <w:t xml:space="preserve">has </w:t>
      </w:r>
      <w:r w:rsidR="00C27AAF">
        <w:rPr>
          <w:rFonts w:ascii="Times New Roman" w:hAnsi="Times New Roman"/>
          <w:sz w:val="24"/>
          <w:szCs w:val="24"/>
        </w:rPr>
        <w:t>grown</w:t>
      </w:r>
      <w:r w:rsidRPr="00B17CD7">
        <w:rPr>
          <w:rFonts w:ascii="Times New Roman" w:hAnsi="Times New Roman"/>
          <w:sz w:val="24"/>
          <w:szCs w:val="24"/>
        </w:rPr>
        <w:t xml:space="preserve"> relative to the official market. Although </w:t>
      </w:r>
      <w:r w:rsidR="003412BC">
        <w:rPr>
          <w:rFonts w:ascii="Times New Roman" w:hAnsi="Times New Roman"/>
          <w:sz w:val="24"/>
          <w:szCs w:val="24"/>
        </w:rPr>
        <w:t xml:space="preserve">several </w:t>
      </w:r>
      <w:r w:rsidRPr="00B17CD7">
        <w:rPr>
          <w:rFonts w:ascii="Times New Roman" w:hAnsi="Times New Roman"/>
          <w:sz w:val="24"/>
          <w:szCs w:val="24"/>
        </w:rPr>
        <w:t>companies ha</w:t>
      </w:r>
      <w:r w:rsidR="003412BC">
        <w:rPr>
          <w:rFonts w:ascii="Times New Roman" w:hAnsi="Times New Roman"/>
          <w:sz w:val="24"/>
          <w:szCs w:val="24"/>
        </w:rPr>
        <w:t>ve</w:t>
      </w:r>
      <w:r w:rsidRPr="00B17CD7">
        <w:rPr>
          <w:rFonts w:ascii="Times New Roman" w:hAnsi="Times New Roman"/>
          <w:sz w:val="24"/>
          <w:szCs w:val="24"/>
        </w:rPr>
        <w:t xml:space="preserve"> delisted lately, many companies </w:t>
      </w:r>
      <w:r w:rsidR="00AF507B">
        <w:rPr>
          <w:rFonts w:ascii="Times New Roman" w:hAnsi="Times New Roman"/>
          <w:sz w:val="24"/>
          <w:szCs w:val="24"/>
        </w:rPr>
        <w:t xml:space="preserve">that are not </w:t>
      </w:r>
      <w:r w:rsidRPr="00B17CD7">
        <w:rPr>
          <w:rFonts w:ascii="Times New Roman" w:hAnsi="Times New Roman"/>
          <w:sz w:val="24"/>
          <w:szCs w:val="24"/>
        </w:rPr>
        <w:t xml:space="preserve">traded stay listed on the unofficial segment B. Following the </w:t>
      </w:r>
      <w:r w:rsidR="00C466F3">
        <w:rPr>
          <w:rFonts w:ascii="Times New Roman" w:hAnsi="Times New Roman"/>
          <w:sz w:val="24"/>
          <w:szCs w:val="24"/>
        </w:rPr>
        <w:t>perceived misconducts</w:t>
      </w:r>
      <w:r w:rsidRPr="00B17CD7">
        <w:rPr>
          <w:rFonts w:ascii="Times New Roman" w:hAnsi="Times New Roman"/>
          <w:sz w:val="24"/>
          <w:szCs w:val="24"/>
        </w:rPr>
        <w:t xml:space="preserve"> related to mass voucher privatization, the FSC introduced a rule </w:t>
      </w:r>
      <w:r>
        <w:rPr>
          <w:rFonts w:ascii="Times New Roman" w:hAnsi="Times New Roman"/>
          <w:sz w:val="24"/>
          <w:szCs w:val="24"/>
        </w:rPr>
        <w:t xml:space="preserve">that </w:t>
      </w:r>
      <w:r w:rsidRPr="00B17CD7">
        <w:rPr>
          <w:rFonts w:ascii="Times New Roman" w:hAnsi="Times New Roman"/>
          <w:sz w:val="24"/>
          <w:szCs w:val="24"/>
        </w:rPr>
        <w:t xml:space="preserve">required majority shareholders to buy shares from minority shareholders through a tender offer and at a price calculated in accordance with procedures specified in the law. This method has been successful in protecting minority shareholders, but </w:t>
      </w:r>
      <w:r w:rsidR="003412BC">
        <w:rPr>
          <w:rFonts w:ascii="Times New Roman" w:hAnsi="Times New Roman"/>
          <w:sz w:val="24"/>
          <w:szCs w:val="24"/>
        </w:rPr>
        <w:t xml:space="preserve">it </w:t>
      </w:r>
      <w:r w:rsidRPr="00B17CD7">
        <w:rPr>
          <w:rFonts w:ascii="Times New Roman" w:hAnsi="Times New Roman"/>
          <w:sz w:val="24"/>
          <w:szCs w:val="24"/>
        </w:rPr>
        <w:t xml:space="preserve">has </w:t>
      </w:r>
      <w:r w:rsidR="003412BC">
        <w:rPr>
          <w:rFonts w:ascii="Times New Roman" w:hAnsi="Times New Roman"/>
          <w:sz w:val="24"/>
          <w:szCs w:val="24"/>
        </w:rPr>
        <w:t xml:space="preserve">also curbed the delisting process and thereby </w:t>
      </w:r>
      <w:r w:rsidRPr="00B17CD7">
        <w:rPr>
          <w:rFonts w:ascii="Times New Roman" w:hAnsi="Times New Roman"/>
          <w:sz w:val="24"/>
          <w:szCs w:val="24"/>
        </w:rPr>
        <w:t xml:space="preserve">artificially inflated the market capitalization on </w:t>
      </w:r>
      <w:r w:rsidR="003412BC">
        <w:rPr>
          <w:rFonts w:ascii="Times New Roman" w:hAnsi="Times New Roman"/>
          <w:sz w:val="24"/>
          <w:szCs w:val="24"/>
        </w:rPr>
        <w:t xml:space="preserve">the </w:t>
      </w:r>
      <w:r w:rsidR="001B69BA">
        <w:rPr>
          <w:rFonts w:ascii="Times New Roman" w:hAnsi="Times New Roman"/>
          <w:sz w:val="24"/>
          <w:szCs w:val="24"/>
        </w:rPr>
        <w:t>unofficial segments.</w:t>
      </w:r>
    </w:p>
    <w:tbl>
      <w:tblPr>
        <w:tblW w:w="0" w:type="auto"/>
        <w:tblInd w:w="1188" w:type="dxa"/>
        <w:tblLook w:val="04A0"/>
      </w:tblPr>
      <w:tblGrid>
        <w:gridCol w:w="7296"/>
      </w:tblGrid>
      <w:tr w:rsidR="00B17CD7" w:rsidTr="008B72DC">
        <w:tc>
          <w:tcPr>
            <w:tcW w:w="7296" w:type="dxa"/>
          </w:tcPr>
          <w:p w:rsidR="005348D4" w:rsidRPr="00AE5079" w:rsidRDefault="003107A8" w:rsidP="00A8360E">
            <w:pPr>
              <w:pStyle w:val="Caption"/>
              <w:keepNext/>
              <w:keepLines/>
              <w:spacing w:after="0"/>
              <w:rPr>
                <w:b w:val="0"/>
                <w:szCs w:val="24"/>
              </w:rPr>
            </w:pPr>
            <w:bookmarkStart w:id="6" w:name="_Toc297111599"/>
            <w:r>
              <w:t xml:space="preserve">Figure </w:t>
            </w:r>
            <w:fldSimple w:instr=" SEQ Figure \* ARABIC ">
              <w:r w:rsidR="00A064B6">
                <w:rPr>
                  <w:noProof/>
                </w:rPr>
                <w:t>3</w:t>
              </w:r>
            </w:fldSimple>
            <w:r>
              <w:t>: Turnover Ratio</w:t>
            </w:r>
            <w:r w:rsidR="001B69BA">
              <w:t>s</w:t>
            </w:r>
            <w:r>
              <w:t xml:space="preserve"> in Europe, 2009</w:t>
            </w:r>
            <w:bookmarkEnd w:id="6"/>
          </w:p>
        </w:tc>
      </w:tr>
      <w:tr w:rsidR="00B17CD7" w:rsidTr="008B72DC">
        <w:tc>
          <w:tcPr>
            <w:tcW w:w="7296" w:type="dxa"/>
          </w:tcPr>
          <w:p w:rsidR="005348D4" w:rsidRPr="00AE5079" w:rsidRDefault="005B0697" w:rsidP="001B69BA">
            <w:pPr>
              <w:pStyle w:val="ListParagraph"/>
              <w:keepNext/>
              <w:keepLines/>
              <w:spacing w:after="0"/>
              <w:ind w:left="0"/>
              <w:jc w:val="both"/>
              <w:rPr>
                <w:rFonts w:ascii="Times New Roman" w:hAnsi="Times New Roman"/>
                <w:b/>
                <w:sz w:val="20"/>
                <w:szCs w:val="20"/>
              </w:rPr>
            </w:pPr>
            <w:r>
              <w:rPr>
                <w:rFonts w:ascii="Times New Roman" w:hAnsi="Times New Roman"/>
                <w:b/>
                <w:noProof/>
                <w:sz w:val="20"/>
                <w:szCs w:val="20"/>
              </w:rPr>
              <w:drawing>
                <wp:inline distT="0" distB="0" distL="0" distR="0">
                  <wp:extent cx="4142288" cy="2176080"/>
                  <wp:effectExtent l="12392" t="5145" r="7745" b="0"/>
                  <wp:docPr id="3"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B17CD7" w:rsidTr="008B72DC">
        <w:tc>
          <w:tcPr>
            <w:tcW w:w="7296" w:type="dxa"/>
          </w:tcPr>
          <w:p w:rsidR="005348D4" w:rsidRPr="00AE5079" w:rsidRDefault="00B17CD7" w:rsidP="001B69BA">
            <w:pPr>
              <w:keepNext/>
              <w:keepLines/>
              <w:spacing w:after="0"/>
              <w:jc w:val="both"/>
              <w:outlineLvl w:val="0"/>
              <w:rPr>
                <w:i/>
                <w:smallCaps/>
              </w:rPr>
            </w:pPr>
            <w:r w:rsidRPr="00AE5079">
              <w:rPr>
                <w:rFonts w:ascii="Times New Roman" w:hAnsi="Times New Roman" w:cs="Calibri"/>
                <w:i/>
                <w:sz w:val="20"/>
                <w:szCs w:val="20"/>
              </w:rPr>
              <w:t>Source: WDI</w:t>
            </w:r>
            <w:r w:rsidR="003412BC" w:rsidRPr="00AE5079">
              <w:rPr>
                <w:rFonts w:ascii="Times New Roman" w:hAnsi="Times New Roman" w:cs="Calibri"/>
                <w:i/>
                <w:sz w:val="20"/>
                <w:szCs w:val="20"/>
              </w:rPr>
              <w:t>.</w:t>
            </w:r>
            <w:r w:rsidR="003412BC" w:rsidRPr="00AE5079">
              <w:rPr>
                <w:i/>
              </w:rPr>
              <w:t xml:space="preserve"> </w:t>
            </w:r>
          </w:p>
        </w:tc>
      </w:tr>
    </w:tbl>
    <w:p w:rsidR="00B17CD7" w:rsidRDefault="00477D83" w:rsidP="00825AF1">
      <w:pPr>
        <w:pStyle w:val="ListParagraph"/>
        <w:ind w:left="0"/>
        <w:jc w:val="both"/>
        <w:rPr>
          <w:rFonts w:ascii="Times New Roman" w:hAnsi="Times New Roman"/>
          <w:b/>
          <w:sz w:val="24"/>
          <w:szCs w:val="24"/>
        </w:rPr>
      </w:pPr>
      <w:r>
        <w:rPr>
          <w:rFonts w:ascii="Times New Roman" w:hAnsi="Times New Roman"/>
          <w:b/>
          <w:sz w:val="24"/>
          <w:szCs w:val="24"/>
        </w:rPr>
        <w:t xml:space="preserve"> </w:t>
      </w:r>
    </w:p>
    <w:tbl>
      <w:tblPr>
        <w:tblW w:w="8340" w:type="dxa"/>
        <w:tblInd w:w="720" w:type="dxa"/>
        <w:tblLook w:val="04A0"/>
      </w:tblPr>
      <w:tblGrid>
        <w:gridCol w:w="3027"/>
        <w:gridCol w:w="1491"/>
        <w:gridCol w:w="1491"/>
        <w:gridCol w:w="1206"/>
        <w:gridCol w:w="1125"/>
      </w:tblGrid>
      <w:tr w:rsidR="003107A8" w:rsidRPr="001B69BA" w:rsidTr="00A73D42">
        <w:trPr>
          <w:trHeight w:val="315"/>
        </w:trPr>
        <w:tc>
          <w:tcPr>
            <w:tcW w:w="8340" w:type="dxa"/>
            <w:gridSpan w:val="5"/>
            <w:tcBorders>
              <w:bottom w:val="nil"/>
            </w:tcBorders>
            <w:shd w:val="clear" w:color="000000" w:fill="FFFFFF"/>
            <w:noWrap/>
            <w:vAlign w:val="bottom"/>
            <w:hideMark/>
          </w:tcPr>
          <w:p w:rsidR="003107A8" w:rsidRPr="001B69BA" w:rsidRDefault="003107A8" w:rsidP="001B69BA">
            <w:pPr>
              <w:pStyle w:val="Caption"/>
              <w:keepNext/>
              <w:spacing w:after="0"/>
              <w:rPr>
                <w:b w:val="0"/>
                <w:bCs w:val="0"/>
                <w:color w:val="000000"/>
                <w:szCs w:val="24"/>
              </w:rPr>
            </w:pPr>
            <w:bookmarkStart w:id="7" w:name="_Toc297111594"/>
            <w:r w:rsidRPr="001B69BA">
              <w:lastRenderedPageBreak/>
              <w:t xml:space="preserve">Table </w:t>
            </w:r>
            <w:fldSimple w:instr=" SEQ Table \* ARABIC ">
              <w:r w:rsidR="00A064B6">
                <w:rPr>
                  <w:noProof/>
                </w:rPr>
                <w:t>2</w:t>
              </w:r>
            </w:fldSimple>
            <w:r w:rsidRPr="001B69BA">
              <w:t>: BSE Market Segments</w:t>
            </w:r>
            <w:bookmarkEnd w:id="7"/>
          </w:p>
        </w:tc>
      </w:tr>
      <w:tr w:rsidR="003107A8" w:rsidRPr="001B69BA" w:rsidTr="00A73D42">
        <w:trPr>
          <w:trHeight w:val="975"/>
        </w:trPr>
        <w:tc>
          <w:tcPr>
            <w:tcW w:w="3027" w:type="dxa"/>
            <w:tcBorders>
              <w:top w:val="single" w:sz="4" w:space="0" w:color="auto"/>
              <w:bottom w:val="single" w:sz="8" w:space="0" w:color="auto"/>
              <w:right w:val="nil"/>
            </w:tcBorders>
            <w:shd w:val="clear" w:color="000000" w:fill="FFFFFF"/>
            <w:noWrap/>
            <w:vAlign w:val="bottom"/>
            <w:hideMark/>
          </w:tcPr>
          <w:p w:rsidR="003107A8" w:rsidRPr="001B69BA" w:rsidRDefault="003107A8" w:rsidP="003107A8">
            <w:pPr>
              <w:keepNext/>
              <w:keepLines/>
              <w:spacing w:after="0" w:line="240" w:lineRule="auto"/>
              <w:rPr>
                <w:rFonts w:ascii="Times New Roman" w:hAnsi="Times New Roman"/>
                <w:color w:val="000000"/>
                <w:sz w:val="20"/>
                <w:szCs w:val="20"/>
              </w:rPr>
            </w:pPr>
            <w:r w:rsidRPr="001B69BA">
              <w:rPr>
                <w:rFonts w:ascii="Times New Roman" w:hAnsi="Times New Roman"/>
                <w:color w:val="000000"/>
                <w:sz w:val="20"/>
                <w:szCs w:val="20"/>
              </w:rPr>
              <w:t> </w:t>
            </w:r>
          </w:p>
        </w:tc>
        <w:tc>
          <w:tcPr>
            <w:tcW w:w="1491" w:type="dxa"/>
            <w:tcBorders>
              <w:top w:val="single" w:sz="4" w:space="0" w:color="auto"/>
              <w:left w:val="nil"/>
              <w:bottom w:val="single" w:sz="8" w:space="0" w:color="auto"/>
              <w:right w:val="nil"/>
            </w:tcBorders>
            <w:shd w:val="clear" w:color="000000" w:fill="FFFFFF"/>
            <w:vAlign w:val="center"/>
            <w:hideMark/>
          </w:tcPr>
          <w:p w:rsidR="003107A8" w:rsidRPr="001B69BA" w:rsidRDefault="003107A8" w:rsidP="0083285E">
            <w:pPr>
              <w:keepNext/>
              <w:keepLines/>
              <w:spacing w:after="0" w:line="240" w:lineRule="auto"/>
              <w:jc w:val="center"/>
              <w:rPr>
                <w:rFonts w:ascii="Times New Roman" w:hAnsi="Times New Roman"/>
                <w:color w:val="000000"/>
                <w:sz w:val="20"/>
                <w:szCs w:val="20"/>
              </w:rPr>
            </w:pPr>
            <w:r w:rsidRPr="001B69BA">
              <w:rPr>
                <w:rFonts w:ascii="Times New Roman" w:hAnsi="Times New Roman"/>
                <w:color w:val="000000"/>
                <w:sz w:val="20"/>
                <w:szCs w:val="20"/>
              </w:rPr>
              <w:t xml:space="preserve">Market Capitalization </w:t>
            </w:r>
            <w:r w:rsidR="0083285E" w:rsidRPr="001B69BA">
              <w:rPr>
                <w:rFonts w:ascii="Times New Roman" w:hAnsi="Times New Roman"/>
                <w:color w:val="000000"/>
                <w:sz w:val="20"/>
                <w:szCs w:val="20"/>
              </w:rPr>
              <w:t>20</w:t>
            </w:r>
            <w:r w:rsidR="0083285E">
              <w:rPr>
                <w:rFonts w:ascii="Times New Roman" w:hAnsi="Times New Roman"/>
                <w:color w:val="000000"/>
                <w:sz w:val="20"/>
                <w:szCs w:val="20"/>
              </w:rPr>
              <w:t>08</w:t>
            </w:r>
          </w:p>
        </w:tc>
        <w:tc>
          <w:tcPr>
            <w:tcW w:w="1491" w:type="dxa"/>
            <w:tcBorders>
              <w:top w:val="single" w:sz="4" w:space="0" w:color="auto"/>
              <w:left w:val="nil"/>
              <w:bottom w:val="single" w:sz="8" w:space="0" w:color="auto"/>
              <w:right w:val="nil"/>
            </w:tcBorders>
            <w:shd w:val="clear" w:color="000000" w:fill="FFFFFF"/>
            <w:vAlign w:val="center"/>
            <w:hideMark/>
          </w:tcPr>
          <w:p w:rsidR="003107A8" w:rsidRPr="001B69BA" w:rsidRDefault="003107A8" w:rsidP="0083285E">
            <w:pPr>
              <w:keepNext/>
              <w:keepLines/>
              <w:spacing w:after="0" w:line="240" w:lineRule="auto"/>
              <w:jc w:val="center"/>
              <w:rPr>
                <w:rFonts w:ascii="Times New Roman" w:hAnsi="Times New Roman"/>
                <w:color w:val="000000"/>
                <w:sz w:val="20"/>
                <w:szCs w:val="20"/>
              </w:rPr>
            </w:pPr>
            <w:r w:rsidRPr="001B69BA">
              <w:rPr>
                <w:rFonts w:ascii="Times New Roman" w:hAnsi="Times New Roman"/>
                <w:color w:val="000000"/>
                <w:sz w:val="20"/>
                <w:szCs w:val="20"/>
              </w:rPr>
              <w:t xml:space="preserve">Market Capitalization </w:t>
            </w:r>
            <w:r w:rsidR="0083285E" w:rsidRPr="001B69BA">
              <w:rPr>
                <w:rFonts w:ascii="Times New Roman" w:hAnsi="Times New Roman"/>
                <w:color w:val="000000"/>
                <w:sz w:val="20"/>
                <w:szCs w:val="20"/>
              </w:rPr>
              <w:t>20</w:t>
            </w:r>
            <w:r w:rsidR="0083285E">
              <w:rPr>
                <w:rFonts w:ascii="Times New Roman" w:hAnsi="Times New Roman"/>
                <w:color w:val="000000"/>
                <w:sz w:val="20"/>
                <w:szCs w:val="20"/>
              </w:rPr>
              <w:t>10</w:t>
            </w:r>
          </w:p>
        </w:tc>
        <w:tc>
          <w:tcPr>
            <w:tcW w:w="1206" w:type="dxa"/>
            <w:tcBorders>
              <w:top w:val="single" w:sz="4" w:space="0" w:color="auto"/>
              <w:left w:val="nil"/>
              <w:bottom w:val="single" w:sz="8" w:space="0" w:color="auto"/>
              <w:right w:val="nil"/>
            </w:tcBorders>
            <w:shd w:val="clear" w:color="000000" w:fill="FFFFFF"/>
            <w:noWrap/>
            <w:vAlign w:val="center"/>
            <w:hideMark/>
          </w:tcPr>
          <w:p w:rsidR="003107A8" w:rsidRPr="001B69BA" w:rsidRDefault="003107A8" w:rsidP="003107A8">
            <w:pPr>
              <w:keepNext/>
              <w:keepLines/>
              <w:spacing w:after="0" w:line="240" w:lineRule="auto"/>
              <w:jc w:val="center"/>
              <w:rPr>
                <w:rFonts w:ascii="Times New Roman" w:hAnsi="Times New Roman"/>
                <w:color w:val="000000"/>
                <w:sz w:val="20"/>
                <w:szCs w:val="20"/>
              </w:rPr>
            </w:pPr>
            <w:r w:rsidRPr="001B69BA">
              <w:rPr>
                <w:rFonts w:ascii="Times New Roman" w:hAnsi="Times New Roman"/>
                <w:color w:val="000000"/>
                <w:sz w:val="20"/>
                <w:szCs w:val="20"/>
              </w:rPr>
              <w:t>Turnover</w:t>
            </w:r>
            <w:r w:rsidR="00C27AAF">
              <w:rPr>
                <w:rFonts w:ascii="Times New Roman" w:hAnsi="Times New Roman"/>
                <w:color w:val="000000"/>
                <w:sz w:val="20"/>
                <w:szCs w:val="20"/>
              </w:rPr>
              <w:t xml:space="preserve"> 2010</w:t>
            </w:r>
            <w:r w:rsidRPr="001B69BA">
              <w:rPr>
                <w:rFonts w:ascii="Times New Roman" w:hAnsi="Times New Roman"/>
                <w:color w:val="000000"/>
                <w:sz w:val="20"/>
                <w:szCs w:val="20"/>
              </w:rPr>
              <w:t xml:space="preserve"> </w:t>
            </w:r>
          </w:p>
        </w:tc>
        <w:tc>
          <w:tcPr>
            <w:tcW w:w="1125" w:type="dxa"/>
            <w:tcBorders>
              <w:top w:val="single" w:sz="4" w:space="0" w:color="auto"/>
              <w:left w:val="nil"/>
              <w:bottom w:val="single" w:sz="8" w:space="0" w:color="auto"/>
            </w:tcBorders>
            <w:shd w:val="clear" w:color="000000" w:fill="FFFFFF"/>
            <w:vAlign w:val="center"/>
            <w:hideMark/>
          </w:tcPr>
          <w:p w:rsidR="003107A8" w:rsidRPr="001B69BA" w:rsidRDefault="003107A8" w:rsidP="003107A8">
            <w:pPr>
              <w:keepNext/>
              <w:keepLines/>
              <w:spacing w:after="0" w:line="240" w:lineRule="auto"/>
              <w:jc w:val="center"/>
              <w:rPr>
                <w:rFonts w:ascii="Times New Roman" w:hAnsi="Times New Roman"/>
                <w:color w:val="000000"/>
                <w:sz w:val="20"/>
                <w:szCs w:val="20"/>
              </w:rPr>
            </w:pPr>
            <w:r w:rsidRPr="001B69BA">
              <w:rPr>
                <w:rFonts w:ascii="Times New Roman" w:hAnsi="Times New Roman"/>
                <w:color w:val="000000"/>
                <w:sz w:val="20"/>
                <w:szCs w:val="20"/>
              </w:rPr>
              <w:t>No. of Listed Companies</w:t>
            </w:r>
            <w:r w:rsidR="00C27AAF">
              <w:rPr>
                <w:rFonts w:ascii="Times New Roman" w:hAnsi="Times New Roman"/>
                <w:color w:val="000000"/>
                <w:sz w:val="20"/>
                <w:szCs w:val="20"/>
              </w:rPr>
              <w:t xml:space="preserve"> 2010</w:t>
            </w:r>
          </w:p>
        </w:tc>
      </w:tr>
      <w:tr w:rsidR="003107A8" w:rsidRPr="001B69BA" w:rsidTr="00A73D42">
        <w:trPr>
          <w:trHeight w:val="300"/>
        </w:trPr>
        <w:tc>
          <w:tcPr>
            <w:tcW w:w="3027" w:type="dxa"/>
            <w:tcBorders>
              <w:top w:val="nil"/>
              <w:bottom w:val="nil"/>
              <w:right w:val="nil"/>
            </w:tcBorders>
            <w:shd w:val="clear" w:color="000000" w:fill="FFFFFF"/>
            <w:noWrap/>
            <w:vAlign w:val="bottom"/>
            <w:hideMark/>
          </w:tcPr>
          <w:p w:rsidR="003107A8" w:rsidRPr="001B69BA" w:rsidRDefault="003107A8" w:rsidP="003107A8">
            <w:pPr>
              <w:keepNext/>
              <w:keepLines/>
              <w:spacing w:after="0" w:line="240" w:lineRule="auto"/>
              <w:rPr>
                <w:rFonts w:ascii="Times New Roman" w:hAnsi="Times New Roman"/>
                <w:b/>
                <w:color w:val="000000"/>
                <w:sz w:val="20"/>
                <w:szCs w:val="20"/>
              </w:rPr>
            </w:pPr>
            <w:r w:rsidRPr="001B69BA">
              <w:rPr>
                <w:rFonts w:ascii="Times New Roman" w:hAnsi="Times New Roman"/>
                <w:b/>
                <w:color w:val="000000"/>
                <w:sz w:val="20"/>
                <w:szCs w:val="20"/>
              </w:rPr>
              <w:t>Official market</w:t>
            </w:r>
          </w:p>
        </w:tc>
        <w:tc>
          <w:tcPr>
            <w:tcW w:w="4188" w:type="dxa"/>
            <w:gridSpan w:val="3"/>
            <w:tcBorders>
              <w:top w:val="single" w:sz="8" w:space="0" w:color="auto"/>
              <w:left w:val="nil"/>
              <w:bottom w:val="single" w:sz="4" w:space="0" w:color="auto"/>
              <w:right w:val="nil"/>
            </w:tcBorders>
            <w:shd w:val="clear" w:color="000000" w:fill="FFFFFF"/>
            <w:noWrap/>
            <w:vAlign w:val="bottom"/>
            <w:hideMark/>
          </w:tcPr>
          <w:p w:rsidR="003107A8" w:rsidRPr="001B69BA" w:rsidRDefault="003107A8" w:rsidP="003107A8">
            <w:pPr>
              <w:keepNext/>
              <w:keepLines/>
              <w:spacing w:after="0" w:line="240" w:lineRule="auto"/>
              <w:jc w:val="center"/>
              <w:rPr>
                <w:rFonts w:ascii="Times New Roman" w:hAnsi="Times New Roman"/>
                <w:i/>
                <w:color w:val="000000"/>
                <w:sz w:val="20"/>
                <w:szCs w:val="20"/>
              </w:rPr>
            </w:pPr>
            <w:r w:rsidRPr="001B69BA">
              <w:rPr>
                <w:rFonts w:ascii="Times New Roman" w:hAnsi="Times New Roman"/>
                <w:i/>
                <w:color w:val="000000"/>
                <w:sz w:val="20"/>
                <w:szCs w:val="20"/>
              </w:rPr>
              <w:t>Percent of Total</w:t>
            </w:r>
          </w:p>
        </w:tc>
        <w:tc>
          <w:tcPr>
            <w:tcW w:w="1125" w:type="dxa"/>
            <w:tcBorders>
              <w:top w:val="nil"/>
              <w:left w:val="nil"/>
            </w:tcBorders>
            <w:shd w:val="clear" w:color="000000" w:fill="FFFFFF"/>
            <w:noWrap/>
            <w:vAlign w:val="bottom"/>
            <w:hideMark/>
          </w:tcPr>
          <w:p w:rsidR="003107A8" w:rsidRPr="001B69BA" w:rsidRDefault="003107A8" w:rsidP="003107A8">
            <w:pPr>
              <w:keepNext/>
              <w:keepLines/>
              <w:spacing w:after="0" w:line="240" w:lineRule="auto"/>
              <w:rPr>
                <w:rFonts w:ascii="Times New Roman" w:hAnsi="Times New Roman"/>
                <w:i/>
                <w:color w:val="000000"/>
                <w:sz w:val="20"/>
                <w:szCs w:val="20"/>
              </w:rPr>
            </w:pPr>
          </w:p>
        </w:tc>
      </w:tr>
      <w:tr w:rsidR="001E7A1C" w:rsidRPr="001B69BA" w:rsidTr="00A73D42">
        <w:trPr>
          <w:trHeight w:val="300"/>
        </w:trPr>
        <w:tc>
          <w:tcPr>
            <w:tcW w:w="3027" w:type="dxa"/>
            <w:tcBorders>
              <w:top w:val="nil"/>
              <w:bottom w:val="nil"/>
              <w:right w:val="nil"/>
            </w:tcBorders>
            <w:shd w:val="clear" w:color="000000" w:fill="FFFFFF"/>
            <w:noWrap/>
            <w:vAlign w:val="bottom"/>
            <w:hideMark/>
          </w:tcPr>
          <w:p w:rsidR="001E7A1C" w:rsidRPr="001B69BA" w:rsidRDefault="001E7A1C" w:rsidP="003107A8">
            <w:pPr>
              <w:keepNext/>
              <w:keepLines/>
              <w:spacing w:after="0" w:line="240" w:lineRule="auto"/>
              <w:rPr>
                <w:rFonts w:ascii="Times New Roman" w:hAnsi="Times New Roman"/>
                <w:color w:val="000000"/>
                <w:sz w:val="20"/>
                <w:szCs w:val="20"/>
              </w:rPr>
            </w:pPr>
            <w:r w:rsidRPr="001B69BA">
              <w:rPr>
                <w:rFonts w:ascii="Times New Roman" w:hAnsi="Times New Roman"/>
                <w:color w:val="000000"/>
                <w:sz w:val="20"/>
                <w:szCs w:val="20"/>
              </w:rPr>
              <w:t xml:space="preserve">  Segment A</w:t>
            </w:r>
          </w:p>
        </w:tc>
        <w:tc>
          <w:tcPr>
            <w:tcW w:w="1491" w:type="dxa"/>
            <w:tcBorders>
              <w:top w:val="single" w:sz="4" w:space="0" w:color="auto"/>
              <w:left w:val="nil"/>
              <w:bottom w:val="nil"/>
              <w:right w:val="nil"/>
            </w:tcBorders>
            <w:shd w:val="clear" w:color="000000" w:fill="FFFFFF"/>
            <w:noWrap/>
            <w:vAlign w:val="bottom"/>
            <w:hideMark/>
          </w:tcPr>
          <w:p w:rsidR="001E7A1C" w:rsidRPr="001B69BA" w:rsidRDefault="001E7A1C" w:rsidP="003107A8">
            <w:pPr>
              <w:keepNext/>
              <w:keepLines/>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1.5</w:t>
            </w:r>
          </w:p>
        </w:tc>
        <w:tc>
          <w:tcPr>
            <w:tcW w:w="1491" w:type="dxa"/>
            <w:tcBorders>
              <w:top w:val="single" w:sz="4" w:space="0" w:color="auto"/>
              <w:left w:val="nil"/>
              <w:bottom w:val="nil"/>
              <w:right w:val="nil"/>
            </w:tcBorders>
            <w:shd w:val="clear" w:color="000000" w:fill="FFFFFF"/>
            <w:noWrap/>
            <w:vAlign w:val="bottom"/>
            <w:hideMark/>
          </w:tcPr>
          <w:p w:rsidR="001E7A1C" w:rsidRPr="001B69BA" w:rsidRDefault="001E7A1C" w:rsidP="003107A8">
            <w:pPr>
              <w:keepNext/>
              <w:keepLines/>
              <w:spacing w:after="0" w:line="240" w:lineRule="auto"/>
              <w:jc w:val="right"/>
              <w:rPr>
                <w:rFonts w:ascii="Times New Roman" w:hAnsi="Times New Roman"/>
                <w:color w:val="000000"/>
                <w:sz w:val="20"/>
                <w:szCs w:val="20"/>
              </w:rPr>
            </w:pPr>
            <w:r w:rsidRPr="008A70F3">
              <w:rPr>
                <w:rFonts w:ascii="Times New Roman" w:hAnsi="Times New Roman"/>
                <w:color w:val="000000"/>
                <w:sz w:val="20"/>
                <w:szCs w:val="20"/>
              </w:rPr>
              <w:t>1.8</w:t>
            </w:r>
          </w:p>
        </w:tc>
        <w:tc>
          <w:tcPr>
            <w:tcW w:w="1206" w:type="dxa"/>
            <w:tcBorders>
              <w:top w:val="single" w:sz="4" w:space="0" w:color="auto"/>
              <w:left w:val="nil"/>
              <w:bottom w:val="nil"/>
              <w:right w:val="nil"/>
            </w:tcBorders>
            <w:shd w:val="clear" w:color="000000" w:fill="FFFFFF"/>
            <w:noWrap/>
            <w:vAlign w:val="bottom"/>
            <w:hideMark/>
          </w:tcPr>
          <w:p w:rsidR="001E7A1C" w:rsidRPr="001B69BA" w:rsidRDefault="001E7A1C" w:rsidP="003107A8">
            <w:pPr>
              <w:keepNext/>
              <w:keepLines/>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3.7</w:t>
            </w:r>
          </w:p>
        </w:tc>
        <w:tc>
          <w:tcPr>
            <w:tcW w:w="1125" w:type="dxa"/>
            <w:tcBorders>
              <w:left w:val="nil"/>
              <w:bottom w:val="nil"/>
            </w:tcBorders>
            <w:shd w:val="clear" w:color="000000" w:fill="FFFFFF"/>
            <w:noWrap/>
            <w:vAlign w:val="bottom"/>
            <w:hideMark/>
          </w:tcPr>
          <w:p w:rsidR="001E7A1C" w:rsidRPr="001B69BA" w:rsidRDefault="001E7A1C" w:rsidP="003107A8">
            <w:pPr>
              <w:keepNext/>
              <w:keepLines/>
              <w:spacing w:after="0" w:line="240" w:lineRule="auto"/>
              <w:rPr>
                <w:rFonts w:ascii="Times New Roman" w:hAnsi="Times New Roman"/>
                <w:color w:val="000000"/>
                <w:sz w:val="20"/>
                <w:szCs w:val="20"/>
              </w:rPr>
            </w:pPr>
            <w:r w:rsidRPr="001B69BA">
              <w:rPr>
                <w:rFonts w:ascii="Times New Roman" w:hAnsi="Times New Roman"/>
                <w:color w:val="000000"/>
                <w:sz w:val="20"/>
                <w:szCs w:val="20"/>
              </w:rPr>
              <w:t> </w:t>
            </w:r>
          </w:p>
        </w:tc>
      </w:tr>
      <w:tr w:rsidR="001E7A1C" w:rsidRPr="001B69BA" w:rsidTr="00A73D42">
        <w:trPr>
          <w:trHeight w:val="300"/>
        </w:trPr>
        <w:tc>
          <w:tcPr>
            <w:tcW w:w="3027" w:type="dxa"/>
            <w:tcBorders>
              <w:top w:val="nil"/>
              <w:bottom w:val="nil"/>
              <w:right w:val="nil"/>
            </w:tcBorders>
            <w:shd w:val="clear" w:color="000000" w:fill="FFFFFF"/>
            <w:noWrap/>
            <w:vAlign w:val="bottom"/>
            <w:hideMark/>
          </w:tcPr>
          <w:p w:rsidR="001E7A1C" w:rsidRPr="001B69BA" w:rsidRDefault="001E7A1C" w:rsidP="003107A8">
            <w:pPr>
              <w:keepNext/>
              <w:keepLines/>
              <w:spacing w:after="0" w:line="240" w:lineRule="auto"/>
              <w:rPr>
                <w:rFonts w:ascii="Times New Roman" w:hAnsi="Times New Roman"/>
                <w:color w:val="000000"/>
                <w:sz w:val="20"/>
                <w:szCs w:val="20"/>
              </w:rPr>
            </w:pPr>
            <w:r w:rsidRPr="001B69BA">
              <w:rPr>
                <w:rFonts w:ascii="Times New Roman" w:hAnsi="Times New Roman"/>
                <w:color w:val="000000"/>
                <w:sz w:val="20"/>
                <w:szCs w:val="20"/>
              </w:rPr>
              <w:t xml:space="preserve">  Segment B</w:t>
            </w:r>
          </w:p>
        </w:tc>
        <w:tc>
          <w:tcPr>
            <w:tcW w:w="1491" w:type="dxa"/>
            <w:tcBorders>
              <w:top w:val="nil"/>
              <w:left w:val="nil"/>
              <w:bottom w:val="nil"/>
              <w:right w:val="nil"/>
            </w:tcBorders>
            <w:shd w:val="clear" w:color="000000" w:fill="FFFFFF"/>
            <w:noWrap/>
            <w:vAlign w:val="bottom"/>
            <w:hideMark/>
          </w:tcPr>
          <w:p w:rsidR="001E7A1C" w:rsidRPr="001B69BA" w:rsidRDefault="001E7A1C" w:rsidP="003107A8">
            <w:pPr>
              <w:keepNext/>
              <w:keepLines/>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30.3</w:t>
            </w:r>
          </w:p>
        </w:tc>
        <w:tc>
          <w:tcPr>
            <w:tcW w:w="1491" w:type="dxa"/>
            <w:tcBorders>
              <w:top w:val="nil"/>
              <w:left w:val="nil"/>
              <w:bottom w:val="nil"/>
              <w:right w:val="nil"/>
            </w:tcBorders>
            <w:shd w:val="clear" w:color="000000" w:fill="FFFFFF"/>
            <w:noWrap/>
            <w:vAlign w:val="bottom"/>
            <w:hideMark/>
          </w:tcPr>
          <w:p w:rsidR="001E7A1C" w:rsidRPr="001B69BA" w:rsidRDefault="001E7A1C" w:rsidP="003107A8">
            <w:pPr>
              <w:keepNext/>
              <w:keepLines/>
              <w:spacing w:after="0" w:line="240" w:lineRule="auto"/>
              <w:jc w:val="right"/>
              <w:rPr>
                <w:rFonts w:ascii="Times New Roman" w:hAnsi="Times New Roman"/>
                <w:color w:val="000000"/>
                <w:sz w:val="20"/>
                <w:szCs w:val="20"/>
              </w:rPr>
            </w:pPr>
            <w:r w:rsidRPr="008A70F3">
              <w:rPr>
                <w:rFonts w:ascii="Times New Roman" w:hAnsi="Times New Roman"/>
                <w:color w:val="000000"/>
                <w:sz w:val="20"/>
                <w:szCs w:val="20"/>
              </w:rPr>
              <w:t>35.4</w:t>
            </w:r>
          </w:p>
        </w:tc>
        <w:tc>
          <w:tcPr>
            <w:tcW w:w="1206" w:type="dxa"/>
            <w:tcBorders>
              <w:top w:val="nil"/>
              <w:left w:val="nil"/>
              <w:bottom w:val="nil"/>
              <w:right w:val="nil"/>
            </w:tcBorders>
            <w:shd w:val="clear" w:color="000000" w:fill="FFFFFF"/>
            <w:noWrap/>
            <w:vAlign w:val="bottom"/>
            <w:hideMark/>
          </w:tcPr>
          <w:p w:rsidR="001E7A1C" w:rsidRPr="001B69BA" w:rsidRDefault="001E7A1C" w:rsidP="003107A8">
            <w:pPr>
              <w:keepNext/>
              <w:keepLines/>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25.8</w:t>
            </w:r>
          </w:p>
        </w:tc>
        <w:tc>
          <w:tcPr>
            <w:tcW w:w="1125" w:type="dxa"/>
            <w:tcBorders>
              <w:top w:val="nil"/>
              <w:left w:val="nil"/>
              <w:bottom w:val="nil"/>
            </w:tcBorders>
            <w:shd w:val="clear" w:color="000000" w:fill="FFFFFF"/>
            <w:noWrap/>
            <w:vAlign w:val="bottom"/>
            <w:hideMark/>
          </w:tcPr>
          <w:p w:rsidR="001E7A1C" w:rsidRPr="001B69BA" w:rsidRDefault="001E7A1C" w:rsidP="003107A8">
            <w:pPr>
              <w:keepNext/>
              <w:keepLines/>
              <w:spacing w:after="0" w:line="240" w:lineRule="auto"/>
              <w:rPr>
                <w:rFonts w:ascii="Times New Roman" w:hAnsi="Times New Roman"/>
                <w:color w:val="000000"/>
                <w:sz w:val="20"/>
                <w:szCs w:val="20"/>
              </w:rPr>
            </w:pPr>
            <w:r w:rsidRPr="001B69BA">
              <w:rPr>
                <w:rFonts w:ascii="Times New Roman" w:hAnsi="Times New Roman"/>
                <w:color w:val="000000"/>
                <w:sz w:val="20"/>
                <w:szCs w:val="20"/>
              </w:rPr>
              <w:t> </w:t>
            </w:r>
          </w:p>
        </w:tc>
      </w:tr>
      <w:tr w:rsidR="001E7A1C" w:rsidRPr="001B69BA" w:rsidTr="00A73D42">
        <w:trPr>
          <w:trHeight w:val="300"/>
        </w:trPr>
        <w:tc>
          <w:tcPr>
            <w:tcW w:w="3027" w:type="dxa"/>
            <w:tcBorders>
              <w:top w:val="nil"/>
              <w:bottom w:val="nil"/>
              <w:right w:val="nil"/>
            </w:tcBorders>
            <w:shd w:val="clear" w:color="000000" w:fill="FFFFFF"/>
            <w:noWrap/>
            <w:vAlign w:val="bottom"/>
            <w:hideMark/>
          </w:tcPr>
          <w:p w:rsidR="001E7A1C" w:rsidRPr="001B69BA" w:rsidRDefault="001E7A1C" w:rsidP="003107A8">
            <w:pPr>
              <w:keepNext/>
              <w:keepLines/>
              <w:spacing w:after="0" w:line="240" w:lineRule="auto"/>
              <w:rPr>
                <w:rFonts w:ascii="Times New Roman" w:hAnsi="Times New Roman"/>
                <w:color w:val="000000"/>
                <w:sz w:val="20"/>
                <w:szCs w:val="20"/>
              </w:rPr>
            </w:pPr>
            <w:r w:rsidRPr="001B69BA">
              <w:rPr>
                <w:rFonts w:ascii="Times New Roman" w:hAnsi="Times New Roman"/>
                <w:color w:val="000000"/>
                <w:sz w:val="20"/>
                <w:szCs w:val="20"/>
              </w:rPr>
              <w:t xml:space="preserve">  Official market, total</w:t>
            </w:r>
          </w:p>
        </w:tc>
        <w:tc>
          <w:tcPr>
            <w:tcW w:w="1491" w:type="dxa"/>
            <w:tcBorders>
              <w:top w:val="nil"/>
              <w:left w:val="nil"/>
              <w:bottom w:val="nil"/>
              <w:right w:val="nil"/>
            </w:tcBorders>
            <w:shd w:val="clear" w:color="000000" w:fill="FFFFFF"/>
            <w:noWrap/>
            <w:vAlign w:val="bottom"/>
            <w:hideMark/>
          </w:tcPr>
          <w:p w:rsidR="001E7A1C" w:rsidRPr="00A064B6" w:rsidRDefault="001E7A1C" w:rsidP="003107A8">
            <w:pPr>
              <w:keepNext/>
              <w:keepLines/>
              <w:spacing w:after="0" w:line="240" w:lineRule="auto"/>
              <w:jc w:val="right"/>
              <w:rPr>
                <w:rFonts w:ascii="Times New Roman" w:hAnsi="Times New Roman"/>
                <w:b/>
                <w:color w:val="000000"/>
                <w:sz w:val="20"/>
                <w:szCs w:val="20"/>
              </w:rPr>
            </w:pPr>
            <w:r w:rsidRPr="00A064B6">
              <w:rPr>
                <w:rFonts w:ascii="Times New Roman" w:hAnsi="Times New Roman"/>
                <w:b/>
                <w:color w:val="000000"/>
                <w:sz w:val="20"/>
                <w:szCs w:val="20"/>
              </w:rPr>
              <w:t>31.8</w:t>
            </w:r>
          </w:p>
        </w:tc>
        <w:tc>
          <w:tcPr>
            <w:tcW w:w="1491" w:type="dxa"/>
            <w:tcBorders>
              <w:top w:val="nil"/>
              <w:left w:val="nil"/>
              <w:bottom w:val="nil"/>
              <w:right w:val="nil"/>
            </w:tcBorders>
            <w:shd w:val="clear" w:color="000000" w:fill="FFFFFF"/>
            <w:noWrap/>
            <w:vAlign w:val="bottom"/>
            <w:hideMark/>
          </w:tcPr>
          <w:p w:rsidR="001E7A1C" w:rsidRPr="00A064B6" w:rsidRDefault="001E7A1C" w:rsidP="003107A8">
            <w:pPr>
              <w:keepNext/>
              <w:keepLines/>
              <w:spacing w:after="0" w:line="240" w:lineRule="auto"/>
              <w:jc w:val="right"/>
              <w:rPr>
                <w:rFonts w:ascii="Times New Roman" w:hAnsi="Times New Roman"/>
                <w:b/>
                <w:color w:val="000000"/>
                <w:sz w:val="20"/>
                <w:szCs w:val="20"/>
              </w:rPr>
            </w:pPr>
            <w:r w:rsidRPr="00A064B6">
              <w:rPr>
                <w:rFonts w:ascii="Times New Roman" w:hAnsi="Times New Roman"/>
                <w:b/>
                <w:color w:val="000000"/>
                <w:sz w:val="20"/>
                <w:szCs w:val="20"/>
              </w:rPr>
              <w:t>37.2</w:t>
            </w:r>
          </w:p>
        </w:tc>
        <w:tc>
          <w:tcPr>
            <w:tcW w:w="1206" w:type="dxa"/>
            <w:tcBorders>
              <w:top w:val="nil"/>
              <w:left w:val="nil"/>
              <w:bottom w:val="nil"/>
              <w:right w:val="nil"/>
            </w:tcBorders>
            <w:shd w:val="clear" w:color="000000" w:fill="FFFFFF"/>
            <w:noWrap/>
            <w:vAlign w:val="bottom"/>
            <w:hideMark/>
          </w:tcPr>
          <w:p w:rsidR="001E7A1C" w:rsidRPr="001B69BA" w:rsidRDefault="001E7A1C" w:rsidP="003107A8">
            <w:pPr>
              <w:keepNext/>
              <w:keepLines/>
              <w:spacing w:after="0" w:line="240" w:lineRule="auto"/>
              <w:jc w:val="right"/>
              <w:rPr>
                <w:rFonts w:ascii="Times New Roman" w:hAnsi="Times New Roman"/>
                <w:b/>
                <w:color w:val="000000"/>
                <w:sz w:val="20"/>
                <w:szCs w:val="20"/>
              </w:rPr>
            </w:pPr>
            <w:r w:rsidRPr="001B69BA">
              <w:rPr>
                <w:rFonts w:ascii="Times New Roman" w:hAnsi="Times New Roman"/>
                <w:color w:val="000000"/>
                <w:sz w:val="20"/>
                <w:szCs w:val="20"/>
              </w:rPr>
              <w:t> </w:t>
            </w:r>
            <w:r w:rsidRPr="001B69BA">
              <w:rPr>
                <w:rFonts w:ascii="Times New Roman" w:hAnsi="Times New Roman"/>
                <w:b/>
                <w:color w:val="000000"/>
                <w:sz w:val="20"/>
                <w:szCs w:val="20"/>
              </w:rPr>
              <w:t>29.5</w:t>
            </w:r>
          </w:p>
        </w:tc>
        <w:tc>
          <w:tcPr>
            <w:tcW w:w="1125" w:type="dxa"/>
            <w:tcBorders>
              <w:top w:val="nil"/>
              <w:left w:val="nil"/>
              <w:bottom w:val="nil"/>
            </w:tcBorders>
            <w:shd w:val="clear" w:color="000000" w:fill="FFFFFF"/>
            <w:noWrap/>
            <w:vAlign w:val="bottom"/>
            <w:hideMark/>
          </w:tcPr>
          <w:p w:rsidR="001E7A1C" w:rsidRPr="001B69BA" w:rsidRDefault="001E7A1C" w:rsidP="003107A8">
            <w:pPr>
              <w:keepNext/>
              <w:keepLines/>
              <w:spacing w:after="0" w:line="240" w:lineRule="auto"/>
              <w:jc w:val="right"/>
              <w:rPr>
                <w:rFonts w:ascii="Times New Roman" w:hAnsi="Times New Roman"/>
                <w:b/>
                <w:bCs/>
                <w:color w:val="000000"/>
                <w:sz w:val="20"/>
                <w:szCs w:val="20"/>
              </w:rPr>
            </w:pPr>
            <w:r w:rsidRPr="001B69BA">
              <w:rPr>
                <w:rFonts w:ascii="Times New Roman" w:hAnsi="Times New Roman"/>
                <w:b/>
                <w:bCs/>
                <w:color w:val="000000"/>
                <w:sz w:val="20"/>
                <w:szCs w:val="20"/>
              </w:rPr>
              <w:t>23</w:t>
            </w:r>
          </w:p>
        </w:tc>
      </w:tr>
      <w:tr w:rsidR="001E7A1C" w:rsidRPr="001B69BA" w:rsidTr="00A73D42">
        <w:trPr>
          <w:trHeight w:val="300"/>
        </w:trPr>
        <w:tc>
          <w:tcPr>
            <w:tcW w:w="3027" w:type="dxa"/>
            <w:tcBorders>
              <w:top w:val="nil"/>
              <w:bottom w:val="nil"/>
              <w:right w:val="nil"/>
            </w:tcBorders>
            <w:shd w:val="clear" w:color="000000" w:fill="FFFFFF"/>
            <w:noWrap/>
            <w:vAlign w:val="bottom"/>
            <w:hideMark/>
          </w:tcPr>
          <w:p w:rsidR="001E7A1C" w:rsidRPr="001B69BA" w:rsidRDefault="001E7A1C" w:rsidP="003107A8">
            <w:pPr>
              <w:keepNext/>
              <w:keepLines/>
              <w:spacing w:after="0" w:line="240" w:lineRule="auto"/>
              <w:rPr>
                <w:rFonts w:ascii="Times New Roman" w:hAnsi="Times New Roman"/>
                <w:b/>
                <w:color w:val="000000"/>
                <w:sz w:val="20"/>
                <w:szCs w:val="20"/>
              </w:rPr>
            </w:pPr>
            <w:r w:rsidRPr="001B69BA">
              <w:rPr>
                <w:rFonts w:ascii="Times New Roman" w:hAnsi="Times New Roman"/>
                <w:b/>
                <w:color w:val="000000"/>
                <w:sz w:val="20"/>
                <w:szCs w:val="20"/>
              </w:rPr>
              <w:t>Unofficial market</w:t>
            </w:r>
          </w:p>
        </w:tc>
        <w:tc>
          <w:tcPr>
            <w:tcW w:w="1491" w:type="dxa"/>
            <w:tcBorders>
              <w:top w:val="nil"/>
              <w:left w:val="nil"/>
              <w:bottom w:val="nil"/>
              <w:right w:val="nil"/>
            </w:tcBorders>
            <w:shd w:val="clear" w:color="000000" w:fill="FFFFFF"/>
            <w:noWrap/>
            <w:vAlign w:val="bottom"/>
            <w:hideMark/>
          </w:tcPr>
          <w:p w:rsidR="001E7A1C" w:rsidRPr="001B69BA" w:rsidRDefault="001E7A1C" w:rsidP="003107A8">
            <w:pPr>
              <w:keepNext/>
              <w:keepLines/>
              <w:spacing w:after="0" w:line="240" w:lineRule="auto"/>
              <w:jc w:val="right"/>
              <w:rPr>
                <w:rFonts w:ascii="Times New Roman" w:hAnsi="Times New Roman"/>
                <w:color w:val="000000"/>
                <w:sz w:val="20"/>
                <w:szCs w:val="20"/>
              </w:rPr>
            </w:pPr>
          </w:p>
        </w:tc>
        <w:tc>
          <w:tcPr>
            <w:tcW w:w="1491" w:type="dxa"/>
            <w:tcBorders>
              <w:top w:val="nil"/>
              <w:left w:val="nil"/>
              <w:bottom w:val="nil"/>
              <w:right w:val="nil"/>
            </w:tcBorders>
            <w:shd w:val="clear" w:color="000000" w:fill="FFFFFF"/>
            <w:noWrap/>
            <w:vAlign w:val="bottom"/>
            <w:hideMark/>
          </w:tcPr>
          <w:p w:rsidR="001E7A1C" w:rsidRPr="001B69BA" w:rsidRDefault="001E7A1C" w:rsidP="003107A8">
            <w:pPr>
              <w:keepNext/>
              <w:keepLines/>
              <w:spacing w:after="0" w:line="240" w:lineRule="auto"/>
              <w:jc w:val="right"/>
              <w:rPr>
                <w:rFonts w:ascii="Times New Roman" w:hAnsi="Times New Roman"/>
                <w:color w:val="000000"/>
                <w:sz w:val="20"/>
                <w:szCs w:val="20"/>
              </w:rPr>
            </w:pPr>
          </w:p>
        </w:tc>
        <w:tc>
          <w:tcPr>
            <w:tcW w:w="1206" w:type="dxa"/>
            <w:tcBorders>
              <w:top w:val="nil"/>
              <w:left w:val="nil"/>
              <w:bottom w:val="nil"/>
              <w:right w:val="nil"/>
            </w:tcBorders>
            <w:shd w:val="clear" w:color="000000" w:fill="FFFFFF"/>
            <w:noWrap/>
            <w:vAlign w:val="bottom"/>
            <w:hideMark/>
          </w:tcPr>
          <w:p w:rsidR="001E7A1C" w:rsidRPr="001B69BA" w:rsidRDefault="001E7A1C" w:rsidP="003107A8">
            <w:pPr>
              <w:keepNext/>
              <w:keepLines/>
              <w:spacing w:after="0" w:line="240" w:lineRule="auto"/>
              <w:jc w:val="right"/>
              <w:rPr>
                <w:rFonts w:ascii="Times New Roman" w:hAnsi="Times New Roman"/>
                <w:color w:val="000000"/>
                <w:sz w:val="20"/>
                <w:szCs w:val="20"/>
              </w:rPr>
            </w:pPr>
          </w:p>
        </w:tc>
        <w:tc>
          <w:tcPr>
            <w:tcW w:w="1125" w:type="dxa"/>
            <w:tcBorders>
              <w:top w:val="nil"/>
              <w:left w:val="nil"/>
              <w:bottom w:val="nil"/>
            </w:tcBorders>
            <w:shd w:val="clear" w:color="000000" w:fill="FFFFFF"/>
            <w:noWrap/>
            <w:vAlign w:val="bottom"/>
            <w:hideMark/>
          </w:tcPr>
          <w:p w:rsidR="001E7A1C" w:rsidRPr="001B69BA" w:rsidRDefault="001E7A1C" w:rsidP="003107A8">
            <w:pPr>
              <w:keepNext/>
              <w:keepLines/>
              <w:spacing w:after="0" w:line="240" w:lineRule="auto"/>
              <w:rPr>
                <w:rFonts w:ascii="Times New Roman" w:hAnsi="Times New Roman"/>
                <w:color w:val="000000"/>
                <w:sz w:val="20"/>
                <w:szCs w:val="20"/>
              </w:rPr>
            </w:pPr>
          </w:p>
        </w:tc>
      </w:tr>
      <w:tr w:rsidR="001E7A1C" w:rsidRPr="001B69BA" w:rsidTr="00A73D42">
        <w:trPr>
          <w:trHeight w:val="300"/>
        </w:trPr>
        <w:tc>
          <w:tcPr>
            <w:tcW w:w="3027" w:type="dxa"/>
            <w:tcBorders>
              <w:top w:val="nil"/>
              <w:bottom w:val="nil"/>
              <w:right w:val="nil"/>
            </w:tcBorders>
            <w:shd w:val="clear" w:color="000000" w:fill="FFFFFF"/>
            <w:noWrap/>
            <w:vAlign w:val="bottom"/>
            <w:hideMark/>
          </w:tcPr>
          <w:p w:rsidR="001E7A1C" w:rsidRPr="001B69BA" w:rsidRDefault="001E7A1C" w:rsidP="003107A8">
            <w:pPr>
              <w:keepNext/>
              <w:keepLines/>
              <w:spacing w:after="0" w:line="240" w:lineRule="auto"/>
              <w:rPr>
                <w:rFonts w:ascii="Times New Roman" w:hAnsi="Times New Roman"/>
                <w:color w:val="000000"/>
                <w:sz w:val="20"/>
                <w:szCs w:val="20"/>
              </w:rPr>
            </w:pPr>
            <w:r w:rsidRPr="001B69BA">
              <w:rPr>
                <w:rFonts w:ascii="Times New Roman" w:hAnsi="Times New Roman"/>
                <w:color w:val="000000"/>
                <w:sz w:val="20"/>
                <w:szCs w:val="20"/>
              </w:rPr>
              <w:t xml:space="preserve">  Segment A</w:t>
            </w:r>
          </w:p>
        </w:tc>
        <w:tc>
          <w:tcPr>
            <w:tcW w:w="1491" w:type="dxa"/>
            <w:tcBorders>
              <w:top w:val="nil"/>
              <w:left w:val="nil"/>
              <w:bottom w:val="nil"/>
              <w:right w:val="nil"/>
            </w:tcBorders>
            <w:shd w:val="clear" w:color="000000" w:fill="FFFFFF"/>
            <w:noWrap/>
            <w:vAlign w:val="bottom"/>
            <w:hideMark/>
          </w:tcPr>
          <w:p w:rsidR="001E7A1C" w:rsidRPr="001B69BA" w:rsidRDefault="001E7A1C" w:rsidP="003107A8">
            <w:pPr>
              <w:keepNext/>
              <w:keepLines/>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64.1</w:t>
            </w:r>
          </w:p>
        </w:tc>
        <w:tc>
          <w:tcPr>
            <w:tcW w:w="1491" w:type="dxa"/>
            <w:tcBorders>
              <w:top w:val="nil"/>
              <w:left w:val="nil"/>
              <w:bottom w:val="nil"/>
              <w:right w:val="nil"/>
            </w:tcBorders>
            <w:shd w:val="clear" w:color="000000" w:fill="FFFFFF"/>
            <w:noWrap/>
            <w:vAlign w:val="bottom"/>
            <w:hideMark/>
          </w:tcPr>
          <w:p w:rsidR="001E7A1C" w:rsidRPr="001B69BA" w:rsidRDefault="001E7A1C" w:rsidP="003107A8">
            <w:pPr>
              <w:keepNext/>
              <w:keepLines/>
              <w:spacing w:after="0" w:line="240" w:lineRule="auto"/>
              <w:jc w:val="right"/>
              <w:rPr>
                <w:rFonts w:ascii="Times New Roman" w:hAnsi="Times New Roman"/>
                <w:color w:val="000000"/>
                <w:sz w:val="20"/>
                <w:szCs w:val="20"/>
              </w:rPr>
            </w:pPr>
            <w:r w:rsidRPr="008A70F3">
              <w:rPr>
                <w:rFonts w:ascii="Times New Roman" w:hAnsi="Times New Roman"/>
                <w:color w:val="000000"/>
                <w:sz w:val="20"/>
                <w:szCs w:val="20"/>
              </w:rPr>
              <w:t>42.9</w:t>
            </w:r>
          </w:p>
        </w:tc>
        <w:tc>
          <w:tcPr>
            <w:tcW w:w="1206" w:type="dxa"/>
            <w:tcBorders>
              <w:top w:val="nil"/>
              <w:left w:val="nil"/>
              <w:bottom w:val="nil"/>
              <w:right w:val="nil"/>
            </w:tcBorders>
            <w:shd w:val="clear" w:color="000000" w:fill="FFFFFF"/>
            <w:noWrap/>
            <w:vAlign w:val="bottom"/>
            <w:hideMark/>
          </w:tcPr>
          <w:p w:rsidR="001E7A1C" w:rsidRPr="001B69BA" w:rsidRDefault="001E7A1C" w:rsidP="003107A8">
            <w:pPr>
              <w:keepNext/>
              <w:keepLines/>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35.2</w:t>
            </w:r>
          </w:p>
        </w:tc>
        <w:tc>
          <w:tcPr>
            <w:tcW w:w="1125" w:type="dxa"/>
            <w:tcBorders>
              <w:top w:val="nil"/>
              <w:left w:val="nil"/>
              <w:bottom w:val="nil"/>
            </w:tcBorders>
            <w:shd w:val="clear" w:color="000000" w:fill="FFFFFF"/>
            <w:noWrap/>
            <w:vAlign w:val="bottom"/>
            <w:hideMark/>
          </w:tcPr>
          <w:p w:rsidR="001E7A1C" w:rsidRPr="001B69BA" w:rsidRDefault="001E7A1C" w:rsidP="003107A8">
            <w:pPr>
              <w:keepNext/>
              <w:keepLines/>
              <w:spacing w:after="0" w:line="240" w:lineRule="auto"/>
              <w:rPr>
                <w:rFonts w:ascii="Times New Roman" w:hAnsi="Times New Roman"/>
                <w:color w:val="000000"/>
                <w:sz w:val="20"/>
                <w:szCs w:val="20"/>
              </w:rPr>
            </w:pPr>
            <w:r w:rsidRPr="001B69BA">
              <w:rPr>
                <w:rFonts w:ascii="Times New Roman" w:hAnsi="Times New Roman"/>
                <w:color w:val="000000"/>
                <w:sz w:val="20"/>
                <w:szCs w:val="20"/>
              </w:rPr>
              <w:t> </w:t>
            </w:r>
          </w:p>
        </w:tc>
      </w:tr>
      <w:tr w:rsidR="001E7A1C" w:rsidRPr="001B69BA" w:rsidTr="00A73D42">
        <w:trPr>
          <w:trHeight w:val="300"/>
        </w:trPr>
        <w:tc>
          <w:tcPr>
            <w:tcW w:w="3027" w:type="dxa"/>
            <w:tcBorders>
              <w:top w:val="nil"/>
              <w:right w:val="nil"/>
            </w:tcBorders>
            <w:shd w:val="clear" w:color="000000" w:fill="FFFFFF"/>
            <w:noWrap/>
            <w:vAlign w:val="bottom"/>
            <w:hideMark/>
          </w:tcPr>
          <w:p w:rsidR="001E7A1C" w:rsidRPr="001B69BA" w:rsidRDefault="001E7A1C" w:rsidP="003107A8">
            <w:pPr>
              <w:keepNext/>
              <w:keepLines/>
              <w:spacing w:after="0" w:line="240" w:lineRule="auto"/>
              <w:rPr>
                <w:rFonts w:ascii="Times New Roman" w:hAnsi="Times New Roman"/>
                <w:color w:val="000000"/>
                <w:sz w:val="20"/>
                <w:szCs w:val="20"/>
              </w:rPr>
            </w:pPr>
            <w:r w:rsidRPr="001B69BA">
              <w:rPr>
                <w:rFonts w:ascii="Times New Roman" w:hAnsi="Times New Roman"/>
                <w:color w:val="000000"/>
                <w:sz w:val="20"/>
                <w:szCs w:val="20"/>
              </w:rPr>
              <w:t xml:space="preserve">  Segment B</w:t>
            </w:r>
          </w:p>
        </w:tc>
        <w:tc>
          <w:tcPr>
            <w:tcW w:w="1491" w:type="dxa"/>
            <w:tcBorders>
              <w:top w:val="nil"/>
              <w:left w:val="nil"/>
              <w:right w:val="nil"/>
            </w:tcBorders>
            <w:shd w:val="clear" w:color="000000" w:fill="FFFFFF"/>
            <w:noWrap/>
            <w:vAlign w:val="bottom"/>
            <w:hideMark/>
          </w:tcPr>
          <w:p w:rsidR="001E7A1C" w:rsidRPr="008A70F3" w:rsidRDefault="001E7A1C" w:rsidP="003107A8">
            <w:pPr>
              <w:keepNext/>
              <w:keepLines/>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4.0</w:t>
            </w:r>
          </w:p>
        </w:tc>
        <w:tc>
          <w:tcPr>
            <w:tcW w:w="1491" w:type="dxa"/>
            <w:tcBorders>
              <w:top w:val="nil"/>
              <w:left w:val="nil"/>
              <w:right w:val="nil"/>
            </w:tcBorders>
            <w:shd w:val="clear" w:color="000000" w:fill="FFFFFF"/>
            <w:noWrap/>
            <w:vAlign w:val="bottom"/>
            <w:hideMark/>
          </w:tcPr>
          <w:p w:rsidR="001E7A1C" w:rsidRPr="001B69BA" w:rsidRDefault="001E7A1C" w:rsidP="003107A8">
            <w:pPr>
              <w:keepNext/>
              <w:keepLines/>
              <w:spacing w:after="0" w:line="240" w:lineRule="auto"/>
              <w:jc w:val="right"/>
              <w:rPr>
                <w:rFonts w:ascii="Times New Roman" w:hAnsi="Times New Roman"/>
                <w:color w:val="000000"/>
                <w:sz w:val="20"/>
                <w:szCs w:val="20"/>
              </w:rPr>
            </w:pPr>
            <w:r w:rsidRPr="008A70F3">
              <w:rPr>
                <w:rFonts w:ascii="Times New Roman" w:hAnsi="Times New Roman"/>
                <w:color w:val="000000"/>
                <w:sz w:val="20"/>
                <w:szCs w:val="20"/>
              </w:rPr>
              <w:t>19.9</w:t>
            </w:r>
          </w:p>
        </w:tc>
        <w:tc>
          <w:tcPr>
            <w:tcW w:w="1206" w:type="dxa"/>
            <w:tcBorders>
              <w:top w:val="nil"/>
              <w:left w:val="nil"/>
              <w:right w:val="nil"/>
            </w:tcBorders>
            <w:shd w:val="clear" w:color="000000" w:fill="FFFFFF"/>
            <w:noWrap/>
            <w:vAlign w:val="bottom"/>
            <w:hideMark/>
          </w:tcPr>
          <w:p w:rsidR="001E7A1C" w:rsidRPr="001B69BA" w:rsidRDefault="001E7A1C" w:rsidP="003107A8">
            <w:pPr>
              <w:keepNext/>
              <w:keepLines/>
              <w:spacing w:after="0" w:line="240" w:lineRule="auto"/>
              <w:jc w:val="right"/>
              <w:rPr>
                <w:rFonts w:ascii="Times New Roman" w:hAnsi="Times New Roman"/>
                <w:color w:val="000000"/>
                <w:sz w:val="20"/>
                <w:szCs w:val="20"/>
              </w:rPr>
            </w:pPr>
            <w:r w:rsidRPr="001B69BA">
              <w:rPr>
                <w:rFonts w:ascii="Times New Roman" w:hAnsi="Times New Roman"/>
                <w:color w:val="000000"/>
                <w:sz w:val="20"/>
                <w:szCs w:val="20"/>
              </w:rPr>
              <w:t>35.3</w:t>
            </w:r>
          </w:p>
        </w:tc>
        <w:tc>
          <w:tcPr>
            <w:tcW w:w="1125" w:type="dxa"/>
            <w:tcBorders>
              <w:top w:val="nil"/>
              <w:left w:val="nil"/>
            </w:tcBorders>
            <w:shd w:val="clear" w:color="000000" w:fill="FFFFFF"/>
            <w:noWrap/>
            <w:vAlign w:val="bottom"/>
            <w:hideMark/>
          </w:tcPr>
          <w:p w:rsidR="001E7A1C" w:rsidRPr="001B69BA" w:rsidRDefault="001E7A1C" w:rsidP="003107A8">
            <w:pPr>
              <w:keepNext/>
              <w:keepLines/>
              <w:spacing w:after="0" w:line="240" w:lineRule="auto"/>
              <w:rPr>
                <w:rFonts w:ascii="Times New Roman" w:hAnsi="Times New Roman"/>
                <w:color w:val="000000"/>
                <w:sz w:val="20"/>
                <w:szCs w:val="20"/>
              </w:rPr>
            </w:pPr>
            <w:r w:rsidRPr="001B69BA">
              <w:rPr>
                <w:rFonts w:ascii="Times New Roman" w:hAnsi="Times New Roman"/>
                <w:color w:val="000000"/>
                <w:sz w:val="20"/>
                <w:szCs w:val="20"/>
              </w:rPr>
              <w:t> </w:t>
            </w:r>
          </w:p>
        </w:tc>
      </w:tr>
      <w:tr w:rsidR="001E7A1C" w:rsidRPr="001B69BA" w:rsidTr="00A73D42">
        <w:trPr>
          <w:trHeight w:val="300"/>
        </w:trPr>
        <w:tc>
          <w:tcPr>
            <w:tcW w:w="3027" w:type="dxa"/>
            <w:tcBorders>
              <w:top w:val="nil"/>
              <w:right w:val="nil"/>
            </w:tcBorders>
            <w:shd w:val="clear" w:color="000000" w:fill="FFFFFF"/>
            <w:noWrap/>
            <w:vAlign w:val="bottom"/>
            <w:hideMark/>
          </w:tcPr>
          <w:p w:rsidR="001E7A1C" w:rsidRPr="001B69BA" w:rsidRDefault="001E7A1C" w:rsidP="003107A8">
            <w:pPr>
              <w:keepNext/>
              <w:keepLines/>
              <w:spacing w:after="0" w:line="240" w:lineRule="auto"/>
              <w:rPr>
                <w:rFonts w:ascii="Times New Roman" w:hAnsi="Times New Roman"/>
                <w:color w:val="000000"/>
                <w:sz w:val="20"/>
                <w:szCs w:val="20"/>
              </w:rPr>
            </w:pPr>
            <w:r w:rsidRPr="001B69BA">
              <w:rPr>
                <w:rFonts w:ascii="Times New Roman" w:hAnsi="Times New Roman"/>
                <w:color w:val="000000"/>
                <w:sz w:val="20"/>
                <w:szCs w:val="20"/>
              </w:rPr>
              <w:t>Unofficial market, total</w:t>
            </w:r>
          </w:p>
        </w:tc>
        <w:tc>
          <w:tcPr>
            <w:tcW w:w="1491" w:type="dxa"/>
            <w:tcBorders>
              <w:top w:val="nil"/>
              <w:left w:val="nil"/>
              <w:bottom w:val="single" w:sz="4" w:space="0" w:color="auto"/>
              <w:right w:val="nil"/>
            </w:tcBorders>
            <w:shd w:val="clear" w:color="000000" w:fill="FFFFFF"/>
            <w:noWrap/>
            <w:vAlign w:val="bottom"/>
            <w:hideMark/>
          </w:tcPr>
          <w:p w:rsidR="001E7A1C" w:rsidRPr="00A064B6" w:rsidRDefault="001E7A1C" w:rsidP="003107A8">
            <w:pPr>
              <w:keepNext/>
              <w:keepLines/>
              <w:spacing w:after="0" w:line="240" w:lineRule="auto"/>
              <w:jc w:val="right"/>
              <w:rPr>
                <w:rFonts w:ascii="Times New Roman" w:hAnsi="Times New Roman"/>
                <w:b/>
                <w:color w:val="000000"/>
                <w:sz w:val="20"/>
                <w:szCs w:val="20"/>
              </w:rPr>
            </w:pPr>
            <w:r w:rsidRPr="00A064B6">
              <w:rPr>
                <w:rFonts w:ascii="Times New Roman" w:hAnsi="Times New Roman"/>
                <w:b/>
                <w:color w:val="000000"/>
                <w:sz w:val="20"/>
                <w:szCs w:val="20"/>
              </w:rPr>
              <w:t>68.2</w:t>
            </w:r>
          </w:p>
        </w:tc>
        <w:tc>
          <w:tcPr>
            <w:tcW w:w="1491" w:type="dxa"/>
            <w:tcBorders>
              <w:top w:val="nil"/>
              <w:left w:val="nil"/>
              <w:bottom w:val="single" w:sz="4" w:space="0" w:color="auto"/>
              <w:right w:val="nil"/>
            </w:tcBorders>
            <w:shd w:val="clear" w:color="000000" w:fill="FFFFFF"/>
            <w:noWrap/>
            <w:vAlign w:val="bottom"/>
            <w:hideMark/>
          </w:tcPr>
          <w:p w:rsidR="001E7A1C" w:rsidRPr="00A064B6" w:rsidRDefault="001E7A1C" w:rsidP="003107A8">
            <w:pPr>
              <w:keepNext/>
              <w:keepLines/>
              <w:spacing w:after="0" w:line="240" w:lineRule="auto"/>
              <w:jc w:val="right"/>
              <w:rPr>
                <w:rFonts w:ascii="Times New Roman" w:hAnsi="Times New Roman"/>
                <w:b/>
                <w:color w:val="000000"/>
                <w:sz w:val="20"/>
                <w:szCs w:val="20"/>
              </w:rPr>
            </w:pPr>
            <w:r w:rsidRPr="00A064B6">
              <w:rPr>
                <w:rFonts w:ascii="Times New Roman" w:hAnsi="Times New Roman"/>
                <w:b/>
                <w:color w:val="000000"/>
                <w:sz w:val="20"/>
                <w:szCs w:val="20"/>
              </w:rPr>
              <w:t>62.8</w:t>
            </w:r>
          </w:p>
        </w:tc>
        <w:tc>
          <w:tcPr>
            <w:tcW w:w="1206" w:type="dxa"/>
            <w:tcBorders>
              <w:top w:val="nil"/>
              <w:left w:val="nil"/>
              <w:bottom w:val="single" w:sz="4" w:space="0" w:color="auto"/>
              <w:right w:val="nil"/>
            </w:tcBorders>
            <w:shd w:val="clear" w:color="000000" w:fill="FFFFFF"/>
            <w:noWrap/>
            <w:vAlign w:val="bottom"/>
            <w:hideMark/>
          </w:tcPr>
          <w:p w:rsidR="001E7A1C" w:rsidRPr="00A064B6" w:rsidRDefault="001E7A1C" w:rsidP="003107A8">
            <w:pPr>
              <w:keepNext/>
              <w:keepLines/>
              <w:spacing w:after="0" w:line="240" w:lineRule="auto"/>
              <w:jc w:val="right"/>
              <w:rPr>
                <w:rFonts w:ascii="Times New Roman" w:hAnsi="Times New Roman"/>
                <w:b/>
                <w:color w:val="000000"/>
                <w:sz w:val="20"/>
                <w:szCs w:val="20"/>
              </w:rPr>
            </w:pPr>
            <w:r w:rsidRPr="00A064B6">
              <w:rPr>
                <w:rFonts w:ascii="Times New Roman" w:hAnsi="Times New Roman"/>
                <w:b/>
                <w:color w:val="000000"/>
                <w:sz w:val="20"/>
                <w:szCs w:val="20"/>
              </w:rPr>
              <w:t> 70.5</w:t>
            </w:r>
          </w:p>
        </w:tc>
        <w:tc>
          <w:tcPr>
            <w:tcW w:w="1125" w:type="dxa"/>
            <w:tcBorders>
              <w:top w:val="nil"/>
              <w:left w:val="nil"/>
              <w:bottom w:val="single" w:sz="4" w:space="0" w:color="auto"/>
            </w:tcBorders>
            <w:shd w:val="clear" w:color="000000" w:fill="FFFFFF"/>
            <w:noWrap/>
            <w:vAlign w:val="bottom"/>
            <w:hideMark/>
          </w:tcPr>
          <w:p w:rsidR="001E7A1C" w:rsidRPr="001B69BA" w:rsidRDefault="001E7A1C" w:rsidP="003107A8">
            <w:pPr>
              <w:keepNext/>
              <w:keepLines/>
              <w:spacing w:after="0" w:line="240" w:lineRule="auto"/>
              <w:jc w:val="right"/>
              <w:rPr>
                <w:rFonts w:ascii="Times New Roman" w:hAnsi="Times New Roman"/>
                <w:b/>
                <w:bCs/>
                <w:color w:val="000000"/>
                <w:sz w:val="20"/>
                <w:szCs w:val="20"/>
              </w:rPr>
            </w:pPr>
            <w:r w:rsidRPr="001B69BA">
              <w:rPr>
                <w:rFonts w:ascii="Times New Roman" w:hAnsi="Times New Roman"/>
                <w:b/>
                <w:bCs/>
                <w:color w:val="000000"/>
                <w:sz w:val="20"/>
                <w:szCs w:val="20"/>
              </w:rPr>
              <w:t>307</w:t>
            </w:r>
          </w:p>
        </w:tc>
      </w:tr>
      <w:tr w:rsidR="001E7A1C" w:rsidRPr="001B69BA" w:rsidTr="00A73D42">
        <w:trPr>
          <w:trHeight w:val="300"/>
        </w:trPr>
        <w:tc>
          <w:tcPr>
            <w:tcW w:w="3027" w:type="dxa"/>
            <w:tcBorders>
              <w:bottom w:val="single" w:sz="4" w:space="0" w:color="auto"/>
              <w:right w:val="nil"/>
            </w:tcBorders>
            <w:shd w:val="clear" w:color="000000" w:fill="FFFFFF"/>
            <w:noWrap/>
            <w:vAlign w:val="bottom"/>
            <w:hideMark/>
          </w:tcPr>
          <w:p w:rsidR="001E7A1C" w:rsidRPr="001B69BA" w:rsidRDefault="001E7A1C" w:rsidP="003107A8">
            <w:pPr>
              <w:keepNext/>
              <w:keepLines/>
              <w:spacing w:after="0" w:line="240" w:lineRule="auto"/>
              <w:rPr>
                <w:rFonts w:ascii="Times New Roman" w:hAnsi="Times New Roman"/>
                <w:b/>
                <w:color w:val="000000"/>
                <w:sz w:val="20"/>
                <w:szCs w:val="20"/>
              </w:rPr>
            </w:pPr>
            <w:r w:rsidRPr="001B69BA">
              <w:rPr>
                <w:rFonts w:ascii="Times New Roman" w:hAnsi="Times New Roman"/>
                <w:b/>
                <w:color w:val="000000"/>
                <w:sz w:val="20"/>
                <w:szCs w:val="20"/>
              </w:rPr>
              <w:t>Total</w:t>
            </w:r>
          </w:p>
        </w:tc>
        <w:tc>
          <w:tcPr>
            <w:tcW w:w="1491" w:type="dxa"/>
            <w:tcBorders>
              <w:top w:val="single" w:sz="4" w:space="0" w:color="auto"/>
              <w:left w:val="nil"/>
              <w:bottom w:val="single" w:sz="4" w:space="0" w:color="auto"/>
              <w:right w:val="nil"/>
            </w:tcBorders>
            <w:shd w:val="clear" w:color="000000" w:fill="FFFFFF"/>
            <w:noWrap/>
            <w:vAlign w:val="bottom"/>
            <w:hideMark/>
          </w:tcPr>
          <w:p w:rsidR="001E7A1C" w:rsidRPr="001B69BA" w:rsidRDefault="001E7A1C" w:rsidP="009F371B">
            <w:pPr>
              <w:keepNext/>
              <w:keepLines/>
              <w:spacing w:after="0" w:line="240" w:lineRule="auto"/>
              <w:jc w:val="right"/>
              <w:rPr>
                <w:rFonts w:ascii="Times New Roman" w:hAnsi="Times New Roman"/>
                <w:b/>
                <w:bCs/>
                <w:color w:val="000000"/>
                <w:sz w:val="20"/>
                <w:szCs w:val="20"/>
              </w:rPr>
            </w:pPr>
            <w:r w:rsidRPr="001B69BA">
              <w:rPr>
                <w:rFonts w:ascii="Times New Roman" w:hAnsi="Times New Roman"/>
                <w:b/>
                <w:bCs/>
                <w:color w:val="000000"/>
                <w:sz w:val="20"/>
                <w:szCs w:val="20"/>
              </w:rPr>
              <w:t>100</w:t>
            </w:r>
          </w:p>
        </w:tc>
        <w:tc>
          <w:tcPr>
            <w:tcW w:w="1491" w:type="dxa"/>
            <w:tcBorders>
              <w:top w:val="single" w:sz="4" w:space="0" w:color="auto"/>
              <w:left w:val="nil"/>
              <w:bottom w:val="single" w:sz="4" w:space="0" w:color="auto"/>
              <w:right w:val="nil"/>
            </w:tcBorders>
            <w:shd w:val="clear" w:color="000000" w:fill="FFFFFF"/>
            <w:noWrap/>
            <w:vAlign w:val="bottom"/>
            <w:hideMark/>
          </w:tcPr>
          <w:p w:rsidR="001E7A1C" w:rsidRPr="001B69BA" w:rsidRDefault="001E7A1C" w:rsidP="009F371B">
            <w:pPr>
              <w:keepNext/>
              <w:keepLines/>
              <w:spacing w:after="0" w:line="240" w:lineRule="auto"/>
              <w:jc w:val="right"/>
              <w:rPr>
                <w:rFonts w:ascii="Times New Roman" w:hAnsi="Times New Roman"/>
                <w:b/>
                <w:bCs/>
                <w:color w:val="000000"/>
                <w:sz w:val="20"/>
                <w:szCs w:val="20"/>
              </w:rPr>
            </w:pPr>
            <w:r w:rsidRPr="001B69BA">
              <w:rPr>
                <w:rFonts w:ascii="Times New Roman" w:hAnsi="Times New Roman"/>
                <w:b/>
                <w:bCs/>
                <w:color w:val="000000"/>
                <w:sz w:val="20"/>
                <w:szCs w:val="20"/>
              </w:rPr>
              <w:t>100</w:t>
            </w:r>
          </w:p>
        </w:tc>
        <w:tc>
          <w:tcPr>
            <w:tcW w:w="1206" w:type="dxa"/>
            <w:tcBorders>
              <w:top w:val="single" w:sz="4" w:space="0" w:color="auto"/>
              <w:left w:val="nil"/>
              <w:bottom w:val="single" w:sz="4" w:space="0" w:color="auto"/>
              <w:right w:val="nil"/>
            </w:tcBorders>
            <w:shd w:val="clear" w:color="000000" w:fill="FFFFFF"/>
            <w:noWrap/>
            <w:vAlign w:val="bottom"/>
            <w:hideMark/>
          </w:tcPr>
          <w:p w:rsidR="001E7A1C" w:rsidRPr="001B69BA" w:rsidRDefault="001E7A1C" w:rsidP="009F371B">
            <w:pPr>
              <w:keepNext/>
              <w:keepLines/>
              <w:spacing w:after="0" w:line="240" w:lineRule="auto"/>
              <w:jc w:val="right"/>
              <w:rPr>
                <w:rFonts w:ascii="Times New Roman" w:hAnsi="Times New Roman"/>
                <w:b/>
                <w:color w:val="000000"/>
                <w:sz w:val="20"/>
                <w:szCs w:val="20"/>
              </w:rPr>
            </w:pPr>
            <w:r w:rsidRPr="001B69BA">
              <w:rPr>
                <w:rFonts w:ascii="Times New Roman" w:hAnsi="Times New Roman"/>
                <w:b/>
                <w:color w:val="000000"/>
                <w:sz w:val="20"/>
                <w:szCs w:val="20"/>
              </w:rPr>
              <w:t>100</w:t>
            </w:r>
          </w:p>
        </w:tc>
        <w:tc>
          <w:tcPr>
            <w:tcW w:w="1125" w:type="dxa"/>
            <w:tcBorders>
              <w:top w:val="single" w:sz="4" w:space="0" w:color="auto"/>
              <w:left w:val="nil"/>
              <w:bottom w:val="single" w:sz="4" w:space="0" w:color="auto"/>
            </w:tcBorders>
            <w:shd w:val="clear" w:color="000000" w:fill="FFFFFF"/>
            <w:noWrap/>
            <w:vAlign w:val="bottom"/>
            <w:hideMark/>
          </w:tcPr>
          <w:p w:rsidR="001E7A1C" w:rsidRPr="001B69BA" w:rsidRDefault="001E7A1C" w:rsidP="003107A8">
            <w:pPr>
              <w:keepNext/>
              <w:keepLines/>
              <w:spacing w:after="0" w:line="240" w:lineRule="auto"/>
              <w:jc w:val="right"/>
              <w:rPr>
                <w:rFonts w:ascii="Times New Roman" w:hAnsi="Times New Roman"/>
                <w:b/>
                <w:bCs/>
                <w:color w:val="000000"/>
                <w:sz w:val="20"/>
                <w:szCs w:val="20"/>
              </w:rPr>
            </w:pPr>
            <w:r w:rsidRPr="001B69BA">
              <w:rPr>
                <w:rFonts w:ascii="Times New Roman" w:hAnsi="Times New Roman"/>
                <w:b/>
                <w:bCs/>
                <w:color w:val="000000"/>
                <w:sz w:val="20"/>
                <w:szCs w:val="20"/>
              </w:rPr>
              <w:t>330</w:t>
            </w:r>
          </w:p>
        </w:tc>
      </w:tr>
      <w:tr w:rsidR="001E7A1C" w:rsidRPr="001B69BA" w:rsidTr="00852CF2">
        <w:trPr>
          <w:trHeight w:val="278"/>
        </w:trPr>
        <w:tc>
          <w:tcPr>
            <w:tcW w:w="8340" w:type="dxa"/>
            <w:gridSpan w:val="5"/>
            <w:tcBorders>
              <w:top w:val="single" w:sz="4" w:space="0" w:color="auto"/>
            </w:tcBorders>
            <w:shd w:val="clear" w:color="000000" w:fill="FFFFFF"/>
            <w:noWrap/>
            <w:vAlign w:val="bottom"/>
            <w:hideMark/>
          </w:tcPr>
          <w:p w:rsidR="001E7A1C" w:rsidRPr="001B69BA" w:rsidRDefault="001E7A1C" w:rsidP="00852CF2">
            <w:pPr>
              <w:pStyle w:val="ListParagraph"/>
              <w:keepNext/>
              <w:keepLines/>
              <w:spacing w:after="0"/>
              <w:ind w:left="0"/>
              <w:jc w:val="both"/>
              <w:outlineLvl w:val="0"/>
              <w:rPr>
                <w:rFonts w:ascii="Times New Roman" w:hAnsi="Times New Roman"/>
                <w:i/>
                <w:sz w:val="20"/>
                <w:szCs w:val="20"/>
              </w:rPr>
            </w:pPr>
            <w:r w:rsidRPr="001B69BA">
              <w:rPr>
                <w:rFonts w:ascii="Times New Roman" w:hAnsi="Times New Roman"/>
                <w:i/>
                <w:sz w:val="20"/>
                <w:szCs w:val="20"/>
              </w:rPr>
              <w:t>Source: BSE</w:t>
            </w:r>
            <w:r w:rsidR="00ED6469">
              <w:rPr>
                <w:rFonts w:ascii="Times New Roman" w:hAnsi="Times New Roman"/>
                <w:i/>
                <w:sz w:val="20"/>
                <w:szCs w:val="20"/>
              </w:rPr>
              <w:t>.</w:t>
            </w:r>
          </w:p>
        </w:tc>
      </w:tr>
    </w:tbl>
    <w:p w:rsidR="003107A8" w:rsidRDefault="003107A8" w:rsidP="003107A8">
      <w:pPr>
        <w:pStyle w:val="ListParagraph"/>
        <w:ind w:left="0"/>
        <w:jc w:val="both"/>
        <w:rPr>
          <w:rFonts w:ascii="Times New Roman" w:hAnsi="Times New Roman"/>
          <w:sz w:val="24"/>
          <w:szCs w:val="24"/>
        </w:rPr>
      </w:pPr>
    </w:p>
    <w:p w:rsidR="009C32DB" w:rsidRDefault="009C32DB" w:rsidP="009C32DB">
      <w:pPr>
        <w:pStyle w:val="ListParagraph"/>
        <w:numPr>
          <w:ilvl w:val="0"/>
          <w:numId w:val="3"/>
        </w:numPr>
        <w:tabs>
          <w:tab w:val="left" w:pos="540"/>
        </w:tabs>
        <w:ind w:left="0" w:firstLine="0"/>
        <w:jc w:val="both"/>
        <w:rPr>
          <w:rFonts w:ascii="Times New Roman" w:hAnsi="Times New Roman"/>
          <w:sz w:val="24"/>
          <w:szCs w:val="24"/>
        </w:rPr>
      </w:pPr>
      <w:r>
        <w:rPr>
          <w:rFonts w:ascii="Times New Roman" w:hAnsi="Times New Roman"/>
          <w:b/>
          <w:sz w:val="24"/>
          <w:szCs w:val="24"/>
        </w:rPr>
        <w:t xml:space="preserve">The </w:t>
      </w:r>
      <w:r w:rsidR="00382DFA">
        <w:rPr>
          <w:rFonts w:ascii="Times New Roman" w:hAnsi="Times New Roman"/>
          <w:b/>
          <w:sz w:val="24"/>
          <w:szCs w:val="24"/>
        </w:rPr>
        <w:t xml:space="preserve">corporate </w:t>
      </w:r>
      <w:r>
        <w:rPr>
          <w:rFonts w:ascii="Times New Roman" w:hAnsi="Times New Roman"/>
          <w:b/>
          <w:sz w:val="24"/>
          <w:szCs w:val="24"/>
        </w:rPr>
        <w:t>bond market in Bulgaria is small</w:t>
      </w:r>
      <w:r w:rsidR="00382DFA">
        <w:rPr>
          <w:rFonts w:ascii="Times New Roman" w:hAnsi="Times New Roman"/>
          <w:b/>
          <w:sz w:val="24"/>
          <w:szCs w:val="24"/>
        </w:rPr>
        <w:t xml:space="preserve"> (Figure 4 and 5)</w:t>
      </w:r>
      <w:r>
        <w:rPr>
          <w:rFonts w:ascii="Times New Roman" w:hAnsi="Times New Roman"/>
          <w:b/>
          <w:sz w:val="24"/>
          <w:szCs w:val="24"/>
        </w:rPr>
        <w:t xml:space="preserve">. </w:t>
      </w:r>
      <w:r w:rsidRPr="002738C6">
        <w:rPr>
          <w:rFonts w:ascii="Times New Roman" w:hAnsi="Times New Roman"/>
          <w:sz w:val="24"/>
          <w:szCs w:val="24"/>
        </w:rPr>
        <w:t xml:space="preserve">The corporate bond market had some big issuance in years </w:t>
      </w:r>
      <w:r>
        <w:rPr>
          <w:rFonts w:ascii="Times New Roman" w:hAnsi="Times New Roman"/>
          <w:sz w:val="24"/>
          <w:szCs w:val="24"/>
        </w:rPr>
        <w:t>l</w:t>
      </w:r>
      <w:r w:rsidRPr="00D01ECA">
        <w:rPr>
          <w:rFonts w:ascii="Times New Roman" w:hAnsi="Times New Roman"/>
          <w:sz w:val="24"/>
          <w:szCs w:val="24"/>
        </w:rPr>
        <w:t xml:space="preserve">eading up to </w:t>
      </w:r>
      <w:r w:rsidRPr="002738C6">
        <w:rPr>
          <w:rFonts w:ascii="Times New Roman" w:hAnsi="Times New Roman"/>
          <w:sz w:val="24"/>
          <w:szCs w:val="24"/>
        </w:rPr>
        <w:t xml:space="preserve">the crisis, </w:t>
      </w:r>
      <w:r w:rsidRPr="00D01ECA">
        <w:rPr>
          <w:rFonts w:ascii="Times New Roman" w:hAnsi="Times New Roman"/>
          <w:sz w:val="24"/>
          <w:szCs w:val="24"/>
        </w:rPr>
        <w:t xml:space="preserve">but then </w:t>
      </w:r>
      <w:r w:rsidRPr="002738C6">
        <w:rPr>
          <w:rFonts w:ascii="Times New Roman" w:hAnsi="Times New Roman"/>
          <w:sz w:val="24"/>
          <w:szCs w:val="24"/>
        </w:rPr>
        <w:t>stagnated</w:t>
      </w:r>
      <w:r>
        <w:rPr>
          <w:rFonts w:ascii="Times New Roman" w:hAnsi="Times New Roman"/>
          <w:sz w:val="24"/>
          <w:szCs w:val="24"/>
        </w:rPr>
        <w:t>, and secondary trading is very limited</w:t>
      </w:r>
      <w:r w:rsidRPr="002738C6">
        <w:rPr>
          <w:rFonts w:ascii="Times New Roman" w:hAnsi="Times New Roman"/>
          <w:sz w:val="24"/>
          <w:szCs w:val="24"/>
        </w:rPr>
        <w:t xml:space="preserve">. </w:t>
      </w:r>
      <w:r>
        <w:rPr>
          <w:rFonts w:ascii="Times New Roman" w:hAnsi="Times New Roman"/>
          <w:sz w:val="24"/>
          <w:szCs w:val="24"/>
        </w:rPr>
        <w:t>The m</w:t>
      </w:r>
      <w:r w:rsidRPr="002738C6">
        <w:rPr>
          <w:rFonts w:ascii="Times New Roman" w:hAnsi="Times New Roman"/>
          <w:sz w:val="24"/>
          <w:szCs w:val="24"/>
        </w:rPr>
        <w:t xml:space="preserve">ain investors in </w:t>
      </w:r>
      <w:r>
        <w:rPr>
          <w:rFonts w:ascii="Times New Roman" w:hAnsi="Times New Roman"/>
          <w:sz w:val="24"/>
          <w:szCs w:val="24"/>
        </w:rPr>
        <w:t xml:space="preserve">the </w:t>
      </w:r>
      <w:r w:rsidRPr="002738C6">
        <w:rPr>
          <w:rFonts w:ascii="Times New Roman" w:hAnsi="Times New Roman"/>
          <w:sz w:val="24"/>
          <w:szCs w:val="24"/>
        </w:rPr>
        <w:t xml:space="preserve">bond market are local banks and institutional investors. </w:t>
      </w:r>
      <w:r w:rsidRPr="00A00E37">
        <w:rPr>
          <w:rFonts w:ascii="Times New Roman" w:hAnsi="Times New Roman"/>
          <w:sz w:val="24"/>
          <w:szCs w:val="24"/>
        </w:rPr>
        <w:t>Sound</w:t>
      </w:r>
      <w:r>
        <w:rPr>
          <w:rFonts w:ascii="Times New Roman" w:hAnsi="Times New Roman"/>
          <w:b/>
          <w:sz w:val="24"/>
          <w:szCs w:val="24"/>
        </w:rPr>
        <w:t xml:space="preserve"> </w:t>
      </w:r>
      <w:r w:rsidRPr="00FC4783">
        <w:rPr>
          <w:rFonts w:ascii="Times New Roman" w:hAnsi="Times New Roman"/>
          <w:sz w:val="24"/>
          <w:szCs w:val="24"/>
        </w:rPr>
        <w:t xml:space="preserve">fiscal </w:t>
      </w:r>
      <w:r>
        <w:rPr>
          <w:rFonts w:ascii="Times New Roman" w:hAnsi="Times New Roman"/>
          <w:sz w:val="24"/>
          <w:szCs w:val="24"/>
        </w:rPr>
        <w:t xml:space="preserve">policy and international borrowing has resulted in a shrinking and small local government bond market.  There is no liquid yield curve, which prevents development of other debt market segments. Necessary infrastructure for the market development is in place, including regular issuance calendars, auctions, and primary dealers and legal framework for investors’ participation. The IMF has been advising Bulgaria on how to further develop the government segment of the market. </w:t>
      </w:r>
    </w:p>
    <w:p w:rsidR="00382DFA" w:rsidRDefault="00382DFA" w:rsidP="009C32DB">
      <w:pPr>
        <w:pStyle w:val="ListParagraph"/>
        <w:tabs>
          <w:tab w:val="left" w:pos="540"/>
        </w:tabs>
        <w:ind w:left="0"/>
        <w:jc w:val="both"/>
        <w:rPr>
          <w:rFonts w:ascii="Times New Roman" w:hAnsi="Times New Roman"/>
          <w:b/>
          <w:sz w:val="24"/>
          <w:szCs w:val="24"/>
        </w:rPr>
      </w:pPr>
    </w:p>
    <w:tbl>
      <w:tblPr>
        <w:tblpPr w:leftFromText="180" w:rightFromText="180" w:vertAnchor="text" w:tblpX="1314" w:tblpY="1"/>
        <w:tblOverlap w:val="never"/>
        <w:tblW w:w="0" w:type="auto"/>
        <w:tblLook w:val="04A0"/>
      </w:tblPr>
      <w:tblGrid>
        <w:gridCol w:w="7356"/>
      </w:tblGrid>
      <w:tr w:rsidR="009C32DB" w:rsidTr="008B72DC">
        <w:tc>
          <w:tcPr>
            <w:tcW w:w="7356" w:type="dxa"/>
          </w:tcPr>
          <w:p w:rsidR="009C32DB" w:rsidRPr="00AE5079" w:rsidRDefault="009C32DB" w:rsidP="00477D83">
            <w:pPr>
              <w:pStyle w:val="Caption"/>
              <w:spacing w:after="0"/>
              <w:rPr>
                <w:b w:val="0"/>
                <w:szCs w:val="24"/>
              </w:rPr>
            </w:pPr>
            <w:bookmarkStart w:id="8" w:name="_Toc297111600"/>
            <w:r>
              <w:t xml:space="preserve">Figure </w:t>
            </w:r>
            <w:r w:rsidR="00A63D05">
              <w:fldChar w:fldCharType="begin"/>
            </w:r>
            <w:r>
              <w:instrText xml:space="preserve"> SEQ Figure \* ARABIC </w:instrText>
            </w:r>
            <w:r w:rsidR="00A63D05">
              <w:fldChar w:fldCharType="separate"/>
            </w:r>
            <w:r w:rsidR="00A064B6">
              <w:rPr>
                <w:noProof/>
              </w:rPr>
              <w:t>4</w:t>
            </w:r>
            <w:r w:rsidR="00A63D05">
              <w:fldChar w:fldCharType="end"/>
            </w:r>
            <w:r>
              <w:t xml:space="preserve">: </w:t>
            </w:r>
            <w:r w:rsidR="001522A2">
              <w:t xml:space="preserve">Size of </w:t>
            </w:r>
            <w:r>
              <w:t>Bond Markets in Europe</w:t>
            </w:r>
            <w:bookmarkEnd w:id="8"/>
          </w:p>
        </w:tc>
      </w:tr>
      <w:tr w:rsidR="009C32DB" w:rsidTr="008B72DC">
        <w:trPr>
          <w:trHeight w:val="3246"/>
        </w:trPr>
        <w:tc>
          <w:tcPr>
            <w:tcW w:w="7356" w:type="dxa"/>
          </w:tcPr>
          <w:p w:rsidR="009C32DB" w:rsidRPr="00AE5079" w:rsidRDefault="005B0697" w:rsidP="00477D83">
            <w:pPr>
              <w:tabs>
                <w:tab w:val="left" w:pos="540"/>
              </w:tabs>
              <w:spacing w:after="0"/>
              <w:jc w:val="both"/>
              <w:rPr>
                <w:rFonts w:ascii="Times New Roman" w:hAnsi="Times New Roman"/>
                <w:b/>
                <w:sz w:val="24"/>
                <w:szCs w:val="24"/>
              </w:rPr>
            </w:pPr>
            <w:r>
              <w:rPr>
                <w:rFonts w:ascii="Times New Roman" w:hAnsi="Times New Roman"/>
                <w:b/>
                <w:noProof/>
                <w:sz w:val="24"/>
                <w:szCs w:val="24"/>
              </w:rPr>
              <w:drawing>
                <wp:inline distT="0" distB="0" distL="0" distR="0">
                  <wp:extent cx="4210015" cy="2308985"/>
                  <wp:effectExtent l="13880" t="5590" r="5205" b="0"/>
                  <wp:docPr id="4" name="Pictur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9C32DB" w:rsidTr="008B72DC">
        <w:trPr>
          <w:trHeight w:val="90"/>
        </w:trPr>
        <w:tc>
          <w:tcPr>
            <w:tcW w:w="7356" w:type="dxa"/>
          </w:tcPr>
          <w:p w:rsidR="009C32DB" w:rsidRPr="00AE5079" w:rsidRDefault="009C32DB" w:rsidP="00477D83">
            <w:pPr>
              <w:pStyle w:val="ListParagraph"/>
              <w:keepNext/>
              <w:spacing w:after="0"/>
              <w:ind w:left="0"/>
              <w:jc w:val="both"/>
              <w:outlineLvl w:val="0"/>
              <w:rPr>
                <w:rFonts w:ascii="Times New Roman" w:hAnsi="Times New Roman"/>
                <w:i/>
                <w:sz w:val="20"/>
                <w:szCs w:val="20"/>
              </w:rPr>
            </w:pPr>
            <w:r w:rsidRPr="00AE5079">
              <w:rPr>
                <w:rFonts w:ascii="Times New Roman" w:hAnsi="Times New Roman"/>
                <w:i/>
                <w:sz w:val="20"/>
                <w:szCs w:val="20"/>
              </w:rPr>
              <w:t>Source: BIS.</w:t>
            </w:r>
          </w:p>
        </w:tc>
      </w:tr>
    </w:tbl>
    <w:p w:rsidR="009C32DB" w:rsidRDefault="009C32DB" w:rsidP="001B69BA">
      <w:pPr>
        <w:tabs>
          <w:tab w:val="left" w:pos="540"/>
        </w:tabs>
        <w:jc w:val="both"/>
        <w:rPr>
          <w:rFonts w:ascii="Times New Roman" w:hAnsi="Times New Roman"/>
          <w:sz w:val="24"/>
          <w:szCs w:val="24"/>
        </w:rPr>
      </w:pPr>
      <w:r>
        <w:rPr>
          <w:rFonts w:ascii="Times New Roman" w:hAnsi="Times New Roman"/>
          <w:b/>
          <w:sz w:val="24"/>
          <w:szCs w:val="24"/>
        </w:rPr>
        <w:br w:type="textWrapping" w:clear="all"/>
      </w:r>
    </w:p>
    <w:p w:rsidR="001B69BA" w:rsidRDefault="001B69BA" w:rsidP="001B69BA">
      <w:pPr>
        <w:tabs>
          <w:tab w:val="left" w:pos="540"/>
        </w:tabs>
        <w:jc w:val="both"/>
        <w:rPr>
          <w:rFonts w:ascii="Times New Roman" w:hAnsi="Times New Roman"/>
          <w:sz w:val="24"/>
          <w:szCs w:val="24"/>
        </w:rPr>
      </w:pPr>
    </w:p>
    <w:tbl>
      <w:tblPr>
        <w:tblW w:w="0" w:type="auto"/>
        <w:jc w:val="center"/>
        <w:tblLook w:val="04A0"/>
      </w:tblPr>
      <w:tblGrid>
        <w:gridCol w:w="7380"/>
      </w:tblGrid>
      <w:tr w:rsidR="001B69BA" w:rsidRPr="001B69BA" w:rsidTr="008B72DC">
        <w:trPr>
          <w:jc w:val="center"/>
        </w:trPr>
        <w:tc>
          <w:tcPr>
            <w:tcW w:w="7380" w:type="dxa"/>
          </w:tcPr>
          <w:p w:rsidR="001B69BA" w:rsidRPr="00382DFA" w:rsidRDefault="001B69BA" w:rsidP="00382DFA">
            <w:pPr>
              <w:pStyle w:val="Caption"/>
              <w:keepNext/>
              <w:keepLines/>
              <w:spacing w:after="0"/>
              <w:rPr>
                <w:szCs w:val="24"/>
              </w:rPr>
            </w:pPr>
            <w:bookmarkStart w:id="9" w:name="_Toc297111601"/>
            <w:r w:rsidRPr="00382DFA">
              <w:rPr>
                <w:szCs w:val="24"/>
              </w:rPr>
              <w:t xml:space="preserve">Figure </w:t>
            </w:r>
            <w:r w:rsidR="00A63D05" w:rsidRPr="00382DFA">
              <w:rPr>
                <w:szCs w:val="24"/>
              </w:rPr>
              <w:fldChar w:fldCharType="begin"/>
            </w:r>
            <w:r w:rsidRPr="00382DFA">
              <w:rPr>
                <w:szCs w:val="24"/>
              </w:rPr>
              <w:instrText xml:space="preserve"> SEQ Figure \* ARABIC </w:instrText>
            </w:r>
            <w:r w:rsidR="00A63D05" w:rsidRPr="00382DFA">
              <w:rPr>
                <w:szCs w:val="24"/>
              </w:rPr>
              <w:fldChar w:fldCharType="separate"/>
            </w:r>
            <w:r w:rsidR="00A064B6">
              <w:rPr>
                <w:noProof/>
                <w:szCs w:val="24"/>
              </w:rPr>
              <w:t>5</w:t>
            </w:r>
            <w:r w:rsidR="00A63D05" w:rsidRPr="00382DFA">
              <w:rPr>
                <w:szCs w:val="24"/>
              </w:rPr>
              <w:fldChar w:fldCharType="end"/>
            </w:r>
            <w:r w:rsidRPr="00382DFA">
              <w:rPr>
                <w:szCs w:val="24"/>
              </w:rPr>
              <w:t>: Evolution of Bond Market in Bulgaria</w:t>
            </w:r>
            <w:bookmarkEnd w:id="9"/>
          </w:p>
        </w:tc>
      </w:tr>
      <w:tr w:rsidR="001B69BA" w:rsidRPr="001B69BA" w:rsidTr="008B72DC">
        <w:trPr>
          <w:jc w:val="center"/>
        </w:trPr>
        <w:tc>
          <w:tcPr>
            <w:tcW w:w="7380" w:type="dxa"/>
          </w:tcPr>
          <w:p w:rsidR="001B69BA" w:rsidRPr="001B69BA" w:rsidRDefault="005B0697" w:rsidP="001B69BA">
            <w:pPr>
              <w:keepNext/>
              <w:keepLines/>
              <w:tabs>
                <w:tab w:val="left" w:pos="540"/>
              </w:tabs>
              <w:spacing w:after="0"/>
              <w:jc w:val="both"/>
              <w:rPr>
                <w:rFonts w:ascii="Times New Roman" w:hAnsi="Times New Roman"/>
                <w:b/>
                <w:sz w:val="24"/>
                <w:szCs w:val="24"/>
              </w:rPr>
            </w:pPr>
            <w:r>
              <w:rPr>
                <w:rFonts w:ascii="Times New Roman" w:hAnsi="Times New Roman"/>
                <w:b/>
                <w:noProof/>
                <w:sz w:val="24"/>
                <w:szCs w:val="24"/>
              </w:rPr>
              <w:drawing>
                <wp:inline distT="0" distB="0" distL="0" distR="0">
                  <wp:extent cx="4259115" cy="2317528"/>
                  <wp:effectExtent l="13417" t="5842" r="4193" b="730"/>
                  <wp:docPr id="5"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1B69BA" w:rsidRPr="001B69BA" w:rsidTr="008B72DC">
        <w:trPr>
          <w:jc w:val="center"/>
        </w:trPr>
        <w:tc>
          <w:tcPr>
            <w:tcW w:w="7380" w:type="dxa"/>
          </w:tcPr>
          <w:p w:rsidR="001B69BA" w:rsidRPr="001B69BA" w:rsidRDefault="001B69BA" w:rsidP="001B69BA">
            <w:pPr>
              <w:tabs>
                <w:tab w:val="left" w:pos="540"/>
              </w:tabs>
              <w:jc w:val="both"/>
              <w:rPr>
                <w:rFonts w:ascii="Times New Roman" w:hAnsi="Times New Roman"/>
                <w:b/>
                <w:i/>
                <w:sz w:val="20"/>
                <w:szCs w:val="20"/>
              </w:rPr>
            </w:pPr>
            <w:r w:rsidRPr="001B69BA">
              <w:rPr>
                <w:rFonts w:ascii="Times New Roman" w:hAnsi="Times New Roman"/>
                <w:i/>
                <w:sz w:val="20"/>
                <w:szCs w:val="20"/>
              </w:rPr>
              <w:t>Source: BIS.</w:t>
            </w:r>
          </w:p>
        </w:tc>
      </w:tr>
    </w:tbl>
    <w:p w:rsidR="00A8360E" w:rsidRPr="00A8360E" w:rsidRDefault="00A8360E" w:rsidP="00A8360E">
      <w:pPr>
        <w:pStyle w:val="ListParagraph"/>
        <w:ind w:left="0"/>
        <w:jc w:val="both"/>
        <w:rPr>
          <w:rFonts w:ascii="Times New Roman" w:hAnsi="Times New Roman"/>
          <w:sz w:val="24"/>
          <w:szCs w:val="24"/>
        </w:rPr>
      </w:pPr>
    </w:p>
    <w:p w:rsidR="00F15ECD" w:rsidRPr="00AF507B" w:rsidRDefault="00C93D88" w:rsidP="00AF507B">
      <w:pPr>
        <w:pStyle w:val="ListParagraph"/>
        <w:numPr>
          <w:ilvl w:val="0"/>
          <w:numId w:val="3"/>
        </w:numPr>
        <w:ind w:left="0" w:firstLine="0"/>
        <w:jc w:val="both"/>
        <w:rPr>
          <w:rFonts w:ascii="Times New Roman" w:hAnsi="Times New Roman"/>
          <w:sz w:val="24"/>
          <w:szCs w:val="24"/>
        </w:rPr>
      </w:pPr>
      <w:r>
        <w:rPr>
          <w:rFonts w:ascii="Times New Roman" w:hAnsi="Times New Roman"/>
          <w:b/>
          <w:sz w:val="24"/>
          <w:szCs w:val="24"/>
        </w:rPr>
        <w:t>International f</w:t>
      </w:r>
      <w:r w:rsidR="00F27E73" w:rsidRPr="00AF507B">
        <w:rPr>
          <w:rFonts w:ascii="Times New Roman" w:hAnsi="Times New Roman"/>
          <w:b/>
          <w:sz w:val="24"/>
          <w:szCs w:val="24"/>
        </w:rPr>
        <w:t xml:space="preserve">inancial market integration </w:t>
      </w:r>
      <w:r w:rsidR="00F15ECD">
        <w:rPr>
          <w:rFonts w:ascii="Times New Roman" w:hAnsi="Times New Roman"/>
          <w:b/>
          <w:sz w:val="24"/>
          <w:szCs w:val="24"/>
        </w:rPr>
        <w:t>was rapid in the pre-crisis period, and that has not been lost, but the listed equity market is only a small part of that integration</w:t>
      </w:r>
      <w:r>
        <w:rPr>
          <w:rFonts w:ascii="Times New Roman" w:hAnsi="Times New Roman"/>
          <w:b/>
          <w:sz w:val="24"/>
          <w:szCs w:val="24"/>
        </w:rPr>
        <w:t>.</w:t>
      </w:r>
      <w:r w:rsidR="00F15ECD">
        <w:rPr>
          <w:rFonts w:ascii="Times New Roman" w:hAnsi="Times New Roman"/>
          <w:b/>
          <w:sz w:val="24"/>
          <w:szCs w:val="24"/>
        </w:rPr>
        <w:t xml:space="preserve"> </w:t>
      </w:r>
      <w:r w:rsidR="00DC2478" w:rsidRPr="00AF507B">
        <w:rPr>
          <w:rFonts w:ascii="Times New Roman" w:hAnsi="Times New Roman"/>
          <w:sz w:val="24"/>
          <w:szCs w:val="24"/>
        </w:rPr>
        <w:t>Major benefits of integration have been achieved through foreign direct investments</w:t>
      </w:r>
      <w:r>
        <w:rPr>
          <w:rFonts w:ascii="Times New Roman" w:hAnsi="Times New Roman"/>
          <w:sz w:val="24"/>
          <w:szCs w:val="24"/>
        </w:rPr>
        <w:t xml:space="preserve"> amounting to </w:t>
      </w:r>
      <w:r w:rsidR="00F15ECD">
        <w:rPr>
          <w:rFonts w:ascii="Times New Roman" w:hAnsi="Times New Roman"/>
          <w:sz w:val="24"/>
          <w:szCs w:val="24"/>
        </w:rPr>
        <w:t>100 percent of GDP</w:t>
      </w:r>
      <w:r>
        <w:rPr>
          <w:rFonts w:ascii="Times New Roman" w:hAnsi="Times New Roman"/>
          <w:sz w:val="24"/>
          <w:szCs w:val="24"/>
        </w:rPr>
        <w:t xml:space="preserve"> on a cumulative basis</w:t>
      </w:r>
      <w:r w:rsidR="00F15ECD">
        <w:rPr>
          <w:rFonts w:ascii="Times New Roman" w:hAnsi="Times New Roman"/>
          <w:sz w:val="24"/>
          <w:szCs w:val="24"/>
        </w:rPr>
        <w:t>, intermediation by foreign banks,</w:t>
      </w:r>
      <w:r w:rsidR="00DC2478" w:rsidRPr="00AF507B">
        <w:rPr>
          <w:rFonts w:ascii="Times New Roman" w:hAnsi="Times New Roman"/>
          <w:sz w:val="24"/>
          <w:szCs w:val="24"/>
        </w:rPr>
        <w:t xml:space="preserve"> and </w:t>
      </w:r>
      <w:r w:rsidR="00F15ECD">
        <w:rPr>
          <w:rFonts w:ascii="Times New Roman" w:hAnsi="Times New Roman"/>
          <w:sz w:val="24"/>
          <w:szCs w:val="24"/>
        </w:rPr>
        <w:t xml:space="preserve">through </w:t>
      </w:r>
      <w:r w:rsidR="00DC2478" w:rsidRPr="00AF507B">
        <w:rPr>
          <w:rFonts w:ascii="Times New Roman" w:hAnsi="Times New Roman"/>
          <w:sz w:val="24"/>
          <w:szCs w:val="24"/>
        </w:rPr>
        <w:t xml:space="preserve">direct loans </w:t>
      </w:r>
      <w:r w:rsidR="00F15ECD">
        <w:rPr>
          <w:rFonts w:ascii="Times New Roman" w:hAnsi="Times New Roman"/>
          <w:sz w:val="24"/>
          <w:szCs w:val="24"/>
        </w:rPr>
        <w:t>from abroad to the enterprise sector</w:t>
      </w:r>
      <w:r>
        <w:rPr>
          <w:rFonts w:ascii="Times New Roman" w:hAnsi="Times New Roman"/>
          <w:sz w:val="24"/>
          <w:szCs w:val="24"/>
        </w:rPr>
        <w:t xml:space="preserve"> </w:t>
      </w:r>
      <w:r w:rsidR="00A8360E">
        <w:rPr>
          <w:rFonts w:ascii="Times New Roman" w:hAnsi="Times New Roman"/>
          <w:sz w:val="24"/>
          <w:szCs w:val="24"/>
        </w:rPr>
        <w:t>(Figure 6</w:t>
      </w:r>
      <w:r w:rsidRPr="00C93D88">
        <w:rPr>
          <w:rFonts w:ascii="Times New Roman" w:hAnsi="Times New Roman"/>
          <w:sz w:val="24"/>
          <w:szCs w:val="24"/>
        </w:rPr>
        <w:t xml:space="preserve">).  </w:t>
      </w:r>
    </w:p>
    <w:p w:rsidR="005348D4" w:rsidRDefault="005348D4">
      <w:pPr>
        <w:pStyle w:val="ListParagraph"/>
        <w:ind w:left="0"/>
        <w:jc w:val="both"/>
        <w:rPr>
          <w:rFonts w:ascii="Times New Roman" w:hAnsi="Times New Roman"/>
          <w:b/>
          <w:sz w:val="24"/>
          <w:szCs w:val="24"/>
        </w:rPr>
      </w:pPr>
    </w:p>
    <w:tbl>
      <w:tblPr>
        <w:tblW w:w="0" w:type="auto"/>
        <w:tblInd w:w="1008" w:type="dxa"/>
        <w:tblLook w:val="04A0"/>
      </w:tblPr>
      <w:tblGrid>
        <w:gridCol w:w="7560"/>
      </w:tblGrid>
      <w:tr w:rsidR="00A2729B" w:rsidRPr="00044193" w:rsidTr="008B72DC">
        <w:trPr>
          <w:trHeight w:val="360"/>
        </w:trPr>
        <w:tc>
          <w:tcPr>
            <w:tcW w:w="7560" w:type="dxa"/>
          </w:tcPr>
          <w:p w:rsidR="00A2729B" w:rsidRPr="001B6E3C" w:rsidRDefault="008B72DC" w:rsidP="00382DFA">
            <w:pPr>
              <w:pStyle w:val="Caption"/>
              <w:keepNext/>
              <w:keepLines/>
              <w:spacing w:after="0"/>
              <w:rPr>
                <w:b w:val="0"/>
                <w:szCs w:val="24"/>
              </w:rPr>
            </w:pPr>
            <w:r>
              <w:rPr>
                <w:szCs w:val="24"/>
              </w:rPr>
              <w:t xml:space="preserve">     </w:t>
            </w:r>
            <w:bookmarkStart w:id="10" w:name="_Toc297111602"/>
            <w:r w:rsidR="00EB3582" w:rsidRPr="001B6E3C">
              <w:rPr>
                <w:szCs w:val="24"/>
              </w:rPr>
              <w:t xml:space="preserve">Figure </w:t>
            </w:r>
            <w:r w:rsidR="00A63D05" w:rsidRPr="001B6E3C">
              <w:rPr>
                <w:szCs w:val="24"/>
              </w:rPr>
              <w:fldChar w:fldCharType="begin"/>
            </w:r>
            <w:r w:rsidR="000352D0" w:rsidRPr="001B6E3C">
              <w:rPr>
                <w:szCs w:val="24"/>
              </w:rPr>
              <w:instrText xml:space="preserve"> SEQ Figure \* ARABIC </w:instrText>
            </w:r>
            <w:r w:rsidR="00A63D05" w:rsidRPr="001B6E3C">
              <w:rPr>
                <w:szCs w:val="24"/>
              </w:rPr>
              <w:fldChar w:fldCharType="separate"/>
            </w:r>
            <w:r w:rsidR="00A064B6">
              <w:rPr>
                <w:noProof/>
                <w:szCs w:val="24"/>
              </w:rPr>
              <w:t>6</w:t>
            </w:r>
            <w:r w:rsidR="00A63D05" w:rsidRPr="001B6E3C">
              <w:rPr>
                <w:szCs w:val="24"/>
              </w:rPr>
              <w:fldChar w:fldCharType="end"/>
            </w:r>
            <w:r w:rsidR="00A8360E" w:rsidRPr="001B6E3C">
              <w:rPr>
                <w:szCs w:val="24"/>
              </w:rPr>
              <w:t>: Stock of F</w:t>
            </w:r>
            <w:r w:rsidR="00EB3582" w:rsidRPr="001B6E3C">
              <w:rPr>
                <w:szCs w:val="24"/>
              </w:rPr>
              <w:t xml:space="preserve">oreign </w:t>
            </w:r>
            <w:r w:rsidR="00A8360E" w:rsidRPr="001B6E3C">
              <w:rPr>
                <w:szCs w:val="24"/>
              </w:rPr>
              <w:t>I</w:t>
            </w:r>
            <w:r w:rsidR="00EB3582" w:rsidRPr="001B6E3C">
              <w:rPr>
                <w:szCs w:val="24"/>
              </w:rPr>
              <w:t>nvestments into Bulgaria</w:t>
            </w:r>
            <w:bookmarkEnd w:id="10"/>
          </w:p>
        </w:tc>
      </w:tr>
      <w:tr w:rsidR="00A2729B" w:rsidTr="008B72DC">
        <w:trPr>
          <w:trHeight w:val="3492"/>
        </w:trPr>
        <w:tc>
          <w:tcPr>
            <w:tcW w:w="7560" w:type="dxa"/>
          </w:tcPr>
          <w:p w:rsidR="00A2729B" w:rsidRPr="001B6E3C" w:rsidRDefault="005B0697" w:rsidP="001B69BA">
            <w:pPr>
              <w:pStyle w:val="ListParagraph"/>
              <w:spacing w:after="0"/>
              <w:ind w:left="0"/>
              <w:jc w:val="center"/>
              <w:rPr>
                <w:rFonts w:ascii="Times New Roman" w:hAnsi="Times New Roman"/>
                <w:b/>
                <w:sz w:val="24"/>
                <w:szCs w:val="24"/>
              </w:rPr>
            </w:pPr>
            <w:r>
              <w:rPr>
                <w:rFonts w:ascii="Times New Roman" w:hAnsi="Times New Roman"/>
                <w:b/>
                <w:noProof/>
                <w:sz w:val="24"/>
                <w:szCs w:val="24"/>
              </w:rPr>
              <w:drawing>
                <wp:inline distT="0" distB="0" distL="0" distR="0">
                  <wp:extent cx="4267866" cy="2347200"/>
                  <wp:effectExtent l="12005" t="5475" r="6379" b="0"/>
                  <wp:docPr id="6" name="Picture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A2729B" w:rsidRPr="004E51F6" w:rsidTr="008B72DC">
        <w:trPr>
          <w:trHeight w:val="360"/>
        </w:trPr>
        <w:tc>
          <w:tcPr>
            <w:tcW w:w="7560" w:type="dxa"/>
          </w:tcPr>
          <w:p w:rsidR="00A2729B" w:rsidRPr="001B6E3C" w:rsidRDefault="008B72DC" w:rsidP="001B69BA">
            <w:pPr>
              <w:pStyle w:val="ListParagraph"/>
              <w:keepNext/>
              <w:spacing w:after="0"/>
              <w:ind w:left="0"/>
              <w:jc w:val="both"/>
              <w:outlineLvl w:val="0"/>
              <w:rPr>
                <w:rFonts w:ascii="Times New Roman" w:hAnsi="Times New Roman" w:cs="Calibri"/>
                <w:i/>
                <w:sz w:val="20"/>
                <w:szCs w:val="20"/>
              </w:rPr>
            </w:pPr>
            <w:r>
              <w:rPr>
                <w:rFonts w:ascii="Times New Roman" w:hAnsi="Times New Roman" w:cs="Calibri"/>
                <w:i/>
                <w:sz w:val="20"/>
                <w:szCs w:val="20"/>
              </w:rPr>
              <w:t xml:space="preserve">      </w:t>
            </w:r>
            <w:r w:rsidR="00A2729B" w:rsidRPr="001B6E3C">
              <w:rPr>
                <w:rFonts w:ascii="Times New Roman" w:hAnsi="Times New Roman" w:cs="Calibri"/>
                <w:i/>
                <w:sz w:val="20"/>
                <w:szCs w:val="20"/>
              </w:rPr>
              <w:t>Source: IMF, BOP Database</w:t>
            </w:r>
            <w:r w:rsidR="00131D19" w:rsidRPr="001B6E3C">
              <w:rPr>
                <w:rFonts w:ascii="Times New Roman" w:hAnsi="Times New Roman" w:cs="Calibri"/>
                <w:i/>
                <w:sz w:val="20"/>
                <w:szCs w:val="20"/>
              </w:rPr>
              <w:t>.</w:t>
            </w:r>
          </w:p>
        </w:tc>
      </w:tr>
    </w:tbl>
    <w:p w:rsidR="00A2729B" w:rsidRDefault="00A2729B" w:rsidP="00A2729B">
      <w:pPr>
        <w:pStyle w:val="ListParagraph"/>
        <w:rPr>
          <w:rFonts w:ascii="Times New Roman" w:hAnsi="Times New Roman"/>
          <w:sz w:val="24"/>
          <w:szCs w:val="24"/>
        </w:rPr>
      </w:pPr>
    </w:p>
    <w:p w:rsidR="00B47C9A" w:rsidRDefault="00B47C9A" w:rsidP="00A2729B">
      <w:pPr>
        <w:pStyle w:val="ListParagraph"/>
        <w:rPr>
          <w:rFonts w:ascii="Times New Roman" w:hAnsi="Times New Roman"/>
          <w:sz w:val="24"/>
          <w:szCs w:val="24"/>
        </w:rPr>
      </w:pPr>
    </w:p>
    <w:p w:rsidR="001B69BA" w:rsidRPr="001B69BA" w:rsidRDefault="001B69BA" w:rsidP="001B69BA">
      <w:pPr>
        <w:pStyle w:val="ListParagraph"/>
        <w:numPr>
          <w:ilvl w:val="0"/>
          <w:numId w:val="3"/>
        </w:numPr>
        <w:ind w:left="0" w:firstLine="0"/>
        <w:jc w:val="both"/>
        <w:rPr>
          <w:rFonts w:ascii="Times New Roman" w:hAnsi="Times New Roman"/>
          <w:b/>
          <w:sz w:val="24"/>
          <w:szCs w:val="24"/>
        </w:rPr>
      </w:pPr>
      <w:r>
        <w:rPr>
          <w:rFonts w:ascii="Times New Roman" w:hAnsi="Times New Roman"/>
          <w:b/>
          <w:sz w:val="24"/>
          <w:szCs w:val="24"/>
        </w:rPr>
        <w:lastRenderedPageBreak/>
        <w:t>The B</w:t>
      </w:r>
      <w:r w:rsidRPr="00DC2478">
        <w:rPr>
          <w:rFonts w:ascii="Times New Roman" w:hAnsi="Times New Roman"/>
          <w:b/>
          <w:sz w:val="24"/>
          <w:szCs w:val="24"/>
        </w:rPr>
        <w:t>ulgaria</w:t>
      </w:r>
      <w:r>
        <w:rPr>
          <w:rFonts w:ascii="Times New Roman" w:hAnsi="Times New Roman"/>
          <w:b/>
          <w:sz w:val="24"/>
          <w:szCs w:val="24"/>
        </w:rPr>
        <w:t xml:space="preserve">n stock market experienced </w:t>
      </w:r>
      <w:r w:rsidRPr="00DC2478">
        <w:rPr>
          <w:rFonts w:ascii="Times New Roman" w:hAnsi="Times New Roman"/>
          <w:b/>
          <w:sz w:val="24"/>
          <w:szCs w:val="24"/>
        </w:rPr>
        <w:t>financial</w:t>
      </w:r>
      <w:r>
        <w:rPr>
          <w:rFonts w:ascii="Times New Roman" w:hAnsi="Times New Roman"/>
          <w:b/>
          <w:sz w:val="24"/>
          <w:szCs w:val="24"/>
        </w:rPr>
        <w:t xml:space="preserve"> integration with </w:t>
      </w:r>
      <w:r w:rsidRPr="00DC2478">
        <w:rPr>
          <w:rFonts w:ascii="Times New Roman" w:hAnsi="Times New Roman"/>
          <w:b/>
          <w:sz w:val="24"/>
          <w:szCs w:val="24"/>
        </w:rPr>
        <w:t xml:space="preserve">rest of the World pre-crisis, </w:t>
      </w:r>
      <w:r>
        <w:rPr>
          <w:rFonts w:ascii="Times New Roman" w:hAnsi="Times New Roman"/>
          <w:b/>
          <w:sz w:val="24"/>
          <w:szCs w:val="24"/>
        </w:rPr>
        <w:t xml:space="preserve">but to a lesser extent than most of emerging Europe (Figure </w:t>
      </w:r>
      <w:r w:rsidR="00382DFA">
        <w:rPr>
          <w:rFonts w:ascii="Times New Roman" w:hAnsi="Times New Roman"/>
          <w:b/>
          <w:sz w:val="24"/>
          <w:szCs w:val="24"/>
        </w:rPr>
        <w:t>7</w:t>
      </w:r>
      <w:r>
        <w:rPr>
          <w:rFonts w:ascii="Times New Roman" w:hAnsi="Times New Roman"/>
          <w:b/>
          <w:sz w:val="24"/>
          <w:szCs w:val="24"/>
        </w:rPr>
        <w:t xml:space="preserve">). </w:t>
      </w:r>
      <w:r w:rsidR="00497705">
        <w:rPr>
          <w:rFonts w:ascii="Times New Roman" w:hAnsi="Times New Roman"/>
          <w:b/>
          <w:sz w:val="24"/>
          <w:szCs w:val="24"/>
        </w:rPr>
        <w:t xml:space="preserve"> </w:t>
      </w:r>
      <w:r w:rsidR="00C466F3">
        <w:rPr>
          <w:rFonts w:ascii="Times New Roman" w:hAnsi="Times New Roman"/>
          <w:sz w:val="24"/>
          <w:szCs w:val="24"/>
        </w:rPr>
        <w:t>N</w:t>
      </w:r>
      <w:r>
        <w:rPr>
          <w:rFonts w:ascii="Times New Roman" w:hAnsi="Times New Roman"/>
          <w:sz w:val="24"/>
          <w:szCs w:val="24"/>
        </w:rPr>
        <w:t xml:space="preserve">ew </w:t>
      </w:r>
      <w:r w:rsidR="00A064B6">
        <w:rPr>
          <w:rFonts w:ascii="Times New Roman" w:hAnsi="Times New Roman"/>
          <w:sz w:val="24"/>
          <w:szCs w:val="24"/>
        </w:rPr>
        <w:t>M</w:t>
      </w:r>
      <w:r>
        <w:rPr>
          <w:rFonts w:ascii="Times New Roman" w:hAnsi="Times New Roman"/>
          <w:sz w:val="24"/>
          <w:szCs w:val="24"/>
        </w:rPr>
        <w:t xml:space="preserve">ember </w:t>
      </w:r>
      <w:r w:rsidR="00A064B6">
        <w:rPr>
          <w:rFonts w:ascii="Times New Roman" w:hAnsi="Times New Roman"/>
          <w:sz w:val="24"/>
          <w:szCs w:val="24"/>
        </w:rPr>
        <w:t>S</w:t>
      </w:r>
      <w:r>
        <w:rPr>
          <w:rFonts w:ascii="Times New Roman" w:hAnsi="Times New Roman"/>
          <w:sz w:val="24"/>
          <w:szCs w:val="24"/>
        </w:rPr>
        <w:t xml:space="preserve">tates </w:t>
      </w:r>
      <w:r w:rsidR="00C466F3">
        <w:rPr>
          <w:rFonts w:ascii="Times New Roman" w:hAnsi="Times New Roman"/>
          <w:sz w:val="24"/>
          <w:szCs w:val="24"/>
        </w:rPr>
        <w:t xml:space="preserve">with larger and deeper capital markets </w:t>
      </w:r>
      <w:r>
        <w:rPr>
          <w:rFonts w:ascii="Times New Roman" w:hAnsi="Times New Roman"/>
          <w:sz w:val="24"/>
          <w:szCs w:val="24"/>
        </w:rPr>
        <w:t xml:space="preserve">enjoyed greater foreign investments in the local stock markets and continue to do so. Despite significant inflows into emerging markets equity after the crisis, foreign inflows in Bulgaria have been declining, amid low liquidity and a weak domestic economy. At </w:t>
      </w:r>
      <w:r w:rsidRPr="00825AF1">
        <w:rPr>
          <w:rFonts w:ascii="Times New Roman" w:hAnsi="Times New Roman"/>
          <w:sz w:val="24"/>
          <w:szCs w:val="24"/>
        </w:rPr>
        <w:t xml:space="preserve">the same time </w:t>
      </w:r>
      <w:r>
        <w:rPr>
          <w:rFonts w:ascii="Times New Roman" w:hAnsi="Times New Roman"/>
          <w:sz w:val="24"/>
          <w:szCs w:val="24"/>
        </w:rPr>
        <w:t xml:space="preserve">Bulgarian </w:t>
      </w:r>
      <w:r w:rsidRPr="00825AF1">
        <w:rPr>
          <w:rFonts w:ascii="Times New Roman" w:hAnsi="Times New Roman"/>
          <w:sz w:val="24"/>
          <w:szCs w:val="24"/>
        </w:rPr>
        <w:t xml:space="preserve">pension funds are becoming more inclined to invest abroad, as new regulatory framework sets </w:t>
      </w:r>
      <w:r w:rsidR="00A163FD">
        <w:rPr>
          <w:rFonts w:ascii="Times New Roman" w:hAnsi="Times New Roman"/>
          <w:sz w:val="24"/>
          <w:szCs w:val="24"/>
        </w:rPr>
        <w:t>a</w:t>
      </w:r>
      <w:r w:rsidR="00A163FD" w:rsidRPr="00825AF1">
        <w:rPr>
          <w:rFonts w:ascii="Times New Roman" w:hAnsi="Times New Roman"/>
          <w:sz w:val="24"/>
          <w:szCs w:val="24"/>
        </w:rPr>
        <w:t xml:space="preserve"> </w:t>
      </w:r>
      <w:r w:rsidRPr="00825AF1">
        <w:rPr>
          <w:rFonts w:ascii="Times New Roman" w:hAnsi="Times New Roman"/>
          <w:sz w:val="24"/>
          <w:szCs w:val="24"/>
        </w:rPr>
        <w:t>basis for cross-border trading.</w:t>
      </w:r>
      <w:r>
        <w:rPr>
          <w:rFonts w:ascii="Times New Roman" w:hAnsi="Times New Roman"/>
          <w:sz w:val="24"/>
          <w:szCs w:val="24"/>
        </w:rPr>
        <w:t xml:space="preserve"> This makes it more difficult for Bulgarian firms to access </w:t>
      </w:r>
      <w:r w:rsidR="00497705">
        <w:rPr>
          <w:rFonts w:ascii="Times New Roman" w:hAnsi="Times New Roman"/>
          <w:sz w:val="24"/>
          <w:szCs w:val="24"/>
        </w:rPr>
        <w:t xml:space="preserve">funding in </w:t>
      </w:r>
      <w:r w:rsidR="00C27AAF">
        <w:rPr>
          <w:rFonts w:ascii="Times New Roman" w:hAnsi="Times New Roman"/>
          <w:sz w:val="24"/>
          <w:szCs w:val="24"/>
        </w:rPr>
        <w:t xml:space="preserve">the </w:t>
      </w:r>
      <w:r>
        <w:rPr>
          <w:rFonts w:ascii="Times New Roman" w:hAnsi="Times New Roman"/>
          <w:sz w:val="24"/>
          <w:szCs w:val="24"/>
        </w:rPr>
        <w:t xml:space="preserve">equity </w:t>
      </w:r>
      <w:r w:rsidR="00497705">
        <w:rPr>
          <w:rFonts w:ascii="Times New Roman" w:hAnsi="Times New Roman"/>
          <w:sz w:val="24"/>
          <w:szCs w:val="24"/>
        </w:rPr>
        <w:t>market</w:t>
      </w:r>
      <w:r>
        <w:rPr>
          <w:rFonts w:ascii="Times New Roman" w:hAnsi="Times New Roman"/>
          <w:sz w:val="24"/>
          <w:szCs w:val="24"/>
        </w:rPr>
        <w:t xml:space="preserve">. </w:t>
      </w:r>
    </w:p>
    <w:p w:rsidR="001B69BA" w:rsidRDefault="001B69BA" w:rsidP="00A2729B">
      <w:pPr>
        <w:pStyle w:val="ListParagraph"/>
        <w:rPr>
          <w:rFonts w:ascii="Times New Roman" w:hAnsi="Times New Roman"/>
          <w:sz w:val="24"/>
          <w:szCs w:val="24"/>
        </w:rPr>
      </w:pPr>
    </w:p>
    <w:tbl>
      <w:tblPr>
        <w:tblW w:w="0" w:type="auto"/>
        <w:tblInd w:w="1008" w:type="dxa"/>
        <w:tblLook w:val="04A0"/>
      </w:tblPr>
      <w:tblGrid>
        <w:gridCol w:w="7110"/>
        <w:gridCol w:w="180"/>
      </w:tblGrid>
      <w:tr w:rsidR="00802F2B" w:rsidRPr="00F458C4" w:rsidTr="00F458C4">
        <w:trPr>
          <w:gridAfter w:val="1"/>
          <w:wAfter w:w="180" w:type="dxa"/>
          <w:trHeight w:val="270"/>
        </w:trPr>
        <w:tc>
          <w:tcPr>
            <w:tcW w:w="7110" w:type="dxa"/>
          </w:tcPr>
          <w:p w:rsidR="00802F2B" w:rsidRPr="003634FF" w:rsidRDefault="00802F2B" w:rsidP="00F458C4">
            <w:pPr>
              <w:pStyle w:val="Caption"/>
            </w:pPr>
            <w:r w:rsidRPr="003634FF">
              <w:t>Figure 7: Foreign Portfolio Investments in Equity</w:t>
            </w:r>
          </w:p>
        </w:tc>
      </w:tr>
      <w:tr w:rsidR="00802F2B" w:rsidRPr="00F458C4" w:rsidTr="00F458C4">
        <w:trPr>
          <w:trHeight w:val="3942"/>
        </w:trPr>
        <w:tc>
          <w:tcPr>
            <w:tcW w:w="7290" w:type="dxa"/>
            <w:gridSpan w:val="2"/>
          </w:tcPr>
          <w:p w:rsidR="00802F2B" w:rsidRPr="00F458C4" w:rsidRDefault="005B0697" w:rsidP="00F458C4">
            <w:pPr>
              <w:pStyle w:val="ListParagraph"/>
              <w:ind w:left="0"/>
              <w:rPr>
                <w:rFonts w:ascii="Times New Roman" w:hAnsi="Times New Roman"/>
                <w:sz w:val="24"/>
                <w:szCs w:val="24"/>
              </w:rPr>
            </w:pPr>
            <w:r>
              <w:rPr>
                <w:rFonts w:ascii="Times New Roman" w:hAnsi="Times New Roman"/>
                <w:noProof/>
                <w:sz w:val="24"/>
                <w:szCs w:val="24"/>
              </w:rPr>
              <w:drawing>
                <wp:inline distT="0" distB="0" distL="0" distR="0">
                  <wp:extent cx="4438650" cy="240982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b="-98"/>
                          <a:stretch>
                            <a:fillRect/>
                          </a:stretch>
                        </pic:blipFill>
                        <pic:spPr bwMode="auto">
                          <a:xfrm>
                            <a:off x="0" y="0"/>
                            <a:ext cx="4438650" cy="2409825"/>
                          </a:xfrm>
                          <a:prstGeom prst="rect">
                            <a:avLst/>
                          </a:prstGeom>
                          <a:noFill/>
                          <a:ln w="9525">
                            <a:noFill/>
                            <a:miter lim="800000"/>
                            <a:headEnd/>
                            <a:tailEnd/>
                          </a:ln>
                        </pic:spPr>
                      </pic:pic>
                    </a:graphicData>
                  </a:graphic>
                </wp:inline>
              </w:drawing>
            </w:r>
          </w:p>
        </w:tc>
      </w:tr>
      <w:tr w:rsidR="00802F2B" w:rsidRPr="00F458C4" w:rsidTr="00F458C4">
        <w:trPr>
          <w:gridAfter w:val="1"/>
          <w:wAfter w:w="180" w:type="dxa"/>
        </w:trPr>
        <w:tc>
          <w:tcPr>
            <w:tcW w:w="7110" w:type="dxa"/>
          </w:tcPr>
          <w:p w:rsidR="00802F2B" w:rsidRPr="00F458C4" w:rsidRDefault="00802F2B" w:rsidP="00F458C4">
            <w:pPr>
              <w:pStyle w:val="ListParagraph"/>
              <w:ind w:left="0"/>
              <w:rPr>
                <w:rFonts w:ascii="Times New Roman" w:hAnsi="Times New Roman"/>
                <w:i/>
                <w:sz w:val="20"/>
                <w:szCs w:val="20"/>
              </w:rPr>
            </w:pPr>
            <w:r w:rsidRPr="00F458C4">
              <w:rPr>
                <w:rFonts w:ascii="Times New Roman" w:hAnsi="Times New Roman"/>
                <w:i/>
                <w:sz w:val="20"/>
                <w:szCs w:val="20"/>
              </w:rPr>
              <w:t>Source: IMF, BOP Database, international investment position.</w:t>
            </w:r>
          </w:p>
        </w:tc>
      </w:tr>
    </w:tbl>
    <w:p w:rsidR="001B69BA" w:rsidRPr="00A2729B" w:rsidRDefault="001B69BA" w:rsidP="001B69BA">
      <w:pPr>
        <w:pStyle w:val="ListParagraph"/>
        <w:ind w:left="0"/>
        <w:rPr>
          <w:rFonts w:ascii="Times New Roman" w:hAnsi="Times New Roman"/>
          <w:sz w:val="24"/>
          <w:szCs w:val="24"/>
        </w:rPr>
      </w:pPr>
    </w:p>
    <w:p w:rsidR="004E51F6" w:rsidRPr="001B69BA" w:rsidRDefault="00424F0E" w:rsidP="00797D84">
      <w:pPr>
        <w:pStyle w:val="ListParagraph"/>
        <w:numPr>
          <w:ilvl w:val="0"/>
          <w:numId w:val="3"/>
        </w:numPr>
        <w:ind w:left="0" w:firstLine="0"/>
        <w:jc w:val="both"/>
        <w:rPr>
          <w:rFonts w:ascii="Times New Roman" w:hAnsi="Times New Roman"/>
          <w:b/>
          <w:sz w:val="24"/>
          <w:szCs w:val="24"/>
        </w:rPr>
      </w:pPr>
      <w:r>
        <w:rPr>
          <w:rFonts w:ascii="Times New Roman" w:hAnsi="Times New Roman"/>
          <w:b/>
          <w:sz w:val="24"/>
          <w:szCs w:val="24"/>
        </w:rPr>
        <w:t xml:space="preserve">Price movements in the </w:t>
      </w:r>
      <w:r w:rsidR="00221897">
        <w:rPr>
          <w:rFonts w:ascii="Times New Roman" w:hAnsi="Times New Roman"/>
          <w:b/>
          <w:sz w:val="24"/>
          <w:szCs w:val="24"/>
        </w:rPr>
        <w:t xml:space="preserve">Bulgarian equity market </w:t>
      </w:r>
      <w:r>
        <w:rPr>
          <w:rFonts w:ascii="Times New Roman" w:hAnsi="Times New Roman"/>
          <w:b/>
          <w:sz w:val="24"/>
          <w:szCs w:val="24"/>
        </w:rPr>
        <w:t xml:space="preserve">were quite independent from Europe </w:t>
      </w:r>
      <w:r w:rsidR="00EA0AD3">
        <w:rPr>
          <w:rFonts w:ascii="Times New Roman" w:hAnsi="Times New Roman"/>
          <w:b/>
          <w:sz w:val="24"/>
          <w:szCs w:val="24"/>
        </w:rPr>
        <w:t xml:space="preserve">before the </w:t>
      </w:r>
      <w:r>
        <w:rPr>
          <w:rFonts w:ascii="Times New Roman" w:hAnsi="Times New Roman"/>
          <w:b/>
          <w:sz w:val="24"/>
          <w:szCs w:val="24"/>
        </w:rPr>
        <w:t xml:space="preserve">crisis, but </w:t>
      </w:r>
      <w:r w:rsidR="003B207D">
        <w:rPr>
          <w:rFonts w:ascii="Times New Roman" w:hAnsi="Times New Roman"/>
          <w:b/>
          <w:sz w:val="24"/>
          <w:szCs w:val="24"/>
        </w:rPr>
        <w:t xml:space="preserve">became more </w:t>
      </w:r>
      <w:r>
        <w:rPr>
          <w:rFonts w:ascii="Times New Roman" w:hAnsi="Times New Roman"/>
          <w:b/>
          <w:sz w:val="24"/>
          <w:szCs w:val="24"/>
        </w:rPr>
        <w:t>integrated during the crisis</w:t>
      </w:r>
      <w:r w:rsidR="004E51F6" w:rsidRPr="00221897">
        <w:rPr>
          <w:rFonts w:ascii="Times New Roman" w:hAnsi="Times New Roman"/>
          <w:b/>
          <w:sz w:val="24"/>
          <w:szCs w:val="24"/>
        </w:rPr>
        <w:t xml:space="preserve">. </w:t>
      </w:r>
      <w:r w:rsidR="00A05360">
        <w:rPr>
          <w:rFonts w:ascii="Times New Roman" w:hAnsi="Times New Roman"/>
          <w:b/>
          <w:sz w:val="24"/>
          <w:szCs w:val="24"/>
        </w:rPr>
        <w:t xml:space="preserve"> </w:t>
      </w:r>
      <w:r w:rsidR="00A05360" w:rsidRPr="00A05360">
        <w:rPr>
          <w:rFonts w:ascii="Times New Roman" w:hAnsi="Times New Roman"/>
          <w:sz w:val="24"/>
          <w:szCs w:val="24"/>
        </w:rPr>
        <w:t>The integration of markets as measured by price movements are analyzed using a simple capital asset pricing model (</w:t>
      </w:r>
      <w:r w:rsidR="004E51F6" w:rsidRPr="00A05360">
        <w:rPr>
          <w:rFonts w:ascii="Times New Roman" w:hAnsi="Times New Roman"/>
          <w:sz w:val="24"/>
          <w:szCs w:val="24"/>
        </w:rPr>
        <w:t>CAPM</w:t>
      </w:r>
      <w:r w:rsidR="00A05360" w:rsidRPr="00A05360">
        <w:rPr>
          <w:rFonts w:ascii="Times New Roman" w:hAnsi="Times New Roman"/>
          <w:sz w:val="24"/>
          <w:szCs w:val="24"/>
        </w:rPr>
        <w:t>)</w:t>
      </w:r>
      <w:r w:rsidR="004E51F6" w:rsidRPr="00A05360">
        <w:rPr>
          <w:vertAlign w:val="superscript"/>
        </w:rPr>
        <w:footnoteReference w:id="10"/>
      </w:r>
      <w:r w:rsidR="004E51F6" w:rsidRPr="00A05360">
        <w:rPr>
          <w:rFonts w:ascii="Times New Roman" w:hAnsi="Times New Roman"/>
          <w:sz w:val="24"/>
          <w:szCs w:val="24"/>
        </w:rPr>
        <w:t xml:space="preserve">, where </w:t>
      </w:r>
      <w:r w:rsidR="00B80BBF" w:rsidRPr="00A05360">
        <w:rPr>
          <w:rFonts w:ascii="Times New Roman" w:hAnsi="Times New Roman"/>
          <w:sz w:val="24"/>
          <w:szCs w:val="24"/>
        </w:rPr>
        <w:t xml:space="preserve">monthly </w:t>
      </w:r>
      <w:r w:rsidR="003B207D" w:rsidRPr="00A05360">
        <w:rPr>
          <w:rFonts w:ascii="Times New Roman" w:hAnsi="Times New Roman"/>
          <w:sz w:val="24"/>
          <w:szCs w:val="24"/>
        </w:rPr>
        <w:t>returns of individual indices</w:t>
      </w:r>
      <w:r w:rsidR="004E51F6" w:rsidRPr="00A05360">
        <w:rPr>
          <w:rFonts w:ascii="Times New Roman" w:hAnsi="Times New Roman"/>
          <w:sz w:val="24"/>
          <w:szCs w:val="24"/>
        </w:rPr>
        <w:t xml:space="preserve"> in emergi</w:t>
      </w:r>
      <w:r w:rsidR="004E51F6" w:rsidRPr="00221897">
        <w:rPr>
          <w:rFonts w:ascii="Times New Roman" w:hAnsi="Times New Roman"/>
          <w:sz w:val="24"/>
          <w:szCs w:val="24"/>
        </w:rPr>
        <w:t xml:space="preserve">ng Europe are </w:t>
      </w:r>
      <w:r w:rsidR="00A05360">
        <w:rPr>
          <w:rFonts w:ascii="Times New Roman" w:hAnsi="Times New Roman"/>
          <w:sz w:val="24"/>
          <w:szCs w:val="24"/>
        </w:rPr>
        <w:t xml:space="preserve">measured against a broad </w:t>
      </w:r>
      <w:r w:rsidR="004E51F6" w:rsidRPr="00221897">
        <w:rPr>
          <w:rFonts w:ascii="Times New Roman" w:hAnsi="Times New Roman"/>
          <w:sz w:val="24"/>
          <w:szCs w:val="24"/>
        </w:rPr>
        <w:t xml:space="preserve">European </w:t>
      </w:r>
      <w:r w:rsidR="00B00471" w:rsidRPr="00221897">
        <w:rPr>
          <w:rFonts w:ascii="Times New Roman" w:hAnsi="Times New Roman"/>
          <w:sz w:val="24"/>
          <w:szCs w:val="24"/>
        </w:rPr>
        <w:t xml:space="preserve">market </w:t>
      </w:r>
      <w:r w:rsidR="00A05360">
        <w:rPr>
          <w:rFonts w:ascii="Times New Roman" w:hAnsi="Times New Roman"/>
          <w:sz w:val="24"/>
          <w:szCs w:val="24"/>
        </w:rPr>
        <w:t xml:space="preserve">index, </w:t>
      </w:r>
      <w:r w:rsidR="00A05360" w:rsidRPr="00A05360">
        <w:rPr>
          <w:rFonts w:ascii="Times New Roman" w:hAnsi="Times New Roman"/>
          <w:sz w:val="24"/>
          <w:szCs w:val="24"/>
        </w:rPr>
        <w:t>FTSE Euro Top 100</w:t>
      </w:r>
      <w:r w:rsidR="00A05360">
        <w:rPr>
          <w:rFonts w:ascii="Times New Roman" w:hAnsi="Times New Roman"/>
          <w:sz w:val="24"/>
          <w:szCs w:val="24"/>
        </w:rPr>
        <w:t>. The analysis produces two key measures</w:t>
      </w:r>
      <w:r w:rsidR="00EA0AD3">
        <w:rPr>
          <w:rFonts w:ascii="Times New Roman" w:hAnsi="Times New Roman"/>
          <w:sz w:val="24"/>
          <w:szCs w:val="24"/>
        </w:rPr>
        <w:t xml:space="preserve">, </w:t>
      </w:r>
      <w:r w:rsidR="00A05360">
        <w:rPr>
          <w:rFonts w:ascii="Times New Roman" w:hAnsi="Times New Roman"/>
          <w:sz w:val="24"/>
          <w:szCs w:val="24"/>
        </w:rPr>
        <w:t>β</w:t>
      </w:r>
      <w:r w:rsidR="00EA0AD3">
        <w:rPr>
          <w:rFonts w:ascii="Times New Roman" w:hAnsi="Times New Roman"/>
          <w:sz w:val="24"/>
          <w:szCs w:val="24"/>
        </w:rPr>
        <w:t xml:space="preserve"> that measures how prices in emerging markets respond to movements in the European market</w:t>
      </w:r>
      <w:r w:rsidR="00382DFA">
        <w:rPr>
          <w:rFonts w:ascii="Times New Roman" w:hAnsi="Times New Roman"/>
          <w:sz w:val="24"/>
          <w:szCs w:val="24"/>
        </w:rPr>
        <w:t xml:space="preserve"> (Figure 8)</w:t>
      </w:r>
      <w:r w:rsidR="00EA0AD3">
        <w:rPr>
          <w:rFonts w:ascii="Times New Roman" w:hAnsi="Times New Roman"/>
          <w:sz w:val="24"/>
          <w:szCs w:val="24"/>
        </w:rPr>
        <w:t>, and R</w:t>
      </w:r>
      <w:r w:rsidR="00EA0AD3">
        <w:rPr>
          <w:rFonts w:ascii="Times New Roman" w:hAnsi="Times New Roman"/>
          <w:sz w:val="24"/>
          <w:szCs w:val="24"/>
          <w:vertAlign w:val="superscript"/>
        </w:rPr>
        <w:t>2</w:t>
      </w:r>
      <w:r w:rsidR="00A05360">
        <w:rPr>
          <w:rFonts w:ascii="Times New Roman" w:hAnsi="Times New Roman"/>
          <w:sz w:val="24"/>
          <w:szCs w:val="24"/>
        </w:rPr>
        <w:t xml:space="preserve"> </w:t>
      </w:r>
      <w:r w:rsidR="00EA0AD3">
        <w:rPr>
          <w:rFonts w:ascii="Times New Roman" w:hAnsi="Times New Roman"/>
          <w:sz w:val="24"/>
          <w:szCs w:val="24"/>
        </w:rPr>
        <w:t>that measures how much of the variation in emerging market returns are explained by European market movements</w:t>
      </w:r>
      <w:r w:rsidR="00382DFA">
        <w:rPr>
          <w:rFonts w:ascii="Times New Roman" w:hAnsi="Times New Roman"/>
          <w:sz w:val="24"/>
          <w:szCs w:val="24"/>
        </w:rPr>
        <w:t xml:space="preserve"> (Figure 9)</w:t>
      </w:r>
      <w:r w:rsidR="00EA0AD3">
        <w:rPr>
          <w:rFonts w:ascii="Times New Roman" w:hAnsi="Times New Roman"/>
          <w:sz w:val="24"/>
          <w:szCs w:val="24"/>
        </w:rPr>
        <w:t xml:space="preserve">. </w:t>
      </w:r>
      <w:r w:rsidR="0095049D">
        <w:rPr>
          <w:rFonts w:ascii="Times New Roman" w:hAnsi="Times New Roman"/>
          <w:sz w:val="24"/>
          <w:szCs w:val="24"/>
        </w:rPr>
        <w:t xml:space="preserve">Prior to the crisis, the European </w:t>
      </w:r>
      <w:r w:rsidR="0095049D">
        <w:rPr>
          <w:rFonts w:ascii="Times New Roman" w:hAnsi="Times New Roman"/>
          <w:sz w:val="24"/>
          <w:szCs w:val="24"/>
        </w:rPr>
        <w:lastRenderedPageBreak/>
        <w:t>benchmark explained less than 10 percent of Bulgarian price variation</w:t>
      </w:r>
      <w:r w:rsidR="007A5E9B">
        <w:rPr>
          <w:rFonts w:ascii="Times New Roman" w:hAnsi="Times New Roman"/>
          <w:sz w:val="24"/>
          <w:szCs w:val="24"/>
        </w:rPr>
        <w:t xml:space="preserve">.  During the crisis, </w:t>
      </w:r>
      <w:r w:rsidR="0095049D">
        <w:rPr>
          <w:rFonts w:ascii="Times New Roman" w:hAnsi="Times New Roman"/>
          <w:sz w:val="24"/>
          <w:szCs w:val="24"/>
        </w:rPr>
        <w:t>this increased to more than 50 percent</w:t>
      </w:r>
      <w:r w:rsidR="007A5E9B">
        <w:rPr>
          <w:rFonts w:ascii="Times New Roman" w:hAnsi="Times New Roman"/>
          <w:sz w:val="24"/>
          <w:szCs w:val="24"/>
        </w:rPr>
        <w:t xml:space="preserve">, and a high </w:t>
      </w:r>
      <w:r w:rsidR="007A5E9B" w:rsidRPr="007A5E9B">
        <w:rPr>
          <w:rFonts w:ascii="Times New Roman" w:hAnsi="Times New Roman"/>
          <w:sz w:val="24"/>
          <w:szCs w:val="24"/>
        </w:rPr>
        <w:t>β</w:t>
      </w:r>
      <w:r w:rsidR="007A5E9B">
        <w:rPr>
          <w:rFonts w:ascii="Times New Roman" w:hAnsi="Times New Roman"/>
          <w:sz w:val="24"/>
          <w:szCs w:val="24"/>
        </w:rPr>
        <w:t xml:space="preserve"> of 1.9 shows a high responsiveness to the global shock</w:t>
      </w:r>
      <w:r w:rsidR="0095049D">
        <w:rPr>
          <w:rFonts w:ascii="Times New Roman" w:hAnsi="Times New Roman"/>
          <w:sz w:val="24"/>
          <w:szCs w:val="24"/>
        </w:rPr>
        <w:t xml:space="preserve">. </w:t>
      </w:r>
      <w:r w:rsidR="007C6328">
        <w:rPr>
          <w:rFonts w:ascii="Times New Roman" w:hAnsi="Times New Roman"/>
          <w:sz w:val="24"/>
          <w:szCs w:val="24"/>
        </w:rPr>
        <w:t xml:space="preserve">Other European emerging markets show similar positive correlation with </w:t>
      </w:r>
      <w:r w:rsidR="00013C60">
        <w:rPr>
          <w:rFonts w:ascii="Times New Roman" w:hAnsi="Times New Roman"/>
          <w:sz w:val="24"/>
          <w:szCs w:val="24"/>
        </w:rPr>
        <w:t xml:space="preserve">the </w:t>
      </w:r>
      <w:r w:rsidR="007C6328">
        <w:rPr>
          <w:rFonts w:ascii="Times New Roman" w:hAnsi="Times New Roman"/>
          <w:sz w:val="24"/>
          <w:szCs w:val="24"/>
        </w:rPr>
        <w:t xml:space="preserve">European market, but greater integration in </w:t>
      </w:r>
      <w:r w:rsidR="00013C60">
        <w:rPr>
          <w:rFonts w:ascii="Times New Roman" w:hAnsi="Times New Roman"/>
          <w:sz w:val="24"/>
          <w:szCs w:val="24"/>
        </w:rPr>
        <w:t xml:space="preserve">the </w:t>
      </w:r>
      <w:r w:rsidR="007C6328">
        <w:rPr>
          <w:rFonts w:ascii="Times New Roman" w:hAnsi="Times New Roman"/>
          <w:sz w:val="24"/>
          <w:szCs w:val="24"/>
        </w:rPr>
        <w:t>non-crisis period, and</w:t>
      </w:r>
      <w:r w:rsidR="00013C60">
        <w:rPr>
          <w:rFonts w:ascii="Times New Roman" w:hAnsi="Times New Roman"/>
          <w:sz w:val="24"/>
          <w:szCs w:val="24"/>
        </w:rPr>
        <w:t xml:space="preserve"> less responsiveness in the crisis period. It is premature to conclude what is behind the characteristics of Bulgarian integration with the European market, but it appears that Bulgaria</w:t>
      </w:r>
      <w:r w:rsidR="00C466F3">
        <w:rPr>
          <w:rFonts w:ascii="Times New Roman" w:hAnsi="Times New Roman"/>
          <w:sz w:val="24"/>
          <w:szCs w:val="24"/>
        </w:rPr>
        <w:t xml:space="preserve">n capital market suffered large markets corrections during financial crisis, </w:t>
      </w:r>
      <w:r w:rsidR="00312213">
        <w:rPr>
          <w:rFonts w:ascii="Times New Roman" w:hAnsi="Times New Roman"/>
          <w:sz w:val="24"/>
          <w:szCs w:val="24"/>
        </w:rPr>
        <w:t xml:space="preserve">similar to </w:t>
      </w:r>
      <w:r w:rsidR="00C27AAF">
        <w:rPr>
          <w:rFonts w:ascii="Times New Roman" w:hAnsi="Times New Roman"/>
          <w:sz w:val="24"/>
          <w:szCs w:val="24"/>
        </w:rPr>
        <w:t xml:space="preserve">the </w:t>
      </w:r>
      <w:r w:rsidR="00C466F3">
        <w:rPr>
          <w:rFonts w:ascii="Times New Roman" w:hAnsi="Times New Roman"/>
          <w:sz w:val="24"/>
          <w:szCs w:val="24"/>
        </w:rPr>
        <w:t xml:space="preserve">rest of Europe, </w:t>
      </w:r>
      <w:r w:rsidR="00013C60">
        <w:rPr>
          <w:rFonts w:ascii="Times New Roman" w:hAnsi="Times New Roman"/>
          <w:sz w:val="24"/>
          <w:szCs w:val="24"/>
        </w:rPr>
        <w:t xml:space="preserve">while exhibiting less integration in normal times. </w:t>
      </w:r>
    </w:p>
    <w:tbl>
      <w:tblPr>
        <w:tblW w:w="0" w:type="auto"/>
        <w:tblInd w:w="1008" w:type="dxa"/>
        <w:tblLook w:val="04A0"/>
      </w:tblPr>
      <w:tblGrid>
        <w:gridCol w:w="7020"/>
        <w:gridCol w:w="90"/>
        <w:gridCol w:w="180"/>
      </w:tblGrid>
      <w:tr w:rsidR="00643FE1" w:rsidRPr="00F458C4" w:rsidTr="00F458C4">
        <w:trPr>
          <w:gridAfter w:val="2"/>
          <w:wAfter w:w="270" w:type="dxa"/>
          <w:trHeight w:val="342"/>
        </w:trPr>
        <w:tc>
          <w:tcPr>
            <w:tcW w:w="7020" w:type="dxa"/>
          </w:tcPr>
          <w:p w:rsidR="00643FE1" w:rsidRPr="00643FE1" w:rsidRDefault="00643FE1" w:rsidP="00F458C4">
            <w:pPr>
              <w:pStyle w:val="Caption"/>
            </w:pPr>
            <w:r w:rsidRPr="00643FE1">
              <w:t>Figure 8: β – Price Responsiveness to the FTSE 100</w:t>
            </w:r>
          </w:p>
        </w:tc>
      </w:tr>
      <w:tr w:rsidR="00643FE1" w:rsidRPr="00F458C4" w:rsidTr="00F458C4">
        <w:trPr>
          <w:trHeight w:val="1440"/>
        </w:trPr>
        <w:tc>
          <w:tcPr>
            <w:tcW w:w="7290" w:type="dxa"/>
            <w:gridSpan w:val="3"/>
          </w:tcPr>
          <w:p w:rsidR="00643FE1" w:rsidRPr="00F458C4" w:rsidRDefault="005B0697" w:rsidP="00F458C4">
            <w:pPr>
              <w:pStyle w:val="ListParagraph"/>
              <w:ind w:left="0"/>
              <w:jc w:val="both"/>
              <w:rPr>
                <w:rFonts w:ascii="Times New Roman" w:hAnsi="Times New Roman"/>
                <w:sz w:val="24"/>
                <w:szCs w:val="24"/>
              </w:rPr>
            </w:pPr>
            <w:r>
              <w:rPr>
                <w:rFonts w:ascii="Times New Roman" w:hAnsi="Times New Roman"/>
                <w:noProof/>
                <w:sz w:val="24"/>
                <w:szCs w:val="24"/>
              </w:rPr>
              <w:drawing>
                <wp:inline distT="0" distB="0" distL="0" distR="0">
                  <wp:extent cx="4387970" cy="2316098"/>
                  <wp:effectExtent l="13870" t="6096" r="8235" b="1906"/>
                  <wp:docPr id="8" name="Picture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643FE1" w:rsidRPr="00F458C4" w:rsidTr="00F458C4">
        <w:trPr>
          <w:trHeight w:val="387"/>
        </w:trPr>
        <w:tc>
          <w:tcPr>
            <w:tcW w:w="7290" w:type="dxa"/>
            <w:gridSpan w:val="3"/>
          </w:tcPr>
          <w:p w:rsidR="00643FE1" w:rsidRPr="00F458C4" w:rsidRDefault="0009022D" w:rsidP="00F458C4">
            <w:pPr>
              <w:pStyle w:val="ListParagraph"/>
              <w:ind w:left="0"/>
              <w:jc w:val="both"/>
              <w:rPr>
                <w:rFonts w:ascii="Times New Roman" w:hAnsi="Times New Roman"/>
                <w:i/>
                <w:sz w:val="20"/>
                <w:szCs w:val="20"/>
              </w:rPr>
            </w:pPr>
            <w:r w:rsidRPr="00F458C4">
              <w:rPr>
                <w:rFonts w:ascii="Times New Roman" w:hAnsi="Times New Roman"/>
                <w:i/>
                <w:sz w:val="20"/>
                <w:szCs w:val="20"/>
              </w:rPr>
              <w:t>Source: Bloomberg and staff estimates.</w:t>
            </w:r>
          </w:p>
        </w:tc>
      </w:tr>
      <w:tr w:rsidR="00643FE1" w:rsidRPr="00F458C4" w:rsidTr="00F458C4">
        <w:trPr>
          <w:gridAfter w:val="1"/>
          <w:wAfter w:w="180" w:type="dxa"/>
          <w:trHeight w:val="405"/>
        </w:trPr>
        <w:tc>
          <w:tcPr>
            <w:tcW w:w="7110" w:type="dxa"/>
            <w:gridSpan w:val="2"/>
          </w:tcPr>
          <w:p w:rsidR="00643FE1" w:rsidRPr="003634FF" w:rsidRDefault="00643FE1" w:rsidP="00F458C4">
            <w:pPr>
              <w:pStyle w:val="Caption"/>
            </w:pPr>
            <w:bookmarkStart w:id="11" w:name="_Toc297027532"/>
            <w:bookmarkStart w:id="12" w:name="_Toc297111603"/>
            <w:r w:rsidRPr="003634FF">
              <w:t xml:space="preserve">Figure </w:t>
            </w:r>
            <w:fldSimple w:instr=" SEQ Figure \* ARABIC ">
              <w:r w:rsidRPr="003634FF">
                <w:t>9</w:t>
              </w:r>
            </w:fldSimple>
            <w:r w:rsidRPr="003634FF">
              <w:t>: R2 – Price Variation Explained by FTSE 100 Movements</w:t>
            </w:r>
            <w:bookmarkEnd w:id="11"/>
            <w:bookmarkEnd w:id="12"/>
          </w:p>
        </w:tc>
      </w:tr>
      <w:tr w:rsidR="00643FE1" w:rsidRPr="00F458C4" w:rsidTr="00F458C4">
        <w:trPr>
          <w:trHeight w:val="3978"/>
        </w:trPr>
        <w:tc>
          <w:tcPr>
            <w:tcW w:w="7290" w:type="dxa"/>
            <w:gridSpan w:val="3"/>
          </w:tcPr>
          <w:p w:rsidR="00643FE1" w:rsidRPr="00F458C4" w:rsidRDefault="005B0697" w:rsidP="00F458C4">
            <w:pPr>
              <w:pStyle w:val="ListParagraph"/>
              <w:ind w:left="0"/>
              <w:jc w:val="both"/>
              <w:rPr>
                <w:rFonts w:ascii="Times New Roman" w:hAnsi="Times New Roman"/>
                <w:sz w:val="24"/>
                <w:szCs w:val="24"/>
              </w:rPr>
            </w:pPr>
            <w:r>
              <w:rPr>
                <w:rFonts w:ascii="Times New Roman" w:hAnsi="Times New Roman"/>
                <w:noProof/>
                <w:sz w:val="24"/>
                <w:szCs w:val="24"/>
              </w:rPr>
              <w:drawing>
                <wp:inline distT="0" distB="0" distL="0" distR="0">
                  <wp:extent cx="4349090" cy="2355712"/>
                  <wp:effectExtent l="13818" t="6488" r="9067" b="0"/>
                  <wp:docPr id="9"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643FE1" w:rsidRPr="00F458C4" w:rsidTr="00F458C4">
        <w:trPr>
          <w:trHeight w:val="315"/>
        </w:trPr>
        <w:tc>
          <w:tcPr>
            <w:tcW w:w="7290" w:type="dxa"/>
            <w:gridSpan w:val="3"/>
          </w:tcPr>
          <w:p w:rsidR="00643FE1" w:rsidRPr="00F458C4" w:rsidRDefault="0009022D" w:rsidP="00F458C4">
            <w:pPr>
              <w:pStyle w:val="ListParagraph"/>
              <w:ind w:left="0"/>
              <w:jc w:val="both"/>
              <w:rPr>
                <w:rFonts w:ascii="Times New Roman" w:hAnsi="Times New Roman"/>
                <w:sz w:val="24"/>
                <w:szCs w:val="24"/>
              </w:rPr>
            </w:pPr>
            <w:r w:rsidRPr="00F458C4">
              <w:rPr>
                <w:rFonts w:ascii="Times New Roman" w:hAnsi="Times New Roman"/>
                <w:i/>
                <w:sz w:val="20"/>
                <w:szCs w:val="20"/>
              </w:rPr>
              <w:t>Source: Bloomberg and staff estimates.</w:t>
            </w:r>
          </w:p>
        </w:tc>
      </w:tr>
    </w:tbl>
    <w:p w:rsidR="00797D84" w:rsidRPr="004E51F6" w:rsidRDefault="00797D84" w:rsidP="004E51F6">
      <w:pPr>
        <w:pStyle w:val="ListParagraph"/>
        <w:ind w:left="0"/>
        <w:jc w:val="both"/>
        <w:rPr>
          <w:rFonts w:ascii="Times New Roman" w:hAnsi="Times New Roman"/>
          <w:sz w:val="24"/>
          <w:szCs w:val="24"/>
        </w:rPr>
      </w:pPr>
    </w:p>
    <w:p w:rsidR="00762A57" w:rsidRDefault="00053F70" w:rsidP="00AC2227">
      <w:pPr>
        <w:pStyle w:val="ListParagraph"/>
        <w:numPr>
          <w:ilvl w:val="0"/>
          <w:numId w:val="3"/>
        </w:numPr>
        <w:ind w:left="0" w:firstLine="0"/>
        <w:jc w:val="both"/>
        <w:rPr>
          <w:rFonts w:ascii="Times New Roman" w:hAnsi="Times New Roman"/>
          <w:sz w:val="24"/>
          <w:szCs w:val="24"/>
        </w:rPr>
      </w:pPr>
      <w:r>
        <w:rPr>
          <w:rFonts w:ascii="Times New Roman" w:hAnsi="Times New Roman"/>
          <w:b/>
          <w:sz w:val="24"/>
          <w:szCs w:val="24"/>
        </w:rPr>
        <w:lastRenderedPageBreak/>
        <w:t>C</w:t>
      </w:r>
      <w:r w:rsidR="00762A57" w:rsidRPr="0012736F">
        <w:rPr>
          <w:rFonts w:ascii="Times New Roman" w:hAnsi="Times New Roman"/>
          <w:b/>
          <w:sz w:val="24"/>
          <w:szCs w:val="24"/>
        </w:rPr>
        <w:t xml:space="preserve">apital market integration has not </w:t>
      </w:r>
      <w:r>
        <w:rPr>
          <w:rFonts w:ascii="Times New Roman" w:hAnsi="Times New Roman"/>
          <w:b/>
          <w:sz w:val="24"/>
          <w:szCs w:val="24"/>
        </w:rPr>
        <w:t xml:space="preserve">yet affected the structure </w:t>
      </w:r>
      <w:r w:rsidR="00A56CAF">
        <w:rPr>
          <w:rFonts w:ascii="Times New Roman" w:hAnsi="Times New Roman"/>
          <w:b/>
          <w:sz w:val="24"/>
          <w:szCs w:val="24"/>
        </w:rPr>
        <w:t xml:space="preserve">or market share </w:t>
      </w:r>
      <w:r>
        <w:rPr>
          <w:rFonts w:ascii="Times New Roman" w:hAnsi="Times New Roman"/>
          <w:b/>
          <w:sz w:val="24"/>
          <w:szCs w:val="24"/>
        </w:rPr>
        <w:t xml:space="preserve">of </w:t>
      </w:r>
      <w:r w:rsidR="00762A57" w:rsidRPr="0012736F">
        <w:rPr>
          <w:rFonts w:ascii="Times New Roman" w:hAnsi="Times New Roman"/>
          <w:b/>
          <w:sz w:val="24"/>
          <w:szCs w:val="24"/>
        </w:rPr>
        <w:t xml:space="preserve">local </w:t>
      </w:r>
      <w:r>
        <w:rPr>
          <w:rFonts w:ascii="Times New Roman" w:hAnsi="Times New Roman"/>
          <w:b/>
          <w:sz w:val="24"/>
          <w:szCs w:val="24"/>
        </w:rPr>
        <w:t>trading venues and market participants</w:t>
      </w:r>
      <w:r w:rsidR="00762A57" w:rsidRPr="0012736F">
        <w:rPr>
          <w:rFonts w:ascii="Times New Roman" w:hAnsi="Times New Roman"/>
          <w:b/>
          <w:sz w:val="24"/>
          <w:szCs w:val="24"/>
        </w:rPr>
        <w:t xml:space="preserve">, but </w:t>
      </w:r>
      <w:r w:rsidR="001440AD">
        <w:rPr>
          <w:rFonts w:ascii="Times New Roman" w:hAnsi="Times New Roman"/>
          <w:b/>
          <w:sz w:val="24"/>
          <w:szCs w:val="24"/>
        </w:rPr>
        <w:t xml:space="preserve">access to </w:t>
      </w:r>
      <w:r w:rsidR="00762A57" w:rsidRPr="0012736F">
        <w:rPr>
          <w:rFonts w:ascii="Times New Roman" w:hAnsi="Times New Roman"/>
          <w:b/>
          <w:sz w:val="24"/>
          <w:szCs w:val="24"/>
        </w:rPr>
        <w:t>foreign market</w:t>
      </w:r>
      <w:r w:rsidR="001440AD">
        <w:rPr>
          <w:rFonts w:ascii="Times New Roman" w:hAnsi="Times New Roman"/>
          <w:b/>
          <w:sz w:val="24"/>
          <w:szCs w:val="24"/>
        </w:rPr>
        <w:t>s</w:t>
      </w:r>
      <w:r w:rsidR="00762A57" w:rsidRPr="0012736F">
        <w:rPr>
          <w:rFonts w:ascii="Times New Roman" w:hAnsi="Times New Roman"/>
          <w:b/>
          <w:sz w:val="24"/>
          <w:szCs w:val="24"/>
        </w:rPr>
        <w:t xml:space="preserve"> has become cheaper</w:t>
      </w:r>
      <w:r w:rsidR="001440AD">
        <w:rPr>
          <w:rFonts w:ascii="Times New Roman" w:hAnsi="Times New Roman"/>
          <w:b/>
          <w:sz w:val="24"/>
          <w:szCs w:val="24"/>
        </w:rPr>
        <w:t xml:space="preserve"> as foreign banks are actively serving Bulgarian investors and firms</w:t>
      </w:r>
      <w:r w:rsidR="00762A57" w:rsidRPr="0012736F">
        <w:rPr>
          <w:rFonts w:ascii="Times New Roman" w:hAnsi="Times New Roman"/>
          <w:b/>
          <w:sz w:val="24"/>
          <w:szCs w:val="24"/>
        </w:rPr>
        <w:t xml:space="preserve">. </w:t>
      </w:r>
      <w:r w:rsidR="00D21F7F" w:rsidRPr="00D21F7F">
        <w:rPr>
          <w:rFonts w:ascii="Times New Roman" w:hAnsi="Times New Roman"/>
          <w:sz w:val="24"/>
          <w:szCs w:val="24"/>
        </w:rPr>
        <w:t>The</w:t>
      </w:r>
      <w:r w:rsidR="00D21F7F">
        <w:rPr>
          <w:rFonts w:ascii="Times New Roman" w:hAnsi="Times New Roman"/>
          <w:b/>
          <w:sz w:val="24"/>
          <w:szCs w:val="24"/>
        </w:rPr>
        <w:t xml:space="preserve"> </w:t>
      </w:r>
      <w:r w:rsidR="00D21F7F">
        <w:rPr>
          <w:rFonts w:ascii="Times New Roman" w:hAnsi="Times New Roman"/>
          <w:sz w:val="24"/>
          <w:szCs w:val="24"/>
        </w:rPr>
        <w:t xml:space="preserve">BSE remains the only trading venue in Bulgaria, as is the case in most other EU Member States, but with the difference that </w:t>
      </w:r>
      <w:r w:rsidR="00C27AAF">
        <w:rPr>
          <w:rFonts w:ascii="Times New Roman" w:hAnsi="Times New Roman"/>
          <w:sz w:val="24"/>
          <w:szCs w:val="24"/>
        </w:rPr>
        <w:t xml:space="preserve">although </w:t>
      </w:r>
      <w:r w:rsidR="00D21F7F">
        <w:rPr>
          <w:rFonts w:ascii="Times New Roman" w:hAnsi="Times New Roman"/>
          <w:sz w:val="24"/>
          <w:szCs w:val="24"/>
        </w:rPr>
        <w:t xml:space="preserve">Bulgarian companies </w:t>
      </w:r>
      <w:r w:rsidR="00C27AAF">
        <w:rPr>
          <w:rFonts w:ascii="Times New Roman" w:hAnsi="Times New Roman"/>
          <w:sz w:val="24"/>
          <w:szCs w:val="24"/>
        </w:rPr>
        <w:t xml:space="preserve">gained </w:t>
      </w:r>
      <w:r w:rsidR="00D21F7F">
        <w:rPr>
          <w:rFonts w:ascii="Times New Roman" w:hAnsi="Times New Roman"/>
          <w:sz w:val="24"/>
          <w:szCs w:val="24"/>
        </w:rPr>
        <w:t xml:space="preserve">an access to </w:t>
      </w:r>
      <w:r w:rsidR="00312213">
        <w:rPr>
          <w:rFonts w:ascii="Times New Roman" w:hAnsi="Times New Roman"/>
          <w:sz w:val="24"/>
          <w:szCs w:val="24"/>
        </w:rPr>
        <w:t xml:space="preserve">a </w:t>
      </w:r>
      <w:r w:rsidR="00D21F7F">
        <w:rPr>
          <w:rFonts w:ascii="Times New Roman" w:hAnsi="Times New Roman"/>
          <w:sz w:val="24"/>
          <w:szCs w:val="24"/>
        </w:rPr>
        <w:t>variety of trading venue</w:t>
      </w:r>
      <w:r w:rsidR="00312213">
        <w:rPr>
          <w:rFonts w:ascii="Times New Roman" w:hAnsi="Times New Roman"/>
          <w:sz w:val="24"/>
          <w:szCs w:val="24"/>
        </w:rPr>
        <w:t>s</w:t>
      </w:r>
      <w:r w:rsidR="00D21F7F">
        <w:rPr>
          <w:rFonts w:ascii="Times New Roman" w:hAnsi="Times New Roman"/>
          <w:sz w:val="24"/>
          <w:szCs w:val="24"/>
        </w:rPr>
        <w:t xml:space="preserve"> in Europe, most of the trading in BSE-listed shares is still occurring in Bulgaria. Due to the small size of </w:t>
      </w:r>
      <w:r w:rsidR="00C27AAF">
        <w:rPr>
          <w:rFonts w:ascii="Times New Roman" w:hAnsi="Times New Roman"/>
          <w:sz w:val="24"/>
          <w:szCs w:val="24"/>
        </w:rPr>
        <w:t xml:space="preserve">Bulgarian </w:t>
      </w:r>
      <w:r w:rsidR="00D21F7F">
        <w:rPr>
          <w:rFonts w:ascii="Times New Roman" w:hAnsi="Times New Roman"/>
          <w:sz w:val="24"/>
          <w:szCs w:val="24"/>
        </w:rPr>
        <w:t xml:space="preserve">companies, there has not been much interest from the pan-European venues, as most of the </w:t>
      </w:r>
      <w:proofErr w:type="spellStart"/>
      <w:r w:rsidR="00D21F7F">
        <w:rPr>
          <w:rFonts w:ascii="Times New Roman" w:hAnsi="Times New Roman"/>
          <w:sz w:val="24"/>
          <w:szCs w:val="24"/>
        </w:rPr>
        <w:t>MiFID</w:t>
      </w:r>
      <w:proofErr w:type="spellEnd"/>
      <w:r w:rsidR="00D21F7F">
        <w:rPr>
          <w:rFonts w:ascii="Times New Roman" w:hAnsi="Times New Roman"/>
          <w:sz w:val="24"/>
          <w:szCs w:val="24"/>
        </w:rPr>
        <w:t xml:space="preserve"> competition in Europe has been concentrated on the blue chips. </w:t>
      </w:r>
      <w:r w:rsidR="001440AD" w:rsidRPr="001440AD">
        <w:rPr>
          <w:rFonts w:ascii="Times New Roman" w:hAnsi="Times New Roman"/>
          <w:b/>
          <w:sz w:val="24"/>
          <w:szCs w:val="24"/>
        </w:rPr>
        <w:t xml:space="preserve"> </w:t>
      </w:r>
      <w:r w:rsidR="004E16C2" w:rsidRPr="0012736F">
        <w:rPr>
          <w:rFonts w:ascii="Times New Roman" w:hAnsi="Times New Roman"/>
          <w:sz w:val="24"/>
          <w:szCs w:val="24"/>
        </w:rPr>
        <w:t xml:space="preserve">The passport provision </w:t>
      </w:r>
      <w:r w:rsidR="004E16C2">
        <w:rPr>
          <w:rFonts w:ascii="Times New Roman" w:hAnsi="Times New Roman"/>
          <w:sz w:val="24"/>
          <w:szCs w:val="24"/>
        </w:rPr>
        <w:t xml:space="preserve">allowing </w:t>
      </w:r>
      <w:r w:rsidR="004E16C2" w:rsidRPr="0012736F">
        <w:rPr>
          <w:rFonts w:ascii="Times New Roman" w:hAnsi="Times New Roman"/>
          <w:sz w:val="24"/>
          <w:szCs w:val="24"/>
        </w:rPr>
        <w:t xml:space="preserve">investment firms to </w:t>
      </w:r>
      <w:r w:rsidR="004E16C2">
        <w:rPr>
          <w:rFonts w:ascii="Times New Roman" w:hAnsi="Times New Roman"/>
          <w:sz w:val="24"/>
          <w:szCs w:val="24"/>
        </w:rPr>
        <w:t xml:space="preserve">trade across the borders and the provision for </w:t>
      </w:r>
      <w:r w:rsidR="00D21F7F">
        <w:rPr>
          <w:rFonts w:ascii="Times New Roman" w:hAnsi="Times New Roman"/>
          <w:sz w:val="24"/>
          <w:szCs w:val="24"/>
        </w:rPr>
        <w:t>exchanges and</w:t>
      </w:r>
      <w:r w:rsidR="004E16C2">
        <w:rPr>
          <w:rFonts w:ascii="Times New Roman" w:hAnsi="Times New Roman"/>
          <w:sz w:val="24"/>
          <w:szCs w:val="24"/>
        </w:rPr>
        <w:t xml:space="preserve"> investment firms to establish alternative trading venues in other member states</w:t>
      </w:r>
      <w:r w:rsidR="004E16C2" w:rsidRPr="0012736F">
        <w:rPr>
          <w:rFonts w:ascii="Times New Roman" w:hAnsi="Times New Roman"/>
          <w:sz w:val="24"/>
          <w:szCs w:val="24"/>
        </w:rPr>
        <w:t xml:space="preserve"> has </w:t>
      </w:r>
      <w:r w:rsidR="004E16C2">
        <w:rPr>
          <w:rFonts w:ascii="Times New Roman" w:hAnsi="Times New Roman"/>
          <w:sz w:val="24"/>
          <w:szCs w:val="24"/>
        </w:rPr>
        <w:t xml:space="preserve">not </w:t>
      </w:r>
      <w:r w:rsidR="004E16C2" w:rsidRPr="0012736F">
        <w:rPr>
          <w:rFonts w:ascii="Times New Roman" w:hAnsi="Times New Roman"/>
          <w:sz w:val="24"/>
          <w:szCs w:val="24"/>
        </w:rPr>
        <w:t xml:space="preserve">had a </w:t>
      </w:r>
      <w:r w:rsidR="004E16C2">
        <w:rPr>
          <w:rFonts w:ascii="Times New Roman" w:hAnsi="Times New Roman"/>
          <w:sz w:val="24"/>
          <w:szCs w:val="24"/>
        </w:rPr>
        <w:t xml:space="preserve">significant </w:t>
      </w:r>
      <w:r w:rsidR="004E16C2" w:rsidRPr="0012736F">
        <w:rPr>
          <w:rFonts w:ascii="Times New Roman" w:hAnsi="Times New Roman"/>
          <w:sz w:val="24"/>
          <w:szCs w:val="24"/>
        </w:rPr>
        <w:t>effect</w:t>
      </w:r>
      <w:r w:rsidR="00D21F7F">
        <w:rPr>
          <w:rFonts w:ascii="Times New Roman" w:hAnsi="Times New Roman"/>
          <w:sz w:val="24"/>
          <w:szCs w:val="24"/>
        </w:rPr>
        <w:t xml:space="preserve">, </w:t>
      </w:r>
      <w:r w:rsidR="004E16C2">
        <w:rPr>
          <w:rFonts w:ascii="Times New Roman" w:hAnsi="Times New Roman"/>
          <w:sz w:val="24"/>
          <w:szCs w:val="24"/>
        </w:rPr>
        <w:t xml:space="preserve">similar to other small European markets. </w:t>
      </w:r>
      <w:r w:rsidR="00D21F7F">
        <w:rPr>
          <w:rFonts w:ascii="Times New Roman" w:hAnsi="Times New Roman"/>
          <w:sz w:val="24"/>
          <w:szCs w:val="24"/>
        </w:rPr>
        <w:t>Furthermore o</w:t>
      </w:r>
      <w:r w:rsidR="00762A57" w:rsidRPr="0012736F">
        <w:rPr>
          <w:rFonts w:ascii="Times New Roman" w:hAnsi="Times New Roman"/>
          <w:sz w:val="24"/>
          <w:szCs w:val="24"/>
        </w:rPr>
        <w:t xml:space="preserve">ne foreign </w:t>
      </w:r>
      <w:r w:rsidR="00D21F7F">
        <w:rPr>
          <w:rFonts w:ascii="Times New Roman" w:hAnsi="Times New Roman"/>
          <w:sz w:val="24"/>
          <w:szCs w:val="24"/>
        </w:rPr>
        <w:t xml:space="preserve">investment </w:t>
      </w:r>
      <w:r w:rsidR="00762A57" w:rsidRPr="0012736F">
        <w:rPr>
          <w:rFonts w:ascii="Times New Roman" w:hAnsi="Times New Roman"/>
          <w:sz w:val="24"/>
          <w:szCs w:val="24"/>
        </w:rPr>
        <w:t xml:space="preserve">firm has established a branch in Bulgaria, but foreign interest in the Bulgarian market has been modest. Bulgarian investment firms have established three branches in the UK, Romania, and Spain, respectively. </w:t>
      </w:r>
      <w:r w:rsidR="00862BDE">
        <w:rPr>
          <w:rFonts w:ascii="Times New Roman" w:hAnsi="Times New Roman"/>
          <w:sz w:val="24"/>
          <w:szCs w:val="24"/>
        </w:rPr>
        <w:t xml:space="preserve">More important has been provision of investment services by foreign owned banks, and </w:t>
      </w:r>
      <w:r w:rsidR="00762A57" w:rsidRPr="0012736F">
        <w:rPr>
          <w:rFonts w:ascii="Times New Roman" w:hAnsi="Times New Roman"/>
          <w:sz w:val="24"/>
          <w:szCs w:val="24"/>
        </w:rPr>
        <w:t xml:space="preserve">investment firms from abroad have increasingly approached Bulgarian institutional investors, who reported a sharp decrease in costs of trading in foreign markets. </w:t>
      </w:r>
      <w:r w:rsidR="00862BDE">
        <w:rPr>
          <w:rFonts w:ascii="Times New Roman" w:hAnsi="Times New Roman"/>
          <w:sz w:val="24"/>
          <w:szCs w:val="24"/>
        </w:rPr>
        <w:t xml:space="preserve">Foreign owned banks are also appear to support Bulgarian enterprises with investment banking services helping them to get access to foreign funding, although data on these services are unavailable.  </w:t>
      </w:r>
    </w:p>
    <w:tbl>
      <w:tblPr>
        <w:tblW w:w="8002" w:type="dxa"/>
        <w:tblInd w:w="720" w:type="dxa"/>
        <w:tblLook w:val="04A0"/>
      </w:tblPr>
      <w:tblGrid>
        <w:gridCol w:w="3628"/>
        <w:gridCol w:w="729"/>
        <w:gridCol w:w="729"/>
        <w:gridCol w:w="729"/>
        <w:gridCol w:w="729"/>
        <w:gridCol w:w="729"/>
        <w:gridCol w:w="729"/>
      </w:tblGrid>
      <w:tr w:rsidR="004E6DCD" w:rsidRPr="004E6DCD" w:rsidTr="00A73D42">
        <w:trPr>
          <w:trHeight w:val="315"/>
        </w:trPr>
        <w:tc>
          <w:tcPr>
            <w:tcW w:w="8002" w:type="dxa"/>
            <w:gridSpan w:val="7"/>
            <w:tcBorders>
              <w:bottom w:val="single" w:sz="4" w:space="0" w:color="auto"/>
            </w:tcBorders>
            <w:shd w:val="clear" w:color="auto" w:fill="auto"/>
            <w:noWrap/>
            <w:vAlign w:val="bottom"/>
            <w:hideMark/>
          </w:tcPr>
          <w:p w:rsidR="004E6DCD" w:rsidRPr="004E6DCD" w:rsidRDefault="00BF289B" w:rsidP="009C0B12">
            <w:pPr>
              <w:pStyle w:val="Caption"/>
              <w:keepNext/>
              <w:spacing w:after="0"/>
              <w:rPr>
                <w:b w:val="0"/>
                <w:bCs w:val="0"/>
                <w:color w:val="000000"/>
                <w:szCs w:val="24"/>
              </w:rPr>
            </w:pPr>
            <w:bookmarkStart w:id="13" w:name="RANGE!S40"/>
            <w:bookmarkStart w:id="14" w:name="_Toc297111595"/>
            <w:r w:rsidRPr="009C0B12">
              <w:t xml:space="preserve">Table </w:t>
            </w:r>
            <w:fldSimple w:instr=" SEQ Table \* ARABIC ">
              <w:r w:rsidR="00A064B6">
                <w:rPr>
                  <w:noProof/>
                </w:rPr>
                <w:t>3</w:t>
              </w:r>
            </w:fldSimple>
            <w:r w:rsidRPr="009C0B12">
              <w:t xml:space="preserve">: </w:t>
            </w:r>
            <w:r w:rsidR="004E6DCD" w:rsidRPr="009C0B12">
              <w:t xml:space="preserve">Foreign </w:t>
            </w:r>
            <w:r w:rsidR="009C0B12">
              <w:t>E</w:t>
            </w:r>
            <w:r w:rsidR="004E6DCD" w:rsidRPr="009C0B12">
              <w:t xml:space="preserve">quity </w:t>
            </w:r>
            <w:r w:rsidR="009C0B12">
              <w:t>T</w:t>
            </w:r>
            <w:r w:rsidR="004E6DCD" w:rsidRPr="009C0B12">
              <w:t xml:space="preserve">rading as </w:t>
            </w:r>
            <w:r w:rsidR="009C0B12">
              <w:t>S</w:t>
            </w:r>
            <w:r w:rsidR="004E6DCD" w:rsidRPr="009C0B12">
              <w:t xml:space="preserve">hare of </w:t>
            </w:r>
            <w:r w:rsidR="009C0B12">
              <w:t>T</w:t>
            </w:r>
            <w:r w:rsidR="004E6DCD" w:rsidRPr="009C0B12">
              <w:t xml:space="preserve">otal </w:t>
            </w:r>
            <w:r w:rsidR="009C0B12">
              <w:t>T</w:t>
            </w:r>
            <w:r w:rsidR="004E6DCD" w:rsidRPr="009C0B12">
              <w:t>rading</w:t>
            </w:r>
            <w:bookmarkEnd w:id="13"/>
            <w:bookmarkEnd w:id="14"/>
          </w:p>
        </w:tc>
      </w:tr>
      <w:tr w:rsidR="004E6DCD" w:rsidRPr="004E6DCD" w:rsidTr="00A73D42">
        <w:trPr>
          <w:trHeight w:val="300"/>
        </w:trPr>
        <w:tc>
          <w:tcPr>
            <w:tcW w:w="3628" w:type="dxa"/>
            <w:tcBorders>
              <w:top w:val="single" w:sz="4" w:space="0" w:color="auto"/>
              <w:bottom w:val="single" w:sz="4" w:space="0" w:color="auto"/>
            </w:tcBorders>
            <w:shd w:val="clear" w:color="000000" w:fill="FFFFFF"/>
            <w:noWrap/>
            <w:vAlign w:val="bottom"/>
            <w:hideMark/>
          </w:tcPr>
          <w:p w:rsidR="004E6DCD" w:rsidRPr="004E6DCD" w:rsidRDefault="004E6DCD" w:rsidP="004E6DCD">
            <w:pPr>
              <w:spacing w:after="0" w:line="240" w:lineRule="auto"/>
              <w:rPr>
                <w:rFonts w:ascii="Times New Roman" w:hAnsi="Times New Roman"/>
                <w:color w:val="000000"/>
                <w:sz w:val="18"/>
                <w:szCs w:val="18"/>
              </w:rPr>
            </w:pPr>
            <w:r w:rsidRPr="004E6DCD">
              <w:rPr>
                <w:rFonts w:ascii="Times New Roman" w:hAnsi="Times New Roman"/>
                <w:color w:val="000000"/>
                <w:sz w:val="18"/>
                <w:szCs w:val="18"/>
              </w:rPr>
              <w:t>Percent</w:t>
            </w:r>
          </w:p>
        </w:tc>
        <w:tc>
          <w:tcPr>
            <w:tcW w:w="729" w:type="dxa"/>
            <w:tcBorders>
              <w:top w:val="single" w:sz="4" w:space="0" w:color="auto"/>
              <w:bottom w:val="single" w:sz="4" w:space="0" w:color="auto"/>
            </w:tcBorders>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2005</w:t>
            </w:r>
          </w:p>
        </w:tc>
        <w:tc>
          <w:tcPr>
            <w:tcW w:w="729" w:type="dxa"/>
            <w:tcBorders>
              <w:top w:val="single" w:sz="4" w:space="0" w:color="auto"/>
              <w:bottom w:val="single" w:sz="4" w:space="0" w:color="auto"/>
            </w:tcBorders>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2006</w:t>
            </w:r>
          </w:p>
        </w:tc>
        <w:tc>
          <w:tcPr>
            <w:tcW w:w="729" w:type="dxa"/>
            <w:tcBorders>
              <w:top w:val="single" w:sz="4" w:space="0" w:color="auto"/>
              <w:bottom w:val="single" w:sz="4" w:space="0" w:color="auto"/>
            </w:tcBorders>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2007</w:t>
            </w:r>
          </w:p>
        </w:tc>
        <w:tc>
          <w:tcPr>
            <w:tcW w:w="729" w:type="dxa"/>
            <w:tcBorders>
              <w:top w:val="single" w:sz="4" w:space="0" w:color="auto"/>
              <w:bottom w:val="single" w:sz="4" w:space="0" w:color="auto"/>
            </w:tcBorders>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2008</w:t>
            </w:r>
          </w:p>
        </w:tc>
        <w:tc>
          <w:tcPr>
            <w:tcW w:w="729" w:type="dxa"/>
            <w:tcBorders>
              <w:top w:val="single" w:sz="4" w:space="0" w:color="auto"/>
              <w:bottom w:val="single" w:sz="4" w:space="0" w:color="auto"/>
            </w:tcBorders>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2009</w:t>
            </w:r>
          </w:p>
        </w:tc>
        <w:tc>
          <w:tcPr>
            <w:tcW w:w="729" w:type="dxa"/>
            <w:tcBorders>
              <w:top w:val="single" w:sz="4" w:space="0" w:color="auto"/>
              <w:bottom w:val="single" w:sz="4" w:space="0" w:color="auto"/>
            </w:tcBorders>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2010</w:t>
            </w:r>
          </w:p>
        </w:tc>
      </w:tr>
      <w:tr w:rsidR="004E6DCD" w:rsidRPr="004E6DCD" w:rsidTr="00A73D42">
        <w:trPr>
          <w:trHeight w:val="300"/>
        </w:trPr>
        <w:tc>
          <w:tcPr>
            <w:tcW w:w="3628" w:type="dxa"/>
            <w:tcBorders>
              <w:top w:val="single" w:sz="4" w:space="0" w:color="auto"/>
            </w:tcBorders>
            <w:shd w:val="clear" w:color="000000" w:fill="FFFFFF"/>
            <w:noWrap/>
            <w:vAlign w:val="bottom"/>
            <w:hideMark/>
          </w:tcPr>
          <w:p w:rsidR="004E6DCD" w:rsidRPr="004E6DCD" w:rsidRDefault="004E6DCD" w:rsidP="004E6DCD">
            <w:pPr>
              <w:spacing w:after="0" w:line="240" w:lineRule="auto"/>
              <w:rPr>
                <w:rFonts w:ascii="Times New Roman" w:hAnsi="Times New Roman"/>
                <w:color w:val="000000"/>
                <w:sz w:val="18"/>
                <w:szCs w:val="18"/>
              </w:rPr>
            </w:pPr>
            <w:r w:rsidRPr="004E6DCD">
              <w:rPr>
                <w:rFonts w:ascii="Times New Roman" w:hAnsi="Times New Roman"/>
                <w:color w:val="000000"/>
                <w:sz w:val="18"/>
                <w:szCs w:val="18"/>
              </w:rPr>
              <w:t>London Stock Exchange</w:t>
            </w:r>
          </w:p>
        </w:tc>
        <w:tc>
          <w:tcPr>
            <w:tcW w:w="729" w:type="dxa"/>
            <w:tcBorders>
              <w:top w:val="single" w:sz="4" w:space="0" w:color="auto"/>
            </w:tcBorders>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78.2</w:t>
            </w:r>
          </w:p>
        </w:tc>
        <w:tc>
          <w:tcPr>
            <w:tcW w:w="729" w:type="dxa"/>
            <w:tcBorders>
              <w:top w:val="single" w:sz="4" w:space="0" w:color="auto"/>
            </w:tcBorders>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76.8</w:t>
            </w:r>
          </w:p>
        </w:tc>
        <w:tc>
          <w:tcPr>
            <w:tcW w:w="729" w:type="dxa"/>
            <w:tcBorders>
              <w:top w:val="single" w:sz="4" w:space="0" w:color="auto"/>
            </w:tcBorders>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71.1</w:t>
            </w:r>
          </w:p>
        </w:tc>
        <w:tc>
          <w:tcPr>
            <w:tcW w:w="729" w:type="dxa"/>
            <w:tcBorders>
              <w:top w:val="single" w:sz="4" w:space="0" w:color="auto"/>
            </w:tcBorders>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43.3</w:t>
            </w:r>
          </w:p>
        </w:tc>
        <w:tc>
          <w:tcPr>
            <w:tcW w:w="729" w:type="dxa"/>
            <w:tcBorders>
              <w:top w:val="single" w:sz="4" w:space="0" w:color="auto"/>
            </w:tcBorders>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50.1</w:t>
            </w:r>
          </w:p>
        </w:tc>
        <w:tc>
          <w:tcPr>
            <w:tcW w:w="729" w:type="dxa"/>
            <w:tcBorders>
              <w:top w:val="single" w:sz="4" w:space="0" w:color="auto"/>
            </w:tcBorders>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proofErr w:type="spellStart"/>
            <w:r w:rsidRPr="004E6DCD">
              <w:rPr>
                <w:rFonts w:ascii="Times New Roman" w:hAnsi="Times New Roman"/>
                <w:color w:val="000000"/>
                <w:sz w:val="18"/>
                <w:szCs w:val="18"/>
              </w:rPr>
              <w:t>n.a</w:t>
            </w:r>
            <w:proofErr w:type="spellEnd"/>
            <w:r w:rsidRPr="004E6DCD">
              <w:rPr>
                <w:rFonts w:ascii="Times New Roman" w:hAnsi="Times New Roman"/>
                <w:color w:val="000000"/>
                <w:sz w:val="18"/>
                <w:szCs w:val="18"/>
              </w:rPr>
              <w:t>.</w:t>
            </w:r>
          </w:p>
        </w:tc>
      </w:tr>
      <w:tr w:rsidR="004E6DCD" w:rsidRPr="004E6DCD" w:rsidTr="00A73D42">
        <w:trPr>
          <w:trHeight w:val="300"/>
        </w:trPr>
        <w:tc>
          <w:tcPr>
            <w:tcW w:w="3628" w:type="dxa"/>
            <w:shd w:val="clear" w:color="000000" w:fill="FFFFFF"/>
            <w:noWrap/>
            <w:vAlign w:val="bottom"/>
            <w:hideMark/>
          </w:tcPr>
          <w:p w:rsidR="004E6DCD" w:rsidRPr="004E6DCD" w:rsidRDefault="004E6DCD" w:rsidP="004E6DCD">
            <w:pPr>
              <w:spacing w:after="0" w:line="240" w:lineRule="auto"/>
              <w:rPr>
                <w:rFonts w:ascii="Times New Roman" w:hAnsi="Times New Roman"/>
                <w:color w:val="000000"/>
                <w:sz w:val="18"/>
                <w:szCs w:val="18"/>
              </w:rPr>
            </w:pPr>
            <w:r w:rsidRPr="004E6DCD">
              <w:rPr>
                <w:rFonts w:ascii="Times New Roman" w:hAnsi="Times New Roman"/>
                <w:color w:val="000000"/>
                <w:sz w:val="18"/>
                <w:szCs w:val="18"/>
              </w:rPr>
              <w:t xml:space="preserve">Deutsche </w:t>
            </w:r>
            <w:proofErr w:type="spellStart"/>
            <w:r w:rsidRPr="004E6DCD">
              <w:rPr>
                <w:rFonts w:ascii="Times New Roman" w:hAnsi="Times New Roman"/>
                <w:color w:val="000000"/>
                <w:sz w:val="18"/>
                <w:szCs w:val="18"/>
              </w:rPr>
              <w:t>Börse</w:t>
            </w:r>
            <w:proofErr w:type="spellEnd"/>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9.5</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10.2</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8.6</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12.1</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22.3</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16.9</w:t>
            </w:r>
          </w:p>
        </w:tc>
      </w:tr>
      <w:tr w:rsidR="004E6DCD" w:rsidRPr="004E6DCD" w:rsidTr="00A73D42">
        <w:trPr>
          <w:trHeight w:val="300"/>
        </w:trPr>
        <w:tc>
          <w:tcPr>
            <w:tcW w:w="3628" w:type="dxa"/>
            <w:shd w:val="clear" w:color="000000" w:fill="FFFFFF"/>
            <w:noWrap/>
            <w:vAlign w:val="bottom"/>
            <w:hideMark/>
          </w:tcPr>
          <w:p w:rsidR="004E6DCD" w:rsidRPr="004E6DCD" w:rsidRDefault="004E6DCD" w:rsidP="004E6DCD">
            <w:pPr>
              <w:spacing w:after="0" w:line="240" w:lineRule="auto"/>
              <w:rPr>
                <w:rFonts w:ascii="Times New Roman" w:hAnsi="Times New Roman"/>
                <w:color w:val="000000"/>
                <w:sz w:val="18"/>
                <w:szCs w:val="18"/>
              </w:rPr>
            </w:pPr>
            <w:r w:rsidRPr="004E6DCD">
              <w:rPr>
                <w:rFonts w:ascii="Times New Roman" w:hAnsi="Times New Roman"/>
                <w:color w:val="000000"/>
                <w:sz w:val="18"/>
                <w:szCs w:val="18"/>
              </w:rPr>
              <w:t xml:space="preserve">Oslo </w:t>
            </w:r>
            <w:proofErr w:type="spellStart"/>
            <w:r w:rsidRPr="004E6DCD">
              <w:rPr>
                <w:rFonts w:ascii="Times New Roman" w:hAnsi="Times New Roman"/>
                <w:color w:val="000000"/>
                <w:sz w:val="18"/>
                <w:szCs w:val="18"/>
              </w:rPr>
              <w:t>Børs</w:t>
            </w:r>
            <w:proofErr w:type="spellEnd"/>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17.1</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15.8</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15.3</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20.6</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18.7</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28.8</w:t>
            </w:r>
          </w:p>
        </w:tc>
      </w:tr>
      <w:tr w:rsidR="004E6DCD" w:rsidRPr="004E6DCD" w:rsidTr="00A73D42">
        <w:trPr>
          <w:trHeight w:val="300"/>
        </w:trPr>
        <w:tc>
          <w:tcPr>
            <w:tcW w:w="3628" w:type="dxa"/>
            <w:shd w:val="clear" w:color="000000" w:fill="FFFFFF"/>
            <w:noWrap/>
            <w:vAlign w:val="bottom"/>
            <w:hideMark/>
          </w:tcPr>
          <w:p w:rsidR="004E6DCD" w:rsidRPr="004E6DCD" w:rsidRDefault="004E6DCD" w:rsidP="004E6DCD">
            <w:pPr>
              <w:spacing w:after="0" w:line="240" w:lineRule="auto"/>
              <w:rPr>
                <w:rFonts w:ascii="Times New Roman" w:hAnsi="Times New Roman"/>
                <w:color w:val="000000"/>
                <w:sz w:val="18"/>
                <w:szCs w:val="18"/>
              </w:rPr>
            </w:pPr>
            <w:r w:rsidRPr="004E6DCD">
              <w:rPr>
                <w:rFonts w:ascii="Times New Roman" w:hAnsi="Times New Roman"/>
                <w:color w:val="000000"/>
                <w:sz w:val="18"/>
                <w:szCs w:val="18"/>
              </w:rPr>
              <w:t xml:space="preserve">NYSE </w:t>
            </w:r>
            <w:proofErr w:type="spellStart"/>
            <w:r w:rsidRPr="004E6DCD">
              <w:rPr>
                <w:rFonts w:ascii="Times New Roman" w:hAnsi="Times New Roman"/>
                <w:color w:val="000000"/>
                <w:sz w:val="18"/>
                <w:szCs w:val="18"/>
              </w:rPr>
              <w:t>Euronext</w:t>
            </w:r>
            <w:proofErr w:type="spellEnd"/>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4.7</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0.5</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0.5</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0.4</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0.4</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33.3</w:t>
            </w:r>
          </w:p>
        </w:tc>
      </w:tr>
      <w:tr w:rsidR="004E6DCD" w:rsidRPr="004E6DCD" w:rsidTr="00A73D42">
        <w:trPr>
          <w:trHeight w:val="300"/>
        </w:trPr>
        <w:tc>
          <w:tcPr>
            <w:tcW w:w="3628" w:type="dxa"/>
            <w:shd w:val="clear" w:color="000000" w:fill="FFFFFF"/>
            <w:noWrap/>
            <w:vAlign w:val="bottom"/>
            <w:hideMark/>
          </w:tcPr>
          <w:p w:rsidR="004E6DCD" w:rsidRPr="004E6DCD" w:rsidRDefault="004E6DCD" w:rsidP="004E6DCD">
            <w:pPr>
              <w:spacing w:after="0" w:line="240" w:lineRule="auto"/>
              <w:rPr>
                <w:rFonts w:ascii="Times New Roman" w:hAnsi="Times New Roman"/>
                <w:color w:val="000000"/>
                <w:sz w:val="18"/>
                <w:szCs w:val="18"/>
              </w:rPr>
            </w:pPr>
            <w:r w:rsidRPr="004E6DCD">
              <w:rPr>
                <w:rFonts w:ascii="Times New Roman" w:hAnsi="Times New Roman"/>
                <w:color w:val="000000"/>
                <w:sz w:val="18"/>
                <w:szCs w:val="18"/>
              </w:rPr>
              <w:t>NASDAQ OMX Nordic</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4.4</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5.4</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4.8</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6.1</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6.4</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7.3</w:t>
            </w:r>
          </w:p>
        </w:tc>
      </w:tr>
      <w:tr w:rsidR="004E6DCD" w:rsidRPr="004E6DCD" w:rsidTr="00A73D42">
        <w:trPr>
          <w:trHeight w:val="300"/>
        </w:trPr>
        <w:tc>
          <w:tcPr>
            <w:tcW w:w="3628" w:type="dxa"/>
            <w:shd w:val="clear" w:color="000000" w:fill="FFFFFF"/>
            <w:noWrap/>
            <w:vAlign w:val="bottom"/>
            <w:hideMark/>
          </w:tcPr>
          <w:p w:rsidR="004E6DCD" w:rsidRPr="004E6DCD" w:rsidRDefault="004E6DCD" w:rsidP="004E6DCD">
            <w:pPr>
              <w:spacing w:after="0" w:line="240" w:lineRule="auto"/>
              <w:rPr>
                <w:rFonts w:ascii="Times New Roman" w:hAnsi="Times New Roman"/>
                <w:color w:val="000000"/>
                <w:sz w:val="18"/>
                <w:szCs w:val="18"/>
              </w:rPr>
            </w:pPr>
            <w:r w:rsidRPr="004E6DCD">
              <w:rPr>
                <w:rFonts w:ascii="Times New Roman" w:hAnsi="Times New Roman"/>
                <w:color w:val="000000"/>
                <w:sz w:val="18"/>
                <w:szCs w:val="18"/>
              </w:rPr>
              <w:t>SIX Swiss Exchange</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6.8</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7.8</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5.7</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0.5</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0.4</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0.4</w:t>
            </w:r>
          </w:p>
        </w:tc>
      </w:tr>
      <w:tr w:rsidR="004E6DCD" w:rsidRPr="004E6DCD" w:rsidTr="00A73D42">
        <w:trPr>
          <w:trHeight w:val="300"/>
        </w:trPr>
        <w:tc>
          <w:tcPr>
            <w:tcW w:w="3628" w:type="dxa"/>
            <w:shd w:val="clear" w:color="000000" w:fill="FFFFFF"/>
            <w:noWrap/>
            <w:vAlign w:val="bottom"/>
            <w:hideMark/>
          </w:tcPr>
          <w:p w:rsidR="004E6DCD" w:rsidRPr="004E6DCD" w:rsidRDefault="004E6DCD" w:rsidP="004E6DCD">
            <w:pPr>
              <w:spacing w:after="0" w:line="240" w:lineRule="auto"/>
              <w:rPr>
                <w:rFonts w:ascii="Times New Roman" w:hAnsi="Times New Roman"/>
                <w:color w:val="000000"/>
                <w:sz w:val="18"/>
                <w:szCs w:val="18"/>
              </w:rPr>
            </w:pPr>
            <w:r w:rsidRPr="004E6DCD">
              <w:rPr>
                <w:rFonts w:ascii="Times New Roman" w:hAnsi="Times New Roman"/>
                <w:color w:val="000000"/>
                <w:sz w:val="18"/>
                <w:szCs w:val="18"/>
              </w:rPr>
              <w:t>BME (Spanish Exchange)</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1.2</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0.9</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0.4</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0.2</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0.6</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0.6</w:t>
            </w:r>
          </w:p>
        </w:tc>
      </w:tr>
      <w:tr w:rsidR="004E6DCD" w:rsidRPr="004E6DCD" w:rsidTr="00A73D42">
        <w:trPr>
          <w:trHeight w:val="300"/>
        </w:trPr>
        <w:tc>
          <w:tcPr>
            <w:tcW w:w="3628" w:type="dxa"/>
            <w:shd w:val="clear" w:color="000000" w:fill="FFFFFF"/>
            <w:noWrap/>
            <w:vAlign w:val="bottom"/>
            <w:hideMark/>
          </w:tcPr>
          <w:p w:rsidR="004E6DCD" w:rsidRPr="004E6DCD" w:rsidRDefault="004E6DCD" w:rsidP="004E6DCD">
            <w:pPr>
              <w:spacing w:after="0" w:line="240" w:lineRule="auto"/>
              <w:rPr>
                <w:rFonts w:ascii="Times New Roman" w:hAnsi="Times New Roman"/>
                <w:color w:val="000000"/>
                <w:sz w:val="18"/>
                <w:szCs w:val="18"/>
              </w:rPr>
            </w:pPr>
            <w:proofErr w:type="spellStart"/>
            <w:r w:rsidRPr="004E6DCD">
              <w:rPr>
                <w:rFonts w:ascii="Times New Roman" w:hAnsi="Times New Roman"/>
                <w:color w:val="000000"/>
                <w:sz w:val="18"/>
                <w:szCs w:val="18"/>
              </w:rPr>
              <w:t>Borsa</w:t>
            </w:r>
            <w:proofErr w:type="spellEnd"/>
            <w:r w:rsidRPr="004E6DCD">
              <w:rPr>
                <w:rFonts w:ascii="Times New Roman" w:hAnsi="Times New Roman"/>
                <w:color w:val="000000"/>
                <w:sz w:val="18"/>
                <w:szCs w:val="18"/>
              </w:rPr>
              <w:t xml:space="preserve"> </w:t>
            </w:r>
            <w:proofErr w:type="spellStart"/>
            <w:r w:rsidRPr="004E6DCD">
              <w:rPr>
                <w:rFonts w:ascii="Times New Roman" w:hAnsi="Times New Roman"/>
                <w:color w:val="000000"/>
                <w:sz w:val="18"/>
                <w:szCs w:val="18"/>
              </w:rPr>
              <w:t>Italiana</w:t>
            </w:r>
            <w:proofErr w:type="spellEnd"/>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6.2</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5.8</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4</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3.6</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4.7</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proofErr w:type="spellStart"/>
            <w:r w:rsidRPr="004E6DCD">
              <w:rPr>
                <w:rFonts w:ascii="Times New Roman" w:hAnsi="Times New Roman"/>
                <w:color w:val="000000"/>
                <w:sz w:val="18"/>
                <w:szCs w:val="18"/>
              </w:rPr>
              <w:t>n.a</w:t>
            </w:r>
            <w:proofErr w:type="spellEnd"/>
            <w:r w:rsidRPr="004E6DCD">
              <w:rPr>
                <w:rFonts w:ascii="Times New Roman" w:hAnsi="Times New Roman"/>
                <w:color w:val="000000"/>
                <w:sz w:val="18"/>
                <w:szCs w:val="18"/>
              </w:rPr>
              <w:t>.</w:t>
            </w:r>
          </w:p>
        </w:tc>
      </w:tr>
      <w:tr w:rsidR="004E6DCD" w:rsidRPr="004E6DCD" w:rsidTr="00A73D42">
        <w:trPr>
          <w:trHeight w:val="300"/>
        </w:trPr>
        <w:tc>
          <w:tcPr>
            <w:tcW w:w="3628" w:type="dxa"/>
            <w:shd w:val="clear" w:color="000000" w:fill="FFFFFF"/>
            <w:noWrap/>
            <w:vAlign w:val="bottom"/>
            <w:hideMark/>
          </w:tcPr>
          <w:p w:rsidR="004E6DCD" w:rsidRPr="004E6DCD" w:rsidRDefault="004E6DCD" w:rsidP="004E6DCD">
            <w:pPr>
              <w:spacing w:after="0" w:line="240" w:lineRule="auto"/>
              <w:rPr>
                <w:rFonts w:ascii="Times New Roman" w:hAnsi="Times New Roman"/>
                <w:color w:val="000000"/>
                <w:sz w:val="18"/>
                <w:szCs w:val="18"/>
              </w:rPr>
            </w:pPr>
            <w:r w:rsidRPr="004E6DCD">
              <w:rPr>
                <w:rFonts w:ascii="Times New Roman" w:hAnsi="Times New Roman"/>
                <w:color w:val="000000"/>
                <w:sz w:val="18"/>
                <w:szCs w:val="18"/>
              </w:rPr>
              <w:t>Athens Exchange</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1.2</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3.6</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9.4</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9.8</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11.1</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7.2</w:t>
            </w:r>
          </w:p>
        </w:tc>
      </w:tr>
      <w:tr w:rsidR="004E6DCD" w:rsidRPr="004E6DCD" w:rsidTr="00A73D42">
        <w:trPr>
          <w:trHeight w:val="300"/>
        </w:trPr>
        <w:tc>
          <w:tcPr>
            <w:tcW w:w="3628" w:type="dxa"/>
            <w:shd w:val="clear" w:color="000000" w:fill="FFFFFF"/>
            <w:noWrap/>
            <w:vAlign w:val="bottom"/>
            <w:hideMark/>
          </w:tcPr>
          <w:p w:rsidR="004E6DCD" w:rsidRPr="004E6DCD" w:rsidRDefault="004E6DCD" w:rsidP="004E6DCD">
            <w:pPr>
              <w:spacing w:after="0" w:line="240" w:lineRule="auto"/>
              <w:rPr>
                <w:rFonts w:ascii="Times New Roman" w:hAnsi="Times New Roman"/>
                <w:color w:val="000000"/>
                <w:sz w:val="18"/>
                <w:szCs w:val="18"/>
              </w:rPr>
            </w:pPr>
            <w:r w:rsidRPr="004E6DCD">
              <w:rPr>
                <w:rFonts w:ascii="Times New Roman" w:hAnsi="Times New Roman"/>
                <w:color w:val="000000"/>
                <w:sz w:val="18"/>
                <w:szCs w:val="18"/>
              </w:rPr>
              <w:t>CEESEG - Budapest</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0.1</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0</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0</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0.1</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0.2</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0.2</w:t>
            </w:r>
          </w:p>
        </w:tc>
      </w:tr>
      <w:tr w:rsidR="004E6DCD" w:rsidRPr="004E6DCD" w:rsidTr="00A73D42">
        <w:trPr>
          <w:trHeight w:val="300"/>
        </w:trPr>
        <w:tc>
          <w:tcPr>
            <w:tcW w:w="3628" w:type="dxa"/>
            <w:shd w:val="clear" w:color="000000" w:fill="FFFFFF"/>
            <w:noWrap/>
            <w:vAlign w:val="bottom"/>
            <w:hideMark/>
          </w:tcPr>
          <w:p w:rsidR="004E6DCD" w:rsidRPr="004E6DCD" w:rsidRDefault="004E6DCD" w:rsidP="004E6DCD">
            <w:pPr>
              <w:spacing w:after="0" w:line="240" w:lineRule="auto"/>
              <w:rPr>
                <w:rFonts w:ascii="Times New Roman" w:hAnsi="Times New Roman"/>
                <w:color w:val="000000"/>
                <w:sz w:val="18"/>
                <w:szCs w:val="18"/>
              </w:rPr>
            </w:pPr>
            <w:r w:rsidRPr="004E6DCD">
              <w:rPr>
                <w:rFonts w:ascii="Times New Roman" w:hAnsi="Times New Roman"/>
                <w:color w:val="000000"/>
                <w:sz w:val="18"/>
                <w:szCs w:val="18"/>
              </w:rPr>
              <w:t>CEESEG - Vienna</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2.1</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3.1</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7</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2</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1.5</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1.1</w:t>
            </w:r>
          </w:p>
        </w:tc>
      </w:tr>
      <w:tr w:rsidR="004E6DCD" w:rsidRPr="004E6DCD" w:rsidTr="00A73D42">
        <w:trPr>
          <w:trHeight w:val="300"/>
        </w:trPr>
        <w:tc>
          <w:tcPr>
            <w:tcW w:w="3628" w:type="dxa"/>
            <w:shd w:val="clear" w:color="000000" w:fill="FFFFFF"/>
            <w:noWrap/>
            <w:vAlign w:val="bottom"/>
            <w:hideMark/>
          </w:tcPr>
          <w:p w:rsidR="004E6DCD" w:rsidRPr="004E6DCD" w:rsidRDefault="004E6DCD" w:rsidP="004E6DCD">
            <w:pPr>
              <w:spacing w:after="0" w:line="240" w:lineRule="auto"/>
              <w:rPr>
                <w:rFonts w:ascii="Times New Roman" w:hAnsi="Times New Roman"/>
                <w:color w:val="000000"/>
                <w:sz w:val="18"/>
                <w:szCs w:val="18"/>
              </w:rPr>
            </w:pPr>
            <w:r w:rsidRPr="004E6DCD">
              <w:rPr>
                <w:rFonts w:ascii="Times New Roman" w:hAnsi="Times New Roman"/>
                <w:color w:val="000000"/>
                <w:sz w:val="18"/>
                <w:szCs w:val="18"/>
              </w:rPr>
              <w:t>Irish Stock Exchange</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5</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2.4</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0.1</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1.2</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2.9</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2.1</w:t>
            </w:r>
          </w:p>
        </w:tc>
      </w:tr>
      <w:tr w:rsidR="004E6DCD" w:rsidRPr="004E6DCD" w:rsidTr="00A73D42">
        <w:trPr>
          <w:trHeight w:val="300"/>
        </w:trPr>
        <w:tc>
          <w:tcPr>
            <w:tcW w:w="3628" w:type="dxa"/>
            <w:shd w:val="clear" w:color="000000" w:fill="FFFFFF"/>
            <w:noWrap/>
            <w:vAlign w:val="bottom"/>
            <w:hideMark/>
          </w:tcPr>
          <w:p w:rsidR="004E6DCD" w:rsidRPr="004E6DCD" w:rsidRDefault="004E6DCD" w:rsidP="004E6DCD">
            <w:pPr>
              <w:spacing w:after="0" w:line="240" w:lineRule="auto"/>
              <w:rPr>
                <w:rFonts w:ascii="Times New Roman" w:hAnsi="Times New Roman"/>
                <w:color w:val="000000"/>
                <w:sz w:val="18"/>
                <w:szCs w:val="18"/>
              </w:rPr>
            </w:pPr>
            <w:r w:rsidRPr="004E6DCD">
              <w:rPr>
                <w:rFonts w:ascii="Times New Roman" w:hAnsi="Times New Roman"/>
                <w:color w:val="000000"/>
                <w:sz w:val="18"/>
                <w:szCs w:val="18"/>
              </w:rPr>
              <w:t>Warsaw Stock Exchange</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1.7</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1.8</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3.9</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3.8</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3.2</w:t>
            </w:r>
          </w:p>
        </w:tc>
        <w:tc>
          <w:tcPr>
            <w:tcW w:w="729" w:type="dxa"/>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1.9</w:t>
            </w:r>
          </w:p>
        </w:tc>
      </w:tr>
      <w:tr w:rsidR="004E6DCD" w:rsidRPr="004E6DCD" w:rsidTr="00A73D42">
        <w:trPr>
          <w:trHeight w:val="315"/>
        </w:trPr>
        <w:tc>
          <w:tcPr>
            <w:tcW w:w="3628" w:type="dxa"/>
            <w:tcBorders>
              <w:bottom w:val="single" w:sz="4" w:space="0" w:color="auto"/>
            </w:tcBorders>
            <w:shd w:val="clear" w:color="000000" w:fill="FFFFFF"/>
            <w:noWrap/>
            <w:vAlign w:val="bottom"/>
            <w:hideMark/>
          </w:tcPr>
          <w:p w:rsidR="004E6DCD" w:rsidRPr="004E6DCD" w:rsidRDefault="004E6DCD" w:rsidP="004E6DCD">
            <w:pPr>
              <w:spacing w:after="0" w:line="240" w:lineRule="auto"/>
              <w:rPr>
                <w:rFonts w:ascii="Times New Roman" w:hAnsi="Times New Roman"/>
                <w:color w:val="000000"/>
                <w:sz w:val="18"/>
                <w:szCs w:val="18"/>
              </w:rPr>
            </w:pPr>
            <w:r w:rsidRPr="004E6DCD">
              <w:rPr>
                <w:rFonts w:ascii="Times New Roman" w:hAnsi="Times New Roman"/>
                <w:color w:val="000000"/>
                <w:sz w:val="18"/>
                <w:szCs w:val="18"/>
              </w:rPr>
              <w:t>Bulgarian Stock Exchange</w:t>
            </w:r>
          </w:p>
        </w:tc>
        <w:tc>
          <w:tcPr>
            <w:tcW w:w="729" w:type="dxa"/>
            <w:tcBorders>
              <w:bottom w:val="single" w:sz="4" w:space="0" w:color="auto"/>
            </w:tcBorders>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0</w:t>
            </w:r>
          </w:p>
        </w:tc>
        <w:tc>
          <w:tcPr>
            <w:tcW w:w="729" w:type="dxa"/>
            <w:tcBorders>
              <w:bottom w:val="single" w:sz="4" w:space="0" w:color="auto"/>
            </w:tcBorders>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0</w:t>
            </w:r>
          </w:p>
        </w:tc>
        <w:tc>
          <w:tcPr>
            <w:tcW w:w="729" w:type="dxa"/>
            <w:tcBorders>
              <w:bottom w:val="single" w:sz="4" w:space="0" w:color="auto"/>
            </w:tcBorders>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0</w:t>
            </w:r>
          </w:p>
        </w:tc>
        <w:tc>
          <w:tcPr>
            <w:tcW w:w="729" w:type="dxa"/>
            <w:tcBorders>
              <w:bottom w:val="single" w:sz="4" w:space="0" w:color="auto"/>
            </w:tcBorders>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0</w:t>
            </w:r>
          </w:p>
        </w:tc>
        <w:tc>
          <w:tcPr>
            <w:tcW w:w="729" w:type="dxa"/>
            <w:tcBorders>
              <w:bottom w:val="single" w:sz="4" w:space="0" w:color="auto"/>
            </w:tcBorders>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0</w:t>
            </w:r>
          </w:p>
        </w:tc>
        <w:tc>
          <w:tcPr>
            <w:tcW w:w="729" w:type="dxa"/>
            <w:tcBorders>
              <w:bottom w:val="single" w:sz="4" w:space="0" w:color="auto"/>
            </w:tcBorders>
            <w:shd w:val="clear" w:color="000000" w:fill="FFFFFF"/>
            <w:noWrap/>
            <w:vAlign w:val="bottom"/>
            <w:hideMark/>
          </w:tcPr>
          <w:p w:rsidR="004E6DCD" w:rsidRPr="004E6DCD" w:rsidRDefault="004E6DCD" w:rsidP="004E6DCD">
            <w:pPr>
              <w:spacing w:after="0" w:line="240" w:lineRule="auto"/>
              <w:jc w:val="right"/>
              <w:rPr>
                <w:rFonts w:ascii="Times New Roman" w:hAnsi="Times New Roman"/>
                <w:color w:val="000000"/>
                <w:sz w:val="18"/>
                <w:szCs w:val="18"/>
              </w:rPr>
            </w:pPr>
            <w:r w:rsidRPr="004E6DCD">
              <w:rPr>
                <w:rFonts w:ascii="Times New Roman" w:hAnsi="Times New Roman"/>
                <w:color w:val="000000"/>
                <w:sz w:val="18"/>
                <w:szCs w:val="18"/>
              </w:rPr>
              <w:t>0</w:t>
            </w:r>
          </w:p>
        </w:tc>
      </w:tr>
      <w:tr w:rsidR="004E6DCD" w:rsidRPr="004E6DCD" w:rsidTr="0009022D">
        <w:trPr>
          <w:trHeight w:val="450"/>
        </w:trPr>
        <w:tc>
          <w:tcPr>
            <w:tcW w:w="8002" w:type="dxa"/>
            <w:gridSpan w:val="7"/>
            <w:tcBorders>
              <w:top w:val="single" w:sz="4" w:space="0" w:color="auto"/>
              <w:bottom w:val="single" w:sz="4" w:space="0" w:color="auto"/>
            </w:tcBorders>
            <w:shd w:val="clear" w:color="auto" w:fill="auto"/>
            <w:hideMark/>
          </w:tcPr>
          <w:p w:rsidR="004E6DCD" w:rsidRPr="008A4846" w:rsidRDefault="004E6DCD" w:rsidP="004E6DCD">
            <w:pPr>
              <w:spacing w:after="0" w:line="240" w:lineRule="auto"/>
              <w:rPr>
                <w:rFonts w:ascii="Times New Roman" w:hAnsi="Times New Roman"/>
                <w:i/>
                <w:iCs/>
                <w:color w:val="000000"/>
                <w:sz w:val="20"/>
                <w:szCs w:val="20"/>
              </w:rPr>
            </w:pPr>
            <w:r w:rsidRPr="008A4846">
              <w:rPr>
                <w:rFonts w:ascii="Times New Roman" w:hAnsi="Times New Roman"/>
                <w:i/>
                <w:iCs/>
                <w:color w:val="000000"/>
                <w:sz w:val="20"/>
                <w:szCs w:val="20"/>
              </w:rPr>
              <w:t xml:space="preserve">Note: NASDAQ OMX Nordic includes Copenhagen, Helsinki, </w:t>
            </w:r>
            <w:proofErr w:type="gramStart"/>
            <w:r w:rsidRPr="008A4846">
              <w:rPr>
                <w:rFonts w:ascii="Times New Roman" w:hAnsi="Times New Roman"/>
                <w:i/>
                <w:iCs/>
                <w:color w:val="000000"/>
                <w:sz w:val="20"/>
                <w:szCs w:val="20"/>
              </w:rPr>
              <w:t>Stockholm</w:t>
            </w:r>
            <w:proofErr w:type="gramEnd"/>
            <w:r w:rsidRPr="008A4846">
              <w:rPr>
                <w:rFonts w:ascii="Times New Roman" w:hAnsi="Times New Roman"/>
                <w:i/>
                <w:iCs/>
                <w:color w:val="000000"/>
                <w:sz w:val="20"/>
                <w:szCs w:val="20"/>
              </w:rPr>
              <w:t xml:space="preserve">, Iceland. NYSE </w:t>
            </w:r>
            <w:proofErr w:type="spellStart"/>
            <w:r w:rsidRPr="008A4846">
              <w:rPr>
                <w:rFonts w:ascii="Times New Roman" w:hAnsi="Times New Roman"/>
                <w:i/>
                <w:iCs/>
                <w:color w:val="000000"/>
                <w:sz w:val="20"/>
                <w:szCs w:val="20"/>
              </w:rPr>
              <w:t>Euronext</w:t>
            </w:r>
            <w:proofErr w:type="spellEnd"/>
            <w:r w:rsidRPr="008A4846">
              <w:rPr>
                <w:rFonts w:ascii="Times New Roman" w:hAnsi="Times New Roman"/>
                <w:i/>
                <w:iCs/>
                <w:color w:val="000000"/>
                <w:sz w:val="20"/>
                <w:szCs w:val="20"/>
              </w:rPr>
              <w:t xml:space="preserve"> includes Paris, Amsterdam, </w:t>
            </w:r>
            <w:r w:rsidR="00A163FD">
              <w:rPr>
                <w:rFonts w:ascii="Times New Roman" w:hAnsi="Times New Roman"/>
                <w:i/>
                <w:iCs/>
                <w:color w:val="000000"/>
                <w:sz w:val="20"/>
                <w:szCs w:val="20"/>
              </w:rPr>
              <w:t xml:space="preserve">Brussels </w:t>
            </w:r>
            <w:r w:rsidRPr="008A4846">
              <w:rPr>
                <w:rFonts w:ascii="Times New Roman" w:hAnsi="Times New Roman"/>
                <w:i/>
                <w:iCs/>
                <w:color w:val="000000"/>
                <w:sz w:val="20"/>
                <w:szCs w:val="20"/>
              </w:rPr>
              <w:t>and Lisbon. Source: FESE</w:t>
            </w:r>
          </w:p>
        </w:tc>
      </w:tr>
      <w:tr w:rsidR="0009022D" w:rsidRPr="004E6DCD" w:rsidTr="0009022D">
        <w:trPr>
          <w:trHeight w:val="233"/>
        </w:trPr>
        <w:tc>
          <w:tcPr>
            <w:tcW w:w="8002" w:type="dxa"/>
            <w:gridSpan w:val="7"/>
            <w:tcBorders>
              <w:top w:val="single" w:sz="4" w:space="0" w:color="auto"/>
            </w:tcBorders>
            <w:shd w:val="clear" w:color="auto" w:fill="auto"/>
            <w:hideMark/>
          </w:tcPr>
          <w:p w:rsidR="0009022D" w:rsidRPr="008A4846" w:rsidRDefault="0009022D" w:rsidP="004E6DCD">
            <w:pPr>
              <w:spacing w:after="0" w:line="240" w:lineRule="auto"/>
              <w:rPr>
                <w:rFonts w:ascii="Times New Roman" w:hAnsi="Times New Roman"/>
                <w:i/>
                <w:iCs/>
                <w:color w:val="000000"/>
                <w:sz w:val="20"/>
                <w:szCs w:val="20"/>
              </w:rPr>
            </w:pPr>
          </w:p>
        </w:tc>
      </w:tr>
    </w:tbl>
    <w:p w:rsidR="009C32DB" w:rsidRPr="001B69BA" w:rsidRDefault="00862BDE" w:rsidP="006C2705">
      <w:pPr>
        <w:pStyle w:val="ListParagraph"/>
        <w:numPr>
          <w:ilvl w:val="0"/>
          <w:numId w:val="3"/>
        </w:numPr>
        <w:ind w:left="0" w:firstLine="0"/>
        <w:jc w:val="both"/>
        <w:rPr>
          <w:rFonts w:ascii="Times New Roman" w:hAnsi="Times New Roman"/>
          <w:sz w:val="24"/>
          <w:szCs w:val="24"/>
        </w:rPr>
      </w:pPr>
      <w:r>
        <w:rPr>
          <w:rFonts w:ascii="Times New Roman" w:hAnsi="Times New Roman"/>
          <w:b/>
          <w:sz w:val="24"/>
          <w:szCs w:val="24"/>
        </w:rPr>
        <w:t>T</w:t>
      </w:r>
      <w:r w:rsidR="003F5C2B">
        <w:rPr>
          <w:rFonts w:ascii="Times New Roman" w:hAnsi="Times New Roman"/>
          <w:b/>
          <w:sz w:val="24"/>
          <w:szCs w:val="24"/>
        </w:rPr>
        <w:t xml:space="preserve">he </w:t>
      </w:r>
      <w:r>
        <w:rPr>
          <w:rFonts w:ascii="Times New Roman" w:hAnsi="Times New Roman"/>
          <w:b/>
          <w:sz w:val="24"/>
          <w:szCs w:val="24"/>
        </w:rPr>
        <w:t xml:space="preserve">integration of the </w:t>
      </w:r>
      <w:r w:rsidR="003F5C2B">
        <w:rPr>
          <w:rFonts w:ascii="Times New Roman" w:hAnsi="Times New Roman"/>
          <w:b/>
          <w:sz w:val="24"/>
          <w:szCs w:val="24"/>
        </w:rPr>
        <w:t>underlying infrastruc</w:t>
      </w:r>
      <w:r w:rsidR="006C2705">
        <w:rPr>
          <w:rFonts w:ascii="Times New Roman" w:hAnsi="Times New Roman"/>
          <w:b/>
          <w:sz w:val="24"/>
          <w:szCs w:val="24"/>
        </w:rPr>
        <w:t>ture</w:t>
      </w:r>
      <w:r w:rsidR="00F006DF">
        <w:rPr>
          <w:rFonts w:ascii="Times New Roman" w:hAnsi="Times New Roman"/>
          <w:b/>
          <w:sz w:val="24"/>
          <w:szCs w:val="24"/>
        </w:rPr>
        <w:t xml:space="preserve"> such as the </w:t>
      </w:r>
      <w:r w:rsidR="006C2705">
        <w:rPr>
          <w:rFonts w:ascii="Times New Roman" w:hAnsi="Times New Roman"/>
          <w:b/>
          <w:sz w:val="24"/>
          <w:szCs w:val="24"/>
        </w:rPr>
        <w:t>securities settlements systems and central counterparties</w:t>
      </w:r>
      <w:r w:rsidRPr="00862BDE">
        <w:rPr>
          <w:rFonts w:ascii="Times New Roman" w:hAnsi="Times New Roman"/>
          <w:b/>
          <w:sz w:val="24"/>
          <w:szCs w:val="24"/>
        </w:rPr>
        <w:t xml:space="preserve"> </w:t>
      </w:r>
      <w:r>
        <w:rPr>
          <w:rFonts w:ascii="Times New Roman" w:hAnsi="Times New Roman"/>
          <w:b/>
          <w:sz w:val="24"/>
          <w:szCs w:val="24"/>
        </w:rPr>
        <w:t>is a critical aspect of facilitating market integration</w:t>
      </w:r>
      <w:r w:rsidR="006C2705">
        <w:rPr>
          <w:rFonts w:ascii="Times New Roman" w:hAnsi="Times New Roman"/>
          <w:b/>
          <w:sz w:val="24"/>
          <w:szCs w:val="24"/>
        </w:rPr>
        <w:t xml:space="preserve">. </w:t>
      </w:r>
      <w:r w:rsidR="006C2705" w:rsidRPr="00602C3C">
        <w:rPr>
          <w:rFonts w:ascii="Times New Roman" w:hAnsi="Times New Roman"/>
          <w:sz w:val="24"/>
          <w:szCs w:val="24"/>
        </w:rPr>
        <w:t xml:space="preserve">The Bulgarian Central Depository (CDAD) has not established yet operational connections with </w:t>
      </w:r>
      <w:r w:rsidR="006C2705" w:rsidRPr="00602C3C">
        <w:rPr>
          <w:rFonts w:ascii="Times New Roman" w:hAnsi="Times New Roman"/>
          <w:sz w:val="24"/>
          <w:szCs w:val="24"/>
        </w:rPr>
        <w:lastRenderedPageBreak/>
        <w:t>other depositories in Europe</w:t>
      </w:r>
      <w:r w:rsidR="009B6522">
        <w:rPr>
          <w:rFonts w:ascii="Times New Roman" w:hAnsi="Times New Roman"/>
          <w:sz w:val="24"/>
          <w:szCs w:val="24"/>
        </w:rPr>
        <w:t>, although it has to be recognized that this is rather common among the smaller CSDs in Europe</w:t>
      </w:r>
      <w:r w:rsidR="006C2705" w:rsidRPr="00602C3C">
        <w:rPr>
          <w:rFonts w:ascii="Times New Roman" w:hAnsi="Times New Roman"/>
          <w:sz w:val="24"/>
          <w:szCs w:val="24"/>
        </w:rPr>
        <w:t>.</w:t>
      </w:r>
      <w:r w:rsidR="006C2705">
        <w:rPr>
          <w:rFonts w:ascii="Times New Roman" w:hAnsi="Times New Roman"/>
          <w:sz w:val="24"/>
          <w:szCs w:val="24"/>
        </w:rPr>
        <w:t xml:space="preserve"> </w:t>
      </w:r>
      <w:r w:rsidR="006C2705" w:rsidRPr="00602C3C">
        <w:rPr>
          <w:rFonts w:ascii="Times New Roman" w:hAnsi="Times New Roman"/>
          <w:sz w:val="24"/>
          <w:szCs w:val="24"/>
        </w:rPr>
        <w:t>The CDAD legal basis mostly lies in the Commercial Law and the Law on Public Offerings of Securities, with some of its obligations also arising from the Privatization Law. As a result of this legacy, the CDAD still operates the ownership account system, rather than omnibus accounts system</w:t>
      </w:r>
      <w:r w:rsidR="008A4846">
        <w:rPr>
          <w:rStyle w:val="FootnoteReference"/>
          <w:rFonts w:ascii="Times New Roman" w:hAnsi="Times New Roman"/>
          <w:sz w:val="24"/>
          <w:szCs w:val="24"/>
        </w:rPr>
        <w:footnoteReference w:id="11"/>
      </w:r>
      <w:r w:rsidR="006C2705" w:rsidRPr="00602C3C">
        <w:rPr>
          <w:rFonts w:ascii="Times New Roman" w:hAnsi="Times New Roman"/>
          <w:sz w:val="24"/>
          <w:szCs w:val="24"/>
        </w:rPr>
        <w:t xml:space="preserve"> adopted by most of </w:t>
      </w:r>
      <w:r w:rsidR="009B6522">
        <w:rPr>
          <w:rFonts w:ascii="Times New Roman" w:hAnsi="Times New Roman"/>
          <w:sz w:val="24"/>
          <w:szCs w:val="24"/>
        </w:rPr>
        <w:t>the larger</w:t>
      </w:r>
      <w:r w:rsidR="009B6522" w:rsidRPr="00602C3C">
        <w:rPr>
          <w:rFonts w:ascii="Times New Roman" w:hAnsi="Times New Roman"/>
          <w:sz w:val="24"/>
          <w:szCs w:val="24"/>
        </w:rPr>
        <w:t xml:space="preserve"> </w:t>
      </w:r>
      <w:r w:rsidR="00C60CE0">
        <w:rPr>
          <w:rFonts w:ascii="Times New Roman" w:hAnsi="Times New Roman"/>
          <w:sz w:val="24"/>
          <w:szCs w:val="24"/>
        </w:rPr>
        <w:t>Central Securities Depositaries (CSDs)</w:t>
      </w:r>
      <w:r w:rsidR="006C2705" w:rsidRPr="00602C3C">
        <w:rPr>
          <w:rFonts w:ascii="Times New Roman" w:hAnsi="Times New Roman"/>
          <w:sz w:val="24"/>
          <w:szCs w:val="24"/>
        </w:rPr>
        <w:t xml:space="preserve"> in Europe. </w:t>
      </w:r>
      <w:r w:rsidR="009B6522" w:rsidRPr="00602C3C">
        <w:rPr>
          <w:rFonts w:ascii="Times New Roman" w:hAnsi="Times New Roman"/>
          <w:sz w:val="24"/>
          <w:szCs w:val="24"/>
        </w:rPr>
        <w:t>T</w:t>
      </w:r>
      <w:r w:rsidR="009B6522">
        <w:rPr>
          <w:rFonts w:ascii="Times New Roman" w:hAnsi="Times New Roman"/>
          <w:sz w:val="24"/>
          <w:szCs w:val="24"/>
        </w:rPr>
        <w:t>o some extent, t</w:t>
      </w:r>
      <w:r w:rsidR="009B6522" w:rsidRPr="00602C3C">
        <w:rPr>
          <w:rFonts w:ascii="Times New Roman" w:hAnsi="Times New Roman"/>
          <w:sz w:val="24"/>
          <w:szCs w:val="24"/>
        </w:rPr>
        <w:t>his made it difficult for the CDAD to establish cross-border connections</w:t>
      </w:r>
      <w:r w:rsidR="003D714F">
        <w:rPr>
          <w:rFonts w:ascii="Times New Roman" w:hAnsi="Times New Roman"/>
          <w:sz w:val="24"/>
          <w:szCs w:val="24"/>
        </w:rPr>
        <w:t xml:space="preserve">. </w:t>
      </w:r>
      <w:r w:rsidR="005573A5" w:rsidRPr="00602C3C">
        <w:rPr>
          <w:rFonts w:ascii="Times New Roman" w:hAnsi="Times New Roman"/>
          <w:sz w:val="24"/>
          <w:szCs w:val="24"/>
        </w:rPr>
        <w:t xml:space="preserve">Despite the CDAD efforts to do so the only connection was established with the Romanian </w:t>
      </w:r>
      <w:r w:rsidR="00C60CE0">
        <w:rPr>
          <w:rFonts w:ascii="Times New Roman" w:hAnsi="Times New Roman"/>
          <w:sz w:val="24"/>
          <w:szCs w:val="24"/>
        </w:rPr>
        <w:t>CSD</w:t>
      </w:r>
      <w:r w:rsidR="005573A5" w:rsidRPr="00602C3C">
        <w:rPr>
          <w:rFonts w:ascii="Times New Roman" w:hAnsi="Times New Roman"/>
          <w:sz w:val="24"/>
          <w:szCs w:val="24"/>
        </w:rPr>
        <w:t xml:space="preserve">, which however is still not in use. </w:t>
      </w:r>
      <w:r w:rsidR="003D714F">
        <w:rPr>
          <w:rFonts w:ascii="Times New Roman" w:hAnsi="Times New Roman"/>
          <w:sz w:val="24"/>
          <w:szCs w:val="24"/>
        </w:rPr>
        <w:t xml:space="preserve">However, it is recognized that </w:t>
      </w:r>
      <w:r w:rsidR="00155B5F">
        <w:rPr>
          <w:rFonts w:ascii="Times New Roman" w:hAnsi="Times New Roman"/>
          <w:sz w:val="24"/>
          <w:szCs w:val="24"/>
        </w:rPr>
        <w:t xml:space="preserve">lack of </w:t>
      </w:r>
      <w:r w:rsidR="003D714F">
        <w:rPr>
          <w:rFonts w:ascii="Times New Roman" w:hAnsi="Times New Roman"/>
          <w:sz w:val="24"/>
          <w:szCs w:val="24"/>
        </w:rPr>
        <w:t xml:space="preserve">harmonization </w:t>
      </w:r>
      <w:r w:rsidR="00155B5F" w:rsidRPr="00155B5F">
        <w:rPr>
          <w:rFonts w:ascii="Times New Roman" w:hAnsi="Times New Roman"/>
          <w:sz w:val="24"/>
          <w:szCs w:val="24"/>
        </w:rPr>
        <w:t>in the post-trade industry is today a big issue for Europe</w:t>
      </w:r>
      <w:r w:rsidR="000B0B2B">
        <w:rPr>
          <w:rFonts w:ascii="Times New Roman" w:hAnsi="Times New Roman"/>
          <w:sz w:val="24"/>
          <w:szCs w:val="24"/>
        </w:rPr>
        <w:t xml:space="preserve"> and has possibly slowed down practical implementation of </w:t>
      </w:r>
      <w:proofErr w:type="spellStart"/>
      <w:r w:rsidR="000B0B2B">
        <w:rPr>
          <w:rFonts w:ascii="Times New Roman" w:hAnsi="Times New Roman"/>
          <w:sz w:val="24"/>
          <w:szCs w:val="24"/>
        </w:rPr>
        <w:t>MiFID</w:t>
      </w:r>
      <w:proofErr w:type="spellEnd"/>
      <w:r w:rsidR="000B0B2B">
        <w:rPr>
          <w:rFonts w:ascii="Times New Roman" w:hAnsi="Times New Roman"/>
          <w:sz w:val="24"/>
          <w:szCs w:val="24"/>
        </w:rPr>
        <w:t xml:space="preserve"> p</w:t>
      </w:r>
      <w:r w:rsidR="000B0B2B" w:rsidRPr="000B0B2B">
        <w:rPr>
          <w:rFonts w:ascii="Times New Roman" w:hAnsi="Times New Roman"/>
          <w:sz w:val="24"/>
          <w:szCs w:val="24"/>
        </w:rPr>
        <w:t xml:space="preserve">rovisions that allow access to investment firms and </w:t>
      </w:r>
      <w:r w:rsidR="00950FF3">
        <w:rPr>
          <w:rFonts w:ascii="Times New Roman" w:hAnsi="Times New Roman"/>
          <w:sz w:val="24"/>
          <w:szCs w:val="24"/>
        </w:rPr>
        <w:t>regulated markets</w:t>
      </w:r>
      <w:r w:rsidR="000B0B2B" w:rsidRPr="000B0B2B">
        <w:rPr>
          <w:rFonts w:ascii="Times New Roman" w:hAnsi="Times New Roman"/>
          <w:sz w:val="24"/>
          <w:szCs w:val="24"/>
        </w:rPr>
        <w:t xml:space="preserve"> to central </w:t>
      </w:r>
      <w:r w:rsidR="008965B1">
        <w:rPr>
          <w:rFonts w:ascii="Times New Roman" w:hAnsi="Times New Roman"/>
          <w:sz w:val="24"/>
          <w:szCs w:val="24"/>
        </w:rPr>
        <w:t xml:space="preserve">counterparties, clearing and settlement system across </w:t>
      </w:r>
      <w:r w:rsidR="005573A5">
        <w:rPr>
          <w:rFonts w:ascii="Times New Roman" w:hAnsi="Times New Roman"/>
          <w:sz w:val="24"/>
          <w:szCs w:val="24"/>
        </w:rPr>
        <w:t>EU Single Market</w:t>
      </w:r>
      <w:r w:rsidR="000B0B2B" w:rsidRPr="000B0B2B">
        <w:rPr>
          <w:rFonts w:ascii="Times New Roman" w:hAnsi="Times New Roman"/>
          <w:sz w:val="24"/>
          <w:szCs w:val="24"/>
        </w:rPr>
        <w:t>.</w:t>
      </w:r>
      <w:r w:rsidR="00155B5F" w:rsidRPr="00155B5F">
        <w:rPr>
          <w:rFonts w:ascii="Times New Roman" w:hAnsi="Times New Roman"/>
          <w:sz w:val="24"/>
          <w:szCs w:val="24"/>
        </w:rPr>
        <w:t xml:space="preserve"> Most</w:t>
      </w:r>
      <w:r w:rsidR="009B6522">
        <w:rPr>
          <w:rFonts w:ascii="Times New Roman" w:hAnsi="Times New Roman"/>
          <w:sz w:val="24"/>
          <w:szCs w:val="24"/>
        </w:rPr>
        <w:t xml:space="preserve"> of the smaller CSDs </w:t>
      </w:r>
      <w:r w:rsidR="00312213">
        <w:rPr>
          <w:rFonts w:ascii="Times New Roman" w:hAnsi="Times New Roman"/>
          <w:sz w:val="24"/>
          <w:szCs w:val="24"/>
        </w:rPr>
        <w:t xml:space="preserve">in Europe </w:t>
      </w:r>
      <w:r w:rsidR="009B6522">
        <w:rPr>
          <w:rFonts w:ascii="Times New Roman" w:hAnsi="Times New Roman"/>
          <w:sz w:val="24"/>
          <w:szCs w:val="24"/>
        </w:rPr>
        <w:t xml:space="preserve">do not have </w:t>
      </w:r>
      <w:r w:rsidR="00155B5F">
        <w:rPr>
          <w:rFonts w:ascii="Times New Roman" w:hAnsi="Times New Roman"/>
          <w:sz w:val="24"/>
          <w:szCs w:val="24"/>
        </w:rPr>
        <w:t>cross-border</w:t>
      </w:r>
      <w:r w:rsidR="009B6522">
        <w:rPr>
          <w:rFonts w:ascii="Times New Roman" w:hAnsi="Times New Roman"/>
          <w:sz w:val="24"/>
          <w:szCs w:val="24"/>
        </w:rPr>
        <w:t xml:space="preserve"> links and</w:t>
      </w:r>
      <w:r w:rsidR="00C60CE0">
        <w:rPr>
          <w:rFonts w:ascii="Times New Roman" w:hAnsi="Times New Roman"/>
          <w:sz w:val="24"/>
          <w:szCs w:val="24"/>
        </w:rPr>
        <w:t xml:space="preserve"> the introduction of the TARGET</w:t>
      </w:r>
      <w:r w:rsidR="009B6522">
        <w:rPr>
          <w:rFonts w:ascii="Times New Roman" w:hAnsi="Times New Roman"/>
          <w:sz w:val="24"/>
          <w:szCs w:val="24"/>
        </w:rPr>
        <w:t>2 system will address these obstacles to integration by moving settlement to one platform</w:t>
      </w:r>
      <w:r w:rsidR="006C2705" w:rsidRPr="00602C3C">
        <w:rPr>
          <w:rFonts w:ascii="Times New Roman" w:hAnsi="Times New Roman"/>
          <w:sz w:val="24"/>
          <w:szCs w:val="24"/>
        </w:rPr>
        <w:t>.</w:t>
      </w:r>
      <w:r w:rsidR="006C2705" w:rsidRPr="00D942F3">
        <w:rPr>
          <w:rFonts w:ascii="Times New Roman" w:hAnsi="Times New Roman"/>
          <w:sz w:val="24"/>
          <w:szCs w:val="24"/>
          <w:vertAlign w:val="superscript"/>
        </w:rPr>
        <w:footnoteReference w:id="12"/>
      </w:r>
      <w:r w:rsidR="005573A5">
        <w:rPr>
          <w:rFonts w:ascii="Times New Roman" w:hAnsi="Times New Roman"/>
          <w:sz w:val="24"/>
          <w:szCs w:val="24"/>
        </w:rPr>
        <w:t>Additionally, t</w:t>
      </w:r>
      <w:r w:rsidR="006C2705" w:rsidRPr="00602C3C">
        <w:rPr>
          <w:rFonts w:ascii="Times New Roman" w:hAnsi="Times New Roman"/>
          <w:sz w:val="24"/>
          <w:szCs w:val="24"/>
        </w:rPr>
        <w:t>he CDAD is engaged in the discussion of European Regulators on market infrastructure and has regularly provided comments on the activities of the Expert Group on Market Infrastructures</w:t>
      </w:r>
      <w:r w:rsidR="00C60CE0">
        <w:rPr>
          <w:rFonts w:ascii="Times New Roman" w:hAnsi="Times New Roman"/>
          <w:sz w:val="24"/>
          <w:szCs w:val="24"/>
        </w:rPr>
        <w:t xml:space="preserve"> (EGMI)</w:t>
      </w:r>
      <w:r w:rsidR="006C2705" w:rsidRPr="00602C3C">
        <w:rPr>
          <w:rFonts w:ascii="Times New Roman" w:hAnsi="Times New Roman"/>
          <w:sz w:val="24"/>
          <w:szCs w:val="24"/>
        </w:rPr>
        <w:t xml:space="preserve">, which is mandated to provide advice to </w:t>
      </w:r>
      <w:r w:rsidR="0009022D">
        <w:rPr>
          <w:rFonts w:ascii="Times New Roman" w:hAnsi="Times New Roman"/>
          <w:sz w:val="24"/>
          <w:szCs w:val="24"/>
        </w:rPr>
        <w:t>EC</w:t>
      </w:r>
      <w:r w:rsidR="006C2705" w:rsidRPr="00602C3C">
        <w:rPr>
          <w:rFonts w:ascii="Times New Roman" w:hAnsi="Times New Roman"/>
          <w:sz w:val="24"/>
          <w:szCs w:val="24"/>
        </w:rPr>
        <w:t xml:space="preserve"> on issues related to post-trade services and market infrastructure. </w:t>
      </w:r>
    </w:p>
    <w:p w:rsidR="009C32DB" w:rsidRDefault="00A63D05" w:rsidP="006C2705">
      <w:pPr>
        <w:pStyle w:val="ListParagraph"/>
        <w:ind w:left="0"/>
        <w:jc w:val="both"/>
        <w:rPr>
          <w:rFonts w:ascii="Times New Roman" w:hAnsi="Times New Roman"/>
          <w:sz w:val="24"/>
          <w:szCs w:val="24"/>
        </w:rPr>
      </w:pPr>
      <w:r>
        <w:rPr>
          <w:rFonts w:ascii="Times New Roman" w:hAnsi="Times New Roman"/>
          <w:noProof/>
          <w:sz w:val="24"/>
          <w:szCs w:val="24"/>
          <w:lang w:eastAsia="zh-TW"/>
        </w:rPr>
        <w:pict>
          <v:shape id="_x0000_s1027" type="#_x0000_t202" style="position:absolute;left:0;text-align:left;margin-left:0;margin-top:2.25pt;width:473.9pt;height:257.85pt;z-index:251657728;mso-position-horizontal:center;mso-width-relative:margin;mso-height-relative:margin">
            <v:textbox style="mso-next-textbox:#_x0000_s1027">
              <w:txbxContent>
                <w:p w:rsidR="0009022D" w:rsidRDefault="001A4BD7" w:rsidP="007C5A29">
                  <w:pPr>
                    <w:jc w:val="both"/>
                    <w:rPr>
                      <w:rFonts w:ascii="Times New Roman" w:hAnsi="Times New Roman"/>
                    </w:rPr>
                  </w:pPr>
                  <w:r w:rsidRPr="00643FE1">
                    <w:rPr>
                      <w:rFonts w:ascii="Times New Roman" w:hAnsi="Times New Roman"/>
                    </w:rPr>
                    <w:t>Box 1.</w:t>
                  </w:r>
                  <w:r w:rsidR="00C60CE0" w:rsidRPr="00643FE1">
                    <w:rPr>
                      <w:rFonts w:ascii="Times New Roman" w:hAnsi="Times New Roman"/>
                      <w:b/>
                    </w:rPr>
                    <w:t xml:space="preserve"> </w:t>
                  </w:r>
                  <w:r w:rsidR="003030D6" w:rsidRPr="00643FE1">
                    <w:rPr>
                      <w:rFonts w:ascii="Times New Roman" w:hAnsi="Times New Roman"/>
                    </w:rPr>
                    <w:t>EGMI and TARGET2 Securities</w:t>
                  </w:r>
                </w:p>
                <w:p w:rsidR="001A4BD7" w:rsidRPr="00643FE1" w:rsidRDefault="001A4BD7" w:rsidP="007C5A29">
                  <w:pPr>
                    <w:jc w:val="both"/>
                    <w:rPr>
                      <w:rFonts w:ascii="Times New Roman" w:hAnsi="Times New Roman"/>
                    </w:rPr>
                  </w:pPr>
                  <w:r w:rsidRPr="00643FE1">
                    <w:rPr>
                      <w:rFonts w:ascii="Times New Roman" w:hAnsi="Times New Roman"/>
                    </w:rPr>
                    <w:t>EGMI was established by E</w:t>
                  </w:r>
                  <w:r w:rsidR="0009022D">
                    <w:rPr>
                      <w:rFonts w:ascii="Times New Roman" w:hAnsi="Times New Roman"/>
                    </w:rPr>
                    <w:t>C</w:t>
                  </w:r>
                  <w:r w:rsidRPr="00643FE1">
                    <w:rPr>
                      <w:rFonts w:ascii="Times New Roman" w:hAnsi="Times New Roman"/>
                    </w:rPr>
                    <w:t xml:space="preserve"> in September 2010. The EGMI’s mandate is to contribute to the development of an efficient, safe and sound European post-trade market. This is done by giving advice to the Commission services on various issues in relation to post-trade services and market infrastructures in the EU. The group is composed of 25 high-level experts with practical experience in post-trade services and market infrastructures. The members of the group are drawn from market infrastructures, investment firms, custodian banks, asset management firms as well as from the academic community. The group's activities started in September 2010 and were expected to continue for two years after that.</w:t>
                  </w:r>
                </w:p>
                <w:p w:rsidR="001A4BD7" w:rsidRPr="00643FE1" w:rsidRDefault="001A4BD7" w:rsidP="007C5A29">
                  <w:pPr>
                    <w:jc w:val="both"/>
                    <w:rPr>
                      <w:rFonts w:ascii="Times New Roman" w:hAnsi="Times New Roman"/>
                    </w:rPr>
                  </w:pPr>
                  <w:r w:rsidRPr="00643FE1">
                    <w:rPr>
                      <w:rFonts w:ascii="Times New Roman" w:hAnsi="Times New Roman"/>
                    </w:rPr>
                    <w:t xml:space="preserve">TARGET2-Securities Projects is an effort to build the IT platform for the settlement of almost all bonds and equities that are traded in Europe. The project was initiated in 2006 and </w:t>
                  </w:r>
                  <w:r w:rsidR="0009022D">
                    <w:rPr>
                      <w:rFonts w:ascii="Times New Roman" w:hAnsi="Times New Roman"/>
                    </w:rPr>
                    <w:t>its</w:t>
                  </w:r>
                  <w:r w:rsidRPr="00643FE1">
                    <w:rPr>
                      <w:rFonts w:ascii="Times New Roman" w:hAnsi="Times New Roman"/>
                    </w:rPr>
                    <w:t xml:space="preserve"> implementation is scheduled to start in mid-2014. The objective of the T2S project is to integrate and </w:t>
                  </w:r>
                  <w:r w:rsidR="003030D6" w:rsidRPr="00643FE1">
                    <w:rPr>
                      <w:rFonts w:ascii="Times New Roman" w:hAnsi="Times New Roman"/>
                    </w:rPr>
                    <w:t>harmonize</w:t>
                  </w:r>
                  <w:r w:rsidRPr="00643FE1">
                    <w:rPr>
                      <w:rFonts w:ascii="Times New Roman" w:hAnsi="Times New Roman"/>
                    </w:rPr>
                    <w:t xml:space="preserve"> the currently highly fragmented securities </w:t>
                  </w:r>
                  <w:hyperlink r:id="rId19" w:tooltip="Settlement (finance)" w:history="1">
                    <w:r w:rsidRPr="00643FE1">
                      <w:rPr>
                        <w:rFonts w:ascii="Times New Roman" w:hAnsi="Times New Roman"/>
                      </w:rPr>
                      <w:t>settlement</w:t>
                    </w:r>
                  </w:hyperlink>
                  <w:r w:rsidRPr="00643FE1">
                    <w:rPr>
                      <w:rFonts w:ascii="Times New Roman" w:hAnsi="Times New Roman"/>
                    </w:rPr>
                    <w:t xml:space="preserve"> infrastructure in Europe. It </w:t>
                  </w:r>
                  <w:r w:rsidR="0009022D">
                    <w:rPr>
                      <w:rFonts w:ascii="Times New Roman" w:hAnsi="Times New Roman"/>
                    </w:rPr>
                    <w:t>aims</w:t>
                  </w:r>
                  <w:r w:rsidRPr="00643FE1">
                    <w:rPr>
                      <w:rFonts w:ascii="Times New Roman" w:hAnsi="Times New Roman"/>
                    </w:rPr>
                    <w:t xml:space="preserve"> to reduce the costs of cross-border securities settlement within the euro area and participating non-euro countries, as well as to increase competition and choice amongst providers of post-trading services. TARGET2 Securities will be built, owned and operated by the </w:t>
                  </w:r>
                  <w:hyperlink r:id="rId20" w:tooltip="European Central Bank" w:history="1">
                    <w:r w:rsidRPr="00643FE1">
                      <w:rPr>
                        <w:rFonts w:ascii="Times New Roman" w:hAnsi="Times New Roman"/>
                      </w:rPr>
                      <w:t>European Central Bank</w:t>
                    </w:r>
                  </w:hyperlink>
                  <w:r w:rsidRPr="00643FE1">
                    <w:rPr>
                      <w:rFonts w:ascii="Times New Roman" w:hAnsi="Times New Roman"/>
                    </w:rPr>
                    <w:t xml:space="preserve"> (ECB)</w:t>
                  </w:r>
                  <w:r w:rsidR="00643FE1">
                    <w:rPr>
                      <w:rFonts w:ascii="Times New Roman" w:hAnsi="Times New Roman"/>
                    </w:rPr>
                    <w:t>.</w:t>
                  </w:r>
                </w:p>
                <w:p w:rsidR="001A4BD7" w:rsidRDefault="001A4BD7" w:rsidP="007C5A29">
                  <w:pPr>
                    <w:jc w:val="both"/>
                    <w:rPr>
                      <w:rFonts w:ascii="Times New Roman" w:hAnsi="Times New Roman"/>
                    </w:rPr>
                  </w:pPr>
                </w:p>
                <w:p w:rsidR="001A4BD7" w:rsidRDefault="001A4BD7" w:rsidP="007C5A29">
                  <w:pPr>
                    <w:jc w:val="both"/>
                    <w:rPr>
                      <w:rFonts w:ascii="Times New Roman" w:hAnsi="Times New Roman"/>
                    </w:rPr>
                  </w:pPr>
                </w:p>
                <w:p w:rsidR="001A4BD7" w:rsidRPr="00B24C48" w:rsidRDefault="001A4BD7" w:rsidP="007C5A29">
                  <w:pPr>
                    <w:jc w:val="both"/>
                    <w:rPr>
                      <w:rFonts w:ascii="Times New Roman" w:hAnsi="Times New Roman"/>
                    </w:rPr>
                  </w:pPr>
                </w:p>
                <w:p w:rsidR="001A4BD7" w:rsidRDefault="001A4BD7"/>
              </w:txbxContent>
            </v:textbox>
          </v:shape>
        </w:pict>
      </w:r>
    </w:p>
    <w:p w:rsidR="007C5A29" w:rsidRDefault="007C5A29" w:rsidP="006C2705">
      <w:pPr>
        <w:pStyle w:val="ListParagraph"/>
        <w:ind w:left="0"/>
        <w:jc w:val="both"/>
        <w:rPr>
          <w:rFonts w:ascii="Times New Roman" w:hAnsi="Times New Roman"/>
          <w:sz w:val="24"/>
          <w:szCs w:val="24"/>
        </w:rPr>
      </w:pPr>
    </w:p>
    <w:p w:rsidR="007C5A29" w:rsidRDefault="007C5A29" w:rsidP="006C2705">
      <w:pPr>
        <w:pStyle w:val="ListParagraph"/>
        <w:ind w:left="0"/>
        <w:jc w:val="both"/>
        <w:rPr>
          <w:rFonts w:ascii="Times New Roman" w:hAnsi="Times New Roman"/>
          <w:sz w:val="24"/>
          <w:szCs w:val="24"/>
        </w:rPr>
      </w:pPr>
    </w:p>
    <w:p w:rsidR="007C5A29" w:rsidRDefault="007C5A29" w:rsidP="006C2705">
      <w:pPr>
        <w:pStyle w:val="ListParagraph"/>
        <w:ind w:left="0"/>
        <w:jc w:val="both"/>
        <w:rPr>
          <w:rFonts w:ascii="Times New Roman" w:hAnsi="Times New Roman"/>
          <w:sz w:val="24"/>
          <w:szCs w:val="24"/>
        </w:rPr>
      </w:pPr>
    </w:p>
    <w:p w:rsidR="007C5A29" w:rsidRDefault="007C5A29" w:rsidP="006C2705">
      <w:pPr>
        <w:pStyle w:val="ListParagraph"/>
        <w:ind w:left="0"/>
        <w:jc w:val="both"/>
        <w:rPr>
          <w:rFonts w:ascii="Times New Roman" w:hAnsi="Times New Roman"/>
          <w:sz w:val="24"/>
          <w:szCs w:val="24"/>
        </w:rPr>
      </w:pPr>
    </w:p>
    <w:p w:rsidR="007C5A29" w:rsidRDefault="007C5A29" w:rsidP="006C2705">
      <w:pPr>
        <w:pStyle w:val="ListParagraph"/>
        <w:ind w:left="0"/>
        <w:jc w:val="both"/>
        <w:rPr>
          <w:rFonts w:ascii="Times New Roman" w:hAnsi="Times New Roman"/>
          <w:sz w:val="24"/>
          <w:szCs w:val="24"/>
        </w:rPr>
      </w:pPr>
    </w:p>
    <w:p w:rsidR="007C5A29" w:rsidRDefault="007C5A29" w:rsidP="006C2705">
      <w:pPr>
        <w:pStyle w:val="ListParagraph"/>
        <w:ind w:left="0"/>
        <w:jc w:val="both"/>
        <w:rPr>
          <w:rFonts w:ascii="Times New Roman" w:hAnsi="Times New Roman"/>
          <w:sz w:val="24"/>
          <w:szCs w:val="24"/>
        </w:rPr>
      </w:pPr>
    </w:p>
    <w:p w:rsidR="007C5A29" w:rsidRDefault="007C5A29" w:rsidP="006C2705">
      <w:pPr>
        <w:pStyle w:val="ListParagraph"/>
        <w:ind w:left="0"/>
        <w:jc w:val="both"/>
        <w:rPr>
          <w:rFonts w:ascii="Times New Roman" w:hAnsi="Times New Roman"/>
          <w:sz w:val="24"/>
          <w:szCs w:val="24"/>
        </w:rPr>
      </w:pPr>
    </w:p>
    <w:p w:rsidR="007C5A29" w:rsidRDefault="007C5A29" w:rsidP="006C2705">
      <w:pPr>
        <w:pStyle w:val="ListParagraph"/>
        <w:ind w:left="0"/>
        <w:jc w:val="both"/>
        <w:rPr>
          <w:rFonts w:ascii="Times New Roman" w:hAnsi="Times New Roman"/>
          <w:sz w:val="24"/>
          <w:szCs w:val="24"/>
        </w:rPr>
      </w:pPr>
    </w:p>
    <w:p w:rsidR="007C5A29" w:rsidRPr="007C5A29" w:rsidRDefault="007C5A29" w:rsidP="006C2705">
      <w:pPr>
        <w:pStyle w:val="ListParagraph"/>
        <w:ind w:left="0"/>
        <w:jc w:val="both"/>
        <w:rPr>
          <w:rFonts w:ascii="Times New Roman" w:hAnsi="Times New Roman"/>
          <w:b/>
          <w:sz w:val="24"/>
          <w:szCs w:val="24"/>
        </w:rPr>
      </w:pPr>
    </w:p>
    <w:p w:rsidR="00B875F4" w:rsidRDefault="008A4846" w:rsidP="008A4846">
      <w:pPr>
        <w:rPr>
          <w:rFonts w:ascii="Times New Roman" w:hAnsi="Times New Roman"/>
          <w:i/>
          <w:sz w:val="20"/>
          <w:szCs w:val="20"/>
        </w:rPr>
      </w:pPr>
      <w:r w:rsidRPr="008A4846">
        <w:rPr>
          <w:rFonts w:ascii="Times New Roman" w:hAnsi="Times New Roman"/>
          <w:i/>
          <w:sz w:val="20"/>
          <w:szCs w:val="20"/>
        </w:rPr>
        <w:t xml:space="preserve">     </w:t>
      </w:r>
    </w:p>
    <w:p w:rsidR="00B875F4" w:rsidRDefault="00B875F4" w:rsidP="008A4846">
      <w:pPr>
        <w:rPr>
          <w:rFonts w:ascii="Times New Roman" w:hAnsi="Times New Roman"/>
          <w:i/>
          <w:sz w:val="20"/>
          <w:szCs w:val="20"/>
        </w:rPr>
      </w:pPr>
    </w:p>
    <w:p w:rsidR="00B875F4" w:rsidRDefault="00B875F4" w:rsidP="008A4846">
      <w:pPr>
        <w:rPr>
          <w:rFonts w:ascii="Times New Roman" w:hAnsi="Times New Roman"/>
          <w:i/>
          <w:sz w:val="20"/>
          <w:szCs w:val="20"/>
        </w:rPr>
      </w:pPr>
    </w:p>
    <w:p w:rsidR="00B875F4" w:rsidRDefault="00B875F4" w:rsidP="008A4846">
      <w:pPr>
        <w:rPr>
          <w:rFonts w:ascii="Times New Roman" w:hAnsi="Times New Roman"/>
          <w:i/>
          <w:sz w:val="20"/>
          <w:szCs w:val="20"/>
        </w:rPr>
      </w:pPr>
    </w:p>
    <w:p w:rsidR="006C2705" w:rsidRDefault="00B47C9A" w:rsidP="00C767AF">
      <w:pPr>
        <w:ind w:firstLine="720"/>
        <w:rPr>
          <w:rFonts w:ascii="Times New Roman" w:hAnsi="Times New Roman"/>
          <w:i/>
          <w:sz w:val="20"/>
          <w:szCs w:val="20"/>
        </w:rPr>
      </w:pPr>
      <w:r>
        <w:rPr>
          <w:rFonts w:ascii="Times New Roman" w:hAnsi="Times New Roman"/>
          <w:i/>
          <w:sz w:val="20"/>
          <w:szCs w:val="20"/>
        </w:rPr>
        <w:t>S</w:t>
      </w:r>
      <w:r w:rsidR="007C5A29" w:rsidRPr="008A4846">
        <w:rPr>
          <w:rFonts w:ascii="Times New Roman" w:hAnsi="Times New Roman"/>
          <w:i/>
          <w:sz w:val="20"/>
          <w:szCs w:val="20"/>
        </w:rPr>
        <w:t xml:space="preserve">ource: </w:t>
      </w:r>
      <w:r>
        <w:rPr>
          <w:rFonts w:ascii="Times New Roman" w:hAnsi="Times New Roman"/>
          <w:i/>
          <w:sz w:val="20"/>
          <w:szCs w:val="20"/>
        </w:rPr>
        <w:t>EC and ECB</w:t>
      </w:r>
    </w:p>
    <w:p w:rsidR="00B875F4" w:rsidRPr="00312213" w:rsidRDefault="00DF479B" w:rsidP="00312213">
      <w:pPr>
        <w:pStyle w:val="ListParagraph"/>
        <w:numPr>
          <w:ilvl w:val="0"/>
          <w:numId w:val="3"/>
        </w:numPr>
        <w:ind w:left="0" w:firstLine="0"/>
        <w:jc w:val="both"/>
        <w:rPr>
          <w:rFonts w:ascii="Times New Roman" w:hAnsi="Times New Roman"/>
          <w:sz w:val="24"/>
          <w:szCs w:val="24"/>
        </w:rPr>
      </w:pPr>
      <w:r w:rsidRPr="00C60CE0">
        <w:rPr>
          <w:rFonts w:ascii="Times New Roman" w:hAnsi="Times New Roman"/>
          <w:b/>
          <w:sz w:val="24"/>
          <w:szCs w:val="24"/>
        </w:rPr>
        <w:lastRenderedPageBreak/>
        <w:t xml:space="preserve">As part of preparation for the harmonization of post-trading infrastructure in </w:t>
      </w:r>
      <w:r w:rsidR="00C60CE0" w:rsidRPr="00C60CE0">
        <w:rPr>
          <w:rFonts w:ascii="Times New Roman" w:hAnsi="Times New Roman"/>
          <w:b/>
          <w:sz w:val="24"/>
          <w:szCs w:val="24"/>
        </w:rPr>
        <w:t xml:space="preserve">the </w:t>
      </w:r>
      <w:r w:rsidRPr="00C60CE0">
        <w:rPr>
          <w:rFonts w:ascii="Times New Roman" w:hAnsi="Times New Roman"/>
          <w:b/>
          <w:sz w:val="24"/>
          <w:szCs w:val="24"/>
        </w:rPr>
        <w:t xml:space="preserve">EU </w:t>
      </w:r>
      <w:r w:rsidRPr="00312213">
        <w:rPr>
          <w:rFonts w:ascii="Times New Roman" w:hAnsi="Times New Roman"/>
          <w:b/>
          <w:sz w:val="24"/>
          <w:szCs w:val="24"/>
        </w:rPr>
        <w:t>Single Market, Bulgaria could assess the cost-effectiveness of its existing</w:t>
      </w:r>
      <w:r w:rsidR="00C60CE0" w:rsidRPr="00312213">
        <w:rPr>
          <w:rFonts w:ascii="Times New Roman" w:hAnsi="Times New Roman"/>
          <w:b/>
          <w:sz w:val="24"/>
          <w:szCs w:val="24"/>
        </w:rPr>
        <w:t xml:space="preserve"> post-</w:t>
      </w:r>
      <w:r w:rsidR="00312213" w:rsidRPr="00312213">
        <w:rPr>
          <w:rFonts w:ascii="Times New Roman" w:hAnsi="Times New Roman"/>
          <w:b/>
          <w:sz w:val="24"/>
          <w:szCs w:val="24"/>
        </w:rPr>
        <w:t>trading infrastructure</w:t>
      </w:r>
      <w:r w:rsidRPr="00312213">
        <w:rPr>
          <w:rFonts w:ascii="Times New Roman" w:hAnsi="Times New Roman"/>
          <w:b/>
          <w:sz w:val="24"/>
          <w:szCs w:val="24"/>
        </w:rPr>
        <w:t xml:space="preserve">.  </w:t>
      </w:r>
      <w:r w:rsidRPr="00312213">
        <w:rPr>
          <w:rFonts w:ascii="Times New Roman" w:hAnsi="Times New Roman"/>
          <w:sz w:val="24"/>
          <w:szCs w:val="24"/>
        </w:rPr>
        <w:t xml:space="preserve">There are currently two different </w:t>
      </w:r>
      <w:r w:rsidR="00CD7D33" w:rsidRPr="00312213">
        <w:rPr>
          <w:rFonts w:ascii="Times New Roman" w:hAnsi="Times New Roman"/>
          <w:sz w:val="24"/>
          <w:szCs w:val="24"/>
        </w:rPr>
        <w:t xml:space="preserve">CSDs </w:t>
      </w:r>
      <w:r w:rsidR="00950FF3" w:rsidRPr="00312213">
        <w:rPr>
          <w:rFonts w:ascii="Times New Roman" w:hAnsi="Times New Roman"/>
          <w:sz w:val="24"/>
          <w:szCs w:val="24"/>
        </w:rPr>
        <w:t>in Bulgaria. Government securities are settled in the Bulgaria’s National Bank Government Securities Settlement System (BNBGSSS)</w:t>
      </w:r>
      <w:r w:rsidR="00C60CE0" w:rsidRPr="00312213">
        <w:rPr>
          <w:rFonts w:ascii="Times New Roman" w:hAnsi="Times New Roman"/>
          <w:sz w:val="24"/>
          <w:szCs w:val="24"/>
        </w:rPr>
        <w:t xml:space="preserve">, </w:t>
      </w:r>
      <w:r w:rsidR="00950FF3" w:rsidRPr="00312213">
        <w:rPr>
          <w:rFonts w:ascii="Times New Roman" w:hAnsi="Times New Roman"/>
          <w:sz w:val="24"/>
          <w:szCs w:val="24"/>
        </w:rPr>
        <w:t xml:space="preserve">owned and operated by the BNB. Corporate securities and securities issued by local governments are settled in the CDAD. The legal and regulatory frameworks </w:t>
      </w:r>
      <w:r w:rsidR="00A710AF" w:rsidRPr="00312213">
        <w:rPr>
          <w:rFonts w:ascii="Times New Roman" w:hAnsi="Times New Roman"/>
          <w:sz w:val="24"/>
          <w:szCs w:val="24"/>
        </w:rPr>
        <w:t xml:space="preserve">and technical features </w:t>
      </w:r>
      <w:r w:rsidR="00950FF3" w:rsidRPr="00312213">
        <w:rPr>
          <w:rFonts w:ascii="Times New Roman" w:hAnsi="Times New Roman"/>
          <w:sz w:val="24"/>
          <w:szCs w:val="24"/>
        </w:rPr>
        <w:t xml:space="preserve">for both CSDs are very different. </w:t>
      </w:r>
      <w:r w:rsidR="00A710AF" w:rsidRPr="00312213">
        <w:rPr>
          <w:rFonts w:ascii="Times New Roman" w:hAnsi="Times New Roman"/>
          <w:sz w:val="24"/>
          <w:szCs w:val="24"/>
        </w:rPr>
        <w:t>BNBGSSS for example</w:t>
      </w:r>
      <w:r w:rsidR="00950FF3" w:rsidRPr="00312213">
        <w:rPr>
          <w:rFonts w:ascii="Times New Roman" w:hAnsi="Times New Roman"/>
          <w:sz w:val="24"/>
          <w:szCs w:val="24"/>
        </w:rPr>
        <w:t xml:space="preserve"> does have an omnibus account system</w:t>
      </w:r>
      <w:r w:rsidR="00A710AF" w:rsidRPr="00312213">
        <w:rPr>
          <w:rFonts w:ascii="Times New Roman" w:hAnsi="Times New Roman"/>
          <w:sz w:val="24"/>
          <w:szCs w:val="24"/>
        </w:rPr>
        <w:t xml:space="preserve"> and has already taken steps towards future membership in TARGET2 Securities</w:t>
      </w:r>
      <w:r w:rsidR="00950FF3" w:rsidRPr="00312213">
        <w:rPr>
          <w:rFonts w:ascii="Times New Roman" w:hAnsi="Times New Roman"/>
          <w:sz w:val="24"/>
          <w:szCs w:val="24"/>
        </w:rPr>
        <w:t xml:space="preserve">. </w:t>
      </w:r>
      <w:r w:rsidR="00A710AF" w:rsidRPr="00312213">
        <w:rPr>
          <w:rFonts w:ascii="Times New Roman" w:hAnsi="Times New Roman"/>
          <w:sz w:val="24"/>
          <w:szCs w:val="24"/>
        </w:rPr>
        <w:t>Recommending the ideal post-trading infrastructure is beyond the scope of this note, but Bulgarian authorities could conside</w:t>
      </w:r>
      <w:r w:rsidR="0063696D">
        <w:rPr>
          <w:rFonts w:ascii="Times New Roman" w:hAnsi="Times New Roman"/>
          <w:sz w:val="24"/>
          <w:szCs w:val="24"/>
        </w:rPr>
        <w:t>r different ways to maximize the</w:t>
      </w:r>
      <w:r w:rsidR="00A710AF" w:rsidRPr="00312213">
        <w:rPr>
          <w:rFonts w:ascii="Times New Roman" w:hAnsi="Times New Roman"/>
          <w:sz w:val="24"/>
          <w:szCs w:val="24"/>
        </w:rPr>
        <w:t xml:space="preserve"> effectiveness</w:t>
      </w:r>
      <w:r w:rsidR="0063696D">
        <w:rPr>
          <w:rFonts w:ascii="Times New Roman" w:hAnsi="Times New Roman"/>
          <w:sz w:val="24"/>
          <w:szCs w:val="24"/>
        </w:rPr>
        <w:t xml:space="preserve"> of the existing arrangements, including </w:t>
      </w:r>
      <w:r w:rsidR="0063696D" w:rsidRPr="00312213">
        <w:rPr>
          <w:rFonts w:ascii="Times New Roman" w:hAnsi="Times New Roman"/>
          <w:sz w:val="24"/>
          <w:szCs w:val="24"/>
        </w:rPr>
        <w:t>evaluating the benefits of merging the two</w:t>
      </w:r>
      <w:r w:rsidR="0063696D">
        <w:rPr>
          <w:rFonts w:ascii="Times New Roman" w:hAnsi="Times New Roman"/>
          <w:sz w:val="24"/>
          <w:szCs w:val="24"/>
        </w:rPr>
        <w:t xml:space="preserve"> CDSs or</w:t>
      </w:r>
      <w:r w:rsidR="00A710AF" w:rsidRPr="00312213">
        <w:rPr>
          <w:rFonts w:ascii="Times New Roman" w:hAnsi="Times New Roman"/>
          <w:sz w:val="24"/>
          <w:szCs w:val="24"/>
        </w:rPr>
        <w:t xml:space="preserve"> at least harmonizing </w:t>
      </w:r>
      <w:r w:rsidR="0063696D">
        <w:rPr>
          <w:rFonts w:ascii="Times New Roman" w:hAnsi="Times New Roman"/>
          <w:sz w:val="24"/>
          <w:szCs w:val="24"/>
        </w:rPr>
        <w:t>their</w:t>
      </w:r>
      <w:r w:rsidR="00A710AF" w:rsidRPr="00312213">
        <w:rPr>
          <w:rFonts w:ascii="Times New Roman" w:hAnsi="Times New Roman"/>
          <w:sz w:val="24"/>
          <w:szCs w:val="24"/>
        </w:rPr>
        <w:t xml:space="preserve"> regulato</w:t>
      </w:r>
      <w:r w:rsidR="0063696D">
        <w:rPr>
          <w:rFonts w:ascii="Times New Roman" w:hAnsi="Times New Roman"/>
          <w:sz w:val="24"/>
          <w:szCs w:val="24"/>
        </w:rPr>
        <w:t>ry and supervisory frameworks.</w:t>
      </w:r>
    </w:p>
    <w:p w:rsidR="00A710AF" w:rsidRPr="00312213" w:rsidRDefault="00A710AF" w:rsidP="00A710AF">
      <w:pPr>
        <w:autoSpaceDE w:val="0"/>
        <w:autoSpaceDN w:val="0"/>
        <w:adjustRightInd w:val="0"/>
        <w:spacing w:after="0" w:line="240" w:lineRule="auto"/>
        <w:ind w:left="360"/>
        <w:rPr>
          <w:rFonts w:ascii="Times New Roman" w:hAnsi="Times New Roman"/>
          <w:b/>
          <w:i/>
          <w:sz w:val="24"/>
          <w:szCs w:val="24"/>
        </w:rPr>
      </w:pPr>
    </w:p>
    <w:p w:rsidR="00184800" w:rsidRPr="00312213" w:rsidRDefault="00F006DF" w:rsidP="00312213">
      <w:pPr>
        <w:pStyle w:val="ListParagraph"/>
        <w:numPr>
          <w:ilvl w:val="0"/>
          <w:numId w:val="3"/>
        </w:numPr>
        <w:ind w:left="0" w:firstLine="0"/>
        <w:jc w:val="both"/>
        <w:rPr>
          <w:rFonts w:ascii="Times New Roman" w:hAnsi="Times New Roman"/>
          <w:sz w:val="24"/>
          <w:szCs w:val="24"/>
        </w:rPr>
      </w:pPr>
      <w:r w:rsidRPr="00312213">
        <w:rPr>
          <w:rFonts w:ascii="Times New Roman" w:hAnsi="Times New Roman"/>
          <w:b/>
          <w:sz w:val="24"/>
          <w:szCs w:val="24"/>
        </w:rPr>
        <w:t xml:space="preserve">A </w:t>
      </w:r>
      <w:r w:rsidR="006C2705" w:rsidRPr="00312213">
        <w:rPr>
          <w:rFonts w:ascii="Times New Roman" w:hAnsi="Times New Roman"/>
          <w:b/>
          <w:sz w:val="24"/>
          <w:szCs w:val="24"/>
        </w:rPr>
        <w:t xml:space="preserve">strategic sale of the Bulgarian Stock Exchange (along with the Central Depository) </w:t>
      </w:r>
      <w:r w:rsidR="006C2705" w:rsidRPr="008262A2">
        <w:rPr>
          <w:rFonts w:ascii="Times New Roman" w:hAnsi="Times New Roman"/>
          <w:b/>
          <w:sz w:val="24"/>
          <w:szCs w:val="24"/>
        </w:rPr>
        <w:t xml:space="preserve">to </w:t>
      </w:r>
      <w:r w:rsidR="006C2705" w:rsidRPr="00312213">
        <w:rPr>
          <w:rFonts w:ascii="Times New Roman" w:hAnsi="Times New Roman"/>
          <w:b/>
          <w:sz w:val="24"/>
          <w:szCs w:val="24"/>
        </w:rPr>
        <w:t xml:space="preserve">a major international stock exchange </w:t>
      </w:r>
      <w:r w:rsidRPr="00312213">
        <w:rPr>
          <w:rFonts w:ascii="Times New Roman" w:hAnsi="Times New Roman"/>
          <w:b/>
          <w:sz w:val="24"/>
          <w:szCs w:val="24"/>
        </w:rPr>
        <w:t xml:space="preserve">is </w:t>
      </w:r>
      <w:r w:rsidR="0060379C" w:rsidRPr="00312213">
        <w:rPr>
          <w:rFonts w:ascii="Times New Roman" w:hAnsi="Times New Roman"/>
          <w:b/>
          <w:sz w:val="24"/>
          <w:szCs w:val="24"/>
        </w:rPr>
        <w:t>in the process</w:t>
      </w:r>
      <w:r w:rsidRPr="00312213">
        <w:rPr>
          <w:rFonts w:ascii="Times New Roman" w:hAnsi="Times New Roman"/>
          <w:b/>
          <w:sz w:val="24"/>
          <w:szCs w:val="24"/>
        </w:rPr>
        <w:t xml:space="preserve"> and would further </w:t>
      </w:r>
      <w:r w:rsidR="00806601" w:rsidRPr="00312213">
        <w:rPr>
          <w:rFonts w:ascii="Times New Roman" w:hAnsi="Times New Roman"/>
          <w:b/>
          <w:sz w:val="24"/>
          <w:szCs w:val="24"/>
        </w:rPr>
        <w:t>international integration.</w:t>
      </w:r>
      <w:r w:rsidR="006C2705" w:rsidRPr="00312213">
        <w:rPr>
          <w:rFonts w:ascii="Times New Roman" w:hAnsi="Times New Roman"/>
          <w:b/>
          <w:sz w:val="24"/>
          <w:szCs w:val="24"/>
        </w:rPr>
        <w:t xml:space="preserve"> </w:t>
      </w:r>
      <w:r w:rsidR="00DF479B" w:rsidRPr="00312213">
        <w:rPr>
          <w:rFonts w:ascii="Times New Roman" w:hAnsi="Times New Roman"/>
          <w:sz w:val="24"/>
          <w:szCs w:val="24"/>
        </w:rPr>
        <w:t xml:space="preserve">Local intermediaries, too small to make direct use of their </w:t>
      </w:r>
      <w:proofErr w:type="spellStart"/>
      <w:r w:rsidR="00DF479B" w:rsidRPr="00312213">
        <w:rPr>
          <w:rFonts w:ascii="Times New Roman" w:hAnsi="Times New Roman"/>
          <w:sz w:val="24"/>
          <w:szCs w:val="24"/>
        </w:rPr>
        <w:t>MiFID</w:t>
      </w:r>
      <w:proofErr w:type="spellEnd"/>
      <w:r w:rsidR="00DF479B" w:rsidRPr="00312213">
        <w:rPr>
          <w:rFonts w:ascii="Times New Roman" w:hAnsi="Times New Roman"/>
          <w:sz w:val="24"/>
          <w:szCs w:val="24"/>
        </w:rPr>
        <w:t xml:space="preserve"> rights to compete abroad, would gain immediate access to more and bigger trading venues, but would also face greater competition.  Listed firms, despite predominantly small size, would gain more visibility and therefore practical access to a greater investor base, and local investors would gain easier access to a larger market through the local intermediaries. </w:t>
      </w:r>
      <w:r w:rsidR="00312213">
        <w:rPr>
          <w:rFonts w:ascii="Times New Roman" w:hAnsi="Times New Roman"/>
          <w:sz w:val="24"/>
          <w:szCs w:val="24"/>
        </w:rPr>
        <w:t xml:space="preserve">The </w:t>
      </w:r>
      <w:r w:rsidR="004E3BD9" w:rsidRPr="00312213">
        <w:rPr>
          <w:rFonts w:ascii="Times New Roman" w:hAnsi="Times New Roman"/>
          <w:sz w:val="24"/>
          <w:szCs w:val="24"/>
        </w:rPr>
        <w:t xml:space="preserve">BSE is already facing  competition from EU regulated markets and MTFs that could make best performing Bulgarian companies tradable on their markets, </w:t>
      </w:r>
      <w:r w:rsidR="00312213">
        <w:rPr>
          <w:rFonts w:ascii="Times New Roman" w:hAnsi="Times New Roman"/>
          <w:sz w:val="24"/>
          <w:szCs w:val="24"/>
        </w:rPr>
        <w:t xml:space="preserve">potentially </w:t>
      </w:r>
      <w:r w:rsidR="004E3BD9" w:rsidRPr="00312213">
        <w:rPr>
          <w:rFonts w:ascii="Times New Roman" w:hAnsi="Times New Roman"/>
          <w:sz w:val="24"/>
          <w:szCs w:val="24"/>
        </w:rPr>
        <w:t>lead</w:t>
      </w:r>
      <w:r w:rsidR="00312213">
        <w:rPr>
          <w:rFonts w:ascii="Times New Roman" w:hAnsi="Times New Roman"/>
          <w:sz w:val="24"/>
          <w:szCs w:val="24"/>
        </w:rPr>
        <w:t>ing</w:t>
      </w:r>
      <w:r w:rsidR="004E3BD9" w:rsidRPr="00312213">
        <w:rPr>
          <w:rFonts w:ascii="Times New Roman" w:hAnsi="Times New Roman"/>
          <w:sz w:val="24"/>
          <w:szCs w:val="24"/>
        </w:rPr>
        <w:t xml:space="preserve"> to split of turnover and liquidity between the BSE and its competitor. </w:t>
      </w:r>
      <w:r w:rsidR="00C60CE0" w:rsidRPr="00312213">
        <w:rPr>
          <w:rFonts w:ascii="Times New Roman" w:hAnsi="Times New Roman"/>
          <w:sz w:val="24"/>
          <w:szCs w:val="24"/>
        </w:rPr>
        <w:t>A</w:t>
      </w:r>
      <w:r w:rsidR="00DF479B" w:rsidRPr="00312213">
        <w:rPr>
          <w:rFonts w:ascii="Times New Roman" w:hAnsi="Times New Roman"/>
          <w:sz w:val="24"/>
          <w:szCs w:val="24"/>
        </w:rPr>
        <w:t>s part of the bigger international player</w:t>
      </w:r>
      <w:r w:rsidR="00C60CE0" w:rsidRPr="00312213">
        <w:rPr>
          <w:rFonts w:ascii="Times New Roman" w:hAnsi="Times New Roman"/>
          <w:sz w:val="24"/>
          <w:szCs w:val="24"/>
        </w:rPr>
        <w:t xml:space="preserve">, the BSE </w:t>
      </w:r>
      <w:r w:rsidR="00DF479B" w:rsidRPr="00312213">
        <w:rPr>
          <w:rFonts w:ascii="Times New Roman" w:hAnsi="Times New Roman"/>
          <w:sz w:val="24"/>
          <w:szCs w:val="24"/>
        </w:rPr>
        <w:t>will be better p</w:t>
      </w:r>
      <w:r w:rsidR="00C60CE0" w:rsidRPr="00312213">
        <w:rPr>
          <w:rFonts w:ascii="Times New Roman" w:hAnsi="Times New Roman"/>
          <w:sz w:val="24"/>
          <w:szCs w:val="24"/>
        </w:rPr>
        <w:t>laced</w:t>
      </w:r>
      <w:r w:rsidR="00DF479B" w:rsidRPr="00312213">
        <w:rPr>
          <w:rFonts w:ascii="Times New Roman" w:hAnsi="Times New Roman"/>
          <w:sz w:val="24"/>
          <w:szCs w:val="24"/>
        </w:rPr>
        <w:t xml:space="preserve"> to face competition from other </w:t>
      </w:r>
      <w:r w:rsidR="008262A2" w:rsidRPr="00312213">
        <w:rPr>
          <w:rFonts w:ascii="Times New Roman" w:hAnsi="Times New Roman"/>
          <w:sz w:val="24"/>
          <w:szCs w:val="24"/>
        </w:rPr>
        <w:t>trading venues in Europe</w:t>
      </w:r>
      <w:r w:rsidR="00DF479B" w:rsidRPr="00312213">
        <w:rPr>
          <w:rFonts w:ascii="Times New Roman" w:hAnsi="Times New Roman"/>
          <w:sz w:val="24"/>
          <w:szCs w:val="24"/>
        </w:rPr>
        <w:t>.</w:t>
      </w:r>
      <w:r w:rsidR="006C2705" w:rsidRPr="00312213">
        <w:rPr>
          <w:rFonts w:ascii="Times New Roman" w:hAnsi="Times New Roman"/>
          <w:sz w:val="24"/>
          <w:szCs w:val="24"/>
        </w:rPr>
        <w:t xml:space="preserve"> </w:t>
      </w:r>
      <w:r w:rsidR="00862BDE" w:rsidRPr="00312213">
        <w:rPr>
          <w:rFonts w:ascii="Times New Roman" w:hAnsi="Times New Roman"/>
          <w:sz w:val="24"/>
          <w:szCs w:val="24"/>
        </w:rPr>
        <w:t xml:space="preserve">Integration or </w:t>
      </w:r>
      <w:r w:rsidR="006C2705" w:rsidRPr="00312213">
        <w:rPr>
          <w:rFonts w:ascii="Times New Roman" w:hAnsi="Times New Roman"/>
          <w:sz w:val="24"/>
          <w:szCs w:val="24"/>
        </w:rPr>
        <w:t xml:space="preserve">connectivity </w:t>
      </w:r>
      <w:r w:rsidR="00862BDE" w:rsidRPr="00312213">
        <w:rPr>
          <w:rFonts w:ascii="Times New Roman" w:hAnsi="Times New Roman"/>
          <w:sz w:val="24"/>
          <w:szCs w:val="24"/>
        </w:rPr>
        <w:t xml:space="preserve">of clearing, settlement, and depository services </w:t>
      </w:r>
      <w:r w:rsidR="006C2705" w:rsidRPr="00312213">
        <w:rPr>
          <w:rFonts w:ascii="Times New Roman" w:hAnsi="Times New Roman"/>
          <w:sz w:val="24"/>
          <w:szCs w:val="24"/>
        </w:rPr>
        <w:t>discussed above</w:t>
      </w:r>
      <w:r w:rsidR="00862BDE" w:rsidRPr="00312213">
        <w:rPr>
          <w:rFonts w:ascii="Times New Roman" w:hAnsi="Times New Roman"/>
          <w:sz w:val="24"/>
          <w:szCs w:val="24"/>
        </w:rPr>
        <w:t xml:space="preserve"> would have to be considered as part of the strategy</w:t>
      </w:r>
      <w:r w:rsidR="00E01648" w:rsidRPr="00312213">
        <w:rPr>
          <w:rFonts w:ascii="Times New Roman" w:hAnsi="Times New Roman"/>
          <w:sz w:val="24"/>
          <w:szCs w:val="24"/>
        </w:rPr>
        <w:t xml:space="preserve">, </w:t>
      </w:r>
      <w:r w:rsidR="00862BDE" w:rsidRPr="00312213">
        <w:rPr>
          <w:rFonts w:ascii="Times New Roman" w:hAnsi="Times New Roman"/>
          <w:sz w:val="24"/>
          <w:szCs w:val="24"/>
        </w:rPr>
        <w:t xml:space="preserve">as </w:t>
      </w:r>
      <w:r w:rsidR="00E01648" w:rsidRPr="00312213">
        <w:rPr>
          <w:rFonts w:ascii="Times New Roman" w:hAnsi="Times New Roman"/>
          <w:sz w:val="24"/>
          <w:szCs w:val="24"/>
        </w:rPr>
        <w:t xml:space="preserve">the CDAD is sensibly </w:t>
      </w:r>
      <w:r w:rsidR="00862BDE" w:rsidRPr="00312213">
        <w:rPr>
          <w:rFonts w:ascii="Times New Roman" w:hAnsi="Times New Roman"/>
          <w:sz w:val="24"/>
          <w:szCs w:val="24"/>
        </w:rPr>
        <w:t>envisaged to be part of the sale</w:t>
      </w:r>
      <w:r w:rsidR="006C2705" w:rsidRPr="00312213">
        <w:rPr>
          <w:rFonts w:ascii="Times New Roman" w:hAnsi="Times New Roman"/>
          <w:sz w:val="24"/>
          <w:szCs w:val="24"/>
        </w:rPr>
        <w:t>.</w:t>
      </w:r>
      <w:r w:rsidR="00D01146" w:rsidRPr="00312213">
        <w:rPr>
          <w:rFonts w:ascii="Times New Roman" w:hAnsi="Times New Roman"/>
          <w:sz w:val="24"/>
          <w:szCs w:val="24"/>
        </w:rPr>
        <w:t xml:space="preserve"> </w:t>
      </w:r>
    </w:p>
    <w:p w:rsidR="00A73D42" w:rsidRPr="00312213" w:rsidRDefault="00A73D42" w:rsidP="00A73D42">
      <w:pPr>
        <w:pStyle w:val="ListParagraph"/>
        <w:ind w:left="0"/>
        <w:jc w:val="both"/>
        <w:rPr>
          <w:rFonts w:ascii="Times New Roman" w:hAnsi="Times New Roman"/>
          <w:b/>
          <w:sz w:val="24"/>
          <w:szCs w:val="24"/>
        </w:rPr>
      </w:pPr>
    </w:p>
    <w:p w:rsidR="00A73D42" w:rsidRDefault="00E01648" w:rsidP="00A73D42">
      <w:pPr>
        <w:pStyle w:val="ListParagraph"/>
        <w:numPr>
          <w:ilvl w:val="0"/>
          <w:numId w:val="3"/>
        </w:numPr>
        <w:ind w:left="0" w:firstLine="0"/>
        <w:jc w:val="both"/>
        <w:rPr>
          <w:rFonts w:ascii="Times New Roman" w:hAnsi="Times New Roman"/>
          <w:sz w:val="24"/>
          <w:szCs w:val="24"/>
        </w:rPr>
      </w:pPr>
      <w:r w:rsidRPr="00312213">
        <w:rPr>
          <w:rFonts w:ascii="Times New Roman" w:hAnsi="Times New Roman"/>
          <w:b/>
          <w:sz w:val="24"/>
          <w:szCs w:val="24"/>
        </w:rPr>
        <w:t xml:space="preserve">Cross listing </w:t>
      </w:r>
      <w:r w:rsidR="00A73D42" w:rsidRPr="00312213">
        <w:rPr>
          <w:rFonts w:ascii="Times New Roman" w:hAnsi="Times New Roman"/>
          <w:b/>
          <w:sz w:val="24"/>
          <w:szCs w:val="24"/>
        </w:rPr>
        <w:t xml:space="preserve">across borders </w:t>
      </w:r>
      <w:r w:rsidRPr="00312213">
        <w:rPr>
          <w:rFonts w:ascii="Times New Roman" w:hAnsi="Times New Roman"/>
          <w:b/>
          <w:sz w:val="24"/>
          <w:szCs w:val="24"/>
        </w:rPr>
        <w:t>offers an alternative of modest importance.  Foreign listi</w:t>
      </w:r>
      <w:r w:rsidRPr="00E01648">
        <w:rPr>
          <w:rFonts w:ascii="Times New Roman" w:hAnsi="Times New Roman"/>
          <w:sz w:val="24"/>
          <w:szCs w:val="24"/>
        </w:rPr>
        <w:t xml:space="preserve">ngs are </w:t>
      </w:r>
      <w:r w:rsidR="00A73D42" w:rsidRPr="00E01648">
        <w:rPr>
          <w:rFonts w:ascii="Times New Roman" w:hAnsi="Times New Roman"/>
          <w:sz w:val="24"/>
          <w:szCs w:val="24"/>
        </w:rPr>
        <w:t xml:space="preserve">concentrated on large exchanges, and only Bulgarian firms are listed in Bulgaria. For example, because NYSE </w:t>
      </w:r>
      <w:proofErr w:type="spellStart"/>
      <w:r w:rsidR="00A73D42" w:rsidRPr="00E01648">
        <w:rPr>
          <w:rFonts w:ascii="Times New Roman" w:hAnsi="Times New Roman"/>
          <w:sz w:val="24"/>
          <w:szCs w:val="24"/>
        </w:rPr>
        <w:t>Euronext</w:t>
      </w:r>
      <w:proofErr w:type="spellEnd"/>
      <w:r w:rsidR="00A73D42" w:rsidRPr="00E01648">
        <w:rPr>
          <w:rFonts w:ascii="Times New Roman" w:hAnsi="Times New Roman"/>
          <w:sz w:val="24"/>
          <w:szCs w:val="24"/>
        </w:rPr>
        <w:t xml:space="preserve"> emerged as a merger of f</w:t>
      </w:r>
      <w:r w:rsidR="00DF479B">
        <w:rPr>
          <w:rFonts w:ascii="Times New Roman" w:hAnsi="Times New Roman"/>
          <w:sz w:val="24"/>
          <w:szCs w:val="24"/>
        </w:rPr>
        <w:t xml:space="preserve">ive </w:t>
      </w:r>
      <w:r w:rsidR="00A73D42" w:rsidRPr="00E01648">
        <w:rPr>
          <w:rFonts w:ascii="Times New Roman" w:hAnsi="Times New Roman"/>
          <w:sz w:val="24"/>
          <w:szCs w:val="24"/>
        </w:rPr>
        <w:t xml:space="preserve">and NASDAQ OMX Nordic of four previously local exchanges, the extent of cross-border trading on the previously independent exchanges is not reflected in the numbers below. Apart from Greece, which has attracted foreign listings, exchanges such as </w:t>
      </w:r>
      <w:proofErr w:type="spellStart"/>
      <w:r w:rsidR="00A73D42" w:rsidRPr="00E01648">
        <w:rPr>
          <w:rFonts w:ascii="Times New Roman" w:hAnsi="Times New Roman"/>
          <w:sz w:val="24"/>
          <w:szCs w:val="24"/>
        </w:rPr>
        <w:t>Borsa</w:t>
      </w:r>
      <w:proofErr w:type="spellEnd"/>
      <w:r w:rsidR="00A73D42" w:rsidRPr="00E01648">
        <w:rPr>
          <w:rFonts w:ascii="Times New Roman" w:hAnsi="Times New Roman"/>
          <w:sz w:val="24"/>
          <w:szCs w:val="24"/>
        </w:rPr>
        <w:t xml:space="preserve"> </w:t>
      </w:r>
      <w:proofErr w:type="spellStart"/>
      <w:r w:rsidR="00A73D42" w:rsidRPr="00E01648">
        <w:rPr>
          <w:rFonts w:ascii="Times New Roman" w:hAnsi="Times New Roman"/>
          <w:sz w:val="24"/>
          <w:szCs w:val="24"/>
        </w:rPr>
        <w:t>Italiana</w:t>
      </w:r>
      <w:proofErr w:type="spellEnd"/>
      <w:r w:rsidR="00A73D42" w:rsidRPr="00E01648">
        <w:rPr>
          <w:rFonts w:ascii="Times New Roman" w:hAnsi="Times New Roman"/>
          <w:sz w:val="24"/>
          <w:szCs w:val="24"/>
        </w:rPr>
        <w:t xml:space="preserve">, BME (Spanish exchange) have not seen similar trends. The BSE upgraded its trading system in June 2008, through the introduction of Deutsche </w:t>
      </w:r>
      <w:proofErr w:type="spellStart"/>
      <w:r w:rsidR="00A73D42" w:rsidRPr="00E01648">
        <w:rPr>
          <w:rFonts w:ascii="Times New Roman" w:hAnsi="Times New Roman"/>
          <w:sz w:val="24"/>
          <w:szCs w:val="24"/>
        </w:rPr>
        <w:t>Börse’s</w:t>
      </w:r>
      <w:proofErr w:type="spellEnd"/>
      <w:r w:rsidR="00A73D42" w:rsidRPr="00E01648">
        <w:rPr>
          <w:rFonts w:ascii="Times New Roman" w:hAnsi="Times New Roman"/>
          <w:sz w:val="24"/>
          <w:szCs w:val="24"/>
        </w:rPr>
        <w:t xml:space="preserve"> </w:t>
      </w:r>
      <w:proofErr w:type="spellStart"/>
      <w:r w:rsidR="00A73D42" w:rsidRPr="00E01648">
        <w:rPr>
          <w:rFonts w:ascii="Times New Roman" w:hAnsi="Times New Roman"/>
          <w:sz w:val="24"/>
          <w:szCs w:val="24"/>
        </w:rPr>
        <w:t>Xetra</w:t>
      </w:r>
      <w:proofErr w:type="spellEnd"/>
      <w:r w:rsidR="00A73D42" w:rsidRPr="00E01648">
        <w:rPr>
          <w:rFonts w:ascii="Times New Roman" w:hAnsi="Times New Roman"/>
          <w:sz w:val="24"/>
          <w:szCs w:val="24"/>
        </w:rPr>
        <w:t xml:space="preserve"> trading platform, hoping to benefit from greater foreign activity in Bulgaria, but that does not appear to yet have happened. </w:t>
      </w:r>
    </w:p>
    <w:p w:rsidR="00E01648" w:rsidRDefault="00E01648" w:rsidP="00E01648">
      <w:pPr>
        <w:pStyle w:val="ListParagraph"/>
        <w:rPr>
          <w:rFonts w:ascii="Times New Roman" w:hAnsi="Times New Roman"/>
          <w:sz w:val="24"/>
          <w:szCs w:val="24"/>
        </w:rPr>
      </w:pPr>
    </w:p>
    <w:p w:rsidR="00E01648" w:rsidRPr="00E01648" w:rsidRDefault="00E01648" w:rsidP="00A73D42">
      <w:pPr>
        <w:pStyle w:val="ListParagraph"/>
        <w:numPr>
          <w:ilvl w:val="0"/>
          <w:numId w:val="3"/>
        </w:numPr>
        <w:ind w:left="0" w:firstLine="0"/>
        <w:jc w:val="both"/>
        <w:rPr>
          <w:rFonts w:ascii="Times New Roman" w:hAnsi="Times New Roman"/>
          <w:sz w:val="24"/>
          <w:szCs w:val="24"/>
        </w:rPr>
      </w:pPr>
      <w:r>
        <w:rPr>
          <w:rFonts w:ascii="Times New Roman" w:hAnsi="Times New Roman"/>
          <w:b/>
          <w:sz w:val="24"/>
          <w:szCs w:val="24"/>
        </w:rPr>
        <w:t>F</w:t>
      </w:r>
      <w:r w:rsidRPr="00E01648">
        <w:rPr>
          <w:rFonts w:ascii="Times New Roman" w:hAnsi="Times New Roman"/>
          <w:b/>
          <w:sz w:val="24"/>
          <w:szCs w:val="24"/>
        </w:rPr>
        <w:t xml:space="preserve">ormulating a strategy </w:t>
      </w:r>
      <w:r>
        <w:rPr>
          <w:rFonts w:ascii="Times New Roman" w:hAnsi="Times New Roman"/>
          <w:b/>
          <w:sz w:val="24"/>
          <w:szCs w:val="24"/>
        </w:rPr>
        <w:t xml:space="preserve">for integration of the stock exchange, clearing, settlement and depository services </w:t>
      </w:r>
      <w:r w:rsidRPr="00E01648">
        <w:rPr>
          <w:rFonts w:ascii="Times New Roman" w:hAnsi="Times New Roman"/>
          <w:b/>
          <w:sz w:val="24"/>
          <w:szCs w:val="24"/>
        </w:rPr>
        <w:t>deserves careful consideration beyond the scope of this note</w:t>
      </w:r>
      <w:r w:rsidR="00C8607B">
        <w:rPr>
          <w:rFonts w:ascii="Times New Roman" w:hAnsi="Times New Roman"/>
          <w:b/>
          <w:sz w:val="24"/>
          <w:szCs w:val="24"/>
        </w:rPr>
        <w:t xml:space="preserve"> and beyond the scope of Bulgaria</w:t>
      </w:r>
      <w:r>
        <w:rPr>
          <w:rFonts w:ascii="Times New Roman" w:hAnsi="Times New Roman"/>
          <w:b/>
          <w:sz w:val="24"/>
          <w:szCs w:val="24"/>
        </w:rPr>
        <w:t xml:space="preserve">.  </w:t>
      </w:r>
      <w:r>
        <w:rPr>
          <w:rFonts w:ascii="Times New Roman" w:hAnsi="Times New Roman"/>
          <w:sz w:val="24"/>
          <w:szCs w:val="24"/>
        </w:rPr>
        <w:t>T</w:t>
      </w:r>
      <w:r w:rsidRPr="00E01648">
        <w:rPr>
          <w:rFonts w:ascii="Times New Roman" w:hAnsi="Times New Roman"/>
          <w:sz w:val="24"/>
          <w:szCs w:val="24"/>
        </w:rPr>
        <w:t xml:space="preserve">here has been a trend of concentration in the stock exchanges </w:t>
      </w:r>
      <w:r w:rsidRPr="00E01648">
        <w:rPr>
          <w:rFonts w:ascii="Times New Roman" w:hAnsi="Times New Roman"/>
          <w:sz w:val="24"/>
          <w:szCs w:val="24"/>
        </w:rPr>
        <w:lastRenderedPageBreak/>
        <w:t>across Europe</w:t>
      </w:r>
      <w:r>
        <w:rPr>
          <w:rFonts w:ascii="Times New Roman" w:hAnsi="Times New Roman"/>
          <w:sz w:val="24"/>
          <w:szCs w:val="24"/>
        </w:rPr>
        <w:t xml:space="preserve"> with even large players such as Deutsche </w:t>
      </w:r>
      <w:proofErr w:type="spellStart"/>
      <w:r w:rsidRPr="00E01648">
        <w:rPr>
          <w:rFonts w:ascii="Times New Roman" w:hAnsi="Times New Roman"/>
          <w:sz w:val="24"/>
          <w:szCs w:val="24"/>
        </w:rPr>
        <w:t>Börse</w:t>
      </w:r>
      <w:proofErr w:type="spellEnd"/>
      <w:r>
        <w:rPr>
          <w:rFonts w:ascii="Times New Roman" w:hAnsi="Times New Roman"/>
          <w:sz w:val="24"/>
          <w:szCs w:val="24"/>
        </w:rPr>
        <w:t xml:space="preserve"> choosing to merge with </w:t>
      </w:r>
      <w:r w:rsidR="00C8607B">
        <w:rPr>
          <w:rFonts w:ascii="Times New Roman" w:hAnsi="Times New Roman"/>
          <w:sz w:val="24"/>
          <w:szCs w:val="24"/>
        </w:rPr>
        <w:t xml:space="preserve">another large exchange, </w:t>
      </w:r>
      <w:r>
        <w:rPr>
          <w:rFonts w:ascii="Times New Roman" w:hAnsi="Times New Roman"/>
          <w:sz w:val="24"/>
          <w:szCs w:val="24"/>
        </w:rPr>
        <w:t xml:space="preserve">NYSE.  </w:t>
      </w:r>
      <w:r w:rsidR="008D49D4">
        <w:rPr>
          <w:rFonts w:ascii="Times New Roman" w:hAnsi="Times New Roman"/>
          <w:sz w:val="24"/>
          <w:szCs w:val="24"/>
        </w:rPr>
        <w:t xml:space="preserve">In that light, </w:t>
      </w:r>
      <w:r>
        <w:rPr>
          <w:rFonts w:ascii="Times New Roman" w:hAnsi="Times New Roman"/>
          <w:sz w:val="24"/>
          <w:szCs w:val="24"/>
        </w:rPr>
        <w:t xml:space="preserve">central and eastern European exchanges clearly </w:t>
      </w:r>
      <w:r w:rsidR="008D49D4">
        <w:rPr>
          <w:rFonts w:ascii="Times New Roman" w:hAnsi="Times New Roman"/>
          <w:sz w:val="24"/>
          <w:szCs w:val="24"/>
        </w:rPr>
        <w:t xml:space="preserve">are </w:t>
      </w:r>
      <w:r>
        <w:rPr>
          <w:rFonts w:ascii="Times New Roman" w:hAnsi="Times New Roman"/>
          <w:sz w:val="24"/>
          <w:szCs w:val="24"/>
        </w:rPr>
        <w:t xml:space="preserve">too small to remain isolated, </w:t>
      </w:r>
      <w:r w:rsidR="008D49D4">
        <w:rPr>
          <w:rFonts w:ascii="Times New Roman" w:hAnsi="Times New Roman"/>
          <w:sz w:val="24"/>
          <w:szCs w:val="24"/>
        </w:rPr>
        <w:t xml:space="preserve">but </w:t>
      </w:r>
      <w:r>
        <w:rPr>
          <w:rFonts w:ascii="Times New Roman" w:hAnsi="Times New Roman"/>
          <w:sz w:val="24"/>
          <w:szCs w:val="24"/>
        </w:rPr>
        <w:t xml:space="preserve">it </w:t>
      </w:r>
      <w:r w:rsidR="00C8607B">
        <w:rPr>
          <w:rFonts w:ascii="Times New Roman" w:hAnsi="Times New Roman"/>
          <w:sz w:val="24"/>
          <w:szCs w:val="24"/>
        </w:rPr>
        <w:t>is</w:t>
      </w:r>
      <w:r>
        <w:rPr>
          <w:rFonts w:ascii="Times New Roman" w:hAnsi="Times New Roman"/>
          <w:sz w:val="24"/>
          <w:szCs w:val="24"/>
        </w:rPr>
        <w:t xml:space="preserve"> unclear how they will best </w:t>
      </w:r>
      <w:r w:rsidR="00C8607B">
        <w:rPr>
          <w:rFonts w:ascii="Times New Roman" w:hAnsi="Times New Roman"/>
          <w:sz w:val="24"/>
          <w:szCs w:val="24"/>
        </w:rPr>
        <w:t>fit into</w:t>
      </w:r>
      <w:r>
        <w:rPr>
          <w:rFonts w:ascii="Times New Roman" w:hAnsi="Times New Roman"/>
          <w:sz w:val="24"/>
          <w:szCs w:val="24"/>
        </w:rPr>
        <w:t xml:space="preserve"> the future </w:t>
      </w:r>
      <w:r w:rsidR="008D49D4">
        <w:rPr>
          <w:rFonts w:ascii="Times New Roman" w:hAnsi="Times New Roman"/>
          <w:sz w:val="24"/>
          <w:szCs w:val="24"/>
        </w:rPr>
        <w:t xml:space="preserve">market </w:t>
      </w:r>
      <w:r>
        <w:rPr>
          <w:rFonts w:ascii="Times New Roman" w:hAnsi="Times New Roman"/>
          <w:sz w:val="24"/>
          <w:szCs w:val="24"/>
        </w:rPr>
        <w:t xml:space="preserve">landscape.  </w:t>
      </w:r>
      <w:r w:rsidR="00C8607B">
        <w:rPr>
          <w:rFonts w:ascii="Times New Roman" w:hAnsi="Times New Roman"/>
          <w:sz w:val="24"/>
          <w:szCs w:val="24"/>
        </w:rPr>
        <w:t xml:space="preserve">Careful considerations should be given to the benefits of partnerships and mergers as well as how those partnerships may shape the outlook for future collaboration or mergers with other players.  The strategy </w:t>
      </w:r>
      <w:r w:rsidR="008D49D4">
        <w:rPr>
          <w:rFonts w:ascii="Times New Roman" w:hAnsi="Times New Roman"/>
          <w:sz w:val="24"/>
          <w:szCs w:val="24"/>
        </w:rPr>
        <w:t>must</w:t>
      </w:r>
      <w:r w:rsidR="00C8607B">
        <w:rPr>
          <w:rFonts w:ascii="Times New Roman" w:hAnsi="Times New Roman"/>
          <w:sz w:val="24"/>
          <w:szCs w:val="24"/>
        </w:rPr>
        <w:t xml:space="preserve"> take into account the likely choices </w:t>
      </w:r>
      <w:r w:rsidR="008D49D4">
        <w:rPr>
          <w:rFonts w:ascii="Times New Roman" w:hAnsi="Times New Roman"/>
          <w:sz w:val="24"/>
          <w:szCs w:val="24"/>
        </w:rPr>
        <w:t xml:space="preserve">for </w:t>
      </w:r>
      <w:r w:rsidR="00C8607B">
        <w:rPr>
          <w:rFonts w:ascii="Times New Roman" w:hAnsi="Times New Roman"/>
          <w:sz w:val="24"/>
          <w:szCs w:val="24"/>
        </w:rPr>
        <w:t xml:space="preserve">other small capital markets in the region, and a regional analysis </w:t>
      </w:r>
      <w:r w:rsidR="008D49D4">
        <w:rPr>
          <w:rFonts w:ascii="Times New Roman" w:hAnsi="Times New Roman"/>
          <w:sz w:val="24"/>
          <w:szCs w:val="24"/>
        </w:rPr>
        <w:t xml:space="preserve">and approach is </w:t>
      </w:r>
      <w:r w:rsidR="00C8607B">
        <w:rPr>
          <w:rFonts w:ascii="Times New Roman" w:hAnsi="Times New Roman"/>
          <w:sz w:val="24"/>
          <w:szCs w:val="24"/>
        </w:rPr>
        <w:t xml:space="preserve">therefore </w:t>
      </w:r>
      <w:r w:rsidR="008D49D4">
        <w:rPr>
          <w:rFonts w:ascii="Times New Roman" w:hAnsi="Times New Roman"/>
          <w:sz w:val="24"/>
          <w:szCs w:val="24"/>
        </w:rPr>
        <w:t xml:space="preserve">appropriate </w:t>
      </w:r>
      <w:r w:rsidR="00C8607B">
        <w:rPr>
          <w:rFonts w:ascii="Times New Roman" w:hAnsi="Times New Roman"/>
          <w:sz w:val="24"/>
          <w:szCs w:val="24"/>
        </w:rPr>
        <w:t>t</w:t>
      </w:r>
      <w:r w:rsidR="008D49D4">
        <w:rPr>
          <w:rFonts w:ascii="Times New Roman" w:hAnsi="Times New Roman"/>
          <w:sz w:val="24"/>
          <w:szCs w:val="24"/>
        </w:rPr>
        <w:t>o</w:t>
      </w:r>
      <w:r w:rsidR="00C8607B">
        <w:rPr>
          <w:rFonts w:ascii="Times New Roman" w:hAnsi="Times New Roman"/>
          <w:sz w:val="24"/>
          <w:szCs w:val="24"/>
        </w:rPr>
        <w:t xml:space="preserve"> </w:t>
      </w:r>
      <w:r w:rsidR="008D49D4">
        <w:rPr>
          <w:rFonts w:ascii="Times New Roman" w:hAnsi="Times New Roman"/>
          <w:sz w:val="24"/>
          <w:szCs w:val="24"/>
        </w:rPr>
        <w:t>provide guidance.</w:t>
      </w:r>
    </w:p>
    <w:p w:rsidR="00A73D42" w:rsidRPr="001B69BA" w:rsidRDefault="00A73D42" w:rsidP="00A73D42">
      <w:pPr>
        <w:pStyle w:val="ListParagraph"/>
        <w:tabs>
          <w:tab w:val="left" w:pos="540"/>
        </w:tabs>
        <w:ind w:left="0"/>
        <w:jc w:val="both"/>
        <w:rPr>
          <w:rFonts w:ascii="Times New Roman" w:hAnsi="Times New Roman"/>
          <w:sz w:val="24"/>
          <w:szCs w:val="24"/>
        </w:rPr>
      </w:pPr>
    </w:p>
    <w:p w:rsidR="009C32DB" w:rsidRPr="001A4BD7" w:rsidRDefault="00751572" w:rsidP="001A4BD7">
      <w:pPr>
        <w:pStyle w:val="mainnum"/>
      </w:pPr>
      <w:r>
        <w:rPr>
          <w:rFonts w:ascii="Times New Roman" w:hAnsi="Times New Roman"/>
          <w:b w:val="0"/>
          <w:bCs/>
          <w:sz w:val="24"/>
          <w:szCs w:val="24"/>
        </w:rPr>
        <w:br w:type="page"/>
      </w:r>
      <w:bookmarkStart w:id="15" w:name="_Toc297111588"/>
      <w:proofErr w:type="spellStart"/>
      <w:r w:rsidR="009C32DB" w:rsidRPr="001A4BD7">
        <w:lastRenderedPageBreak/>
        <w:t>MiFID</w:t>
      </w:r>
      <w:proofErr w:type="spellEnd"/>
      <w:r w:rsidR="009C32DB" w:rsidRPr="001A4BD7">
        <w:t xml:space="preserve"> Implementation in Bulgaria</w:t>
      </w:r>
      <w:bookmarkEnd w:id="15"/>
    </w:p>
    <w:p w:rsidR="009E7E78" w:rsidRDefault="009E7E78" w:rsidP="009E7E78">
      <w:pPr>
        <w:jc w:val="center"/>
        <w:rPr>
          <w:rFonts w:ascii="Times New Roman" w:hAnsi="Times New Roman"/>
          <w:b/>
          <w:bCs/>
          <w:sz w:val="24"/>
          <w:szCs w:val="24"/>
        </w:rPr>
      </w:pPr>
    </w:p>
    <w:p w:rsidR="009E7E78" w:rsidRDefault="009E7E78" w:rsidP="009E7E78">
      <w:pPr>
        <w:pStyle w:val="ListParagraph"/>
        <w:numPr>
          <w:ilvl w:val="0"/>
          <w:numId w:val="3"/>
        </w:numPr>
        <w:ind w:left="0" w:firstLine="0"/>
        <w:jc w:val="both"/>
        <w:rPr>
          <w:rFonts w:ascii="Times New Roman" w:hAnsi="Times New Roman"/>
          <w:sz w:val="24"/>
          <w:szCs w:val="24"/>
        </w:rPr>
      </w:pPr>
      <w:r w:rsidRPr="00751572">
        <w:rPr>
          <w:rFonts w:ascii="Times New Roman" w:hAnsi="Times New Roman"/>
          <w:b/>
          <w:sz w:val="24"/>
          <w:szCs w:val="24"/>
        </w:rPr>
        <w:t xml:space="preserve">Bulgaria started implementing </w:t>
      </w:r>
      <w:proofErr w:type="spellStart"/>
      <w:r w:rsidRPr="00751572">
        <w:rPr>
          <w:rFonts w:ascii="Times New Roman" w:hAnsi="Times New Roman"/>
          <w:b/>
          <w:sz w:val="24"/>
          <w:szCs w:val="24"/>
        </w:rPr>
        <w:t>MiFID</w:t>
      </w:r>
      <w:proofErr w:type="spellEnd"/>
      <w:r w:rsidRPr="00751572">
        <w:rPr>
          <w:rFonts w:ascii="Times New Roman" w:hAnsi="Times New Roman"/>
          <w:b/>
          <w:sz w:val="24"/>
          <w:szCs w:val="24"/>
        </w:rPr>
        <w:t xml:space="preserve"> in</w:t>
      </w:r>
      <w:r>
        <w:rPr>
          <w:rFonts w:ascii="Times New Roman" w:hAnsi="Times New Roman"/>
          <w:b/>
          <w:sz w:val="24"/>
          <w:szCs w:val="24"/>
        </w:rPr>
        <w:t xml:space="preserve"> late </w:t>
      </w:r>
      <w:r w:rsidRPr="00751572">
        <w:rPr>
          <w:rFonts w:ascii="Times New Roman" w:hAnsi="Times New Roman"/>
          <w:b/>
          <w:sz w:val="24"/>
          <w:szCs w:val="24"/>
        </w:rPr>
        <w:t>2007 through the enactment of Markets in Financial Instruments Act (</w:t>
      </w:r>
      <w:proofErr w:type="spellStart"/>
      <w:r w:rsidRPr="00751572">
        <w:rPr>
          <w:rFonts w:ascii="Times New Roman" w:hAnsi="Times New Roman"/>
          <w:b/>
          <w:sz w:val="24"/>
          <w:szCs w:val="24"/>
        </w:rPr>
        <w:t>MiFIA</w:t>
      </w:r>
      <w:proofErr w:type="spellEnd"/>
      <w:r w:rsidRPr="00751572">
        <w:rPr>
          <w:rFonts w:ascii="Times New Roman" w:hAnsi="Times New Roman"/>
          <w:b/>
          <w:sz w:val="24"/>
          <w:szCs w:val="24"/>
        </w:rPr>
        <w:t>).</w:t>
      </w:r>
      <w:r w:rsidRPr="00751572">
        <w:rPr>
          <w:rFonts w:ascii="Times New Roman" w:hAnsi="Times New Roman"/>
          <w:sz w:val="24"/>
          <w:szCs w:val="24"/>
        </w:rPr>
        <w:t xml:space="preserve"> </w:t>
      </w:r>
      <w:proofErr w:type="spellStart"/>
      <w:r w:rsidRPr="00751572">
        <w:rPr>
          <w:rFonts w:ascii="Times New Roman" w:hAnsi="Times New Roman"/>
          <w:sz w:val="24"/>
          <w:szCs w:val="24"/>
        </w:rPr>
        <w:t>MiFIA</w:t>
      </w:r>
      <w:proofErr w:type="spellEnd"/>
      <w:r w:rsidRPr="00751572">
        <w:rPr>
          <w:rFonts w:ascii="Times New Roman" w:hAnsi="Times New Roman"/>
          <w:sz w:val="24"/>
          <w:szCs w:val="24"/>
        </w:rPr>
        <w:t>, together with three ordinances (</w:t>
      </w:r>
      <w:r>
        <w:rPr>
          <w:rFonts w:ascii="Times New Roman" w:hAnsi="Times New Roman"/>
          <w:sz w:val="24"/>
          <w:szCs w:val="24"/>
        </w:rPr>
        <w:t>Ordinance No</w:t>
      </w:r>
      <w:r w:rsidRPr="00751572">
        <w:rPr>
          <w:rFonts w:ascii="Times New Roman" w:hAnsi="Times New Roman"/>
          <w:sz w:val="24"/>
          <w:szCs w:val="24"/>
        </w:rPr>
        <w:t>.15</w:t>
      </w:r>
      <w:r>
        <w:rPr>
          <w:rFonts w:ascii="Times New Roman" w:hAnsi="Times New Roman"/>
          <w:sz w:val="24"/>
          <w:szCs w:val="24"/>
        </w:rPr>
        <w:t xml:space="preserve"> on Records and Information Disclosure</w:t>
      </w:r>
      <w:r w:rsidRPr="00751572">
        <w:rPr>
          <w:rFonts w:ascii="Times New Roman" w:hAnsi="Times New Roman"/>
          <w:sz w:val="24"/>
          <w:szCs w:val="24"/>
        </w:rPr>
        <w:t xml:space="preserve">, </w:t>
      </w:r>
      <w:r w:rsidRPr="00440D1A">
        <w:rPr>
          <w:rFonts w:ascii="Times New Roman" w:hAnsi="Times New Roman"/>
          <w:sz w:val="24"/>
          <w:szCs w:val="24"/>
        </w:rPr>
        <w:t>Ordinance No.35 on the capital adequacy and the liquidity of investment intermediaries</w:t>
      </w:r>
      <w:r w:rsidRPr="00751572">
        <w:rPr>
          <w:rFonts w:ascii="Times New Roman" w:hAnsi="Times New Roman"/>
          <w:sz w:val="24"/>
          <w:szCs w:val="24"/>
        </w:rPr>
        <w:t xml:space="preserve"> and </w:t>
      </w:r>
      <w:r>
        <w:rPr>
          <w:rFonts w:ascii="Times New Roman" w:hAnsi="Times New Roman"/>
          <w:sz w:val="24"/>
          <w:szCs w:val="24"/>
        </w:rPr>
        <w:t xml:space="preserve">Ordinance </w:t>
      </w:r>
      <w:r w:rsidRPr="00751572">
        <w:rPr>
          <w:rFonts w:ascii="Times New Roman" w:hAnsi="Times New Roman"/>
          <w:sz w:val="24"/>
          <w:szCs w:val="24"/>
        </w:rPr>
        <w:t>No.38</w:t>
      </w:r>
      <w:r>
        <w:rPr>
          <w:rFonts w:ascii="Times New Roman" w:hAnsi="Times New Roman"/>
          <w:sz w:val="24"/>
          <w:szCs w:val="24"/>
        </w:rPr>
        <w:t xml:space="preserve"> </w:t>
      </w:r>
      <w:hyperlink r:id="rId21" w:history="1">
        <w:r w:rsidRPr="00440D1A">
          <w:rPr>
            <w:rFonts w:ascii="Times New Roman" w:hAnsi="Times New Roman"/>
            <w:sz w:val="24"/>
            <w:szCs w:val="24"/>
          </w:rPr>
          <w:t>on the requirements to the</w:t>
        </w:r>
        <w:r>
          <w:rPr>
            <w:rFonts w:ascii="Times New Roman" w:hAnsi="Times New Roman"/>
            <w:sz w:val="24"/>
            <w:szCs w:val="24"/>
          </w:rPr>
          <w:t xml:space="preserve"> </w:t>
        </w:r>
        <w:r w:rsidRPr="00440D1A">
          <w:rPr>
            <w:rFonts w:ascii="Times New Roman" w:hAnsi="Times New Roman"/>
            <w:sz w:val="24"/>
            <w:szCs w:val="24"/>
          </w:rPr>
          <w:t>activities of the investment intermediaries</w:t>
        </w:r>
      </w:hyperlink>
      <w:r>
        <w:rPr>
          <w:rFonts w:ascii="Verdana" w:hAnsi="Verdana"/>
          <w:color w:val="330033"/>
          <w:sz w:val="16"/>
          <w:szCs w:val="16"/>
        </w:rPr>
        <w:t> </w:t>
      </w:r>
      <w:r w:rsidRPr="00751572">
        <w:rPr>
          <w:rFonts w:ascii="Times New Roman" w:hAnsi="Times New Roman"/>
          <w:sz w:val="24"/>
          <w:szCs w:val="24"/>
        </w:rPr>
        <w:t>)</w:t>
      </w:r>
      <w:r>
        <w:rPr>
          <w:rFonts w:ascii="Times New Roman" w:hAnsi="Times New Roman"/>
          <w:sz w:val="24"/>
          <w:szCs w:val="24"/>
        </w:rPr>
        <w:t xml:space="preserve">, </w:t>
      </w:r>
      <w:hyperlink r:id="rId22" w:history="1">
        <w:r w:rsidRPr="00440D1A">
          <w:rPr>
            <w:rFonts w:ascii="Times New Roman" w:hAnsi="Times New Roman"/>
            <w:sz w:val="24"/>
            <w:szCs w:val="24"/>
          </w:rPr>
          <w:t>Law on Measures against Market Abuse with Financial</w:t>
        </w:r>
        <w:r>
          <w:rPr>
            <w:rFonts w:ascii="Times New Roman" w:hAnsi="Times New Roman"/>
            <w:sz w:val="24"/>
            <w:szCs w:val="24"/>
          </w:rPr>
          <w:t xml:space="preserve"> </w:t>
        </w:r>
        <w:r w:rsidRPr="00440D1A">
          <w:rPr>
            <w:rFonts w:ascii="Times New Roman" w:hAnsi="Times New Roman"/>
            <w:sz w:val="24"/>
            <w:szCs w:val="24"/>
          </w:rPr>
          <w:t>Instruments</w:t>
        </w:r>
      </w:hyperlink>
      <w:r w:rsidRPr="00440D1A">
        <w:rPr>
          <w:rFonts w:ascii="Times New Roman" w:hAnsi="Times New Roman"/>
          <w:sz w:val="24"/>
          <w:szCs w:val="24"/>
        </w:rPr>
        <w:t xml:space="preserve">, </w:t>
      </w:r>
      <w:hyperlink r:id="rId23" w:history="1">
        <w:r w:rsidRPr="00440D1A">
          <w:rPr>
            <w:rFonts w:ascii="Times New Roman" w:hAnsi="Times New Roman"/>
            <w:sz w:val="24"/>
            <w:szCs w:val="24"/>
          </w:rPr>
          <w:t>Law on Public Offering of Securities</w:t>
        </w:r>
      </w:hyperlink>
      <w:r w:rsidRPr="00440D1A">
        <w:rPr>
          <w:rFonts w:ascii="Times New Roman" w:hAnsi="Times New Roman"/>
          <w:sz w:val="24"/>
          <w:szCs w:val="24"/>
        </w:rPr>
        <w:t xml:space="preserve">, </w:t>
      </w:r>
      <w:hyperlink r:id="rId24" w:history="1">
        <w:r w:rsidRPr="00440D1A">
          <w:rPr>
            <w:rFonts w:ascii="Times New Roman" w:hAnsi="Times New Roman"/>
            <w:sz w:val="24"/>
            <w:szCs w:val="24"/>
          </w:rPr>
          <w:t>Financial Supervision Commission Act</w:t>
        </w:r>
      </w:hyperlink>
      <w:r w:rsidRPr="00440D1A">
        <w:rPr>
          <w:rFonts w:ascii="Times New Roman" w:hAnsi="Times New Roman"/>
          <w:sz w:val="24"/>
          <w:szCs w:val="24"/>
        </w:rPr>
        <w:t> </w:t>
      </w:r>
      <w:r>
        <w:rPr>
          <w:rFonts w:ascii="Times New Roman" w:hAnsi="Times New Roman"/>
          <w:sz w:val="24"/>
          <w:szCs w:val="24"/>
        </w:rPr>
        <w:t xml:space="preserve">and series </w:t>
      </w:r>
      <w:r w:rsidRPr="00751572">
        <w:rPr>
          <w:rFonts w:ascii="Times New Roman" w:hAnsi="Times New Roman"/>
          <w:sz w:val="24"/>
          <w:szCs w:val="24"/>
        </w:rPr>
        <w:t>of regulations</w:t>
      </w:r>
      <w:r>
        <w:rPr>
          <w:rFonts w:ascii="Times New Roman" w:hAnsi="Times New Roman"/>
          <w:sz w:val="24"/>
          <w:szCs w:val="24"/>
        </w:rPr>
        <w:t>,</w:t>
      </w:r>
      <w:r w:rsidRPr="00751572">
        <w:rPr>
          <w:rFonts w:ascii="Times New Roman" w:hAnsi="Times New Roman"/>
          <w:sz w:val="24"/>
          <w:szCs w:val="24"/>
        </w:rPr>
        <w:t xml:space="preserve"> </w:t>
      </w:r>
      <w:r>
        <w:rPr>
          <w:rFonts w:ascii="Times New Roman" w:hAnsi="Times New Roman"/>
          <w:sz w:val="24"/>
          <w:szCs w:val="24"/>
        </w:rPr>
        <w:t>form</w:t>
      </w:r>
      <w:r w:rsidRPr="00751572">
        <w:rPr>
          <w:rFonts w:ascii="Times New Roman" w:hAnsi="Times New Roman"/>
          <w:sz w:val="24"/>
          <w:szCs w:val="24"/>
        </w:rPr>
        <w:t xml:space="preserve"> the domestic legal basis for securities </w:t>
      </w:r>
      <w:r>
        <w:rPr>
          <w:rFonts w:ascii="Times New Roman" w:hAnsi="Times New Roman"/>
          <w:sz w:val="24"/>
          <w:szCs w:val="24"/>
        </w:rPr>
        <w:t>market and are fully aligned with EU Directives</w:t>
      </w:r>
      <w:r w:rsidRPr="00751572">
        <w:rPr>
          <w:rFonts w:ascii="Times New Roman" w:hAnsi="Times New Roman"/>
          <w:sz w:val="24"/>
          <w:szCs w:val="24"/>
        </w:rPr>
        <w:t xml:space="preserve">. </w:t>
      </w:r>
      <w:r>
        <w:rPr>
          <w:rFonts w:ascii="Times New Roman" w:hAnsi="Times New Roman"/>
          <w:sz w:val="24"/>
          <w:szCs w:val="24"/>
        </w:rPr>
        <w:t xml:space="preserve"> </w:t>
      </w:r>
    </w:p>
    <w:p w:rsidR="009E7E78" w:rsidRDefault="009E7E78" w:rsidP="009E7E78">
      <w:pPr>
        <w:pStyle w:val="ListParagraph"/>
        <w:ind w:left="0"/>
        <w:jc w:val="both"/>
        <w:rPr>
          <w:rFonts w:ascii="Times New Roman" w:hAnsi="Times New Roman"/>
          <w:sz w:val="24"/>
          <w:szCs w:val="24"/>
        </w:rPr>
      </w:pPr>
    </w:p>
    <w:p w:rsidR="009C32DB" w:rsidRPr="009C32DB" w:rsidRDefault="009C32DB" w:rsidP="009C32DB">
      <w:pPr>
        <w:pStyle w:val="ListParagraph"/>
        <w:numPr>
          <w:ilvl w:val="0"/>
          <w:numId w:val="3"/>
        </w:numPr>
        <w:ind w:left="0" w:firstLine="0"/>
        <w:jc w:val="both"/>
        <w:rPr>
          <w:rFonts w:ascii="Times New Roman" w:hAnsi="Times New Roman"/>
          <w:sz w:val="24"/>
          <w:szCs w:val="24"/>
        </w:rPr>
      </w:pPr>
      <w:r>
        <w:rPr>
          <w:rFonts w:ascii="Times New Roman" w:hAnsi="Times New Roman"/>
          <w:b/>
          <w:sz w:val="24"/>
          <w:szCs w:val="24"/>
        </w:rPr>
        <w:t>A related issue about the legal framework for clearing and settlement is not comprehensive in Bulgaria and existing arrangement</w:t>
      </w:r>
      <w:r w:rsidR="00CF1573">
        <w:rPr>
          <w:rFonts w:ascii="Times New Roman" w:hAnsi="Times New Roman"/>
          <w:b/>
          <w:sz w:val="24"/>
          <w:szCs w:val="24"/>
        </w:rPr>
        <w:t>s</w:t>
      </w:r>
      <w:r>
        <w:rPr>
          <w:rFonts w:ascii="Times New Roman" w:hAnsi="Times New Roman"/>
          <w:b/>
          <w:sz w:val="24"/>
          <w:szCs w:val="24"/>
        </w:rPr>
        <w:t xml:space="preserve"> do not allow derivatives trading. </w:t>
      </w:r>
      <w:r w:rsidRPr="009C32DB">
        <w:rPr>
          <w:rFonts w:ascii="Times New Roman" w:hAnsi="Times New Roman"/>
          <w:sz w:val="24"/>
          <w:szCs w:val="24"/>
        </w:rPr>
        <w:t>The current architecture of the capital market does not include the central counterparty to allow derivatives trading. A draft Law on Clearing and Settlement was prepared by a working group including representatives from the FSS, BSE and the industry, but it was later decided that some provisions were already present in the Law on Payment Services and Payment Systems. This issue could be resolved in the perspective of adopting upcoming EU legislation on clearing and settlement or through privatization of the CDAD as part of the BSE.</w:t>
      </w:r>
    </w:p>
    <w:p w:rsidR="009C32DB" w:rsidRPr="009C32DB" w:rsidRDefault="009C32DB" w:rsidP="009C32DB">
      <w:pPr>
        <w:pStyle w:val="ListParagraph"/>
        <w:rPr>
          <w:rFonts w:ascii="Times New Roman" w:hAnsi="Times New Roman"/>
          <w:sz w:val="24"/>
          <w:szCs w:val="24"/>
        </w:rPr>
      </w:pPr>
    </w:p>
    <w:p w:rsidR="009E7E78" w:rsidRPr="00293AC6" w:rsidRDefault="009E7E78" w:rsidP="009E7E78">
      <w:pPr>
        <w:pStyle w:val="ListParagraph"/>
        <w:numPr>
          <w:ilvl w:val="0"/>
          <w:numId w:val="3"/>
        </w:numPr>
        <w:ind w:left="0" w:firstLine="0"/>
        <w:jc w:val="both"/>
        <w:rPr>
          <w:rFonts w:ascii="Times New Roman" w:hAnsi="Times New Roman"/>
          <w:sz w:val="24"/>
          <w:szCs w:val="24"/>
        </w:rPr>
      </w:pPr>
      <w:r w:rsidRPr="0046406B">
        <w:rPr>
          <w:rFonts w:ascii="Times New Roman" w:hAnsi="Times New Roman"/>
          <w:b/>
          <w:sz w:val="24"/>
          <w:szCs w:val="24"/>
        </w:rPr>
        <w:t xml:space="preserve">During the EU accession process Bulgaria had already aligned its </w:t>
      </w:r>
      <w:r>
        <w:rPr>
          <w:rFonts w:ascii="Times New Roman" w:hAnsi="Times New Roman"/>
          <w:b/>
          <w:sz w:val="24"/>
          <w:szCs w:val="24"/>
        </w:rPr>
        <w:t>capital</w:t>
      </w:r>
      <w:r w:rsidRPr="0046406B">
        <w:rPr>
          <w:rFonts w:ascii="Times New Roman" w:hAnsi="Times New Roman"/>
          <w:b/>
          <w:sz w:val="24"/>
          <w:szCs w:val="24"/>
        </w:rPr>
        <w:t xml:space="preserve"> markets oversight to EU standards</w:t>
      </w:r>
      <w:r w:rsidRPr="0046406B">
        <w:rPr>
          <w:rStyle w:val="FootnoteReference"/>
          <w:rFonts w:ascii="Times New Roman" w:hAnsi="Times New Roman"/>
          <w:b/>
          <w:sz w:val="24"/>
          <w:szCs w:val="24"/>
        </w:rPr>
        <w:footnoteReference w:id="13"/>
      </w:r>
      <w:r w:rsidRPr="0046406B">
        <w:rPr>
          <w:rFonts w:ascii="Times New Roman" w:hAnsi="Times New Roman"/>
          <w:b/>
          <w:sz w:val="24"/>
          <w:szCs w:val="24"/>
        </w:rPr>
        <w:t xml:space="preserve">, and the shift to </w:t>
      </w:r>
      <w:proofErr w:type="spellStart"/>
      <w:r w:rsidRPr="0046406B">
        <w:rPr>
          <w:rFonts w:ascii="Times New Roman" w:hAnsi="Times New Roman"/>
          <w:b/>
          <w:sz w:val="24"/>
          <w:szCs w:val="24"/>
        </w:rPr>
        <w:t>MiFID</w:t>
      </w:r>
      <w:proofErr w:type="spellEnd"/>
      <w:r w:rsidRPr="0046406B">
        <w:rPr>
          <w:rFonts w:ascii="Times New Roman" w:hAnsi="Times New Roman"/>
          <w:b/>
          <w:sz w:val="24"/>
          <w:szCs w:val="24"/>
        </w:rPr>
        <w:t xml:space="preserve"> was therefore not a materially bigger challenge than for other EU countries except for the introduction of the EU Passport.</w:t>
      </w:r>
      <w:r>
        <w:rPr>
          <w:rFonts w:ascii="Times New Roman" w:hAnsi="Times New Roman"/>
          <w:sz w:val="24"/>
          <w:szCs w:val="24"/>
        </w:rPr>
        <w:t xml:space="preserve">  The EU Passport</w:t>
      </w:r>
      <w:r w:rsidRPr="00751572">
        <w:rPr>
          <w:rFonts w:ascii="Times New Roman" w:hAnsi="Times New Roman"/>
          <w:sz w:val="24"/>
          <w:szCs w:val="24"/>
        </w:rPr>
        <w:t xml:space="preserve"> allow</w:t>
      </w:r>
      <w:r>
        <w:rPr>
          <w:rFonts w:ascii="Times New Roman" w:hAnsi="Times New Roman"/>
          <w:sz w:val="24"/>
          <w:szCs w:val="24"/>
        </w:rPr>
        <w:t>ed</w:t>
      </w:r>
      <w:r w:rsidRPr="00751572">
        <w:rPr>
          <w:rFonts w:ascii="Times New Roman" w:hAnsi="Times New Roman"/>
          <w:sz w:val="24"/>
          <w:szCs w:val="24"/>
        </w:rPr>
        <w:t xml:space="preserve"> investment firms </w:t>
      </w:r>
      <w:r>
        <w:rPr>
          <w:rFonts w:ascii="Times New Roman" w:hAnsi="Times New Roman"/>
          <w:sz w:val="24"/>
          <w:szCs w:val="24"/>
        </w:rPr>
        <w:t xml:space="preserve">in any country in </w:t>
      </w:r>
      <w:r w:rsidR="00CF1573">
        <w:rPr>
          <w:rFonts w:ascii="Times New Roman" w:hAnsi="Times New Roman"/>
          <w:sz w:val="24"/>
          <w:szCs w:val="24"/>
        </w:rPr>
        <w:t xml:space="preserve">the </w:t>
      </w:r>
      <w:r>
        <w:rPr>
          <w:rFonts w:ascii="Times New Roman" w:hAnsi="Times New Roman"/>
          <w:sz w:val="24"/>
          <w:szCs w:val="24"/>
        </w:rPr>
        <w:t xml:space="preserve">EU </w:t>
      </w:r>
      <w:r w:rsidRPr="00751572">
        <w:rPr>
          <w:rFonts w:ascii="Times New Roman" w:hAnsi="Times New Roman"/>
          <w:sz w:val="24"/>
          <w:szCs w:val="24"/>
        </w:rPr>
        <w:t>to operate throughout</w:t>
      </w:r>
      <w:r w:rsidR="00CF1573">
        <w:rPr>
          <w:rFonts w:ascii="Times New Roman" w:hAnsi="Times New Roman"/>
          <w:sz w:val="24"/>
          <w:szCs w:val="24"/>
        </w:rPr>
        <w:t xml:space="preserve"> the</w:t>
      </w:r>
      <w:r w:rsidRPr="00751572">
        <w:rPr>
          <w:rFonts w:ascii="Times New Roman" w:hAnsi="Times New Roman"/>
          <w:sz w:val="24"/>
          <w:szCs w:val="24"/>
        </w:rPr>
        <w:t xml:space="preserve"> EU. </w:t>
      </w:r>
      <w:r>
        <w:rPr>
          <w:rFonts w:ascii="Times New Roman" w:hAnsi="Times New Roman"/>
          <w:sz w:val="24"/>
          <w:szCs w:val="24"/>
        </w:rPr>
        <w:t>W</w:t>
      </w:r>
      <w:r w:rsidRPr="00F76E63">
        <w:rPr>
          <w:rFonts w:ascii="Times New Roman" w:hAnsi="Times New Roman"/>
          <w:sz w:val="24"/>
          <w:szCs w:val="24"/>
        </w:rPr>
        <w:t xml:space="preserve">ell ahead of the </w:t>
      </w:r>
      <w:proofErr w:type="spellStart"/>
      <w:r w:rsidRPr="00F76E63">
        <w:rPr>
          <w:rFonts w:ascii="Times New Roman" w:hAnsi="Times New Roman"/>
          <w:sz w:val="24"/>
          <w:szCs w:val="24"/>
        </w:rPr>
        <w:t>MiFID</w:t>
      </w:r>
      <w:proofErr w:type="spellEnd"/>
      <w:r w:rsidRPr="00F76E63">
        <w:rPr>
          <w:rFonts w:ascii="Times New Roman" w:hAnsi="Times New Roman"/>
          <w:sz w:val="24"/>
          <w:szCs w:val="24"/>
        </w:rPr>
        <w:t xml:space="preserve"> implementation </w:t>
      </w:r>
      <w:r>
        <w:rPr>
          <w:rFonts w:ascii="Times New Roman" w:hAnsi="Times New Roman"/>
          <w:sz w:val="24"/>
          <w:szCs w:val="24"/>
        </w:rPr>
        <w:t xml:space="preserve">the oversight of the investment industry had already been tightened, and the industry had consolidated in response. </w:t>
      </w:r>
      <w:r w:rsidR="00497705">
        <w:rPr>
          <w:rFonts w:ascii="Times New Roman" w:hAnsi="Times New Roman"/>
          <w:sz w:val="24"/>
          <w:szCs w:val="24"/>
        </w:rPr>
        <w:t>Allegedly, v</w:t>
      </w:r>
      <w:r w:rsidRPr="00751572">
        <w:rPr>
          <w:rFonts w:ascii="Times New Roman" w:hAnsi="Times New Roman"/>
          <w:sz w:val="24"/>
          <w:szCs w:val="24"/>
        </w:rPr>
        <w:t xml:space="preserve">oucher privatization to the general public that began in the second half of 1990s in Bulgaria was accompanied by series of </w:t>
      </w:r>
      <w:r w:rsidR="00C466F3">
        <w:rPr>
          <w:rFonts w:ascii="Times New Roman" w:hAnsi="Times New Roman"/>
          <w:sz w:val="24"/>
          <w:szCs w:val="24"/>
        </w:rPr>
        <w:t>misconducts</w:t>
      </w:r>
      <w:r w:rsidR="00C466F3" w:rsidRPr="00751572">
        <w:rPr>
          <w:rFonts w:ascii="Times New Roman" w:hAnsi="Times New Roman"/>
          <w:sz w:val="24"/>
          <w:szCs w:val="24"/>
        </w:rPr>
        <w:t xml:space="preserve"> </w:t>
      </w:r>
      <w:r w:rsidRPr="00751572">
        <w:rPr>
          <w:rFonts w:ascii="Times New Roman" w:hAnsi="Times New Roman"/>
          <w:sz w:val="24"/>
          <w:szCs w:val="24"/>
        </w:rPr>
        <w:t xml:space="preserve">against a </w:t>
      </w:r>
      <w:r w:rsidRPr="00293AC6">
        <w:rPr>
          <w:rFonts w:ascii="Times New Roman" w:hAnsi="Times New Roman"/>
          <w:sz w:val="24"/>
          <w:szCs w:val="24"/>
        </w:rPr>
        <w:t xml:space="preserve">population with little knowledge of financial instruments, and this had </w:t>
      </w:r>
      <w:r w:rsidR="00CF1573" w:rsidRPr="00293AC6">
        <w:rPr>
          <w:rFonts w:ascii="Times New Roman" w:hAnsi="Times New Roman"/>
          <w:sz w:val="24"/>
          <w:szCs w:val="24"/>
        </w:rPr>
        <w:t>motivat</w:t>
      </w:r>
      <w:r w:rsidR="00CF1573">
        <w:rPr>
          <w:rFonts w:ascii="Times New Roman" w:hAnsi="Times New Roman"/>
          <w:sz w:val="24"/>
          <w:szCs w:val="24"/>
        </w:rPr>
        <w:t>ed</w:t>
      </w:r>
      <w:r w:rsidR="00CF1573" w:rsidRPr="00293AC6">
        <w:rPr>
          <w:rFonts w:ascii="Times New Roman" w:hAnsi="Times New Roman"/>
          <w:sz w:val="24"/>
          <w:szCs w:val="24"/>
        </w:rPr>
        <w:t xml:space="preserve"> </w:t>
      </w:r>
      <w:r w:rsidRPr="00293AC6">
        <w:rPr>
          <w:rFonts w:ascii="Times New Roman" w:hAnsi="Times New Roman"/>
          <w:sz w:val="24"/>
          <w:szCs w:val="24"/>
        </w:rPr>
        <w:t>tighter regulation and supervision.</w:t>
      </w:r>
    </w:p>
    <w:p w:rsidR="009E7E78" w:rsidRPr="00293AC6" w:rsidRDefault="009E7E78" w:rsidP="009E7E78">
      <w:pPr>
        <w:pStyle w:val="ListParagraph"/>
        <w:rPr>
          <w:rFonts w:ascii="Times New Roman" w:hAnsi="Times New Roman"/>
          <w:sz w:val="24"/>
          <w:szCs w:val="24"/>
        </w:rPr>
      </w:pPr>
    </w:p>
    <w:p w:rsidR="009E7E78" w:rsidRPr="00293AC6" w:rsidRDefault="009E7E78" w:rsidP="009E7E78">
      <w:pPr>
        <w:pStyle w:val="ListParagraph"/>
        <w:numPr>
          <w:ilvl w:val="0"/>
          <w:numId w:val="3"/>
        </w:numPr>
        <w:ind w:left="0" w:firstLine="0"/>
        <w:jc w:val="both"/>
        <w:rPr>
          <w:rFonts w:ascii="Times New Roman" w:hAnsi="Times New Roman"/>
          <w:sz w:val="24"/>
          <w:szCs w:val="24"/>
        </w:rPr>
      </w:pPr>
      <w:r w:rsidRPr="00293AC6">
        <w:rPr>
          <w:rFonts w:ascii="Times New Roman" w:hAnsi="Times New Roman"/>
          <w:b/>
          <w:sz w:val="24"/>
          <w:szCs w:val="24"/>
        </w:rPr>
        <w:t xml:space="preserve">Major changes introduced through </w:t>
      </w:r>
      <w:proofErr w:type="spellStart"/>
      <w:r w:rsidRPr="00293AC6">
        <w:rPr>
          <w:rFonts w:ascii="Times New Roman" w:hAnsi="Times New Roman"/>
          <w:b/>
          <w:sz w:val="24"/>
          <w:szCs w:val="24"/>
        </w:rPr>
        <w:t>MiFID</w:t>
      </w:r>
      <w:proofErr w:type="spellEnd"/>
      <w:r w:rsidRPr="00293AC6">
        <w:rPr>
          <w:rFonts w:ascii="Times New Roman" w:hAnsi="Times New Roman"/>
          <w:b/>
          <w:sz w:val="24"/>
          <w:szCs w:val="24"/>
        </w:rPr>
        <w:t xml:space="preserve"> in Bulgaria were the EU passport provision, enlarged role of home supervisor and regulatory market, stricter fit and proper requirements for managers and shareholders of investment firms and regulated markets, more complex best execution rule applied in a broader market environment and stricter capital adequacy rules and new organizational functions for investment firms.</w:t>
      </w:r>
      <w:r w:rsidRPr="00293AC6">
        <w:rPr>
          <w:rFonts w:ascii="Times New Roman" w:hAnsi="Times New Roman"/>
          <w:sz w:val="24"/>
          <w:szCs w:val="24"/>
        </w:rPr>
        <w:t xml:space="preserve"> The EU Passport provision allows investment firms authorized by a supervisor in one member state to do business in all other member states</w:t>
      </w:r>
      <w:r w:rsidR="008262A2">
        <w:rPr>
          <w:rFonts w:ascii="Times New Roman" w:hAnsi="Times New Roman"/>
          <w:sz w:val="24"/>
          <w:szCs w:val="24"/>
        </w:rPr>
        <w:t>, based on a harmonized set of rules</w:t>
      </w:r>
      <w:r w:rsidRPr="00293AC6">
        <w:rPr>
          <w:rFonts w:ascii="Times New Roman" w:hAnsi="Times New Roman"/>
          <w:sz w:val="24"/>
          <w:szCs w:val="24"/>
        </w:rPr>
        <w:t xml:space="preserve">. The role of the home </w:t>
      </w:r>
      <w:r w:rsidRPr="00293AC6">
        <w:rPr>
          <w:rFonts w:ascii="Times New Roman" w:hAnsi="Times New Roman"/>
          <w:sz w:val="24"/>
          <w:szCs w:val="24"/>
        </w:rPr>
        <w:lastRenderedPageBreak/>
        <w:t xml:space="preserve">supervisor is expanded under </w:t>
      </w:r>
      <w:proofErr w:type="spellStart"/>
      <w:r w:rsidRPr="00293AC6">
        <w:rPr>
          <w:rFonts w:ascii="Times New Roman" w:hAnsi="Times New Roman"/>
          <w:sz w:val="24"/>
          <w:szCs w:val="24"/>
        </w:rPr>
        <w:t>MiFID</w:t>
      </w:r>
      <w:proofErr w:type="spellEnd"/>
      <w:r w:rsidRPr="00293AC6">
        <w:rPr>
          <w:rFonts w:ascii="Times New Roman" w:hAnsi="Times New Roman"/>
          <w:sz w:val="24"/>
          <w:szCs w:val="24"/>
        </w:rPr>
        <w:t>, as firms operating outside their home market are no longer only supervised by a host country supervisor, but primarily by their home country supervisor. The market surveillance role of the regulated market is also expanded as it is now required to constantly monitor the activities of market participants to assure that there are no misalignments with the regulated market rules and regulations.  Under the</w:t>
      </w:r>
      <w:r w:rsidR="00C466F3">
        <w:rPr>
          <w:rFonts w:ascii="Times New Roman" w:hAnsi="Times New Roman"/>
          <w:sz w:val="24"/>
          <w:szCs w:val="24"/>
        </w:rPr>
        <w:t xml:space="preserve"> </w:t>
      </w:r>
      <w:proofErr w:type="spellStart"/>
      <w:r w:rsidR="00C466F3">
        <w:rPr>
          <w:rFonts w:ascii="Times New Roman" w:hAnsi="Times New Roman"/>
          <w:sz w:val="24"/>
          <w:szCs w:val="24"/>
        </w:rPr>
        <w:t>MiFID’s</w:t>
      </w:r>
      <w:proofErr w:type="spellEnd"/>
      <w:r w:rsidRPr="00293AC6">
        <w:rPr>
          <w:rFonts w:ascii="Times New Roman" w:hAnsi="Times New Roman"/>
          <w:sz w:val="24"/>
          <w:szCs w:val="24"/>
        </w:rPr>
        <w:t xml:space="preserve"> fit and proper requirements managers and shareholders with qualifying holding in investment firms and regulated markets are continuously evaluated against reputational and professional tests. Bulgarian investment firms, interested in trading in other EU markets, have to evaluate best execution options against a variety of available trading venues and taking into account a broader range of criteria (price, speed of execution, total costs, etc.). Investment firms are also required to operate with stricter capital adequacy requirements and have independent audit, compliance and risk management functions.</w:t>
      </w:r>
    </w:p>
    <w:p w:rsidR="009E7E78" w:rsidRPr="00293AC6" w:rsidRDefault="009E7E78" w:rsidP="009E7E78">
      <w:pPr>
        <w:pStyle w:val="ListParagraph"/>
        <w:rPr>
          <w:rFonts w:ascii="Times New Roman" w:hAnsi="Times New Roman"/>
          <w:sz w:val="24"/>
          <w:szCs w:val="24"/>
        </w:rPr>
      </w:pPr>
    </w:p>
    <w:p w:rsidR="009E7E78" w:rsidRPr="00293AC6" w:rsidRDefault="009E7E78" w:rsidP="009E7E78">
      <w:pPr>
        <w:pStyle w:val="ListParagraph"/>
        <w:numPr>
          <w:ilvl w:val="0"/>
          <w:numId w:val="3"/>
        </w:numPr>
        <w:ind w:left="0" w:firstLine="0"/>
        <w:jc w:val="both"/>
        <w:rPr>
          <w:rFonts w:ascii="Times New Roman" w:hAnsi="Times New Roman"/>
          <w:sz w:val="24"/>
          <w:szCs w:val="24"/>
        </w:rPr>
      </w:pPr>
      <w:r w:rsidRPr="00293AC6">
        <w:rPr>
          <w:rFonts w:ascii="Times New Roman" w:hAnsi="Times New Roman"/>
          <w:b/>
          <w:sz w:val="24"/>
          <w:szCs w:val="24"/>
        </w:rPr>
        <w:t xml:space="preserve">The </w:t>
      </w:r>
      <w:r w:rsidR="00ED6469">
        <w:rPr>
          <w:rFonts w:ascii="Times New Roman" w:hAnsi="Times New Roman"/>
          <w:b/>
          <w:sz w:val="24"/>
          <w:szCs w:val="24"/>
        </w:rPr>
        <w:t>FSC</w:t>
      </w:r>
      <w:r w:rsidRPr="00293AC6">
        <w:rPr>
          <w:rFonts w:ascii="Times New Roman" w:hAnsi="Times New Roman"/>
          <w:b/>
          <w:sz w:val="24"/>
          <w:szCs w:val="24"/>
        </w:rPr>
        <w:t>, which oversees capital markets, has effectively upgraded the necessary regulation.</w:t>
      </w:r>
      <w:r w:rsidRPr="00293AC6">
        <w:rPr>
          <w:rFonts w:ascii="Times New Roman" w:hAnsi="Times New Roman"/>
          <w:sz w:val="24"/>
          <w:szCs w:val="24"/>
        </w:rPr>
        <w:t xml:space="preserve"> Earlier efforts to restructure</w:t>
      </w:r>
      <w:r w:rsidRPr="00293AC6">
        <w:rPr>
          <w:rFonts w:ascii="Times New Roman" w:hAnsi="Times New Roman"/>
          <w:i/>
          <w:sz w:val="24"/>
          <w:szCs w:val="24"/>
        </w:rPr>
        <w:t xml:space="preserve"> </w:t>
      </w:r>
      <w:r w:rsidRPr="00293AC6">
        <w:rPr>
          <w:rFonts w:ascii="Times New Roman" w:hAnsi="Times New Roman"/>
          <w:sz w:val="24"/>
          <w:szCs w:val="24"/>
        </w:rPr>
        <w:t xml:space="preserve">the industry through the enhanced oversight following the misconducts related to voucher privatization, served the FSC well. As a result it was able to build strong supervisory capacity and capability to reach out to industry in a pro-active way. Moreover, supervisory upgrading during the EU accession process helped strengthen supervision, and the FSC has demonstrated its capacity through its selection to provide technical assistance to supervisory authorities in Bosnia </w:t>
      </w:r>
      <w:r w:rsidR="00E7144D">
        <w:rPr>
          <w:rFonts w:ascii="Times New Roman" w:hAnsi="Times New Roman"/>
          <w:sz w:val="24"/>
          <w:szCs w:val="24"/>
        </w:rPr>
        <w:t xml:space="preserve">and Herzegovina </w:t>
      </w:r>
      <w:r w:rsidRPr="00293AC6">
        <w:rPr>
          <w:rFonts w:ascii="Times New Roman" w:hAnsi="Times New Roman"/>
          <w:sz w:val="24"/>
          <w:szCs w:val="24"/>
        </w:rPr>
        <w:t xml:space="preserve">and Montenegro, under the umbrella of the EU Twinning program. </w:t>
      </w:r>
    </w:p>
    <w:p w:rsidR="009E7E78" w:rsidRPr="00293AC6" w:rsidRDefault="009E7E78" w:rsidP="009E7E78">
      <w:pPr>
        <w:pStyle w:val="ListParagraph"/>
        <w:rPr>
          <w:rFonts w:ascii="Times New Roman" w:hAnsi="Times New Roman"/>
          <w:sz w:val="24"/>
          <w:szCs w:val="24"/>
        </w:rPr>
      </w:pPr>
    </w:p>
    <w:p w:rsidR="009E7E78" w:rsidRPr="00293AC6" w:rsidRDefault="009E7E78" w:rsidP="009E7E78">
      <w:pPr>
        <w:pStyle w:val="ListParagraph"/>
        <w:numPr>
          <w:ilvl w:val="0"/>
          <w:numId w:val="3"/>
        </w:numPr>
        <w:ind w:left="0" w:firstLine="0"/>
        <w:jc w:val="both"/>
        <w:rPr>
          <w:rFonts w:ascii="Times New Roman" w:hAnsi="Times New Roman"/>
          <w:sz w:val="24"/>
          <w:szCs w:val="24"/>
        </w:rPr>
      </w:pPr>
      <w:r w:rsidRPr="00293AC6">
        <w:rPr>
          <w:rFonts w:ascii="Times New Roman" w:hAnsi="Times New Roman"/>
          <w:b/>
          <w:sz w:val="24"/>
          <w:szCs w:val="24"/>
        </w:rPr>
        <w:t xml:space="preserve">However, </w:t>
      </w:r>
      <w:proofErr w:type="spellStart"/>
      <w:r w:rsidRPr="00293AC6">
        <w:rPr>
          <w:rFonts w:ascii="Times New Roman" w:hAnsi="Times New Roman"/>
          <w:b/>
          <w:sz w:val="24"/>
          <w:szCs w:val="24"/>
        </w:rPr>
        <w:t>MiFID</w:t>
      </w:r>
      <w:proofErr w:type="spellEnd"/>
      <w:r w:rsidRPr="00293AC6">
        <w:rPr>
          <w:rFonts w:ascii="Times New Roman" w:hAnsi="Times New Roman"/>
          <w:b/>
          <w:sz w:val="24"/>
          <w:szCs w:val="24"/>
        </w:rPr>
        <w:t xml:space="preserve"> expands the role of the home supervisor for firms operating in the rest of EU and introduces new supervision aspects in local market. </w:t>
      </w:r>
      <w:r w:rsidRPr="00293AC6">
        <w:rPr>
          <w:rFonts w:ascii="Times New Roman" w:hAnsi="Times New Roman"/>
          <w:sz w:val="24"/>
          <w:szCs w:val="24"/>
        </w:rPr>
        <w:t xml:space="preserve">As firms begin trading in other countries across multiple trading venues the FSC is required to assure that existing regulatory provisions are adequately executed in more </w:t>
      </w:r>
      <w:r w:rsidR="00CF1573">
        <w:rPr>
          <w:rFonts w:ascii="Times New Roman" w:hAnsi="Times New Roman"/>
          <w:sz w:val="24"/>
          <w:szCs w:val="24"/>
        </w:rPr>
        <w:t xml:space="preserve">a </w:t>
      </w:r>
      <w:r w:rsidRPr="00293AC6">
        <w:rPr>
          <w:rFonts w:ascii="Times New Roman" w:hAnsi="Times New Roman"/>
          <w:sz w:val="24"/>
          <w:szCs w:val="24"/>
        </w:rPr>
        <w:t xml:space="preserve">complex market environment. For example, the adequate application of the best execution rule has to be assured in the presence of a variety of trading venues, compared to only one regulated exchange in Bulgaria. Additionally, since </w:t>
      </w:r>
      <w:proofErr w:type="spellStart"/>
      <w:r w:rsidRPr="00293AC6">
        <w:rPr>
          <w:rFonts w:ascii="Times New Roman" w:hAnsi="Times New Roman"/>
          <w:sz w:val="24"/>
          <w:szCs w:val="24"/>
        </w:rPr>
        <w:t>MiFID</w:t>
      </w:r>
      <w:proofErr w:type="spellEnd"/>
      <w:r w:rsidRPr="00293AC6">
        <w:rPr>
          <w:rFonts w:ascii="Times New Roman" w:hAnsi="Times New Roman"/>
          <w:sz w:val="24"/>
          <w:szCs w:val="24"/>
        </w:rPr>
        <w:t xml:space="preserve"> broaden</w:t>
      </w:r>
      <w:r>
        <w:rPr>
          <w:rFonts w:ascii="Times New Roman" w:hAnsi="Times New Roman"/>
          <w:sz w:val="24"/>
          <w:szCs w:val="24"/>
        </w:rPr>
        <w:t>s</w:t>
      </w:r>
      <w:r w:rsidRPr="00293AC6">
        <w:rPr>
          <w:rFonts w:ascii="Times New Roman" w:hAnsi="Times New Roman"/>
          <w:sz w:val="24"/>
          <w:szCs w:val="24"/>
        </w:rPr>
        <w:t xml:space="preserve"> regulatory requirements for market players, the FSC role </w:t>
      </w:r>
      <w:r>
        <w:rPr>
          <w:rFonts w:ascii="Times New Roman" w:hAnsi="Times New Roman"/>
          <w:sz w:val="24"/>
          <w:szCs w:val="24"/>
        </w:rPr>
        <w:t>is</w:t>
      </w:r>
      <w:r w:rsidRPr="00293AC6">
        <w:rPr>
          <w:rFonts w:ascii="Times New Roman" w:hAnsi="Times New Roman"/>
          <w:sz w:val="24"/>
          <w:szCs w:val="24"/>
        </w:rPr>
        <w:t xml:space="preserve"> also expanded in </w:t>
      </w:r>
      <w:r>
        <w:rPr>
          <w:rFonts w:ascii="Times New Roman" w:hAnsi="Times New Roman"/>
          <w:sz w:val="24"/>
          <w:szCs w:val="24"/>
        </w:rPr>
        <w:t xml:space="preserve">the </w:t>
      </w:r>
      <w:r w:rsidRPr="00293AC6">
        <w:rPr>
          <w:rFonts w:ascii="Times New Roman" w:hAnsi="Times New Roman"/>
          <w:sz w:val="24"/>
          <w:szCs w:val="24"/>
        </w:rPr>
        <w:t xml:space="preserve">domestic market. The FSC enforcement staff is required to assure that the regulated market adequately applies its market surveillance function and investment firms meet capital requirements, or their risk management and compliance function are robust. </w:t>
      </w:r>
      <w:r>
        <w:rPr>
          <w:rFonts w:ascii="Times New Roman" w:hAnsi="Times New Roman"/>
          <w:sz w:val="24"/>
          <w:szCs w:val="24"/>
        </w:rPr>
        <w:t>M</w:t>
      </w:r>
      <w:r w:rsidRPr="00293AC6">
        <w:rPr>
          <w:rFonts w:ascii="Times New Roman" w:hAnsi="Times New Roman"/>
          <w:sz w:val="24"/>
          <w:szCs w:val="24"/>
        </w:rPr>
        <w:t xml:space="preserve">aintaining the FSC supervisory capacity requires adequate resources and training, as the industry develops and integrates across borders and becomes more complex. </w:t>
      </w:r>
    </w:p>
    <w:p w:rsidR="009E7E78" w:rsidRPr="00293AC6" w:rsidRDefault="009E7E78" w:rsidP="009E7E78">
      <w:pPr>
        <w:pStyle w:val="ListParagraph"/>
        <w:rPr>
          <w:rFonts w:ascii="Times New Roman" w:hAnsi="Times New Roman"/>
          <w:sz w:val="24"/>
          <w:szCs w:val="24"/>
        </w:rPr>
      </w:pPr>
    </w:p>
    <w:p w:rsidR="009E7E78" w:rsidRDefault="009E7E78" w:rsidP="009E7E78">
      <w:pPr>
        <w:pStyle w:val="ListParagraph"/>
        <w:numPr>
          <w:ilvl w:val="0"/>
          <w:numId w:val="3"/>
        </w:numPr>
        <w:ind w:left="0" w:firstLine="0"/>
        <w:jc w:val="both"/>
        <w:rPr>
          <w:rFonts w:ascii="Times New Roman" w:hAnsi="Times New Roman"/>
          <w:sz w:val="24"/>
          <w:szCs w:val="24"/>
        </w:rPr>
      </w:pPr>
      <w:proofErr w:type="spellStart"/>
      <w:r w:rsidRPr="00293AC6">
        <w:rPr>
          <w:rFonts w:ascii="Times New Roman" w:hAnsi="Times New Roman"/>
          <w:b/>
          <w:sz w:val="24"/>
          <w:szCs w:val="24"/>
        </w:rPr>
        <w:t>MiFID</w:t>
      </w:r>
      <w:proofErr w:type="spellEnd"/>
      <w:r w:rsidRPr="00293AC6">
        <w:rPr>
          <w:rFonts w:ascii="Times New Roman" w:hAnsi="Times New Roman"/>
          <w:b/>
          <w:sz w:val="24"/>
          <w:szCs w:val="24"/>
        </w:rPr>
        <w:t xml:space="preserve"> has not had a significant impact on the industry structure, </w:t>
      </w:r>
      <w:r w:rsidR="008262A2">
        <w:rPr>
          <w:rFonts w:ascii="Times New Roman" w:hAnsi="Times New Roman"/>
          <w:b/>
          <w:sz w:val="24"/>
          <w:szCs w:val="24"/>
        </w:rPr>
        <w:t xml:space="preserve">mostly due to the small size of the market, </w:t>
      </w:r>
      <w:r w:rsidRPr="00293AC6">
        <w:rPr>
          <w:rFonts w:ascii="Times New Roman" w:hAnsi="Times New Roman"/>
          <w:b/>
          <w:sz w:val="24"/>
          <w:szCs w:val="24"/>
        </w:rPr>
        <w:t>but it has presented a substantial regulatory burden in the industry’s internal functions and interaction with their clients</w:t>
      </w:r>
      <w:r w:rsidRPr="00293AC6">
        <w:rPr>
          <w:rFonts w:ascii="Times New Roman" w:hAnsi="Times New Roman"/>
          <w:sz w:val="24"/>
          <w:szCs w:val="24"/>
        </w:rPr>
        <w:t>. The industry has experienced material deterioration in revenue and profits since the introduction, but most investment firms have remained in business. There are currently 80 invest</w:t>
      </w:r>
      <w:r w:rsidRPr="00F415E8">
        <w:rPr>
          <w:rFonts w:ascii="Times New Roman" w:hAnsi="Times New Roman"/>
          <w:sz w:val="24"/>
          <w:szCs w:val="24"/>
        </w:rPr>
        <w:t xml:space="preserve">ment firms operating in Bulgaria, down </w:t>
      </w:r>
      <w:r w:rsidRPr="00F415E8">
        <w:rPr>
          <w:rFonts w:ascii="Times New Roman" w:hAnsi="Times New Roman"/>
          <w:sz w:val="24"/>
          <w:szCs w:val="24"/>
        </w:rPr>
        <w:lastRenderedPageBreak/>
        <w:t xml:space="preserve">from 88 in 2008. The global crisis has been the predominant deteriorating factor for the industry, and the impact of </w:t>
      </w:r>
      <w:proofErr w:type="spellStart"/>
      <w:r w:rsidRPr="00F415E8">
        <w:rPr>
          <w:rFonts w:ascii="Times New Roman" w:hAnsi="Times New Roman"/>
          <w:sz w:val="24"/>
          <w:szCs w:val="24"/>
        </w:rPr>
        <w:t>MiFID</w:t>
      </w:r>
      <w:proofErr w:type="spellEnd"/>
      <w:r w:rsidRPr="00F415E8">
        <w:rPr>
          <w:rFonts w:ascii="Times New Roman" w:hAnsi="Times New Roman"/>
          <w:sz w:val="24"/>
          <w:szCs w:val="24"/>
        </w:rPr>
        <w:t xml:space="preserve"> cannot be separated from that of the crisis. New issuances in the Bulgarian market almost disappeared reflecting the spillovers from the global financial crisis. At the same time, many companies delisted from the Bulgarian Stock Exchange. In this environment, investment firms, predominantly small and of limited capacity, experienced the new regulatory requirements as burdensome. The industry’s play field became more restrictive to new entries with increased capital and organizational requirements. </w:t>
      </w:r>
    </w:p>
    <w:p w:rsidR="009E7E78" w:rsidRDefault="009E7E78" w:rsidP="009E7E78">
      <w:pPr>
        <w:pStyle w:val="ListParagraph"/>
        <w:rPr>
          <w:rFonts w:ascii="Times New Roman" w:hAnsi="Times New Roman"/>
          <w:sz w:val="24"/>
          <w:szCs w:val="24"/>
        </w:rPr>
      </w:pPr>
    </w:p>
    <w:p w:rsidR="009E7E78" w:rsidRPr="00293AC6" w:rsidRDefault="009E7E78" w:rsidP="009E7E78">
      <w:pPr>
        <w:pStyle w:val="ListParagraph"/>
        <w:numPr>
          <w:ilvl w:val="0"/>
          <w:numId w:val="3"/>
        </w:numPr>
        <w:ind w:left="0" w:firstLine="0"/>
        <w:jc w:val="both"/>
        <w:rPr>
          <w:rFonts w:ascii="Times New Roman" w:hAnsi="Times New Roman"/>
          <w:b/>
          <w:sz w:val="24"/>
          <w:szCs w:val="24"/>
        </w:rPr>
      </w:pPr>
      <w:r w:rsidRPr="0046406B">
        <w:rPr>
          <w:rFonts w:ascii="Times New Roman" w:hAnsi="Times New Roman"/>
          <w:b/>
          <w:sz w:val="24"/>
          <w:szCs w:val="24"/>
        </w:rPr>
        <w:t>The key concerns voiced by the industry are the following:</w:t>
      </w:r>
    </w:p>
    <w:p w:rsidR="009E7E78" w:rsidRDefault="009E7E78" w:rsidP="009E7E78">
      <w:pPr>
        <w:pStyle w:val="ListParagraph"/>
        <w:jc w:val="both"/>
        <w:rPr>
          <w:rFonts w:ascii="Times New Roman" w:hAnsi="Times New Roman"/>
          <w:sz w:val="24"/>
          <w:szCs w:val="24"/>
        </w:rPr>
      </w:pPr>
    </w:p>
    <w:p w:rsidR="009E7E78" w:rsidRDefault="009E7E78" w:rsidP="009E7E78">
      <w:pPr>
        <w:pStyle w:val="ListParagraph"/>
        <w:numPr>
          <w:ilvl w:val="1"/>
          <w:numId w:val="3"/>
        </w:numPr>
        <w:ind w:left="720"/>
        <w:jc w:val="both"/>
        <w:rPr>
          <w:rFonts w:ascii="Times New Roman" w:hAnsi="Times New Roman"/>
          <w:sz w:val="24"/>
          <w:szCs w:val="24"/>
        </w:rPr>
      </w:pPr>
      <w:r>
        <w:rPr>
          <w:rFonts w:ascii="Times New Roman" w:hAnsi="Times New Roman"/>
          <w:b/>
          <w:sz w:val="24"/>
          <w:szCs w:val="24"/>
        </w:rPr>
        <w:t xml:space="preserve">The </w:t>
      </w:r>
      <w:r w:rsidR="00624B4D">
        <w:rPr>
          <w:rFonts w:ascii="Times New Roman" w:hAnsi="Times New Roman"/>
          <w:b/>
          <w:sz w:val="24"/>
          <w:szCs w:val="24"/>
        </w:rPr>
        <w:t xml:space="preserve">Bulgarian </w:t>
      </w:r>
      <w:r>
        <w:rPr>
          <w:rFonts w:ascii="Times New Roman" w:hAnsi="Times New Roman"/>
          <w:b/>
          <w:sz w:val="24"/>
          <w:szCs w:val="24"/>
        </w:rPr>
        <w:t>c</w:t>
      </w:r>
      <w:r w:rsidRPr="00D9587D">
        <w:rPr>
          <w:rFonts w:ascii="Times New Roman" w:hAnsi="Times New Roman"/>
          <w:b/>
          <w:sz w:val="24"/>
          <w:szCs w:val="24"/>
        </w:rPr>
        <w:t xml:space="preserve">ompliance function </w:t>
      </w:r>
      <w:r>
        <w:rPr>
          <w:rFonts w:ascii="Times New Roman" w:hAnsi="Times New Roman"/>
          <w:b/>
          <w:sz w:val="24"/>
          <w:szCs w:val="24"/>
        </w:rPr>
        <w:t>has been</w:t>
      </w:r>
      <w:r w:rsidRPr="00D9587D">
        <w:rPr>
          <w:rFonts w:ascii="Times New Roman" w:hAnsi="Times New Roman"/>
          <w:b/>
          <w:sz w:val="24"/>
          <w:szCs w:val="24"/>
        </w:rPr>
        <w:t xml:space="preserve"> more burdensome</w:t>
      </w:r>
      <w:r>
        <w:rPr>
          <w:rFonts w:ascii="Times New Roman" w:hAnsi="Times New Roman"/>
          <w:b/>
          <w:sz w:val="24"/>
          <w:szCs w:val="24"/>
        </w:rPr>
        <w:t xml:space="preserve"> with </w:t>
      </w:r>
      <w:proofErr w:type="spellStart"/>
      <w:r>
        <w:rPr>
          <w:rFonts w:ascii="Times New Roman" w:hAnsi="Times New Roman"/>
          <w:b/>
          <w:sz w:val="24"/>
          <w:szCs w:val="24"/>
        </w:rPr>
        <w:t>MiFID</w:t>
      </w:r>
      <w:proofErr w:type="spellEnd"/>
      <w:r w:rsidRPr="00D9587D">
        <w:rPr>
          <w:rFonts w:ascii="Times New Roman" w:hAnsi="Times New Roman"/>
          <w:b/>
          <w:sz w:val="24"/>
          <w:szCs w:val="24"/>
        </w:rPr>
        <w:t>, as additional reporting and approval requirements increased the amount of paper work.</w:t>
      </w:r>
      <w:r>
        <w:rPr>
          <w:rFonts w:ascii="Times New Roman" w:hAnsi="Times New Roman"/>
          <w:sz w:val="24"/>
          <w:szCs w:val="24"/>
        </w:rPr>
        <w:t xml:space="preserve"> Bulgarian association of investment intermediaries (BALII) has been arguing to (</w:t>
      </w:r>
      <w:proofErr w:type="spellStart"/>
      <w:r>
        <w:rPr>
          <w:rFonts w:ascii="Times New Roman" w:hAnsi="Times New Roman"/>
          <w:sz w:val="24"/>
          <w:szCs w:val="24"/>
        </w:rPr>
        <w:t>i</w:t>
      </w:r>
      <w:proofErr w:type="spellEnd"/>
      <w:r>
        <w:rPr>
          <w:rFonts w:ascii="Times New Roman" w:hAnsi="Times New Roman"/>
          <w:sz w:val="24"/>
          <w:szCs w:val="24"/>
        </w:rPr>
        <w:t xml:space="preserve">) revoke the requirement for </w:t>
      </w:r>
      <w:r w:rsidRPr="00D866AB">
        <w:rPr>
          <w:rFonts w:ascii="Times New Roman" w:hAnsi="Times New Roman"/>
          <w:sz w:val="24"/>
          <w:szCs w:val="24"/>
        </w:rPr>
        <w:t>compliance officers to approve ex-ante advertising materials</w:t>
      </w:r>
      <w:r>
        <w:rPr>
          <w:rFonts w:ascii="Times New Roman" w:hAnsi="Times New Roman"/>
          <w:sz w:val="24"/>
          <w:szCs w:val="24"/>
        </w:rPr>
        <w:t xml:space="preserve">; and (ii) optimize the function through </w:t>
      </w:r>
      <w:r w:rsidRPr="00D866AB">
        <w:rPr>
          <w:rFonts w:ascii="Times New Roman" w:hAnsi="Times New Roman"/>
          <w:sz w:val="24"/>
          <w:szCs w:val="24"/>
        </w:rPr>
        <w:t xml:space="preserve">cutting the number and the frequency of reports and </w:t>
      </w:r>
      <w:r>
        <w:rPr>
          <w:rFonts w:ascii="Times New Roman" w:hAnsi="Times New Roman"/>
          <w:sz w:val="24"/>
          <w:szCs w:val="24"/>
        </w:rPr>
        <w:t xml:space="preserve">compliance </w:t>
      </w:r>
      <w:r w:rsidRPr="00D866AB">
        <w:rPr>
          <w:rFonts w:ascii="Times New Roman" w:hAnsi="Times New Roman"/>
          <w:sz w:val="24"/>
          <w:szCs w:val="24"/>
        </w:rPr>
        <w:t xml:space="preserve">instructions </w:t>
      </w:r>
      <w:r>
        <w:rPr>
          <w:rFonts w:ascii="Times New Roman" w:hAnsi="Times New Roman"/>
          <w:sz w:val="24"/>
          <w:szCs w:val="24"/>
        </w:rPr>
        <w:t>to brokers.</w:t>
      </w:r>
    </w:p>
    <w:p w:rsidR="009E7E78" w:rsidRDefault="009E7E78" w:rsidP="009E7E78">
      <w:pPr>
        <w:pStyle w:val="ListParagraph"/>
        <w:jc w:val="both"/>
        <w:rPr>
          <w:rFonts w:ascii="Times New Roman" w:hAnsi="Times New Roman"/>
          <w:sz w:val="24"/>
          <w:szCs w:val="24"/>
        </w:rPr>
      </w:pPr>
    </w:p>
    <w:p w:rsidR="009E7E78" w:rsidRDefault="009E7E78" w:rsidP="009E7E78">
      <w:pPr>
        <w:pStyle w:val="ListParagraph"/>
        <w:numPr>
          <w:ilvl w:val="1"/>
          <w:numId w:val="3"/>
        </w:numPr>
        <w:ind w:left="720"/>
        <w:jc w:val="both"/>
        <w:rPr>
          <w:rFonts w:ascii="Times New Roman" w:hAnsi="Times New Roman"/>
          <w:sz w:val="24"/>
          <w:szCs w:val="24"/>
        </w:rPr>
      </w:pPr>
      <w:r>
        <w:rPr>
          <w:rFonts w:ascii="Times New Roman" w:hAnsi="Times New Roman"/>
          <w:b/>
          <w:sz w:val="24"/>
          <w:szCs w:val="24"/>
        </w:rPr>
        <w:t xml:space="preserve">Investment firms have been facing a greater regulatory burden in </w:t>
      </w:r>
      <w:r w:rsidRPr="000E228D">
        <w:rPr>
          <w:rFonts w:ascii="Times New Roman" w:hAnsi="Times New Roman"/>
          <w:b/>
          <w:sz w:val="24"/>
          <w:szCs w:val="24"/>
        </w:rPr>
        <w:t>handling</w:t>
      </w:r>
      <w:r>
        <w:rPr>
          <w:rFonts w:ascii="Times New Roman" w:hAnsi="Times New Roman"/>
          <w:b/>
          <w:sz w:val="24"/>
          <w:szCs w:val="24"/>
        </w:rPr>
        <w:t xml:space="preserve"> clients</w:t>
      </w:r>
      <w:r w:rsidRPr="000E228D">
        <w:rPr>
          <w:rFonts w:ascii="Times New Roman" w:hAnsi="Times New Roman"/>
          <w:b/>
          <w:sz w:val="24"/>
          <w:szCs w:val="24"/>
        </w:rPr>
        <w:t xml:space="preserve">, </w:t>
      </w:r>
      <w:r>
        <w:rPr>
          <w:rFonts w:ascii="Times New Roman" w:hAnsi="Times New Roman"/>
          <w:b/>
          <w:sz w:val="24"/>
          <w:szCs w:val="24"/>
        </w:rPr>
        <w:t>and</w:t>
      </w:r>
      <w:r w:rsidRPr="000E228D">
        <w:rPr>
          <w:rFonts w:ascii="Times New Roman" w:hAnsi="Times New Roman"/>
          <w:b/>
          <w:sz w:val="24"/>
          <w:szCs w:val="24"/>
        </w:rPr>
        <w:t xml:space="preserve"> the FSC is planning to improve some aspects of it. </w:t>
      </w:r>
      <w:r>
        <w:rPr>
          <w:rFonts w:ascii="Times New Roman" w:hAnsi="Times New Roman"/>
          <w:sz w:val="24"/>
          <w:szCs w:val="24"/>
        </w:rPr>
        <w:t>I</w:t>
      </w:r>
      <w:r w:rsidRPr="000E228D">
        <w:rPr>
          <w:rFonts w:ascii="Times New Roman" w:hAnsi="Times New Roman"/>
          <w:sz w:val="24"/>
          <w:szCs w:val="24"/>
        </w:rPr>
        <w:t xml:space="preserve">nvestment firms are </w:t>
      </w:r>
      <w:r>
        <w:rPr>
          <w:rFonts w:ascii="Times New Roman" w:hAnsi="Times New Roman"/>
          <w:sz w:val="24"/>
          <w:szCs w:val="24"/>
        </w:rPr>
        <w:t xml:space="preserve">currently </w:t>
      </w:r>
      <w:r w:rsidRPr="000E228D">
        <w:rPr>
          <w:rFonts w:ascii="Times New Roman" w:hAnsi="Times New Roman"/>
          <w:sz w:val="24"/>
          <w:szCs w:val="24"/>
        </w:rPr>
        <w:t>required to sign a paper contract with client</w:t>
      </w:r>
      <w:r>
        <w:rPr>
          <w:rFonts w:ascii="Times New Roman" w:hAnsi="Times New Roman"/>
          <w:sz w:val="24"/>
          <w:szCs w:val="24"/>
        </w:rPr>
        <w:t>s</w:t>
      </w:r>
      <w:r w:rsidRPr="000E228D">
        <w:rPr>
          <w:rFonts w:ascii="Times New Roman" w:hAnsi="Times New Roman"/>
          <w:sz w:val="24"/>
          <w:szCs w:val="24"/>
        </w:rPr>
        <w:t xml:space="preserve"> for </w:t>
      </w:r>
      <w:r>
        <w:rPr>
          <w:rFonts w:ascii="Times New Roman" w:hAnsi="Times New Roman"/>
          <w:sz w:val="24"/>
          <w:szCs w:val="24"/>
        </w:rPr>
        <w:t xml:space="preserve">each individual </w:t>
      </w:r>
      <w:r w:rsidRPr="000E228D">
        <w:rPr>
          <w:rFonts w:ascii="Times New Roman" w:hAnsi="Times New Roman"/>
          <w:sz w:val="24"/>
          <w:szCs w:val="24"/>
        </w:rPr>
        <w:t>transaction</w:t>
      </w:r>
      <w:r w:rsidRPr="0046406B">
        <w:rPr>
          <w:rFonts w:ascii="Times New Roman" w:hAnsi="Times New Roman"/>
          <w:sz w:val="24"/>
          <w:szCs w:val="24"/>
        </w:rPr>
        <w:t>.</w:t>
      </w:r>
      <w:r w:rsidRPr="000E228D">
        <w:rPr>
          <w:rFonts w:ascii="Times New Roman" w:hAnsi="Times New Roman"/>
          <w:b/>
          <w:sz w:val="24"/>
          <w:szCs w:val="24"/>
        </w:rPr>
        <w:t xml:space="preserve"> </w:t>
      </w:r>
      <w:r w:rsidRPr="000E228D">
        <w:rPr>
          <w:rFonts w:ascii="Times New Roman" w:hAnsi="Times New Roman"/>
          <w:sz w:val="24"/>
          <w:szCs w:val="24"/>
        </w:rPr>
        <w:t xml:space="preserve">The regulator is planning to introduce electronic contracts and signatures and hence reduce paper work in the investment firms’ dealings with clients. </w:t>
      </w:r>
      <w:r>
        <w:rPr>
          <w:rFonts w:ascii="Times New Roman" w:hAnsi="Times New Roman"/>
          <w:sz w:val="24"/>
          <w:szCs w:val="24"/>
        </w:rPr>
        <w:t xml:space="preserve">Another aspect is a difficulty to adequately apply </w:t>
      </w:r>
      <w:r w:rsidR="00CF1573">
        <w:rPr>
          <w:rFonts w:ascii="Times New Roman" w:hAnsi="Times New Roman"/>
          <w:sz w:val="24"/>
          <w:szCs w:val="24"/>
        </w:rPr>
        <w:t xml:space="preserve">the </w:t>
      </w:r>
      <w:r>
        <w:rPr>
          <w:rFonts w:ascii="Times New Roman" w:hAnsi="Times New Roman"/>
          <w:sz w:val="24"/>
          <w:szCs w:val="24"/>
        </w:rPr>
        <w:t xml:space="preserve">suitability test. When providing investment advice or portfolio management services to clients, an investment firm is required to obtain from clients the information regarding their knowledge and experience, financial situation and investment objectives. This information is also important when classifying </w:t>
      </w:r>
      <w:r w:rsidR="00CF1573">
        <w:rPr>
          <w:rFonts w:ascii="Times New Roman" w:hAnsi="Times New Roman"/>
          <w:sz w:val="24"/>
          <w:szCs w:val="24"/>
        </w:rPr>
        <w:t xml:space="preserve">a </w:t>
      </w:r>
      <w:r>
        <w:rPr>
          <w:rFonts w:ascii="Times New Roman" w:hAnsi="Times New Roman"/>
          <w:sz w:val="24"/>
          <w:szCs w:val="24"/>
        </w:rPr>
        <w:t>client as professional. Reportedly, receiving the necessary information from clients has proven difficult in</w:t>
      </w:r>
      <w:r w:rsidR="00CF1573">
        <w:rPr>
          <w:rFonts w:ascii="Times New Roman" w:hAnsi="Times New Roman"/>
          <w:sz w:val="24"/>
          <w:szCs w:val="24"/>
        </w:rPr>
        <w:t xml:space="preserve"> the</w:t>
      </w:r>
      <w:r>
        <w:rPr>
          <w:rFonts w:ascii="Times New Roman" w:hAnsi="Times New Roman"/>
          <w:sz w:val="24"/>
          <w:szCs w:val="24"/>
        </w:rPr>
        <w:t xml:space="preserve"> Bulgarian market, especially as regarding client’s financial assets (bank statements) and investments. Since it seems that there are no legal </w:t>
      </w:r>
      <w:r w:rsidR="00624B4D">
        <w:rPr>
          <w:rFonts w:ascii="Times New Roman" w:hAnsi="Times New Roman"/>
          <w:sz w:val="24"/>
          <w:szCs w:val="24"/>
        </w:rPr>
        <w:t xml:space="preserve">requirements </w:t>
      </w:r>
      <w:r>
        <w:rPr>
          <w:rFonts w:ascii="Times New Roman" w:hAnsi="Times New Roman"/>
          <w:sz w:val="24"/>
          <w:szCs w:val="24"/>
        </w:rPr>
        <w:t xml:space="preserve">for clients to provide this information, the matter could be resolved through clients’ education.  </w:t>
      </w:r>
      <w:r w:rsidRPr="00065C4D">
        <w:rPr>
          <w:rFonts w:ascii="Times New Roman" w:hAnsi="Times New Roman"/>
          <w:sz w:val="24"/>
          <w:szCs w:val="24"/>
        </w:rPr>
        <w:t>Investment intermediaries cannot receive this information from the CDAD or banks due to legal prohibition</w:t>
      </w:r>
      <w:r w:rsidR="00CF1573">
        <w:rPr>
          <w:rFonts w:ascii="Times New Roman" w:hAnsi="Times New Roman"/>
          <w:sz w:val="24"/>
          <w:szCs w:val="24"/>
        </w:rPr>
        <w:t>s</w:t>
      </w:r>
      <w:r w:rsidRPr="00065C4D">
        <w:rPr>
          <w:rFonts w:ascii="Times New Roman" w:hAnsi="Times New Roman"/>
          <w:sz w:val="24"/>
          <w:szCs w:val="24"/>
        </w:rPr>
        <w:t xml:space="preserve"> on disclosure and that is adequate.</w:t>
      </w:r>
    </w:p>
    <w:p w:rsidR="009E7E78" w:rsidRDefault="009E7E78" w:rsidP="009E7E78">
      <w:pPr>
        <w:pStyle w:val="ListParagraph"/>
        <w:rPr>
          <w:sz w:val="24"/>
          <w:szCs w:val="24"/>
        </w:rPr>
      </w:pPr>
    </w:p>
    <w:p w:rsidR="009E7E78" w:rsidRDefault="009E7E78" w:rsidP="009E7E78">
      <w:pPr>
        <w:pStyle w:val="ListParagraph"/>
        <w:numPr>
          <w:ilvl w:val="1"/>
          <w:numId w:val="3"/>
        </w:numPr>
        <w:ind w:left="720"/>
        <w:jc w:val="both"/>
        <w:rPr>
          <w:rFonts w:ascii="Times New Roman" w:hAnsi="Times New Roman"/>
          <w:sz w:val="24"/>
          <w:szCs w:val="24"/>
        </w:rPr>
      </w:pPr>
      <w:r w:rsidRPr="00DF3BE4">
        <w:rPr>
          <w:rFonts w:ascii="Times New Roman" w:hAnsi="Times New Roman"/>
          <w:b/>
          <w:sz w:val="24"/>
          <w:szCs w:val="24"/>
        </w:rPr>
        <w:t xml:space="preserve">Investment firms face difficulties in cross-border trading not only because of the limitations in the existing infrastructure, but also because of their relative inexperience outside of </w:t>
      </w:r>
      <w:r w:rsidR="00CF1573">
        <w:rPr>
          <w:rFonts w:ascii="Times New Roman" w:hAnsi="Times New Roman"/>
          <w:b/>
          <w:sz w:val="24"/>
          <w:szCs w:val="24"/>
        </w:rPr>
        <w:t xml:space="preserve">the </w:t>
      </w:r>
      <w:r w:rsidRPr="00DF3BE4">
        <w:rPr>
          <w:rFonts w:ascii="Times New Roman" w:hAnsi="Times New Roman"/>
          <w:b/>
          <w:sz w:val="24"/>
          <w:szCs w:val="24"/>
        </w:rPr>
        <w:t xml:space="preserve">domestic market. </w:t>
      </w:r>
      <w:r w:rsidRPr="00DF3BE4">
        <w:rPr>
          <w:rFonts w:ascii="Times New Roman" w:hAnsi="Times New Roman"/>
          <w:sz w:val="24"/>
          <w:szCs w:val="24"/>
        </w:rPr>
        <w:t>The incompatibility of the CDAD</w:t>
      </w:r>
      <w:r>
        <w:rPr>
          <w:rFonts w:ascii="Times New Roman" w:hAnsi="Times New Roman"/>
          <w:b/>
          <w:sz w:val="24"/>
          <w:szCs w:val="24"/>
        </w:rPr>
        <w:t xml:space="preserve"> </w:t>
      </w:r>
      <w:r w:rsidRPr="00DF3BE4">
        <w:rPr>
          <w:rFonts w:ascii="Times New Roman" w:hAnsi="Times New Roman"/>
          <w:sz w:val="24"/>
          <w:szCs w:val="24"/>
        </w:rPr>
        <w:t>technical system</w:t>
      </w:r>
      <w:r>
        <w:rPr>
          <w:rFonts w:ascii="Times New Roman" w:hAnsi="Times New Roman"/>
          <w:b/>
          <w:sz w:val="24"/>
          <w:szCs w:val="24"/>
        </w:rPr>
        <w:t xml:space="preserve"> </w:t>
      </w:r>
      <w:r>
        <w:rPr>
          <w:rFonts w:ascii="Times New Roman" w:hAnsi="Times New Roman"/>
          <w:sz w:val="24"/>
          <w:szCs w:val="24"/>
        </w:rPr>
        <w:t xml:space="preserve">with omnibus </w:t>
      </w:r>
      <w:r w:rsidR="00CF1573">
        <w:rPr>
          <w:rFonts w:ascii="Times New Roman" w:hAnsi="Times New Roman"/>
          <w:sz w:val="24"/>
          <w:szCs w:val="24"/>
        </w:rPr>
        <w:t xml:space="preserve">accounts </w:t>
      </w:r>
      <w:r>
        <w:rPr>
          <w:rFonts w:ascii="Times New Roman" w:hAnsi="Times New Roman"/>
          <w:sz w:val="24"/>
          <w:szCs w:val="24"/>
        </w:rPr>
        <w:t xml:space="preserve">operated by most of the European central depositories increases cost of trading outside the local market. Additionally, </w:t>
      </w:r>
      <w:r w:rsidRPr="00DF3BE4">
        <w:rPr>
          <w:rFonts w:ascii="Times New Roman" w:hAnsi="Times New Roman"/>
          <w:sz w:val="24"/>
          <w:szCs w:val="24"/>
        </w:rPr>
        <w:t xml:space="preserve">Bulgarian investment firms are relatively small, focused on </w:t>
      </w:r>
      <w:r w:rsidR="00CF1573">
        <w:rPr>
          <w:rFonts w:ascii="Times New Roman" w:hAnsi="Times New Roman"/>
          <w:sz w:val="24"/>
          <w:szCs w:val="24"/>
        </w:rPr>
        <w:t xml:space="preserve">the </w:t>
      </w:r>
      <w:r w:rsidRPr="00DF3BE4">
        <w:rPr>
          <w:rFonts w:ascii="Times New Roman" w:hAnsi="Times New Roman"/>
          <w:sz w:val="24"/>
          <w:szCs w:val="24"/>
        </w:rPr>
        <w:t xml:space="preserve">domestic market and with no relevant networks in other countries. One of the </w:t>
      </w:r>
      <w:r>
        <w:rPr>
          <w:rFonts w:ascii="Times New Roman" w:hAnsi="Times New Roman"/>
          <w:sz w:val="24"/>
          <w:szCs w:val="24"/>
        </w:rPr>
        <w:t xml:space="preserve">investment </w:t>
      </w:r>
      <w:r w:rsidRPr="00DF3BE4">
        <w:rPr>
          <w:rFonts w:ascii="Times New Roman" w:hAnsi="Times New Roman"/>
          <w:sz w:val="24"/>
          <w:szCs w:val="24"/>
        </w:rPr>
        <w:t>firm</w:t>
      </w:r>
      <w:r>
        <w:rPr>
          <w:rFonts w:ascii="Times New Roman" w:hAnsi="Times New Roman"/>
          <w:sz w:val="24"/>
          <w:szCs w:val="24"/>
        </w:rPr>
        <w:t>s</w:t>
      </w:r>
      <w:r w:rsidRPr="00DF3BE4">
        <w:rPr>
          <w:rFonts w:ascii="Times New Roman" w:hAnsi="Times New Roman"/>
          <w:sz w:val="24"/>
          <w:szCs w:val="24"/>
        </w:rPr>
        <w:t xml:space="preserve"> active in cross-border </w:t>
      </w:r>
      <w:r w:rsidRPr="00DF3BE4">
        <w:rPr>
          <w:rFonts w:ascii="Times New Roman" w:hAnsi="Times New Roman"/>
          <w:sz w:val="24"/>
          <w:szCs w:val="24"/>
        </w:rPr>
        <w:lastRenderedPageBreak/>
        <w:t xml:space="preserve">trading reported that it took more than a year to open its first </w:t>
      </w:r>
      <w:r w:rsidR="00624B4D" w:rsidRPr="00DF3BE4">
        <w:rPr>
          <w:rFonts w:ascii="Times New Roman" w:hAnsi="Times New Roman"/>
          <w:sz w:val="24"/>
          <w:szCs w:val="24"/>
        </w:rPr>
        <w:t>br</w:t>
      </w:r>
      <w:r w:rsidR="00624B4D">
        <w:rPr>
          <w:rFonts w:ascii="Times New Roman" w:hAnsi="Times New Roman"/>
          <w:sz w:val="24"/>
          <w:szCs w:val="24"/>
        </w:rPr>
        <w:t>a</w:t>
      </w:r>
      <w:r w:rsidR="00624B4D" w:rsidRPr="00DF3BE4">
        <w:rPr>
          <w:rFonts w:ascii="Times New Roman" w:hAnsi="Times New Roman"/>
          <w:sz w:val="24"/>
          <w:szCs w:val="24"/>
        </w:rPr>
        <w:t xml:space="preserve">nch </w:t>
      </w:r>
      <w:r w:rsidRPr="00DF3BE4">
        <w:rPr>
          <w:rFonts w:ascii="Times New Roman" w:hAnsi="Times New Roman"/>
          <w:sz w:val="24"/>
          <w:szCs w:val="24"/>
        </w:rPr>
        <w:t xml:space="preserve">abroad. However, it was able to open a second </w:t>
      </w:r>
      <w:r w:rsidR="00624B4D" w:rsidRPr="00DF3BE4">
        <w:rPr>
          <w:rFonts w:ascii="Times New Roman" w:hAnsi="Times New Roman"/>
          <w:sz w:val="24"/>
          <w:szCs w:val="24"/>
        </w:rPr>
        <w:t>br</w:t>
      </w:r>
      <w:r w:rsidR="00624B4D">
        <w:rPr>
          <w:rFonts w:ascii="Times New Roman" w:hAnsi="Times New Roman"/>
          <w:sz w:val="24"/>
          <w:szCs w:val="24"/>
        </w:rPr>
        <w:t>a</w:t>
      </w:r>
      <w:r w:rsidR="00624B4D" w:rsidRPr="00DF3BE4">
        <w:rPr>
          <w:rFonts w:ascii="Times New Roman" w:hAnsi="Times New Roman"/>
          <w:sz w:val="24"/>
          <w:szCs w:val="24"/>
        </w:rPr>
        <w:t xml:space="preserve">nch </w:t>
      </w:r>
      <w:r w:rsidRPr="00DF3BE4">
        <w:rPr>
          <w:rFonts w:ascii="Times New Roman" w:hAnsi="Times New Roman"/>
          <w:sz w:val="24"/>
          <w:szCs w:val="24"/>
        </w:rPr>
        <w:t>in less than a month</w:t>
      </w:r>
      <w:r>
        <w:rPr>
          <w:rFonts w:ascii="Times New Roman" w:hAnsi="Times New Roman"/>
          <w:sz w:val="24"/>
          <w:szCs w:val="24"/>
        </w:rPr>
        <w:t xml:space="preserve"> time</w:t>
      </w:r>
      <w:r w:rsidRPr="00DF3BE4">
        <w:rPr>
          <w:rFonts w:ascii="Times New Roman" w:hAnsi="Times New Roman"/>
          <w:sz w:val="24"/>
          <w:szCs w:val="24"/>
        </w:rPr>
        <w:t>. Trading abroad by using tied agents is not currently allowed under Bulgarian legislation. The regulator has taken a conservative approach here, amid the legacy of tied-agents misconducts after the mass voucher privatization</w:t>
      </w:r>
      <w:r>
        <w:rPr>
          <w:rFonts w:ascii="Times New Roman" w:hAnsi="Times New Roman"/>
          <w:sz w:val="24"/>
          <w:szCs w:val="24"/>
        </w:rPr>
        <w:t>.</w:t>
      </w:r>
      <w:r w:rsidRPr="00DF3BE4">
        <w:rPr>
          <w:rFonts w:ascii="Times New Roman" w:hAnsi="Times New Roman"/>
          <w:sz w:val="24"/>
          <w:szCs w:val="24"/>
        </w:rPr>
        <w:t xml:space="preserve"> However, the </w:t>
      </w:r>
      <w:r w:rsidR="00CF1573">
        <w:rPr>
          <w:rFonts w:ascii="Times New Roman" w:hAnsi="Times New Roman"/>
          <w:sz w:val="24"/>
          <w:szCs w:val="24"/>
        </w:rPr>
        <w:t>FSC</w:t>
      </w:r>
      <w:r w:rsidR="00CF1573" w:rsidRPr="00DF3BE4">
        <w:rPr>
          <w:rFonts w:ascii="Times New Roman" w:hAnsi="Times New Roman"/>
          <w:sz w:val="24"/>
          <w:szCs w:val="24"/>
        </w:rPr>
        <w:t xml:space="preserve"> </w:t>
      </w:r>
      <w:r w:rsidRPr="00DF3BE4">
        <w:rPr>
          <w:rFonts w:ascii="Times New Roman" w:hAnsi="Times New Roman"/>
          <w:sz w:val="24"/>
          <w:szCs w:val="24"/>
        </w:rPr>
        <w:t xml:space="preserve">is aware of difficulties that </w:t>
      </w:r>
      <w:r>
        <w:rPr>
          <w:rFonts w:ascii="Times New Roman" w:hAnsi="Times New Roman"/>
          <w:sz w:val="24"/>
          <w:szCs w:val="24"/>
        </w:rPr>
        <w:t xml:space="preserve">investment </w:t>
      </w:r>
      <w:r w:rsidRPr="00DF3BE4">
        <w:rPr>
          <w:rFonts w:ascii="Times New Roman" w:hAnsi="Times New Roman"/>
          <w:sz w:val="24"/>
          <w:szCs w:val="24"/>
        </w:rPr>
        <w:t xml:space="preserve">firms </w:t>
      </w:r>
      <w:r>
        <w:rPr>
          <w:rFonts w:ascii="Times New Roman" w:hAnsi="Times New Roman"/>
          <w:sz w:val="24"/>
          <w:szCs w:val="24"/>
        </w:rPr>
        <w:t>face</w:t>
      </w:r>
      <w:r w:rsidRPr="00DF3BE4">
        <w:rPr>
          <w:rFonts w:ascii="Times New Roman" w:hAnsi="Times New Roman"/>
          <w:sz w:val="24"/>
          <w:szCs w:val="24"/>
        </w:rPr>
        <w:t xml:space="preserve"> in doing business abroad and is considering possibilities for making it easier. </w:t>
      </w:r>
      <w:r>
        <w:rPr>
          <w:rFonts w:ascii="Times New Roman" w:hAnsi="Times New Roman"/>
          <w:sz w:val="24"/>
          <w:szCs w:val="24"/>
        </w:rPr>
        <w:t xml:space="preserve">Investment intermediaries which are part of big international banking groups have an advantage in cross-border trading, since they can leverage firm’s network and custodian abilities. </w:t>
      </w:r>
    </w:p>
    <w:p w:rsidR="009E7E78" w:rsidRDefault="009E7E78" w:rsidP="009E7E78">
      <w:pPr>
        <w:pStyle w:val="ListParagraph"/>
        <w:ind w:left="0"/>
        <w:jc w:val="both"/>
        <w:rPr>
          <w:rFonts w:ascii="Times New Roman" w:hAnsi="Times New Roman"/>
          <w:sz w:val="24"/>
          <w:szCs w:val="24"/>
        </w:rPr>
      </w:pPr>
    </w:p>
    <w:p w:rsidR="009E7E78" w:rsidRDefault="009E7E78" w:rsidP="009E7E78">
      <w:pPr>
        <w:pStyle w:val="ListParagraph"/>
        <w:numPr>
          <w:ilvl w:val="0"/>
          <w:numId w:val="3"/>
        </w:numPr>
        <w:ind w:left="0" w:firstLine="0"/>
        <w:jc w:val="both"/>
        <w:rPr>
          <w:rFonts w:ascii="Times New Roman" w:hAnsi="Times New Roman"/>
          <w:sz w:val="24"/>
          <w:szCs w:val="24"/>
        </w:rPr>
      </w:pPr>
      <w:r>
        <w:rPr>
          <w:rFonts w:ascii="Times New Roman" w:hAnsi="Times New Roman"/>
          <w:b/>
          <w:sz w:val="24"/>
          <w:szCs w:val="24"/>
        </w:rPr>
        <w:t>I</w:t>
      </w:r>
      <w:r w:rsidRPr="003978B7">
        <w:rPr>
          <w:rFonts w:ascii="Times New Roman" w:hAnsi="Times New Roman"/>
          <w:b/>
          <w:sz w:val="24"/>
          <w:szCs w:val="24"/>
        </w:rPr>
        <w:t xml:space="preserve">nadequate application of </w:t>
      </w:r>
      <w:r>
        <w:rPr>
          <w:rFonts w:ascii="Times New Roman" w:hAnsi="Times New Roman"/>
          <w:b/>
          <w:sz w:val="24"/>
          <w:szCs w:val="24"/>
        </w:rPr>
        <w:t xml:space="preserve">the </w:t>
      </w:r>
      <w:r w:rsidRPr="003978B7">
        <w:rPr>
          <w:rFonts w:ascii="Times New Roman" w:hAnsi="Times New Roman"/>
          <w:b/>
          <w:sz w:val="24"/>
          <w:szCs w:val="24"/>
        </w:rPr>
        <w:t>best execution rule</w:t>
      </w:r>
      <w:r w:rsidRPr="000232AF">
        <w:t xml:space="preserve"> </w:t>
      </w:r>
      <w:r>
        <w:rPr>
          <w:rFonts w:ascii="Times New Roman" w:hAnsi="Times New Roman"/>
          <w:b/>
          <w:sz w:val="24"/>
          <w:szCs w:val="24"/>
        </w:rPr>
        <w:t xml:space="preserve">is a </w:t>
      </w:r>
      <w:r w:rsidRPr="000232AF">
        <w:rPr>
          <w:rFonts w:ascii="Times New Roman" w:hAnsi="Times New Roman"/>
          <w:b/>
          <w:sz w:val="24"/>
          <w:szCs w:val="24"/>
        </w:rPr>
        <w:t>risk in cross-border trading</w:t>
      </w:r>
      <w:r>
        <w:rPr>
          <w:rFonts w:ascii="Times New Roman" w:hAnsi="Times New Roman"/>
          <w:b/>
          <w:sz w:val="24"/>
          <w:szCs w:val="24"/>
        </w:rPr>
        <w:t>.</w:t>
      </w:r>
      <w:r w:rsidRPr="003978B7">
        <w:rPr>
          <w:rFonts w:ascii="Times New Roman" w:hAnsi="Times New Roman"/>
          <w:b/>
          <w:sz w:val="24"/>
          <w:szCs w:val="24"/>
        </w:rPr>
        <w:t xml:space="preserve"> </w:t>
      </w:r>
      <w:r w:rsidRPr="003978B7">
        <w:rPr>
          <w:rFonts w:ascii="Times New Roman" w:hAnsi="Times New Roman"/>
          <w:sz w:val="24"/>
          <w:szCs w:val="24"/>
        </w:rPr>
        <w:t>BSE is the only</w:t>
      </w:r>
      <w:r>
        <w:rPr>
          <w:rFonts w:ascii="Times New Roman" w:hAnsi="Times New Roman"/>
          <w:b/>
          <w:sz w:val="24"/>
          <w:szCs w:val="24"/>
        </w:rPr>
        <w:t xml:space="preserve"> </w:t>
      </w:r>
      <w:r w:rsidRPr="003978B7">
        <w:rPr>
          <w:rFonts w:ascii="Times New Roman" w:hAnsi="Times New Roman"/>
          <w:sz w:val="24"/>
          <w:szCs w:val="24"/>
        </w:rPr>
        <w:t>trading venue in Bulgaria, apart from the possibility to execute c</w:t>
      </w:r>
      <w:r>
        <w:rPr>
          <w:rFonts w:ascii="Times New Roman" w:hAnsi="Times New Roman"/>
          <w:sz w:val="24"/>
          <w:szCs w:val="24"/>
        </w:rPr>
        <w:t>ertain trades over the counter</w:t>
      </w:r>
      <w:r w:rsidR="008262A2">
        <w:rPr>
          <w:rFonts w:ascii="Times New Roman" w:hAnsi="Times New Roman"/>
          <w:sz w:val="24"/>
          <w:szCs w:val="24"/>
        </w:rPr>
        <w:t xml:space="preserve"> and due to the small size of Bulgarian companies, there has not been much interest from the pan-European trading venues. The</w:t>
      </w:r>
      <w:r>
        <w:rPr>
          <w:rFonts w:ascii="Times New Roman" w:hAnsi="Times New Roman"/>
          <w:sz w:val="24"/>
          <w:szCs w:val="24"/>
        </w:rPr>
        <w:t xml:space="preserve"> best execution is therefore not a challenge in the domestic market. However, </w:t>
      </w:r>
      <w:r w:rsidRPr="00751572">
        <w:rPr>
          <w:rFonts w:ascii="Times New Roman" w:hAnsi="Times New Roman"/>
          <w:sz w:val="24"/>
          <w:szCs w:val="24"/>
        </w:rPr>
        <w:t>Bulgarian investment firms</w:t>
      </w:r>
      <w:r>
        <w:rPr>
          <w:rFonts w:ascii="Times New Roman" w:hAnsi="Times New Roman"/>
          <w:sz w:val="24"/>
          <w:szCs w:val="24"/>
        </w:rPr>
        <w:t xml:space="preserve"> trading in the rest of EU </w:t>
      </w:r>
      <w:r w:rsidRPr="00751572">
        <w:rPr>
          <w:rFonts w:ascii="Times New Roman" w:hAnsi="Times New Roman"/>
          <w:sz w:val="24"/>
          <w:szCs w:val="24"/>
        </w:rPr>
        <w:t xml:space="preserve">have to evaluate best execution options against a variety of available trading venues </w:t>
      </w:r>
      <w:r>
        <w:rPr>
          <w:rFonts w:ascii="Times New Roman" w:hAnsi="Times New Roman"/>
          <w:sz w:val="24"/>
          <w:szCs w:val="24"/>
        </w:rPr>
        <w:t xml:space="preserve">while </w:t>
      </w:r>
      <w:r w:rsidRPr="00751572">
        <w:rPr>
          <w:rFonts w:ascii="Times New Roman" w:hAnsi="Times New Roman"/>
          <w:sz w:val="24"/>
          <w:szCs w:val="24"/>
        </w:rPr>
        <w:t>taking into account a broad range of criteria (price, speed of execution, total costs, etc.).</w:t>
      </w:r>
      <w:r>
        <w:rPr>
          <w:rFonts w:ascii="Times New Roman" w:hAnsi="Times New Roman"/>
          <w:sz w:val="24"/>
          <w:szCs w:val="24"/>
        </w:rPr>
        <w:t xml:space="preserve"> There is a risk that inexperienced firms do not take into consideration all the criteria and trading venues and execute trades at terms less favorable for clients.</w:t>
      </w:r>
    </w:p>
    <w:p w:rsidR="009E7E78" w:rsidRPr="009430B3" w:rsidRDefault="009E7E78" w:rsidP="009E7E78">
      <w:pPr>
        <w:pStyle w:val="ListParagraph"/>
        <w:rPr>
          <w:rFonts w:ascii="Times New Roman" w:hAnsi="Times New Roman"/>
          <w:sz w:val="24"/>
          <w:szCs w:val="24"/>
        </w:rPr>
      </w:pPr>
    </w:p>
    <w:p w:rsidR="009E7E78" w:rsidRDefault="009E7E78" w:rsidP="009E7E78">
      <w:pPr>
        <w:pStyle w:val="ListParagraph"/>
        <w:numPr>
          <w:ilvl w:val="0"/>
          <w:numId w:val="3"/>
        </w:numPr>
        <w:ind w:left="0" w:firstLine="0"/>
        <w:jc w:val="both"/>
        <w:rPr>
          <w:rFonts w:ascii="Times New Roman" w:hAnsi="Times New Roman"/>
          <w:sz w:val="24"/>
          <w:szCs w:val="24"/>
        </w:rPr>
      </w:pPr>
      <w:r w:rsidRPr="00215A3A">
        <w:rPr>
          <w:rFonts w:ascii="Times New Roman" w:hAnsi="Times New Roman"/>
          <w:b/>
          <w:sz w:val="24"/>
          <w:szCs w:val="24"/>
        </w:rPr>
        <w:t xml:space="preserve">Irregularities in the investment firms’ business conduct are most frequent in the areas of reporting qualifying holdings, safeguarding of clients funds and monitoring of </w:t>
      </w:r>
      <w:r w:rsidRPr="000232AF">
        <w:rPr>
          <w:rFonts w:ascii="Times New Roman" w:hAnsi="Times New Roman"/>
          <w:b/>
          <w:sz w:val="24"/>
          <w:szCs w:val="24"/>
        </w:rPr>
        <w:t>large exposures</w:t>
      </w:r>
      <w:r w:rsidR="00BF289B">
        <w:rPr>
          <w:rFonts w:ascii="Times New Roman" w:hAnsi="Times New Roman"/>
          <w:b/>
          <w:sz w:val="24"/>
          <w:szCs w:val="24"/>
        </w:rPr>
        <w:t xml:space="preserve"> according to the FSC (Table </w:t>
      </w:r>
      <w:r w:rsidR="001440AD">
        <w:rPr>
          <w:rFonts w:ascii="Times New Roman" w:hAnsi="Times New Roman"/>
          <w:b/>
          <w:sz w:val="24"/>
          <w:szCs w:val="24"/>
        </w:rPr>
        <w:t>4</w:t>
      </w:r>
      <w:r w:rsidRPr="0046406B">
        <w:rPr>
          <w:rFonts w:ascii="Times New Roman" w:hAnsi="Times New Roman"/>
          <w:b/>
          <w:sz w:val="24"/>
          <w:szCs w:val="24"/>
        </w:rPr>
        <w:t xml:space="preserve">). </w:t>
      </w:r>
      <w:r>
        <w:rPr>
          <w:rFonts w:ascii="Times New Roman" w:hAnsi="Times New Roman"/>
          <w:sz w:val="24"/>
          <w:szCs w:val="24"/>
        </w:rPr>
        <w:t xml:space="preserve">However, violations were less frequent in the second year of </w:t>
      </w:r>
      <w:proofErr w:type="spellStart"/>
      <w:r>
        <w:rPr>
          <w:rFonts w:ascii="Times New Roman" w:hAnsi="Times New Roman"/>
          <w:sz w:val="24"/>
          <w:szCs w:val="24"/>
        </w:rPr>
        <w:t>MiFID</w:t>
      </w:r>
      <w:proofErr w:type="spellEnd"/>
      <w:r>
        <w:rPr>
          <w:rFonts w:ascii="Times New Roman" w:hAnsi="Times New Roman"/>
          <w:sz w:val="24"/>
          <w:szCs w:val="24"/>
        </w:rPr>
        <w:t xml:space="preserve"> implementation, as investment firms became more experienced with changes in the legislation. Also, the FSC reported that the large exposures were mostly present in the low risk instruments. It is important that the FSC continues to develop its capacity and employs the adequate skill mix of professionals able to supervise these various areas of investment intermediation.</w:t>
      </w:r>
    </w:p>
    <w:p w:rsidR="00BF289B" w:rsidRDefault="00BF289B" w:rsidP="00BF289B">
      <w:pPr>
        <w:pStyle w:val="ListParagraph"/>
        <w:rPr>
          <w:rFonts w:ascii="Times New Roman" w:hAnsi="Times New Roman"/>
          <w:sz w:val="24"/>
          <w:szCs w:val="24"/>
        </w:rPr>
      </w:pPr>
    </w:p>
    <w:p w:rsidR="009E7E78" w:rsidRDefault="00BF289B" w:rsidP="00BF289B">
      <w:pPr>
        <w:pStyle w:val="ListParagraph"/>
        <w:numPr>
          <w:ilvl w:val="0"/>
          <w:numId w:val="3"/>
        </w:numPr>
        <w:autoSpaceDE w:val="0"/>
        <w:autoSpaceDN w:val="0"/>
        <w:adjustRightInd w:val="0"/>
        <w:spacing w:after="0"/>
        <w:ind w:left="0" w:firstLine="0"/>
        <w:jc w:val="both"/>
        <w:rPr>
          <w:b/>
        </w:rPr>
      </w:pPr>
      <w:r w:rsidRPr="000D32CC">
        <w:rPr>
          <w:rFonts w:ascii="Times New Roman" w:hAnsi="Times New Roman"/>
          <w:b/>
          <w:sz w:val="24"/>
          <w:szCs w:val="24"/>
        </w:rPr>
        <w:t xml:space="preserve">In the absence of </w:t>
      </w:r>
      <w:r w:rsidR="008262A2">
        <w:rPr>
          <w:rFonts w:ascii="Times New Roman" w:hAnsi="Times New Roman"/>
          <w:b/>
          <w:sz w:val="24"/>
          <w:szCs w:val="24"/>
        </w:rPr>
        <w:t>fragmentation</w:t>
      </w:r>
      <w:r w:rsidRPr="000D32CC">
        <w:rPr>
          <w:rFonts w:ascii="Times New Roman" w:hAnsi="Times New Roman"/>
          <w:b/>
          <w:sz w:val="24"/>
          <w:szCs w:val="24"/>
        </w:rPr>
        <w:t xml:space="preserve"> </w:t>
      </w:r>
      <w:r w:rsidR="008262A2" w:rsidRPr="000D32CC">
        <w:rPr>
          <w:rFonts w:ascii="Times New Roman" w:hAnsi="Times New Roman"/>
          <w:b/>
          <w:sz w:val="24"/>
          <w:szCs w:val="24"/>
        </w:rPr>
        <w:t>in</w:t>
      </w:r>
      <w:r w:rsidR="008262A2">
        <w:rPr>
          <w:rFonts w:ascii="Times New Roman" w:hAnsi="Times New Roman"/>
          <w:b/>
          <w:sz w:val="24"/>
          <w:szCs w:val="24"/>
        </w:rPr>
        <w:t xml:space="preserve"> trading in </w:t>
      </w:r>
      <w:r w:rsidRPr="000D32CC">
        <w:rPr>
          <w:rFonts w:ascii="Times New Roman" w:hAnsi="Times New Roman"/>
          <w:b/>
          <w:sz w:val="24"/>
          <w:szCs w:val="24"/>
        </w:rPr>
        <w:t xml:space="preserve">Bulgaria </w:t>
      </w:r>
      <w:r w:rsidR="008262A2">
        <w:rPr>
          <w:rFonts w:ascii="Times New Roman" w:hAnsi="Times New Roman"/>
          <w:b/>
          <w:sz w:val="24"/>
          <w:szCs w:val="24"/>
        </w:rPr>
        <w:t xml:space="preserve">outside </w:t>
      </w:r>
      <w:r w:rsidRPr="000D32CC">
        <w:rPr>
          <w:rFonts w:ascii="Times New Roman" w:hAnsi="Times New Roman"/>
          <w:b/>
          <w:sz w:val="24"/>
          <w:szCs w:val="24"/>
        </w:rPr>
        <w:t>the BSE, the abolition of the market concentration rule has not materially affected the regulated market, but the BSE market surveillance role has been broaden</w:t>
      </w:r>
      <w:r>
        <w:rPr>
          <w:rFonts w:ascii="Times New Roman" w:hAnsi="Times New Roman"/>
          <w:b/>
          <w:sz w:val="24"/>
          <w:szCs w:val="24"/>
        </w:rPr>
        <w:t>ed</w:t>
      </w:r>
      <w:r w:rsidRPr="000D32CC">
        <w:rPr>
          <w:rFonts w:ascii="Times New Roman" w:hAnsi="Times New Roman"/>
          <w:b/>
          <w:sz w:val="24"/>
          <w:szCs w:val="24"/>
        </w:rPr>
        <w:t xml:space="preserve">. </w:t>
      </w:r>
      <w:r w:rsidRPr="000D32CC">
        <w:rPr>
          <w:rFonts w:ascii="Times New Roman" w:hAnsi="Times New Roman"/>
          <w:sz w:val="24"/>
          <w:szCs w:val="24"/>
        </w:rPr>
        <w:t xml:space="preserve">The concentration rule previously required all the trades to be routed to the national exchange and in the member states with multiple trading venues it made a substantial impact on </w:t>
      </w:r>
      <w:r>
        <w:rPr>
          <w:rFonts w:ascii="Times New Roman" w:hAnsi="Times New Roman"/>
          <w:sz w:val="24"/>
          <w:szCs w:val="24"/>
        </w:rPr>
        <w:t xml:space="preserve">the </w:t>
      </w:r>
      <w:r w:rsidRPr="000D32CC">
        <w:rPr>
          <w:rFonts w:ascii="Times New Roman" w:hAnsi="Times New Roman"/>
          <w:sz w:val="24"/>
          <w:szCs w:val="24"/>
        </w:rPr>
        <w:t>business of regulated market. In case of Bulgaria, some trading has now moved to the OTC market</w:t>
      </w:r>
      <w:r w:rsidRPr="0046406B">
        <w:rPr>
          <w:rFonts w:ascii="Times New Roman" w:hAnsi="Times New Roman"/>
          <w:sz w:val="24"/>
          <w:szCs w:val="24"/>
        </w:rPr>
        <w:t>.</w:t>
      </w:r>
      <w:r w:rsidRPr="0058407D">
        <w:rPr>
          <w:rFonts w:ascii="Times New Roman" w:hAnsi="Times New Roman"/>
          <w:sz w:val="24"/>
          <w:szCs w:val="24"/>
        </w:rPr>
        <w:t xml:space="preserve"> </w:t>
      </w:r>
      <w:r w:rsidRPr="000D32CC">
        <w:rPr>
          <w:rFonts w:ascii="Times New Roman" w:hAnsi="Times New Roman"/>
          <w:sz w:val="24"/>
          <w:szCs w:val="24"/>
        </w:rPr>
        <w:t xml:space="preserve"> </w:t>
      </w:r>
      <w:r w:rsidR="008262A2">
        <w:rPr>
          <w:rFonts w:ascii="Times New Roman" w:hAnsi="Times New Roman"/>
          <w:sz w:val="24"/>
          <w:szCs w:val="24"/>
        </w:rPr>
        <w:t xml:space="preserve">More generally in the EU, there is a vibrant debate on the line between trading venues and OTC, and whether some of the trading happening in the OTC space should rather be subjected to the RM/MTF rules. This debate will affect Bulgaria with respect to the OTC trading currently taking place. </w:t>
      </w:r>
      <w:r w:rsidRPr="000D32CC">
        <w:rPr>
          <w:rFonts w:ascii="Times New Roman" w:eastAsia="Calibri" w:hAnsi="Times New Roman"/>
          <w:sz w:val="24"/>
          <w:szCs w:val="24"/>
        </w:rPr>
        <w:t xml:space="preserve">Under the </w:t>
      </w:r>
      <w:proofErr w:type="spellStart"/>
      <w:r w:rsidRPr="000D32CC">
        <w:rPr>
          <w:rFonts w:ascii="Times New Roman" w:eastAsia="Calibri" w:hAnsi="Times New Roman"/>
          <w:sz w:val="24"/>
          <w:szCs w:val="24"/>
        </w:rPr>
        <w:t>MiFIA</w:t>
      </w:r>
      <w:proofErr w:type="spellEnd"/>
      <w:r w:rsidRPr="000D32CC">
        <w:rPr>
          <w:rFonts w:ascii="Times New Roman" w:eastAsia="Calibri" w:hAnsi="Times New Roman"/>
          <w:sz w:val="24"/>
          <w:szCs w:val="24"/>
        </w:rPr>
        <w:t xml:space="preserve"> BSE is responsible for continuous market surveillance in order to assure that its members comply with the laws governing the securities markets and the rules and regulations of the </w:t>
      </w:r>
      <w:r w:rsidRPr="000D32CC">
        <w:rPr>
          <w:rFonts w:ascii="Times New Roman" w:eastAsia="Calibri" w:hAnsi="Times New Roman"/>
          <w:sz w:val="24"/>
          <w:szCs w:val="24"/>
        </w:rPr>
        <w:lastRenderedPageBreak/>
        <w:t xml:space="preserve">regulated market. </w:t>
      </w:r>
      <w:r>
        <w:rPr>
          <w:rFonts w:ascii="Times New Roman" w:eastAsia="Calibri" w:hAnsi="Times New Roman"/>
          <w:sz w:val="24"/>
          <w:szCs w:val="24"/>
        </w:rPr>
        <w:t>Non-</w:t>
      </w:r>
      <w:r w:rsidRPr="000D32CC">
        <w:rPr>
          <w:rFonts w:ascii="Times New Roman" w:eastAsia="Calibri" w:hAnsi="Times New Roman"/>
          <w:sz w:val="24"/>
          <w:szCs w:val="24"/>
        </w:rPr>
        <w:t>compliance and disorderly trading are reported to the FSC. Although the BSE reports to have procedures in place to monitor compliance of market participants with its rule and regulation, it</w:t>
      </w:r>
      <w:r>
        <w:rPr>
          <w:rFonts w:ascii="Times New Roman" w:eastAsia="Calibri" w:hAnsi="Times New Roman"/>
          <w:sz w:val="24"/>
          <w:szCs w:val="24"/>
        </w:rPr>
        <w:t>s small number of stuff poses</w:t>
      </w:r>
      <w:r w:rsidRPr="000D32CC">
        <w:rPr>
          <w:rFonts w:ascii="Times New Roman" w:eastAsia="Calibri" w:hAnsi="Times New Roman"/>
          <w:sz w:val="24"/>
          <w:szCs w:val="24"/>
        </w:rPr>
        <w:t xml:space="preserve"> </w:t>
      </w:r>
      <w:r>
        <w:rPr>
          <w:rFonts w:ascii="Times New Roman" w:eastAsia="Calibri" w:hAnsi="Times New Roman"/>
          <w:sz w:val="24"/>
          <w:szCs w:val="24"/>
        </w:rPr>
        <w:t xml:space="preserve">a risk to effective enforcement of its rules and regulation and monitoring of compliance. </w:t>
      </w:r>
      <w:r w:rsidRPr="000D32CC">
        <w:rPr>
          <w:rFonts w:ascii="Times New Roman" w:eastAsia="Calibri" w:hAnsi="Times New Roman"/>
          <w:sz w:val="24"/>
          <w:szCs w:val="24"/>
        </w:rPr>
        <w:t xml:space="preserve">FSAP technical note </w:t>
      </w:r>
      <w:r>
        <w:rPr>
          <w:rFonts w:ascii="Times New Roman" w:eastAsia="Calibri" w:hAnsi="Times New Roman"/>
          <w:sz w:val="24"/>
          <w:szCs w:val="24"/>
        </w:rPr>
        <w:t xml:space="preserve">on Capital Markets in Bulgaria (2008) </w:t>
      </w:r>
      <w:r w:rsidRPr="000D32CC">
        <w:rPr>
          <w:rFonts w:ascii="Times New Roman" w:eastAsia="Calibri" w:hAnsi="Times New Roman"/>
          <w:sz w:val="24"/>
          <w:szCs w:val="24"/>
        </w:rPr>
        <w:t>has previously reported that FSC has not regularly conducted off-site visit to the BSE to make sure that the BSE</w:t>
      </w:r>
      <w:r>
        <w:rPr>
          <w:rFonts w:ascii="Times New Roman" w:eastAsia="Calibri" w:hAnsi="Times New Roman"/>
          <w:sz w:val="24"/>
          <w:szCs w:val="24"/>
        </w:rPr>
        <w:t xml:space="preserve"> market</w:t>
      </w:r>
      <w:r w:rsidRPr="000D32CC">
        <w:rPr>
          <w:rFonts w:ascii="Times New Roman" w:eastAsia="Calibri" w:hAnsi="Times New Roman"/>
          <w:sz w:val="24"/>
          <w:szCs w:val="24"/>
        </w:rPr>
        <w:t xml:space="preserve"> surveillance roles is conducted adequately. One additional risk is the absence </w:t>
      </w:r>
      <w:r>
        <w:rPr>
          <w:rFonts w:ascii="Times New Roman" w:eastAsia="Calibri" w:hAnsi="Times New Roman"/>
          <w:sz w:val="24"/>
          <w:szCs w:val="24"/>
        </w:rPr>
        <w:t>of internal arrangements to cope</w:t>
      </w:r>
      <w:r w:rsidRPr="000D32CC">
        <w:rPr>
          <w:rFonts w:ascii="Times New Roman" w:eastAsia="Calibri" w:hAnsi="Times New Roman"/>
          <w:sz w:val="24"/>
          <w:szCs w:val="24"/>
        </w:rPr>
        <w:t xml:space="preserve"> with system disruptions. BSE said it was planning to create a business recovery center as a mid-term objective. If BSE becomes a part of one of the big European regulated markets, its surveillance and system functions should be improved.</w:t>
      </w:r>
    </w:p>
    <w:p w:rsidR="00BF289B" w:rsidRPr="00BF289B" w:rsidRDefault="00BF289B" w:rsidP="00BF289B">
      <w:pPr>
        <w:pStyle w:val="ListParagraph"/>
        <w:autoSpaceDE w:val="0"/>
        <w:autoSpaceDN w:val="0"/>
        <w:adjustRightInd w:val="0"/>
        <w:spacing w:after="0"/>
        <w:ind w:left="0"/>
        <w:jc w:val="both"/>
        <w:rPr>
          <w:b/>
        </w:rPr>
      </w:pPr>
    </w:p>
    <w:p w:rsidR="003107A8" w:rsidRDefault="003107A8" w:rsidP="00BF289B">
      <w:pPr>
        <w:pStyle w:val="Caption"/>
        <w:keepNext/>
        <w:keepLines/>
        <w:spacing w:after="0"/>
        <w:jc w:val="both"/>
      </w:pPr>
      <w:bookmarkStart w:id="16" w:name="_Toc297111596"/>
      <w:r>
        <w:t xml:space="preserve">Table </w:t>
      </w:r>
      <w:fldSimple w:instr=" SEQ Table \* ARABIC ">
        <w:r w:rsidR="00A064B6">
          <w:rPr>
            <w:noProof/>
          </w:rPr>
          <w:t>4</w:t>
        </w:r>
      </w:fldSimple>
      <w:r>
        <w:t xml:space="preserve">: Most </w:t>
      </w:r>
      <w:r w:rsidR="009C0B12">
        <w:t>F</w:t>
      </w:r>
      <w:r w:rsidR="001B69BA">
        <w:t>requent</w:t>
      </w:r>
      <w:r w:rsidR="009C0B12">
        <w:t xml:space="preserve"> V</w:t>
      </w:r>
      <w:r>
        <w:t>iolation</w:t>
      </w:r>
      <w:r w:rsidR="009C0B12">
        <w:t>s</w:t>
      </w:r>
      <w:r>
        <w:t xml:space="preserve"> </w:t>
      </w:r>
      <w:r w:rsidR="009C0B12">
        <w:t>by I</w:t>
      </w:r>
      <w:r>
        <w:t xml:space="preserve">nvestment </w:t>
      </w:r>
      <w:r w:rsidR="009C0B12">
        <w:t>F</w:t>
      </w:r>
      <w:r>
        <w:t>irms</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8"/>
        <w:gridCol w:w="810"/>
        <w:gridCol w:w="720"/>
        <w:gridCol w:w="643"/>
        <w:gridCol w:w="725"/>
      </w:tblGrid>
      <w:tr w:rsidR="009E7E78" w:rsidRPr="002176ED" w:rsidTr="00831412">
        <w:trPr>
          <w:trHeight w:val="638"/>
        </w:trPr>
        <w:tc>
          <w:tcPr>
            <w:tcW w:w="6678" w:type="dxa"/>
            <w:tcBorders>
              <w:top w:val="single" w:sz="4" w:space="0" w:color="auto"/>
              <w:left w:val="single" w:sz="4" w:space="0" w:color="auto"/>
              <w:bottom w:val="nil"/>
              <w:right w:val="single" w:sz="4" w:space="0" w:color="auto"/>
            </w:tcBorders>
          </w:tcPr>
          <w:p w:rsidR="009E7E78" w:rsidRPr="00AE5079" w:rsidRDefault="009E7E78" w:rsidP="00BF289B">
            <w:pPr>
              <w:pStyle w:val="ListParagraph"/>
              <w:keepNext/>
              <w:keepLines/>
              <w:spacing w:after="0"/>
              <w:rPr>
                <w:rFonts w:ascii="Times New Roman" w:hAnsi="Times New Roman"/>
                <w:sz w:val="20"/>
                <w:szCs w:val="20"/>
              </w:rPr>
            </w:pPr>
          </w:p>
        </w:tc>
        <w:tc>
          <w:tcPr>
            <w:tcW w:w="1530" w:type="dxa"/>
            <w:gridSpan w:val="2"/>
            <w:tcBorders>
              <w:left w:val="single" w:sz="4" w:space="0" w:color="auto"/>
              <w:bottom w:val="single" w:sz="4" w:space="0" w:color="auto"/>
            </w:tcBorders>
          </w:tcPr>
          <w:p w:rsidR="009E7E78" w:rsidRPr="00AE5079" w:rsidRDefault="009E7E78" w:rsidP="00BF289B">
            <w:pPr>
              <w:keepNext/>
              <w:keepLines/>
              <w:spacing w:after="0"/>
              <w:jc w:val="center"/>
              <w:rPr>
                <w:rFonts w:ascii="Times New Roman" w:hAnsi="Times New Roman"/>
                <w:b/>
                <w:sz w:val="20"/>
                <w:szCs w:val="20"/>
              </w:rPr>
            </w:pPr>
            <w:r w:rsidRPr="00AE5079">
              <w:rPr>
                <w:rFonts w:ascii="Times New Roman" w:hAnsi="Times New Roman"/>
                <w:b/>
                <w:sz w:val="20"/>
                <w:szCs w:val="20"/>
              </w:rPr>
              <w:t>Drawn up Administrative Violations</w:t>
            </w:r>
          </w:p>
        </w:tc>
        <w:tc>
          <w:tcPr>
            <w:tcW w:w="1368" w:type="dxa"/>
            <w:gridSpan w:val="2"/>
            <w:tcBorders>
              <w:bottom w:val="single" w:sz="4" w:space="0" w:color="auto"/>
            </w:tcBorders>
          </w:tcPr>
          <w:p w:rsidR="009E7E78" w:rsidRPr="00AE5079" w:rsidRDefault="009E7E78" w:rsidP="00BF289B">
            <w:pPr>
              <w:keepNext/>
              <w:keepLines/>
              <w:spacing w:after="0"/>
              <w:jc w:val="center"/>
              <w:rPr>
                <w:rFonts w:ascii="Times New Roman" w:hAnsi="Times New Roman"/>
                <w:b/>
                <w:sz w:val="20"/>
                <w:szCs w:val="20"/>
              </w:rPr>
            </w:pPr>
            <w:r w:rsidRPr="00AE5079">
              <w:rPr>
                <w:rFonts w:ascii="Times New Roman" w:hAnsi="Times New Roman"/>
                <w:b/>
                <w:sz w:val="20"/>
                <w:szCs w:val="20"/>
              </w:rPr>
              <w:t>Issued Penalty Warrants</w:t>
            </w:r>
          </w:p>
        </w:tc>
      </w:tr>
      <w:tr w:rsidR="009E7E78" w:rsidRPr="002176ED" w:rsidTr="00831412">
        <w:trPr>
          <w:trHeight w:val="70"/>
        </w:trPr>
        <w:tc>
          <w:tcPr>
            <w:tcW w:w="6678" w:type="dxa"/>
            <w:tcBorders>
              <w:top w:val="nil"/>
              <w:left w:val="single" w:sz="4" w:space="0" w:color="auto"/>
              <w:bottom w:val="single" w:sz="4" w:space="0" w:color="auto"/>
              <w:right w:val="single" w:sz="4" w:space="0" w:color="auto"/>
            </w:tcBorders>
          </w:tcPr>
          <w:p w:rsidR="009E7E78" w:rsidRPr="00AE5079" w:rsidRDefault="009E7E78" w:rsidP="00BF289B">
            <w:pPr>
              <w:pStyle w:val="ListParagraph"/>
              <w:keepNext/>
              <w:keepLines/>
              <w:spacing w:after="0"/>
              <w:rPr>
                <w:rFonts w:ascii="Times New Roman" w:hAnsi="Times New Roman"/>
                <w:sz w:val="20"/>
                <w:szCs w:val="20"/>
              </w:rPr>
            </w:pPr>
          </w:p>
        </w:tc>
        <w:tc>
          <w:tcPr>
            <w:tcW w:w="810" w:type="dxa"/>
            <w:tcBorders>
              <w:left w:val="single" w:sz="4" w:space="0" w:color="auto"/>
              <w:bottom w:val="single" w:sz="4" w:space="0" w:color="auto"/>
            </w:tcBorders>
          </w:tcPr>
          <w:p w:rsidR="009E7E78" w:rsidRPr="00AE5079" w:rsidRDefault="009E7E78" w:rsidP="00BF289B">
            <w:pPr>
              <w:keepNext/>
              <w:keepLines/>
              <w:spacing w:after="0"/>
              <w:jc w:val="right"/>
              <w:rPr>
                <w:rFonts w:ascii="Times New Roman" w:hAnsi="Times New Roman"/>
                <w:sz w:val="20"/>
                <w:szCs w:val="20"/>
              </w:rPr>
            </w:pPr>
            <w:r w:rsidRPr="00AE5079">
              <w:rPr>
                <w:rFonts w:ascii="Times New Roman" w:hAnsi="Times New Roman"/>
                <w:sz w:val="20"/>
                <w:szCs w:val="20"/>
              </w:rPr>
              <w:t>2008</w:t>
            </w:r>
          </w:p>
        </w:tc>
        <w:tc>
          <w:tcPr>
            <w:tcW w:w="720" w:type="dxa"/>
            <w:tcBorders>
              <w:bottom w:val="single" w:sz="4" w:space="0" w:color="auto"/>
            </w:tcBorders>
          </w:tcPr>
          <w:p w:rsidR="009E7E78" w:rsidRPr="00AE5079" w:rsidRDefault="009E7E78" w:rsidP="00BF289B">
            <w:pPr>
              <w:keepNext/>
              <w:keepLines/>
              <w:spacing w:after="0"/>
              <w:jc w:val="right"/>
              <w:rPr>
                <w:rFonts w:ascii="Times New Roman" w:hAnsi="Times New Roman"/>
                <w:sz w:val="20"/>
                <w:szCs w:val="20"/>
              </w:rPr>
            </w:pPr>
            <w:r w:rsidRPr="00AE5079">
              <w:rPr>
                <w:rFonts w:ascii="Times New Roman" w:hAnsi="Times New Roman"/>
                <w:sz w:val="20"/>
                <w:szCs w:val="20"/>
              </w:rPr>
              <w:t>2009</w:t>
            </w:r>
          </w:p>
        </w:tc>
        <w:tc>
          <w:tcPr>
            <w:tcW w:w="643" w:type="dxa"/>
            <w:tcBorders>
              <w:bottom w:val="single" w:sz="4" w:space="0" w:color="auto"/>
            </w:tcBorders>
          </w:tcPr>
          <w:p w:rsidR="009E7E78" w:rsidRPr="00AE5079" w:rsidRDefault="009E7E78" w:rsidP="00BF289B">
            <w:pPr>
              <w:keepNext/>
              <w:keepLines/>
              <w:spacing w:after="0"/>
              <w:jc w:val="right"/>
              <w:rPr>
                <w:rFonts w:ascii="Times New Roman" w:hAnsi="Times New Roman"/>
                <w:sz w:val="20"/>
                <w:szCs w:val="20"/>
              </w:rPr>
            </w:pPr>
            <w:r w:rsidRPr="00AE5079">
              <w:rPr>
                <w:rFonts w:ascii="Times New Roman" w:hAnsi="Times New Roman"/>
                <w:sz w:val="20"/>
                <w:szCs w:val="20"/>
              </w:rPr>
              <w:t>2008</w:t>
            </w:r>
          </w:p>
        </w:tc>
        <w:tc>
          <w:tcPr>
            <w:tcW w:w="725" w:type="dxa"/>
            <w:tcBorders>
              <w:bottom w:val="single" w:sz="4" w:space="0" w:color="auto"/>
            </w:tcBorders>
          </w:tcPr>
          <w:p w:rsidR="009E7E78" w:rsidRPr="00AE5079" w:rsidRDefault="009E7E78" w:rsidP="00BF289B">
            <w:pPr>
              <w:keepNext/>
              <w:keepLines/>
              <w:spacing w:after="0"/>
              <w:jc w:val="right"/>
              <w:rPr>
                <w:rFonts w:ascii="Times New Roman" w:hAnsi="Times New Roman"/>
                <w:sz w:val="20"/>
                <w:szCs w:val="20"/>
              </w:rPr>
            </w:pPr>
            <w:r w:rsidRPr="00AE5079">
              <w:rPr>
                <w:rFonts w:ascii="Times New Roman" w:hAnsi="Times New Roman"/>
                <w:sz w:val="20"/>
                <w:szCs w:val="20"/>
              </w:rPr>
              <w:t>2009</w:t>
            </w:r>
          </w:p>
        </w:tc>
      </w:tr>
      <w:tr w:rsidR="009E7E78" w:rsidRPr="002176ED" w:rsidTr="00BF289B">
        <w:trPr>
          <w:trHeight w:val="422"/>
        </w:trPr>
        <w:tc>
          <w:tcPr>
            <w:tcW w:w="6678" w:type="dxa"/>
            <w:tcBorders>
              <w:top w:val="single" w:sz="4" w:space="0" w:color="auto"/>
            </w:tcBorders>
          </w:tcPr>
          <w:p w:rsidR="009E7E78" w:rsidRPr="00AE5079" w:rsidRDefault="009E7E78" w:rsidP="00BF289B">
            <w:pPr>
              <w:pStyle w:val="ListParagraph"/>
              <w:keepNext/>
              <w:keepLines/>
              <w:spacing w:after="0" w:line="240" w:lineRule="auto"/>
              <w:ind w:left="0"/>
              <w:rPr>
                <w:rFonts w:ascii="Times New Roman" w:hAnsi="Times New Roman"/>
                <w:sz w:val="20"/>
                <w:szCs w:val="20"/>
              </w:rPr>
            </w:pPr>
            <w:r w:rsidRPr="00AE5079">
              <w:rPr>
                <w:rFonts w:ascii="Times New Roman" w:hAnsi="Times New Roman"/>
                <w:sz w:val="20"/>
                <w:szCs w:val="20"/>
              </w:rPr>
              <w:t>1. Qualifying holdings: Failure to submit information about persons who posses qualifying holding in the firm and their number of votes in general meetings.</w:t>
            </w:r>
          </w:p>
        </w:tc>
        <w:tc>
          <w:tcPr>
            <w:tcW w:w="810" w:type="dxa"/>
            <w:tcBorders>
              <w:top w:val="single" w:sz="4" w:space="0" w:color="auto"/>
            </w:tcBorders>
          </w:tcPr>
          <w:p w:rsidR="009E7E78" w:rsidRPr="00AE5079" w:rsidRDefault="009E7E78" w:rsidP="00BF289B">
            <w:pPr>
              <w:keepNext/>
              <w:keepLines/>
              <w:spacing w:after="0"/>
              <w:jc w:val="right"/>
              <w:rPr>
                <w:rFonts w:ascii="Times New Roman" w:hAnsi="Times New Roman"/>
                <w:b/>
                <w:sz w:val="20"/>
                <w:szCs w:val="20"/>
              </w:rPr>
            </w:pPr>
            <w:r w:rsidRPr="00AE5079">
              <w:rPr>
                <w:rFonts w:ascii="Times New Roman" w:hAnsi="Times New Roman"/>
                <w:b/>
                <w:sz w:val="20"/>
                <w:szCs w:val="20"/>
              </w:rPr>
              <w:t>18</w:t>
            </w:r>
          </w:p>
        </w:tc>
        <w:tc>
          <w:tcPr>
            <w:tcW w:w="720" w:type="dxa"/>
            <w:tcBorders>
              <w:top w:val="single" w:sz="4" w:space="0" w:color="auto"/>
            </w:tcBorders>
          </w:tcPr>
          <w:p w:rsidR="009E7E78" w:rsidRPr="00AE5079" w:rsidRDefault="009E7E78" w:rsidP="00BF289B">
            <w:pPr>
              <w:keepNext/>
              <w:keepLines/>
              <w:spacing w:after="0"/>
              <w:jc w:val="right"/>
              <w:rPr>
                <w:rFonts w:ascii="Times New Roman" w:hAnsi="Times New Roman"/>
                <w:sz w:val="20"/>
                <w:szCs w:val="20"/>
              </w:rPr>
            </w:pPr>
            <w:r w:rsidRPr="00AE5079">
              <w:rPr>
                <w:rFonts w:ascii="Times New Roman" w:hAnsi="Times New Roman"/>
                <w:sz w:val="20"/>
                <w:szCs w:val="20"/>
              </w:rPr>
              <w:t>5</w:t>
            </w:r>
          </w:p>
        </w:tc>
        <w:tc>
          <w:tcPr>
            <w:tcW w:w="643" w:type="dxa"/>
            <w:tcBorders>
              <w:top w:val="single" w:sz="4" w:space="0" w:color="auto"/>
            </w:tcBorders>
          </w:tcPr>
          <w:p w:rsidR="009E7E78" w:rsidRPr="00AE5079" w:rsidRDefault="009E7E78" w:rsidP="00BF289B">
            <w:pPr>
              <w:keepNext/>
              <w:keepLines/>
              <w:spacing w:after="0"/>
              <w:jc w:val="right"/>
              <w:rPr>
                <w:rFonts w:ascii="Times New Roman" w:hAnsi="Times New Roman"/>
                <w:sz w:val="20"/>
                <w:szCs w:val="20"/>
              </w:rPr>
            </w:pPr>
            <w:r w:rsidRPr="00AE5079">
              <w:rPr>
                <w:rFonts w:ascii="Times New Roman" w:hAnsi="Times New Roman"/>
                <w:sz w:val="20"/>
                <w:szCs w:val="20"/>
              </w:rPr>
              <w:t>0</w:t>
            </w:r>
          </w:p>
        </w:tc>
        <w:tc>
          <w:tcPr>
            <w:tcW w:w="725" w:type="dxa"/>
            <w:tcBorders>
              <w:top w:val="single" w:sz="4" w:space="0" w:color="auto"/>
            </w:tcBorders>
          </w:tcPr>
          <w:p w:rsidR="009E7E78" w:rsidRPr="00AE5079" w:rsidRDefault="009E7E78" w:rsidP="00BF289B">
            <w:pPr>
              <w:keepNext/>
              <w:keepLines/>
              <w:spacing w:after="0"/>
              <w:jc w:val="right"/>
              <w:rPr>
                <w:rFonts w:ascii="Times New Roman" w:hAnsi="Times New Roman"/>
                <w:sz w:val="20"/>
                <w:szCs w:val="20"/>
              </w:rPr>
            </w:pPr>
            <w:r w:rsidRPr="00AE5079">
              <w:rPr>
                <w:rFonts w:ascii="Times New Roman" w:hAnsi="Times New Roman"/>
                <w:sz w:val="20"/>
                <w:szCs w:val="20"/>
              </w:rPr>
              <w:t>1</w:t>
            </w:r>
          </w:p>
        </w:tc>
      </w:tr>
      <w:tr w:rsidR="009E7E78" w:rsidRPr="002176ED" w:rsidTr="00BF289B">
        <w:tc>
          <w:tcPr>
            <w:tcW w:w="6678" w:type="dxa"/>
          </w:tcPr>
          <w:p w:rsidR="009E7E78" w:rsidRPr="00AE5079" w:rsidRDefault="009E7E78" w:rsidP="00BF289B">
            <w:pPr>
              <w:pStyle w:val="ListParagraph"/>
              <w:keepNext/>
              <w:keepLines/>
              <w:spacing w:after="0" w:line="240" w:lineRule="auto"/>
              <w:ind w:left="0"/>
              <w:rPr>
                <w:rFonts w:ascii="Times New Roman" w:hAnsi="Times New Roman"/>
                <w:sz w:val="20"/>
                <w:szCs w:val="20"/>
              </w:rPr>
            </w:pPr>
            <w:r w:rsidRPr="00AE5079">
              <w:rPr>
                <w:rFonts w:ascii="Times New Roman" w:hAnsi="Times New Roman"/>
                <w:sz w:val="20"/>
                <w:szCs w:val="20"/>
              </w:rPr>
              <w:t>2. Safeguarding of client funds: Violation of the requirement that investment firm separate its funds from those of its customers</w:t>
            </w:r>
          </w:p>
        </w:tc>
        <w:tc>
          <w:tcPr>
            <w:tcW w:w="810" w:type="dxa"/>
          </w:tcPr>
          <w:p w:rsidR="009E7E78" w:rsidRPr="00AE5079" w:rsidRDefault="009E7E78" w:rsidP="00BF289B">
            <w:pPr>
              <w:keepNext/>
              <w:keepLines/>
              <w:spacing w:after="0"/>
              <w:jc w:val="right"/>
              <w:rPr>
                <w:rFonts w:ascii="Times New Roman" w:hAnsi="Times New Roman"/>
                <w:b/>
                <w:sz w:val="20"/>
                <w:szCs w:val="20"/>
              </w:rPr>
            </w:pPr>
            <w:r w:rsidRPr="00AE5079">
              <w:rPr>
                <w:rFonts w:ascii="Times New Roman" w:hAnsi="Times New Roman"/>
                <w:b/>
                <w:sz w:val="20"/>
                <w:szCs w:val="20"/>
              </w:rPr>
              <w:t>12</w:t>
            </w:r>
          </w:p>
        </w:tc>
        <w:tc>
          <w:tcPr>
            <w:tcW w:w="720" w:type="dxa"/>
          </w:tcPr>
          <w:p w:rsidR="009E7E78" w:rsidRPr="00AE5079" w:rsidRDefault="009E7E78" w:rsidP="00BF289B">
            <w:pPr>
              <w:keepNext/>
              <w:keepLines/>
              <w:spacing w:after="0"/>
              <w:jc w:val="right"/>
              <w:rPr>
                <w:rFonts w:ascii="Times New Roman" w:hAnsi="Times New Roman"/>
                <w:sz w:val="20"/>
                <w:szCs w:val="20"/>
              </w:rPr>
            </w:pPr>
            <w:r w:rsidRPr="00AE5079">
              <w:rPr>
                <w:rFonts w:ascii="Times New Roman" w:hAnsi="Times New Roman"/>
                <w:sz w:val="20"/>
                <w:szCs w:val="20"/>
              </w:rPr>
              <w:t>0</w:t>
            </w:r>
          </w:p>
        </w:tc>
        <w:tc>
          <w:tcPr>
            <w:tcW w:w="643" w:type="dxa"/>
          </w:tcPr>
          <w:p w:rsidR="009E7E78" w:rsidRPr="00AE5079" w:rsidRDefault="009E7E78" w:rsidP="00BF289B">
            <w:pPr>
              <w:keepNext/>
              <w:keepLines/>
              <w:spacing w:after="0"/>
              <w:jc w:val="right"/>
              <w:rPr>
                <w:rFonts w:ascii="Times New Roman" w:hAnsi="Times New Roman"/>
                <w:sz w:val="20"/>
                <w:szCs w:val="20"/>
              </w:rPr>
            </w:pPr>
            <w:r w:rsidRPr="00AE5079">
              <w:rPr>
                <w:rFonts w:ascii="Times New Roman" w:hAnsi="Times New Roman"/>
                <w:sz w:val="20"/>
                <w:szCs w:val="20"/>
              </w:rPr>
              <w:t>4</w:t>
            </w:r>
          </w:p>
        </w:tc>
        <w:tc>
          <w:tcPr>
            <w:tcW w:w="725" w:type="dxa"/>
          </w:tcPr>
          <w:p w:rsidR="009E7E78" w:rsidRPr="00AE5079" w:rsidRDefault="009E7E78" w:rsidP="00BF289B">
            <w:pPr>
              <w:keepNext/>
              <w:keepLines/>
              <w:spacing w:after="0"/>
              <w:jc w:val="right"/>
              <w:rPr>
                <w:rFonts w:ascii="Times New Roman" w:hAnsi="Times New Roman"/>
                <w:sz w:val="20"/>
                <w:szCs w:val="20"/>
              </w:rPr>
            </w:pPr>
            <w:r w:rsidRPr="00AE5079">
              <w:rPr>
                <w:rFonts w:ascii="Times New Roman" w:hAnsi="Times New Roman"/>
                <w:sz w:val="20"/>
                <w:szCs w:val="20"/>
              </w:rPr>
              <w:t>0</w:t>
            </w:r>
          </w:p>
        </w:tc>
      </w:tr>
      <w:tr w:rsidR="009E7E78" w:rsidRPr="002176ED" w:rsidTr="00BF289B">
        <w:tc>
          <w:tcPr>
            <w:tcW w:w="6678" w:type="dxa"/>
          </w:tcPr>
          <w:p w:rsidR="009E7E78" w:rsidRPr="00AE5079" w:rsidRDefault="009E7E78" w:rsidP="00BF289B">
            <w:pPr>
              <w:pStyle w:val="ListParagraph"/>
              <w:keepNext/>
              <w:keepLines/>
              <w:spacing w:after="0" w:line="240" w:lineRule="auto"/>
              <w:ind w:left="0"/>
              <w:rPr>
                <w:rFonts w:ascii="Times New Roman" w:hAnsi="Times New Roman"/>
                <w:sz w:val="20"/>
                <w:szCs w:val="20"/>
              </w:rPr>
            </w:pPr>
            <w:r w:rsidRPr="00AE5079">
              <w:rPr>
                <w:rFonts w:ascii="Times New Roman" w:hAnsi="Times New Roman"/>
                <w:sz w:val="20"/>
                <w:szCs w:val="20"/>
              </w:rPr>
              <w:t>3. Safeguarding of client assets: Investment firms failed to check at the CDAD if the financial instruments  to which the sale order relate are available on the customer’s sub-accounts, if they are blocked and if pledge is established on them, or a distrait imposed.</w:t>
            </w:r>
          </w:p>
        </w:tc>
        <w:tc>
          <w:tcPr>
            <w:tcW w:w="810" w:type="dxa"/>
          </w:tcPr>
          <w:p w:rsidR="009E7E78" w:rsidRPr="00AE5079" w:rsidRDefault="009E7E78" w:rsidP="00BF289B">
            <w:pPr>
              <w:keepNext/>
              <w:keepLines/>
              <w:spacing w:after="0"/>
              <w:jc w:val="right"/>
              <w:rPr>
                <w:rFonts w:ascii="Times New Roman" w:hAnsi="Times New Roman"/>
                <w:b/>
                <w:sz w:val="20"/>
                <w:szCs w:val="20"/>
              </w:rPr>
            </w:pPr>
            <w:r w:rsidRPr="00AE5079">
              <w:rPr>
                <w:rFonts w:ascii="Times New Roman" w:hAnsi="Times New Roman"/>
                <w:b/>
                <w:sz w:val="20"/>
                <w:szCs w:val="20"/>
              </w:rPr>
              <w:t>10</w:t>
            </w:r>
          </w:p>
        </w:tc>
        <w:tc>
          <w:tcPr>
            <w:tcW w:w="720" w:type="dxa"/>
          </w:tcPr>
          <w:p w:rsidR="009E7E78" w:rsidRPr="00AE5079" w:rsidRDefault="009E7E78" w:rsidP="00BF289B">
            <w:pPr>
              <w:keepNext/>
              <w:keepLines/>
              <w:spacing w:after="0"/>
              <w:jc w:val="right"/>
              <w:rPr>
                <w:rFonts w:ascii="Times New Roman" w:hAnsi="Times New Roman"/>
                <w:sz w:val="20"/>
                <w:szCs w:val="20"/>
              </w:rPr>
            </w:pPr>
            <w:r w:rsidRPr="00AE5079">
              <w:rPr>
                <w:rFonts w:ascii="Times New Roman" w:hAnsi="Times New Roman"/>
                <w:sz w:val="20"/>
                <w:szCs w:val="20"/>
              </w:rPr>
              <w:t>1</w:t>
            </w:r>
          </w:p>
        </w:tc>
        <w:tc>
          <w:tcPr>
            <w:tcW w:w="643" w:type="dxa"/>
          </w:tcPr>
          <w:p w:rsidR="009E7E78" w:rsidRPr="00AE5079" w:rsidRDefault="009E7E78" w:rsidP="00BF289B">
            <w:pPr>
              <w:keepNext/>
              <w:keepLines/>
              <w:spacing w:after="0"/>
              <w:jc w:val="right"/>
              <w:rPr>
                <w:rFonts w:ascii="Times New Roman" w:hAnsi="Times New Roman"/>
                <w:sz w:val="20"/>
                <w:szCs w:val="20"/>
              </w:rPr>
            </w:pPr>
            <w:r w:rsidRPr="00AE5079">
              <w:rPr>
                <w:rFonts w:ascii="Times New Roman" w:hAnsi="Times New Roman"/>
                <w:sz w:val="20"/>
                <w:szCs w:val="20"/>
              </w:rPr>
              <w:t>0</w:t>
            </w:r>
          </w:p>
        </w:tc>
        <w:tc>
          <w:tcPr>
            <w:tcW w:w="725" w:type="dxa"/>
          </w:tcPr>
          <w:p w:rsidR="009E7E78" w:rsidRPr="00AE5079" w:rsidRDefault="009E7E78" w:rsidP="00BF289B">
            <w:pPr>
              <w:keepNext/>
              <w:keepLines/>
              <w:spacing w:after="0"/>
              <w:jc w:val="right"/>
              <w:rPr>
                <w:rFonts w:ascii="Times New Roman" w:hAnsi="Times New Roman"/>
                <w:sz w:val="20"/>
                <w:szCs w:val="20"/>
              </w:rPr>
            </w:pPr>
            <w:r w:rsidRPr="00AE5079">
              <w:rPr>
                <w:rFonts w:ascii="Times New Roman" w:hAnsi="Times New Roman"/>
                <w:sz w:val="20"/>
                <w:szCs w:val="20"/>
              </w:rPr>
              <w:t>2</w:t>
            </w:r>
          </w:p>
        </w:tc>
      </w:tr>
      <w:tr w:rsidR="009E7E78" w:rsidRPr="002176ED" w:rsidTr="00BF289B">
        <w:tc>
          <w:tcPr>
            <w:tcW w:w="6678" w:type="dxa"/>
          </w:tcPr>
          <w:p w:rsidR="009E7E78" w:rsidRPr="00AE5079" w:rsidRDefault="009E7E78" w:rsidP="00BF289B">
            <w:pPr>
              <w:pStyle w:val="ListParagraph"/>
              <w:keepNext/>
              <w:keepLines/>
              <w:spacing w:after="0" w:line="240" w:lineRule="auto"/>
              <w:ind w:left="0"/>
              <w:rPr>
                <w:rFonts w:ascii="Times New Roman" w:hAnsi="Times New Roman"/>
                <w:sz w:val="20"/>
                <w:szCs w:val="20"/>
              </w:rPr>
            </w:pPr>
            <w:r w:rsidRPr="00AE5079">
              <w:rPr>
                <w:rFonts w:ascii="Times New Roman" w:hAnsi="Times New Roman"/>
                <w:sz w:val="20"/>
                <w:szCs w:val="20"/>
              </w:rPr>
              <w:t>4. Safeguarding of client assets:  Investment firms did not take necessary actions to ensure that the deposited cash of customers is kept on individual account of customers account and separately from that of the inv. firm.</w:t>
            </w:r>
          </w:p>
        </w:tc>
        <w:tc>
          <w:tcPr>
            <w:tcW w:w="810" w:type="dxa"/>
          </w:tcPr>
          <w:p w:rsidR="009E7E78" w:rsidRPr="00AE5079" w:rsidRDefault="009E7E78" w:rsidP="00BF289B">
            <w:pPr>
              <w:keepNext/>
              <w:keepLines/>
              <w:spacing w:after="0"/>
              <w:jc w:val="right"/>
              <w:rPr>
                <w:rFonts w:ascii="Times New Roman" w:hAnsi="Times New Roman"/>
                <w:b/>
                <w:sz w:val="20"/>
                <w:szCs w:val="20"/>
              </w:rPr>
            </w:pPr>
            <w:r w:rsidRPr="00AE5079">
              <w:rPr>
                <w:rFonts w:ascii="Times New Roman" w:hAnsi="Times New Roman"/>
                <w:b/>
                <w:sz w:val="20"/>
                <w:szCs w:val="20"/>
              </w:rPr>
              <w:t>10</w:t>
            </w:r>
          </w:p>
        </w:tc>
        <w:tc>
          <w:tcPr>
            <w:tcW w:w="720" w:type="dxa"/>
          </w:tcPr>
          <w:p w:rsidR="009E7E78" w:rsidRPr="00AE5079" w:rsidRDefault="009E7E78" w:rsidP="00BF289B">
            <w:pPr>
              <w:keepNext/>
              <w:keepLines/>
              <w:spacing w:after="0"/>
              <w:jc w:val="right"/>
              <w:rPr>
                <w:rFonts w:ascii="Times New Roman" w:hAnsi="Times New Roman"/>
                <w:sz w:val="20"/>
                <w:szCs w:val="20"/>
              </w:rPr>
            </w:pPr>
            <w:r w:rsidRPr="00AE5079">
              <w:rPr>
                <w:rFonts w:ascii="Times New Roman" w:hAnsi="Times New Roman"/>
                <w:sz w:val="20"/>
                <w:szCs w:val="20"/>
              </w:rPr>
              <w:t>0</w:t>
            </w:r>
          </w:p>
        </w:tc>
        <w:tc>
          <w:tcPr>
            <w:tcW w:w="643" w:type="dxa"/>
          </w:tcPr>
          <w:p w:rsidR="009E7E78" w:rsidRPr="00AE5079" w:rsidRDefault="009E7E78" w:rsidP="00BF289B">
            <w:pPr>
              <w:keepNext/>
              <w:keepLines/>
              <w:spacing w:after="0"/>
              <w:jc w:val="right"/>
              <w:rPr>
                <w:rFonts w:ascii="Times New Roman" w:hAnsi="Times New Roman"/>
                <w:sz w:val="20"/>
                <w:szCs w:val="20"/>
              </w:rPr>
            </w:pPr>
            <w:r w:rsidRPr="00AE5079">
              <w:rPr>
                <w:rFonts w:ascii="Times New Roman" w:hAnsi="Times New Roman"/>
                <w:sz w:val="20"/>
                <w:szCs w:val="20"/>
              </w:rPr>
              <w:t>2</w:t>
            </w:r>
          </w:p>
        </w:tc>
        <w:tc>
          <w:tcPr>
            <w:tcW w:w="725" w:type="dxa"/>
          </w:tcPr>
          <w:p w:rsidR="009E7E78" w:rsidRPr="00AE5079" w:rsidRDefault="009E7E78" w:rsidP="00BF289B">
            <w:pPr>
              <w:keepNext/>
              <w:keepLines/>
              <w:spacing w:after="0"/>
              <w:jc w:val="right"/>
              <w:rPr>
                <w:rFonts w:ascii="Times New Roman" w:hAnsi="Times New Roman"/>
                <w:sz w:val="20"/>
                <w:szCs w:val="20"/>
              </w:rPr>
            </w:pPr>
            <w:r w:rsidRPr="00AE5079">
              <w:rPr>
                <w:rFonts w:ascii="Times New Roman" w:hAnsi="Times New Roman"/>
                <w:sz w:val="20"/>
                <w:szCs w:val="20"/>
              </w:rPr>
              <w:t>0</w:t>
            </w:r>
          </w:p>
        </w:tc>
      </w:tr>
      <w:tr w:rsidR="009E7E78" w:rsidRPr="002176ED" w:rsidTr="00BF289B">
        <w:trPr>
          <w:trHeight w:val="125"/>
        </w:trPr>
        <w:tc>
          <w:tcPr>
            <w:tcW w:w="6678" w:type="dxa"/>
          </w:tcPr>
          <w:p w:rsidR="009E7E78" w:rsidRPr="00AE5079" w:rsidRDefault="009E7E78" w:rsidP="00BF289B">
            <w:pPr>
              <w:pStyle w:val="ListParagraph"/>
              <w:keepNext/>
              <w:keepLines/>
              <w:spacing w:after="0" w:line="240" w:lineRule="auto"/>
              <w:ind w:left="0"/>
              <w:rPr>
                <w:rFonts w:ascii="Times New Roman" w:hAnsi="Times New Roman"/>
                <w:sz w:val="20"/>
                <w:szCs w:val="20"/>
              </w:rPr>
            </w:pPr>
            <w:r w:rsidRPr="00AE5079">
              <w:rPr>
                <w:rFonts w:ascii="Times New Roman" w:hAnsi="Times New Roman"/>
                <w:sz w:val="20"/>
                <w:szCs w:val="20"/>
              </w:rPr>
              <w:t>5. Minimum capital requirement not aligned with legal requirements.</w:t>
            </w:r>
          </w:p>
        </w:tc>
        <w:tc>
          <w:tcPr>
            <w:tcW w:w="810" w:type="dxa"/>
          </w:tcPr>
          <w:p w:rsidR="009E7E78" w:rsidRPr="00AE5079" w:rsidRDefault="009E7E78" w:rsidP="00BF289B">
            <w:pPr>
              <w:keepNext/>
              <w:keepLines/>
              <w:spacing w:after="0"/>
              <w:jc w:val="right"/>
              <w:rPr>
                <w:rFonts w:ascii="Times New Roman" w:hAnsi="Times New Roman"/>
                <w:sz w:val="20"/>
                <w:szCs w:val="20"/>
              </w:rPr>
            </w:pPr>
            <w:r w:rsidRPr="00AE5079">
              <w:rPr>
                <w:rFonts w:ascii="Times New Roman" w:hAnsi="Times New Roman"/>
                <w:sz w:val="20"/>
                <w:szCs w:val="20"/>
              </w:rPr>
              <w:t>9</w:t>
            </w:r>
          </w:p>
        </w:tc>
        <w:tc>
          <w:tcPr>
            <w:tcW w:w="720" w:type="dxa"/>
          </w:tcPr>
          <w:p w:rsidR="009E7E78" w:rsidRPr="00AE5079" w:rsidRDefault="009E7E78" w:rsidP="00BF289B">
            <w:pPr>
              <w:keepNext/>
              <w:keepLines/>
              <w:spacing w:after="0"/>
              <w:jc w:val="right"/>
              <w:rPr>
                <w:rFonts w:ascii="Times New Roman" w:hAnsi="Times New Roman"/>
                <w:sz w:val="20"/>
                <w:szCs w:val="20"/>
              </w:rPr>
            </w:pPr>
            <w:r w:rsidRPr="00AE5079">
              <w:rPr>
                <w:rFonts w:ascii="Times New Roman" w:hAnsi="Times New Roman"/>
                <w:sz w:val="20"/>
                <w:szCs w:val="20"/>
              </w:rPr>
              <w:t>0</w:t>
            </w:r>
          </w:p>
        </w:tc>
        <w:tc>
          <w:tcPr>
            <w:tcW w:w="643" w:type="dxa"/>
          </w:tcPr>
          <w:p w:rsidR="009E7E78" w:rsidRPr="00AE5079" w:rsidRDefault="009E7E78" w:rsidP="00BF289B">
            <w:pPr>
              <w:keepNext/>
              <w:keepLines/>
              <w:spacing w:after="0"/>
              <w:jc w:val="right"/>
              <w:rPr>
                <w:rFonts w:ascii="Times New Roman" w:hAnsi="Times New Roman"/>
                <w:sz w:val="20"/>
                <w:szCs w:val="20"/>
              </w:rPr>
            </w:pPr>
            <w:r w:rsidRPr="00AE5079">
              <w:rPr>
                <w:rFonts w:ascii="Times New Roman" w:hAnsi="Times New Roman"/>
                <w:sz w:val="20"/>
                <w:szCs w:val="20"/>
              </w:rPr>
              <w:t>0</w:t>
            </w:r>
          </w:p>
        </w:tc>
        <w:tc>
          <w:tcPr>
            <w:tcW w:w="725" w:type="dxa"/>
          </w:tcPr>
          <w:p w:rsidR="009E7E78" w:rsidRPr="00AE5079" w:rsidRDefault="009E7E78" w:rsidP="00BF289B">
            <w:pPr>
              <w:keepNext/>
              <w:keepLines/>
              <w:spacing w:after="0"/>
              <w:jc w:val="right"/>
              <w:rPr>
                <w:rFonts w:ascii="Times New Roman" w:hAnsi="Times New Roman"/>
                <w:sz w:val="20"/>
                <w:szCs w:val="20"/>
              </w:rPr>
            </w:pPr>
            <w:r w:rsidRPr="00AE5079">
              <w:rPr>
                <w:rFonts w:ascii="Times New Roman" w:hAnsi="Times New Roman"/>
                <w:sz w:val="20"/>
                <w:szCs w:val="20"/>
              </w:rPr>
              <w:t>1</w:t>
            </w:r>
          </w:p>
        </w:tc>
      </w:tr>
      <w:tr w:rsidR="009E7E78" w:rsidRPr="002176ED" w:rsidTr="00BF289B">
        <w:tc>
          <w:tcPr>
            <w:tcW w:w="6678" w:type="dxa"/>
          </w:tcPr>
          <w:p w:rsidR="009E7E78" w:rsidRPr="00AE5079" w:rsidRDefault="009E7E78" w:rsidP="00BF289B">
            <w:pPr>
              <w:pStyle w:val="ListParagraph"/>
              <w:keepNext/>
              <w:keepLines/>
              <w:spacing w:after="0" w:line="240" w:lineRule="auto"/>
              <w:ind w:left="0"/>
              <w:rPr>
                <w:rFonts w:ascii="Times New Roman" w:hAnsi="Times New Roman"/>
                <w:sz w:val="20"/>
                <w:szCs w:val="20"/>
              </w:rPr>
            </w:pPr>
            <w:r w:rsidRPr="00AE5079">
              <w:rPr>
                <w:rFonts w:ascii="Times New Roman" w:hAnsi="Times New Roman"/>
                <w:sz w:val="20"/>
                <w:szCs w:val="20"/>
              </w:rPr>
              <w:t>6. Occurred circumstances: Investment firms failed to notify the FSC within the set time limit of occurred circumstances.</w:t>
            </w:r>
          </w:p>
        </w:tc>
        <w:tc>
          <w:tcPr>
            <w:tcW w:w="810" w:type="dxa"/>
          </w:tcPr>
          <w:p w:rsidR="009E7E78" w:rsidRPr="00AE5079" w:rsidRDefault="009E7E78" w:rsidP="00BF289B">
            <w:pPr>
              <w:keepNext/>
              <w:keepLines/>
              <w:spacing w:after="0"/>
              <w:jc w:val="right"/>
              <w:rPr>
                <w:rFonts w:ascii="Times New Roman" w:hAnsi="Times New Roman"/>
                <w:sz w:val="20"/>
                <w:szCs w:val="20"/>
              </w:rPr>
            </w:pPr>
            <w:r w:rsidRPr="00AE5079">
              <w:rPr>
                <w:rFonts w:ascii="Times New Roman" w:hAnsi="Times New Roman"/>
                <w:sz w:val="20"/>
                <w:szCs w:val="20"/>
              </w:rPr>
              <w:t>3</w:t>
            </w:r>
          </w:p>
        </w:tc>
        <w:tc>
          <w:tcPr>
            <w:tcW w:w="720" w:type="dxa"/>
          </w:tcPr>
          <w:p w:rsidR="009E7E78" w:rsidRPr="00AE5079" w:rsidRDefault="009E7E78" w:rsidP="00BF289B">
            <w:pPr>
              <w:keepNext/>
              <w:keepLines/>
              <w:spacing w:after="0"/>
              <w:jc w:val="right"/>
              <w:rPr>
                <w:rFonts w:ascii="Times New Roman" w:hAnsi="Times New Roman"/>
                <w:sz w:val="20"/>
                <w:szCs w:val="20"/>
              </w:rPr>
            </w:pPr>
            <w:r w:rsidRPr="00AE5079">
              <w:rPr>
                <w:rFonts w:ascii="Times New Roman" w:hAnsi="Times New Roman"/>
                <w:sz w:val="20"/>
                <w:szCs w:val="20"/>
              </w:rPr>
              <w:t>4</w:t>
            </w:r>
          </w:p>
        </w:tc>
        <w:tc>
          <w:tcPr>
            <w:tcW w:w="643" w:type="dxa"/>
          </w:tcPr>
          <w:p w:rsidR="009E7E78" w:rsidRPr="00AE5079" w:rsidRDefault="009E7E78" w:rsidP="00BF289B">
            <w:pPr>
              <w:keepNext/>
              <w:keepLines/>
              <w:spacing w:after="0"/>
              <w:jc w:val="right"/>
              <w:rPr>
                <w:rFonts w:ascii="Times New Roman" w:hAnsi="Times New Roman"/>
                <w:sz w:val="20"/>
                <w:szCs w:val="20"/>
              </w:rPr>
            </w:pPr>
            <w:r w:rsidRPr="00AE5079">
              <w:rPr>
                <w:rFonts w:ascii="Times New Roman" w:hAnsi="Times New Roman"/>
                <w:sz w:val="20"/>
                <w:szCs w:val="20"/>
              </w:rPr>
              <w:t>1</w:t>
            </w:r>
          </w:p>
        </w:tc>
        <w:tc>
          <w:tcPr>
            <w:tcW w:w="725" w:type="dxa"/>
          </w:tcPr>
          <w:p w:rsidR="009E7E78" w:rsidRPr="00AE5079" w:rsidRDefault="009E7E78" w:rsidP="00BF289B">
            <w:pPr>
              <w:keepNext/>
              <w:keepLines/>
              <w:spacing w:after="0"/>
              <w:jc w:val="right"/>
              <w:rPr>
                <w:rFonts w:ascii="Times New Roman" w:hAnsi="Times New Roman"/>
                <w:sz w:val="20"/>
                <w:szCs w:val="20"/>
              </w:rPr>
            </w:pPr>
            <w:r w:rsidRPr="00AE5079">
              <w:rPr>
                <w:rFonts w:ascii="Times New Roman" w:hAnsi="Times New Roman"/>
                <w:sz w:val="20"/>
                <w:szCs w:val="20"/>
              </w:rPr>
              <w:t>4</w:t>
            </w:r>
          </w:p>
        </w:tc>
      </w:tr>
      <w:tr w:rsidR="009E7E78" w:rsidRPr="002176ED" w:rsidTr="00BF289B">
        <w:tc>
          <w:tcPr>
            <w:tcW w:w="6678" w:type="dxa"/>
          </w:tcPr>
          <w:p w:rsidR="009E7E78" w:rsidRPr="00AE5079" w:rsidRDefault="009E7E78" w:rsidP="00BF289B">
            <w:pPr>
              <w:pStyle w:val="ListParagraph"/>
              <w:keepNext/>
              <w:keepLines/>
              <w:spacing w:after="0" w:line="240" w:lineRule="auto"/>
              <w:ind w:left="0"/>
              <w:rPr>
                <w:rFonts w:ascii="Times New Roman" w:hAnsi="Times New Roman"/>
                <w:sz w:val="20"/>
                <w:szCs w:val="20"/>
              </w:rPr>
            </w:pPr>
            <w:r w:rsidRPr="00AE5079">
              <w:rPr>
                <w:rFonts w:ascii="Times New Roman" w:hAnsi="Times New Roman"/>
                <w:sz w:val="20"/>
                <w:szCs w:val="20"/>
              </w:rPr>
              <w:t>7. Failure of brokers to notify FSC of termination of their contracts</w:t>
            </w:r>
          </w:p>
        </w:tc>
        <w:tc>
          <w:tcPr>
            <w:tcW w:w="810" w:type="dxa"/>
          </w:tcPr>
          <w:p w:rsidR="009E7E78" w:rsidRPr="00AE5079" w:rsidRDefault="009E7E78" w:rsidP="00BF289B">
            <w:pPr>
              <w:keepNext/>
              <w:keepLines/>
              <w:spacing w:after="0"/>
              <w:jc w:val="right"/>
              <w:rPr>
                <w:rFonts w:ascii="Times New Roman" w:hAnsi="Times New Roman"/>
                <w:sz w:val="20"/>
                <w:szCs w:val="20"/>
              </w:rPr>
            </w:pPr>
            <w:r w:rsidRPr="00AE5079">
              <w:rPr>
                <w:rFonts w:ascii="Times New Roman" w:hAnsi="Times New Roman"/>
                <w:sz w:val="20"/>
                <w:szCs w:val="20"/>
              </w:rPr>
              <w:t>1</w:t>
            </w:r>
          </w:p>
        </w:tc>
        <w:tc>
          <w:tcPr>
            <w:tcW w:w="720" w:type="dxa"/>
          </w:tcPr>
          <w:p w:rsidR="009E7E78" w:rsidRPr="00AE5079" w:rsidRDefault="009E7E78" w:rsidP="00BF289B">
            <w:pPr>
              <w:keepNext/>
              <w:keepLines/>
              <w:spacing w:after="0"/>
              <w:jc w:val="right"/>
              <w:rPr>
                <w:rFonts w:ascii="Times New Roman" w:hAnsi="Times New Roman"/>
                <w:sz w:val="20"/>
                <w:szCs w:val="20"/>
              </w:rPr>
            </w:pPr>
            <w:r w:rsidRPr="00AE5079">
              <w:rPr>
                <w:rFonts w:ascii="Times New Roman" w:hAnsi="Times New Roman"/>
                <w:sz w:val="20"/>
                <w:szCs w:val="20"/>
              </w:rPr>
              <w:t>3</w:t>
            </w:r>
          </w:p>
        </w:tc>
        <w:tc>
          <w:tcPr>
            <w:tcW w:w="643" w:type="dxa"/>
          </w:tcPr>
          <w:p w:rsidR="009E7E78" w:rsidRPr="00AE5079" w:rsidRDefault="009E7E78" w:rsidP="00BF289B">
            <w:pPr>
              <w:keepNext/>
              <w:keepLines/>
              <w:spacing w:after="0"/>
              <w:jc w:val="right"/>
              <w:rPr>
                <w:rFonts w:ascii="Times New Roman" w:hAnsi="Times New Roman"/>
                <w:sz w:val="20"/>
                <w:szCs w:val="20"/>
              </w:rPr>
            </w:pPr>
            <w:r w:rsidRPr="00AE5079">
              <w:rPr>
                <w:rFonts w:ascii="Times New Roman" w:hAnsi="Times New Roman"/>
                <w:sz w:val="20"/>
                <w:szCs w:val="20"/>
              </w:rPr>
              <w:t>1</w:t>
            </w:r>
          </w:p>
        </w:tc>
        <w:tc>
          <w:tcPr>
            <w:tcW w:w="725" w:type="dxa"/>
          </w:tcPr>
          <w:p w:rsidR="009E7E78" w:rsidRPr="00AE5079" w:rsidRDefault="009E7E78" w:rsidP="00BF289B">
            <w:pPr>
              <w:keepNext/>
              <w:keepLines/>
              <w:spacing w:after="0"/>
              <w:jc w:val="right"/>
              <w:rPr>
                <w:rFonts w:ascii="Times New Roman" w:hAnsi="Times New Roman"/>
                <w:sz w:val="20"/>
                <w:szCs w:val="20"/>
              </w:rPr>
            </w:pPr>
            <w:r w:rsidRPr="00AE5079">
              <w:rPr>
                <w:rFonts w:ascii="Times New Roman" w:hAnsi="Times New Roman"/>
                <w:sz w:val="20"/>
                <w:szCs w:val="20"/>
              </w:rPr>
              <w:t>1</w:t>
            </w:r>
          </w:p>
        </w:tc>
      </w:tr>
      <w:tr w:rsidR="009E7E78" w:rsidRPr="002176ED" w:rsidTr="00BF289B">
        <w:tc>
          <w:tcPr>
            <w:tcW w:w="6678" w:type="dxa"/>
          </w:tcPr>
          <w:p w:rsidR="009E7E78" w:rsidRPr="00AE5079" w:rsidRDefault="009E7E78" w:rsidP="00BF289B">
            <w:pPr>
              <w:pStyle w:val="ListParagraph"/>
              <w:keepNext/>
              <w:keepLines/>
              <w:spacing w:after="0" w:line="240" w:lineRule="auto"/>
              <w:ind w:left="0"/>
              <w:rPr>
                <w:rFonts w:ascii="Times New Roman" w:hAnsi="Times New Roman"/>
                <w:sz w:val="20"/>
                <w:szCs w:val="20"/>
              </w:rPr>
            </w:pPr>
            <w:r w:rsidRPr="00AE5079">
              <w:rPr>
                <w:rFonts w:ascii="Times New Roman" w:hAnsi="Times New Roman"/>
                <w:sz w:val="20"/>
                <w:szCs w:val="20"/>
              </w:rPr>
              <w:t>8. Large exposures: Investment firm’s daily exposure to individual person or to a group of individual persons exceeds 25% of its equity.</w:t>
            </w:r>
          </w:p>
        </w:tc>
        <w:tc>
          <w:tcPr>
            <w:tcW w:w="810" w:type="dxa"/>
          </w:tcPr>
          <w:p w:rsidR="009E7E78" w:rsidRPr="00AE5079" w:rsidRDefault="009E7E78" w:rsidP="00BF289B">
            <w:pPr>
              <w:keepNext/>
              <w:keepLines/>
              <w:spacing w:after="0"/>
              <w:jc w:val="right"/>
              <w:rPr>
                <w:rFonts w:ascii="Times New Roman" w:hAnsi="Times New Roman"/>
                <w:sz w:val="20"/>
                <w:szCs w:val="20"/>
              </w:rPr>
            </w:pPr>
            <w:r w:rsidRPr="00AE5079">
              <w:rPr>
                <w:rFonts w:ascii="Times New Roman" w:hAnsi="Times New Roman"/>
                <w:sz w:val="20"/>
                <w:szCs w:val="20"/>
              </w:rPr>
              <w:t>0</w:t>
            </w:r>
          </w:p>
        </w:tc>
        <w:tc>
          <w:tcPr>
            <w:tcW w:w="720" w:type="dxa"/>
          </w:tcPr>
          <w:p w:rsidR="009E7E78" w:rsidRPr="00AE5079" w:rsidRDefault="009E7E78" w:rsidP="00BF289B">
            <w:pPr>
              <w:keepNext/>
              <w:keepLines/>
              <w:spacing w:after="0"/>
              <w:jc w:val="right"/>
              <w:rPr>
                <w:rFonts w:ascii="Times New Roman" w:hAnsi="Times New Roman"/>
                <w:b/>
                <w:sz w:val="20"/>
                <w:szCs w:val="20"/>
              </w:rPr>
            </w:pPr>
            <w:r w:rsidRPr="00AE5079">
              <w:rPr>
                <w:rFonts w:ascii="Times New Roman" w:hAnsi="Times New Roman"/>
                <w:b/>
                <w:sz w:val="20"/>
                <w:szCs w:val="20"/>
              </w:rPr>
              <w:t>16</w:t>
            </w:r>
          </w:p>
        </w:tc>
        <w:tc>
          <w:tcPr>
            <w:tcW w:w="643" w:type="dxa"/>
          </w:tcPr>
          <w:p w:rsidR="009E7E78" w:rsidRPr="00AE5079" w:rsidRDefault="009E7E78" w:rsidP="00BF289B">
            <w:pPr>
              <w:keepNext/>
              <w:keepLines/>
              <w:spacing w:after="0"/>
              <w:jc w:val="right"/>
              <w:rPr>
                <w:rFonts w:ascii="Times New Roman" w:hAnsi="Times New Roman"/>
                <w:sz w:val="20"/>
                <w:szCs w:val="20"/>
              </w:rPr>
            </w:pPr>
            <w:r w:rsidRPr="00AE5079">
              <w:rPr>
                <w:rFonts w:ascii="Times New Roman" w:hAnsi="Times New Roman"/>
                <w:sz w:val="20"/>
                <w:szCs w:val="20"/>
              </w:rPr>
              <w:t>0</w:t>
            </w:r>
          </w:p>
        </w:tc>
        <w:tc>
          <w:tcPr>
            <w:tcW w:w="725" w:type="dxa"/>
          </w:tcPr>
          <w:p w:rsidR="009E7E78" w:rsidRPr="00AE5079" w:rsidRDefault="009E7E78" w:rsidP="00BF289B">
            <w:pPr>
              <w:keepNext/>
              <w:keepLines/>
              <w:spacing w:after="0"/>
              <w:jc w:val="right"/>
              <w:rPr>
                <w:rFonts w:ascii="Times New Roman" w:hAnsi="Times New Roman"/>
                <w:b/>
                <w:sz w:val="20"/>
                <w:szCs w:val="20"/>
              </w:rPr>
            </w:pPr>
            <w:r w:rsidRPr="00AE5079">
              <w:rPr>
                <w:rFonts w:ascii="Times New Roman" w:hAnsi="Times New Roman"/>
                <w:b/>
                <w:sz w:val="20"/>
                <w:szCs w:val="20"/>
              </w:rPr>
              <w:t>15</w:t>
            </w:r>
          </w:p>
        </w:tc>
      </w:tr>
      <w:tr w:rsidR="009E7E78" w:rsidRPr="002176ED" w:rsidTr="00BF289B">
        <w:tc>
          <w:tcPr>
            <w:tcW w:w="6678" w:type="dxa"/>
          </w:tcPr>
          <w:p w:rsidR="009E7E78" w:rsidRPr="00AE5079" w:rsidRDefault="009E7E78" w:rsidP="00BF289B">
            <w:pPr>
              <w:pStyle w:val="ListParagraph"/>
              <w:keepNext/>
              <w:keepLines/>
              <w:spacing w:after="0" w:line="240" w:lineRule="auto"/>
              <w:ind w:left="0"/>
              <w:rPr>
                <w:rFonts w:ascii="Times New Roman" w:hAnsi="Times New Roman"/>
                <w:sz w:val="20"/>
                <w:szCs w:val="20"/>
              </w:rPr>
            </w:pPr>
            <w:r w:rsidRPr="00AE5079">
              <w:rPr>
                <w:rFonts w:ascii="Times New Roman" w:hAnsi="Times New Roman"/>
                <w:sz w:val="20"/>
                <w:szCs w:val="20"/>
              </w:rPr>
              <w:t>9. Large Exposures: Violation of the requirements for the investment firm to monitor daily exposures to an individual person or a group of related persons, as well as to account for the amount of its large exposures with the purpose of limiting the risk from their excessive concentration.</w:t>
            </w:r>
          </w:p>
        </w:tc>
        <w:tc>
          <w:tcPr>
            <w:tcW w:w="810" w:type="dxa"/>
          </w:tcPr>
          <w:p w:rsidR="009E7E78" w:rsidRPr="00AE5079" w:rsidRDefault="009E7E78" w:rsidP="00BF289B">
            <w:pPr>
              <w:keepNext/>
              <w:keepLines/>
              <w:spacing w:after="0"/>
              <w:jc w:val="right"/>
              <w:rPr>
                <w:rFonts w:ascii="Times New Roman" w:hAnsi="Times New Roman"/>
                <w:sz w:val="20"/>
                <w:szCs w:val="20"/>
              </w:rPr>
            </w:pPr>
            <w:r w:rsidRPr="00AE5079">
              <w:rPr>
                <w:rFonts w:ascii="Times New Roman" w:hAnsi="Times New Roman"/>
                <w:sz w:val="20"/>
                <w:szCs w:val="20"/>
              </w:rPr>
              <w:t>0</w:t>
            </w:r>
          </w:p>
        </w:tc>
        <w:tc>
          <w:tcPr>
            <w:tcW w:w="720" w:type="dxa"/>
          </w:tcPr>
          <w:p w:rsidR="009E7E78" w:rsidRPr="00AE5079" w:rsidRDefault="009E7E78" w:rsidP="00BF289B">
            <w:pPr>
              <w:keepNext/>
              <w:keepLines/>
              <w:spacing w:after="0"/>
              <w:jc w:val="right"/>
              <w:rPr>
                <w:rFonts w:ascii="Times New Roman" w:hAnsi="Times New Roman"/>
                <w:sz w:val="20"/>
                <w:szCs w:val="20"/>
              </w:rPr>
            </w:pPr>
            <w:r w:rsidRPr="00AE5079">
              <w:rPr>
                <w:rFonts w:ascii="Times New Roman" w:hAnsi="Times New Roman"/>
                <w:sz w:val="20"/>
                <w:szCs w:val="20"/>
              </w:rPr>
              <w:t>7</w:t>
            </w:r>
          </w:p>
        </w:tc>
        <w:tc>
          <w:tcPr>
            <w:tcW w:w="643" w:type="dxa"/>
          </w:tcPr>
          <w:p w:rsidR="009E7E78" w:rsidRPr="00AE5079" w:rsidRDefault="009E7E78" w:rsidP="00BF289B">
            <w:pPr>
              <w:keepNext/>
              <w:keepLines/>
              <w:spacing w:after="0"/>
              <w:jc w:val="right"/>
              <w:rPr>
                <w:rFonts w:ascii="Times New Roman" w:hAnsi="Times New Roman"/>
                <w:sz w:val="20"/>
                <w:szCs w:val="20"/>
              </w:rPr>
            </w:pPr>
            <w:r w:rsidRPr="00AE5079">
              <w:rPr>
                <w:rFonts w:ascii="Times New Roman" w:hAnsi="Times New Roman"/>
                <w:sz w:val="20"/>
                <w:szCs w:val="20"/>
              </w:rPr>
              <w:t>0</w:t>
            </w:r>
          </w:p>
        </w:tc>
        <w:tc>
          <w:tcPr>
            <w:tcW w:w="725" w:type="dxa"/>
          </w:tcPr>
          <w:p w:rsidR="009E7E78" w:rsidRPr="00AE5079" w:rsidRDefault="009E7E78" w:rsidP="00BF289B">
            <w:pPr>
              <w:keepNext/>
              <w:keepLines/>
              <w:spacing w:after="0"/>
              <w:jc w:val="right"/>
              <w:rPr>
                <w:rFonts w:ascii="Times New Roman" w:hAnsi="Times New Roman"/>
                <w:sz w:val="20"/>
                <w:szCs w:val="20"/>
              </w:rPr>
            </w:pPr>
            <w:r w:rsidRPr="00AE5079">
              <w:rPr>
                <w:rFonts w:ascii="Times New Roman" w:hAnsi="Times New Roman"/>
                <w:sz w:val="20"/>
                <w:szCs w:val="20"/>
              </w:rPr>
              <w:t>4</w:t>
            </w:r>
          </w:p>
        </w:tc>
      </w:tr>
    </w:tbl>
    <w:p w:rsidR="009E7E78" w:rsidRPr="00BF289B" w:rsidRDefault="00BF289B" w:rsidP="00BF289B">
      <w:pPr>
        <w:keepNext/>
        <w:keepLines/>
        <w:jc w:val="both"/>
        <w:rPr>
          <w:rFonts w:ascii="Times New Roman" w:hAnsi="Times New Roman"/>
          <w:i/>
          <w:sz w:val="20"/>
          <w:szCs w:val="20"/>
        </w:rPr>
      </w:pPr>
      <w:r>
        <w:rPr>
          <w:rFonts w:ascii="Times New Roman" w:hAnsi="Times New Roman"/>
          <w:i/>
          <w:sz w:val="20"/>
          <w:szCs w:val="20"/>
        </w:rPr>
        <w:t xml:space="preserve"> Source: FSC Annual Report.</w:t>
      </w:r>
    </w:p>
    <w:p w:rsidR="004641E4" w:rsidRDefault="004641E4">
      <w:pPr>
        <w:spacing w:after="0" w:line="240" w:lineRule="auto"/>
        <w:rPr>
          <w:rFonts w:ascii="Times New Roman" w:hAnsi="Times New Roman"/>
          <w:b/>
          <w:sz w:val="24"/>
          <w:szCs w:val="24"/>
        </w:rPr>
      </w:pPr>
      <w:r>
        <w:rPr>
          <w:rFonts w:ascii="Times New Roman" w:hAnsi="Times New Roman"/>
          <w:b/>
          <w:sz w:val="24"/>
          <w:szCs w:val="24"/>
        </w:rPr>
        <w:br w:type="page"/>
      </w:r>
    </w:p>
    <w:p w:rsidR="002B2014" w:rsidRPr="001A4BD7" w:rsidRDefault="00D66944" w:rsidP="001A4BD7">
      <w:pPr>
        <w:pStyle w:val="mainnum"/>
      </w:pPr>
      <w:bookmarkStart w:id="17" w:name="_Toc297111589"/>
      <w:r w:rsidRPr="001A4BD7">
        <w:lastRenderedPageBreak/>
        <w:t>Recommendations</w:t>
      </w:r>
      <w:bookmarkEnd w:id="17"/>
    </w:p>
    <w:p w:rsidR="002B2014" w:rsidRDefault="002B2014" w:rsidP="002B2014">
      <w:pPr>
        <w:pStyle w:val="ListParagraph"/>
        <w:tabs>
          <w:tab w:val="left" w:pos="540"/>
        </w:tabs>
        <w:autoSpaceDE w:val="0"/>
        <w:autoSpaceDN w:val="0"/>
        <w:adjustRightInd w:val="0"/>
        <w:spacing w:after="0" w:line="240" w:lineRule="auto"/>
        <w:ind w:left="0"/>
        <w:jc w:val="both"/>
        <w:rPr>
          <w:rFonts w:ascii="Times New Roman" w:eastAsia="Calibri" w:hAnsi="Times New Roman"/>
          <w:b/>
          <w:color w:val="000000"/>
          <w:sz w:val="24"/>
        </w:rPr>
      </w:pPr>
    </w:p>
    <w:p w:rsidR="005B58F3" w:rsidRPr="00312213" w:rsidRDefault="005B58F3" w:rsidP="00312213">
      <w:pPr>
        <w:pStyle w:val="ListParagraph"/>
        <w:numPr>
          <w:ilvl w:val="0"/>
          <w:numId w:val="3"/>
        </w:numPr>
        <w:autoSpaceDE w:val="0"/>
        <w:autoSpaceDN w:val="0"/>
        <w:adjustRightInd w:val="0"/>
        <w:spacing w:after="0"/>
        <w:ind w:left="0" w:firstLine="0"/>
        <w:jc w:val="both"/>
        <w:rPr>
          <w:rFonts w:ascii="Times New Roman" w:hAnsi="Times New Roman"/>
          <w:sz w:val="24"/>
          <w:szCs w:val="24"/>
        </w:rPr>
      </w:pPr>
      <w:r w:rsidRPr="00312213">
        <w:rPr>
          <w:rFonts w:ascii="Times New Roman" w:hAnsi="Times New Roman"/>
          <w:b/>
          <w:sz w:val="24"/>
          <w:szCs w:val="24"/>
        </w:rPr>
        <w:t xml:space="preserve">Based on the review, several </w:t>
      </w:r>
      <w:r w:rsidR="002B2014" w:rsidRPr="00312213">
        <w:rPr>
          <w:rFonts w:ascii="Times New Roman" w:hAnsi="Times New Roman"/>
          <w:b/>
          <w:sz w:val="24"/>
          <w:szCs w:val="24"/>
        </w:rPr>
        <w:t>suggest</w:t>
      </w:r>
      <w:r w:rsidR="00CF1573" w:rsidRPr="00312213">
        <w:rPr>
          <w:rFonts w:ascii="Times New Roman" w:hAnsi="Times New Roman"/>
          <w:b/>
          <w:sz w:val="24"/>
          <w:szCs w:val="24"/>
        </w:rPr>
        <w:t>ion</w:t>
      </w:r>
      <w:r w:rsidR="002B2014" w:rsidRPr="00312213">
        <w:rPr>
          <w:rFonts w:ascii="Times New Roman" w:hAnsi="Times New Roman"/>
          <w:b/>
          <w:sz w:val="24"/>
          <w:szCs w:val="24"/>
        </w:rPr>
        <w:t>s</w:t>
      </w:r>
      <w:r w:rsidRPr="00312213">
        <w:rPr>
          <w:rFonts w:ascii="Times New Roman" w:hAnsi="Times New Roman"/>
          <w:b/>
          <w:sz w:val="24"/>
          <w:szCs w:val="24"/>
        </w:rPr>
        <w:t xml:space="preserve"> </w:t>
      </w:r>
      <w:r w:rsidR="004641E4" w:rsidRPr="00312213">
        <w:rPr>
          <w:rFonts w:ascii="Times New Roman" w:hAnsi="Times New Roman"/>
          <w:b/>
          <w:sz w:val="24"/>
          <w:szCs w:val="24"/>
        </w:rPr>
        <w:t>emerge</w:t>
      </w:r>
      <w:r w:rsidRPr="00312213">
        <w:rPr>
          <w:rFonts w:ascii="Times New Roman" w:hAnsi="Times New Roman"/>
          <w:b/>
          <w:sz w:val="24"/>
          <w:szCs w:val="24"/>
        </w:rPr>
        <w:t xml:space="preserve">. </w:t>
      </w:r>
      <w:r w:rsidR="00D66944" w:rsidRPr="00312213">
        <w:rPr>
          <w:rFonts w:ascii="Times New Roman" w:hAnsi="Times New Roman"/>
          <w:sz w:val="24"/>
          <w:szCs w:val="24"/>
        </w:rPr>
        <w:t xml:space="preserve">The review discovered </w:t>
      </w:r>
      <w:r w:rsidR="00551375" w:rsidRPr="00312213">
        <w:rPr>
          <w:rFonts w:ascii="Times New Roman" w:hAnsi="Times New Roman"/>
          <w:sz w:val="24"/>
          <w:szCs w:val="24"/>
        </w:rPr>
        <w:t xml:space="preserve">that </w:t>
      </w:r>
      <w:proofErr w:type="spellStart"/>
      <w:r w:rsidR="00551375" w:rsidRPr="00312213">
        <w:rPr>
          <w:rFonts w:ascii="Times New Roman" w:hAnsi="Times New Roman"/>
          <w:sz w:val="24"/>
          <w:szCs w:val="24"/>
        </w:rPr>
        <w:t>MiFID</w:t>
      </w:r>
      <w:proofErr w:type="spellEnd"/>
      <w:r w:rsidR="00551375" w:rsidRPr="00312213">
        <w:rPr>
          <w:rFonts w:ascii="Times New Roman" w:hAnsi="Times New Roman"/>
          <w:sz w:val="24"/>
          <w:szCs w:val="24"/>
        </w:rPr>
        <w:t xml:space="preserve"> implementation in Bulgarian legal framework has been largely successful. However, it</w:t>
      </w:r>
      <w:r w:rsidR="00D66944" w:rsidRPr="00312213">
        <w:rPr>
          <w:rFonts w:ascii="Times New Roman" w:hAnsi="Times New Roman"/>
          <w:sz w:val="24"/>
          <w:szCs w:val="24"/>
        </w:rPr>
        <w:t xml:space="preserve"> recognized that the pace of integration of </w:t>
      </w:r>
      <w:r w:rsidR="008D49D4" w:rsidRPr="00312213">
        <w:rPr>
          <w:rFonts w:ascii="Times New Roman" w:hAnsi="Times New Roman"/>
          <w:sz w:val="24"/>
          <w:szCs w:val="24"/>
        </w:rPr>
        <w:t xml:space="preserve">Bulgarian </w:t>
      </w:r>
      <w:r w:rsidR="00D66944" w:rsidRPr="00312213">
        <w:rPr>
          <w:rFonts w:ascii="Times New Roman" w:hAnsi="Times New Roman"/>
          <w:sz w:val="24"/>
          <w:szCs w:val="24"/>
        </w:rPr>
        <w:t xml:space="preserve">capital markets had been </w:t>
      </w:r>
      <w:proofErr w:type="gramStart"/>
      <w:r w:rsidR="00D66944" w:rsidRPr="00312213">
        <w:rPr>
          <w:rFonts w:ascii="Times New Roman" w:hAnsi="Times New Roman"/>
          <w:sz w:val="24"/>
          <w:szCs w:val="24"/>
        </w:rPr>
        <w:t xml:space="preserve">modest  </w:t>
      </w:r>
      <w:r w:rsidR="00551375" w:rsidRPr="00312213">
        <w:rPr>
          <w:rFonts w:ascii="Times New Roman" w:hAnsi="Times New Roman"/>
          <w:sz w:val="24"/>
          <w:szCs w:val="24"/>
        </w:rPr>
        <w:t>despite</w:t>
      </w:r>
      <w:proofErr w:type="gramEnd"/>
      <w:r w:rsidR="00551375" w:rsidRPr="00312213">
        <w:rPr>
          <w:rFonts w:ascii="Times New Roman" w:hAnsi="Times New Roman"/>
          <w:sz w:val="24"/>
          <w:szCs w:val="24"/>
        </w:rPr>
        <w:t xml:space="preserve"> </w:t>
      </w:r>
      <w:r w:rsidR="008D49D4" w:rsidRPr="00312213">
        <w:rPr>
          <w:rFonts w:ascii="Times New Roman" w:hAnsi="Times New Roman"/>
          <w:sz w:val="24"/>
          <w:szCs w:val="24"/>
        </w:rPr>
        <w:t>the country</w:t>
      </w:r>
      <w:r w:rsidR="00551375" w:rsidRPr="00312213">
        <w:rPr>
          <w:rFonts w:ascii="Times New Roman" w:hAnsi="Times New Roman"/>
          <w:sz w:val="24"/>
          <w:szCs w:val="24"/>
        </w:rPr>
        <w:t>’s</w:t>
      </w:r>
      <w:r w:rsidR="000D7266" w:rsidRPr="00312213">
        <w:rPr>
          <w:rFonts w:ascii="Times New Roman" w:hAnsi="Times New Roman"/>
          <w:sz w:val="24"/>
          <w:szCs w:val="24"/>
        </w:rPr>
        <w:t xml:space="preserve"> </w:t>
      </w:r>
      <w:r w:rsidR="00D66944" w:rsidRPr="00312213">
        <w:rPr>
          <w:rFonts w:ascii="Times New Roman" w:hAnsi="Times New Roman"/>
          <w:sz w:val="24"/>
          <w:szCs w:val="24"/>
        </w:rPr>
        <w:t>ent</w:t>
      </w:r>
      <w:r w:rsidR="00551375" w:rsidRPr="00312213">
        <w:rPr>
          <w:rFonts w:ascii="Times New Roman" w:hAnsi="Times New Roman"/>
          <w:sz w:val="24"/>
          <w:szCs w:val="24"/>
        </w:rPr>
        <w:t>ry into the EU and alignment with EU capital markets legislation. This in large extend can be attributed to spillovers from financial crisis as well as small size and law liquidity in the local capital market</w:t>
      </w:r>
      <w:r w:rsidR="00D66944" w:rsidRPr="00312213">
        <w:rPr>
          <w:rFonts w:ascii="Times New Roman" w:hAnsi="Times New Roman"/>
          <w:sz w:val="24"/>
          <w:szCs w:val="24"/>
        </w:rPr>
        <w:t xml:space="preserve">. As </w:t>
      </w:r>
      <w:r w:rsidR="006D6E72" w:rsidRPr="00312213">
        <w:rPr>
          <w:rFonts w:ascii="Times New Roman" w:hAnsi="Times New Roman"/>
          <w:sz w:val="24"/>
          <w:szCs w:val="24"/>
        </w:rPr>
        <w:t>Europe</w:t>
      </w:r>
      <w:r w:rsidR="00D66944" w:rsidRPr="00312213">
        <w:rPr>
          <w:rFonts w:ascii="Times New Roman" w:hAnsi="Times New Roman"/>
          <w:sz w:val="24"/>
          <w:szCs w:val="24"/>
        </w:rPr>
        <w:t xml:space="preserve"> emerges from the crisis, greater benefits as well as greater challenges are likely to emerge.</w:t>
      </w:r>
      <w:r w:rsidR="004641E4" w:rsidRPr="00312213">
        <w:rPr>
          <w:rFonts w:ascii="Times New Roman" w:hAnsi="Times New Roman"/>
          <w:sz w:val="24"/>
          <w:szCs w:val="24"/>
        </w:rPr>
        <w:t xml:space="preserve"> </w:t>
      </w:r>
    </w:p>
    <w:p w:rsidR="005304C7" w:rsidRDefault="005304C7">
      <w:pPr>
        <w:pStyle w:val="ListParagraph"/>
        <w:tabs>
          <w:tab w:val="left" w:pos="540"/>
        </w:tabs>
        <w:autoSpaceDE w:val="0"/>
        <w:autoSpaceDN w:val="0"/>
        <w:adjustRightInd w:val="0"/>
        <w:spacing w:after="0" w:line="240" w:lineRule="auto"/>
        <w:ind w:left="0"/>
        <w:jc w:val="both"/>
        <w:rPr>
          <w:rFonts w:ascii="Times New Roman" w:eastAsia="Calibri" w:hAnsi="Times New Roman" w:cs="Helv"/>
          <w:b/>
          <w:color w:val="000000"/>
          <w:sz w:val="24"/>
          <w:szCs w:val="24"/>
        </w:rPr>
      </w:pPr>
    </w:p>
    <w:p w:rsidR="00421C1B" w:rsidRPr="00312213" w:rsidRDefault="004641E4" w:rsidP="00312213">
      <w:pPr>
        <w:pStyle w:val="ListParagraph"/>
        <w:numPr>
          <w:ilvl w:val="0"/>
          <w:numId w:val="3"/>
        </w:numPr>
        <w:autoSpaceDE w:val="0"/>
        <w:autoSpaceDN w:val="0"/>
        <w:adjustRightInd w:val="0"/>
        <w:spacing w:after="0"/>
        <w:ind w:left="0" w:firstLine="0"/>
        <w:jc w:val="both"/>
        <w:rPr>
          <w:rFonts w:ascii="Times New Roman" w:hAnsi="Times New Roman"/>
          <w:sz w:val="24"/>
          <w:szCs w:val="24"/>
        </w:rPr>
      </w:pPr>
      <w:r>
        <w:rPr>
          <w:rFonts w:ascii="Times New Roman" w:hAnsi="Times New Roman"/>
          <w:b/>
          <w:sz w:val="24"/>
          <w:szCs w:val="24"/>
        </w:rPr>
        <w:t xml:space="preserve">Recommendation 1: </w:t>
      </w:r>
      <w:r w:rsidR="00C2700F">
        <w:rPr>
          <w:rFonts w:ascii="Times New Roman" w:hAnsi="Times New Roman"/>
          <w:b/>
          <w:sz w:val="24"/>
          <w:szCs w:val="24"/>
        </w:rPr>
        <w:t xml:space="preserve">Complete </w:t>
      </w:r>
      <w:r w:rsidR="007D4821" w:rsidRPr="0060379C">
        <w:rPr>
          <w:rFonts w:ascii="Times New Roman" w:hAnsi="Times New Roman"/>
          <w:b/>
          <w:sz w:val="24"/>
          <w:szCs w:val="24"/>
        </w:rPr>
        <w:t xml:space="preserve">a strategic sale of </w:t>
      </w:r>
      <w:r w:rsidR="00C2700F">
        <w:rPr>
          <w:rFonts w:ascii="Times New Roman" w:hAnsi="Times New Roman"/>
          <w:b/>
          <w:sz w:val="24"/>
          <w:szCs w:val="24"/>
        </w:rPr>
        <w:t xml:space="preserve">BSE </w:t>
      </w:r>
      <w:r w:rsidR="007D4821" w:rsidRPr="0060379C">
        <w:rPr>
          <w:rFonts w:ascii="Times New Roman" w:hAnsi="Times New Roman"/>
          <w:b/>
          <w:sz w:val="24"/>
          <w:szCs w:val="24"/>
        </w:rPr>
        <w:t>(along with the Central Depository) to a major international stock exchange</w:t>
      </w:r>
      <w:r w:rsidR="00476063">
        <w:rPr>
          <w:rFonts w:ascii="Times New Roman" w:hAnsi="Times New Roman"/>
          <w:b/>
          <w:sz w:val="24"/>
          <w:szCs w:val="24"/>
        </w:rPr>
        <w:t xml:space="preserve"> based on careful consideration beyond the scope of </w:t>
      </w:r>
      <w:r w:rsidR="00A56CAF" w:rsidRPr="00312213">
        <w:rPr>
          <w:rFonts w:ascii="Times New Roman" w:hAnsi="Times New Roman"/>
          <w:b/>
          <w:sz w:val="24"/>
          <w:szCs w:val="24"/>
        </w:rPr>
        <w:t>2011</w:t>
      </w:r>
      <w:r w:rsidR="008E76E3" w:rsidRPr="00312213">
        <w:rPr>
          <w:rFonts w:ascii="Times New Roman" w:hAnsi="Times New Roman"/>
          <w:b/>
          <w:sz w:val="24"/>
          <w:szCs w:val="24"/>
        </w:rPr>
        <w:t xml:space="preserve">.  </w:t>
      </w:r>
      <w:r w:rsidR="00283B98" w:rsidRPr="00312213">
        <w:rPr>
          <w:rFonts w:ascii="Times New Roman" w:hAnsi="Times New Roman"/>
          <w:sz w:val="24"/>
          <w:szCs w:val="24"/>
        </w:rPr>
        <w:t xml:space="preserve">The BSE has been in preliminary talks with large stock market operators, </w:t>
      </w:r>
      <w:r w:rsidR="0060379C" w:rsidRPr="00312213">
        <w:rPr>
          <w:rFonts w:ascii="Times New Roman" w:hAnsi="Times New Roman"/>
          <w:sz w:val="24"/>
          <w:szCs w:val="24"/>
        </w:rPr>
        <w:t>and their interest has been encouraging. T</w:t>
      </w:r>
      <w:r w:rsidR="008E76E3" w:rsidRPr="00312213">
        <w:rPr>
          <w:rFonts w:ascii="Times New Roman" w:hAnsi="Times New Roman"/>
          <w:sz w:val="24"/>
          <w:szCs w:val="24"/>
        </w:rPr>
        <w:t xml:space="preserve">he government stakes </w:t>
      </w:r>
      <w:r w:rsidR="000651DF" w:rsidRPr="00312213">
        <w:rPr>
          <w:rFonts w:ascii="Times New Roman" w:hAnsi="Times New Roman"/>
          <w:sz w:val="24"/>
          <w:szCs w:val="24"/>
        </w:rPr>
        <w:t>in the BSE and the CDAD</w:t>
      </w:r>
      <w:r w:rsidR="008E76E3" w:rsidRPr="00312213">
        <w:rPr>
          <w:rFonts w:ascii="Times New Roman" w:hAnsi="Times New Roman"/>
          <w:sz w:val="24"/>
          <w:szCs w:val="24"/>
        </w:rPr>
        <w:t xml:space="preserve"> will be </w:t>
      </w:r>
      <w:r w:rsidR="00421C1B" w:rsidRPr="00312213">
        <w:rPr>
          <w:rFonts w:ascii="Times New Roman" w:hAnsi="Times New Roman"/>
          <w:sz w:val="24"/>
          <w:szCs w:val="24"/>
        </w:rPr>
        <w:t>bundled</w:t>
      </w:r>
      <w:r w:rsidR="008E76E3" w:rsidRPr="00312213">
        <w:rPr>
          <w:rFonts w:ascii="Times New Roman" w:hAnsi="Times New Roman"/>
          <w:sz w:val="24"/>
          <w:szCs w:val="24"/>
        </w:rPr>
        <w:t xml:space="preserve"> together and offered to a strategic investor. </w:t>
      </w:r>
      <w:r w:rsidR="0060379C" w:rsidRPr="00312213">
        <w:rPr>
          <w:rFonts w:ascii="Times New Roman" w:hAnsi="Times New Roman"/>
          <w:sz w:val="24"/>
          <w:szCs w:val="24"/>
        </w:rPr>
        <w:t xml:space="preserve">The process is expected to be finalized by the end of the year. </w:t>
      </w:r>
      <w:r w:rsidR="009A0A7C" w:rsidRPr="00312213">
        <w:rPr>
          <w:rFonts w:ascii="Times New Roman" w:hAnsi="Times New Roman"/>
          <w:sz w:val="24"/>
          <w:szCs w:val="24"/>
        </w:rPr>
        <w:t>Strategic sale will help local market players get more visibility though membership/list</w:t>
      </w:r>
      <w:r w:rsidR="00A56CAF" w:rsidRPr="00312213">
        <w:rPr>
          <w:rFonts w:ascii="Times New Roman" w:hAnsi="Times New Roman"/>
          <w:sz w:val="24"/>
          <w:szCs w:val="24"/>
        </w:rPr>
        <w:t>ing</w:t>
      </w:r>
      <w:r w:rsidR="009A0A7C" w:rsidRPr="00312213">
        <w:rPr>
          <w:rFonts w:ascii="Times New Roman" w:hAnsi="Times New Roman"/>
          <w:sz w:val="24"/>
          <w:szCs w:val="24"/>
        </w:rPr>
        <w:t xml:space="preserve"> in a big international </w:t>
      </w:r>
      <w:r w:rsidR="005E13ED">
        <w:rPr>
          <w:rFonts w:ascii="Times New Roman" w:hAnsi="Times New Roman"/>
          <w:sz w:val="24"/>
          <w:szCs w:val="24"/>
        </w:rPr>
        <w:t>stock exchange</w:t>
      </w:r>
      <w:r w:rsidR="009A0A7C" w:rsidRPr="00312213">
        <w:rPr>
          <w:rFonts w:ascii="Times New Roman" w:hAnsi="Times New Roman"/>
          <w:sz w:val="24"/>
          <w:szCs w:val="24"/>
        </w:rPr>
        <w:t>, while the BSE will be in better position to face competition from larger trading venues in Europe. Furthermore, the</w:t>
      </w:r>
      <w:r w:rsidR="00441A8A" w:rsidRPr="00312213">
        <w:rPr>
          <w:rFonts w:ascii="Times New Roman" w:hAnsi="Times New Roman"/>
          <w:sz w:val="24"/>
          <w:szCs w:val="24"/>
        </w:rPr>
        <w:t xml:space="preserve"> p</w:t>
      </w:r>
      <w:r w:rsidR="0060379C" w:rsidRPr="00312213">
        <w:rPr>
          <w:rFonts w:ascii="Times New Roman" w:hAnsi="Times New Roman"/>
          <w:sz w:val="24"/>
          <w:szCs w:val="24"/>
        </w:rPr>
        <w:t xml:space="preserve">resence of </w:t>
      </w:r>
      <w:r w:rsidR="00CF1573" w:rsidRPr="00312213">
        <w:rPr>
          <w:rFonts w:ascii="Times New Roman" w:hAnsi="Times New Roman"/>
          <w:sz w:val="24"/>
          <w:szCs w:val="24"/>
        </w:rPr>
        <w:t xml:space="preserve">an </w:t>
      </w:r>
      <w:r w:rsidR="0060379C" w:rsidRPr="00312213">
        <w:rPr>
          <w:rFonts w:ascii="Times New Roman" w:hAnsi="Times New Roman"/>
          <w:sz w:val="24"/>
          <w:szCs w:val="24"/>
        </w:rPr>
        <w:t>international operator will hel</w:t>
      </w:r>
      <w:r w:rsidR="00421C1B" w:rsidRPr="00312213">
        <w:rPr>
          <w:rFonts w:ascii="Times New Roman" w:hAnsi="Times New Roman"/>
          <w:sz w:val="24"/>
          <w:szCs w:val="24"/>
        </w:rPr>
        <w:t>p</w:t>
      </w:r>
      <w:r w:rsidR="0060379C" w:rsidRPr="00312213">
        <w:rPr>
          <w:rFonts w:ascii="Times New Roman" w:hAnsi="Times New Roman"/>
          <w:sz w:val="24"/>
          <w:szCs w:val="24"/>
        </w:rPr>
        <w:t xml:space="preserve"> reform </w:t>
      </w:r>
      <w:r w:rsidR="002D3374" w:rsidRPr="00312213">
        <w:rPr>
          <w:rFonts w:ascii="Times New Roman" w:hAnsi="Times New Roman"/>
          <w:sz w:val="24"/>
          <w:szCs w:val="24"/>
        </w:rPr>
        <w:t xml:space="preserve">the </w:t>
      </w:r>
      <w:r w:rsidR="0060379C" w:rsidRPr="00312213">
        <w:rPr>
          <w:rFonts w:ascii="Times New Roman" w:hAnsi="Times New Roman"/>
          <w:sz w:val="24"/>
          <w:szCs w:val="24"/>
        </w:rPr>
        <w:t>CDAD</w:t>
      </w:r>
      <w:r w:rsidR="002D3374" w:rsidRPr="00312213">
        <w:rPr>
          <w:rFonts w:ascii="Times New Roman" w:hAnsi="Times New Roman"/>
          <w:sz w:val="24"/>
          <w:szCs w:val="24"/>
        </w:rPr>
        <w:t xml:space="preserve"> structure and operation to allow it to link up with other</w:t>
      </w:r>
      <w:r w:rsidR="000651DF" w:rsidRPr="00312213">
        <w:rPr>
          <w:rFonts w:ascii="Times New Roman" w:hAnsi="Times New Roman"/>
          <w:sz w:val="24"/>
          <w:szCs w:val="24"/>
        </w:rPr>
        <w:t xml:space="preserve"> central depositories</w:t>
      </w:r>
      <w:r w:rsidR="002D3374" w:rsidRPr="00312213">
        <w:rPr>
          <w:rFonts w:ascii="Times New Roman" w:hAnsi="Times New Roman"/>
          <w:sz w:val="24"/>
          <w:szCs w:val="24"/>
        </w:rPr>
        <w:t xml:space="preserve"> in Europe</w:t>
      </w:r>
      <w:r w:rsidR="000651DF" w:rsidRPr="00312213">
        <w:rPr>
          <w:rFonts w:ascii="Times New Roman" w:hAnsi="Times New Roman"/>
          <w:sz w:val="24"/>
          <w:szCs w:val="24"/>
        </w:rPr>
        <w:t>, as well as</w:t>
      </w:r>
      <w:r w:rsidR="00421C1B" w:rsidRPr="00312213">
        <w:rPr>
          <w:rFonts w:ascii="Times New Roman" w:hAnsi="Times New Roman"/>
          <w:sz w:val="24"/>
          <w:szCs w:val="24"/>
        </w:rPr>
        <w:t xml:space="preserve"> provide clearing and settlement for derivatives trades</w:t>
      </w:r>
      <w:r w:rsidR="002D3374" w:rsidRPr="00312213">
        <w:rPr>
          <w:rFonts w:ascii="Times New Roman" w:hAnsi="Times New Roman"/>
          <w:sz w:val="24"/>
          <w:szCs w:val="24"/>
        </w:rPr>
        <w:t xml:space="preserve">. </w:t>
      </w:r>
      <w:r w:rsidR="009A0A7C" w:rsidRPr="00312213">
        <w:rPr>
          <w:rFonts w:ascii="Times New Roman" w:hAnsi="Times New Roman"/>
          <w:sz w:val="24"/>
          <w:szCs w:val="24"/>
        </w:rPr>
        <w:t>However, i</w:t>
      </w:r>
      <w:r w:rsidR="00421C1B" w:rsidRPr="00312213">
        <w:rPr>
          <w:rFonts w:ascii="Times New Roman" w:hAnsi="Times New Roman"/>
          <w:sz w:val="24"/>
          <w:szCs w:val="24"/>
        </w:rPr>
        <w:t xml:space="preserve">t is </w:t>
      </w:r>
      <w:r w:rsidR="00DC46C1" w:rsidRPr="00312213">
        <w:rPr>
          <w:rFonts w:ascii="Times New Roman" w:hAnsi="Times New Roman"/>
          <w:sz w:val="24"/>
          <w:szCs w:val="24"/>
        </w:rPr>
        <w:t xml:space="preserve">also </w:t>
      </w:r>
      <w:r w:rsidR="00421C1B" w:rsidRPr="00312213">
        <w:rPr>
          <w:rFonts w:ascii="Times New Roman" w:hAnsi="Times New Roman"/>
          <w:sz w:val="24"/>
          <w:szCs w:val="24"/>
        </w:rPr>
        <w:t xml:space="preserve">important that Bulgaria remains involved in </w:t>
      </w:r>
      <w:r w:rsidR="0083669C" w:rsidRPr="00312213">
        <w:rPr>
          <w:rFonts w:ascii="Times New Roman" w:hAnsi="Times New Roman"/>
          <w:sz w:val="24"/>
          <w:szCs w:val="24"/>
        </w:rPr>
        <w:t xml:space="preserve">the </w:t>
      </w:r>
      <w:r w:rsidR="00A56CAF" w:rsidRPr="00312213">
        <w:rPr>
          <w:rFonts w:ascii="Times New Roman" w:hAnsi="Times New Roman"/>
          <w:sz w:val="24"/>
          <w:szCs w:val="24"/>
        </w:rPr>
        <w:t xml:space="preserve">EGMI’s </w:t>
      </w:r>
      <w:r w:rsidR="009A0A7C" w:rsidRPr="00312213">
        <w:rPr>
          <w:rFonts w:ascii="Times New Roman" w:hAnsi="Times New Roman"/>
          <w:sz w:val="24"/>
          <w:szCs w:val="24"/>
        </w:rPr>
        <w:t xml:space="preserve">and TARGET2 Securities </w:t>
      </w:r>
      <w:r w:rsidR="00421C1B" w:rsidRPr="00312213">
        <w:rPr>
          <w:rFonts w:ascii="Times New Roman" w:hAnsi="Times New Roman"/>
          <w:sz w:val="24"/>
          <w:szCs w:val="24"/>
        </w:rPr>
        <w:t>discussions and</w:t>
      </w:r>
      <w:r w:rsidR="000651DF" w:rsidRPr="00312213">
        <w:rPr>
          <w:rFonts w:ascii="Times New Roman" w:hAnsi="Times New Roman"/>
          <w:sz w:val="24"/>
          <w:szCs w:val="24"/>
        </w:rPr>
        <w:t xml:space="preserve"> </w:t>
      </w:r>
      <w:r w:rsidR="00421C1B" w:rsidRPr="00312213">
        <w:rPr>
          <w:rFonts w:ascii="Times New Roman" w:hAnsi="Times New Roman"/>
          <w:sz w:val="24"/>
          <w:szCs w:val="24"/>
        </w:rPr>
        <w:t xml:space="preserve">adopts its legal framework </w:t>
      </w:r>
      <w:r w:rsidR="000651DF" w:rsidRPr="00312213">
        <w:rPr>
          <w:rFonts w:ascii="Times New Roman" w:hAnsi="Times New Roman"/>
          <w:sz w:val="24"/>
          <w:szCs w:val="24"/>
        </w:rPr>
        <w:t>as necessary.</w:t>
      </w:r>
      <w:r w:rsidR="00421C1B" w:rsidRPr="00312213">
        <w:rPr>
          <w:rFonts w:ascii="Times New Roman" w:hAnsi="Times New Roman"/>
          <w:sz w:val="24"/>
          <w:szCs w:val="24"/>
        </w:rPr>
        <w:t xml:space="preserve">  </w:t>
      </w:r>
      <w:r w:rsidR="00476063" w:rsidRPr="00312213">
        <w:rPr>
          <w:rFonts w:ascii="Times New Roman" w:hAnsi="Times New Roman"/>
          <w:sz w:val="24"/>
          <w:szCs w:val="24"/>
        </w:rPr>
        <w:t xml:space="preserve">Choosing the right partner and integration strategy requires careful analysis of global development for stock exchanges and clearing, settlement and depository functions as well as of the future strategic choices made by other players. Similar challenges are faced by other central and eastern European capital markets, </w:t>
      </w:r>
      <w:r w:rsidR="00F37BC4" w:rsidRPr="00312213">
        <w:rPr>
          <w:rFonts w:ascii="Times New Roman" w:hAnsi="Times New Roman"/>
          <w:sz w:val="24"/>
          <w:szCs w:val="24"/>
        </w:rPr>
        <w:t>and a regional approach would be appropriate to provide further guidance on this topic.</w:t>
      </w:r>
    </w:p>
    <w:p w:rsidR="00312213" w:rsidRPr="00551375" w:rsidRDefault="00312213" w:rsidP="009A0A7C">
      <w:pPr>
        <w:pStyle w:val="ListParagraph"/>
        <w:tabs>
          <w:tab w:val="left" w:pos="0"/>
        </w:tabs>
        <w:spacing w:after="0" w:line="240" w:lineRule="auto"/>
        <w:ind w:left="0"/>
        <w:jc w:val="both"/>
        <w:rPr>
          <w:rFonts w:ascii="Times New Roman" w:eastAsia="Calibri" w:hAnsi="Times New Roman" w:cs="Helv"/>
          <w:b/>
          <w:color w:val="000000"/>
          <w:sz w:val="24"/>
          <w:szCs w:val="24"/>
        </w:rPr>
      </w:pPr>
    </w:p>
    <w:p w:rsidR="005E13ED" w:rsidRPr="005E13ED" w:rsidRDefault="00551375" w:rsidP="005E13ED">
      <w:pPr>
        <w:pStyle w:val="ListParagraph"/>
        <w:numPr>
          <w:ilvl w:val="0"/>
          <w:numId w:val="3"/>
        </w:numPr>
        <w:jc w:val="both"/>
        <w:rPr>
          <w:rFonts w:ascii="Times New Roman" w:eastAsia="Calibri" w:hAnsi="Times New Roman"/>
          <w:sz w:val="24"/>
          <w:szCs w:val="24"/>
        </w:rPr>
      </w:pPr>
      <w:r w:rsidRPr="005E13ED">
        <w:rPr>
          <w:rFonts w:ascii="Times New Roman" w:eastAsia="Calibri" w:hAnsi="Times New Roman"/>
          <w:sz w:val="24"/>
          <w:szCs w:val="24"/>
        </w:rPr>
        <w:t xml:space="preserve">As the BSE’s </w:t>
      </w:r>
      <w:r w:rsidR="00631D45" w:rsidRPr="005E13ED">
        <w:rPr>
          <w:rFonts w:ascii="Times New Roman" w:eastAsia="Calibri" w:hAnsi="Times New Roman"/>
          <w:sz w:val="24"/>
          <w:szCs w:val="24"/>
        </w:rPr>
        <w:t xml:space="preserve">majority shareholder, </w:t>
      </w:r>
      <w:r w:rsidR="00A56CAF" w:rsidRPr="005E13ED">
        <w:rPr>
          <w:rFonts w:ascii="Times New Roman" w:eastAsia="Calibri" w:hAnsi="Times New Roman"/>
          <w:sz w:val="24"/>
          <w:szCs w:val="24"/>
        </w:rPr>
        <w:t xml:space="preserve">the </w:t>
      </w:r>
      <w:proofErr w:type="spellStart"/>
      <w:r w:rsidR="000D7266" w:rsidRPr="005E13ED">
        <w:rPr>
          <w:rFonts w:ascii="Times New Roman" w:eastAsia="Calibri" w:hAnsi="Times New Roman"/>
          <w:sz w:val="24"/>
          <w:szCs w:val="24"/>
        </w:rPr>
        <w:t>MoF</w:t>
      </w:r>
      <w:proofErr w:type="spellEnd"/>
      <w:r w:rsidR="000D7266" w:rsidRPr="005E13ED">
        <w:rPr>
          <w:rFonts w:ascii="Times New Roman" w:eastAsia="Calibri" w:hAnsi="Times New Roman"/>
          <w:sz w:val="24"/>
          <w:szCs w:val="24"/>
        </w:rPr>
        <w:t xml:space="preserve"> </w:t>
      </w:r>
      <w:r w:rsidR="00631D45" w:rsidRPr="005E13ED">
        <w:rPr>
          <w:rFonts w:ascii="Times New Roman" w:eastAsia="Calibri" w:hAnsi="Times New Roman"/>
          <w:sz w:val="24"/>
          <w:szCs w:val="24"/>
        </w:rPr>
        <w:t xml:space="preserve">should take a lead in finalizing strategic sale of </w:t>
      </w:r>
    </w:p>
    <w:p w:rsidR="00551375" w:rsidRPr="005E13ED" w:rsidRDefault="00631D45" w:rsidP="005E13ED">
      <w:pPr>
        <w:pStyle w:val="ListParagraph"/>
        <w:ind w:left="0"/>
        <w:jc w:val="both"/>
        <w:rPr>
          <w:rFonts w:ascii="Times New Roman" w:eastAsia="Calibri" w:hAnsi="Times New Roman"/>
          <w:sz w:val="24"/>
          <w:szCs w:val="24"/>
        </w:rPr>
      </w:pPr>
      <w:r w:rsidRPr="005E13ED">
        <w:rPr>
          <w:rFonts w:ascii="Times New Roman" w:eastAsia="Calibri" w:hAnsi="Times New Roman"/>
          <w:sz w:val="24"/>
          <w:szCs w:val="24"/>
        </w:rPr>
        <w:t xml:space="preserve">BSE, but importantly </w:t>
      </w:r>
      <w:r w:rsidR="000D7266" w:rsidRPr="005E13ED">
        <w:rPr>
          <w:rFonts w:ascii="Times New Roman" w:eastAsia="Calibri" w:hAnsi="Times New Roman"/>
          <w:sz w:val="24"/>
          <w:szCs w:val="24"/>
        </w:rPr>
        <w:t xml:space="preserve">the </w:t>
      </w:r>
      <w:proofErr w:type="spellStart"/>
      <w:r w:rsidR="000D7266" w:rsidRPr="005E13ED">
        <w:rPr>
          <w:rFonts w:ascii="Times New Roman" w:eastAsia="Calibri" w:hAnsi="Times New Roman"/>
          <w:sz w:val="24"/>
          <w:szCs w:val="24"/>
        </w:rPr>
        <w:t>MoF</w:t>
      </w:r>
      <w:proofErr w:type="spellEnd"/>
      <w:r w:rsidR="000D7266" w:rsidRPr="005E13ED">
        <w:rPr>
          <w:rFonts w:ascii="Times New Roman" w:eastAsia="Calibri" w:hAnsi="Times New Roman"/>
          <w:sz w:val="24"/>
          <w:szCs w:val="24"/>
        </w:rPr>
        <w:t xml:space="preserve"> should </w:t>
      </w:r>
      <w:r w:rsidRPr="005E13ED">
        <w:rPr>
          <w:rFonts w:ascii="Times New Roman" w:eastAsia="Calibri" w:hAnsi="Times New Roman"/>
          <w:sz w:val="24"/>
          <w:szCs w:val="24"/>
        </w:rPr>
        <w:t>work closely with relevant stakeholders, including the FSC and market participants.</w:t>
      </w:r>
      <w:r w:rsidR="00A97731" w:rsidRPr="005E13ED">
        <w:rPr>
          <w:rFonts w:ascii="Times New Roman" w:eastAsia="Calibri" w:hAnsi="Times New Roman"/>
          <w:sz w:val="24"/>
          <w:szCs w:val="24"/>
        </w:rPr>
        <w:t xml:space="preserve"> CDAD, along with the FSC and </w:t>
      </w:r>
      <w:r w:rsidR="00A56CAF" w:rsidRPr="005E13ED">
        <w:rPr>
          <w:rFonts w:ascii="Times New Roman" w:eastAsia="Calibri" w:hAnsi="Times New Roman"/>
          <w:sz w:val="24"/>
          <w:szCs w:val="24"/>
        </w:rPr>
        <w:t xml:space="preserve">the </w:t>
      </w:r>
      <w:proofErr w:type="spellStart"/>
      <w:r w:rsidR="00A97731" w:rsidRPr="005E13ED">
        <w:rPr>
          <w:rFonts w:ascii="Times New Roman" w:eastAsia="Calibri" w:hAnsi="Times New Roman"/>
          <w:sz w:val="24"/>
          <w:szCs w:val="24"/>
        </w:rPr>
        <w:t>MoF</w:t>
      </w:r>
      <w:proofErr w:type="spellEnd"/>
      <w:r w:rsidR="00A97731" w:rsidRPr="005E13ED">
        <w:rPr>
          <w:rFonts w:ascii="Times New Roman" w:eastAsia="Calibri" w:hAnsi="Times New Roman"/>
          <w:sz w:val="24"/>
          <w:szCs w:val="24"/>
        </w:rPr>
        <w:t xml:space="preserve"> shall be responsible for potential updates of </w:t>
      </w:r>
      <w:r w:rsidR="005E13ED" w:rsidRPr="005E13ED">
        <w:rPr>
          <w:rFonts w:ascii="Times New Roman" w:eastAsia="Calibri" w:hAnsi="Times New Roman"/>
          <w:sz w:val="24"/>
          <w:szCs w:val="24"/>
        </w:rPr>
        <w:t xml:space="preserve">the </w:t>
      </w:r>
      <w:r w:rsidR="00A97731" w:rsidRPr="005E13ED">
        <w:rPr>
          <w:rFonts w:ascii="Times New Roman" w:eastAsia="Calibri" w:hAnsi="Times New Roman"/>
          <w:sz w:val="24"/>
          <w:szCs w:val="24"/>
        </w:rPr>
        <w:t xml:space="preserve">clearing and settlement </w:t>
      </w:r>
      <w:r w:rsidR="005E13ED" w:rsidRPr="005E13ED">
        <w:rPr>
          <w:rFonts w:ascii="Times New Roman" w:eastAsia="Calibri" w:hAnsi="Times New Roman"/>
          <w:sz w:val="24"/>
          <w:szCs w:val="24"/>
        </w:rPr>
        <w:t xml:space="preserve">infrastructure and legal framework </w:t>
      </w:r>
      <w:r w:rsidR="00A97731" w:rsidRPr="005E13ED">
        <w:rPr>
          <w:rFonts w:ascii="Times New Roman" w:eastAsia="Calibri" w:hAnsi="Times New Roman"/>
          <w:sz w:val="24"/>
          <w:szCs w:val="24"/>
        </w:rPr>
        <w:t xml:space="preserve">in line with any changes on </w:t>
      </w:r>
      <w:r w:rsidR="005E13ED" w:rsidRPr="005E13ED">
        <w:rPr>
          <w:rFonts w:ascii="Times New Roman" w:eastAsia="Calibri" w:hAnsi="Times New Roman"/>
          <w:sz w:val="24"/>
          <w:szCs w:val="24"/>
        </w:rPr>
        <w:t xml:space="preserve">the </w:t>
      </w:r>
      <w:r w:rsidR="00A97731" w:rsidRPr="005E13ED">
        <w:rPr>
          <w:rFonts w:ascii="Times New Roman" w:eastAsia="Calibri" w:hAnsi="Times New Roman"/>
          <w:sz w:val="24"/>
          <w:szCs w:val="24"/>
        </w:rPr>
        <w:t xml:space="preserve">EU level.  </w:t>
      </w:r>
    </w:p>
    <w:p w:rsidR="00421C1B" w:rsidRPr="00421C1B" w:rsidRDefault="00421C1B" w:rsidP="00421C1B">
      <w:pPr>
        <w:pStyle w:val="ListParagraph"/>
        <w:tabs>
          <w:tab w:val="left" w:pos="540"/>
        </w:tabs>
        <w:autoSpaceDE w:val="0"/>
        <w:autoSpaceDN w:val="0"/>
        <w:adjustRightInd w:val="0"/>
        <w:spacing w:after="0" w:line="240" w:lineRule="auto"/>
        <w:ind w:left="0"/>
        <w:jc w:val="both"/>
        <w:rPr>
          <w:rFonts w:ascii="Times New Roman" w:eastAsia="Calibri" w:hAnsi="Times New Roman" w:cs="Helv"/>
          <w:b/>
          <w:color w:val="000000"/>
          <w:sz w:val="24"/>
          <w:szCs w:val="24"/>
        </w:rPr>
      </w:pPr>
    </w:p>
    <w:p w:rsidR="0075478F" w:rsidRDefault="004641E4" w:rsidP="00BD4EDB">
      <w:pPr>
        <w:pStyle w:val="ListParagraph"/>
        <w:numPr>
          <w:ilvl w:val="0"/>
          <w:numId w:val="3"/>
        </w:numPr>
        <w:tabs>
          <w:tab w:val="left" w:pos="540"/>
        </w:tabs>
        <w:autoSpaceDE w:val="0"/>
        <w:autoSpaceDN w:val="0"/>
        <w:adjustRightInd w:val="0"/>
        <w:spacing w:after="0" w:line="240" w:lineRule="auto"/>
        <w:ind w:left="0" w:firstLine="0"/>
        <w:jc w:val="both"/>
        <w:rPr>
          <w:rFonts w:ascii="Times New Roman" w:eastAsia="Calibri" w:hAnsi="Times New Roman"/>
          <w:b/>
          <w:sz w:val="24"/>
          <w:szCs w:val="24"/>
        </w:rPr>
      </w:pPr>
      <w:r>
        <w:rPr>
          <w:rFonts w:ascii="Times New Roman" w:eastAsia="Calibri" w:hAnsi="Times New Roman"/>
          <w:b/>
          <w:sz w:val="24"/>
          <w:szCs w:val="24"/>
        </w:rPr>
        <w:t xml:space="preserve">Recommendation 2: </w:t>
      </w:r>
      <w:r w:rsidR="00F851F5">
        <w:rPr>
          <w:rFonts w:ascii="Times New Roman" w:eastAsia="Calibri" w:hAnsi="Times New Roman"/>
          <w:b/>
          <w:sz w:val="24"/>
          <w:szCs w:val="24"/>
        </w:rPr>
        <w:t>Maintain</w:t>
      </w:r>
      <w:r w:rsidR="00AA47EF">
        <w:rPr>
          <w:rFonts w:ascii="Times New Roman" w:eastAsia="Calibri" w:hAnsi="Times New Roman"/>
          <w:b/>
          <w:sz w:val="24"/>
          <w:szCs w:val="24"/>
        </w:rPr>
        <w:t xml:space="preserve"> </w:t>
      </w:r>
      <w:r w:rsidR="00C2700F">
        <w:rPr>
          <w:rFonts w:ascii="Times New Roman" w:eastAsia="Calibri" w:hAnsi="Times New Roman"/>
          <w:b/>
          <w:sz w:val="24"/>
          <w:szCs w:val="24"/>
        </w:rPr>
        <w:t xml:space="preserve">foresight of </w:t>
      </w:r>
      <w:r w:rsidR="00421C1B" w:rsidRPr="00CA6C46">
        <w:rPr>
          <w:rFonts w:ascii="Times New Roman" w:eastAsia="Calibri" w:hAnsi="Times New Roman"/>
          <w:b/>
          <w:sz w:val="24"/>
          <w:szCs w:val="24"/>
        </w:rPr>
        <w:t>potential advancement</w:t>
      </w:r>
      <w:r w:rsidR="000651DF" w:rsidRPr="00CA6C46">
        <w:rPr>
          <w:rFonts w:ascii="Times New Roman" w:eastAsia="Calibri" w:hAnsi="Times New Roman"/>
          <w:b/>
          <w:sz w:val="24"/>
          <w:szCs w:val="24"/>
        </w:rPr>
        <w:t>s</w:t>
      </w:r>
      <w:r w:rsidR="00421C1B" w:rsidRPr="00CA6C46">
        <w:rPr>
          <w:rFonts w:ascii="Times New Roman" w:eastAsia="Calibri" w:hAnsi="Times New Roman"/>
          <w:b/>
          <w:sz w:val="24"/>
          <w:szCs w:val="24"/>
        </w:rPr>
        <w:t xml:space="preserve"> in </w:t>
      </w:r>
      <w:r w:rsidR="00CC1D25">
        <w:rPr>
          <w:rFonts w:ascii="Times New Roman" w:eastAsia="Calibri" w:hAnsi="Times New Roman"/>
          <w:b/>
          <w:sz w:val="24"/>
          <w:szCs w:val="24"/>
        </w:rPr>
        <w:t>market development</w:t>
      </w:r>
      <w:r w:rsidR="00C2700F">
        <w:rPr>
          <w:rFonts w:ascii="Times New Roman" w:eastAsia="Calibri" w:hAnsi="Times New Roman"/>
          <w:b/>
          <w:sz w:val="24"/>
          <w:szCs w:val="24"/>
        </w:rPr>
        <w:t xml:space="preserve"> locally as well as </w:t>
      </w:r>
      <w:r w:rsidR="00CC1D25">
        <w:rPr>
          <w:rFonts w:ascii="Times New Roman" w:eastAsia="Calibri" w:hAnsi="Times New Roman"/>
          <w:b/>
          <w:sz w:val="24"/>
          <w:szCs w:val="24"/>
        </w:rPr>
        <w:t>across borders</w:t>
      </w:r>
      <w:r w:rsidR="0075478F">
        <w:rPr>
          <w:rFonts w:ascii="Times New Roman" w:eastAsia="Calibri" w:hAnsi="Times New Roman"/>
          <w:b/>
          <w:sz w:val="24"/>
          <w:szCs w:val="24"/>
        </w:rPr>
        <w:t xml:space="preserve"> </w:t>
      </w:r>
      <w:r w:rsidR="00CC1D25">
        <w:rPr>
          <w:rFonts w:ascii="Times New Roman" w:eastAsia="Calibri" w:hAnsi="Times New Roman"/>
          <w:b/>
          <w:sz w:val="24"/>
          <w:szCs w:val="24"/>
        </w:rPr>
        <w:t xml:space="preserve">and </w:t>
      </w:r>
      <w:r w:rsidR="00C2700F">
        <w:rPr>
          <w:rFonts w:ascii="Times New Roman" w:eastAsia="Calibri" w:hAnsi="Times New Roman"/>
          <w:b/>
          <w:sz w:val="24"/>
          <w:szCs w:val="24"/>
        </w:rPr>
        <w:t>adapt the regulatory and supervisory framework as needed</w:t>
      </w:r>
      <w:r w:rsidR="00421C1B" w:rsidRPr="00CA6C46">
        <w:rPr>
          <w:rFonts w:ascii="Times New Roman" w:eastAsia="Calibri" w:hAnsi="Times New Roman"/>
          <w:b/>
          <w:sz w:val="24"/>
          <w:szCs w:val="24"/>
        </w:rPr>
        <w:t>.</w:t>
      </w:r>
      <w:r w:rsidR="00CA6C46">
        <w:rPr>
          <w:rFonts w:ascii="Times New Roman" w:eastAsia="Calibri" w:hAnsi="Times New Roman"/>
          <w:b/>
          <w:sz w:val="24"/>
          <w:szCs w:val="24"/>
        </w:rPr>
        <w:t xml:space="preserve"> </w:t>
      </w:r>
      <w:r w:rsidR="0075478F" w:rsidRPr="0075478F">
        <w:rPr>
          <w:rFonts w:ascii="Times New Roman" w:eastAsia="Calibri" w:hAnsi="Times New Roman"/>
          <w:sz w:val="24"/>
          <w:szCs w:val="24"/>
        </w:rPr>
        <w:t xml:space="preserve">This </w:t>
      </w:r>
      <w:r w:rsidR="00C2700F">
        <w:rPr>
          <w:rFonts w:ascii="Times New Roman" w:eastAsia="Calibri" w:hAnsi="Times New Roman"/>
          <w:sz w:val="24"/>
          <w:szCs w:val="24"/>
        </w:rPr>
        <w:t xml:space="preserve">might include </w:t>
      </w:r>
      <w:r w:rsidR="0075478F" w:rsidRPr="0075478F">
        <w:rPr>
          <w:rFonts w:ascii="Times New Roman" w:eastAsia="Calibri" w:hAnsi="Times New Roman"/>
          <w:sz w:val="24"/>
          <w:szCs w:val="24"/>
        </w:rPr>
        <w:t>the following aspects</w:t>
      </w:r>
      <w:r w:rsidR="0075478F">
        <w:rPr>
          <w:rFonts w:ascii="Times New Roman" w:eastAsia="Calibri" w:hAnsi="Times New Roman"/>
          <w:b/>
          <w:sz w:val="24"/>
          <w:szCs w:val="24"/>
        </w:rPr>
        <w:t>:</w:t>
      </w:r>
    </w:p>
    <w:p w:rsidR="0075478F" w:rsidRDefault="0075478F" w:rsidP="00CA6C46">
      <w:pPr>
        <w:autoSpaceDE w:val="0"/>
        <w:autoSpaceDN w:val="0"/>
        <w:adjustRightInd w:val="0"/>
        <w:spacing w:after="0" w:line="240" w:lineRule="auto"/>
        <w:jc w:val="both"/>
        <w:rPr>
          <w:rFonts w:ascii="Times New Roman" w:eastAsia="Calibri" w:hAnsi="Times New Roman"/>
          <w:b/>
          <w:sz w:val="24"/>
          <w:szCs w:val="24"/>
        </w:rPr>
      </w:pPr>
    </w:p>
    <w:p w:rsidR="0075478F" w:rsidRDefault="0075478F" w:rsidP="008D49D4">
      <w:pPr>
        <w:pStyle w:val="ListParagraph"/>
        <w:numPr>
          <w:ilvl w:val="1"/>
          <w:numId w:val="3"/>
        </w:numPr>
        <w:autoSpaceDE w:val="0"/>
        <w:autoSpaceDN w:val="0"/>
        <w:adjustRightInd w:val="0"/>
        <w:spacing w:after="0" w:line="240" w:lineRule="auto"/>
        <w:ind w:left="720" w:hanging="432"/>
        <w:jc w:val="both"/>
        <w:rPr>
          <w:rFonts w:ascii="Times New Roman" w:eastAsia="Calibri" w:hAnsi="Times New Roman"/>
          <w:sz w:val="24"/>
          <w:szCs w:val="24"/>
        </w:rPr>
      </w:pPr>
      <w:r>
        <w:rPr>
          <w:rFonts w:ascii="Times New Roman" w:eastAsia="Calibri" w:hAnsi="Times New Roman"/>
          <w:sz w:val="24"/>
          <w:szCs w:val="24"/>
        </w:rPr>
        <w:t>Preparing</w:t>
      </w:r>
      <w:r w:rsidR="00CC1D25" w:rsidRPr="0075478F">
        <w:rPr>
          <w:rFonts w:ascii="Times New Roman" w:eastAsia="Calibri" w:hAnsi="Times New Roman"/>
          <w:sz w:val="24"/>
          <w:szCs w:val="24"/>
        </w:rPr>
        <w:t xml:space="preserve"> the industry and </w:t>
      </w:r>
      <w:r w:rsidR="00CA6C46" w:rsidRPr="0075478F">
        <w:rPr>
          <w:rFonts w:ascii="Times New Roman" w:eastAsia="Calibri" w:hAnsi="Times New Roman"/>
          <w:sz w:val="24"/>
          <w:szCs w:val="24"/>
        </w:rPr>
        <w:t>financial infrastructure players in adapting/simulating participation under a major European operation</w:t>
      </w:r>
      <w:r w:rsidR="00CC1D25" w:rsidRPr="0075478F">
        <w:rPr>
          <w:rFonts w:ascii="Times New Roman" w:eastAsia="Calibri" w:hAnsi="Times New Roman"/>
          <w:sz w:val="24"/>
          <w:szCs w:val="24"/>
        </w:rPr>
        <w:t xml:space="preserve"> in the light of a potential merger of the BSE with a large European exchange</w:t>
      </w:r>
      <w:r w:rsidR="00CA6C46" w:rsidRPr="0075478F">
        <w:rPr>
          <w:rFonts w:ascii="Times New Roman" w:eastAsia="Calibri" w:hAnsi="Times New Roman"/>
          <w:sz w:val="24"/>
          <w:szCs w:val="24"/>
        </w:rPr>
        <w:t>.</w:t>
      </w:r>
      <w:r w:rsidR="00CC1D25" w:rsidRPr="0075478F">
        <w:rPr>
          <w:rFonts w:ascii="Times New Roman" w:eastAsia="Calibri" w:hAnsi="Times New Roman"/>
          <w:sz w:val="24"/>
          <w:szCs w:val="24"/>
        </w:rPr>
        <w:t xml:space="preserve"> </w:t>
      </w:r>
    </w:p>
    <w:p w:rsidR="0075478F" w:rsidRDefault="0075478F" w:rsidP="008D49D4">
      <w:pPr>
        <w:pStyle w:val="ListParagraph"/>
        <w:numPr>
          <w:ilvl w:val="1"/>
          <w:numId w:val="3"/>
        </w:numPr>
        <w:autoSpaceDE w:val="0"/>
        <w:autoSpaceDN w:val="0"/>
        <w:adjustRightInd w:val="0"/>
        <w:spacing w:after="0" w:line="240" w:lineRule="auto"/>
        <w:ind w:left="720" w:hanging="432"/>
        <w:jc w:val="both"/>
        <w:rPr>
          <w:rFonts w:ascii="Times New Roman" w:eastAsia="Calibri" w:hAnsi="Times New Roman"/>
          <w:sz w:val="24"/>
          <w:szCs w:val="24"/>
        </w:rPr>
      </w:pPr>
      <w:r w:rsidRPr="0075478F">
        <w:rPr>
          <w:rFonts w:ascii="Times New Roman" w:eastAsia="Calibri" w:hAnsi="Times New Roman"/>
          <w:sz w:val="24"/>
          <w:szCs w:val="24"/>
        </w:rPr>
        <w:lastRenderedPageBreak/>
        <w:t xml:space="preserve">Implementing provisions and supervisory monitoring procedures to ensure the application of best execution in trading when expanded across a wider range of trading venues.  </w:t>
      </w:r>
    </w:p>
    <w:p w:rsidR="00F94B2C" w:rsidRDefault="00F94B2C" w:rsidP="00F94B2C">
      <w:pPr>
        <w:pStyle w:val="ListParagraph"/>
        <w:numPr>
          <w:ilvl w:val="1"/>
          <w:numId w:val="3"/>
        </w:numPr>
        <w:autoSpaceDE w:val="0"/>
        <w:autoSpaceDN w:val="0"/>
        <w:adjustRightInd w:val="0"/>
        <w:spacing w:after="0" w:line="240" w:lineRule="auto"/>
        <w:ind w:left="720" w:hanging="432"/>
        <w:jc w:val="both"/>
        <w:rPr>
          <w:rFonts w:ascii="Times New Roman" w:eastAsia="Calibri" w:hAnsi="Times New Roman"/>
          <w:sz w:val="24"/>
          <w:szCs w:val="24"/>
        </w:rPr>
      </w:pPr>
      <w:r>
        <w:rPr>
          <w:rFonts w:ascii="Times New Roman" w:eastAsia="Calibri" w:hAnsi="Times New Roman"/>
          <w:sz w:val="24"/>
          <w:szCs w:val="24"/>
        </w:rPr>
        <w:t xml:space="preserve">Monitoring changes to the </w:t>
      </w:r>
      <w:proofErr w:type="spellStart"/>
      <w:r>
        <w:rPr>
          <w:rFonts w:ascii="Times New Roman" w:eastAsia="Calibri" w:hAnsi="Times New Roman"/>
          <w:sz w:val="24"/>
          <w:szCs w:val="24"/>
        </w:rPr>
        <w:t>MiFID</w:t>
      </w:r>
      <w:proofErr w:type="spellEnd"/>
      <w:r>
        <w:rPr>
          <w:rFonts w:ascii="Times New Roman" w:eastAsia="Calibri" w:hAnsi="Times New Roman"/>
          <w:sz w:val="24"/>
          <w:szCs w:val="24"/>
        </w:rPr>
        <w:t xml:space="preserve"> venue classification expected as part of the </w:t>
      </w:r>
      <w:proofErr w:type="spellStart"/>
      <w:r>
        <w:rPr>
          <w:rFonts w:ascii="Times New Roman" w:eastAsia="Calibri" w:hAnsi="Times New Roman"/>
          <w:sz w:val="24"/>
          <w:szCs w:val="24"/>
        </w:rPr>
        <w:t>MiFID</w:t>
      </w:r>
      <w:proofErr w:type="spellEnd"/>
      <w:r>
        <w:rPr>
          <w:rFonts w:ascii="Times New Roman" w:eastAsia="Calibri" w:hAnsi="Times New Roman"/>
          <w:sz w:val="24"/>
          <w:szCs w:val="24"/>
        </w:rPr>
        <w:t xml:space="preserve"> Review which might require a more vigilant enforcement of the rules for equity trading. </w:t>
      </w:r>
      <w:r w:rsidRPr="0075478F">
        <w:rPr>
          <w:rFonts w:ascii="Times New Roman" w:eastAsia="Calibri" w:hAnsi="Times New Roman"/>
          <w:sz w:val="24"/>
          <w:szCs w:val="24"/>
        </w:rPr>
        <w:t xml:space="preserve"> </w:t>
      </w:r>
    </w:p>
    <w:p w:rsidR="0075478F" w:rsidRDefault="0075478F" w:rsidP="00F94B2C">
      <w:pPr>
        <w:pStyle w:val="ListParagraph"/>
        <w:numPr>
          <w:ilvl w:val="1"/>
          <w:numId w:val="3"/>
        </w:numPr>
        <w:autoSpaceDE w:val="0"/>
        <w:autoSpaceDN w:val="0"/>
        <w:adjustRightInd w:val="0"/>
        <w:spacing w:after="0" w:line="240" w:lineRule="auto"/>
        <w:ind w:left="720" w:hanging="432"/>
        <w:jc w:val="both"/>
        <w:rPr>
          <w:rFonts w:ascii="Times New Roman" w:eastAsia="Calibri" w:hAnsi="Times New Roman"/>
          <w:sz w:val="24"/>
          <w:szCs w:val="24"/>
        </w:rPr>
      </w:pPr>
      <w:r w:rsidRPr="0075478F">
        <w:rPr>
          <w:rFonts w:ascii="Times New Roman" w:eastAsia="Calibri" w:hAnsi="Times New Roman"/>
          <w:sz w:val="24"/>
          <w:szCs w:val="24"/>
        </w:rPr>
        <w:t xml:space="preserve">Strengthening the surveillance function to be able to adequately verify industry’s capital and risk management requirements.  </w:t>
      </w:r>
    </w:p>
    <w:p w:rsidR="00BD4EDB" w:rsidRPr="0075478F" w:rsidRDefault="00BD4EDB" w:rsidP="00F94B2C">
      <w:pPr>
        <w:pStyle w:val="ListParagraph"/>
        <w:numPr>
          <w:ilvl w:val="1"/>
          <w:numId w:val="3"/>
        </w:numPr>
        <w:autoSpaceDE w:val="0"/>
        <w:autoSpaceDN w:val="0"/>
        <w:adjustRightInd w:val="0"/>
        <w:spacing w:after="0" w:line="240" w:lineRule="auto"/>
        <w:ind w:left="720" w:hanging="432"/>
        <w:jc w:val="both"/>
        <w:rPr>
          <w:rFonts w:ascii="Times New Roman" w:eastAsia="Calibri" w:hAnsi="Times New Roman"/>
          <w:sz w:val="24"/>
          <w:szCs w:val="24"/>
        </w:rPr>
      </w:pPr>
      <w:r w:rsidRPr="0075478F">
        <w:rPr>
          <w:rFonts w:ascii="Times New Roman" w:eastAsia="Calibri" w:hAnsi="Times New Roman"/>
          <w:sz w:val="24"/>
          <w:szCs w:val="24"/>
        </w:rPr>
        <w:t xml:space="preserve">Increasing monitoring and enforcement of requirements </w:t>
      </w:r>
      <w:r>
        <w:rPr>
          <w:rFonts w:ascii="Times New Roman" w:eastAsia="Calibri" w:hAnsi="Times New Roman"/>
          <w:sz w:val="24"/>
          <w:szCs w:val="24"/>
        </w:rPr>
        <w:t xml:space="preserve">for investment firms </w:t>
      </w:r>
      <w:r w:rsidRPr="0075478F">
        <w:rPr>
          <w:rFonts w:ascii="Times New Roman" w:eastAsia="Calibri" w:hAnsi="Times New Roman"/>
          <w:sz w:val="24"/>
          <w:szCs w:val="24"/>
        </w:rPr>
        <w:t xml:space="preserve">in </w:t>
      </w:r>
      <w:r>
        <w:rPr>
          <w:rFonts w:ascii="Times New Roman" w:eastAsia="Calibri" w:hAnsi="Times New Roman"/>
          <w:sz w:val="24"/>
          <w:szCs w:val="24"/>
        </w:rPr>
        <w:t>several areas,</w:t>
      </w:r>
      <w:r w:rsidRPr="0075478F">
        <w:rPr>
          <w:rFonts w:ascii="Times New Roman" w:eastAsia="Calibri" w:hAnsi="Times New Roman"/>
          <w:sz w:val="24"/>
          <w:szCs w:val="24"/>
        </w:rPr>
        <w:t xml:space="preserve"> including safeguarding of client funds, reporting qualified holdings and large exposures. </w:t>
      </w:r>
    </w:p>
    <w:p w:rsidR="0075478F" w:rsidRDefault="0075478F" w:rsidP="00F94B2C">
      <w:pPr>
        <w:pStyle w:val="ListParagraph"/>
        <w:numPr>
          <w:ilvl w:val="1"/>
          <w:numId w:val="3"/>
        </w:numPr>
        <w:autoSpaceDE w:val="0"/>
        <w:autoSpaceDN w:val="0"/>
        <w:adjustRightInd w:val="0"/>
        <w:spacing w:after="0" w:line="240" w:lineRule="auto"/>
        <w:ind w:left="720" w:hanging="432"/>
        <w:jc w:val="both"/>
        <w:rPr>
          <w:rFonts w:ascii="Times New Roman" w:eastAsia="Calibri" w:hAnsi="Times New Roman"/>
          <w:sz w:val="24"/>
          <w:szCs w:val="24"/>
        </w:rPr>
      </w:pPr>
      <w:r w:rsidRPr="0075478F">
        <w:rPr>
          <w:rFonts w:ascii="Times New Roman" w:eastAsia="Calibri" w:hAnsi="Times New Roman"/>
          <w:sz w:val="24"/>
          <w:szCs w:val="24"/>
        </w:rPr>
        <w:t>Working with the BSE to increase its mandate of market surveillance and preparing requisite supervision plans and resources in the FSC to support this.</w:t>
      </w:r>
    </w:p>
    <w:p w:rsidR="0075478F" w:rsidRDefault="0075478F" w:rsidP="000D7266">
      <w:pPr>
        <w:pStyle w:val="ListParagraph"/>
        <w:numPr>
          <w:ilvl w:val="1"/>
          <w:numId w:val="3"/>
        </w:numPr>
        <w:autoSpaceDE w:val="0"/>
        <w:autoSpaceDN w:val="0"/>
        <w:adjustRightInd w:val="0"/>
        <w:spacing w:after="0" w:line="240" w:lineRule="auto"/>
        <w:ind w:left="720" w:hanging="432"/>
        <w:jc w:val="both"/>
        <w:rPr>
          <w:rFonts w:ascii="Times New Roman" w:eastAsia="Calibri" w:hAnsi="Times New Roman"/>
          <w:sz w:val="24"/>
          <w:szCs w:val="24"/>
        </w:rPr>
      </w:pPr>
      <w:r>
        <w:rPr>
          <w:rFonts w:ascii="Times New Roman" w:eastAsia="Calibri" w:hAnsi="Times New Roman"/>
          <w:sz w:val="24"/>
          <w:szCs w:val="24"/>
        </w:rPr>
        <w:t>U</w:t>
      </w:r>
      <w:r w:rsidRPr="0075478F">
        <w:rPr>
          <w:rFonts w:ascii="Times New Roman" w:eastAsia="Calibri" w:hAnsi="Times New Roman"/>
          <w:sz w:val="24"/>
          <w:szCs w:val="24"/>
        </w:rPr>
        <w:t xml:space="preserve">ndertaking training and securing </w:t>
      </w:r>
      <w:r>
        <w:rPr>
          <w:rFonts w:ascii="Times New Roman" w:eastAsia="Calibri" w:hAnsi="Times New Roman"/>
          <w:sz w:val="24"/>
          <w:szCs w:val="24"/>
        </w:rPr>
        <w:t xml:space="preserve">resources </w:t>
      </w:r>
      <w:r w:rsidRPr="0075478F">
        <w:rPr>
          <w:rFonts w:ascii="Times New Roman" w:eastAsia="Calibri" w:hAnsi="Times New Roman"/>
          <w:sz w:val="24"/>
          <w:szCs w:val="24"/>
        </w:rPr>
        <w:t>for the FSC.</w:t>
      </w:r>
    </w:p>
    <w:p w:rsidR="00216DEE" w:rsidRDefault="00216DEE" w:rsidP="005E13ED">
      <w:pPr>
        <w:pStyle w:val="ListParagraph"/>
        <w:jc w:val="both"/>
        <w:rPr>
          <w:rFonts w:ascii="Times New Roman" w:eastAsia="Calibri" w:hAnsi="Times New Roman"/>
          <w:sz w:val="24"/>
          <w:szCs w:val="24"/>
        </w:rPr>
      </w:pPr>
    </w:p>
    <w:p w:rsidR="00216DEE" w:rsidRDefault="00216DEE" w:rsidP="005E13ED">
      <w:pPr>
        <w:pStyle w:val="ListParagraph"/>
        <w:ind w:left="0"/>
        <w:jc w:val="both"/>
        <w:rPr>
          <w:rFonts w:ascii="Times New Roman" w:eastAsia="Calibri" w:hAnsi="Times New Roman"/>
          <w:sz w:val="24"/>
          <w:szCs w:val="24"/>
        </w:rPr>
      </w:pPr>
      <w:r>
        <w:rPr>
          <w:rFonts w:ascii="Times New Roman" w:eastAsia="Calibri" w:hAnsi="Times New Roman"/>
          <w:sz w:val="24"/>
          <w:szCs w:val="24"/>
        </w:rPr>
        <w:t xml:space="preserve">Responsibility for all the aspects of this recommendation </w:t>
      </w:r>
      <w:r w:rsidR="00A97731">
        <w:rPr>
          <w:rFonts w:ascii="Times New Roman" w:eastAsia="Calibri" w:hAnsi="Times New Roman"/>
          <w:sz w:val="24"/>
          <w:szCs w:val="24"/>
        </w:rPr>
        <w:t xml:space="preserve">should stay </w:t>
      </w:r>
      <w:r>
        <w:rPr>
          <w:rFonts w:ascii="Times New Roman" w:eastAsia="Calibri" w:hAnsi="Times New Roman"/>
          <w:sz w:val="24"/>
          <w:szCs w:val="24"/>
        </w:rPr>
        <w:t xml:space="preserve">with </w:t>
      </w:r>
      <w:r w:rsidR="00A97731">
        <w:rPr>
          <w:rFonts w:ascii="Times New Roman" w:eastAsia="Calibri" w:hAnsi="Times New Roman"/>
          <w:sz w:val="24"/>
          <w:szCs w:val="24"/>
        </w:rPr>
        <w:t xml:space="preserve">the </w:t>
      </w:r>
      <w:r>
        <w:rPr>
          <w:rFonts w:ascii="Times New Roman" w:eastAsia="Calibri" w:hAnsi="Times New Roman"/>
          <w:sz w:val="24"/>
          <w:szCs w:val="24"/>
        </w:rPr>
        <w:t>FSC</w:t>
      </w:r>
      <w:r w:rsidR="00A97731">
        <w:rPr>
          <w:rFonts w:ascii="Times New Roman" w:eastAsia="Calibri" w:hAnsi="Times New Roman"/>
          <w:sz w:val="24"/>
          <w:szCs w:val="24"/>
        </w:rPr>
        <w:t>. Capital market participants as well as a broader financial market will</w:t>
      </w:r>
      <w:r>
        <w:rPr>
          <w:rFonts w:ascii="Times New Roman" w:eastAsia="Calibri" w:hAnsi="Times New Roman"/>
          <w:sz w:val="24"/>
          <w:szCs w:val="24"/>
        </w:rPr>
        <w:t xml:space="preserve"> benefit from more transparent, better integrated and robust capital market.</w:t>
      </w:r>
    </w:p>
    <w:p w:rsidR="00DC46C1" w:rsidRPr="00DC46C1" w:rsidRDefault="00DC46C1" w:rsidP="00DC46C1">
      <w:pPr>
        <w:pStyle w:val="ListParagraph"/>
        <w:rPr>
          <w:rFonts w:ascii="Times New Roman" w:eastAsia="Calibri" w:hAnsi="Times New Roman"/>
          <w:sz w:val="24"/>
          <w:szCs w:val="24"/>
        </w:rPr>
      </w:pPr>
    </w:p>
    <w:p w:rsidR="002D3374" w:rsidRPr="00DC46C1" w:rsidRDefault="004641E4" w:rsidP="00DC46C1">
      <w:pPr>
        <w:pStyle w:val="ListParagraph"/>
        <w:numPr>
          <w:ilvl w:val="0"/>
          <w:numId w:val="3"/>
        </w:numPr>
        <w:tabs>
          <w:tab w:val="left" w:pos="540"/>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b/>
          <w:sz w:val="24"/>
          <w:szCs w:val="24"/>
        </w:rPr>
        <w:t xml:space="preserve">Recommendation 3: </w:t>
      </w:r>
      <w:r w:rsidR="00C2700F" w:rsidRPr="00DC46C1">
        <w:rPr>
          <w:rFonts w:ascii="Times New Roman" w:hAnsi="Times New Roman"/>
          <w:b/>
          <w:sz w:val="24"/>
          <w:szCs w:val="24"/>
        </w:rPr>
        <w:t>Optimiz</w:t>
      </w:r>
      <w:r w:rsidR="00C2700F">
        <w:rPr>
          <w:rFonts w:ascii="Times New Roman" w:hAnsi="Times New Roman"/>
          <w:b/>
          <w:sz w:val="24"/>
          <w:szCs w:val="24"/>
        </w:rPr>
        <w:t>e</w:t>
      </w:r>
      <w:r w:rsidR="00C2700F" w:rsidRPr="00DC46C1">
        <w:rPr>
          <w:rFonts w:ascii="Times New Roman" w:hAnsi="Times New Roman"/>
          <w:b/>
          <w:sz w:val="24"/>
          <w:szCs w:val="24"/>
        </w:rPr>
        <w:t xml:space="preserve"> </w:t>
      </w:r>
      <w:r w:rsidR="002D3374" w:rsidRPr="00DC46C1">
        <w:rPr>
          <w:rFonts w:ascii="Times New Roman" w:hAnsi="Times New Roman"/>
          <w:b/>
          <w:sz w:val="24"/>
          <w:szCs w:val="24"/>
        </w:rPr>
        <w:t xml:space="preserve">the compliance </w:t>
      </w:r>
      <w:r w:rsidR="001A5243" w:rsidRPr="00DC46C1">
        <w:rPr>
          <w:rFonts w:ascii="Times New Roman" w:hAnsi="Times New Roman"/>
          <w:b/>
          <w:sz w:val="24"/>
          <w:szCs w:val="24"/>
        </w:rPr>
        <w:t>and client handling functions to improve the business environment for the industry.</w:t>
      </w:r>
      <w:r w:rsidR="001A5243" w:rsidRPr="00DC46C1">
        <w:rPr>
          <w:rFonts w:ascii="Times New Roman" w:hAnsi="Times New Roman"/>
          <w:sz w:val="24"/>
          <w:szCs w:val="24"/>
        </w:rPr>
        <w:t xml:space="preserve">  This</w:t>
      </w:r>
      <w:r w:rsidR="00DC46C1">
        <w:rPr>
          <w:rFonts w:ascii="Times New Roman" w:hAnsi="Times New Roman"/>
          <w:sz w:val="24"/>
          <w:szCs w:val="24"/>
        </w:rPr>
        <w:t xml:space="preserve"> would include</w:t>
      </w:r>
      <w:r w:rsidR="001A5243" w:rsidRPr="00DC46C1">
        <w:rPr>
          <w:rFonts w:ascii="Times New Roman" w:hAnsi="Times New Roman"/>
          <w:sz w:val="24"/>
          <w:szCs w:val="24"/>
        </w:rPr>
        <w:t xml:space="preserve"> </w:t>
      </w:r>
      <w:r w:rsidR="002D3374" w:rsidRPr="00DC46C1">
        <w:rPr>
          <w:rFonts w:ascii="Times New Roman" w:hAnsi="Times New Roman"/>
          <w:sz w:val="24"/>
          <w:szCs w:val="24"/>
        </w:rPr>
        <w:t xml:space="preserve">reducing </w:t>
      </w:r>
      <w:r w:rsidR="00CF1573">
        <w:rPr>
          <w:rFonts w:ascii="Times New Roman" w:hAnsi="Times New Roman"/>
          <w:sz w:val="24"/>
          <w:szCs w:val="24"/>
        </w:rPr>
        <w:t xml:space="preserve">the </w:t>
      </w:r>
      <w:r w:rsidR="002D3374" w:rsidRPr="00DC46C1">
        <w:rPr>
          <w:rFonts w:ascii="Times New Roman" w:hAnsi="Times New Roman"/>
          <w:sz w:val="24"/>
          <w:szCs w:val="24"/>
        </w:rPr>
        <w:t>number of reports and issuance frequency of compliance instructions, and other compliance oriented reforms.</w:t>
      </w:r>
      <w:r w:rsidR="00DC46C1">
        <w:rPr>
          <w:rFonts w:ascii="Times New Roman" w:hAnsi="Times New Roman"/>
          <w:sz w:val="24"/>
          <w:szCs w:val="24"/>
        </w:rPr>
        <w:t xml:space="preserve"> </w:t>
      </w:r>
      <w:r w:rsidR="001A5243" w:rsidRPr="00DC46C1">
        <w:rPr>
          <w:rFonts w:ascii="Times New Roman" w:hAnsi="Times New Roman"/>
          <w:sz w:val="24"/>
          <w:szCs w:val="24"/>
        </w:rPr>
        <w:t>T</w:t>
      </w:r>
      <w:r w:rsidR="002D3374" w:rsidRPr="00DC46C1">
        <w:rPr>
          <w:rFonts w:ascii="Times New Roman" w:hAnsi="Times New Roman"/>
          <w:sz w:val="24"/>
          <w:szCs w:val="24"/>
        </w:rPr>
        <w:t>he broker/client transactional costs</w:t>
      </w:r>
      <w:r w:rsidR="00DC46C1">
        <w:rPr>
          <w:rFonts w:ascii="Times New Roman" w:hAnsi="Times New Roman"/>
          <w:sz w:val="24"/>
          <w:szCs w:val="24"/>
        </w:rPr>
        <w:t xml:space="preserve"> could be reduced by</w:t>
      </w:r>
      <w:r w:rsidR="002D3374" w:rsidRPr="00DC46C1">
        <w:rPr>
          <w:rFonts w:ascii="Times New Roman" w:hAnsi="Times New Roman"/>
          <w:sz w:val="24"/>
          <w:szCs w:val="24"/>
        </w:rPr>
        <w:t xml:space="preserve"> electronic contracts and signatures</w:t>
      </w:r>
      <w:r w:rsidR="00DC46C1">
        <w:rPr>
          <w:rFonts w:ascii="Times New Roman" w:hAnsi="Times New Roman"/>
          <w:sz w:val="24"/>
          <w:szCs w:val="24"/>
        </w:rPr>
        <w:t xml:space="preserve">. Additionally, the FSC shall explore </w:t>
      </w:r>
      <w:r w:rsidR="0083669C">
        <w:rPr>
          <w:rFonts w:ascii="Times New Roman" w:hAnsi="Times New Roman"/>
          <w:sz w:val="24"/>
          <w:szCs w:val="24"/>
        </w:rPr>
        <w:t xml:space="preserve">legal reforms </w:t>
      </w:r>
      <w:r w:rsidR="00DC46C1">
        <w:rPr>
          <w:rFonts w:ascii="Times New Roman" w:hAnsi="Times New Roman"/>
          <w:sz w:val="24"/>
          <w:szCs w:val="24"/>
        </w:rPr>
        <w:t>that could facilitate investment firms in determining suitability test</w:t>
      </w:r>
      <w:r w:rsidR="00CF1573">
        <w:rPr>
          <w:rFonts w:ascii="Times New Roman" w:hAnsi="Times New Roman"/>
          <w:sz w:val="24"/>
          <w:szCs w:val="24"/>
        </w:rPr>
        <w:t>s</w:t>
      </w:r>
      <w:r w:rsidR="00DC46C1">
        <w:rPr>
          <w:rFonts w:ascii="Times New Roman" w:hAnsi="Times New Roman"/>
          <w:sz w:val="24"/>
          <w:szCs w:val="24"/>
        </w:rPr>
        <w:t>.</w:t>
      </w:r>
      <w:r w:rsidR="000736F4">
        <w:rPr>
          <w:rFonts w:ascii="Times New Roman" w:hAnsi="Times New Roman"/>
          <w:sz w:val="24"/>
          <w:szCs w:val="24"/>
        </w:rPr>
        <w:t xml:space="preserve"> </w:t>
      </w:r>
      <w:r w:rsidR="00A97731">
        <w:rPr>
          <w:rFonts w:ascii="Times New Roman" w:hAnsi="Times New Roman"/>
          <w:sz w:val="24"/>
          <w:szCs w:val="24"/>
        </w:rPr>
        <w:t xml:space="preserve">By taking the lead in implementation of this recommendation the FSC will help create more cost-effective and vibrant </w:t>
      </w:r>
      <w:r w:rsidR="00A56CAF">
        <w:rPr>
          <w:rFonts w:ascii="Times New Roman" w:hAnsi="Times New Roman"/>
          <w:sz w:val="24"/>
          <w:szCs w:val="24"/>
        </w:rPr>
        <w:t>industry</w:t>
      </w:r>
      <w:r w:rsidR="00A97731">
        <w:rPr>
          <w:rFonts w:ascii="Times New Roman" w:hAnsi="Times New Roman"/>
          <w:sz w:val="24"/>
          <w:szCs w:val="24"/>
        </w:rPr>
        <w:t xml:space="preserve">. </w:t>
      </w:r>
    </w:p>
    <w:p w:rsidR="002D3374" w:rsidRPr="00AA47EF" w:rsidRDefault="002D3374" w:rsidP="002D3374">
      <w:pPr>
        <w:autoSpaceDE w:val="0"/>
        <w:autoSpaceDN w:val="0"/>
        <w:adjustRightInd w:val="0"/>
        <w:spacing w:after="0" w:line="240" w:lineRule="auto"/>
        <w:rPr>
          <w:rFonts w:ascii="Helv" w:hAnsi="Helv" w:cs="Helv"/>
          <w:b/>
          <w:color w:val="000000"/>
          <w:sz w:val="20"/>
          <w:szCs w:val="20"/>
        </w:rPr>
      </w:pPr>
    </w:p>
    <w:p w:rsidR="00DC46C1" w:rsidRPr="00AA47EF" w:rsidRDefault="004641E4" w:rsidP="00DC46C1">
      <w:pPr>
        <w:pStyle w:val="ListParagraph"/>
        <w:numPr>
          <w:ilvl w:val="0"/>
          <w:numId w:val="3"/>
        </w:numPr>
        <w:tabs>
          <w:tab w:val="left" w:pos="540"/>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b/>
          <w:sz w:val="24"/>
          <w:szCs w:val="24"/>
        </w:rPr>
        <w:t xml:space="preserve">Recommendation 4: </w:t>
      </w:r>
      <w:r w:rsidR="00DC46C1" w:rsidRPr="00AA47EF">
        <w:rPr>
          <w:rFonts w:ascii="Times New Roman" w:hAnsi="Times New Roman"/>
          <w:b/>
          <w:sz w:val="24"/>
          <w:szCs w:val="24"/>
        </w:rPr>
        <w:t>Lessen the barriers for investment firms to conduct business abroad.</w:t>
      </w:r>
      <w:r w:rsidR="00DC46C1" w:rsidRPr="00AA47EF">
        <w:rPr>
          <w:rFonts w:ascii="Times New Roman" w:hAnsi="Times New Roman"/>
          <w:sz w:val="24"/>
          <w:szCs w:val="24"/>
        </w:rPr>
        <w:t xml:space="preserve"> </w:t>
      </w:r>
      <w:r w:rsidR="00AA47EF">
        <w:rPr>
          <w:rFonts w:ascii="Times New Roman" w:hAnsi="Times New Roman"/>
          <w:sz w:val="24"/>
          <w:szCs w:val="24"/>
        </w:rPr>
        <w:t xml:space="preserve">Bulgarian firms are not experienced in conducting business abroad and they lack international connections. The FSC could assist this process through providing information to the industry, </w:t>
      </w:r>
      <w:r w:rsidR="00AA47EF" w:rsidRPr="00AA47EF">
        <w:rPr>
          <w:rFonts w:ascii="Times New Roman" w:hAnsi="Times New Roman"/>
          <w:sz w:val="24"/>
          <w:szCs w:val="24"/>
        </w:rPr>
        <w:t>reduc</w:t>
      </w:r>
      <w:r w:rsidR="00AA47EF">
        <w:rPr>
          <w:rFonts w:ascii="Times New Roman" w:hAnsi="Times New Roman"/>
          <w:sz w:val="24"/>
          <w:szCs w:val="24"/>
        </w:rPr>
        <w:t>ing</w:t>
      </w:r>
      <w:r w:rsidR="00AA47EF" w:rsidRPr="00AA47EF">
        <w:rPr>
          <w:rFonts w:ascii="Times New Roman" w:hAnsi="Times New Roman"/>
          <w:sz w:val="24"/>
          <w:szCs w:val="24"/>
        </w:rPr>
        <w:t xml:space="preserve"> a</w:t>
      </w:r>
      <w:r w:rsidR="00DC46C1" w:rsidRPr="00AA47EF">
        <w:rPr>
          <w:rFonts w:ascii="Times New Roman" w:hAnsi="Times New Roman"/>
          <w:sz w:val="24"/>
          <w:szCs w:val="24"/>
        </w:rPr>
        <w:t xml:space="preserve">dministrative barriers for setting up overseas branches, </w:t>
      </w:r>
      <w:r w:rsidR="00AA47EF">
        <w:rPr>
          <w:rFonts w:ascii="Times New Roman" w:hAnsi="Times New Roman"/>
          <w:sz w:val="24"/>
          <w:szCs w:val="24"/>
        </w:rPr>
        <w:t xml:space="preserve">or reconsidering </w:t>
      </w:r>
      <w:r w:rsidR="00DC46C1" w:rsidRPr="00AA47EF">
        <w:rPr>
          <w:rFonts w:ascii="Times New Roman" w:hAnsi="Times New Roman"/>
          <w:sz w:val="24"/>
          <w:szCs w:val="24"/>
        </w:rPr>
        <w:t>the use of tied agents for trading abroad.</w:t>
      </w:r>
      <w:r w:rsidR="00A97731">
        <w:rPr>
          <w:rFonts w:ascii="Times New Roman" w:hAnsi="Times New Roman"/>
          <w:sz w:val="24"/>
          <w:szCs w:val="24"/>
        </w:rPr>
        <w:t xml:space="preserve"> This way the industry will be able to realize full benefits of </w:t>
      </w:r>
      <w:r w:rsidR="00A56CAF">
        <w:rPr>
          <w:rFonts w:ascii="Times New Roman" w:hAnsi="Times New Roman"/>
          <w:sz w:val="24"/>
          <w:szCs w:val="24"/>
        </w:rPr>
        <w:t xml:space="preserve">the </w:t>
      </w:r>
      <w:r w:rsidR="00A97731">
        <w:rPr>
          <w:rFonts w:ascii="Times New Roman" w:hAnsi="Times New Roman"/>
          <w:sz w:val="24"/>
          <w:szCs w:val="24"/>
        </w:rPr>
        <w:t>capital market integration.</w:t>
      </w:r>
    </w:p>
    <w:p w:rsidR="00DC46C1" w:rsidRPr="00DC46C1" w:rsidRDefault="00DC46C1" w:rsidP="00DC46C1">
      <w:pPr>
        <w:pStyle w:val="ListParagraph"/>
        <w:tabs>
          <w:tab w:val="left" w:pos="540"/>
        </w:tabs>
        <w:autoSpaceDE w:val="0"/>
        <w:autoSpaceDN w:val="0"/>
        <w:adjustRightInd w:val="0"/>
        <w:spacing w:after="0" w:line="240" w:lineRule="auto"/>
        <w:ind w:left="0"/>
        <w:jc w:val="both"/>
        <w:rPr>
          <w:rFonts w:ascii="Times New Roman" w:hAnsi="Times New Roman"/>
          <w:b/>
          <w:sz w:val="24"/>
          <w:szCs w:val="24"/>
        </w:rPr>
      </w:pPr>
    </w:p>
    <w:p w:rsidR="005304C7" w:rsidRDefault="005B58F3" w:rsidP="00F10E93">
      <w:pPr>
        <w:pStyle w:val="mainnum"/>
      </w:pPr>
      <w:r>
        <w:br w:type="page"/>
      </w:r>
      <w:bookmarkStart w:id="18" w:name="_Toc297027832"/>
      <w:bookmarkStart w:id="19" w:name="_Toc297030936"/>
      <w:bookmarkStart w:id="20" w:name="_Toc297027833"/>
      <w:bookmarkStart w:id="21" w:name="_Toc297030937"/>
      <w:bookmarkStart w:id="22" w:name="_Toc297111590"/>
      <w:bookmarkEnd w:id="18"/>
      <w:bookmarkEnd w:id="19"/>
      <w:bookmarkEnd w:id="20"/>
      <w:bookmarkEnd w:id="21"/>
      <w:r w:rsidR="00D66944" w:rsidRPr="00F10E93">
        <w:lastRenderedPageBreak/>
        <w:t>A</w:t>
      </w:r>
      <w:r w:rsidR="004641E4" w:rsidRPr="00F10E93">
        <w:t>nnex</w:t>
      </w:r>
      <w:r w:rsidR="00D66944" w:rsidRPr="001A4BD7">
        <w:t xml:space="preserve"> I: The Markets in Financial Instruments Directive (</w:t>
      </w:r>
      <w:proofErr w:type="spellStart"/>
      <w:r w:rsidR="00D66944" w:rsidRPr="001A4BD7">
        <w:t>MiFID</w:t>
      </w:r>
      <w:proofErr w:type="spellEnd"/>
      <w:r w:rsidR="00D66944" w:rsidRPr="00F10E93">
        <w:t>) -</w:t>
      </w:r>
      <w:r w:rsidR="00D66944" w:rsidRPr="001A4BD7">
        <w:t xml:space="preserve"> Main Concepts</w:t>
      </w:r>
      <w:bookmarkEnd w:id="22"/>
    </w:p>
    <w:p w:rsidR="00F10E93" w:rsidRPr="001A4BD7" w:rsidRDefault="00F10E93" w:rsidP="00F10E93">
      <w:pPr>
        <w:pStyle w:val="mainnum"/>
        <w:numPr>
          <w:ilvl w:val="0"/>
          <w:numId w:val="0"/>
        </w:numPr>
        <w:jc w:val="left"/>
      </w:pPr>
    </w:p>
    <w:p w:rsidR="00FE154B" w:rsidRPr="00C64A2F" w:rsidRDefault="00FE154B" w:rsidP="005B04E7">
      <w:pPr>
        <w:pStyle w:val="ListParagraph"/>
        <w:numPr>
          <w:ilvl w:val="0"/>
          <w:numId w:val="8"/>
        </w:numPr>
        <w:spacing w:after="0"/>
        <w:jc w:val="both"/>
        <w:rPr>
          <w:rFonts w:ascii="Times New Roman" w:hAnsi="Times New Roman"/>
          <w:sz w:val="24"/>
          <w:szCs w:val="24"/>
        </w:rPr>
      </w:pPr>
      <w:proofErr w:type="spellStart"/>
      <w:r w:rsidRPr="00C64A2F">
        <w:rPr>
          <w:rFonts w:ascii="Times New Roman" w:hAnsi="Times New Roman"/>
          <w:sz w:val="24"/>
          <w:szCs w:val="24"/>
        </w:rPr>
        <w:t>MiFID</w:t>
      </w:r>
      <w:proofErr w:type="spellEnd"/>
      <w:r w:rsidRPr="00C64A2F">
        <w:rPr>
          <w:rFonts w:ascii="Times New Roman" w:hAnsi="Times New Roman"/>
          <w:sz w:val="24"/>
          <w:szCs w:val="24"/>
        </w:rPr>
        <w:t xml:space="preserve"> was adopted by the European Parliament and came into force across EU Member States in 2007.  It creates a new competitive framework among investment firms and securities exchanges across member countries, as well as between securities exchanges and alternative trading platforms within the EU single market.  </w:t>
      </w:r>
    </w:p>
    <w:p w:rsidR="00FE154B" w:rsidRPr="00C64A2F" w:rsidRDefault="00FE154B" w:rsidP="005B04E7">
      <w:pPr>
        <w:pStyle w:val="ListParagraph"/>
        <w:spacing w:after="0"/>
        <w:ind w:left="630"/>
        <w:jc w:val="both"/>
        <w:rPr>
          <w:rFonts w:ascii="Times New Roman" w:hAnsi="Times New Roman"/>
          <w:sz w:val="24"/>
          <w:szCs w:val="24"/>
        </w:rPr>
      </w:pPr>
    </w:p>
    <w:p w:rsidR="00FE154B" w:rsidRPr="00C64A2F" w:rsidRDefault="00FE154B" w:rsidP="005B04E7">
      <w:pPr>
        <w:pStyle w:val="ListParagraph"/>
        <w:numPr>
          <w:ilvl w:val="0"/>
          <w:numId w:val="8"/>
        </w:numPr>
        <w:spacing w:after="0"/>
        <w:jc w:val="both"/>
        <w:rPr>
          <w:rFonts w:ascii="Times New Roman" w:hAnsi="Times New Roman"/>
          <w:sz w:val="24"/>
          <w:szCs w:val="24"/>
        </w:rPr>
      </w:pPr>
      <w:proofErr w:type="spellStart"/>
      <w:r w:rsidRPr="00C64A2F">
        <w:rPr>
          <w:rFonts w:ascii="Times New Roman" w:hAnsi="Times New Roman"/>
          <w:sz w:val="24"/>
          <w:szCs w:val="24"/>
        </w:rPr>
        <w:t>MiFID</w:t>
      </w:r>
      <w:proofErr w:type="spellEnd"/>
      <w:r w:rsidRPr="00C64A2F">
        <w:rPr>
          <w:rFonts w:ascii="Times New Roman" w:hAnsi="Times New Roman"/>
          <w:sz w:val="24"/>
          <w:szCs w:val="24"/>
        </w:rPr>
        <w:t xml:space="preserve"> raises major implementation challenges for securities market participants and regulators in </w:t>
      </w:r>
      <w:r w:rsidR="00C64A2F" w:rsidRPr="00C64A2F">
        <w:rPr>
          <w:rFonts w:ascii="Times New Roman" w:hAnsi="Times New Roman"/>
          <w:sz w:val="24"/>
          <w:szCs w:val="24"/>
        </w:rPr>
        <w:t>both n</w:t>
      </w:r>
      <w:r w:rsidRPr="00C64A2F">
        <w:rPr>
          <w:rFonts w:ascii="Times New Roman" w:hAnsi="Times New Roman"/>
          <w:sz w:val="24"/>
          <w:szCs w:val="24"/>
        </w:rPr>
        <w:t xml:space="preserve">ew </w:t>
      </w:r>
      <w:r w:rsidR="00C64A2F" w:rsidRPr="00C64A2F">
        <w:rPr>
          <w:rFonts w:ascii="Times New Roman" w:hAnsi="Times New Roman"/>
          <w:sz w:val="24"/>
          <w:szCs w:val="24"/>
        </w:rPr>
        <w:t>m</w:t>
      </w:r>
      <w:r w:rsidRPr="00C64A2F">
        <w:rPr>
          <w:rFonts w:ascii="Times New Roman" w:hAnsi="Times New Roman"/>
          <w:sz w:val="24"/>
          <w:szCs w:val="24"/>
        </w:rPr>
        <w:t xml:space="preserve">ember </w:t>
      </w:r>
      <w:r w:rsidR="00C64A2F" w:rsidRPr="00C64A2F">
        <w:rPr>
          <w:rFonts w:ascii="Times New Roman" w:hAnsi="Times New Roman"/>
          <w:sz w:val="24"/>
          <w:szCs w:val="24"/>
        </w:rPr>
        <w:t>s</w:t>
      </w:r>
      <w:r w:rsidRPr="00C64A2F">
        <w:rPr>
          <w:rFonts w:ascii="Times New Roman" w:hAnsi="Times New Roman"/>
          <w:sz w:val="24"/>
          <w:szCs w:val="24"/>
        </w:rPr>
        <w:t>tates and candidate countries</w:t>
      </w:r>
      <w:r w:rsidR="00C64A2F" w:rsidRPr="00C64A2F">
        <w:rPr>
          <w:rFonts w:ascii="Times New Roman" w:hAnsi="Times New Roman"/>
          <w:sz w:val="24"/>
          <w:szCs w:val="24"/>
        </w:rPr>
        <w:t xml:space="preserve"> of the EU.</w:t>
      </w:r>
      <w:r w:rsidRPr="00C64A2F">
        <w:rPr>
          <w:rFonts w:ascii="Times New Roman" w:hAnsi="Times New Roman"/>
          <w:sz w:val="24"/>
          <w:szCs w:val="24"/>
        </w:rPr>
        <w:t xml:space="preserve"> </w:t>
      </w:r>
      <w:proofErr w:type="spellStart"/>
      <w:r w:rsidR="00C64A2F" w:rsidRPr="00C64A2F">
        <w:rPr>
          <w:rFonts w:ascii="Times New Roman" w:hAnsi="Times New Roman"/>
          <w:sz w:val="24"/>
          <w:szCs w:val="24"/>
        </w:rPr>
        <w:t>MiFID</w:t>
      </w:r>
      <w:proofErr w:type="spellEnd"/>
      <w:r w:rsidRPr="00C64A2F">
        <w:rPr>
          <w:rFonts w:ascii="Times New Roman" w:hAnsi="Times New Roman"/>
          <w:sz w:val="24"/>
          <w:szCs w:val="24"/>
        </w:rPr>
        <w:t xml:space="preserve"> also involves several requirements on risk management controls and transparency for the conduct of securities trading.</w:t>
      </w:r>
      <w:r w:rsidR="00C64A2F" w:rsidRPr="00C64A2F">
        <w:rPr>
          <w:rFonts w:ascii="Times New Roman" w:hAnsi="Times New Roman"/>
          <w:sz w:val="24"/>
          <w:szCs w:val="24"/>
        </w:rPr>
        <w:t xml:space="preserve"> Over the medium term, European neighborhood countries that plan to join the single market in financial services may also be affected.</w:t>
      </w:r>
    </w:p>
    <w:p w:rsidR="00FE154B" w:rsidRPr="00DF7CA7" w:rsidRDefault="00FE154B" w:rsidP="005B04E7">
      <w:pPr>
        <w:pStyle w:val="ListParagraph"/>
        <w:spacing w:after="0"/>
        <w:rPr>
          <w:rFonts w:ascii="Times New Roman" w:hAnsi="Times New Roman"/>
          <w:sz w:val="24"/>
          <w:szCs w:val="24"/>
        </w:rPr>
      </w:pPr>
    </w:p>
    <w:p w:rsidR="00FE154B" w:rsidRPr="002F1F88" w:rsidRDefault="00FE154B" w:rsidP="005B04E7">
      <w:pPr>
        <w:pStyle w:val="ListParagraph"/>
        <w:numPr>
          <w:ilvl w:val="0"/>
          <w:numId w:val="8"/>
        </w:numPr>
        <w:spacing w:after="0"/>
        <w:jc w:val="both"/>
        <w:rPr>
          <w:rFonts w:ascii="Times New Roman" w:hAnsi="Times New Roman"/>
          <w:sz w:val="24"/>
          <w:szCs w:val="24"/>
        </w:rPr>
      </w:pPr>
      <w:proofErr w:type="spellStart"/>
      <w:r w:rsidRPr="002F1F88">
        <w:rPr>
          <w:rFonts w:ascii="Times New Roman" w:hAnsi="Times New Roman"/>
          <w:sz w:val="24"/>
          <w:szCs w:val="24"/>
        </w:rPr>
        <w:t>MiFID</w:t>
      </w:r>
      <w:proofErr w:type="spellEnd"/>
      <w:r w:rsidRPr="002F1F88">
        <w:rPr>
          <w:rFonts w:ascii="Times New Roman" w:hAnsi="Times New Roman"/>
          <w:sz w:val="24"/>
          <w:szCs w:val="24"/>
        </w:rPr>
        <w:t xml:space="preserve"> is based on three pillars to ensure effective implementation:</w:t>
      </w:r>
    </w:p>
    <w:p w:rsidR="00FE154B" w:rsidRPr="002F1F88" w:rsidRDefault="00FE154B" w:rsidP="005B04E7">
      <w:pPr>
        <w:spacing w:after="0"/>
        <w:ind w:left="630"/>
        <w:jc w:val="both"/>
        <w:rPr>
          <w:rFonts w:ascii="Times New Roman" w:hAnsi="Times New Roman"/>
          <w:sz w:val="24"/>
          <w:szCs w:val="24"/>
        </w:rPr>
      </w:pPr>
      <w:r w:rsidRPr="002F1F88">
        <w:rPr>
          <w:rFonts w:ascii="Times New Roman" w:hAnsi="Times New Roman"/>
          <w:i/>
          <w:sz w:val="24"/>
          <w:szCs w:val="24"/>
        </w:rPr>
        <w:t>a.</w:t>
      </w:r>
      <w:r w:rsidRPr="002F1F88">
        <w:rPr>
          <w:rFonts w:ascii="Times New Roman" w:hAnsi="Times New Roman"/>
          <w:b/>
          <w:i/>
          <w:sz w:val="24"/>
          <w:szCs w:val="24"/>
        </w:rPr>
        <w:tab/>
      </w:r>
      <w:r w:rsidRPr="002F1F88">
        <w:rPr>
          <w:rFonts w:ascii="Times New Roman" w:hAnsi="Times New Roman"/>
          <w:i/>
          <w:sz w:val="24"/>
          <w:szCs w:val="24"/>
        </w:rPr>
        <w:t>Pillar 1: Strengthens the single passport for investment/brokerage firms.</w:t>
      </w:r>
      <w:r w:rsidRPr="002F1F88">
        <w:rPr>
          <w:rFonts w:ascii="Times New Roman" w:hAnsi="Times New Roman"/>
          <w:sz w:val="24"/>
          <w:szCs w:val="24"/>
        </w:rPr>
        <w:t xml:space="preserve">  This allows firms to provide investment services in the 27 EU Member States and the 3 European Economic Area (EEA) States on the basis of a single authorization using home member State control.  As a </w:t>
      </w:r>
      <w:r w:rsidRPr="002F1F88">
        <w:rPr>
          <w:rFonts w:ascii="Times New Roman" w:hAnsi="Times New Roman"/>
          <w:i/>
          <w:sz w:val="24"/>
          <w:szCs w:val="24"/>
        </w:rPr>
        <w:t>quid pro quo</w:t>
      </w:r>
      <w:r w:rsidRPr="002F1F88">
        <w:rPr>
          <w:rFonts w:ascii="Times New Roman" w:hAnsi="Times New Roman"/>
          <w:sz w:val="24"/>
          <w:szCs w:val="24"/>
        </w:rPr>
        <w:t xml:space="preserve">, </w:t>
      </w:r>
      <w:proofErr w:type="spellStart"/>
      <w:r w:rsidRPr="002F1F88">
        <w:rPr>
          <w:rFonts w:ascii="Times New Roman" w:hAnsi="Times New Roman"/>
          <w:sz w:val="24"/>
          <w:szCs w:val="24"/>
        </w:rPr>
        <w:t>MiFID</w:t>
      </w:r>
      <w:proofErr w:type="spellEnd"/>
      <w:r w:rsidRPr="002F1F88">
        <w:rPr>
          <w:rFonts w:ascii="Times New Roman" w:hAnsi="Times New Roman"/>
          <w:sz w:val="24"/>
          <w:szCs w:val="24"/>
        </w:rPr>
        <w:t xml:space="preserve"> imposes high standards of investor protection that are valid across EU Member States and EEA States. </w:t>
      </w:r>
      <w:r>
        <w:rPr>
          <w:rFonts w:ascii="Times New Roman" w:hAnsi="Times New Roman"/>
          <w:sz w:val="24"/>
          <w:szCs w:val="24"/>
        </w:rPr>
        <w:t xml:space="preserve"> </w:t>
      </w:r>
      <w:r w:rsidRPr="002F1F88">
        <w:rPr>
          <w:rFonts w:ascii="Times New Roman" w:hAnsi="Times New Roman"/>
          <w:sz w:val="24"/>
          <w:szCs w:val="24"/>
        </w:rPr>
        <w:t>Specifically, the Directive introduces strict rules on the authorization, internal governance and risk management of investment firms, and harmonizes conduct of business rules for securities trading by investment firms, including client categorization, best execution of trades, and transaction reporting to the regulator.</w:t>
      </w:r>
    </w:p>
    <w:p w:rsidR="00FE154B" w:rsidRPr="002F1F88" w:rsidRDefault="00FE154B" w:rsidP="005B04E7">
      <w:pPr>
        <w:spacing w:after="0"/>
        <w:ind w:left="630"/>
        <w:jc w:val="both"/>
        <w:rPr>
          <w:rFonts w:ascii="Times New Roman" w:hAnsi="Times New Roman"/>
          <w:sz w:val="24"/>
          <w:szCs w:val="24"/>
        </w:rPr>
      </w:pPr>
      <w:r w:rsidRPr="002F1F88">
        <w:rPr>
          <w:rFonts w:ascii="Times New Roman" w:hAnsi="Times New Roman"/>
          <w:i/>
          <w:sz w:val="24"/>
          <w:szCs w:val="24"/>
        </w:rPr>
        <w:t>b.</w:t>
      </w:r>
      <w:r w:rsidRPr="002F1F88">
        <w:rPr>
          <w:rFonts w:ascii="Times New Roman" w:hAnsi="Times New Roman"/>
          <w:b/>
          <w:i/>
          <w:sz w:val="24"/>
          <w:szCs w:val="24"/>
        </w:rPr>
        <w:tab/>
      </w:r>
      <w:r w:rsidR="000D7266" w:rsidRPr="002F1F88">
        <w:rPr>
          <w:rFonts w:ascii="Times New Roman" w:hAnsi="Times New Roman"/>
          <w:i/>
          <w:sz w:val="24"/>
          <w:szCs w:val="24"/>
        </w:rPr>
        <w:t xml:space="preserve">Pillar 2: Abolishes the trade concentration rule. </w:t>
      </w:r>
      <w:r w:rsidR="000D7266" w:rsidRPr="002F1F88">
        <w:rPr>
          <w:rFonts w:ascii="Times New Roman" w:hAnsi="Times New Roman"/>
          <w:sz w:val="24"/>
          <w:szCs w:val="24"/>
        </w:rPr>
        <w:t xml:space="preserve"> The rule had been established under the Investment Services Directive and where member States could require securities trades to be executed on the main domestic exchange.  The abolition of the trade concentration rule introduces free competition between regulated markets, multilateral trading facilities (MTFs) and systematic </w:t>
      </w:r>
      <w:proofErr w:type="spellStart"/>
      <w:r w:rsidR="000D7266" w:rsidRPr="002F1F88">
        <w:rPr>
          <w:rFonts w:ascii="Times New Roman" w:hAnsi="Times New Roman"/>
          <w:sz w:val="24"/>
          <w:szCs w:val="24"/>
        </w:rPr>
        <w:t>internalizers</w:t>
      </w:r>
      <w:proofErr w:type="spellEnd"/>
      <w:r w:rsidR="000D7266" w:rsidRPr="002F1F88">
        <w:rPr>
          <w:rFonts w:ascii="Times New Roman" w:hAnsi="Times New Roman"/>
          <w:sz w:val="24"/>
          <w:szCs w:val="24"/>
        </w:rPr>
        <w:t xml:space="preserve"> for the trading of transferable securities both within and across EU Member States.  As a </w:t>
      </w:r>
      <w:r w:rsidR="000D7266" w:rsidRPr="002F1F88">
        <w:rPr>
          <w:rFonts w:ascii="Times New Roman" w:hAnsi="Times New Roman"/>
          <w:i/>
          <w:sz w:val="24"/>
          <w:szCs w:val="24"/>
        </w:rPr>
        <w:t>quid pro quo</w:t>
      </w:r>
      <w:r w:rsidR="000D7266" w:rsidRPr="002F1F88">
        <w:rPr>
          <w:rFonts w:ascii="Times New Roman" w:hAnsi="Times New Roman"/>
          <w:sz w:val="24"/>
          <w:szCs w:val="24"/>
        </w:rPr>
        <w:t xml:space="preserve">, </w:t>
      </w:r>
      <w:proofErr w:type="spellStart"/>
      <w:r w:rsidR="000D7266" w:rsidRPr="002F1F88">
        <w:rPr>
          <w:rFonts w:ascii="Times New Roman" w:hAnsi="Times New Roman"/>
          <w:sz w:val="24"/>
          <w:szCs w:val="24"/>
        </w:rPr>
        <w:t>MiFID</w:t>
      </w:r>
      <w:proofErr w:type="spellEnd"/>
      <w:r w:rsidR="000D7266" w:rsidRPr="002F1F88">
        <w:rPr>
          <w:rFonts w:ascii="Times New Roman" w:hAnsi="Times New Roman"/>
          <w:sz w:val="24"/>
          <w:szCs w:val="24"/>
        </w:rPr>
        <w:t xml:space="preserve"> imposes strict authorization </w:t>
      </w:r>
      <w:r w:rsidR="000D7266">
        <w:rPr>
          <w:rFonts w:ascii="Times New Roman" w:hAnsi="Times New Roman"/>
          <w:sz w:val="24"/>
          <w:szCs w:val="24"/>
        </w:rPr>
        <w:t xml:space="preserve">and operational </w:t>
      </w:r>
      <w:r w:rsidR="000D7266" w:rsidRPr="002F1F88">
        <w:rPr>
          <w:rFonts w:ascii="Times New Roman" w:hAnsi="Times New Roman"/>
          <w:sz w:val="24"/>
          <w:szCs w:val="24"/>
        </w:rPr>
        <w:t>conditions for regulated markets</w:t>
      </w:r>
      <w:r w:rsidR="000D7266">
        <w:rPr>
          <w:rFonts w:ascii="Times New Roman" w:hAnsi="Times New Roman"/>
          <w:sz w:val="24"/>
          <w:szCs w:val="24"/>
        </w:rPr>
        <w:t xml:space="preserve">, MTF and SIs (including rules on access to the platform, execution system, and surveillance), as well as </w:t>
      </w:r>
      <w:r w:rsidR="000D7266" w:rsidRPr="002F1F88">
        <w:rPr>
          <w:rFonts w:ascii="Times New Roman" w:hAnsi="Times New Roman"/>
          <w:sz w:val="24"/>
          <w:szCs w:val="24"/>
        </w:rPr>
        <w:t>pre- and post-trade transparency requirements for all equity securities markets</w:t>
      </w:r>
      <w:r w:rsidR="000D7266">
        <w:rPr>
          <w:rFonts w:ascii="Times New Roman" w:hAnsi="Times New Roman"/>
          <w:sz w:val="24"/>
          <w:szCs w:val="24"/>
        </w:rPr>
        <w:t xml:space="preserve"> taking place on RMs, MTFs or SI (identical for RMs and MTFs, lower for SIs, reflecting the fact that SIs take on capital risk)</w:t>
      </w:r>
      <w:r w:rsidR="000D7266" w:rsidRPr="002F1F88">
        <w:rPr>
          <w:rFonts w:ascii="Times New Roman" w:hAnsi="Times New Roman"/>
          <w:sz w:val="24"/>
          <w:szCs w:val="24"/>
        </w:rPr>
        <w:t xml:space="preserve">.  Pre- and post-trade transparency requirements of the Directive do not apply to the bond </w:t>
      </w:r>
      <w:r w:rsidR="000D7266">
        <w:rPr>
          <w:rFonts w:ascii="Times New Roman" w:hAnsi="Times New Roman"/>
          <w:sz w:val="24"/>
          <w:szCs w:val="24"/>
        </w:rPr>
        <w:t xml:space="preserve">and derivative </w:t>
      </w:r>
      <w:r w:rsidR="000D7266" w:rsidRPr="002F1F88">
        <w:rPr>
          <w:rFonts w:ascii="Times New Roman" w:hAnsi="Times New Roman"/>
          <w:sz w:val="24"/>
          <w:szCs w:val="24"/>
        </w:rPr>
        <w:t>market</w:t>
      </w:r>
      <w:r w:rsidR="000D7266">
        <w:rPr>
          <w:rFonts w:ascii="Times New Roman" w:hAnsi="Times New Roman"/>
          <w:sz w:val="24"/>
          <w:szCs w:val="24"/>
        </w:rPr>
        <w:t>s</w:t>
      </w:r>
      <w:r w:rsidR="000D7266" w:rsidRPr="002F1F88">
        <w:rPr>
          <w:rFonts w:ascii="Times New Roman" w:hAnsi="Times New Roman"/>
          <w:sz w:val="24"/>
          <w:szCs w:val="24"/>
        </w:rPr>
        <w:t>, however.</w:t>
      </w:r>
    </w:p>
    <w:p w:rsidR="00FE154B" w:rsidRDefault="00FE154B" w:rsidP="005B04E7">
      <w:pPr>
        <w:spacing w:after="0"/>
        <w:ind w:left="630"/>
        <w:jc w:val="both"/>
        <w:rPr>
          <w:rFonts w:ascii="Times New Roman" w:hAnsi="Times New Roman"/>
          <w:sz w:val="24"/>
          <w:szCs w:val="24"/>
        </w:rPr>
      </w:pPr>
      <w:r w:rsidRPr="002F1F88">
        <w:rPr>
          <w:rFonts w:ascii="Times New Roman" w:hAnsi="Times New Roman"/>
          <w:i/>
          <w:sz w:val="24"/>
          <w:szCs w:val="24"/>
        </w:rPr>
        <w:t>c.</w:t>
      </w:r>
      <w:r w:rsidRPr="002F1F88">
        <w:rPr>
          <w:rFonts w:ascii="Times New Roman" w:hAnsi="Times New Roman"/>
          <w:i/>
          <w:sz w:val="24"/>
          <w:szCs w:val="24"/>
        </w:rPr>
        <w:tab/>
        <w:t>Pillar 3: Establishes the powers of securities market regulators and the modalities of cross-border collaboration.</w:t>
      </w:r>
      <w:r w:rsidRPr="002F1F88">
        <w:rPr>
          <w:rFonts w:ascii="Times New Roman" w:hAnsi="Times New Roman"/>
          <w:b/>
          <w:i/>
          <w:sz w:val="24"/>
          <w:szCs w:val="24"/>
        </w:rPr>
        <w:t xml:space="preserve">  </w:t>
      </w:r>
      <w:proofErr w:type="spellStart"/>
      <w:r w:rsidRPr="002F1F88">
        <w:rPr>
          <w:rFonts w:ascii="Times New Roman" w:hAnsi="Times New Roman"/>
          <w:sz w:val="24"/>
          <w:szCs w:val="24"/>
        </w:rPr>
        <w:t>MiFID</w:t>
      </w:r>
      <w:proofErr w:type="spellEnd"/>
      <w:r w:rsidRPr="002F1F88">
        <w:rPr>
          <w:rFonts w:ascii="Times New Roman" w:hAnsi="Times New Roman"/>
          <w:sz w:val="24"/>
          <w:szCs w:val="24"/>
        </w:rPr>
        <w:t xml:space="preserve"> specifies the minimum supervisory and </w:t>
      </w:r>
      <w:r w:rsidRPr="002F1F88">
        <w:rPr>
          <w:rFonts w:ascii="Times New Roman" w:hAnsi="Times New Roman"/>
          <w:sz w:val="24"/>
          <w:szCs w:val="24"/>
        </w:rPr>
        <w:lastRenderedPageBreak/>
        <w:t>investigatory powers that Member States must ensure for securities market regulators in the exercise of their functions.  The Directive regulates administrative sanctions, the right of appeal by market participants, consumer organizations and professional organizations, the extra-judicial mechanism for investor complaints, the professional secrecy of regulators, and relations between regulators and auditors.  It also regulates the cooperation between regulators of different EU Member States and third country regulators.</w:t>
      </w:r>
    </w:p>
    <w:p w:rsidR="00FE154B" w:rsidRDefault="00FE154B" w:rsidP="005B04E7">
      <w:pPr>
        <w:spacing w:after="0"/>
        <w:ind w:left="630"/>
        <w:jc w:val="both"/>
        <w:rPr>
          <w:rFonts w:ascii="Times New Roman" w:hAnsi="Times New Roman"/>
          <w:b/>
          <w:i/>
          <w:sz w:val="24"/>
          <w:szCs w:val="24"/>
        </w:rPr>
      </w:pPr>
    </w:p>
    <w:p w:rsidR="00FE154B" w:rsidRDefault="00FE154B" w:rsidP="005B04E7">
      <w:pPr>
        <w:spacing w:after="0"/>
        <w:jc w:val="center"/>
        <w:rPr>
          <w:rFonts w:ascii="Times New Roman" w:hAnsi="Times New Roman"/>
          <w:b/>
          <w:bCs/>
          <w:sz w:val="24"/>
          <w:szCs w:val="24"/>
        </w:rPr>
      </w:pPr>
    </w:p>
    <w:p w:rsidR="00FE154B" w:rsidRDefault="00FE154B" w:rsidP="005B04E7">
      <w:pPr>
        <w:spacing w:after="0"/>
        <w:jc w:val="center"/>
        <w:rPr>
          <w:rFonts w:ascii="Times New Roman" w:hAnsi="Times New Roman"/>
          <w:b/>
          <w:bCs/>
          <w:sz w:val="24"/>
          <w:szCs w:val="24"/>
        </w:rPr>
      </w:pPr>
    </w:p>
    <w:p w:rsidR="003C292A" w:rsidRPr="002F1F88" w:rsidRDefault="003C292A" w:rsidP="005B04E7">
      <w:pPr>
        <w:spacing w:after="0"/>
        <w:rPr>
          <w:rFonts w:ascii="Times New Roman" w:hAnsi="Times New Roman"/>
          <w:b/>
          <w:sz w:val="24"/>
          <w:szCs w:val="24"/>
        </w:rPr>
      </w:pPr>
      <w:proofErr w:type="spellStart"/>
      <w:r>
        <w:rPr>
          <w:rFonts w:ascii="Times New Roman" w:hAnsi="Times New Roman"/>
          <w:b/>
          <w:sz w:val="24"/>
          <w:szCs w:val="24"/>
        </w:rPr>
        <w:t>MiFID</w:t>
      </w:r>
      <w:proofErr w:type="spellEnd"/>
      <w:r>
        <w:rPr>
          <w:rFonts w:ascii="Times New Roman" w:hAnsi="Times New Roman"/>
          <w:b/>
          <w:sz w:val="24"/>
          <w:szCs w:val="24"/>
        </w:rPr>
        <w:t>: Main Concepts explained:</w:t>
      </w:r>
    </w:p>
    <w:tbl>
      <w:tblPr>
        <w:tblW w:w="0" w:type="auto"/>
        <w:tblBorders>
          <w:top w:val="single" w:sz="4" w:space="0" w:color="auto"/>
          <w:left w:val="single" w:sz="4" w:space="0" w:color="auto"/>
          <w:bottom w:val="single" w:sz="4" w:space="0" w:color="auto"/>
          <w:right w:val="single" w:sz="4" w:space="0" w:color="auto"/>
        </w:tblBorders>
        <w:tblLook w:val="00A0"/>
      </w:tblPr>
      <w:tblGrid>
        <w:gridCol w:w="2511"/>
        <w:gridCol w:w="7065"/>
      </w:tblGrid>
      <w:tr w:rsidR="003C292A" w:rsidRPr="00036CA4" w:rsidTr="00E413F6">
        <w:tc>
          <w:tcPr>
            <w:tcW w:w="2511" w:type="dxa"/>
            <w:tcBorders>
              <w:top w:val="single" w:sz="4" w:space="0" w:color="auto"/>
            </w:tcBorders>
          </w:tcPr>
          <w:p w:rsidR="003C292A" w:rsidRPr="007642DF" w:rsidRDefault="003C292A" w:rsidP="005B04E7">
            <w:pPr>
              <w:spacing w:after="0"/>
              <w:rPr>
                <w:rFonts w:ascii="Times New Roman" w:hAnsi="Times New Roman"/>
                <w:b/>
                <w:sz w:val="24"/>
                <w:szCs w:val="24"/>
              </w:rPr>
            </w:pPr>
            <w:r w:rsidRPr="007642DF">
              <w:rPr>
                <w:rFonts w:ascii="Times New Roman" w:hAnsi="Times New Roman"/>
                <w:b/>
                <w:sz w:val="24"/>
                <w:szCs w:val="24"/>
                <w:lang w:val="en-GB"/>
              </w:rPr>
              <w:t>The EC</w:t>
            </w:r>
            <w:r>
              <w:rPr>
                <w:rFonts w:ascii="Times New Roman" w:hAnsi="Times New Roman"/>
                <w:b/>
                <w:sz w:val="24"/>
                <w:szCs w:val="24"/>
                <w:lang w:val="en-GB"/>
              </w:rPr>
              <w:t>’s</w:t>
            </w:r>
            <w:r w:rsidRPr="007642DF">
              <w:rPr>
                <w:rFonts w:ascii="Times New Roman" w:hAnsi="Times New Roman"/>
                <w:b/>
                <w:sz w:val="24"/>
                <w:szCs w:val="24"/>
                <w:lang w:val="en-GB"/>
              </w:rPr>
              <w:t xml:space="preserve"> </w:t>
            </w:r>
            <w:proofErr w:type="spellStart"/>
            <w:r w:rsidRPr="007642DF">
              <w:rPr>
                <w:rFonts w:ascii="Times New Roman" w:hAnsi="Times New Roman"/>
                <w:b/>
                <w:sz w:val="24"/>
                <w:szCs w:val="24"/>
                <w:lang w:val="en-GB"/>
              </w:rPr>
              <w:t>MiFID</w:t>
            </w:r>
            <w:proofErr w:type="spellEnd"/>
            <w:r w:rsidRPr="007642DF">
              <w:rPr>
                <w:rFonts w:ascii="Times New Roman" w:hAnsi="Times New Roman"/>
                <w:b/>
                <w:sz w:val="24"/>
                <w:szCs w:val="24"/>
                <w:lang w:val="en-GB"/>
              </w:rPr>
              <w:t xml:space="preserve"> Directive 2004/39/EC</w:t>
            </w:r>
            <w:r>
              <w:rPr>
                <w:rFonts w:ascii="Times New Roman" w:hAnsi="Times New Roman"/>
                <w:b/>
                <w:sz w:val="24"/>
                <w:szCs w:val="24"/>
                <w:lang w:val="en-GB"/>
              </w:rPr>
              <w:t>:</w:t>
            </w:r>
          </w:p>
        </w:tc>
        <w:tc>
          <w:tcPr>
            <w:tcW w:w="7065" w:type="dxa"/>
            <w:tcBorders>
              <w:top w:val="single" w:sz="4" w:space="0" w:color="auto"/>
            </w:tcBorders>
          </w:tcPr>
          <w:p w:rsidR="003C292A" w:rsidRPr="00036CA4" w:rsidRDefault="003C292A" w:rsidP="005B04E7">
            <w:pPr>
              <w:tabs>
                <w:tab w:val="left" w:pos="1020"/>
              </w:tabs>
              <w:spacing w:after="0"/>
              <w:jc w:val="both"/>
              <w:rPr>
                <w:rFonts w:ascii="Times New Roman" w:hAnsi="Times New Roman"/>
                <w:sz w:val="24"/>
                <w:szCs w:val="24"/>
                <w:lang w:val="en-GB"/>
              </w:rPr>
            </w:pPr>
            <w:r w:rsidRPr="00036CA4">
              <w:rPr>
                <w:rFonts w:ascii="Times New Roman" w:hAnsi="Times New Roman"/>
                <w:sz w:val="24"/>
                <w:szCs w:val="24"/>
              </w:rPr>
              <w:t xml:space="preserve">The Markets in Financial Instruments Directive </w:t>
            </w:r>
            <w:r w:rsidRPr="00036CA4">
              <w:rPr>
                <w:rFonts w:ascii="Times New Roman" w:hAnsi="Times New Roman"/>
                <w:sz w:val="24"/>
                <w:szCs w:val="24"/>
                <w:lang w:val="en-GB"/>
              </w:rPr>
              <w:t>provides a uni</w:t>
            </w:r>
            <w:r>
              <w:rPr>
                <w:rFonts w:ascii="Times New Roman" w:hAnsi="Times New Roman"/>
                <w:sz w:val="24"/>
                <w:szCs w:val="24"/>
                <w:lang w:val="en-GB"/>
              </w:rPr>
              <w:t>fied framework for securities: I</w:t>
            </w:r>
            <w:r w:rsidRPr="00036CA4">
              <w:rPr>
                <w:rFonts w:ascii="Times New Roman" w:hAnsi="Times New Roman"/>
                <w:sz w:val="24"/>
                <w:szCs w:val="24"/>
                <w:lang w:val="en-GB"/>
              </w:rPr>
              <w:t>t encompasses investment firms, Multilateral Trading Facilities (MTF), Regulated Markets (</w:t>
            </w:r>
            <w:r w:rsidR="001B69BA" w:rsidRPr="00036CA4">
              <w:rPr>
                <w:rFonts w:ascii="Times New Roman" w:hAnsi="Times New Roman"/>
                <w:sz w:val="24"/>
                <w:szCs w:val="24"/>
                <w:lang w:val="en-GB"/>
              </w:rPr>
              <w:t>i.e.</w:t>
            </w:r>
            <w:r w:rsidRPr="00036CA4">
              <w:rPr>
                <w:rFonts w:ascii="Times New Roman" w:hAnsi="Times New Roman"/>
                <w:sz w:val="24"/>
                <w:szCs w:val="24"/>
                <w:lang w:val="en-GB"/>
              </w:rPr>
              <w:t xml:space="preserve"> exchanges) and financial instruments (transferable securities</w:t>
            </w:r>
            <w:r w:rsidRPr="00036CA4">
              <w:rPr>
                <w:rStyle w:val="FootnoteReference"/>
                <w:rFonts w:ascii="Times New Roman" w:hAnsi="Times New Roman"/>
                <w:sz w:val="24"/>
                <w:szCs w:val="24"/>
                <w:lang w:val="en-GB"/>
              </w:rPr>
              <w:footnoteReference w:id="14"/>
            </w:r>
            <w:r w:rsidRPr="00036CA4">
              <w:rPr>
                <w:rFonts w:ascii="Times New Roman" w:hAnsi="Times New Roman"/>
                <w:sz w:val="24"/>
                <w:szCs w:val="24"/>
                <w:lang w:val="en-GB"/>
              </w:rPr>
              <w:t>, money-market instruments, units in collective investment undertakings and derivatives, excluding bonds and securitized debt).</w:t>
            </w:r>
          </w:p>
          <w:p w:rsidR="003C292A" w:rsidRPr="00036CA4" w:rsidRDefault="003C292A" w:rsidP="005B04E7">
            <w:pPr>
              <w:tabs>
                <w:tab w:val="left" w:pos="1020"/>
              </w:tabs>
              <w:spacing w:after="0"/>
              <w:jc w:val="both"/>
              <w:rPr>
                <w:rFonts w:ascii="Times New Roman" w:hAnsi="Times New Roman"/>
                <w:sz w:val="24"/>
                <w:szCs w:val="24"/>
                <w:lang w:val="en-GB"/>
              </w:rPr>
            </w:pPr>
          </w:p>
          <w:p w:rsidR="003C292A" w:rsidRPr="00036CA4" w:rsidRDefault="003C292A" w:rsidP="005B04E7">
            <w:pPr>
              <w:spacing w:after="0"/>
              <w:rPr>
                <w:rFonts w:ascii="Times New Roman" w:hAnsi="Times New Roman"/>
                <w:sz w:val="24"/>
                <w:szCs w:val="24"/>
                <w:lang w:val="en-GB"/>
              </w:rPr>
            </w:pPr>
            <w:r w:rsidRPr="00036CA4">
              <w:rPr>
                <w:rFonts w:ascii="Times New Roman" w:hAnsi="Times New Roman"/>
                <w:sz w:val="24"/>
                <w:szCs w:val="24"/>
                <w:lang w:val="en-GB"/>
              </w:rPr>
              <w:t xml:space="preserve">The Directive, referred to as “Level 1” due to its mode of adoption jointly by the EU Parliament and the Council, sets principles. </w:t>
            </w:r>
            <w:r>
              <w:rPr>
                <w:rFonts w:ascii="Times New Roman" w:hAnsi="Times New Roman"/>
                <w:sz w:val="24"/>
                <w:szCs w:val="24"/>
                <w:lang w:val="en-GB"/>
              </w:rPr>
              <w:t xml:space="preserve"> </w:t>
            </w:r>
            <w:r w:rsidRPr="00036CA4">
              <w:rPr>
                <w:rFonts w:ascii="Times New Roman" w:hAnsi="Times New Roman"/>
                <w:sz w:val="24"/>
                <w:szCs w:val="24"/>
                <w:lang w:val="en-GB"/>
              </w:rPr>
              <w:t xml:space="preserve">It needs to be transposed. </w:t>
            </w:r>
            <w:r>
              <w:rPr>
                <w:rFonts w:ascii="Times New Roman" w:hAnsi="Times New Roman"/>
                <w:sz w:val="24"/>
                <w:szCs w:val="24"/>
                <w:lang w:val="en-GB"/>
              </w:rPr>
              <w:t xml:space="preserve"> </w:t>
            </w:r>
            <w:r w:rsidRPr="00036CA4">
              <w:rPr>
                <w:rFonts w:ascii="Times New Roman" w:hAnsi="Times New Roman"/>
                <w:sz w:val="24"/>
                <w:szCs w:val="24"/>
                <w:lang w:val="en-GB"/>
              </w:rPr>
              <w:t>It is complemented by “Level 2” texts which consist of implementing measures.</w:t>
            </w:r>
          </w:p>
          <w:p w:rsidR="003C292A" w:rsidRPr="00036CA4" w:rsidRDefault="003C292A" w:rsidP="005B04E7">
            <w:pPr>
              <w:spacing w:after="0"/>
              <w:rPr>
                <w:rFonts w:ascii="Times New Roman" w:hAnsi="Times New Roman"/>
                <w:b/>
                <w:sz w:val="24"/>
                <w:szCs w:val="24"/>
              </w:rPr>
            </w:pPr>
          </w:p>
        </w:tc>
      </w:tr>
      <w:tr w:rsidR="003C292A" w:rsidRPr="00036CA4" w:rsidTr="00E413F6">
        <w:trPr>
          <w:trHeight w:val="233"/>
        </w:trPr>
        <w:tc>
          <w:tcPr>
            <w:tcW w:w="2511" w:type="dxa"/>
          </w:tcPr>
          <w:p w:rsidR="003C292A" w:rsidRPr="00036CA4" w:rsidRDefault="003C292A" w:rsidP="005B04E7">
            <w:pPr>
              <w:spacing w:after="0"/>
              <w:rPr>
                <w:rFonts w:ascii="Times New Roman" w:hAnsi="Times New Roman"/>
                <w:b/>
                <w:sz w:val="24"/>
                <w:szCs w:val="24"/>
              </w:rPr>
            </w:pPr>
            <w:r w:rsidRPr="00036CA4">
              <w:rPr>
                <w:rFonts w:ascii="Times New Roman" w:hAnsi="Times New Roman"/>
                <w:b/>
                <w:sz w:val="24"/>
                <w:szCs w:val="24"/>
                <w:lang w:val="en-GB"/>
              </w:rPr>
              <w:t>Investment firm</w:t>
            </w:r>
            <w:r w:rsidRPr="00036CA4">
              <w:rPr>
                <w:rFonts w:ascii="Times New Roman" w:hAnsi="Times New Roman"/>
                <w:sz w:val="24"/>
                <w:szCs w:val="24"/>
                <w:lang w:val="en-GB"/>
              </w:rPr>
              <w:t>:</w:t>
            </w:r>
          </w:p>
        </w:tc>
        <w:tc>
          <w:tcPr>
            <w:tcW w:w="7065" w:type="dxa"/>
          </w:tcPr>
          <w:p w:rsidR="003C292A" w:rsidRPr="00036CA4" w:rsidRDefault="003C292A" w:rsidP="005B04E7">
            <w:pPr>
              <w:tabs>
                <w:tab w:val="left" w:pos="1020"/>
              </w:tabs>
              <w:spacing w:after="0"/>
              <w:jc w:val="both"/>
              <w:rPr>
                <w:rFonts w:ascii="Times New Roman" w:hAnsi="Times New Roman"/>
                <w:sz w:val="24"/>
                <w:szCs w:val="24"/>
              </w:rPr>
            </w:pPr>
            <w:r w:rsidRPr="00036CA4">
              <w:rPr>
                <w:rFonts w:ascii="Times New Roman" w:hAnsi="Times New Roman"/>
                <w:sz w:val="24"/>
                <w:szCs w:val="24"/>
                <w:lang w:val="en-GB"/>
              </w:rPr>
              <w:t xml:space="preserve">Any legal person whose regular occupation or business is the provision of investment services to third parties and/or the performance of one or more investment activities on a professional basis. </w:t>
            </w:r>
            <w:r>
              <w:rPr>
                <w:rFonts w:ascii="Times New Roman" w:hAnsi="Times New Roman"/>
                <w:sz w:val="24"/>
                <w:szCs w:val="24"/>
                <w:lang w:val="en-GB"/>
              </w:rPr>
              <w:t xml:space="preserve"> </w:t>
            </w:r>
            <w:r w:rsidRPr="00036CA4">
              <w:rPr>
                <w:rFonts w:ascii="Times New Roman" w:hAnsi="Times New Roman"/>
                <w:sz w:val="24"/>
                <w:szCs w:val="24"/>
              </w:rPr>
              <w:t>Member states may include under this definition undertakings which are not legal persons, provided that (</w:t>
            </w:r>
            <w:proofErr w:type="spellStart"/>
            <w:r w:rsidRPr="00036CA4">
              <w:rPr>
                <w:rFonts w:ascii="Times New Roman" w:hAnsi="Times New Roman"/>
                <w:sz w:val="24"/>
                <w:szCs w:val="24"/>
              </w:rPr>
              <w:t>i</w:t>
            </w:r>
            <w:proofErr w:type="spellEnd"/>
            <w:r w:rsidRPr="00036CA4">
              <w:rPr>
                <w:rFonts w:ascii="Times New Roman" w:hAnsi="Times New Roman"/>
                <w:sz w:val="24"/>
                <w:szCs w:val="24"/>
              </w:rPr>
              <w:t xml:space="preserve">) their legal status ensures a level of protection for third parties interest equivalent to that afforded by legal persons; and (ii) </w:t>
            </w:r>
            <w:r>
              <w:rPr>
                <w:rFonts w:ascii="Times New Roman" w:hAnsi="Times New Roman"/>
                <w:sz w:val="24"/>
                <w:szCs w:val="24"/>
              </w:rPr>
              <w:t xml:space="preserve">that </w:t>
            </w:r>
            <w:r w:rsidRPr="00036CA4">
              <w:rPr>
                <w:rFonts w:ascii="Times New Roman" w:hAnsi="Times New Roman"/>
                <w:sz w:val="24"/>
                <w:szCs w:val="24"/>
              </w:rPr>
              <w:t xml:space="preserve">they are subject to equivalent prudential supervisions appropriate to their legal form. </w:t>
            </w:r>
          </w:p>
          <w:p w:rsidR="003C292A" w:rsidRPr="00036CA4" w:rsidRDefault="003C292A" w:rsidP="005B04E7">
            <w:pPr>
              <w:tabs>
                <w:tab w:val="left" w:pos="1020"/>
              </w:tabs>
              <w:spacing w:after="0"/>
              <w:jc w:val="both"/>
              <w:rPr>
                <w:rFonts w:ascii="Times New Roman" w:hAnsi="Times New Roman"/>
                <w:b/>
                <w:sz w:val="24"/>
                <w:szCs w:val="24"/>
              </w:rPr>
            </w:pPr>
          </w:p>
        </w:tc>
      </w:tr>
      <w:tr w:rsidR="003C292A" w:rsidRPr="00036CA4" w:rsidTr="00E413F6">
        <w:tc>
          <w:tcPr>
            <w:tcW w:w="2511" w:type="dxa"/>
          </w:tcPr>
          <w:p w:rsidR="003C292A" w:rsidRPr="00036CA4" w:rsidRDefault="003C292A" w:rsidP="005B04E7">
            <w:pPr>
              <w:spacing w:after="0"/>
              <w:rPr>
                <w:rFonts w:ascii="Times New Roman" w:hAnsi="Times New Roman"/>
                <w:b/>
                <w:sz w:val="24"/>
                <w:szCs w:val="24"/>
              </w:rPr>
            </w:pPr>
            <w:r w:rsidRPr="00036CA4">
              <w:rPr>
                <w:rFonts w:ascii="Times New Roman" w:hAnsi="Times New Roman"/>
                <w:b/>
                <w:sz w:val="24"/>
                <w:szCs w:val="24"/>
              </w:rPr>
              <w:t xml:space="preserve">Systematic </w:t>
            </w:r>
            <w:proofErr w:type="spellStart"/>
            <w:r w:rsidRPr="00036CA4">
              <w:rPr>
                <w:rFonts w:ascii="Times New Roman" w:hAnsi="Times New Roman"/>
                <w:b/>
                <w:sz w:val="24"/>
                <w:szCs w:val="24"/>
              </w:rPr>
              <w:t>internalizers</w:t>
            </w:r>
            <w:proofErr w:type="spellEnd"/>
            <w:r w:rsidRPr="00036CA4">
              <w:rPr>
                <w:rFonts w:ascii="Times New Roman" w:hAnsi="Times New Roman"/>
                <w:b/>
                <w:sz w:val="24"/>
                <w:szCs w:val="24"/>
              </w:rPr>
              <w:t xml:space="preserve"> (SI):</w:t>
            </w:r>
          </w:p>
        </w:tc>
        <w:tc>
          <w:tcPr>
            <w:tcW w:w="7065" w:type="dxa"/>
          </w:tcPr>
          <w:p w:rsidR="003C292A" w:rsidRPr="00036CA4" w:rsidRDefault="003C292A" w:rsidP="005B04E7">
            <w:pPr>
              <w:spacing w:after="0"/>
              <w:jc w:val="both"/>
              <w:rPr>
                <w:rFonts w:ascii="Times New Roman" w:hAnsi="Times New Roman"/>
                <w:sz w:val="24"/>
                <w:szCs w:val="24"/>
              </w:rPr>
            </w:pPr>
            <w:r w:rsidRPr="00036CA4">
              <w:rPr>
                <w:rFonts w:ascii="Times New Roman" w:hAnsi="Times New Roman"/>
                <w:sz w:val="24"/>
                <w:szCs w:val="24"/>
              </w:rPr>
              <w:t>An investment firm which</w:t>
            </w:r>
            <w:r>
              <w:rPr>
                <w:rFonts w:ascii="Times New Roman" w:hAnsi="Times New Roman"/>
                <w:sz w:val="24"/>
                <w:szCs w:val="24"/>
              </w:rPr>
              <w:t>,</w:t>
            </w:r>
            <w:r w:rsidRPr="00036CA4">
              <w:rPr>
                <w:rFonts w:ascii="Times New Roman" w:hAnsi="Times New Roman"/>
                <w:sz w:val="24"/>
                <w:szCs w:val="24"/>
              </w:rPr>
              <w:t xml:space="preserve"> on an organized, frequent and systematic basis deal</w:t>
            </w:r>
            <w:r>
              <w:rPr>
                <w:rFonts w:ascii="Times New Roman" w:hAnsi="Times New Roman"/>
                <w:sz w:val="24"/>
                <w:szCs w:val="24"/>
              </w:rPr>
              <w:t>s</w:t>
            </w:r>
            <w:r w:rsidRPr="00036CA4">
              <w:rPr>
                <w:rFonts w:ascii="Times New Roman" w:hAnsi="Times New Roman"/>
                <w:sz w:val="24"/>
                <w:szCs w:val="24"/>
              </w:rPr>
              <w:t xml:space="preserve"> on </w:t>
            </w:r>
            <w:r>
              <w:rPr>
                <w:rFonts w:ascii="Times New Roman" w:hAnsi="Times New Roman"/>
                <w:sz w:val="24"/>
                <w:szCs w:val="24"/>
              </w:rPr>
              <w:t xml:space="preserve">its </w:t>
            </w:r>
            <w:r w:rsidRPr="00036CA4">
              <w:rPr>
                <w:rFonts w:ascii="Times New Roman" w:hAnsi="Times New Roman"/>
                <w:sz w:val="24"/>
                <w:szCs w:val="24"/>
              </w:rPr>
              <w:t xml:space="preserve">own account by executing client orders outside a Regulated Market or MTF. </w:t>
            </w:r>
            <w:r>
              <w:rPr>
                <w:rFonts w:ascii="Times New Roman" w:hAnsi="Times New Roman"/>
                <w:sz w:val="24"/>
                <w:szCs w:val="24"/>
              </w:rPr>
              <w:t xml:space="preserve"> </w:t>
            </w:r>
            <w:r w:rsidRPr="00036CA4">
              <w:rPr>
                <w:rFonts w:ascii="Times New Roman" w:hAnsi="Times New Roman"/>
                <w:sz w:val="24"/>
                <w:szCs w:val="24"/>
              </w:rPr>
              <w:t>Concretely, investment firms declare themselves SI</w:t>
            </w:r>
            <w:r>
              <w:rPr>
                <w:rFonts w:ascii="Times New Roman" w:hAnsi="Times New Roman"/>
                <w:sz w:val="24"/>
                <w:szCs w:val="24"/>
              </w:rPr>
              <w:t>s</w:t>
            </w:r>
            <w:r w:rsidRPr="00036CA4">
              <w:rPr>
                <w:rFonts w:ascii="Times New Roman" w:hAnsi="Times New Roman"/>
                <w:sz w:val="24"/>
                <w:szCs w:val="24"/>
              </w:rPr>
              <w:t xml:space="preserve"> for selected equities (self-certification regime), and route most orders to other trading venues including their own platform. </w:t>
            </w:r>
            <w:r>
              <w:rPr>
                <w:rFonts w:ascii="Times New Roman" w:hAnsi="Times New Roman"/>
                <w:sz w:val="24"/>
                <w:szCs w:val="24"/>
              </w:rPr>
              <w:t xml:space="preserve"> </w:t>
            </w:r>
            <w:r w:rsidRPr="00036CA4">
              <w:rPr>
                <w:rFonts w:ascii="Times New Roman" w:hAnsi="Times New Roman"/>
                <w:sz w:val="24"/>
                <w:szCs w:val="24"/>
              </w:rPr>
              <w:t>SI</w:t>
            </w:r>
            <w:r>
              <w:rPr>
                <w:rFonts w:ascii="Times New Roman" w:hAnsi="Times New Roman"/>
                <w:sz w:val="24"/>
                <w:szCs w:val="24"/>
              </w:rPr>
              <w:t>s</w:t>
            </w:r>
            <w:r w:rsidRPr="00036CA4">
              <w:rPr>
                <w:rFonts w:ascii="Times New Roman" w:hAnsi="Times New Roman"/>
                <w:sz w:val="24"/>
                <w:szCs w:val="24"/>
              </w:rPr>
              <w:t xml:space="preserve"> are associated with the trading in shares</w:t>
            </w:r>
            <w:r>
              <w:rPr>
                <w:rFonts w:ascii="Times New Roman" w:hAnsi="Times New Roman"/>
                <w:sz w:val="24"/>
                <w:szCs w:val="24"/>
              </w:rPr>
              <w:t>,</w:t>
            </w:r>
            <w:r w:rsidRPr="00036CA4">
              <w:rPr>
                <w:rFonts w:ascii="Times New Roman" w:hAnsi="Times New Roman"/>
                <w:sz w:val="24"/>
                <w:szCs w:val="24"/>
              </w:rPr>
              <w:t xml:space="preserve"> and regulated under </w:t>
            </w:r>
            <w:r w:rsidRPr="00036CA4">
              <w:rPr>
                <w:rFonts w:ascii="Times New Roman" w:hAnsi="Times New Roman"/>
                <w:sz w:val="24"/>
                <w:szCs w:val="24"/>
              </w:rPr>
              <w:lastRenderedPageBreak/>
              <w:t xml:space="preserve">article 27 of the </w:t>
            </w:r>
            <w:proofErr w:type="spellStart"/>
            <w:r w:rsidRPr="00036CA4">
              <w:rPr>
                <w:rFonts w:ascii="Times New Roman" w:hAnsi="Times New Roman"/>
                <w:sz w:val="24"/>
                <w:szCs w:val="24"/>
              </w:rPr>
              <w:t>MiFID</w:t>
            </w:r>
            <w:proofErr w:type="spellEnd"/>
            <w:r w:rsidRPr="00036CA4">
              <w:rPr>
                <w:rFonts w:ascii="Times New Roman" w:hAnsi="Times New Roman"/>
                <w:sz w:val="24"/>
                <w:szCs w:val="24"/>
              </w:rPr>
              <w:t xml:space="preserve"> Directive.</w:t>
            </w:r>
          </w:p>
          <w:p w:rsidR="003C292A" w:rsidRPr="00036CA4" w:rsidRDefault="003C292A" w:rsidP="005B04E7">
            <w:pPr>
              <w:spacing w:after="0"/>
              <w:rPr>
                <w:rFonts w:ascii="Times New Roman" w:hAnsi="Times New Roman"/>
                <w:b/>
                <w:sz w:val="24"/>
                <w:szCs w:val="24"/>
              </w:rPr>
            </w:pPr>
          </w:p>
        </w:tc>
      </w:tr>
      <w:tr w:rsidR="003C292A" w:rsidRPr="00036CA4" w:rsidTr="00E413F6">
        <w:tc>
          <w:tcPr>
            <w:tcW w:w="2511" w:type="dxa"/>
          </w:tcPr>
          <w:p w:rsidR="003C292A" w:rsidRPr="00036CA4" w:rsidRDefault="003C292A" w:rsidP="005B04E7">
            <w:pPr>
              <w:spacing w:after="0"/>
              <w:rPr>
                <w:rFonts w:ascii="Times New Roman" w:hAnsi="Times New Roman"/>
                <w:b/>
                <w:sz w:val="24"/>
                <w:szCs w:val="24"/>
              </w:rPr>
            </w:pPr>
            <w:r w:rsidRPr="00036CA4">
              <w:rPr>
                <w:rFonts w:ascii="Times New Roman" w:hAnsi="Times New Roman"/>
                <w:b/>
                <w:sz w:val="24"/>
                <w:szCs w:val="24"/>
                <w:lang w:val="en-GB"/>
              </w:rPr>
              <w:lastRenderedPageBreak/>
              <w:t>Multilateral Trading Facility</w:t>
            </w:r>
            <w:r w:rsidRPr="00036CA4">
              <w:rPr>
                <w:rFonts w:ascii="Times New Roman" w:hAnsi="Times New Roman"/>
                <w:sz w:val="24"/>
                <w:szCs w:val="24"/>
                <w:lang w:val="en-GB"/>
              </w:rPr>
              <w:t xml:space="preserve"> </w:t>
            </w:r>
            <w:r w:rsidRPr="00BD3A3C">
              <w:rPr>
                <w:rFonts w:ascii="Times New Roman" w:hAnsi="Times New Roman"/>
                <w:b/>
                <w:sz w:val="24"/>
                <w:szCs w:val="24"/>
                <w:lang w:val="en-GB"/>
              </w:rPr>
              <w:t>(MTF):</w:t>
            </w:r>
          </w:p>
        </w:tc>
        <w:tc>
          <w:tcPr>
            <w:tcW w:w="7065" w:type="dxa"/>
          </w:tcPr>
          <w:p w:rsidR="003C292A" w:rsidRPr="00036CA4" w:rsidRDefault="003C292A" w:rsidP="005B04E7">
            <w:pPr>
              <w:tabs>
                <w:tab w:val="left" w:pos="1020"/>
              </w:tabs>
              <w:spacing w:after="0"/>
              <w:jc w:val="both"/>
              <w:rPr>
                <w:rFonts w:ascii="Times New Roman" w:hAnsi="Times New Roman"/>
                <w:sz w:val="24"/>
                <w:szCs w:val="24"/>
                <w:lang w:val="en-GB"/>
              </w:rPr>
            </w:pPr>
            <w:r w:rsidRPr="00036CA4">
              <w:rPr>
                <w:rFonts w:ascii="Times New Roman" w:hAnsi="Times New Roman"/>
                <w:sz w:val="24"/>
                <w:szCs w:val="24"/>
                <w:lang w:val="en-GB"/>
              </w:rPr>
              <w:t xml:space="preserve">A multilateral system operated by an investment firm or a market operator, which brings together multiple third-party buying and selling interests in financial instruments – in the system and in accordance to non-discretionary rules. </w:t>
            </w:r>
            <w:r>
              <w:rPr>
                <w:rFonts w:ascii="Times New Roman" w:hAnsi="Times New Roman"/>
                <w:sz w:val="24"/>
                <w:szCs w:val="24"/>
                <w:lang w:val="en-GB"/>
              </w:rPr>
              <w:t xml:space="preserve"> They</w:t>
            </w:r>
            <w:r w:rsidRPr="00036CA4">
              <w:rPr>
                <w:rFonts w:ascii="Times New Roman" w:hAnsi="Times New Roman"/>
                <w:sz w:val="24"/>
                <w:szCs w:val="24"/>
                <w:lang w:val="en-GB"/>
              </w:rPr>
              <w:t xml:space="preserve"> are basically alternative trading platforms to exchanges, often created by banks to process their trades such as </w:t>
            </w:r>
            <w:r>
              <w:rPr>
                <w:rFonts w:ascii="Times New Roman" w:hAnsi="Times New Roman"/>
                <w:sz w:val="24"/>
                <w:szCs w:val="24"/>
                <w:lang w:val="en-GB"/>
              </w:rPr>
              <w:t>‘</w:t>
            </w:r>
            <w:r w:rsidRPr="00036CA4">
              <w:rPr>
                <w:rFonts w:ascii="Times New Roman" w:hAnsi="Times New Roman"/>
                <w:sz w:val="24"/>
                <w:szCs w:val="24"/>
                <w:lang w:val="en-GB"/>
              </w:rPr>
              <w:t>Turquoise</w:t>
            </w:r>
            <w:r>
              <w:rPr>
                <w:rFonts w:ascii="Times New Roman" w:hAnsi="Times New Roman"/>
                <w:sz w:val="24"/>
                <w:szCs w:val="24"/>
                <w:lang w:val="en-GB"/>
              </w:rPr>
              <w:t>’</w:t>
            </w:r>
            <w:r w:rsidRPr="00036CA4">
              <w:rPr>
                <w:rFonts w:ascii="Times New Roman" w:hAnsi="Times New Roman"/>
                <w:sz w:val="24"/>
                <w:szCs w:val="24"/>
                <w:lang w:val="en-GB"/>
              </w:rPr>
              <w:t xml:space="preserve"> as regards equities. </w:t>
            </w:r>
            <w:r>
              <w:rPr>
                <w:rFonts w:ascii="Times New Roman" w:hAnsi="Times New Roman"/>
                <w:sz w:val="24"/>
                <w:szCs w:val="24"/>
                <w:lang w:val="en-GB"/>
              </w:rPr>
              <w:t xml:space="preserve"> </w:t>
            </w:r>
            <w:r w:rsidRPr="00036CA4">
              <w:rPr>
                <w:rFonts w:ascii="Times New Roman" w:hAnsi="Times New Roman"/>
                <w:sz w:val="24"/>
                <w:szCs w:val="24"/>
                <w:lang w:val="en-GB"/>
              </w:rPr>
              <w:t xml:space="preserve">The MTF concept is similar to the Alternative Trading Systems (ATS) widely developed in the US (see Section 2.2). </w:t>
            </w:r>
          </w:p>
          <w:p w:rsidR="003C292A" w:rsidRPr="00036CA4" w:rsidRDefault="003C292A" w:rsidP="005B04E7">
            <w:pPr>
              <w:spacing w:after="0"/>
              <w:rPr>
                <w:rFonts w:ascii="Times New Roman" w:hAnsi="Times New Roman"/>
                <w:b/>
                <w:sz w:val="24"/>
                <w:szCs w:val="24"/>
              </w:rPr>
            </w:pPr>
          </w:p>
        </w:tc>
      </w:tr>
      <w:tr w:rsidR="003C292A" w:rsidRPr="00036CA4" w:rsidTr="00E413F6">
        <w:tc>
          <w:tcPr>
            <w:tcW w:w="2511" w:type="dxa"/>
          </w:tcPr>
          <w:p w:rsidR="003C292A" w:rsidRPr="006B2D51" w:rsidRDefault="003C292A" w:rsidP="005B04E7">
            <w:pPr>
              <w:spacing w:after="0"/>
              <w:rPr>
                <w:rFonts w:ascii="Times New Roman" w:hAnsi="Times New Roman"/>
                <w:b/>
                <w:sz w:val="24"/>
                <w:szCs w:val="24"/>
              </w:rPr>
            </w:pPr>
            <w:r w:rsidRPr="006B2D51">
              <w:rPr>
                <w:rFonts w:ascii="Times New Roman" w:hAnsi="Times New Roman"/>
                <w:b/>
                <w:sz w:val="24"/>
                <w:szCs w:val="24"/>
                <w:lang w:val="en-GB"/>
              </w:rPr>
              <w:t>Regulated Market (RM):</w:t>
            </w:r>
          </w:p>
        </w:tc>
        <w:tc>
          <w:tcPr>
            <w:tcW w:w="7065" w:type="dxa"/>
          </w:tcPr>
          <w:p w:rsidR="003C292A" w:rsidRPr="00036CA4" w:rsidRDefault="003C292A" w:rsidP="005B04E7">
            <w:pPr>
              <w:tabs>
                <w:tab w:val="left" w:pos="1020"/>
              </w:tabs>
              <w:spacing w:after="0"/>
              <w:jc w:val="both"/>
              <w:rPr>
                <w:rFonts w:ascii="Times New Roman" w:hAnsi="Times New Roman"/>
                <w:sz w:val="24"/>
                <w:szCs w:val="24"/>
                <w:lang w:val="en-GB"/>
              </w:rPr>
            </w:pPr>
            <w:r w:rsidRPr="00036CA4">
              <w:rPr>
                <w:rFonts w:ascii="Times New Roman" w:hAnsi="Times New Roman"/>
                <w:sz w:val="24"/>
                <w:szCs w:val="24"/>
                <w:lang w:val="en-GB"/>
              </w:rPr>
              <w:t>A multilateral system (</w:t>
            </w:r>
            <w:proofErr w:type="spellStart"/>
            <w:r w:rsidRPr="00036CA4">
              <w:rPr>
                <w:rFonts w:ascii="Times New Roman" w:hAnsi="Times New Roman"/>
                <w:sz w:val="24"/>
                <w:szCs w:val="24"/>
                <w:lang w:val="en-GB"/>
              </w:rPr>
              <w:t>i</w:t>
            </w:r>
            <w:proofErr w:type="spellEnd"/>
            <w:r w:rsidRPr="00036CA4">
              <w:rPr>
                <w:rFonts w:ascii="Times New Roman" w:hAnsi="Times New Roman"/>
                <w:sz w:val="24"/>
                <w:szCs w:val="24"/>
                <w:lang w:val="en-GB"/>
              </w:rPr>
              <w:t xml:space="preserve">) operated and/or managed by a market operator, (ii) which brings together multiple third-party buying and selling interests in financial instruments –in the system and in accordance with its discretionary rules – in a way that results in a contract in respect to the financial instruments admitted to trading under its rules and/or systems and (iii) which is authorized and functions regularly. </w:t>
            </w:r>
            <w:r>
              <w:rPr>
                <w:rFonts w:ascii="Times New Roman" w:hAnsi="Times New Roman"/>
                <w:sz w:val="24"/>
                <w:szCs w:val="24"/>
                <w:lang w:val="en-GB"/>
              </w:rPr>
              <w:t xml:space="preserve"> </w:t>
            </w:r>
            <w:r w:rsidRPr="00036CA4">
              <w:rPr>
                <w:rFonts w:ascii="Times New Roman" w:hAnsi="Times New Roman"/>
                <w:sz w:val="24"/>
                <w:szCs w:val="24"/>
                <w:lang w:val="en-GB"/>
              </w:rPr>
              <w:t xml:space="preserve">RMs correspond to the major </w:t>
            </w:r>
            <w:r>
              <w:rPr>
                <w:rFonts w:ascii="Times New Roman" w:hAnsi="Times New Roman"/>
                <w:sz w:val="24"/>
                <w:szCs w:val="24"/>
                <w:lang w:val="en-GB"/>
              </w:rPr>
              <w:t xml:space="preserve">securities </w:t>
            </w:r>
            <w:r w:rsidRPr="00036CA4">
              <w:rPr>
                <w:rFonts w:ascii="Times New Roman" w:hAnsi="Times New Roman"/>
                <w:sz w:val="24"/>
                <w:szCs w:val="24"/>
                <w:lang w:val="en-GB"/>
              </w:rPr>
              <w:t xml:space="preserve">exchanges in the EU, but not all exchanges are RMs, some of them are regulated as MTFs. </w:t>
            </w:r>
            <w:r>
              <w:rPr>
                <w:rFonts w:ascii="Times New Roman" w:hAnsi="Times New Roman"/>
                <w:sz w:val="24"/>
                <w:szCs w:val="24"/>
                <w:lang w:val="en-GB"/>
              </w:rPr>
              <w:t xml:space="preserve"> </w:t>
            </w:r>
            <w:r w:rsidRPr="00036CA4">
              <w:rPr>
                <w:rFonts w:ascii="Times New Roman" w:hAnsi="Times New Roman"/>
                <w:sz w:val="24"/>
                <w:szCs w:val="24"/>
                <w:lang w:val="en-GB"/>
              </w:rPr>
              <w:t xml:space="preserve">The main difference between a RM and a MTF remains the non-application of the Prospectus Directive (2003/71/EC), the Transparency Directive (2004/109/EC) and subsequently the IFRS to MTFs.  </w:t>
            </w:r>
          </w:p>
          <w:p w:rsidR="003C292A" w:rsidRPr="00036CA4" w:rsidRDefault="003C292A" w:rsidP="005B04E7">
            <w:pPr>
              <w:spacing w:after="0"/>
              <w:rPr>
                <w:rFonts w:ascii="Times New Roman" w:hAnsi="Times New Roman"/>
                <w:b/>
                <w:sz w:val="24"/>
                <w:szCs w:val="24"/>
              </w:rPr>
            </w:pPr>
          </w:p>
        </w:tc>
      </w:tr>
      <w:tr w:rsidR="003C292A" w:rsidRPr="00036CA4" w:rsidTr="00E413F6">
        <w:tc>
          <w:tcPr>
            <w:tcW w:w="9576" w:type="dxa"/>
            <w:gridSpan w:val="2"/>
          </w:tcPr>
          <w:p w:rsidR="003C292A" w:rsidRPr="00036CA4" w:rsidRDefault="003C292A" w:rsidP="005B04E7">
            <w:pPr>
              <w:spacing w:after="0"/>
              <w:jc w:val="center"/>
              <w:rPr>
                <w:rFonts w:ascii="Times New Roman" w:hAnsi="Times New Roman"/>
                <w:b/>
                <w:sz w:val="24"/>
                <w:szCs w:val="24"/>
              </w:rPr>
            </w:pPr>
            <w:r w:rsidRPr="006B2D51">
              <w:rPr>
                <w:rFonts w:ascii="Times New Roman" w:hAnsi="Times New Roman"/>
                <w:b/>
                <w:sz w:val="24"/>
                <w:szCs w:val="24"/>
                <w:u w:val="single"/>
              </w:rPr>
              <w:t>Fit and proper requirements</w:t>
            </w:r>
          </w:p>
          <w:p w:rsidR="003C292A" w:rsidRPr="00036CA4" w:rsidRDefault="003C292A" w:rsidP="005B04E7">
            <w:pPr>
              <w:spacing w:after="0"/>
              <w:jc w:val="center"/>
              <w:rPr>
                <w:rFonts w:ascii="Times New Roman" w:hAnsi="Times New Roman"/>
                <w:sz w:val="24"/>
                <w:szCs w:val="24"/>
              </w:rPr>
            </w:pPr>
          </w:p>
        </w:tc>
      </w:tr>
      <w:tr w:rsidR="003C292A" w:rsidRPr="00036CA4" w:rsidTr="00E413F6">
        <w:tc>
          <w:tcPr>
            <w:tcW w:w="2511" w:type="dxa"/>
          </w:tcPr>
          <w:p w:rsidR="003C292A" w:rsidRPr="00036CA4" w:rsidRDefault="003C292A" w:rsidP="005B04E7">
            <w:pPr>
              <w:spacing w:after="0"/>
              <w:rPr>
                <w:rFonts w:ascii="Times New Roman" w:hAnsi="Times New Roman"/>
                <w:sz w:val="24"/>
                <w:szCs w:val="24"/>
              </w:rPr>
            </w:pPr>
            <w:r w:rsidRPr="00036CA4">
              <w:rPr>
                <w:rFonts w:ascii="Times New Roman" w:hAnsi="Times New Roman"/>
                <w:b/>
                <w:sz w:val="24"/>
                <w:szCs w:val="24"/>
              </w:rPr>
              <w:t>Propriety and fitness test of persons who direct the business</w:t>
            </w:r>
            <w:r w:rsidRPr="00036CA4">
              <w:rPr>
                <w:rFonts w:ascii="Times New Roman" w:hAnsi="Times New Roman"/>
                <w:sz w:val="24"/>
                <w:szCs w:val="24"/>
              </w:rPr>
              <w:t>:</w:t>
            </w:r>
          </w:p>
          <w:p w:rsidR="003C292A" w:rsidRPr="00036CA4" w:rsidRDefault="003C292A" w:rsidP="005B04E7">
            <w:pPr>
              <w:spacing w:after="0"/>
              <w:rPr>
                <w:rFonts w:ascii="Times New Roman" w:hAnsi="Times New Roman"/>
                <w:sz w:val="24"/>
                <w:szCs w:val="24"/>
              </w:rPr>
            </w:pPr>
          </w:p>
        </w:tc>
        <w:tc>
          <w:tcPr>
            <w:tcW w:w="7065" w:type="dxa"/>
          </w:tcPr>
          <w:p w:rsidR="003C292A" w:rsidRPr="00036CA4" w:rsidRDefault="003C292A" w:rsidP="005B04E7">
            <w:pPr>
              <w:spacing w:after="0"/>
              <w:jc w:val="both"/>
              <w:rPr>
                <w:rFonts w:ascii="Times New Roman" w:hAnsi="Times New Roman"/>
                <w:sz w:val="24"/>
                <w:szCs w:val="24"/>
              </w:rPr>
            </w:pPr>
            <w:r w:rsidRPr="00036CA4">
              <w:rPr>
                <w:rFonts w:ascii="Times New Roman" w:hAnsi="Times New Roman"/>
                <w:sz w:val="24"/>
                <w:szCs w:val="24"/>
              </w:rPr>
              <w:t xml:space="preserve">The regulator must ensure that the persons who effectively direct the business of an investment firm are of sufficiently good repute and experience so as to ensure the sound and prudent management of the firm. </w:t>
            </w:r>
            <w:r>
              <w:rPr>
                <w:rFonts w:ascii="Times New Roman" w:hAnsi="Times New Roman"/>
                <w:sz w:val="24"/>
                <w:szCs w:val="24"/>
              </w:rPr>
              <w:t xml:space="preserve"> </w:t>
            </w:r>
            <w:r w:rsidRPr="00036CA4">
              <w:rPr>
                <w:rFonts w:ascii="Times New Roman" w:hAnsi="Times New Roman"/>
                <w:sz w:val="24"/>
                <w:szCs w:val="24"/>
              </w:rPr>
              <w:t xml:space="preserve">The regulator must ensure that the management of the investment firm is undertaken by at least two persons. </w:t>
            </w:r>
            <w:r>
              <w:rPr>
                <w:rFonts w:ascii="Times New Roman" w:hAnsi="Times New Roman"/>
                <w:sz w:val="24"/>
                <w:szCs w:val="24"/>
              </w:rPr>
              <w:t xml:space="preserve"> </w:t>
            </w:r>
            <w:r w:rsidRPr="00036CA4">
              <w:rPr>
                <w:rFonts w:ascii="Times New Roman" w:hAnsi="Times New Roman"/>
                <w:sz w:val="24"/>
                <w:szCs w:val="24"/>
              </w:rPr>
              <w:t>The investment firm must regularly disclose to the regulator of any changes to its management.</w:t>
            </w:r>
          </w:p>
          <w:p w:rsidR="003C292A" w:rsidRPr="00036CA4" w:rsidRDefault="003C292A" w:rsidP="005B04E7">
            <w:pPr>
              <w:spacing w:after="0"/>
              <w:rPr>
                <w:rFonts w:ascii="Times New Roman" w:hAnsi="Times New Roman"/>
                <w:sz w:val="24"/>
                <w:szCs w:val="24"/>
              </w:rPr>
            </w:pPr>
          </w:p>
        </w:tc>
      </w:tr>
      <w:tr w:rsidR="003C292A" w:rsidRPr="00036CA4" w:rsidTr="00E413F6">
        <w:tc>
          <w:tcPr>
            <w:tcW w:w="2511" w:type="dxa"/>
          </w:tcPr>
          <w:p w:rsidR="003C292A" w:rsidRPr="00036CA4" w:rsidRDefault="003C292A" w:rsidP="005B04E7">
            <w:pPr>
              <w:spacing w:after="0"/>
              <w:rPr>
                <w:rFonts w:ascii="Times New Roman" w:hAnsi="Times New Roman"/>
                <w:sz w:val="24"/>
                <w:szCs w:val="24"/>
              </w:rPr>
            </w:pPr>
            <w:r w:rsidRPr="00036CA4">
              <w:rPr>
                <w:rFonts w:ascii="Times New Roman" w:hAnsi="Times New Roman"/>
                <w:b/>
                <w:sz w:val="24"/>
                <w:szCs w:val="24"/>
              </w:rPr>
              <w:t>Suitability test of</w:t>
            </w:r>
            <w:r w:rsidRPr="00036CA4">
              <w:rPr>
                <w:rFonts w:ascii="Times New Roman" w:hAnsi="Times New Roman"/>
                <w:sz w:val="24"/>
                <w:szCs w:val="24"/>
              </w:rPr>
              <w:t xml:space="preserve"> </w:t>
            </w:r>
            <w:r w:rsidRPr="00036CA4">
              <w:rPr>
                <w:rFonts w:ascii="Times New Roman" w:hAnsi="Times New Roman"/>
                <w:b/>
                <w:sz w:val="24"/>
                <w:szCs w:val="24"/>
              </w:rPr>
              <w:t>shareholders and members with qualifying holdings:</w:t>
            </w:r>
          </w:p>
        </w:tc>
        <w:tc>
          <w:tcPr>
            <w:tcW w:w="7065" w:type="dxa"/>
          </w:tcPr>
          <w:p w:rsidR="003C292A" w:rsidRPr="00036CA4" w:rsidRDefault="003C292A" w:rsidP="005B04E7">
            <w:pPr>
              <w:spacing w:after="0"/>
              <w:jc w:val="both"/>
              <w:rPr>
                <w:rFonts w:ascii="Times New Roman" w:hAnsi="Times New Roman"/>
                <w:sz w:val="24"/>
                <w:szCs w:val="24"/>
              </w:rPr>
            </w:pPr>
            <w:r w:rsidRPr="00036CA4">
              <w:rPr>
                <w:rFonts w:ascii="Times New Roman" w:hAnsi="Times New Roman"/>
                <w:sz w:val="24"/>
                <w:szCs w:val="24"/>
              </w:rPr>
              <w:t>The investment firm must disclose to the regulator the identity of the shareholders or members, whether direct or indirect, natural or legal persons, that have qualifying holdings in the firm, and the amount of these holdings.</w:t>
            </w:r>
            <w:r>
              <w:rPr>
                <w:rFonts w:ascii="Times New Roman" w:hAnsi="Times New Roman"/>
                <w:sz w:val="24"/>
                <w:szCs w:val="24"/>
              </w:rPr>
              <w:t xml:space="preserve"> </w:t>
            </w:r>
            <w:r w:rsidRPr="00036CA4">
              <w:rPr>
                <w:rFonts w:ascii="Times New Roman" w:hAnsi="Times New Roman"/>
                <w:b/>
                <w:i/>
                <w:sz w:val="24"/>
                <w:szCs w:val="24"/>
              </w:rPr>
              <w:t xml:space="preserve"> </w:t>
            </w:r>
            <w:r w:rsidRPr="00036CA4">
              <w:rPr>
                <w:rFonts w:ascii="Times New Roman" w:hAnsi="Times New Roman"/>
                <w:sz w:val="24"/>
                <w:szCs w:val="24"/>
              </w:rPr>
              <w:t xml:space="preserve">Qualifying holding means any direct or indirect holding in an investment firm which represents 10% or more of the capital or the voting rights, or which makes it possible to exercise a </w:t>
            </w:r>
            <w:r w:rsidRPr="00036CA4">
              <w:rPr>
                <w:rFonts w:ascii="Times New Roman" w:hAnsi="Times New Roman"/>
                <w:sz w:val="24"/>
                <w:szCs w:val="24"/>
              </w:rPr>
              <w:lastRenderedPageBreak/>
              <w:t>significant influence</w:t>
            </w:r>
            <w:r w:rsidRPr="00036CA4">
              <w:rPr>
                <w:rFonts w:ascii="Times New Roman" w:hAnsi="Times New Roman"/>
                <w:i/>
                <w:sz w:val="24"/>
                <w:szCs w:val="24"/>
              </w:rPr>
              <w:t xml:space="preserve"> </w:t>
            </w:r>
            <w:r w:rsidRPr="00036CA4">
              <w:rPr>
                <w:rFonts w:ascii="Times New Roman" w:hAnsi="Times New Roman"/>
                <w:sz w:val="24"/>
                <w:szCs w:val="24"/>
              </w:rPr>
              <w:t xml:space="preserve">over the management of the investment firm in which that holding subsists. </w:t>
            </w:r>
            <w:r>
              <w:rPr>
                <w:rFonts w:ascii="Times New Roman" w:hAnsi="Times New Roman"/>
                <w:sz w:val="24"/>
                <w:szCs w:val="24"/>
              </w:rPr>
              <w:t xml:space="preserve"> </w:t>
            </w:r>
            <w:r w:rsidRPr="00036CA4">
              <w:rPr>
                <w:rFonts w:ascii="Times New Roman" w:hAnsi="Times New Roman"/>
                <w:sz w:val="24"/>
                <w:szCs w:val="24"/>
              </w:rPr>
              <w:t>The regulator must ensure that the above persons are suitable, taking into account the sound and prudent management of the investment firm.</w:t>
            </w:r>
          </w:p>
          <w:p w:rsidR="003C292A" w:rsidRPr="00036CA4" w:rsidRDefault="003C292A" w:rsidP="005B04E7">
            <w:pPr>
              <w:spacing w:after="0"/>
              <w:jc w:val="both"/>
              <w:rPr>
                <w:rFonts w:ascii="Times New Roman" w:hAnsi="Times New Roman"/>
                <w:sz w:val="24"/>
                <w:szCs w:val="24"/>
              </w:rPr>
            </w:pPr>
          </w:p>
        </w:tc>
      </w:tr>
      <w:tr w:rsidR="003C292A" w:rsidRPr="00036CA4" w:rsidTr="00E413F6">
        <w:tc>
          <w:tcPr>
            <w:tcW w:w="2511" w:type="dxa"/>
          </w:tcPr>
          <w:p w:rsidR="003C292A" w:rsidRPr="00036CA4" w:rsidRDefault="003C292A" w:rsidP="005B04E7">
            <w:pPr>
              <w:spacing w:after="0"/>
              <w:rPr>
                <w:rFonts w:ascii="Times New Roman" w:hAnsi="Times New Roman"/>
                <w:b/>
                <w:sz w:val="24"/>
                <w:szCs w:val="24"/>
              </w:rPr>
            </w:pPr>
            <w:r w:rsidRPr="00036CA4">
              <w:rPr>
                <w:rFonts w:ascii="Times New Roman" w:hAnsi="Times New Roman"/>
                <w:b/>
                <w:sz w:val="24"/>
                <w:szCs w:val="24"/>
              </w:rPr>
              <w:lastRenderedPageBreak/>
              <w:t>Relationship with third parties:</w:t>
            </w:r>
          </w:p>
        </w:tc>
        <w:tc>
          <w:tcPr>
            <w:tcW w:w="7065" w:type="dxa"/>
          </w:tcPr>
          <w:p w:rsidR="003C292A" w:rsidRPr="00036CA4" w:rsidRDefault="003C292A" w:rsidP="005B04E7">
            <w:pPr>
              <w:spacing w:after="0"/>
              <w:jc w:val="both"/>
              <w:rPr>
                <w:rFonts w:ascii="Times New Roman" w:hAnsi="Times New Roman"/>
                <w:sz w:val="24"/>
                <w:szCs w:val="24"/>
              </w:rPr>
            </w:pPr>
            <w:r w:rsidRPr="00036CA4">
              <w:rPr>
                <w:rFonts w:ascii="Times New Roman" w:hAnsi="Times New Roman"/>
                <w:sz w:val="24"/>
                <w:szCs w:val="24"/>
              </w:rPr>
              <w:t xml:space="preserve">The regulator must ensure that the existence of close links between the investment firm and other natural or legal persons does not prevent the effective exercise of its supervisory functions. </w:t>
            </w:r>
            <w:r>
              <w:rPr>
                <w:rFonts w:ascii="Times New Roman" w:hAnsi="Times New Roman"/>
                <w:sz w:val="24"/>
                <w:szCs w:val="24"/>
              </w:rPr>
              <w:t xml:space="preserve"> </w:t>
            </w:r>
            <w:r w:rsidRPr="00036CA4">
              <w:rPr>
                <w:rFonts w:ascii="Times New Roman" w:hAnsi="Times New Roman"/>
                <w:sz w:val="24"/>
                <w:szCs w:val="24"/>
              </w:rPr>
              <w:t>Close links</w:t>
            </w:r>
            <w:r w:rsidRPr="00036CA4">
              <w:rPr>
                <w:rFonts w:ascii="Times New Roman" w:hAnsi="Times New Roman"/>
                <w:i/>
                <w:sz w:val="24"/>
                <w:szCs w:val="24"/>
              </w:rPr>
              <w:t xml:space="preserve"> </w:t>
            </w:r>
            <w:r w:rsidRPr="00036CA4">
              <w:rPr>
                <w:rFonts w:ascii="Times New Roman" w:hAnsi="Times New Roman"/>
                <w:sz w:val="24"/>
                <w:szCs w:val="24"/>
              </w:rPr>
              <w:t>means (</w:t>
            </w:r>
            <w:proofErr w:type="spellStart"/>
            <w:r w:rsidRPr="00036CA4">
              <w:rPr>
                <w:rFonts w:ascii="Times New Roman" w:hAnsi="Times New Roman"/>
                <w:sz w:val="24"/>
                <w:szCs w:val="24"/>
              </w:rPr>
              <w:t>i</w:t>
            </w:r>
            <w:proofErr w:type="spellEnd"/>
            <w:r w:rsidRPr="00036CA4">
              <w:rPr>
                <w:rFonts w:ascii="Times New Roman" w:hAnsi="Times New Roman"/>
                <w:sz w:val="24"/>
                <w:szCs w:val="24"/>
              </w:rPr>
              <w:t>) participation, i</w:t>
            </w:r>
            <w:r>
              <w:rPr>
                <w:rFonts w:ascii="Times New Roman" w:hAnsi="Times New Roman"/>
                <w:sz w:val="24"/>
                <w:szCs w:val="24"/>
              </w:rPr>
              <w:t>.</w:t>
            </w:r>
            <w:r w:rsidRPr="00036CA4">
              <w:rPr>
                <w:rFonts w:ascii="Times New Roman" w:hAnsi="Times New Roman"/>
                <w:sz w:val="24"/>
                <w:szCs w:val="24"/>
              </w:rPr>
              <w:t>e</w:t>
            </w:r>
            <w:r>
              <w:rPr>
                <w:rFonts w:ascii="Times New Roman" w:hAnsi="Times New Roman"/>
                <w:sz w:val="24"/>
                <w:szCs w:val="24"/>
              </w:rPr>
              <w:t>.,</w:t>
            </w:r>
            <w:r w:rsidRPr="00036CA4">
              <w:rPr>
                <w:rFonts w:ascii="Times New Roman" w:hAnsi="Times New Roman"/>
                <w:sz w:val="24"/>
                <w:szCs w:val="24"/>
              </w:rPr>
              <w:t xml:space="preserve"> ownership, direct or by way of control, of 20% or more of the voting rights or capital of an undertaking; (ii) control, i</w:t>
            </w:r>
            <w:r>
              <w:rPr>
                <w:rFonts w:ascii="Times New Roman" w:hAnsi="Times New Roman"/>
                <w:sz w:val="24"/>
                <w:szCs w:val="24"/>
              </w:rPr>
              <w:t>.</w:t>
            </w:r>
            <w:r w:rsidRPr="00036CA4">
              <w:rPr>
                <w:rFonts w:ascii="Times New Roman" w:hAnsi="Times New Roman"/>
                <w:sz w:val="24"/>
                <w:szCs w:val="24"/>
              </w:rPr>
              <w:t>e</w:t>
            </w:r>
            <w:r>
              <w:rPr>
                <w:rFonts w:ascii="Times New Roman" w:hAnsi="Times New Roman"/>
                <w:sz w:val="24"/>
                <w:szCs w:val="24"/>
              </w:rPr>
              <w:t>.,</w:t>
            </w:r>
            <w:r w:rsidRPr="00036CA4">
              <w:rPr>
                <w:rFonts w:ascii="Times New Roman" w:hAnsi="Times New Roman"/>
                <w:sz w:val="24"/>
                <w:szCs w:val="24"/>
              </w:rPr>
              <w:t xml:space="preserve"> relationship between a parent undertaking and a subsidiary as defined in Directive 83/349/EEC, or a similar relationship between any natural or legal person and an undertaking, any subsidiary undertaking of a subsidiary undertaking also being considered a subsidiary of the parent undertaking, which is at the head of those undertakings. </w:t>
            </w:r>
            <w:r>
              <w:rPr>
                <w:rFonts w:ascii="Times New Roman" w:hAnsi="Times New Roman"/>
                <w:sz w:val="24"/>
                <w:szCs w:val="24"/>
              </w:rPr>
              <w:t xml:space="preserve"> </w:t>
            </w:r>
            <w:r w:rsidRPr="00036CA4">
              <w:rPr>
                <w:rFonts w:ascii="Times New Roman" w:hAnsi="Times New Roman"/>
                <w:sz w:val="24"/>
                <w:szCs w:val="24"/>
              </w:rPr>
              <w:t>A situation where to or more natural or legal persons are permanently linked to one and the same person by a control relationship is also regarded as constituting a close link between such persons.</w:t>
            </w:r>
          </w:p>
          <w:p w:rsidR="003C292A" w:rsidRPr="00036CA4" w:rsidRDefault="003C292A" w:rsidP="005B04E7">
            <w:pPr>
              <w:spacing w:after="0"/>
              <w:rPr>
                <w:rFonts w:ascii="Times New Roman" w:hAnsi="Times New Roman"/>
                <w:sz w:val="24"/>
                <w:szCs w:val="24"/>
              </w:rPr>
            </w:pPr>
          </w:p>
        </w:tc>
      </w:tr>
      <w:tr w:rsidR="003C292A" w:rsidRPr="00036CA4" w:rsidTr="00E413F6">
        <w:tc>
          <w:tcPr>
            <w:tcW w:w="2511" w:type="dxa"/>
          </w:tcPr>
          <w:p w:rsidR="003C292A" w:rsidRPr="00036CA4" w:rsidRDefault="003C292A" w:rsidP="005B04E7">
            <w:pPr>
              <w:spacing w:after="0"/>
              <w:rPr>
                <w:rFonts w:ascii="Times New Roman" w:hAnsi="Times New Roman"/>
                <w:b/>
                <w:sz w:val="24"/>
                <w:szCs w:val="24"/>
              </w:rPr>
            </w:pPr>
            <w:r w:rsidRPr="00036CA4">
              <w:rPr>
                <w:rFonts w:ascii="Times New Roman" w:hAnsi="Times New Roman"/>
                <w:b/>
                <w:sz w:val="24"/>
                <w:szCs w:val="24"/>
              </w:rPr>
              <w:t>Acquisitions/Disposals of a qualifying holding:</w:t>
            </w:r>
          </w:p>
        </w:tc>
        <w:tc>
          <w:tcPr>
            <w:tcW w:w="7065" w:type="dxa"/>
          </w:tcPr>
          <w:p w:rsidR="003C292A" w:rsidRPr="00036CA4" w:rsidRDefault="003C292A" w:rsidP="005B04E7">
            <w:pPr>
              <w:spacing w:after="0"/>
              <w:jc w:val="both"/>
              <w:rPr>
                <w:rFonts w:ascii="Times New Roman" w:hAnsi="Times New Roman"/>
                <w:sz w:val="24"/>
                <w:szCs w:val="24"/>
              </w:rPr>
            </w:pPr>
            <w:r w:rsidRPr="00036CA4">
              <w:rPr>
                <w:rFonts w:ascii="Times New Roman" w:hAnsi="Times New Roman"/>
                <w:sz w:val="24"/>
                <w:szCs w:val="24"/>
              </w:rPr>
              <w:t>Any natural or legal person that proposes to acquire or sell, directly or indirectly, a qualifying holding in an investment firm must notify the regulator in advance of the size of the resulting holding.</w:t>
            </w:r>
            <w:r>
              <w:rPr>
                <w:rFonts w:ascii="Times New Roman" w:hAnsi="Times New Roman"/>
                <w:sz w:val="24"/>
                <w:szCs w:val="24"/>
              </w:rPr>
              <w:t xml:space="preserve"> </w:t>
            </w:r>
            <w:r w:rsidRPr="00036CA4">
              <w:rPr>
                <w:rFonts w:ascii="Times New Roman" w:hAnsi="Times New Roman"/>
                <w:sz w:val="24"/>
                <w:szCs w:val="24"/>
              </w:rPr>
              <w:t xml:space="preserve"> The same applies in case the acquirer proposes to increase its existing holding above a certain threshold (20%, 33%, </w:t>
            </w:r>
            <w:proofErr w:type="gramStart"/>
            <w:r w:rsidRPr="00036CA4">
              <w:rPr>
                <w:rFonts w:ascii="Times New Roman" w:hAnsi="Times New Roman"/>
                <w:sz w:val="24"/>
                <w:szCs w:val="24"/>
              </w:rPr>
              <w:t>50</w:t>
            </w:r>
            <w:proofErr w:type="gramEnd"/>
            <w:r w:rsidRPr="00036CA4">
              <w:rPr>
                <w:rFonts w:ascii="Times New Roman" w:hAnsi="Times New Roman"/>
                <w:sz w:val="24"/>
                <w:szCs w:val="24"/>
              </w:rPr>
              <w:t xml:space="preserve">%). </w:t>
            </w:r>
            <w:r>
              <w:rPr>
                <w:rFonts w:ascii="Times New Roman" w:hAnsi="Times New Roman"/>
                <w:sz w:val="24"/>
                <w:szCs w:val="24"/>
              </w:rPr>
              <w:t xml:space="preserve"> </w:t>
            </w:r>
            <w:r w:rsidRPr="00036CA4">
              <w:rPr>
                <w:rFonts w:ascii="Times New Roman" w:hAnsi="Times New Roman"/>
                <w:sz w:val="24"/>
                <w:szCs w:val="24"/>
              </w:rPr>
              <w:t>The regulator may oppose such a plan if it is not satisfied as to the suitability of the acquirer.  In case the acquirer is a financial institution registered in another Member State, or a person controlling such financial institution, the regulator of the other Member State must be consulted prior to approving the acquisition.</w:t>
            </w:r>
          </w:p>
          <w:p w:rsidR="003C292A" w:rsidRPr="00036CA4" w:rsidRDefault="003C292A" w:rsidP="005B04E7">
            <w:pPr>
              <w:spacing w:after="0"/>
              <w:rPr>
                <w:rFonts w:ascii="Times New Roman" w:hAnsi="Times New Roman"/>
                <w:sz w:val="24"/>
                <w:szCs w:val="24"/>
              </w:rPr>
            </w:pPr>
          </w:p>
        </w:tc>
      </w:tr>
      <w:tr w:rsidR="003C292A" w:rsidRPr="00036CA4" w:rsidTr="00E413F6">
        <w:tc>
          <w:tcPr>
            <w:tcW w:w="2511" w:type="dxa"/>
          </w:tcPr>
          <w:p w:rsidR="003C292A" w:rsidRPr="00036CA4" w:rsidRDefault="003C292A" w:rsidP="005B04E7">
            <w:pPr>
              <w:spacing w:after="0"/>
              <w:rPr>
                <w:rFonts w:ascii="Times New Roman" w:hAnsi="Times New Roman"/>
                <w:b/>
                <w:sz w:val="24"/>
                <w:szCs w:val="24"/>
              </w:rPr>
            </w:pPr>
            <w:r w:rsidRPr="00036CA4">
              <w:rPr>
                <w:rFonts w:ascii="Times New Roman" w:hAnsi="Times New Roman"/>
                <w:b/>
                <w:sz w:val="24"/>
                <w:szCs w:val="24"/>
              </w:rPr>
              <w:t>Capital Requirements:</w:t>
            </w:r>
          </w:p>
        </w:tc>
        <w:tc>
          <w:tcPr>
            <w:tcW w:w="7065" w:type="dxa"/>
          </w:tcPr>
          <w:p w:rsidR="003C292A" w:rsidRPr="00036CA4" w:rsidRDefault="003C292A" w:rsidP="005B04E7">
            <w:pPr>
              <w:spacing w:after="0"/>
              <w:jc w:val="both"/>
              <w:rPr>
                <w:rFonts w:ascii="Times New Roman" w:hAnsi="Times New Roman"/>
                <w:sz w:val="24"/>
                <w:szCs w:val="24"/>
              </w:rPr>
            </w:pPr>
            <w:r w:rsidRPr="00036CA4">
              <w:rPr>
                <w:rFonts w:ascii="Times New Roman" w:hAnsi="Times New Roman"/>
                <w:sz w:val="24"/>
                <w:szCs w:val="24"/>
              </w:rPr>
              <w:t xml:space="preserve">The regulator must ensure that the investment firm has sufficient capital in regard to the nature of the investment service or activity provided, in accordance with Capital Market Act (transposition of MIFID in Croatia). </w:t>
            </w:r>
            <w:r>
              <w:rPr>
                <w:rFonts w:ascii="Times New Roman" w:hAnsi="Times New Roman"/>
                <w:sz w:val="24"/>
                <w:szCs w:val="24"/>
              </w:rPr>
              <w:t xml:space="preserve"> </w:t>
            </w:r>
            <w:r w:rsidRPr="00036CA4">
              <w:rPr>
                <w:rFonts w:ascii="Times New Roman" w:hAnsi="Times New Roman"/>
                <w:sz w:val="24"/>
                <w:szCs w:val="24"/>
              </w:rPr>
              <w:t xml:space="preserve">Capital requirements rules stipulate the minimum amounts of own financial resources that credit institutions and investment firms must have in order to cover the risks to which they are exposed. </w:t>
            </w:r>
            <w:r>
              <w:rPr>
                <w:rFonts w:ascii="Times New Roman" w:hAnsi="Times New Roman"/>
                <w:sz w:val="24"/>
                <w:szCs w:val="24"/>
              </w:rPr>
              <w:t xml:space="preserve"> </w:t>
            </w:r>
            <w:r w:rsidRPr="00036CA4">
              <w:rPr>
                <w:rFonts w:ascii="Times New Roman" w:hAnsi="Times New Roman"/>
                <w:sz w:val="24"/>
                <w:szCs w:val="24"/>
              </w:rPr>
              <w:t xml:space="preserve">The aim is to protect clients and the stability of the financial system. </w:t>
            </w:r>
            <w:r>
              <w:rPr>
                <w:rFonts w:ascii="Times New Roman" w:hAnsi="Times New Roman"/>
                <w:sz w:val="24"/>
                <w:szCs w:val="24"/>
              </w:rPr>
              <w:t xml:space="preserve"> </w:t>
            </w:r>
            <w:r w:rsidRPr="00036CA4">
              <w:rPr>
                <w:rFonts w:ascii="Times New Roman" w:hAnsi="Times New Roman"/>
                <w:sz w:val="24"/>
                <w:szCs w:val="24"/>
              </w:rPr>
              <w:t>The capital requirement rules are currently under review in the EU, to better account in particular for large exposures, securitization exposures and risks to the trading book.</w:t>
            </w:r>
          </w:p>
          <w:p w:rsidR="003C292A" w:rsidRDefault="003C292A" w:rsidP="005B04E7">
            <w:pPr>
              <w:spacing w:after="0"/>
              <w:jc w:val="both"/>
              <w:rPr>
                <w:rFonts w:ascii="Times New Roman" w:hAnsi="Times New Roman"/>
                <w:sz w:val="24"/>
                <w:szCs w:val="24"/>
              </w:rPr>
            </w:pPr>
          </w:p>
          <w:p w:rsidR="003C292A" w:rsidRPr="00036CA4" w:rsidRDefault="003C292A" w:rsidP="005B04E7">
            <w:pPr>
              <w:spacing w:after="0"/>
              <w:jc w:val="both"/>
              <w:rPr>
                <w:rFonts w:ascii="Times New Roman" w:hAnsi="Times New Roman"/>
                <w:sz w:val="24"/>
                <w:szCs w:val="24"/>
              </w:rPr>
            </w:pPr>
          </w:p>
        </w:tc>
      </w:tr>
      <w:tr w:rsidR="003C292A" w:rsidRPr="00036CA4" w:rsidTr="00E413F6">
        <w:tc>
          <w:tcPr>
            <w:tcW w:w="2511" w:type="dxa"/>
          </w:tcPr>
          <w:p w:rsidR="003C292A" w:rsidRPr="00036CA4" w:rsidRDefault="003C292A" w:rsidP="005B04E7">
            <w:pPr>
              <w:spacing w:after="0"/>
              <w:rPr>
                <w:rFonts w:ascii="Times New Roman" w:hAnsi="Times New Roman"/>
                <w:b/>
                <w:sz w:val="24"/>
                <w:szCs w:val="24"/>
              </w:rPr>
            </w:pPr>
            <w:r w:rsidRPr="00036CA4">
              <w:rPr>
                <w:rFonts w:ascii="Times New Roman" w:hAnsi="Times New Roman"/>
                <w:b/>
                <w:sz w:val="24"/>
                <w:szCs w:val="24"/>
              </w:rPr>
              <w:lastRenderedPageBreak/>
              <w:t>Organizational Requirements:</w:t>
            </w:r>
          </w:p>
        </w:tc>
        <w:tc>
          <w:tcPr>
            <w:tcW w:w="7065" w:type="dxa"/>
          </w:tcPr>
          <w:p w:rsidR="003C292A" w:rsidRPr="00036CA4" w:rsidRDefault="003C292A" w:rsidP="005B04E7">
            <w:pPr>
              <w:spacing w:after="0"/>
              <w:jc w:val="both"/>
              <w:rPr>
                <w:rFonts w:ascii="Times New Roman" w:hAnsi="Times New Roman"/>
                <w:sz w:val="24"/>
                <w:szCs w:val="24"/>
              </w:rPr>
            </w:pPr>
            <w:r w:rsidRPr="00036CA4">
              <w:rPr>
                <w:rFonts w:ascii="Times New Roman" w:hAnsi="Times New Roman"/>
                <w:sz w:val="24"/>
                <w:szCs w:val="24"/>
              </w:rPr>
              <w:t>Investment firm</w:t>
            </w:r>
            <w:r>
              <w:rPr>
                <w:rFonts w:ascii="Times New Roman" w:hAnsi="Times New Roman"/>
                <w:sz w:val="24"/>
                <w:szCs w:val="24"/>
              </w:rPr>
              <w:t>s</w:t>
            </w:r>
            <w:r w:rsidRPr="00036CA4">
              <w:rPr>
                <w:rFonts w:ascii="Times New Roman" w:hAnsi="Times New Roman"/>
                <w:sz w:val="24"/>
                <w:szCs w:val="24"/>
              </w:rPr>
              <w:t xml:space="preserve"> must satisfy a number of organizational requirements, i</w:t>
            </w:r>
            <w:r>
              <w:rPr>
                <w:rFonts w:ascii="Times New Roman" w:hAnsi="Times New Roman"/>
                <w:sz w:val="24"/>
                <w:szCs w:val="24"/>
              </w:rPr>
              <w:t>.</w:t>
            </w:r>
            <w:r w:rsidRPr="00036CA4">
              <w:rPr>
                <w:rFonts w:ascii="Times New Roman" w:hAnsi="Times New Roman"/>
                <w:sz w:val="24"/>
                <w:szCs w:val="24"/>
              </w:rPr>
              <w:t>e</w:t>
            </w:r>
            <w:r>
              <w:rPr>
                <w:rFonts w:ascii="Times New Roman" w:hAnsi="Times New Roman"/>
                <w:sz w:val="24"/>
                <w:szCs w:val="24"/>
              </w:rPr>
              <w:t>.,</w:t>
            </w:r>
            <w:r w:rsidRPr="00036CA4">
              <w:rPr>
                <w:rFonts w:ascii="Times New Roman" w:hAnsi="Times New Roman"/>
                <w:sz w:val="24"/>
                <w:szCs w:val="24"/>
              </w:rPr>
              <w:t xml:space="preserve"> to establish and maintain adequate procedures as regard decision making, internal control mechanism, internal systems and procedures, expertise of personnel, accounting policies, business records, personal transactions, conflict of interest, risk management, safeguard rules regarding client funds and account, etc. </w:t>
            </w:r>
          </w:p>
          <w:p w:rsidR="003C292A" w:rsidRPr="00036CA4" w:rsidRDefault="003C292A" w:rsidP="005B04E7">
            <w:pPr>
              <w:spacing w:after="0"/>
              <w:jc w:val="both"/>
              <w:rPr>
                <w:rFonts w:ascii="Times New Roman" w:hAnsi="Times New Roman"/>
                <w:sz w:val="24"/>
                <w:szCs w:val="24"/>
              </w:rPr>
            </w:pPr>
          </w:p>
        </w:tc>
      </w:tr>
      <w:tr w:rsidR="003C292A" w:rsidRPr="00036CA4" w:rsidTr="00E413F6">
        <w:tc>
          <w:tcPr>
            <w:tcW w:w="2511" w:type="dxa"/>
          </w:tcPr>
          <w:p w:rsidR="003C292A" w:rsidRPr="00036CA4" w:rsidRDefault="003C292A" w:rsidP="005B04E7">
            <w:pPr>
              <w:spacing w:after="0"/>
              <w:rPr>
                <w:rFonts w:ascii="Times New Roman" w:hAnsi="Times New Roman"/>
                <w:b/>
                <w:sz w:val="24"/>
                <w:szCs w:val="24"/>
              </w:rPr>
            </w:pPr>
            <w:r w:rsidRPr="00036CA4">
              <w:rPr>
                <w:rFonts w:ascii="Times New Roman" w:hAnsi="Times New Roman"/>
                <w:b/>
                <w:sz w:val="24"/>
                <w:szCs w:val="24"/>
              </w:rPr>
              <w:t>Conflict of Interest:</w:t>
            </w:r>
          </w:p>
        </w:tc>
        <w:tc>
          <w:tcPr>
            <w:tcW w:w="7065" w:type="dxa"/>
          </w:tcPr>
          <w:p w:rsidR="003C292A" w:rsidRPr="00036CA4" w:rsidRDefault="003C292A" w:rsidP="005B04E7">
            <w:pPr>
              <w:spacing w:after="0"/>
              <w:jc w:val="both"/>
              <w:rPr>
                <w:rFonts w:ascii="Times New Roman" w:hAnsi="Times New Roman"/>
                <w:sz w:val="24"/>
                <w:szCs w:val="24"/>
              </w:rPr>
            </w:pPr>
            <w:r w:rsidRPr="00036CA4">
              <w:rPr>
                <w:rFonts w:ascii="Times New Roman" w:hAnsi="Times New Roman"/>
                <w:sz w:val="24"/>
                <w:szCs w:val="24"/>
              </w:rPr>
              <w:t xml:space="preserve">Investment firms must take all reasonable steps to identify conflicts of interest between themselves (including their managers, employees and tied agents, or any person directly or indirectly linked to them by control) and their clients or between one client and another. </w:t>
            </w:r>
            <w:r>
              <w:rPr>
                <w:rFonts w:ascii="Times New Roman" w:hAnsi="Times New Roman"/>
                <w:sz w:val="24"/>
                <w:szCs w:val="24"/>
              </w:rPr>
              <w:t xml:space="preserve"> </w:t>
            </w:r>
            <w:r w:rsidRPr="00036CA4">
              <w:rPr>
                <w:rFonts w:ascii="Times New Roman" w:hAnsi="Times New Roman"/>
                <w:sz w:val="24"/>
                <w:szCs w:val="24"/>
              </w:rPr>
              <w:t>They should also establish and maintain adequate conflict of interest policy.</w:t>
            </w:r>
          </w:p>
          <w:p w:rsidR="003C292A" w:rsidRPr="00036CA4" w:rsidRDefault="003C292A" w:rsidP="005B04E7">
            <w:pPr>
              <w:spacing w:after="0"/>
              <w:rPr>
                <w:rFonts w:ascii="Times New Roman" w:hAnsi="Times New Roman"/>
                <w:sz w:val="24"/>
                <w:szCs w:val="24"/>
              </w:rPr>
            </w:pPr>
          </w:p>
        </w:tc>
      </w:tr>
      <w:tr w:rsidR="003C292A" w:rsidRPr="00036CA4" w:rsidTr="00E413F6">
        <w:tc>
          <w:tcPr>
            <w:tcW w:w="9576" w:type="dxa"/>
            <w:gridSpan w:val="2"/>
          </w:tcPr>
          <w:p w:rsidR="003C292A" w:rsidRPr="00036CA4" w:rsidRDefault="003C292A" w:rsidP="005B04E7">
            <w:pPr>
              <w:spacing w:after="0"/>
              <w:jc w:val="center"/>
              <w:rPr>
                <w:rFonts w:ascii="Times New Roman" w:hAnsi="Times New Roman"/>
                <w:b/>
                <w:sz w:val="24"/>
                <w:szCs w:val="24"/>
              </w:rPr>
            </w:pPr>
            <w:r w:rsidRPr="001C5A82">
              <w:rPr>
                <w:rFonts w:ascii="Times New Roman" w:hAnsi="Times New Roman"/>
                <w:b/>
                <w:sz w:val="24"/>
                <w:szCs w:val="24"/>
                <w:u w:val="single"/>
              </w:rPr>
              <w:t>Conduct of Business Obligation</w:t>
            </w:r>
          </w:p>
          <w:p w:rsidR="003C292A" w:rsidRPr="00036CA4" w:rsidRDefault="003C292A" w:rsidP="005B04E7">
            <w:pPr>
              <w:spacing w:after="0"/>
              <w:jc w:val="center"/>
              <w:rPr>
                <w:rFonts w:ascii="Times New Roman" w:hAnsi="Times New Roman"/>
                <w:b/>
                <w:sz w:val="24"/>
                <w:szCs w:val="24"/>
              </w:rPr>
            </w:pPr>
          </w:p>
        </w:tc>
      </w:tr>
      <w:tr w:rsidR="003C292A" w:rsidRPr="00036CA4" w:rsidTr="00E413F6">
        <w:tc>
          <w:tcPr>
            <w:tcW w:w="2511" w:type="dxa"/>
          </w:tcPr>
          <w:p w:rsidR="003C292A" w:rsidRPr="00036CA4" w:rsidRDefault="003C292A" w:rsidP="005B04E7">
            <w:pPr>
              <w:spacing w:after="0"/>
              <w:rPr>
                <w:rFonts w:ascii="Times New Roman" w:hAnsi="Times New Roman"/>
                <w:b/>
                <w:sz w:val="24"/>
                <w:szCs w:val="24"/>
              </w:rPr>
            </w:pPr>
            <w:r w:rsidRPr="00036CA4">
              <w:rPr>
                <w:rFonts w:ascii="Times New Roman" w:hAnsi="Times New Roman"/>
                <w:sz w:val="24"/>
                <w:szCs w:val="24"/>
              </w:rPr>
              <w:t>C</w:t>
            </w:r>
            <w:r w:rsidRPr="00036CA4">
              <w:rPr>
                <w:rFonts w:ascii="Times New Roman" w:hAnsi="Times New Roman"/>
                <w:b/>
                <w:sz w:val="24"/>
                <w:szCs w:val="24"/>
              </w:rPr>
              <w:t>lient suitability test</w:t>
            </w:r>
            <w:r w:rsidRPr="00036CA4">
              <w:rPr>
                <w:rFonts w:ascii="Times New Roman" w:hAnsi="Times New Roman"/>
                <w:sz w:val="24"/>
                <w:szCs w:val="24"/>
              </w:rPr>
              <w:t>:</w:t>
            </w:r>
          </w:p>
        </w:tc>
        <w:tc>
          <w:tcPr>
            <w:tcW w:w="7065" w:type="dxa"/>
          </w:tcPr>
          <w:p w:rsidR="003C292A" w:rsidRPr="00036CA4" w:rsidRDefault="003C292A" w:rsidP="005B04E7">
            <w:pPr>
              <w:spacing w:after="0"/>
              <w:jc w:val="both"/>
              <w:rPr>
                <w:rFonts w:ascii="Times New Roman" w:hAnsi="Times New Roman"/>
                <w:sz w:val="24"/>
                <w:szCs w:val="24"/>
              </w:rPr>
            </w:pPr>
            <w:r w:rsidRPr="00036CA4">
              <w:rPr>
                <w:rFonts w:ascii="Times New Roman" w:hAnsi="Times New Roman"/>
                <w:sz w:val="24"/>
                <w:szCs w:val="24"/>
              </w:rPr>
              <w:t>When offering investment advice or portfolio management, the investment firm must obtain the necessary information regarding the client’s or potential client’s knowledge and experience in the investment field relevant to the specific type of product or service, his</w:t>
            </w:r>
            <w:r>
              <w:rPr>
                <w:rFonts w:ascii="Times New Roman" w:hAnsi="Times New Roman"/>
                <w:sz w:val="24"/>
                <w:szCs w:val="24"/>
              </w:rPr>
              <w:t>/her</w:t>
            </w:r>
            <w:r w:rsidRPr="00036CA4">
              <w:rPr>
                <w:rFonts w:ascii="Times New Roman" w:hAnsi="Times New Roman"/>
                <w:sz w:val="24"/>
                <w:szCs w:val="24"/>
              </w:rPr>
              <w:t xml:space="preserve"> financial situation and his</w:t>
            </w:r>
            <w:r>
              <w:rPr>
                <w:rFonts w:ascii="Times New Roman" w:hAnsi="Times New Roman"/>
                <w:sz w:val="24"/>
                <w:szCs w:val="24"/>
              </w:rPr>
              <w:t>/her</w:t>
            </w:r>
            <w:r w:rsidRPr="00036CA4">
              <w:rPr>
                <w:rFonts w:ascii="Times New Roman" w:hAnsi="Times New Roman"/>
                <w:sz w:val="24"/>
                <w:szCs w:val="24"/>
              </w:rPr>
              <w:t xml:space="preserve"> investment objectives so as to enable the firm to recommend the investment services and financial instruments that are suitable for him</w:t>
            </w:r>
            <w:r>
              <w:rPr>
                <w:rFonts w:ascii="Times New Roman" w:hAnsi="Times New Roman"/>
                <w:sz w:val="24"/>
                <w:szCs w:val="24"/>
              </w:rPr>
              <w:t>/her</w:t>
            </w:r>
            <w:r w:rsidRPr="00036CA4">
              <w:rPr>
                <w:rFonts w:ascii="Times New Roman" w:hAnsi="Times New Roman"/>
                <w:sz w:val="24"/>
                <w:szCs w:val="24"/>
              </w:rPr>
              <w:t>.</w:t>
            </w:r>
          </w:p>
          <w:p w:rsidR="003C292A" w:rsidRPr="00036CA4" w:rsidRDefault="003C292A" w:rsidP="005B04E7">
            <w:pPr>
              <w:spacing w:after="0"/>
              <w:rPr>
                <w:rFonts w:ascii="Times New Roman" w:hAnsi="Times New Roman"/>
                <w:b/>
                <w:sz w:val="24"/>
                <w:szCs w:val="24"/>
              </w:rPr>
            </w:pPr>
          </w:p>
        </w:tc>
      </w:tr>
      <w:tr w:rsidR="003C292A" w:rsidRPr="00036CA4" w:rsidTr="00E413F6">
        <w:tc>
          <w:tcPr>
            <w:tcW w:w="2511" w:type="dxa"/>
          </w:tcPr>
          <w:p w:rsidR="003C292A" w:rsidRPr="00036CA4" w:rsidRDefault="003C292A" w:rsidP="005B04E7">
            <w:pPr>
              <w:spacing w:after="0"/>
              <w:rPr>
                <w:rFonts w:ascii="Times New Roman" w:hAnsi="Times New Roman"/>
                <w:b/>
                <w:sz w:val="24"/>
                <w:szCs w:val="24"/>
              </w:rPr>
            </w:pPr>
            <w:r w:rsidRPr="00036CA4">
              <w:rPr>
                <w:rFonts w:ascii="Times New Roman" w:hAnsi="Times New Roman"/>
                <w:b/>
                <w:sz w:val="24"/>
                <w:szCs w:val="24"/>
              </w:rPr>
              <w:t>Product appropriateness test:</w:t>
            </w:r>
          </w:p>
        </w:tc>
        <w:tc>
          <w:tcPr>
            <w:tcW w:w="7065" w:type="dxa"/>
          </w:tcPr>
          <w:p w:rsidR="003C292A" w:rsidRPr="00036CA4" w:rsidRDefault="003C292A" w:rsidP="005B04E7">
            <w:pPr>
              <w:spacing w:after="0"/>
              <w:jc w:val="both"/>
              <w:rPr>
                <w:rFonts w:ascii="Times New Roman" w:hAnsi="Times New Roman"/>
                <w:sz w:val="24"/>
                <w:szCs w:val="24"/>
                <w:lang w:val="en-GB"/>
              </w:rPr>
            </w:pPr>
            <w:r w:rsidRPr="00036CA4">
              <w:rPr>
                <w:rFonts w:ascii="Times New Roman" w:hAnsi="Times New Roman"/>
                <w:sz w:val="24"/>
                <w:szCs w:val="24"/>
                <w:lang w:val="en-GB"/>
              </w:rPr>
              <w:t>When offering other services, the investment firm must ask the client or the potential client to provide information regarding his</w:t>
            </w:r>
            <w:r>
              <w:rPr>
                <w:rFonts w:ascii="Times New Roman" w:hAnsi="Times New Roman"/>
                <w:sz w:val="24"/>
                <w:szCs w:val="24"/>
                <w:lang w:val="en-GB"/>
              </w:rPr>
              <w:t>/her</w:t>
            </w:r>
            <w:r w:rsidRPr="00036CA4">
              <w:rPr>
                <w:rFonts w:ascii="Times New Roman" w:hAnsi="Times New Roman"/>
                <w:sz w:val="24"/>
                <w:szCs w:val="24"/>
                <w:lang w:val="en-GB"/>
              </w:rPr>
              <w:t xml:space="preserve"> knowledge and experience in the investment field relevant to the specific product or service offered or demanded, so as to enable the investment firm to assess whether the investment service or product is appropriate for the client. </w:t>
            </w:r>
            <w:r>
              <w:rPr>
                <w:rFonts w:ascii="Times New Roman" w:hAnsi="Times New Roman"/>
                <w:sz w:val="24"/>
                <w:szCs w:val="24"/>
                <w:lang w:val="en-GB"/>
              </w:rPr>
              <w:t xml:space="preserve"> </w:t>
            </w:r>
            <w:r w:rsidRPr="00036CA4">
              <w:rPr>
                <w:rFonts w:ascii="Times New Roman" w:hAnsi="Times New Roman"/>
                <w:sz w:val="24"/>
                <w:szCs w:val="24"/>
                <w:lang w:val="en-GB"/>
              </w:rPr>
              <w:t xml:space="preserve">In case the product or service fails the appropriateness test, the investment firm must warn the client or potential client accordingly. </w:t>
            </w:r>
            <w:r>
              <w:rPr>
                <w:rFonts w:ascii="Times New Roman" w:hAnsi="Times New Roman"/>
                <w:sz w:val="24"/>
                <w:szCs w:val="24"/>
                <w:lang w:val="en-GB"/>
              </w:rPr>
              <w:t xml:space="preserve"> </w:t>
            </w:r>
            <w:r w:rsidRPr="00036CA4">
              <w:rPr>
                <w:rFonts w:ascii="Times New Roman" w:hAnsi="Times New Roman"/>
                <w:sz w:val="24"/>
                <w:szCs w:val="24"/>
                <w:lang w:val="en-GB"/>
              </w:rPr>
              <w:t>If case the client decides not to provide the above information or provides insufficient information about his</w:t>
            </w:r>
            <w:r>
              <w:rPr>
                <w:rFonts w:ascii="Times New Roman" w:hAnsi="Times New Roman"/>
                <w:sz w:val="24"/>
                <w:szCs w:val="24"/>
                <w:lang w:val="en-GB"/>
              </w:rPr>
              <w:t>/her</w:t>
            </w:r>
            <w:r w:rsidRPr="00036CA4">
              <w:rPr>
                <w:rFonts w:ascii="Times New Roman" w:hAnsi="Times New Roman"/>
                <w:sz w:val="24"/>
                <w:szCs w:val="24"/>
                <w:lang w:val="en-GB"/>
              </w:rPr>
              <w:t xml:space="preserve"> knowledge and experience, the investment firm must warn him</w:t>
            </w:r>
            <w:r>
              <w:rPr>
                <w:rFonts w:ascii="Times New Roman" w:hAnsi="Times New Roman"/>
                <w:sz w:val="24"/>
                <w:szCs w:val="24"/>
                <w:lang w:val="en-GB"/>
              </w:rPr>
              <w:t>/her</w:t>
            </w:r>
            <w:r w:rsidRPr="00036CA4">
              <w:rPr>
                <w:rFonts w:ascii="Times New Roman" w:hAnsi="Times New Roman"/>
                <w:sz w:val="24"/>
                <w:szCs w:val="24"/>
                <w:lang w:val="en-GB"/>
              </w:rPr>
              <w:t xml:space="preserve"> that his</w:t>
            </w:r>
            <w:r>
              <w:rPr>
                <w:rFonts w:ascii="Times New Roman" w:hAnsi="Times New Roman"/>
                <w:sz w:val="24"/>
                <w:szCs w:val="24"/>
                <w:lang w:val="en-GB"/>
              </w:rPr>
              <w:t>/her</w:t>
            </w:r>
            <w:r w:rsidRPr="00036CA4">
              <w:rPr>
                <w:rFonts w:ascii="Times New Roman" w:hAnsi="Times New Roman"/>
                <w:sz w:val="24"/>
                <w:szCs w:val="24"/>
                <w:lang w:val="en-GB"/>
              </w:rPr>
              <w:t xml:space="preserve"> decision may prevent the firm from assessing the appropriateness of the investment service.</w:t>
            </w:r>
          </w:p>
          <w:p w:rsidR="003C292A" w:rsidRPr="00036CA4" w:rsidRDefault="003C292A" w:rsidP="005B04E7">
            <w:pPr>
              <w:spacing w:after="0"/>
              <w:rPr>
                <w:rFonts w:ascii="Times New Roman" w:hAnsi="Times New Roman"/>
                <w:b/>
                <w:sz w:val="24"/>
                <w:szCs w:val="24"/>
              </w:rPr>
            </w:pPr>
          </w:p>
        </w:tc>
      </w:tr>
      <w:tr w:rsidR="003C292A" w:rsidRPr="00036CA4" w:rsidTr="00E413F6">
        <w:tc>
          <w:tcPr>
            <w:tcW w:w="2511" w:type="dxa"/>
          </w:tcPr>
          <w:p w:rsidR="003C292A" w:rsidRPr="00036CA4" w:rsidRDefault="003C292A" w:rsidP="005B04E7">
            <w:pPr>
              <w:spacing w:after="0"/>
              <w:rPr>
                <w:rFonts w:ascii="Times New Roman" w:hAnsi="Times New Roman"/>
                <w:b/>
                <w:sz w:val="24"/>
                <w:szCs w:val="24"/>
              </w:rPr>
            </w:pPr>
            <w:r w:rsidRPr="00036CA4">
              <w:rPr>
                <w:rFonts w:ascii="Times New Roman" w:hAnsi="Times New Roman"/>
                <w:b/>
                <w:sz w:val="24"/>
                <w:szCs w:val="24"/>
              </w:rPr>
              <w:t>Best execution rule</w:t>
            </w:r>
            <w:r w:rsidRPr="00036CA4">
              <w:rPr>
                <w:rFonts w:ascii="Times New Roman" w:hAnsi="Times New Roman"/>
                <w:sz w:val="24"/>
                <w:szCs w:val="24"/>
              </w:rPr>
              <w:t>:</w:t>
            </w:r>
          </w:p>
        </w:tc>
        <w:tc>
          <w:tcPr>
            <w:tcW w:w="7065" w:type="dxa"/>
          </w:tcPr>
          <w:p w:rsidR="003C292A" w:rsidRPr="00036CA4" w:rsidRDefault="003C292A" w:rsidP="005B04E7">
            <w:pPr>
              <w:spacing w:after="0"/>
              <w:jc w:val="both"/>
              <w:rPr>
                <w:rFonts w:ascii="Times New Roman" w:hAnsi="Times New Roman"/>
                <w:sz w:val="24"/>
                <w:szCs w:val="24"/>
              </w:rPr>
            </w:pPr>
            <w:r w:rsidRPr="00036CA4">
              <w:rPr>
                <w:rFonts w:ascii="Times New Roman" w:hAnsi="Times New Roman"/>
                <w:sz w:val="24"/>
                <w:szCs w:val="24"/>
              </w:rPr>
              <w:t xml:space="preserve">Investment firms must take all reasonable steps to obtain, when executing orders, the best possible result for their clients taking into </w:t>
            </w:r>
            <w:r w:rsidRPr="00036CA4">
              <w:rPr>
                <w:rFonts w:ascii="Times New Roman" w:hAnsi="Times New Roman"/>
                <w:sz w:val="24"/>
                <w:szCs w:val="24"/>
              </w:rPr>
              <w:lastRenderedPageBreak/>
              <w:t xml:space="preserve">account price, costs, speed, likelihood of execution and settlement, size, nature or any other consideration relevant to the execution of the order. </w:t>
            </w:r>
            <w:r>
              <w:rPr>
                <w:rFonts w:ascii="Times New Roman" w:hAnsi="Times New Roman"/>
                <w:sz w:val="24"/>
                <w:szCs w:val="24"/>
              </w:rPr>
              <w:t xml:space="preserve"> </w:t>
            </w:r>
            <w:r w:rsidRPr="00036CA4">
              <w:rPr>
                <w:rFonts w:ascii="Times New Roman" w:hAnsi="Times New Roman"/>
                <w:sz w:val="24"/>
                <w:szCs w:val="24"/>
              </w:rPr>
              <w:t xml:space="preserve">However, if there is a specific instruction from the client, the firm must execute the order following this instruction. </w:t>
            </w:r>
          </w:p>
          <w:p w:rsidR="003C292A" w:rsidRPr="00036CA4" w:rsidRDefault="003C292A" w:rsidP="005B04E7">
            <w:pPr>
              <w:spacing w:after="0"/>
              <w:jc w:val="both"/>
              <w:rPr>
                <w:rFonts w:ascii="Times New Roman" w:hAnsi="Times New Roman"/>
                <w:sz w:val="24"/>
                <w:szCs w:val="24"/>
              </w:rPr>
            </w:pPr>
            <w:r w:rsidRPr="00036CA4">
              <w:rPr>
                <w:rFonts w:ascii="Times New Roman" w:hAnsi="Times New Roman"/>
                <w:sz w:val="24"/>
                <w:szCs w:val="24"/>
              </w:rPr>
              <w:t xml:space="preserve">Investment firms must establish and implement an order execution policy to comply with the best execution rule. </w:t>
            </w:r>
            <w:r>
              <w:rPr>
                <w:rFonts w:ascii="Times New Roman" w:hAnsi="Times New Roman"/>
                <w:sz w:val="24"/>
                <w:szCs w:val="24"/>
              </w:rPr>
              <w:t xml:space="preserve"> Appropriate information about the </w:t>
            </w:r>
            <w:r w:rsidRPr="00036CA4">
              <w:rPr>
                <w:rFonts w:ascii="Times New Roman" w:hAnsi="Times New Roman"/>
                <w:sz w:val="24"/>
                <w:szCs w:val="24"/>
              </w:rPr>
              <w:t>firm’s best execution policy should be provided to their clients and their prior consent of the order execution policy should be obtained.  In case the order execution policy provides for the possibility that client orders may be executed outside a regulated market or a MTF, investment firms must inform their clients about this possibility.</w:t>
            </w:r>
            <w:r>
              <w:rPr>
                <w:rFonts w:ascii="Times New Roman" w:hAnsi="Times New Roman"/>
                <w:sz w:val="24"/>
                <w:szCs w:val="24"/>
              </w:rPr>
              <w:t xml:space="preserve"> </w:t>
            </w:r>
            <w:r w:rsidRPr="00036CA4">
              <w:rPr>
                <w:rFonts w:ascii="Times New Roman" w:hAnsi="Times New Roman"/>
                <w:sz w:val="24"/>
                <w:szCs w:val="24"/>
              </w:rPr>
              <w:t xml:space="preserve"> Investment firms must obtain the prior consent of their clients before proceeding to execute their orders outside a regulated market or a MTF. </w:t>
            </w:r>
          </w:p>
          <w:p w:rsidR="003C292A" w:rsidRPr="00036CA4" w:rsidRDefault="003C292A" w:rsidP="005B04E7">
            <w:pPr>
              <w:spacing w:after="0"/>
              <w:jc w:val="both"/>
              <w:rPr>
                <w:rFonts w:ascii="Times New Roman" w:hAnsi="Times New Roman"/>
                <w:b/>
                <w:sz w:val="24"/>
                <w:szCs w:val="24"/>
              </w:rPr>
            </w:pPr>
          </w:p>
        </w:tc>
      </w:tr>
      <w:tr w:rsidR="003C292A" w:rsidRPr="00036CA4" w:rsidTr="00E413F6">
        <w:tc>
          <w:tcPr>
            <w:tcW w:w="2511" w:type="dxa"/>
          </w:tcPr>
          <w:p w:rsidR="003C292A" w:rsidRPr="00036CA4" w:rsidRDefault="003C292A" w:rsidP="005B04E7">
            <w:pPr>
              <w:spacing w:after="0"/>
              <w:rPr>
                <w:rFonts w:ascii="Times New Roman" w:hAnsi="Times New Roman"/>
                <w:b/>
                <w:sz w:val="24"/>
                <w:szCs w:val="24"/>
              </w:rPr>
            </w:pPr>
            <w:r w:rsidRPr="00036CA4">
              <w:rPr>
                <w:rFonts w:ascii="Times New Roman" w:hAnsi="Times New Roman"/>
                <w:b/>
                <w:sz w:val="24"/>
                <w:szCs w:val="24"/>
              </w:rPr>
              <w:lastRenderedPageBreak/>
              <w:t>Market transparency and integrity:</w:t>
            </w:r>
          </w:p>
        </w:tc>
        <w:tc>
          <w:tcPr>
            <w:tcW w:w="7065" w:type="dxa"/>
          </w:tcPr>
          <w:p w:rsidR="003C292A" w:rsidRDefault="003C292A" w:rsidP="005B04E7">
            <w:pPr>
              <w:spacing w:after="0"/>
              <w:jc w:val="both"/>
              <w:rPr>
                <w:rFonts w:ascii="Times New Roman" w:hAnsi="Times New Roman"/>
                <w:sz w:val="24"/>
                <w:szCs w:val="24"/>
              </w:rPr>
            </w:pPr>
            <w:r w:rsidRPr="00036CA4">
              <w:rPr>
                <w:rFonts w:ascii="Times New Roman" w:hAnsi="Times New Roman"/>
                <w:sz w:val="24"/>
                <w:szCs w:val="24"/>
              </w:rPr>
              <w:t xml:space="preserve">Investment firms must keep the relevant data relating to all transactions in financial instruments at the disposal of the regulators. </w:t>
            </w:r>
            <w:r>
              <w:rPr>
                <w:rFonts w:ascii="Times New Roman" w:hAnsi="Times New Roman"/>
                <w:sz w:val="24"/>
                <w:szCs w:val="24"/>
              </w:rPr>
              <w:t xml:space="preserve"> </w:t>
            </w:r>
            <w:r w:rsidRPr="00036CA4">
              <w:rPr>
                <w:rFonts w:ascii="Times New Roman" w:hAnsi="Times New Roman"/>
                <w:sz w:val="24"/>
                <w:szCs w:val="24"/>
              </w:rPr>
              <w:t xml:space="preserve">These records must contain all the information and details on the identity of the client and the information required under the Anti-Money Laundering Directive. </w:t>
            </w:r>
          </w:p>
          <w:p w:rsidR="003C292A" w:rsidRPr="00036CA4" w:rsidRDefault="003C292A" w:rsidP="005B04E7">
            <w:pPr>
              <w:spacing w:after="0"/>
              <w:jc w:val="both"/>
              <w:rPr>
                <w:rFonts w:ascii="Times New Roman" w:hAnsi="Times New Roman"/>
                <w:b/>
                <w:sz w:val="24"/>
                <w:szCs w:val="24"/>
              </w:rPr>
            </w:pPr>
          </w:p>
        </w:tc>
      </w:tr>
      <w:tr w:rsidR="003C292A" w:rsidRPr="00036CA4" w:rsidTr="00E413F6">
        <w:tc>
          <w:tcPr>
            <w:tcW w:w="2511" w:type="dxa"/>
          </w:tcPr>
          <w:p w:rsidR="003C292A" w:rsidRPr="00036CA4" w:rsidRDefault="003C292A" w:rsidP="005B04E7">
            <w:pPr>
              <w:spacing w:after="0"/>
              <w:rPr>
                <w:rFonts w:ascii="Times New Roman" w:hAnsi="Times New Roman"/>
                <w:b/>
                <w:sz w:val="24"/>
                <w:szCs w:val="24"/>
              </w:rPr>
            </w:pPr>
            <w:r w:rsidRPr="00C564A5">
              <w:rPr>
                <w:rFonts w:ascii="Times New Roman" w:hAnsi="Times New Roman"/>
                <w:b/>
                <w:sz w:val="24"/>
                <w:szCs w:val="24"/>
              </w:rPr>
              <w:t>Admission of financial instruments to trading</w:t>
            </w:r>
            <w:r>
              <w:rPr>
                <w:rFonts w:ascii="Times New Roman" w:hAnsi="Times New Roman"/>
                <w:b/>
                <w:sz w:val="24"/>
                <w:szCs w:val="24"/>
              </w:rPr>
              <w:t>:</w:t>
            </w:r>
          </w:p>
        </w:tc>
        <w:tc>
          <w:tcPr>
            <w:tcW w:w="7065" w:type="dxa"/>
          </w:tcPr>
          <w:p w:rsidR="003C292A" w:rsidRPr="00036CA4" w:rsidRDefault="003C292A" w:rsidP="005B04E7">
            <w:pPr>
              <w:jc w:val="both"/>
              <w:rPr>
                <w:rFonts w:ascii="Times New Roman" w:hAnsi="Times New Roman"/>
                <w:b/>
                <w:sz w:val="24"/>
                <w:szCs w:val="24"/>
              </w:rPr>
            </w:pPr>
            <w:r w:rsidRPr="004B6C18">
              <w:rPr>
                <w:rFonts w:ascii="Times New Roman" w:hAnsi="Times New Roman"/>
                <w:sz w:val="24"/>
                <w:szCs w:val="24"/>
              </w:rPr>
              <w:t xml:space="preserve">Regulated markets must have clear and transparent rules regarding the admission of financial instruments to trading. </w:t>
            </w:r>
            <w:r>
              <w:rPr>
                <w:rFonts w:ascii="Times New Roman" w:hAnsi="Times New Roman"/>
                <w:sz w:val="24"/>
                <w:szCs w:val="24"/>
              </w:rPr>
              <w:t xml:space="preserve"> </w:t>
            </w:r>
            <w:r w:rsidRPr="004B6C18">
              <w:rPr>
                <w:rFonts w:ascii="Times New Roman" w:hAnsi="Times New Roman"/>
                <w:sz w:val="24"/>
                <w:szCs w:val="24"/>
              </w:rPr>
              <w:t xml:space="preserve">These rules must ensure that financial instruments admitted to trading in a regulated market can be traded in a fair, orderly and efficient manner and, in the case of transferable securities, are freely negotiable. </w:t>
            </w:r>
            <w:r>
              <w:rPr>
                <w:rFonts w:ascii="Times New Roman" w:hAnsi="Times New Roman"/>
                <w:sz w:val="24"/>
                <w:szCs w:val="24"/>
              </w:rPr>
              <w:t xml:space="preserve"> A r</w:t>
            </w:r>
            <w:r w:rsidRPr="004B6C18">
              <w:rPr>
                <w:rFonts w:ascii="Times New Roman" w:hAnsi="Times New Roman"/>
                <w:sz w:val="24"/>
                <w:szCs w:val="24"/>
              </w:rPr>
              <w:t xml:space="preserve">egulated market must maintain effective arrangements to verify that issuers of transferable securities that are admitted to trading on regulated market comply at all the times with their obligations in respect of disclosure obligation. </w:t>
            </w:r>
            <w:r>
              <w:rPr>
                <w:rFonts w:ascii="Times New Roman" w:hAnsi="Times New Roman"/>
                <w:sz w:val="24"/>
                <w:szCs w:val="24"/>
              </w:rPr>
              <w:t xml:space="preserve"> </w:t>
            </w:r>
            <w:r w:rsidRPr="004B6C18">
              <w:rPr>
                <w:rFonts w:ascii="Times New Roman" w:hAnsi="Times New Roman"/>
                <w:sz w:val="24"/>
                <w:szCs w:val="24"/>
              </w:rPr>
              <w:t xml:space="preserve">There must be effective arrangements in place to facilitate members and participants of regulated market in obtaining information which has been made public in accordance with the national law. </w:t>
            </w:r>
            <w:r>
              <w:rPr>
                <w:rFonts w:ascii="Times New Roman" w:hAnsi="Times New Roman"/>
                <w:sz w:val="24"/>
                <w:szCs w:val="24"/>
              </w:rPr>
              <w:t xml:space="preserve"> A r</w:t>
            </w:r>
            <w:r w:rsidRPr="004B6C18">
              <w:rPr>
                <w:rFonts w:ascii="Times New Roman" w:hAnsi="Times New Roman"/>
                <w:sz w:val="24"/>
                <w:szCs w:val="24"/>
              </w:rPr>
              <w:t>egulated market must publish public without delays the information on suspension and removal of instruments from trading</w:t>
            </w:r>
            <w:r>
              <w:rPr>
                <w:rFonts w:ascii="Times New Roman" w:hAnsi="Times New Roman"/>
                <w:sz w:val="24"/>
                <w:szCs w:val="24"/>
              </w:rPr>
              <w:t>.</w:t>
            </w:r>
          </w:p>
        </w:tc>
      </w:tr>
      <w:tr w:rsidR="003C292A" w:rsidRPr="00036CA4" w:rsidTr="00E413F6">
        <w:tc>
          <w:tcPr>
            <w:tcW w:w="2511" w:type="dxa"/>
          </w:tcPr>
          <w:p w:rsidR="003C292A" w:rsidRPr="00036CA4" w:rsidRDefault="003C292A" w:rsidP="005B04E7">
            <w:pPr>
              <w:spacing w:after="0"/>
              <w:rPr>
                <w:rFonts w:ascii="Times New Roman" w:hAnsi="Times New Roman"/>
                <w:b/>
                <w:sz w:val="24"/>
                <w:szCs w:val="24"/>
              </w:rPr>
            </w:pPr>
            <w:r w:rsidRPr="00C564A5">
              <w:rPr>
                <w:rFonts w:ascii="Times New Roman" w:hAnsi="Times New Roman"/>
                <w:b/>
                <w:sz w:val="24"/>
                <w:szCs w:val="24"/>
              </w:rPr>
              <w:t>Access and membership to the regulated market.</w:t>
            </w:r>
          </w:p>
        </w:tc>
        <w:tc>
          <w:tcPr>
            <w:tcW w:w="7065" w:type="dxa"/>
          </w:tcPr>
          <w:p w:rsidR="003C292A" w:rsidRPr="00881478" w:rsidRDefault="003C292A" w:rsidP="005B04E7">
            <w:pPr>
              <w:spacing w:after="0"/>
              <w:jc w:val="both"/>
              <w:rPr>
                <w:rFonts w:ascii="Times New Roman" w:hAnsi="Times New Roman"/>
                <w:sz w:val="24"/>
                <w:szCs w:val="24"/>
              </w:rPr>
            </w:pPr>
            <w:r w:rsidRPr="00881478">
              <w:rPr>
                <w:rFonts w:ascii="Times New Roman" w:hAnsi="Times New Roman"/>
                <w:sz w:val="24"/>
                <w:szCs w:val="24"/>
              </w:rPr>
              <w:t xml:space="preserve">A regulated market must establish and maintain transparent and non-discriminatory rules, based on objective criteria, governing the access to or membership of the regulated market. </w:t>
            </w:r>
            <w:r>
              <w:rPr>
                <w:rFonts w:ascii="Times New Roman" w:hAnsi="Times New Roman"/>
                <w:sz w:val="24"/>
                <w:szCs w:val="24"/>
              </w:rPr>
              <w:t xml:space="preserve"> </w:t>
            </w:r>
            <w:r w:rsidRPr="00881478">
              <w:rPr>
                <w:rFonts w:ascii="Times New Roman" w:hAnsi="Times New Roman"/>
                <w:sz w:val="24"/>
                <w:szCs w:val="24"/>
              </w:rPr>
              <w:t xml:space="preserve">A regulated market must make sure that the investment firms comply with </w:t>
            </w:r>
            <w:r>
              <w:rPr>
                <w:rFonts w:ascii="Times New Roman" w:hAnsi="Times New Roman"/>
                <w:sz w:val="24"/>
                <w:szCs w:val="24"/>
              </w:rPr>
              <w:t>these</w:t>
            </w:r>
            <w:r w:rsidRPr="00881478">
              <w:rPr>
                <w:rFonts w:ascii="Times New Roman" w:hAnsi="Times New Roman"/>
                <w:sz w:val="24"/>
                <w:szCs w:val="24"/>
              </w:rPr>
              <w:t xml:space="preserve"> requirements when being admitted to regulated market</w:t>
            </w:r>
            <w:r>
              <w:rPr>
                <w:rFonts w:ascii="Times New Roman" w:hAnsi="Times New Roman"/>
                <w:sz w:val="24"/>
                <w:szCs w:val="24"/>
              </w:rPr>
              <w:t>:</w:t>
            </w:r>
            <w:r w:rsidRPr="00881478">
              <w:rPr>
                <w:rFonts w:ascii="Times New Roman" w:hAnsi="Times New Roman"/>
                <w:sz w:val="24"/>
                <w:szCs w:val="24"/>
              </w:rPr>
              <w:t xml:space="preserve"> </w:t>
            </w:r>
            <w:r>
              <w:rPr>
                <w:rFonts w:ascii="Times New Roman" w:hAnsi="Times New Roman"/>
                <w:sz w:val="24"/>
                <w:szCs w:val="24"/>
              </w:rPr>
              <w:t>(</w:t>
            </w:r>
            <w:r w:rsidRPr="00881478">
              <w:rPr>
                <w:rFonts w:ascii="Times New Roman" w:hAnsi="Times New Roman"/>
                <w:sz w:val="24"/>
                <w:szCs w:val="24"/>
              </w:rPr>
              <w:t xml:space="preserve">1) persons are fit and proper; </w:t>
            </w:r>
            <w:r>
              <w:rPr>
                <w:rFonts w:ascii="Times New Roman" w:hAnsi="Times New Roman"/>
                <w:sz w:val="24"/>
                <w:szCs w:val="24"/>
              </w:rPr>
              <w:t>(</w:t>
            </w:r>
            <w:r w:rsidRPr="00881478">
              <w:rPr>
                <w:rFonts w:ascii="Times New Roman" w:hAnsi="Times New Roman"/>
                <w:sz w:val="24"/>
                <w:szCs w:val="24"/>
              </w:rPr>
              <w:t xml:space="preserve">2) they have sufficient level of trading ability; </w:t>
            </w:r>
            <w:r>
              <w:rPr>
                <w:rFonts w:ascii="Times New Roman" w:hAnsi="Times New Roman"/>
                <w:sz w:val="24"/>
                <w:szCs w:val="24"/>
              </w:rPr>
              <w:t>(</w:t>
            </w:r>
            <w:r w:rsidRPr="00881478">
              <w:rPr>
                <w:rFonts w:ascii="Times New Roman" w:hAnsi="Times New Roman"/>
                <w:sz w:val="24"/>
                <w:szCs w:val="24"/>
              </w:rPr>
              <w:t xml:space="preserve">3) </w:t>
            </w:r>
            <w:r>
              <w:rPr>
                <w:rFonts w:ascii="Times New Roman" w:hAnsi="Times New Roman"/>
                <w:sz w:val="24"/>
                <w:szCs w:val="24"/>
              </w:rPr>
              <w:t>firms</w:t>
            </w:r>
            <w:r w:rsidRPr="00881478">
              <w:rPr>
                <w:rFonts w:ascii="Times New Roman" w:hAnsi="Times New Roman"/>
                <w:sz w:val="24"/>
                <w:szCs w:val="24"/>
              </w:rPr>
              <w:t xml:space="preserve"> have </w:t>
            </w:r>
            <w:r w:rsidRPr="00881478">
              <w:rPr>
                <w:rFonts w:ascii="Times New Roman" w:hAnsi="Times New Roman"/>
                <w:sz w:val="24"/>
                <w:szCs w:val="24"/>
              </w:rPr>
              <w:lastRenderedPageBreak/>
              <w:t xml:space="preserve">in place adequate organizational requirements; </w:t>
            </w:r>
            <w:r>
              <w:rPr>
                <w:rFonts w:ascii="Times New Roman" w:hAnsi="Times New Roman"/>
                <w:sz w:val="24"/>
                <w:szCs w:val="24"/>
              </w:rPr>
              <w:t>(</w:t>
            </w:r>
            <w:r w:rsidRPr="00881478">
              <w:rPr>
                <w:rFonts w:ascii="Times New Roman" w:hAnsi="Times New Roman"/>
                <w:sz w:val="24"/>
                <w:szCs w:val="24"/>
              </w:rPr>
              <w:t xml:space="preserve">4) </w:t>
            </w:r>
            <w:r>
              <w:rPr>
                <w:rFonts w:ascii="Times New Roman" w:hAnsi="Times New Roman"/>
                <w:sz w:val="24"/>
                <w:szCs w:val="24"/>
              </w:rPr>
              <w:t>firms</w:t>
            </w:r>
            <w:r w:rsidRPr="00881478">
              <w:rPr>
                <w:rFonts w:ascii="Times New Roman" w:hAnsi="Times New Roman"/>
                <w:sz w:val="24"/>
                <w:szCs w:val="24"/>
              </w:rPr>
              <w:t xml:space="preserve"> have sufficient resources for the role they perform.</w:t>
            </w:r>
          </w:p>
          <w:p w:rsidR="003C292A" w:rsidRPr="00B7196B" w:rsidRDefault="003C292A" w:rsidP="005B04E7">
            <w:pPr>
              <w:spacing w:after="0"/>
              <w:jc w:val="both"/>
              <w:rPr>
                <w:rFonts w:ascii="Times New Roman" w:hAnsi="Times New Roman"/>
                <w:sz w:val="24"/>
                <w:szCs w:val="24"/>
              </w:rPr>
            </w:pPr>
            <w:r w:rsidRPr="00881478">
              <w:rPr>
                <w:rFonts w:ascii="Times New Roman" w:hAnsi="Times New Roman"/>
                <w:sz w:val="24"/>
                <w:szCs w:val="24"/>
              </w:rPr>
              <w:t xml:space="preserve">Access rules should </w:t>
            </w:r>
            <w:r>
              <w:rPr>
                <w:rFonts w:ascii="Times New Roman" w:hAnsi="Times New Roman"/>
                <w:sz w:val="24"/>
                <w:szCs w:val="24"/>
              </w:rPr>
              <w:t xml:space="preserve">allow </w:t>
            </w:r>
            <w:r w:rsidRPr="00881478">
              <w:rPr>
                <w:rFonts w:ascii="Times New Roman" w:hAnsi="Times New Roman"/>
                <w:sz w:val="24"/>
                <w:szCs w:val="24"/>
              </w:rPr>
              <w:t>for direct and remote participation of investment firms and credit institution</w:t>
            </w:r>
            <w:r>
              <w:rPr>
                <w:rFonts w:ascii="Times New Roman" w:hAnsi="Times New Roman"/>
                <w:sz w:val="24"/>
                <w:szCs w:val="24"/>
              </w:rPr>
              <w:t>s from member countries</w:t>
            </w:r>
            <w:r w:rsidRPr="00881478">
              <w:rPr>
                <w:rFonts w:ascii="Times New Roman" w:hAnsi="Times New Roman"/>
                <w:sz w:val="24"/>
                <w:szCs w:val="24"/>
              </w:rPr>
              <w:t xml:space="preserve">. </w:t>
            </w:r>
            <w:r>
              <w:rPr>
                <w:rFonts w:ascii="Times New Roman" w:hAnsi="Times New Roman"/>
                <w:sz w:val="24"/>
                <w:szCs w:val="24"/>
              </w:rPr>
              <w:t xml:space="preserve"> </w:t>
            </w:r>
            <w:r w:rsidRPr="00881478">
              <w:rPr>
                <w:rFonts w:ascii="Times New Roman" w:hAnsi="Times New Roman"/>
                <w:sz w:val="24"/>
                <w:szCs w:val="24"/>
              </w:rPr>
              <w:t>There should be effective arrangements and procedures in place to monitor compliance of participants with rules of regulated market</w:t>
            </w:r>
            <w:r>
              <w:rPr>
                <w:rFonts w:ascii="Times New Roman" w:hAnsi="Times New Roman"/>
                <w:sz w:val="24"/>
                <w:szCs w:val="24"/>
              </w:rPr>
              <w:t>s</w:t>
            </w:r>
            <w:r w:rsidRPr="00881478">
              <w:rPr>
                <w:rFonts w:ascii="Times New Roman" w:hAnsi="Times New Roman"/>
                <w:sz w:val="24"/>
                <w:szCs w:val="24"/>
              </w:rPr>
              <w:t xml:space="preserve"> and to report non-compliance or disorderly trading to </w:t>
            </w:r>
            <w:r>
              <w:rPr>
                <w:rFonts w:ascii="Times New Roman" w:hAnsi="Times New Roman"/>
                <w:sz w:val="24"/>
                <w:szCs w:val="24"/>
              </w:rPr>
              <w:t xml:space="preserve">the </w:t>
            </w:r>
            <w:r w:rsidRPr="00881478">
              <w:rPr>
                <w:rFonts w:ascii="Times New Roman" w:hAnsi="Times New Roman"/>
                <w:sz w:val="24"/>
                <w:szCs w:val="24"/>
              </w:rPr>
              <w:t>competent authorit</w:t>
            </w:r>
            <w:r>
              <w:rPr>
                <w:rFonts w:ascii="Times New Roman" w:hAnsi="Times New Roman"/>
                <w:sz w:val="24"/>
                <w:szCs w:val="24"/>
              </w:rPr>
              <w:t>y</w:t>
            </w:r>
            <w:r w:rsidRPr="00881478">
              <w:rPr>
                <w:rFonts w:ascii="Times New Roman" w:hAnsi="Times New Roman"/>
                <w:sz w:val="24"/>
                <w:szCs w:val="24"/>
              </w:rPr>
              <w:t>.</w:t>
            </w:r>
          </w:p>
        </w:tc>
      </w:tr>
    </w:tbl>
    <w:p w:rsidR="00FE154B" w:rsidRDefault="00FE154B" w:rsidP="005B04E7">
      <w:pPr>
        <w:jc w:val="center"/>
        <w:rPr>
          <w:rFonts w:ascii="Times New Roman" w:hAnsi="Times New Roman"/>
          <w:b/>
          <w:bCs/>
          <w:sz w:val="24"/>
          <w:szCs w:val="24"/>
        </w:rPr>
      </w:pPr>
    </w:p>
    <w:p w:rsidR="00FE154B" w:rsidRDefault="00FE154B" w:rsidP="005B04E7">
      <w:pPr>
        <w:jc w:val="center"/>
        <w:rPr>
          <w:rFonts w:ascii="Times New Roman" w:hAnsi="Times New Roman"/>
          <w:b/>
          <w:bCs/>
          <w:sz w:val="24"/>
          <w:szCs w:val="24"/>
        </w:rPr>
      </w:pPr>
    </w:p>
    <w:p w:rsidR="00FE154B" w:rsidRDefault="00FE154B" w:rsidP="005B04E7">
      <w:pPr>
        <w:jc w:val="center"/>
        <w:rPr>
          <w:rFonts w:ascii="Times New Roman" w:hAnsi="Times New Roman"/>
          <w:b/>
          <w:bCs/>
          <w:sz w:val="24"/>
          <w:szCs w:val="24"/>
        </w:rPr>
      </w:pPr>
    </w:p>
    <w:p w:rsidR="00FE154B" w:rsidRDefault="00FE154B" w:rsidP="005B04E7">
      <w:pPr>
        <w:jc w:val="center"/>
        <w:rPr>
          <w:rFonts w:ascii="Times New Roman" w:hAnsi="Times New Roman"/>
          <w:b/>
          <w:bCs/>
          <w:sz w:val="24"/>
          <w:szCs w:val="24"/>
        </w:rPr>
      </w:pPr>
    </w:p>
    <w:p w:rsidR="00FE154B" w:rsidRDefault="00FE154B" w:rsidP="005B04E7">
      <w:pPr>
        <w:jc w:val="center"/>
        <w:rPr>
          <w:rFonts w:ascii="Times New Roman" w:hAnsi="Times New Roman"/>
          <w:b/>
          <w:bCs/>
          <w:sz w:val="24"/>
          <w:szCs w:val="24"/>
        </w:rPr>
      </w:pPr>
    </w:p>
    <w:p w:rsidR="00FE154B" w:rsidRDefault="00FE154B" w:rsidP="005B04E7">
      <w:pPr>
        <w:jc w:val="center"/>
        <w:rPr>
          <w:rFonts w:ascii="Times New Roman" w:hAnsi="Times New Roman"/>
          <w:b/>
          <w:bCs/>
          <w:sz w:val="24"/>
          <w:szCs w:val="24"/>
        </w:rPr>
      </w:pPr>
    </w:p>
    <w:p w:rsidR="005B04E7" w:rsidRDefault="005B04E7" w:rsidP="005B04E7">
      <w:pPr>
        <w:jc w:val="center"/>
        <w:rPr>
          <w:rFonts w:ascii="Times New Roman" w:hAnsi="Times New Roman"/>
          <w:b/>
          <w:bCs/>
          <w:sz w:val="24"/>
          <w:szCs w:val="24"/>
        </w:rPr>
      </w:pPr>
    </w:p>
    <w:p w:rsidR="005B04E7" w:rsidRDefault="005B04E7" w:rsidP="005B04E7">
      <w:pPr>
        <w:jc w:val="center"/>
        <w:rPr>
          <w:rFonts w:ascii="Times New Roman" w:hAnsi="Times New Roman"/>
          <w:b/>
          <w:bCs/>
          <w:sz w:val="24"/>
          <w:szCs w:val="24"/>
        </w:rPr>
      </w:pPr>
    </w:p>
    <w:p w:rsidR="005B04E7" w:rsidRDefault="005B04E7" w:rsidP="005B04E7">
      <w:pPr>
        <w:jc w:val="center"/>
        <w:rPr>
          <w:rFonts w:ascii="Times New Roman" w:hAnsi="Times New Roman"/>
          <w:b/>
          <w:bCs/>
          <w:sz w:val="24"/>
          <w:szCs w:val="24"/>
        </w:rPr>
      </w:pPr>
    </w:p>
    <w:p w:rsidR="005B04E7" w:rsidRDefault="005B04E7" w:rsidP="005B04E7">
      <w:pPr>
        <w:jc w:val="center"/>
        <w:rPr>
          <w:rFonts w:ascii="Times New Roman" w:hAnsi="Times New Roman"/>
          <w:b/>
          <w:bCs/>
          <w:sz w:val="24"/>
          <w:szCs w:val="24"/>
        </w:rPr>
      </w:pPr>
    </w:p>
    <w:p w:rsidR="005B04E7" w:rsidRDefault="005B04E7" w:rsidP="005B04E7">
      <w:pPr>
        <w:jc w:val="center"/>
        <w:rPr>
          <w:rFonts w:ascii="Times New Roman" w:hAnsi="Times New Roman"/>
          <w:b/>
          <w:bCs/>
          <w:sz w:val="24"/>
          <w:szCs w:val="24"/>
        </w:rPr>
      </w:pPr>
    </w:p>
    <w:p w:rsidR="005B04E7" w:rsidRDefault="005B04E7" w:rsidP="005B04E7">
      <w:pPr>
        <w:jc w:val="center"/>
        <w:rPr>
          <w:rFonts w:ascii="Times New Roman" w:hAnsi="Times New Roman"/>
          <w:b/>
          <w:bCs/>
          <w:sz w:val="24"/>
          <w:szCs w:val="24"/>
        </w:rPr>
      </w:pPr>
    </w:p>
    <w:p w:rsidR="005B04E7" w:rsidRDefault="005B04E7" w:rsidP="005B04E7">
      <w:pPr>
        <w:jc w:val="center"/>
        <w:rPr>
          <w:rFonts w:ascii="Times New Roman" w:hAnsi="Times New Roman"/>
          <w:b/>
          <w:bCs/>
          <w:sz w:val="24"/>
          <w:szCs w:val="24"/>
        </w:rPr>
      </w:pPr>
    </w:p>
    <w:p w:rsidR="005B04E7" w:rsidRDefault="005B04E7" w:rsidP="005B04E7">
      <w:pPr>
        <w:jc w:val="center"/>
        <w:rPr>
          <w:rFonts w:ascii="Times New Roman" w:hAnsi="Times New Roman"/>
          <w:b/>
          <w:bCs/>
          <w:sz w:val="24"/>
          <w:szCs w:val="24"/>
        </w:rPr>
      </w:pPr>
    </w:p>
    <w:p w:rsidR="005B04E7" w:rsidRDefault="005B04E7" w:rsidP="005B04E7">
      <w:pPr>
        <w:jc w:val="center"/>
        <w:rPr>
          <w:rFonts w:ascii="Times New Roman" w:hAnsi="Times New Roman"/>
          <w:b/>
          <w:bCs/>
          <w:sz w:val="24"/>
          <w:szCs w:val="24"/>
        </w:rPr>
      </w:pPr>
    </w:p>
    <w:p w:rsidR="005B04E7" w:rsidRDefault="005B04E7" w:rsidP="005B04E7">
      <w:pPr>
        <w:jc w:val="center"/>
        <w:rPr>
          <w:rFonts w:ascii="Times New Roman" w:hAnsi="Times New Roman"/>
          <w:b/>
          <w:bCs/>
          <w:sz w:val="24"/>
          <w:szCs w:val="24"/>
        </w:rPr>
      </w:pPr>
    </w:p>
    <w:p w:rsidR="005B04E7" w:rsidRDefault="005B04E7" w:rsidP="005B04E7">
      <w:pPr>
        <w:jc w:val="center"/>
        <w:rPr>
          <w:rFonts w:ascii="Times New Roman" w:hAnsi="Times New Roman"/>
          <w:b/>
          <w:bCs/>
          <w:sz w:val="24"/>
          <w:szCs w:val="24"/>
        </w:rPr>
      </w:pPr>
    </w:p>
    <w:p w:rsidR="00FE154B" w:rsidRDefault="00FE154B" w:rsidP="005B04E7">
      <w:pPr>
        <w:jc w:val="center"/>
        <w:rPr>
          <w:rFonts w:ascii="Times New Roman" w:hAnsi="Times New Roman"/>
          <w:b/>
          <w:bCs/>
          <w:sz w:val="24"/>
          <w:szCs w:val="24"/>
        </w:rPr>
      </w:pPr>
    </w:p>
    <w:p w:rsidR="00FE154B" w:rsidRDefault="00FE154B" w:rsidP="00DC1E6C">
      <w:pPr>
        <w:jc w:val="center"/>
        <w:rPr>
          <w:rFonts w:ascii="Times New Roman" w:hAnsi="Times New Roman"/>
          <w:b/>
          <w:bCs/>
          <w:sz w:val="24"/>
          <w:szCs w:val="24"/>
        </w:rPr>
      </w:pPr>
    </w:p>
    <w:p w:rsidR="00FE154B" w:rsidRDefault="00FE154B" w:rsidP="00DC1E6C">
      <w:pPr>
        <w:jc w:val="center"/>
        <w:rPr>
          <w:rFonts w:ascii="Times New Roman" w:hAnsi="Times New Roman"/>
          <w:b/>
          <w:bCs/>
          <w:sz w:val="24"/>
          <w:szCs w:val="24"/>
        </w:rPr>
      </w:pPr>
    </w:p>
    <w:p w:rsidR="00DC1E6C" w:rsidRPr="00F10E93" w:rsidRDefault="00FE154B" w:rsidP="003030D6">
      <w:pPr>
        <w:pStyle w:val="mainnum"/>
      </w:pPr>
      <w:bookmarkStart w:id="23" w:name="_Toc297027835"/>
      <w:bookmarkStart w:id="24" w:name="_Toc297030939"/>
      <w:bookmarkStart w:id="25" w:name="_Toc297027554"/>
      <w:bookmarkStart w:id="26" w:name="_Toc297027582"/>
      <w:bookmarkStart w:id="27" w:name="_Toc297027836"/>
      <w:bookmarkStart w:id="28" w:name="_Toc297030940"/>
      <w:bookmarkStart w:id="29" w:name="_Toc297027555"/>
      <w:bookmarkStart w:id="30" w:name="_Toc297027583"/>
      <w:bookmarkStart w:id="31" w:name="_Toc297027837"/>
      <w:bookmarkStart w:id="32" w:name="_Toc297030941"/>
      <w:bookmarkStart w:id="33" w:name="_Toc297030942"/>
      <w:bookmarkStart w:id="34" w:name="_Toc297111591"/>
      <w:bookmarkEnd w:id="23"/>
      <w:bookmarkEnd w:id="24"/>
      <w:bookmarkEnd w:id="25"/>
      <w:bookmarkEnd w:id="26"/>
      <w:bookmarkEnd w:id="27"/>
      <w:bookmarkEnd w:id="28"/>
      <w:bookmarkEnd w:id="29"/>
      <w:bookmarkEnd w:id="30"/>
      <w:bookmarkEnd w:id="31"/>
      <w:bookmarkEnd w:id="32"/>
      <w:r w:rsidRPr="003030D6">
        <w:lastRenderedPageBreak/>
        <w:t>A</w:t>
      </w:r>
      <w:r w:rsidR="00F10E93" w:rsidRPr="003030D6">
        <w:t>nnex II:</w:t>
      </w:r>
      <w:bookmarkEnd w:id="33"/>
      <w:r w:rsidR="00F10E93" w:rsidRPr="003030D6">
        <w:t xml:space="preserve"> </w:t>
      </w:r>
      <w:r w:rsidR="00DC1E6C" w:rsidRPr="003030D6">
        <w:t>L</w:t>
      </w:r>
      <w:r w:rsidR="00F10E93" w:rsidRPr="003030D6">
        <w:t>ist of Institution Met During the Team Visit</w:t>
      </w:r>
      <w:bookmarkEnd w:id="34"/>
      <w:r w:rsidR="00DC1E6C" w:rsidRPr="00F10E93">
        <w:t xml:space="preserve"> </w:t>
      </w:r>
    </w:p>
    <w:p w:rsidR="00DC1E6C" w:rsidRPr="00751572" w:rsidRDefault="00DC1E6C" w:rsidP="00DC1E6C">
      <w:pPr>
        <w:jc w:val="center"/>
        <w:rPr>
          <w:rFonts w:ascii="Times New Roman" w:hAnsi="Times New Roman"/>
          <w:b/>
          <w:bCs/>
          <w:sz w:val="24"/>
          <w:szCs w:val="24"/>
        </w:rPr>
      </w:pPr>
    </w:p>
    <w:tbl>
      <w:tblPr>
        <w:tblW w:w="0" w:type="auto"/>
        <w:tblLook w:val="04A0"/>
      </w:tblPr>
      <w:tblGrid>
        <w:gridCol w:w="4788"/>
        <w:gridCol w:w="4788"/>
      </w:tblGrid>
      <w:tr w:rsidR="00DC1E6C" w:rsidRPr="00751572" w:rsidTr="000A3B15">
        <w:tc>
          <w:tcPr>
            <w:tcW w:w="4788" w:type="dxa"/>
          </w:tcPr>
          <w:p w:rsidR="00DC1E6C" w:rsidRPr="00751572" w:rsidRDefault="00DC1E6C" w:rsidP="00DC1E6C">
            <w:pPr>
              <w:pStyle w:val="ListParagraph"/>
              <w:numPr>
                <w:ilvl w:val="0"/>
                <w:numId w:val="2"/>
              </w:numPr>
              <w:spacing w:after="0" w:line="240" w:lineRule="auto"/>
              <w:rPr>
                <w:rFonts w:ascii="Times New Roman" w:hAnsi="Times New Roman"/>
                <w:sz w:val="24"/>
                <w:szCs w:val="24"/>
              </w:rPr>
            </w:pPr>
            <w:r w:rsidRPr="00751572">
              <w:rPr>
                <w:rFonts w:ascii="Times New Roman" w:hAnsi="Times New Roman"/>
                <w:color w:val="000000"/>
                <w:sz w:val="24"/>
                <w:szCs w:val="24"/>
              </w:rPr>
              <w:t xml:space="preserve">Financial Supervision Commission </w:t>
            </w:r>
          </w:p>
        </w:tc>
        <w:tc>
          <w:tcPr>
            <w:tcW w:w="4788" w:type="dxa"/>
          </w:tcPr>
          <w:p w:rsidR="00DC1E6C" w:rsidRPr="00751572" w:rsidRDefault="00DC1E6C" w:rsidP="000A3B15">
            <w:pPr>
              <w:spacing w:after="0" w:line="240" w:lineRule="auto"/>
              <w:rPr>
                <w:rFonts w:ascii="Times New Roman" w:hAnsi="Times New Roman"/>
                <w:sz w:val="24"/>
                <w:szCs w:val="24"/>
              </w:rPr>
            </w:pPr>
            <w:r w:rsidRPr="00751572">
              <w:rPr>
                <w:rFonts w:ascii="Times New Roman" w:hAnsi="Times New Roman"/>
                <w:color w:val="000000"/>
                <w:sz w:val="24"/>
                <w:szCs w:val="24"/>
              </w:rPr>
              <w:t>Regulator</w:t>
            </w:r>
          </w:p>
        </w:tc>
      </w:tr>
      <w:tr w:rsidR="00DC1E6C" w:rsidRPr="00751572" w:rsidTr="000A3B15">
        <w:tc>
          <w:tcPr>
            <w:tcW w:w="4788" w:type="dxa"/>
          </w:tcPr>
          <w:p w:rsidR="00DC1E6C" w:rsidRPr="00751572" w:rsidRDefault="00DC1E6C" w:rsidP="00DC1E6C">
            <w:pPr>
              <w:pStyle w:val="ListParagraph"/>
              <w:numPr>
                <w:ilvl w:val="0"/>
                <w:numId w:val="2"/>
              </w:numPr>
              <w:spacing w:after="0" w:line="240" w:lineRule="auto"/>
              <w:rPr>
                <w:rFonts w:ascii="Times New Roman" w:hAnsi="Times New Roman"/>
                <w:sz w:val="24"/>
                <w:szCs w:val="24"/>
              </w:rPr>
            </w:pPr>
            <w:r w:rsidRPr="00751572">
              <w:rPr>
                <w:rFonts w:ascii="Times New Roman" w:hAnsi="Times New Roman"/>
                <w:color w:val="000000"/>
                <w:sz w:val="24"/>
                <w:szCs w:val="24"/>
              </w:rPr>
              <w:t>Fair Play Company</w:t>
            </w:r>
          </w:p>
        </w:tc>
        <w:tc>
          <w:tcPr>
            <w:tcW w:w="4788" w:type="dxa"/>
          </w:tcPr>
          <w:p w:rsidR="00DC1E6C" w:rsidRPr="00751572" w:rsidRDefault="00DC1E6C" w:rsidP="000A3B15">
            <w:pPr>
              <w:spacing w:after="0" w:line="240" w:lineRule="auto"/>
              <w:rPr>
                <w:rFonts w:ascii="Times New Roman" w:hAnsi="Times New Roman"/>
                <w:sz w:val="24"/>
                <w:szCs w:val="24"/>
              </w:rPr>
            </w:pPr>
            <w:r w:rsidRPr="00751572">
              <w:rPr>
                <w:rFonts w:ascii="Times New Roman" w:hAnsi="Times New Roman"/>
                <w:sz w:val="24"/>
                <w:szCs w:val="24"/>
              </w:rPr>
              <w:t>Real Estate Investment Trust</w:t>
            </w:r>
          </w:p>
        </w:tc>
      </w:tr>
      <w:tr w:rsidR="00DC1E6C" w:rsidRPr="00751572" w:rsidTr="000A3B15">
        <w:tc>
          <w:tcPr>
            <w:tcW w:w="4788" w:type="dxa"/>
          </w:tcPr>
          <w:p w:rsidR="00DC1E6C" w:rsidRPr="00751572" w:rsidRDefault="00DC1E6C" w:rsidP="00DC1E6C">
            <w:pPr>
              <w:pStyle w:val="ListParagraph"/>
              <w:numPr>
                <w:ilvl w:val="0"/>
                <w:numId w:val="2"/>
              </w:numPr>
              <w:spacing w:after="0" w:line="240" w:lineRule="auto"/>
              <w:rPr>
                <w:rFonts w:ascii="Times New Roman" w:hAnsi="Times New Roman"/>
                <w:sz w:val="24"/>
                <w:szCs w:val="24"/>
              </w:rPr>
            </w:pPr>
            <w:r w:rsidRPr="00751572">
              <w:rPr>
                <w:rFonts w:ascii="Times New Roman" w:hAnsi="Times New Roman"/>
                <w:sz w:val="24"/>
                <w:szCs w:val="24"/>
              </w:rPr>
              <w:t>Bulgarian Stock Exchange</w:t>
            </w:r>
          </w:p>
        </w:tc>
        <w:tc>
          <w:tcPr>
            <w:tcW w:w="4788" w:type="dxa"/>
          </w:tcPr>
          <w:p w:rsidR="00DC1E6C" w:rsidRPr="00751572" w:rsidRDefault="00DC1E6C" w:rsidP="000A3B15">
            <w:pPr>
              <w:spacing w:after="0" w:line="240" w:lineRule="auto"/>
              <w:rPr>
                <w:rFonts w:ascii="Times New Roman" w:hAnsi="Times New Roman"/>
                <w:sz w:val="24"/>
                <w:szCs w:val="24"/>
              </w:rPr>
            </w:pPr>
            <w:r w:rsidRPr="00751572">
              <w:rPr>
                <w:rFonts w:ascii="Times New Roman" w:hAnsi="Times New Roman"/>
                <w:sz w:val="24"/>
                <w:szCs w:val="24"/>
              </w:rPr>
              <w:t>Regulated Market</w:t>
            </w:r>
          </w:p>
        </w:tc>
      </w:tr>
      <w:tr w:rsidR="00DC1E6C" w:rsidRPr="00751572" w:rsidTr="000A3B15">
        <w:tc>
          <w:tcPr>
            <w:tcW w:w="4788" w:type="dxa"/>
          </w:tcPr>
          <w:p w:rsidR="00DC1E6C" w:rsidRPr="00751572" w:rsidRDefault="00DC1E6C" w:rsidP="00DC1E6C">
            <w:pPr>
              <w:pStyle w:val="ListParagraph"/>
              <w:numPr>
                <w:ilvl w:val="0"/>
                <w:numId w:val="2"/>
              </w:numPr>
              <w:spacing w:after="0" w:line="240" w:lineRule="auto"/>
              <w:rPr>
                <w:rFonts w:ascii="Times New Roman" w:hAnsi="Times New Roman"/>
                <w:sz w:val="24"/>
                <w:szCs w:val="24"/>
              </w:rPr>
            </w:pPr>
            <w:r w:rsidRPr="00751572">
              <w:rPr>
                <w:rFonts w:ascii="Times New Roman" w:hAnsi="Times New Roman"/>
                <w:color w:val="000000"/>
                <w:sz w:val="24"/>
                <w:szCs w:val="24"/>
              </w:rPr>
              <w:t>Bulgarian National Bank, International Financial Institutions Department and General Banking Supervision</w:t>
            </w:r>
          </w:p>
        </w:tc>
        <w:tc>
          <w:tcPr>
            <w:tcW w:w="4788" w:type="dxa"/>
          </w:tcPr>
          <w:p w:rsidR="00DC1E6C" w:rsidRPr="00751572" w:rsidRDefault="00DC1E6C" w:rsidP="000A3B15">
            <w:pPr>
              <w:spacing w:after="0" w:line="240" w:lineRule="auto"/>
              <w:rPr>
                <w:rFonts w:ascii="Times New Roman" w:hAnsi="Times New Roman"/>
                <w:sz w:val="24"/>
                <w:szCs w:val="24"/>
              </w:rPr>
            </w:pPr>
            <w:r w:rsidRPr="00751572">
              <w:rPr>
                <w:rFonts w:ascii="Times New Roman" w:hAnsi="Times New Roman"/>
                <w:sz w:val="24"/>
                <w:szCs w:val="24"/>
              </w:rPr>
              <w:t>Central Bank</w:t>
            </w:r>
          </w:p>
        </w:tc>
      </w:tr>
      <w:tr w:rsidR="00DC1E6C" w:rsidRPr="00751572" w:rsidTr="000A3B15">
        <w:tc>
          <w:tcPr>
            <w:tcW w:w="4788" w:type="dxa"/>
          </w:tcPr>
          <w:p w:rsidR="00DC1E6C" w:rsidRPr="00751572" w:rsidRDefault="00DC1E6C" w:rsidP="00DC1E6C">
            <w:pPr>
              <w:pStyle w:val="ListParagraph"/>
              <w:numPr>
                <w:ilvl w:val="0"/>
                <w:numId w:val="2"/>
              </w:numPr>
              <w:spacing w:after="0" w:line="240" w:lineRule="auto"/>
              <w:rPr>
                <w:rFonts w:ascii="Times New Roman" w:hAnsi="Times New Roman"/>
                <w:sz w:val="24"/>
                <w:szCs w:val="24"/>
              </w:rPr>
            </w:pPr>
            <w:r w:rsidRPr="00751572">
              <w:rPr>
                <w:rFonts w:ascii="Times New Roman" w:hAnsi="Times New Roman"/>
                <w:sz w:val="24"/>
                <w:szCs w:val="24"/>
              </w:rPr>
              <w:t>Central Depository</w:t>
            </w:r>
          </w:p>
        </w:tc>
        <w:tc>
          <w:tcPr>
            <w:tcW w:w="4788" w:type="dxa"/>
          </w:tcPr>
          <w:p w:rsidR="00DC1E6C" w:rsidRPr="00751572" w:rsidRDefault="00DC1E6C" w:rsidP="000A3B15">
            <w:pPr>
              <w:spacing w:after="0" w:line="240" w:lineRule="auto"/>
              <w:rPr>
                <w:rFonts w:ascii="Times New Roman" w:hAnsi="Times New Roman"/>
                <w:sz w:val="24"/>
                <w:szCs w:val="24"/>
              </w:rPr>
            </w:pPr>
            <w:r w:rsidRPr="00751572">
              <w:rPr>
                <w:rFonts w:ascii="Times New Roman" w:hAnsi="Times New Roman"/>
                <w:sz w:val="24"/>
                <w:szCs w:val="24"/>
              </w:rPr>
              <w:t>Trading Infrastructure</w:t>
            </w:r>
          </w:p>
        </w:tc>
      </w:tr>
      <w:tr w:rsidR="00DC1E6C" w:rsidRPr="00751572" w:rsidTr="000A3B15">
        <w:tc>
          <w:tcPr>
            <w:tcW w:w="4788" w:type="dxa"/>
          </w:tcPr>
          <w:p w:rsidR="00DC1E6C" w:rsidRPr="00751572" w:rsidRDefault="00DC1E6C" w:rsidP="00DC1E6C">
            <w:pPr>
              <w:pStyle w:val="ListParagraph"/>
              <w:numPr>
                <w:ilvl w:val="0"/>
                <w:numId w:val="2"/>
              </w:numPr>
              <w:spacing w:after="0" w:line="240" w:lineRule="auto"/>
              <w:rPr>
                <w:rFonts w:ascii="Times New Roman" w:hAnsi="Times New Roman"/>
                <w:sz w:val="24"/>
                <w:szCs w:val="24"/>
              </w:rPr>
            </w:pPr>
            <w:r w:rsidRPr="00751572">
              <w:rPr>
                <w:rFonts w:ascii="Times New Roman" w:hAnsi="Times New Roman"/>
                <w:color w:val="000000"/>
                <w:sz w:val="24"/>
                <w:szCs w:val="24"/>
              </w:rPr>
              <w:t xml:space="preserve">Bulgarian Association of Supplementary Pension Security Companies </w:t>
            </w:r>
          </w:p>
        </w:tc>
        <w:tc>
          <w:tcPr>
            <w:tcW w:w="4788" w:type="dxa"/>
          </w:tcPr>
          <w:p w:rsidR="00DC1E6C" w:rsidRPr="00751572" w:rsidRDefault="00DC1E6C" w:rsidP="000A3B15">
            <w:pPr>
              <w:spacing w:after="0" w:line="240" w:lineRule="auto"/>
              <w:rPr>
                <w:rFonts w:ascii="Times New Roman" w:hAnsi="Times New Roman"/>
                <w:sz w:val="24"/>
                <w:szCs w:val="24"/>
              </w:rPr>
            </w:pPr>
            <w:r w:rsidRPr="00751572">
              <w:rPr>
                <w:rFonts w:ascii="Times New Roman" w:hAnsi="Times New Roman"/>
                <w:sz w:val="24"/>
                <w:szCs w:val="24"/>
              </w:rPr>
              <w:t>Industry Association</w:t>
            </w:r>
          </w:p>
        </w:tc>
      </w:tr>
      <w:tr w:rsidR="00DC1E6C" w:rsidRPr="00751572" w:rsidTr="000A3B15">
        <w:tc>
          <w:tcPr>
            <w:tcW w:w="4788" w:type="dxa"/>
          </w:tcPr>
          <w:p w:rsidR="00DC1E6C" w:rsidRPr="00751572" w:rsidRDefault="00DC1E6C" w:rsidP="00DC1E6C">
            <w:pPr>
              <w:pStyle w:val="ListParagraph"/>
              <w:numPr>
                <w:ilvl w:val="0"/>
                <w:numId w:val="2"/>
              </w:numPr>
              <w:spacing w:after="0" w:line="240" w:lineRule="auto"/>
              <w:rPr>
                <w:rFonts w:ascii="Times New Roman" w:hAnsi="Times New Roman"/>
                <w:sz w:val="24"/>
                <w:szCs w:val="24"/>
              </w:rPr>
            </w:pPr>
            <w:r w:rsidRPr="00751572">
              <w:rPr>
                <w:rFonts w:ascii="Times New Roman" w:hAnsi="Times New Roman"/>
                <w:sz w:val="24"/>
                <w:szCs w:val="24"/>
              </w:rPr>
              <w:t>B</w:t>
            </w:r>
            <w:r w:rsidR="00F761CC" w:rsidRPr="00751572">
              <w:rPr>
                <w:rFonts w:ascii="Times New Roman" w:hAnsi="Times New Roman"/>
                <w:sz w:val="24"/>
                <w:szCs w:val="24"/>
              </w:rPr>
              <w:t>ulgarian Association of Licensed Investment Intermediaries</w:t>
            </w:r>
          </w:p>
        </w:tc>
        <w:tc>
          <w:tcPr>
            <w:tcW w:w="4788" w:type="dxa"/>
          </w:tcPr>
          <w:p w:rsidR="00DC1E6C" w:rsidRPr="00751572" w:rsidRDefault="00DC1E6C" w:rsidP="000A3B15">
            <w:pPr>
              <w:spacing w:after="0" w:line="240" w:lineRule="auto"/>
              <w:rPr>
                <w:rFonts w:ascii="Times New Roman" w:hAnsi="Times New Roman"/>
                <w:sz w:val="24"/>
                <w:szCs w:val="24"/>
              </w:rPr>
            </w:pPr>
            <w:r w:rsidRPr="00751572">
              <w:rPr>
                <w:rFonts w:ascii="Times New Roman" w:hAnsi="Times New Roman"/>
                <w:sz w:val="24"/>
                <w:szCs w:val="24"/>
              </w:rPr>
              <w:t>Industry Association</w:t>
            </w:r>
          </w:p>
        </w:tc>
      </w:tr>
      <w:tr w:rsidR="00DC1E6C" w:rsidRPr="00751572" w:rsidTr="000A3B15">
        <w:tc>
          <w:tcPr>
            <w:tcW w:w="4788" w:type="dxa"/>
          </w:tcPr>
          <w:p w:rsidR="00DC1E6C" w:rsidRPr="00751572" w:rsidRDefault="00F761CC" w:rsidP="00DC1E6C">
            <w:pPr>
              <w:pStyle w:val="ListParagraph"/>
              <w:numPr>
                <w:ilvl w:val="0"/>
                <w:numId w:val="2"/>
              </w:numPr>
              <w:spacing w:after="0" w:line="240" w:lineRule="auto"/>
              <w:rPr>
                <w:rFonts w:ascii="Times New Roman" w:hAnsi="Times New Roman"/>
                <w:sz w:val="24"/>
                <w:szCs w:val="24"/>
              </w:rPr>
            </w:pPr>
            <w:r w:rsidRPr="00751572">
              <w:rPr>
                <w:rFonts w:ascii="Times New Roman" w:hAnsi="Times New Roman"/>
                <w:sz w:val="24"/>
                <w:szCs w:val="24"/>
              </w:rPr>
              <w:t>Bulgarian Association of Asset Management Companies</w:t>
            </w:r>
          </w:p>
        </w:tc>
        <w:tc>
          <w:tcPr>
            <w:tcW w:w="4788" w:type="dxa"/>
          </w:tcPr>
          <w:p w:rsidR="00DC1E6C" w:rsidRPr="00751572" w:rsidRDefault="00DC1E6C" w:rsidP="000A3B15">
            <w:pPr>
              <w:spacing w:after="0" w:line="240" w:lineRule="auto"/>
              <w:rPr>
                <w:rFonts w:ascii="Times New Roman" w:hAnsi="Times New Roman"/>
                <w:sz w:val="24"/>
                <w:szCs w:val="24"/>
              </w:rPr>
            </w:pPr>
            <w:r w:rsidRPr="00751572">
              <w:rPr>
                <w:rFonts w:ascii="Times New Roman" w:hAnsi="Times New Roman"/>
                <w:sz w:val="24"/>
                <w:szCs w:val="24"/>
              </w:rPr>
              <w:t>Industry Association</w:t>
            </w:r>
          </w:p>
        </w:tc>
      </w:tr>
      <w:tr w:rsidR="00DC1E6C" w:rsidRPr="00751572" w:rsidTr="000A3B15">
        <w:tc>
          <w:tcPr>
            <w:tcW w:w="4788" w:type="dxa"/>
          </w:tcPr>
          <w:p w:rsidR="00DC1E6C" w:rsidRPr="00751572" w:rsidRDefault="00DC1E6C" w:rsidP="00DC1E6C">
            <w:pPr>
              <w:pStyle w:val="ListParagraph"/>
              <w:numPr>
                <w:ilvl w:val="0"/>
                <w:numId w:val="2"/>
              </w:numPr>
              <w:spacing w:after="0" w:line="240" w:lineRule="auto"/>
              <w:rPr>
                <w:rFonts w:ascii="Times New Roman" w:hAnsi="Times New Roman"/>
                <w:sz w:val="24"/>
                <w:szCs w:val="24"/>
              </w:rPr>
            </w:pPr>
            <w:proofErr w:type="spellStart"/>
            <w:r w:rsidRPr="00751572">
              <w:rPr>
                <w:rFonts w:ascii="Times New Roman" w:hAnsi="Times New Roman"/>
                <w:sz w:val="24"/>
                <w:szCs w:val="24"/>
              </w:rPr>
              <w:t>Elana</w:t>
            </w:r>
            <w:proofErr w:type="spellEnd"/>
            <w:r w:rsidRPr="00751572">
              <w:rPr>
                <w:rFonts w:ascii="Times New Roman" w:hAnsi="Times New Roman"/>
                <w:sz w:val="24"/>
                <w:szCs w:val="24"/>
              </w:rPr>
              <w:t xml:space="preserve"> Company</w:t>
            </w:r>
          </w:p>
        </w:tc>
        <w:tc>
          <w:tcPr>
            <w:tcW w:w="4788" w:type="dxa"/>
          </w:tcPr>
          <w:p w:rsidR="00DC1E6C" w:rsidRPr="00751572" w:rsidRDefault="00DC1E6C" w:rsidP="000A3B15">
            <w:pPr>
              <w:spacing w:after="0" w:line="240" w:lineRule="auto"/>
              <w:rPr>
                <w:rFonts w:ascii="Times New Roman" w:hAnsi="Times New Roman"/>
                <w:sz w:val="24"/>
                <w:szCs w:val="24"/>
              </w:rPr>
            </w:pPr>
            <w:r w:rsidRPr="00751572">
              <w:rPr>
                <w:rFonts w:ascii="Times New Roman" w:hAnsi="Times New Roman"/>
                <w:sz w:val="24"/>
                <w:szCs w:val="24"/>
              </w:rPr>
              <w:t>Investment Firm</w:t>
            </w:r>
          </w:p>
        </w:tc>
      </w:tr>
      <w:tr w:rsidR="00DC1E6C" w:rsidRPr="00751572" w:rsidTr="000A3B15">
        <w:tc>
          <w:tcPr>
            <w:tcW w:w="4788" w:type="dxa"/>
          </w:tcPr>
          <w:p w:rsidR="00DC1E6C" w:rsidRPr="00751572" w:rsidRDefault="00DC1E6C" w:rsidP="00DC1E6C">
            <w:pPr>
              <w:pStyle w:val="ListParagraph"/>
              <w:numPr>
                <w:ilvl w:val="0"/>
                <w:numId w:val="2"/>
              </w:numPr>
              <w:spacing w:after="0" w:line="240" w:lineRule="auto"/>
              <w:rPr>
                <w:rFonts w:ascii="Times New Roman" w:hAnsi="Times New Roman"/>
                <w:sz w:val="24"/>
                <w:szCs w:val="24"/>
              </w:rPr>
            </w:pPr>
            <w:r w:rsidRPr="00751572">
              <w:rPr>
                <w:rFonts w:ascii="Times New Roman" w:hAnsi="Times New Roman"/>
                <w:sz w:val="24"/>
                <w:szCs w:val="24"/>
              </w:rPr>
              <w:t>Global Markets</w:t>
            </w:r>
          </w:p>
        </w:tc>
        <w:tc>
          <w:tcPr>
            <w:tcW w:w="4788" w:type="dxa"/>
          </w:tcPr>
          <w:p w:rsidR="00DC1E6C" w:rsidRPr="00751572" w:rsidRDefault="00DC1E6C" w:rsidP="000A3B15">
            <w:pPr>
              <w:spacing w:after="0" w:line="240" w:lineRule="auto"/>
              <w:rPr>
                <w:rFonts w:ascii="Times New Roman" w:hAnsi="Times New Roman"/>
                <w:sz w:val="24"/>
                <w:szCs w:val="24"/>
              </w:rPr>
            </w:pPr>
            <w:r w:rsidRPr="00751572">
              <w:rPr>
                <w:rFonts w:ascii="Times New Roman" w:hAnsi="Times New Roman"/>
                <w:sz w:val="24"/>
                <w:szCs w:val="24"/>
              </w:rPr>
              <w:t>Investment Firm</w:t>
            </w:r>
          </w:p>
        </w:tc>
      </w:tr>
      <w:tr w:rsidR="00DC1E6C" w:rsidRPr="00751572" w:rsidTr="000A3B15">
        <w:tc>
          <w:tcPr>
            <w:tcW w:w="4788" w:type="dxa"/>
          </w:tcPr>
          <w:p w:rsidR="00DC1E6C" w:rsidRPr="00751572" w:rsidRDefault="00DC1E6C" w:rsidP="00DC1E6C">
            <w:pPr>
              <w:pStyle w:val="ListParagraph"/>
              <w:numPr>
                <w:ilvl w:val="0"/>
                <w:numId w:val="2"/>
              </w:numPr>
              <w:spacing w:after="0" w:line="240" w:lineRule="auto"/>
              <w:rPr>
                <w:rFonts w:ascii="Times New Roman" w:hAnsi="Times New Roman"/>
                <w:sz w:val="24"/>
                <w:szCs w:val="24"/>
              </w:rPr>
            </w:pPr>
            <w:r w:rsidRPr="00751572">
              <w:rPr>
                <w:rFonts w:ascii="Times New Roman" w:hAnsi="Times New Roman"/>
                <w:sz w:val="24"/>
                <w:szCs w:val="24"/>
              </w:rPr>
              <w:t>TBI Investments</w:t>
            </w:r>
          </w:p>
        </w:tc>
        <w:tc>
          <w:tcPr>
            <w:tcW w:w="4788" w:type="dxa"/>
          </w:tcPr>
          <w:p w:rsidR="00DC1E6C" w:rsidRPr="00751572" w:rsidRDefault="00DC1E6C" w:rsidP="000A3B15">
            <w:pPr>
              <w:spacing w:after="0" w:line="240" w:lineRule="auto"/>
              <w:rPr>
                <w:rFonts w:ascii="Times New Roman" w:hAnsi="Times New Roman"/>
                <w:sz w:val="24"/>
                <w:szCs w:val="24"/>
              </w:rPr>
            </w:pPr>
            <w:r w:rsidRPr="00751572">
              <w:rPr>
                <w:rFonts w:ascii="Times New Roman" w:hAnsi="Times New Roman"/>
                <w:sz w:val="24"/>
                <w:szCs w:val="24"/>
              </w:rPr>
              <w:t>Investment Firm</w:t>
            </w:r>
          </w:p>
        </w:tc>
      </w:tr>
      <w:tr w:rsidR="00DC1E6C" w:rsidRPr="00751572" w:rsidTr="000A3B15">
        <w:tc>
          <w:tcPr>
            <w:tcW w:w="4788" w:type="dxa"/>
          </w:tcPr>
          <w:p w:rsidR="00DC1E6C" w:rsidRPr="00751572" w:rsidRDefault="00DC1E6C" w:rsidP="00DC1E6C">
            <w:pPr>
              <w:pStyle w:val="ListParagraph"/>
              <w:numPr>
                <w:ilvl w:val="0"/>
                <w:numId w:val="2"/>
              </w:numPr>
              <w:spacing w:after="0" w:line="240" w:lineRule="auto"/>
              <w:rPr>
                <w:rFonts w:ascii="Times New Roman" w:hAnsi="Times New Roman"/>
                <w:sz w:val="24"/>
                <w:szCs w:val="24"/>
              </w:rPr>
            </w:pPr>
            <w:r w:rsidRPr="00751572">
              <w:rPr>
                <w:rFonts w:ascii="Times New Roman" w:hAnsi="Times New Roman"/>
                <w:sz w:val="24"/>
                <w:szCs w:val="24"/>
              </w:rPr>
              <w:t>KAROL Company</w:t>
            </w:r>
          </w:p>
        </w:tc>
        <w:tc>
          <w:tcPr>
            <w:tcW w:w="4788" w:type="dxa"/>
          </w:tcPr>
          <w:p w:rsidR="00DC1E6C" w:rsidRPr="00751572" w:rsidRDefault="00DC1E6C" w:rsidP="000A3B15">
            <w:pPr>
              <w:spacing w:after="0" w:line="240" w:lineRule="auto"/>
              <w:rPr>
                <w:rFonts w:ascii="Times New Roman" w:hAnsi="Times New Roman"/>
                <w:sz w:val="24"/>
                <w:szCs w:val="24"/>
              </w:rPr>
            </w:pPr>
            <w:r w:rsidRPr="00751572">
              <w:rPr>
                <w:rFonts w:ascii="Times New Roman" w:hAnsi="Times New Roman"/>
                <w:sz w:val="24"/>
                <w:szCs w:val="24"/>
              </w:rPr>
              <w:t>Investment Firm</w:t>
            </w:r>
          </w:p>
        </w:tc>
      </w:tr>
      <w:tr w:rsidR="00DC1E6C" w:rsidRPr="00751572" w:rsidTr="000A3B15">
        <w:tc>
          <w:tcPr>
            <w:tcW w:w="4788" w:type="dxa"/>
          </w:tcPr>
          <w:p w:rsidR="00DC1E6C" w:rsidRPr="00751572" w:rsidRDefault="00F761CC" w:rsidP="00DC1E6C">
            <w:pPr>
              <w:pStyle w:val="ListParagraph"/>
              <w:numPr>
                <w:ilvl w:val="0"/>
                <w:numId w:val="2"/>
              </w:numPr>
              <w:spacing w:after="0" w:line="240" w:lineRule="auto"/>
              <w:rPr>
                <w:rFonts w:ascii="Times New Roman" w:hAnsi="Times New Roman"/>
                <w:sz w:val="24"/>
                <w:szCs w:val="24"/>
              </w:rPr>
            </w:pPr>
            <w:r w:rsidRPr="00751572">
              <w:rPr>
                <w:rFonts w:ascii="Times New Roman" w:hAnsi="Times New Roman"/>
                <w:sz w:val="24"/>
                <w:szCs w:val="24"/>
              </w:rPr>
              <w:t xml:space="preserve">Investment Intermediary of </w:t>
            </w:r>
            <w:proofErr w:type="spellStart"/>
            <w:r w:rsidR="00DC1E6C" w:rsidRPr="00751572">
              <w:rPr>
                <w:rFonts w:ascii="Times New Roman" w:hAnsi="Times New Roman"/>
                <w:sz w:val="24"/>
                <w:szCs w:val="24"/>
              </w:rPr>
              <w:t>Raiffeissen</w:t>
            </w:r>
            <w:proofErr w:type="spellEnd"/>
            <w:r w:rsidR="00DC1E6C" w:rsidRPr="00751572">
              <w:rPr>
                <w:rFonts w:ascii="Times New Roman" w:hAnsi="Times New Roman"/>
                <w:sz w:val="24"/>
                <w:szCs w:val="24"/>
              </w:rPr>
              <w:t xml:space="preserve"> Bank</w:t>
            </w:r>
          </w:p>
        </w:tc>
        <w:tc>
          <w:tcPr>
            <w:tcW w:w="4788" w:type="dxa"/>
          </w:tcPr>
          <w:p w:rsidR="00DC1E6C" w:rsidRPr="00751572" w:rsidRDefault="00DC1E6C" w:rsidP="000A3B15">
            <w:pPr>
              <w:spacing w:after="0" w:line="240" w:lineRule="auto"/>
              <w:rPr>
                <w:rFonts w:ascii="Times New Roman" w:hAnsi="Times New Roman"/>
                <w:sz w:val="24"/>
                <w:szCs w:val="24"/>
              </w:rPr>
            </w:pPr>
            <w:r w:rsidRPr="00751572">
              <w:rPr>
                <w:rFonts w:ascii="Times New Roman" w:hAnsi="Times New Roman"/>
                <w:sz w:val="24"/>
                <w:szCs w:val="24"/>
              </w:rPr>
              <w:t>Investment Firm</w:t>
            </w:r>
          </w:p>
        </w:tc>
      </w:tr>
      <w:tr w:rsidR="00DC1E6C" w:rsidRPr="00751572" w:rsidTr="000A3B15">
        <w:tc>
          <w:tcPr>
            <w:tcW w:w="4788" w:type="dxa"/>
          </w:tcPr>
          <w:p w:rsidR="00DC1E6C" w:rsidRPr="00751572" w:rsidRDefault="00DC1E6C" w:rsidP="00DC1E6C">
            <w:pPr>
              <w:pStyle w:val="ListParagraph"/>
              <w:numPr>
                <w:ilvl w:val="0"/>
                <w:numId w:val="2"/>
              </w:numPr>
              <w:spacing w:after="0" w:line="240" w:lineRule="auto"/>
              <w:rPr>
                <w:rFonts w:ascii="Times New Roman" w:hAnsi="Times New Roman"/>
                <w:sz w:val="24"/>
                <w:szCs w:val="24"/>
              </w:rPr>
            </w:pPr>
            <w:r w:rsidRPr="00751572">
              <w:rPr>
                <w:rFonts w:ascii="Times New Roman" w:hAnsi="Times New Roman"/>
                <w:sz w:val="24"/>
                <w:szCs w:val="24"/>
              </w:rPr>
              <w:t xml:space="preserve">Inter-Capital </w:t>
            </w:r>
          </w:p>
        </w:tc>
        <w:tc>
          <w:tcPr>
            <w:tcW w:w="4788" w:type="dxa"/>
          </w:tcPr>
          <w:p w:rsidR="00DC1E6C" w:rsidRPr="00751572" w:rsidRDefault="00DC1E6C" w:rsidP="000A3B15">
            <w:pPr>
              <w:spacing w:after="0" w:line="240" w:lineRule="auto"/>
              <w:rPr>
                <w:rFonts w:ascii="Times New Roman" w:hAnsi="Times New Roman"/>
                <w:sz w:val="24"/>
                <w:szCs w:val="24"/>
              </w:rPr>
            </w:pPr>
            <w:r w:rsidRPr="00751572">
              <w:rPr>
                <w:rFonts w:ascii="Times New Roman" w:hAnsi="Times New Roman"/>
                <w:sz w:val="24"/>
                <w:szCs w:val="24"/>
              </w:rPr>
              <w:t>Investment Firm</w:t>
            </w:r>
          </w:p>
        </w:tc>
      </w:tr>
      <w:tr w:rsidR="00DC1E6C" w:rsidRPr="00751572" w:rsidTr="000A3B15">
        <w:tc>
          <w:tcPr>
            <w:tcW w:w="4788" w:type="dxa"/>
          </w:tcPr>
          <w:p w:rsidR="00DC1E6C" w:rsidRPr="00751572" w:rsidRDefault="00DC1E6C" w:rsidP="00DC1E6C">
            <w:pPr>
              <w:pStyle w:val="ListParagraph"/>
              <w:numPr>
                <w:ilvl w:val="0"/>
                <w:numId w:val="2"/>
              </w:numPr>
              <w:spacing w:after="0" w:line="240" w:lineRule="auto"/>
              <w:rPr>
                <w:rFonts w:ascii="Times New Roman" w:hAnsi="Times New Roman"/>
                <w:sz w:val="24"/>
                <w:szCs w:val="24"/>
              </w:rPr>
            </w:pPr>
            <w:r w:rsidRPr="00751572">
              <w:rPr>
                <w:rFonts w:ascii="Times New Roman" w:hAnsi="Times New Roman"/>
                <w:sz w:val="24"/>
                <w:szCs w:val="24"/>
              </w:rPr>
              <w:t>Inter-Capital Property Development</w:t>
            </w:r>
          </w:p>
        </w:tc>
        <w:tc>
          <w:tcPr>
            <w:tcW w:w="4788" w:type="dxa"/>
          </w:tcPr>
          <w:p w:rsidR="00DC1E6C" w:rsidRPr="00751572" w:rsidRDefault="00DC1E6C" w:rsidP="000A3B15">
            <w:pPr>
              <w:spacing w:after="0" w:line="240" w:lineRule="auto"/>
              <w:rPr>
                <w:rFonts w:ascii="Times New Roman" w:hAnsi="Times New Roman"/>
                <w:sz w:val="24"/>
                <w:szCs w:val="24"/>
              </w:rPr>
            </w:pPr>
            <w:r w:rsidRPr="00751572">
              <w:rPr>
                <w:rFonts w:ascii="Times New Roman" w:hAnsi="Times New Roman"/>
                <w:sz w:val="24"/>
                <w:szCs w:val="24"/>
              </w:rPr>
              <w:t>Real Estate Firm</w:t>
            </w:r>
          </w:p>
        </w:tc>
      </w:tr>
    </w:tbl>
    <w:p w:rsidR="002176ED" w:rsidRDefault="002176ED">
      <w:pPr>
        <w:rPr>
          <w:sz w:val="24"/>
          <w:szCs w:val="24"/>
        </w:rPr>
      </w:pPr>
    </w:p>
    <w:p w:rsidR="002176ED" w:rsidRDefault="002176ED">
      <w:pPr>
        <w:spacing w:after="0" w:line="240" w:lineRule="auto"/>
        <w:rPr>
          <w:sz w:val="24"/>
          <w:szCs w:val="24"/>
        </w:rPr>
      </w:pPr>
      <w:r>
        <w:rPr>
          <w:sz w:val="24"/>
          <w:szCs w:val="24"/>
        </w:rPr>
        <w:br w:type="page"/>
      </w:r>
    </w:p>
    <w:p w:rsidR="009124DB" w:rsidRDefault="00F10E93" w:rsidP="001A4BD7">
      <w:pPr>
        <w:pStyle w:val="mainnum"/>
      </w:pPr>
      <w:bookmarkStart w:id="35" w:name="_Toc297111592"/>
      <w:r>
        <w:lastRenderedPageBreak/>
        <w:t>Annex III</w:t>
      </w:r>
      <w:r w:rsidR="005C61E2" w:rsidRPr="005C61E2">
        <w:t xml:space="preserve">: </w:t>
      </w:r>
      <w:proofErr w:type="spellStart"/>
      <w:r w:rsidRPr="005C61E2">
        <w:t>B</w:t>
      </w:r>
      <w:r>
        <w:t>ibliografy</w:t>
      </w:r>
      <w:bookmarkEnd w:id="35"/>
      <w:proofErr w:type="spellEnd"/>
    </w:p>
    <w:p w:rsidR="00882199" w:rsidRDefault="00882199" w:rsidP="00882199">
      <w:pPr>
        <w:tabs>
          <w:tab w:val="left" w:pos="1020"/>
        </w:tabs>
        <w:spacing w:after="0" w:line="360" w:lineRule="auto"/>
        <w:jc w:val="center"/>
        <w:rPr>
          <w:rFonts w:ascii="Times New Roman" w:hAnsi="Times New Roman"/>
        </w:rPr>
      </w:pPr>
    </w:p>
    <w:p w:rsidR="00882199" w:rsidRPr="00CC280F" w:rsidRDefault="00882199" w:rsidP="00882199">
      <w:pPr>
        <w:pStyle w:val="ListParagraph"/>
        <w:numPr>
          <w:ilvl w:val="0"/>
          <w:numId w:val="16"/>
        </w:numPr>
        <w:tabs>
          <w:tab w:val="left" w:pos="1020"/>
        </w:tabs>
        <w:spacing w:after="0" w:line="240" w:lineRule="auto"/>
        <w:rPr>
          <w:rFonts w:ascii="Times New Roman" w:hAnsi="Times New Roman"/>
          <w:sz w:val="24"/>
          <w:szCs w:val="24"/>
        </w:rPr>
      </w:pPr>
      <w:proofErr w:type="spellStart"/>
      <w:r w:rsidRPr="00CC280F">
        <w:rPr>
          <w:rFonts w:ascii="Times New Roman" w:hAnsi="Times New Roman"/>
          <w:sz w:val="24"/>
          <w:szCs w:val="24"/>
        </w:rPr>
        <w:t>Biais</w:t>
      </w:r>
      <w:proofErr w:type="spellEnd"/>
      <w:r w:rsidRPr="00CC280F">
        <w:rPr>
          <w:rFonts w:ascii="Times New Roman" w:hAnsi="Times New Roman"/>
          <w:sz w:val="24"/>
          <w:szCs w:val="24"/>
        </w:rPr>
        <w:t xml:space="preserve">, </w:t>
      </w:r>
      <w:proofErr w:type="spellStart"/>
      <w:r w:rsidRPr="00CC280F">
        <w:rPr>
          <w:rFonts w:ascii="Times New Roman" w:hAnsi="Times New Roman"/>
          <w:sz w:val="24"/>
          <w:szCs w:val="24"/>
        </w:rPr>
        <w:t>Declerck</w:t>
      </w:r>
      <w:proofErr w:type="spellEnd"/>
      <w:r w:rsidRPr="00CC280F">
        <w:rPr>
          <w:rFonts w:ascii="Times New Roman" w:hAnsi="Times New Roman"/>
          <w:sz w:val="24"/>
          <w:szCs w:val="24"/>
        </w:rPr>
        <w:t xml:space="preserve">, Dow, </w:t>
      </w:r>
      <w:proofErr w:type="spellStart"/>
      <w:r w:rsidRPr="00CC280F">
        <w:rPr>
          <w:rFonts w:ascii="Times New Roman" w:hAnsi="Times New Roman"/>
          <w:sz w:val="24"/>
          <w:szCs w:val="24"/>
        </w:rPr>
        <w:t>Portes</w:t>
      </w:r>
      <w:proofErr w:type="spellEnd"/>
      <w:r w:rsidRPr="00CC280F">
        <w:rPr>
          <w:rFonts w:ascii="Times New Roman" w:hAnsi="Times New Roman"/>
          <w:sz w:val="24"/>
          <w:szCs w:val="24"/>
        </w:rPr>
        <w:t>: European Corporate Bonds Market: Transparency, Liquidity Efficiency, 2006</w:t>
      </w:r>
    </w:p>
    <w:p w:rsidR="00882199" w:rsidRPr="00CC280F" w:rsidRDefault="00882199" w:rsidP="00882199">
      <w:pPr>
        <w:pStyle w:val="ListParagraph"/>
        <w:numPr>
          <w:ilvl w:val="0"/>
          <w:numId w:val="16"/>
        </w:numPr>
        <w:tabs>
          <w:tab w:val="left" w:pos="1020"/>
        </w:tabs>
        <w:spacing w:after="0"/>
        <w:rPr>
          <w:rFonts w:ascii="Times New Roman" w:hAnsi="Times New Roman"/>
          <w:sz w:val="24"/>
          <w:szCs w:val="24"/>
          <w:lang w:val="en-GB"/>
        </w:rPr>
      </w:pPr>
      <w:r w:rsidRPr="00CC280F">
        <w:rPr>
          <w:rFonts w:ascii="Times New Roman" w:hAnsi="Times New Roman"/>
          <w:sz w:val="24"/>
          <w:szCs w:val="24"/>
          <w:lang w:val="en-GB"/>
        </w:rPr>
        <w:t>BSE</w:t>
      </w:r>
      <w:r w:rsidR="00CC280F">
        <w:rPr>
          <w:rFonts w:ascii="Times New Roman" w:hAnsi="Times New Roman"/>
          <w:sz w:val="24"/>
          <w:szCs w:val="24"/>
          <w:lang w:val="en-GB"/>
        </w:rPr>
        <w:t>:</w:t>
      </w:r>
      <w:r w:rsidRPr="00CC280F">
        <w:rPr>
          <w:rFonts w:ascii="Times New Roman" w:hAnsi="Times New Roman"/>
          <w:sz w:val="24"/>
          <w:szCs w:val="24"/>
          <w:lang w:val="en-GB"/>
        </w:rPr>
        <w:t xml:space="preserve"> Management Report</w:t>
      </w:r>
      <w:r w:rsidR="00CC280F">
        <w:rPr>
          <w:rFonts w:ascii="Times New Roman" w:hAnsi="Times New Roman"/>
          <w:sz w:val="24"/>
          <w:szCs w:val="24"/>
          <w:lang w:val="en-GB"/>
        </w:rPr>
        <w:t>,</w:t>
      </w:r>
      <w:r w:rsidRPr="00CC280F">
        <w:rPr>
          <w:rFonts w:ascii="Times New Roman" w:hAnsi="Times New Roman"/>
          <w:sz w:val="24"/>
          <w:szCs w:val="24"/>
          <w:lang w:val="en-GB"/>
        </w:rPr>
        <w:t xml:space="preserve"> 2010</w:t>
      </w:r>
    </w:p>
    <w:p w:rsidR="00CC280F" w:rsidRPr="00CC280F" w:rsidRDefault="00CC280F" w:rsidP="00882199">
      <w:pPr>
        <w:pStyle w:val="ListParagraph"/>
        <w:numPr>
          <w:ilvl w:val="0"/>
          <w:numId w:val="16"/>
        </w:numPr>
        <w:tabs>
          <w:tab w:val="left" w:pos="1020"/>
        </w:tabs>
        <w:spacing w:after="0"/>
        <w:rPr>
          <w:rFonts w:ascii="Times New Roman" w:hAnsi="Times New Roman"/>
          <w:sz w:val="24"/>
          <w:szCs w:val="24"/>
          <w:lang w:val="en-GB"/>
        </w:rPr>
      </w:pPr>
      <w:proofErr w:type="spellStart"/>
      <w:r w:rsidRPr="00CC280F">
        <w:rPr>
          <w:rFonts w:ascii="Times New Roman" w:hAnsi="Times New Roman"/>
          <w:sz w:val="24"/>
          <w:szCs w:val="24"/>
          <w:lang w:val="en-GB"/>
        </w:rPr>
        <w:t>Boskovic</w:t>
      </w:r>
      <w:proofErr w:type="spellEnd"/>
      <w:r w:rsidRPr="00CC280F">
        <w:rPr>
          <w:rFonts w:ascii="Times New Roman" w:hAnsi="Times New Roman"/>
          <w:sz w:val="24"/>
          <w:szCs w:val="24"/>
          <w:lang w:val="en-GB"/>
        </w:rPr>
        <w:t xml:space="preserve">, </w:t>
      </w:r>
      <w:proofErr w:type="spellStart"/>
      <w:r w:rsidRPr="00CC280F">
        <w:rPr>
          <w:rFonts w:ascii="Times New Roman" w:hAnsi="Times New Roman"/>
          <w:sz w:val="24"/>
          <w:szCs w:val="24"/>
          <w:lang w:val="en-GB"/>
        </w:rPr>
        <w:t>Cerruti</w:t>
      </w:r>
      <w:proofErr w:type="spellEnd"/>
      <w:r w:rsidRPr="00CC280F">
        <w:rPr>
          <w:rFonts w:ascii="Times New Roman" w:hAnsi="Times New Roman"/>
          <w:sz w:val="24"/>
          <w:szCs w:val="24"/>
          <w:lang w:val="en-GB"/>
        </w:rPr>
        <w:t>, Noel: Comparing European and U.S. Securities Regulations</w:t>
      </w:r>
    </w:p>
    <w:p w:rsidR="00CC280F" w:rsidRPr="00CC280F" w:rsidRDefault="00CC280F" w:rsidP="00CC280F">
      <w:pPr>
        <w:pStyle w:val="ListParagraph"/>
        <w:numPr>
          <w:ilvl w:val="0"/>
          <w:numId w:val="16"/>
        </w:numPr>
        <w:tabs>
          <w:tab w:val="left" w:pos="1020"/>
        </w:tabs>
        <w:spacing w:after="0"/>
        <w:rPr>
          <w:rFonts w:ascii="Times New Roman" w:hAnsi="Times New Roman"/>
          <w:sz w:val="24"/>
          <w:szCs w:val="24"/>
          <w:lang w:val="en-GB"/>
        </w:rPr>
      </w:pPr>
      <w:r w:rsidRPr="00CC280F">
        <w:rPr>
          <w:rFonts w:ascii="Times New Roman" w:hAnsi="Times New Roman"/>
          <w:sz w:val="24"/>
          <w:szCs w:val="24"/>
          <w:lang w:val="en-GB"/>
        </w:rPr>
        <w:t>Bulgaria, Financial Sector Assessment Program</w:t>
      </w:r>
      <w:r>
        <w:rPr>
          <w:rFonts w:ascii="Times New Roman" w:hAnsi="Times New Roman"/>
          <w:sz w:val="24"/>
          <w:szCs w:val="24"/>
          <w:lang w:val="en-GB"/>
        </w:rPr>
        <w:t>:</w:t>
      </w:r>
      <w:r w:rsidRPr="00CC280F">
        <w:rPr>
          <w:rFonts w:ascii="Times New Roman" w:hAnsi="Times New Roman"/>
          <w:sz w:val="24"/>
          <w:szCs w:val="24"/>
          <w:lang w:val="en-GB"/>
        </w:rPr>
        <w:t xml:space="preserve"> Capital Markets Technical Note, September 2008</w:t>
      </w:r>
    </w:p>
    <w:p w:rsidR="00882199" w:rsidRPr="00CC280F" w:rsidRDefault="00882199" w:rsidP="00882199">
      <w:pPr>
        <w:pStyle w:val="ListParagraph"/>
        <w:numPr>
          <w:ilvl w:val="0"/>
          <w:numId w:val="16"/>
        </w:numPr>
        <w:rPr>
          <w:rFonts w:ascii="Times New Roman" w:hAnsi="Times New Roman"/>
          <w:sz w:val="24"/>
          <w:szCs w:val="24"/>
        </w:rPr>
      </w:pPr>
      <w:r w:rsidRPr="00CC280F">
        <w:rPr>
          <w:rFonts w:ascii="Times New Roman" w:hAnsi="Times New Roman"/>
          <w:sz w:val="24"/>
          <w:szCs w:val="24"/>
        </w:rPr>
        <w:t>CESR</w:t>
      </w:r>
      <w:r w:rsidR="00CC280F">
        <w:rPr>
          <w:rFonts w:ascii="Times New Roman" w:hAnsi="Times New Roman"/>
          <w:sz w:val="24"/>
          <w:szCs w:val="24"/>
        </w:rPr>
        <w:t>:</w:t>
      </w:r>
      <w:r w:rsidR="00CC280F" w:rsidRPr="00CC280F">
        <w:rPr>
          <w:rFonts w:ascii="Times New Roman" w:hAnsi="Times New Roman"/>
          <w:sz w:val="24"/>
          <w:szCs w:val="24"/>
        </w:rPr>
        <w:t xml:space="preserve"> </w:t>
      </w:r>
      <w:r w:rsidRPr="00CC280F">
        <w:rPr>
          <w:rFonts w:ascii="Times New Roman" w:hAnsi="Times New Roman"/>
          <w:sz w:val="24"/>
          <w:szCs w:val="24"/>
        </w:rPr>
        <w:t xml:space="preserve">Impact of </w:t>
      </w:r>
      <w:proofErr w:type="spellStart"/>
      <w:r w:rsidRPr="00CC280F">
        <w:rPr>
          <w:rFonts w:ascii="Times New Roman" w:hAnsi="Times New Roman"/>
          <w:sz w:val="24"/>
          <w:szCs w:val="24"/>
        </w:rPr>
        <w:t>MiFID</w:t>
      </w:r>
      <w:proofErr w:type="spellEnd"/>
      <w:r w:rsidRPr="00CC280F">
        <w:rPr>
          <w:rFonts w:ascii="Times New Roman" w:hAnsi="Times New Roman"/>
          <w:sz w:val="24"/>
          <w:szCs w:val="24"/>
        </w:rPr>
        <w:t xml:space="preserve"> on Equity Secondary Markets Functioning, 10 June 2009</w:t>
      </w:r>
    </w:p>
    <w:p w:rsidR="00882199" w:rsidRPr="00CC280F" w:rsidRDefault="00882199" w:rsidP="00882199">
      <w:pPr>
        <w:pStyle w:val="ListParagraph"/>
        <w:numPr>
          <w:ilvl w:val="0"/>
          <w:numId w:val="16"/>
        </w:numPr>
        <w:rPr>
          <w:rFonts w:ascii="Times New Roman" w:hAnsi="Times New Roman"/>
          <w:sz w:val="24"/>
          <w:szCs w:val="24"/>
          <w:lang w:val="en-GB"/>
        </w:rPr>
      </w:pPr>
      <w:r w:rsidRPr="00CC280F">
        <w:rPr>
          <w:rFonts w:ascii="Times New Roman" w:hAnsi="Times New Roman"/>
          <w:sz w:val="24"/>
          <w:szCs w:val="24"/>
        </w:rPr>
        <w:t>CESR</w:t>
      </w:r>
      <w:r w:rsidR="00CC280F">
        <w:rPr>
          <w:rFonts w:ascii="Times New Roman" w:hAnsi="Times New Roman"/>
          <w:sz w:val="24"/>
          <w:szCs w:val="24"/>
        </w:rPr>
        <w:t>:</w:t>
      </w:r>
      <w:r w:rsidRPr="00CC280F">
        <w:rPr>
          <w:rFonts w:ascii="Times New Roman" w:hAnsi="Times New Roman"/>
          <w:sz w:val="24"/>
          <w:szCs w:val="24"/>
        </w:rPr>
        <w:t xml:space="preserve"> Questions and Answers on </w:t>
      </w:r>
      <w:proofErr w:type="spellStart"/>
      <w:r w:rsidRPr="00CC280F">
        <w:rPr>
          <w:rFonts w:ascii="Times New Roman" w:hAnsi="Times New Roman"/>
          <w:sz w:val="24"/>
          <w:szCs w:val="24"/>
        </w:rPr>
        <w:t>MiFID</w:t>
      </w:r>
      <w:proofErr w:type="spellEnd"/>
      <w:r w:rsidRPr="00CC280F">
        <w:rPr>
          <w:rFonts w:ascii="Times New Roman" w:hAnsi="Times New Roman"/>
          <w:sz w:val="24"/>
          <w:szCs w:val="24"/>
        </w:rPr>
        <w:t xml:space="preserve">, May 2009 </w:t>
      </w:r>
    </w:p>
    <w:p w:rsidR="00882199" w:rsidRPr="00CC280F" w:rsidRDefault="00882199" w:rsidP="00882199">
      <w:pPr>
        <w:pStyle w:val="ListParagraph"/>
        <w:numPr>
          <w:ilvl w:val="0"/>
          <w:numId w:val="16"/>
        </w:numPr>
        <w:tabs>
          <w:tab w:val="left" w:pos="1020"/>
        </w:tabs>
        <w:spacing w:after="0"/>
        <w:jc w:val="both"/>
        <w:rPr>
          <w:rFonts w:ascii="Times New Roman" w:hAnsi="Times New Roman"/>
          <w:sz w:val="24"/>
          <w:szCs w:val="24"/>
          <w:lang w:val="en-GB"/>
        </w:rPr>
      </w:pPr>
      <w:r w:rsidRPr="00CC280F">
        <w:rPr>
          <w:rFonts w:ascii="Times New Roman" w:hAnsi="Times New Roman"/>
          <w:sz w:val="24"/>
          <w:szCs w:val="24"/>
          <w:lang w:val="en-GB"/>
        </w:rPr>
        <w:t>EC Directive 2004/109/EC of</w:t>
      </w:r>
      <w:r w:rsidRPr="00CC280F">
        <w:rPr>
          <w:rFonts w:ascii="Times New Roman" w:hAnsi="Times New Roman"/>
          <w:bCs/>
          <w:sz w:val="24"/>
          <w:szCs w:val="24"/>
        </w:rPr>
        <w:t xml:space="preserve"> 15 December 2004 on the harmonization of transparency requirements in relation to information about issuers whose securities are admitted to trading on a Regulated Market</w:t>
      </w:r>
    </w:p>
    <w:p w:rsidR="00882199" w:rsidRPr="00CC280F" w:rsidRDefault="00882199" w:rsidP="00882199">
      <w:pPr>
        <w:pStyle w:val="ListParagraph"/>
        <w:numPr>
          <w:ilvl w:val="0"/>
          <w:numId w:val="16"/>
        </w:numPr>
        <w:tabs>
          <w:tab w:val="left" w:pos="1020"/>
        </w:tabs>
        <w:spacing w:after="0"/>
        <w:jc w:val="both"/>
        <w:rPr>
          <w:rFonts w:ascii="Times New Roman" w:hAnsi="Times New Roman"/>
          <w:bCs/>
          <w:sz w:val="24"/>
          <w:szCs w:val="24"/>
          <w:lang w:val="en-GB"/>
        </w:rPr>
      </w:pPr>
      <w:r w:rsidRPr="00CC280F">
        <w:rPr>
          <w:rFonts w:ascii="Times New Roman" w:hAnsi="Times New Roman"/>
          <w:sz w:val="24"/>
          <w:szCs w:val="24"/>
          <w:lang w:val="en-GB"/>
        </w:rPr>
        <w:t>EC Directive 2006/49/EC of</w:t>
      </w:r>
      <w:r w:rsidRPr="00CC280F">
        <w:rPr>
          <w:rFonts w:ascii="Times New Roman" w:hAnsi="Times New Roman"/>
          <w:bCs/>
          <w:sz w:val="24"/>
          <w:szCs w:val="24"/>
          <w:lang w:val="en-GB"/>
        </w:rPr>
        <w:t xml:space="preserve"> 14 June 2006 on the capital adequacy of investment firms and credit institutions</w:t>
      </w:r>
    </w:p>
    <w:p w:rsidR="00882199" w:rsidRPr="00CC280F" w:rsidRDefault="00882199" w:rsidP="00882199">
      <w:pPr>
        <w:pStyle w:val="ListParagraph"/>
        <w:numPr>
          <w:ilvl w:val="0"/>
          <w:numId w:val="16"/>
        </w:numPr>
        <w:tabs>
          <w:tab w:val="left" w:pos="1020"/>
        </w:tabs>
        <w:spacing w:after="0"/>
        <w:jc w:val="both"/>
        <w:rPr>
          <w:rFonts w:ascii="Times New Roman" w:hAnsi="Times New Roman"/>
          <w:bCs/>
          <w:sz w:val="24"/>
          <w:szCs w:val="24"/>
          <w:lang w:val="en-GB"/>
        </w:rPr>
      </w:pPr>
      <w:r w:rsidRPr="00CC280F">
        <w:rPr>
          <w:rFonts w:ascii="Times New Roman" w:hAnsi="Times New Roman"/>
          <w:bCs/>
          <w:sz w:val="24"/>
          <w:szCs w:val="24"/>
          <w:lang w:val="en-GB"/>
        </w:rPr>
        <w:t xml:space="preserve">EC Directive 2004/39/EC of 21 April 2004 on markets in financial instruments </w:t>
      </w:r>
    </w:p>
    <w:p w:rsidR="00882199" w:rsidRPr="00CC280F" w:rsidRDefault="00882199" w:rsidP="00882199">
      <w:pPr>
        <w:pStyle w:val="ListParagraph"/>
        <w:numPr>
          <w:ilvl w:val="0"/>
          <w:numId w:val="16"/>
        </w:numPr>
        <w:tabs>
          <w:tab w:val="left" w:pos="1020"/>
        </w:tabs>
        <w:spacing w:after="0"/>
        <w:jc w:val="both"/>
        <w:rPr>
          <w:rFonts w:ascii="Times New Roman" w:hAnsi="Times New Roman"/>
          <w:sz w:val="24"/>
          <w:szCs w:val="24"/>
        </w:rPr>
      </w:pPr>
      <w:r w:rsidRPr="00CC280F">
        <w:rPr>
          <w:rFonts w:ascii="Times New Roman" w:hAnsi="Times New Roman"/>
          <w:bCs/>
          <w:sz w:val="24"/>
          <w:szCs w:val="24"/>
          <w:lang w:val="en-GB"/>
        </w:rPr>
        <w:t>EC Direct</w:t>
      </w:r>
      <w:r w:rsidRPr="00CC280F">
        <w:rPr>
          <w:rFonts w:ascii="Times New Roman" w:hAnsi="Times New Roman"/>
          <w:sz w:val="24"/>
          <w:szCs w:val="24"/>
          <w:lang w:val="en-GB"/>
        </w:rPr>
        <w:t xml:space="preserve">ive 2006/73/EC of 10 August 2006 </w:t>
      </w:r>
      <w:r w:rsidRPr="00CC280F">
        <w:rPr>
          <w:rFonts w:ascii="Times New Roman" w:hAnsi="Times New Roman"/>
          <w:sz w:val="24"/>
          <w:szCs w:val="24"/>
        </w:rPr>
        <w:t>implementing directive 2004/39/EC of the European Parliament and the Council as regards organizational requirements and operating conditions for investment firms and defined terms for the purpose of that directive</w:t>
      </w:r>
    </w:p>
    <w:p w:rsidR="00882199" w:rsidRPr="00CC280F" w:rsidRDefault="00882199" w:rsidP="00882199">
      <w:pPr>
        <w:pStyle w:val="ListParagraph"/>
        <w:numPr>
          <w:ilvl w:val="0"/>
          <w:numId w:val="16"/>
        </w:numPr>
        <w:tabs>
          <w:tab w:val="left" w:pos="1020"/>
        </w:tabs>
        <w:spacing w:after="0"/>
        <w:jc w:val="both"/>
        <w:rPr>
          <w:rFonts w:ascii="Times New Roman" w:hAnsi="Times New Roman"/>
          <w:sz w:val="24"/>
          <w:szCs w:val="24"/>
        </w:rPr>
      </w:pPr>
      <w:r w:rsidRPr="00CC280F">
        <w:rPr>
          <w:rFonts w:ascii="Times New Roman" w:hAnsi="Times New Roman"/>
          <w:sz w:val="24"/>
          <w:szCs w:val="24"/>
        </w:rPr>
        <w:t>FSC</w:t>
      </w:r>
      <w:r w:rsidR="00CC280F">
        <w:rPr>
          <w:rFonts w:ascii="Times New Roman" w:hAnsi="Times New Roman"/>
          <w:sz w:val="24"/>
          <w:szCs w:val="24"/>
        </w:rPr>
        <w:t>:</w:t>
      </w:r>
      <w:r w:rsidRPr="00CC280F">
        <w:rPr>
          <w:rFonts w:ascii="Times New Roman" w:hAnsi="Times New Roman"/>
          <w:sz w:val="24"/>
          <w:szCs w:val="24"/>
        </w:rPr>
        <w:t xml:space="preserve"> Annual Report 2009, Annual Report 2008</w:t>
      </w:r>
    </w:p>
    <w:p w:rsidR="00882199" w:rsidRDefault="00882199" w:rsidP="00882199">
      <w:pPr>
        <w:pStyle w:val="ListParagraph"/>
        <w:numPr>
          <w:ilvl w:val="0"/>
          <w:numId w:val="16"/>
        </w:numPr>
        <w:tabs>
          <w:tab w:val="left" w:pos="1020"/>
        </w:tabs>
        <w:spacing w:after="0"/>
        <w:rPr>
          <w:rFonts w:ascii="Times New Roman" w:hAnsi="Times New Roman"/>
          <w:sz w:val="24"/>
          <w:szCs w:val="24"/>
        </w:rPr>
      </w:pPr>
      <w:proofErr w:type="spellStart"/>
      <w:r w:rsidRPr="00CC280F">
        <w:rPr>
          <w:rFonts w:ascii="Times New Roman" w:hAnsi="Times New Roman"/>
          <w:sz w:val="24"/>
          <w:szCs w:val="24"/>
        </w:rPr>
        <w:t>MiFID</w:t>
      </w:r>
      <w:proofErr w:type="spellEnd"/>
      <w:r w:rsidRPr="00CC280F">
        <w:rPr>
          <w:rFonts w:ascii="Times New Roman" w:hAnsi="Times New Roman"/>
          <w:sz w:val="24"/>
          <w:szCs w:val="24"/>
        </w:rPr>
        <w:t xml:space="preserve"> readiness Assessment Concept Note, Technical Annex I: Key Provisions of the Markets in Financial Instruments Directive (</w:t>
      </w:r>
      <w:proofErr w:type="spellStart"/>
      <w:r w:rsidRPr="00CC280F">
        <w:rPr>
          <w:rFonts w:ascii="Times New Roman" w:hAnsi="Times New Roman"/>
          <w:sz w:val="24"/>
          <w:szCs w:val="24"/>
        </w:rPr>
        <w:t>MiFID</w:t>
      </w:r>
      <w:proofErr w:type="spellEnd"/>
      <w:r w:rsidRPr="00CC280F">
        <w:rPr>
          <w:rFonts w:ascii="Times New Roman" w:hAnsi="Times New Roman"/>
          <w:sz w:val="24"/>
          <w:szCs w:val="24"/>
        </w:rPr>
        <w:t>) (2004/39/EC), December 2009</w:t>
      </w:r>
    </w:p>
    <w:p w:rsidR="00F10E93" w:rsidRPr="00CC280F" w:rsidRDefault="00F10E93" w:rsidP="00882199">
      <w:pPr>
        <w:pStyle w:val="ListParagraph"/>
        <w:numPr>
          <w:ilvl w:val="0"/>
          <w:numId w:val="16"/>
        </w:numPr>
        <w:tabs>
          <w:tab w:val="left" w:pos="1020"/>
        </w:tabs>
        <w:spacing w:after="0"/>
        <w:rPr>
          <w:rFonts w:ascii="Times New Roman" w:hAnsi="Times New Roman"/>
          <w:sz w:val="24"/>
          <w:szCs w:val="24"/>
        </w:rPr>
      </w:pPr>
      <w:r>
        <w:rPr>
          <w:rFonts w:ascii="Times New Roman" w:hAnsi="Times New Roman"/>
          <w:sz w:val="24"/>
          <w:szCs w:val="24"/>
        </w:rPr>
        <w:t>www.ecb.org</w:t>
      </w:r>
    </w:p>
    <w:p w:rsidR="00882199" w:rsidRPr="00CC280F" w:rsidRDefault="00882199" w:rsidP="00882199">
      <w:pPr>
        <w:pStyle w:val="ListParagraph"/>
        <w:numPr>
          <w:ilvl w:val="0"/>
          <w:numId w:val="16"/>
        </w:numPr>
        <w:tabs>
          <w:tab w:val="left" w:pos="1020"/>
        </w:tabs>
        <w:spacing w:after="0"/>
        <w:jc w:val="both"/>
        <w:rPr>
          <w:rFonts w:ascii="Times New Roman" w:hAnsi="Times New Roman"/>
          <w:sz w:val="24"/>
          <w:szCs w:val="24"/>
        </w:rPr>
      </w:pPr>
      <w:r w:rsidRPr="00CC280F">
        <w:rPr>
          <w:rFonts w:ascii="Times New Roman" w:hAnsi="Times New Roman"/>
          <w:sz w:val="24"/>
          <w:szCs w:val="24"/>
        </w:rPr>
        <w:t>www.fese.org</w:t>
      </w:r>
    </w:p>
    <w:p w:rsidR="00882199" w:rsidRPr="00CC280F" w:rsidRDefault="00882199" w:rsidP="00CC280F">
      <w:pPr>
        <w:pStyle w:val="ListParagraph"/>
        <w:numPr>
          <w:ilvl w:val="0"/>
          <w:numId w:val="16"/>
        </w:numPr>
        <w:rPr>
          <w:rFonts w:ascii="Times New Roman" w:hAnsi="Times New Roman"/>
          <w:sz w:val="24"/>
          <w:szCs w:val="24"/>
        </w:rPr>
      </w:pPr>
      <w:r w:rsidRPr="00CC280F">
        <w:rPr>
          <w:rFonts w:ascii="Times New Roman" w:hAnsi="Times New Roman"/>
          <w:iCs/>
          <w:sz w:val="24"/>
          <w:szCs w:val="24"/>
        </w:rPr>
        <w:t>www.fsc.bg</w:t>
      </w:r>
    </w:p>
    <w:p w:rsidR="005C61E2" w:rsidRPr="00CC280F" w:rsidRDefault="00CC280F" w:rsidP="00CC280F">
      <w:pPr>
        <w:pStyle w:val="ListParagraph"/>
        <w:numPr>
          <w:ilvl w:val="0"/>
          <w:numId w:val="16"/>
        </w:numPr>
        <w:rPr>
          <w:rFonts w:ascii="Times New Roman" w:hAnsi="Times New Roman"/>
          <w:sz w:val="24"/>
          <w:szCs w:val="24"/>
        </w:rPr>
      </w:pPr>
      <w:r w:rsidRPr="00CC280F">
        <w:rPr>
          <w:rFonts w:ascii="Times New Roman" w:hAnsi="Times New Roman"/>
          <w:iCs/>
          <w:sz w:val="24"/>
          <w:szCs w:val="24"/>
        </w:rPr>
        <w:t>w</w:t>
      </w:r>
      <w:r w:rsidR="00882199" w:rsidRPr="00CC280F">
        <w:rPr>
          <w:rFonts w:ascii="Times New Roman" w:hAnsi="Times New Roman"/>
          <w:iCs/>
          <w:sz w:val="24"/>
          <w:szCs w:val="24"/>
        </w:rPr>
        <w:t>ww.bse.bg</w:t>
      </w:r>
    </w:p>
    <w:p w:rsidR="009124DB" w:rsidRPr="00751572" w:rsidRDefault="009124DB">
      <w:pPr>
        <w:rPr>
          <w:sz w:val="24"/>
          <w:szCs w:val="24"/>
        </w:rPr>
      </w:pPr>
    </w:p>
    <w:sectPr w:rsidR="009124DB" w:rsidRPr="00751572" w:rsidSect="003634FF">
      <w:footerReference w:type="default" r:id="rId25"/>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64E" w:rsidRDefault="0075564E">
      <w:pPr>
        <w:spacing w:after="0" w:line="240" w:lineRule="auto"/>
      </w:pPr>
      <w:r>
        <w:separator/>
      </w:r>
    </w:p>
  </w:endnote>
  <w:endnote w:type="continuationSeparator" w:id="0">
    <w:p w:rsidR="0075564E" w:rsidRDefault="00755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BD7" w:rsidRPr="00C71947" w:rsidRDefault="001A4BD7">
    <w:pPr>
      <w:pStyle w:val="Footer"/>
      <w:jc w:val="center"/>
      <w:rPr>
        <w:rFonts w:ascii="Times New Roman" w:hAnsi="Times New Roman"/>
      </w:rPr>
    </w:pPr>
  </w:p>
  <w:p w:rsidR="001A4BD7" w:rsidRDefault="001A4B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947" w:rsidRPr="003F24F4" w:rsidRDefault="00A63D05">
    <w:pPr>
      <w:pStyle w:val="Footer"/>
      <w:jc w:val="center"/>
      <w:rPr>
        <w:rFonts w:ascii="Times New Roman" w:hAnsi="Times New Roman"/>
      </w:rPr>
    </w:pPr>
    <w:r w:rsidRPr="003F24F4">
      <w:rPr>
        <w:rFonts w:ascii="Times New Roman" w:hAnsi="Times New Roman"/>
      </w:rPr>
      <w:fldChar w:fldCharType="begin"/>
    </w:r>
    <w:r w:rsidR="00C71947" w:rsidRPr="003F24F4">
      <w:rPr>
        <w:rFonts w:ascii="Times New Roman" w:hAnsi="Times New Roman"/>
      </w:rPr>
      <w:instrText xml:space="preserve"> PAGE   \* MERGEFORMAT </w:instrText>
    </w:r>
    <w:r w:rsidRPr="003F24F4">
      <w:rPr>
        <w:rFonts w:ascii="Times New Roman" w:hAnsi="Times New Roman"/>
      </w:rPr>
      <w:fldChar w:fldCharType="separate"/>
    </w:r>
    <w:r w:rsidR="00FD3D93">
      <w:rPr>
        <w:rFonts w:ascii="Times New Roman" w:hAnsi="Times New Roman"/>
        <w:noProof/>
      </w:rPr>
      <w:t>29</w:t>
    </w:r>
    <w:r w:rsidRPr="003F24F4">
      <w:rPr>
        <w:rFonts w:ascii="Times New Roman" w:hAnsi="Times New Roman"/>
      </w:rPr>
      <w:fldChar w:fldCharType="end"/>
    </w:r>
  </w:p>
  <w:p w:rsidR="00C71947" w:rsidRDefault="00C719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64E" w:rsidRDefault="0075564E" w:rsidP="00DC1E6C">
      <w:pPr>
        <w:spacing w:after="0" w:line="240" w:lineRule="auto"/>
      </w:pPr>
      <w:r>
        <w:separator/>
      </w:r>
    </w:p>
  </w:footnote>
  <w:footnote w:type="continuationSeparator" w:id="0">
    <w:p w:rsidR="0075564E" w:rsidRDefault="0075564E">
      <w:pPr>
        <w:spacing w:after="0" w:line="240" w:lineRule="auto"/>
      </w:pPr>
      <w:r>
        <w:continuationSeparator/>
      </w:r>
    </w:p>
  </w:footnote>
  <w:footnote w:id="1">
    <w:p w:rsidR="001A4BD7" w:rsidRPr="004E6DCD" w:rsidRDefault="001A4BD7" w:rsidP="004E6DCD">
      <w:pPr>
        <w:spacing w:after="0" w:line="240" w:lineRule="auto"/>
        <w:rPr>
          <w:sz w:val="18"/>
          <w:szCs w:val="18"/>
        </w:rPr>
      </w:pPr>
      <w:r w:rsidRPr="004E6DCD">
        <w:rPr>
          <w:rFonts w:ascii="Times New Roman" w:hAnsi="Times New Roman"/>
          <w:color w:val="000000"/>
          <w:sz w:val="18"/>
          <w:szCs w:val="18"/>
        </w:rPr>
        <w:footnoteRef/>
      </w:r>
      <w:r w:rsidRPr="004E6DCD">
        <w:rPr>
          <w:rFonts w:ascii="Times New Roman" w:hAnsi="Times New Roman"/>
          <w:color w:val="000000"/>
          <w:sz w:val="18"/>
          <w:szCs w:val="18"/>
        </w:rPr>
        <w:t xml:space="preserve"> This report is produced by Mr. Steen </w:t>
      </w:r>
      <w:proofErr w:type="spellStart"/>
      <w:r w:rsidRPr="004E6DCD">
        <w:rPr>
          <w:rFonts w:ascii="Times New Roman" w:hAnsi="Times New Roman"/>
          <w:color w:val="000000"/>
          <w:sz w:val="18"/>
          <w:szCs w:val="18"/>
        </w:rPr>
        <w:t>Byskov</w:t>
      </w:r>
      <w:proofErr w:type="spellEnd"/>
      <w:r w:rsidR="00C27AAF">
        <w:rPr>
          <w:rFonts w:ascii="Times New Roman" w:hAnsi="Times New Roman"/>
          <w:color w:val="000000"/>
          <w:sz w:val="18"/>
          <w:szCs w:val="18"/>
        </w:rPr>
        <w:t xml:space="preserve"> </w:t>
      </w:r>
      <w:r w:rsidRPr="004E6DCD">
        <w:rPr>
          <w:rFonts w:ascii="Times New Roman" w:hAnsi="Times New Roman"/>
          <w:color w:val="000000"/>
          <w:sz w:val="18"/>
          <w:szCs w:val="18"/>
        </w:rPr>
        <w:t xml:space="preserve">(Sr. Financial Sector Specialist) and Ms. </w:t>
      </w:r>
      <w:proofErr w:type="spellStart"/>
      <w:r w:rsidRPr="004E6DCD">
        <w:rPr>
          <w:rFonts w:ascii="Times New Roman" w:hAnsi="Times New Roman"/>
          <w:color w:val="000000"/>
          <w:sz w:val="18"/>
          <w:szCs w:val="18"/>
        </w:rPr>
        <w:t>Tanja</w:t>
      </w:r>
      <w:proofErr w:type="spellEnd"/>
      <w:r w:rsidRPr="004E6DCD">
        <w:rPr>
          <w:rFonts w:ascii="Times New Roman" w:hAnsi="Times New Roman"/>
          <w:color w:val="000000"/>
          <w:sz w:val="18"/>
          <w:szCs w:val="18"/>
        </w:rPr>
        <w:t xml:space="preserve"> </w:t>
      </w:r>
      <w:proofErr w:type="spellStart"/>
      <w:r w:rsidRPr="004E6DCD">
        <w:rPr>
          <w:rFonts w:ascii="Times New Roman" w:hAnsi="Times New Roman"/>
          <w:color w:val="000000"/>
          <w:sz w:val="18"/>
          <w:szCs w:val="18"/>
        </w:rPr>
        <w:t>Boskovic</w:t>
      </w:r>
      <w:proofErr w:type="spellEnd"/>
      <w:r w:rsidRPr="004E6DCD">
        <w:rPr>
          <w:rFonts w:ascii="Times New Roman" w:hAnsi="Times New Roman"/>
          <w:color w:val="000000"/>
          <w:sz w:val="18"/>
          <w:szCs w:val="18"/>
        </w:rPr>
        <w:t xml:space="preserve"> (</w:t>
      </w:r>
      <w:r>
        <w:rPr>
          <w:rFonts w:ascii="Times New Roman" w:hAnsi="Times New Roman"/>
          <w:color w:val="000000"/>
          <w:sz w:val="18"/>
          <w:szCs w:val="18"/>
        </w:rPr>
        <w:t>Financial Specialist</w:t>
      </w:r>
      <w:r w:rsidRPr="004E6DCD">
        <w:rPr>
          <w:rFonts w:ascii="Times New Roman" w:hAnsi="Times New Roman"/>
          <w:color w:val="000000"/>
          <w:sz w:val="18"/>
          <w:szCs w:val="18"/>
        </w:rPr>
        <w:t xml:space="preserve">).  The authors gratefully acknowledge contributions from Mr. John </w:t>
      </w:r>
      <w:proofErr w:type="spellStart"/>
      <w:r w:rsidRPr="004E6DCD">
        <w:rPr>
          <w:rFonts w:ascii="Times New Roman" w:hAnsi="Times New Roman"/>
          <w:color w:val="000000"/>
          <w:sz w:val="18"/>
          <w:szCs w:val="18"/>
        </w:rPr>
        <w:t>Pollner</w:t>
      </w:r>
      <w:proofErr w:type="spellEnd"/>
      <w:r w:rsidRPr="004E6DCD">
        <w:rPr>
          <w:rFonts w:ascii="Times New Roman" w:hAnsi="Times New Roman"/>
          <w:color w:val="000000"/>
          <w:sz w:val="18"/>
          <w:szCs w:val="18"/>
        </w:rPr>
        <w:t>,</w:t>
      </w:r>
      <w:r w:rsidR="003030D6">
        <w:rPr>
          <w:rFonts w:ascii="Times New Roman" w:hAnsi="Times New Roman"/>
          <w:color w:val="000000"/>
          <w:sz w:val="18"/>
          <w:szCs w:val="18"/>
        </w:rPr>
        <w:t xml:space="preserve"> Mr. Markus </w:t>
      </w:r>
      <w:proofErr w:type="spellStart"/>
      <w:r w:rsidR="003030D6">
        <w:rPr>
          <w:rFonts w:ascii="Times New Roman" w:hAnsi="Times New Roman"/>
          <w:color w:val="000000"/>
          <w:sz w:val="18"/>
          <w:szCs w:val="18"/>
        </w:rPr>
        <w:t>Repnik</w:t>
      </w:r>
      <w:proofErr w:type="spellEnd"/>
      <w:r w:rsidR="003030D6">
        <w:rPr>
          <w:rFonts w:ascii="Times New Roman" w:hAnsi="Times New Roman"/>
          <w:color w:val="000000"/>
          <w:sz w:val="18"/>
          <w:szCs w:val="18"/>
        </w:rPr>
        <w:t>,</w:t>
      </w:r>
      <w:r w:rsidRPr="004E6DCD">
        <w:rPr>
          <w:rFonts w:ascii="Times New Roman" w:hAnsi="Times New Roman"/>
          <w:color w:val="000000"/>
          <w:sz w:val="18"/>
          <w:szCs w:val="18"/>
        </w:rPr>
        <w:t xml:space="preserve"> Ms. </w:t>
      </w:r>
      <w:proofErr w:type="spellStart"/>
      <w:r w:rsidRPr="004E6DCD">
        <w:rPr>
          <w:rFonts w:ascii="Times New Roman" w:hAnsi="Times New Roman"/>
          <w:color w:val="000000"/>
          <w:sz w:val="18"/>
          <w:szCs w:val="18"/>
        </w:rPr>
        <w:t>Froukelin</w:t>
      </w:r>
      <w:proofErr w:type="spellEnd"/>
      <w:r w:rsidRPr="004E6DCD">
        <w:rPr>
          <w:rFonts w:ascii="Times New Roman" w:hAnsi="Times New Roman"/>
          <w:color w:val="000000"/>
          <w:sz w:val="18"/>
          <w:szCs w:val="18"/>
        </w:rPr>
        <w:t xml:space="preserve"> Wendt, </w:t>
      </w:r>
      <w:r>
        <w:rPr>
          <w:rFonts w:ascii="Times New Roman" w:hAnsi="Times New Roman"/>
          <w:color w:val="000000"/>
          <w:sz w:val="18"/>
          <w:szCs w:val="18"/>
        </w:rPr>
        <w:t xml:space="preserve">Ms. </w:t>
      </w:r>
      <w:proofErr w:type="spellStart"/>
      <w:r w:rsidR="003030D6" w:rsidRPr="003030D6">
        <w:rPr>
          <w:rFonts w:ascii="Times New Roman" w:hAnsi="Times New Roman"/>
          <w:color w:val="000000"/>
          <w:sz w:val="18"/>
          <w:szCs w:val="18"/>
        </w:rPr>
        <w:t>Burçak</w:t>
      </w:r>
      <w:proofErr w:type="spellEnd"/>
      <w:r w:rsidR="003030D6" w:rsidRPr="003030D6">
        <w:rPr>
          <w:rFonts w:ascii="Times New Roman" w:hAnsi="Times New Roman"/>
          <w:color w:val="000000"/>
          <w:sz w:val="18"/>
          <w:szCs w:val="18"/>
        </w:rPr>
        <w:t xml:space="preserve"> </w:t>
      </w:r>
      <w:proofErr w:type="spellStart"/>
      <w:r w:rsidR="003030D6" w:rsidRPr="003030D6">
        <w:rPr>
          <w:rFonts w:ascii="Times New Roman" w:hAnsi="Times New Roman"/>
          <w:color w:val="000000"/>
          <w:sz w:val="18"/>
          <w:szCs w:val="18"/>
        </w:rPr>
        <w:t>Inel</w:t>
      </w:r>
      <w:proofErr w:type="spellEnd"/>
      <w:r w:rsidR="003030D6" w:rsidRPr="003030D6">
        <w:rPr>
          <w:rFonts w:ascii="Times New Roman" w:hAnsi="Times New Roman"/>
          <w:color w:val="000000"/>
          <w:sz w:val="18"/>
          <w:szCs w:val="18"/>
        </w:rPr>
        <w:t xml:space="preserve"> </w:t>
      </w:r>
      <w:proofErr w:type="spellStart"/>
      <w:r w:rsidR="003030D6" w:rsidRPr="003030D6">
        <w:rPr>
          <w:rFonts w:ascii="Times New Roman" w:hAnsi="Times New Roman"/>
          <w:color w:val="000000"/>
          <w:sz w:val="18"/>
          <w:szCs w:val="18"/>
        </w:rPr>
        <w:t>Martenczuk</w:t>
      </w:r>
      <w:proofErr w:type="spellEnd"/>
      <w:r w:rsidR="003030D6">
        <w:rPr>
          <w:rFonts w:ascii="Times New Roman" w:hAnsi="Times New Roman"/>
          <w:color w:val="000000"/>
          <w:sz w:val="18"/>
          <w:szCs w:val="18"/>
        </w:rPr>
        <w:t xml:space="preserve"> </w:t>
      </w:r>
      <w:r w:rsidRPr="004E6DCD">
        <w:rPr>
          <w:rFonts w:ascii="Times New Roman" w:hAnsi="Times New Roman"/>
          <w:color w:val="000000"/>
          <w:sz w:val="18"/>
          <w:szCs w:val="18"/>
        </w:rPr>
        <w:t xml:space="preserve">and Mr. </w:t>
      </w:r>
      <w:proofErr w:type="spellStart"/>
      <w:r w:rsidRPr="004E6DCD">
        <w:rPr>
          <w:rFonts w:ascii="Times New Roman" w:hAnsi="Times New Roman"/>
          <w:color w:val="000000"/>
          <w:sz w:val="18"/>
          <w:szCs w:val="18"/>
        </w:rPr>
        <w:t>Evgeny</w:t>
      </w:r>
      <w:proofErr w:type="spellEnd"/>
      <w:r w:rsidRPr="004E6DCD">
        <w:rPr>
          <w:rFonts w:ascii="Times New Roman" w:hAnsi="Times New Roman"/>
          <w:color w:val="000000"/>
          <w:sz w:val="18"/>
          <w:szCs w:val="18"/>
        </w:rPr>
        <w:t xml:space="preserve"> </w:t>
      </w:r>
      <w:proofErr w:type="spellStart"/>
      <w:r w:rsidRPr="004E6DCD">
        <w:rPr>
          <w:rFonts w:ascii="Times New Roman" w:hAnsi="Times New Roman"/>
          <w:color w:val="000000"/>
          <w:sz w:val="18"/>
          <w:szCs w:val="18"/>
        </w:rPr>
        <w:t>Evgeniev</w:t>
      </w:r>
      <w:proofErr w:type="spellEnd"/>
      <w:r w:rsidRPr="004E6DCD">
        <w:rPr>
          <w:rFonts w:ascii="Times New Roman" w:hAnsi="Times New Roman"/>
          <w:color w:val="000000"/>
          <w:sz w:val="18"/>
          <w:szCs w:val="18"/>
        </w:rPr>
        <w:t>.</w:t>
      </w:r>
      <w:r w:rsidRPr="004E6DCD">
        <w:rPr>
          <w:sz w:val="18"/>
          <w:szCs w:val="18"/>
        </w:rPr>
        <w:t xml:space="preserve"> </w:t>
      </w:r>
    </w:p>
  </w:footnote>
  <w:footnote w:id="2">
    <w:p w:rsidR="00016B52" w:rsidRDefault="00016B52">
      <w:pPr>
        <w:pStyle w:val="FootnoteText"/>
      </w:pPr>
      <w:r w:rsidRPr="004E1B13">
        <w:rPr>
          <w:rFonts w:ascii="Times New Roman" w:eastAsia="Calibri" w:hAnsi="Times New Roman"/>
          <w:vertAlign w:val="superscript"/>
        </w:rPr>
        <w:footnoteRef/>
      </w:r>
      <w:r w:rsidRPr="00016B52">
        <w:rPr>
          <w:rFonts w:ascii="Times New Roman" w:eastAsia="Calibri" w:hAnsi="Times New Roman"/>
        </w:rPr>
        <w:t xml:space="preserve"> </w:t>
      </w:r>
      <w:proofErr w:type="gramStart"/>
      <w:r>
        <w:rPr>
          <w:rFonts w:ascii="Times New Roman" w:eastAsia="Calibri" w:hAnsi="Times New Roman"/>
        </w:rPr>
        <w:t>A stock</w:t>
      </w:r>
      <w:r w:rsidRPr="00016B52">
        <w:rPr>
          <w:rFonts w:ascii="Times New Roman" w:eastAsia="Calibri" w:hAnsi="Times New Roman"/>
        </w:rPr>
        <w:t xml:space="preserve"> in a </w:t>
      </w:r>
      <w:hyperlink r:id="rId1" w:tooltip="Corporation" w:history="1">
        <w:r w:rsidRPr="00016B52">
          <w:rPr>
            <w:rFonts w:ascii="Times New Roman" w:eastAsia="Calibri" w:hAnsi="Times New Roman"/>
          </w:rPr>
          <w:t>company</w:t>
        </w:r>
      </w:hyperlink>
      <w:r w:rsidRPr="00016B52">
        <w:rPr>
          <w:rFonts w:ascii="Times New Roman" w:eastAsia="Calibri" w:hAnsi="Times New Roman"/>
        </w:rPr>
        <w:t xml:space="preserve"> with a national reputation for quality, reliability and the ability to operate profitably in good and bad</w:t>
      </w:r>
      <w:r>
        <w:rPr>
          <w:rFonts w:ascii="Times New Roman" w:eastAsia="Calibri" w:hAnsi="Times New Roman"/>
        </w:rPr>
        <w:t xml:space="preserve"> times.</w:t>
      </w:r>
      <w:proofErr w:type="gramEnd"/>
    </w:p>
  </w:footnote>
  <w:footnote w:id="3">
    <w:p w:rsidR="001A4BD7" w:rsidRPr="004E6DCD" w:rsidRDefault="001A4BD7">
      <w:pPr>
        <w:pStyle w:val="FootnoteText"/>
        <w:rPr>
          <w:rFonts w:ascii="Times New Roman" w:hAnsi="Times New Roman"/>
        </w:rPr>
      </w:pPr>
      <w:r w:rsidRPr="004E6DCD">
        <w:rPr>
          <w:rFonts w:ascii="Times New Roman" w:hAnsi="Times New Roman"/>
        </w:rPr>
        <w:footnoteRef/>
      </w:r>
      <w:r w:rsidRPr="004E6DCD">
        <w:rPr>
          <w:rFonts w:ascii="Times New Roman" w:hAnsi="Times New Roman"/>
          <w:sz w:val="24"/>
          <w:szCs w:val="24"/>
        </w:rPr>
        <w:t xml:space="preserve"> </w:t>
      </w:r>
      <w:r w:rsidRPr="004E6DCD">
        <w:rPr>
          <w:rFonts w:ascii="Times New Roman" w:hAnsi="Times New Roman"/>
        </w:rPr>
        <w:t xml:space="preserve">A self-assessment survey on </w:t>
      </w:r>
      <w:proofErr w:type="spellStart"/>
      <w:r w:rsidRPr="004E6DCD">
        <w:rPr>
          <w:rFonts w:ascii="Times New Roman" w:hAnsi="Times New Roman"/>
        </w:rPr>
        <w:t>MiFID</w:t>
      </w:r>
      <w:proofErr w:type="spellEnd"/>
      <w:r w:rsidRPr="004E6DCD">
        <w:rPr>
          <w:rFonts w:ascii="Times New Roman" w:hAnsi="Times New Roman"/>
        </w:rPr>
        <w:t xml:space="preserve"> implementation, designed by the World Bank team, was administered among </w:t>
      </w:r>
      <w:r>
        <w:rPr>
          <w:rFonts w:ascii="Times New Roman" w:hAnsi="Times New Roman"/>
        </w:rPr>
        <w:t xml:space="preserve">capital </w:t>
      </w:r>
      <w:r w:rsidRPr="004E6DCD">
        <w:rPr>
          <w:rFonts w:ascii="Times New Roman" w:hAnsi="Times New Roman"/>
        </w:rPr>
        <w:t xml:space="preserve">market participants in Bulgaria. Survey results were </w:t>
      </w:r>
      <w:r>
        <w:rPr>
          <w:rFonts w:ascii="Times New Roman" w:hAnsi="Times New Roman"/>
        </w:rPr>
        <w:t>collected from</w:t>
      </w:r>
      <w:r w:rsidRPr="004E6DCD">
        <w:rPr>
          <w:rFonts w:ascii="Times New Roman" w:hAnsi="Times New Roman"/>
        </w:rPr>
        <w:t xml:space="preserve"> 5 investment firms, BSE and FSC.</w:t>
      </w:r>
      <w:r>
        <w:rPr>
          <w:rFonts w:ascii="Times New Roman" w:hAnsi="Times New Roman"/>
        </w:rPr>
        <w:t xml:space="preserve"> </w:t>
      </w:r>
      <w:r w:rsidRPr="004E6DCD">
        <w:rPr>
          <w:rFonts w:ascii="Times New Roman" w:hAnsi="Times New Roman"/>
        </w:rPr>
        <w:t xml:space="preserve">The team would like to thank investment firms, BSE and FSC for participating in the interviews and in the survey. </w:t>
      </w:r>
    </w:p>
  </w:footnote>
  <w:footnote w:id="4">
    <w:p w:rsidR="001A4BD7" w:rsidRPr="00AD167B" w:rsidRDefault="001A4BD7">
      <w:pPr>
        <w:pStyle w:val="FootnoteText"/>
        <w:rPr>
          <w:rFonts w:ascii="Times New Roman" w:hAnsi="Times New Roman"/>
        </w:rPr>
      </w:pPr>
      <w:r w:rsidRPr="009D5C40">
        <w:rPr>
          <w:rStyle w:val="FootnoteReference"/>
          <w:rFonts w:ascii="Times New Roman" w:hAnsi="Times New Roman"/>
        </w:rPr>
        <w:footnoteRef/>
      </w:r>
      <w:r w:rsidRPr="009D5C40">
        <w:rPr>
          <w:rFonts w:ascii="Times New Roman" w:hAnsi="Times New Roman"/>
        </w:rPr>
        <w:t xml:space="preserve"> The BGN</w:t>
      </w:r>
      <w:r>
        <w:rPr>
          <w:rFonts w:ascii="Times New Roman" w:hAnsi="Times New Roman"/>
        </w:rPr>
        <w:t>/US</w:t>
      </w:r>
      <w:r w:rsidRPr="009D5C40">
        <w:rPr>
          <w:rFonts w:ascii="Times New Roman" w:hAnsi="Times New Roman"/>
        </w:rPr>
        <w:t xml:space="preserve">$ exchange rate as of end-2010 was </w:t>
      </w:r>
      <w:r w:rsidRPr="00FA1FCD">
        <w:rPr>
          <w:rFonts w:ascii="Times New Roman" w:hAnsi="Times New Roman"/>
        </w:rPr>
        <w:t>1.4639</w:t>
      </w:r>
      <w:r w:rsidRPr="009D5C40">
        <w:rPr>
          <w:rFonts w:ascii="Times New Roman" w:hAnsi="Times New Roman"/>
        </w:rPr>
        <w:t xml:space="preserve">, and Bulgarian GDP was </w:t>
      </w:r>
      <w:r>
        <w:rPr>
          <w:rFonts w:ascii="Times New Roman" w:hAnsi="Times New Roman"/>
        </w:rPr>
        <w:t>US$ 47.7 USD billion</w:t>
      </w:r>
      <w:r w:rsidRPr="009D5C40">
        <w:rPr>
          <w:rFonts w:ascii="Times New Roman" w:hAnsi="Times New Roman"/>
        </w:rPr>
        <w:t xml:space="preserve"> in 2010. </w:t>
      </w:r>
    </w:p>
  </w:footnote>
  <w:footnote w:id="5">
    <w:p w:rsidR="001A4BD7" w:rsidRDefault="001A4BD7" w:rsidP="00D63703">
      <w:pPr>
        <w:pStyle w:val="FootnoteText"/>
      </w:pPr>
      <w:r w:rsidRPr="009D5C40">
        <w:rPr>
          <w:rFonts w:ascii="Times New Roman" w:hAnsi="Times New Roman"/>
          <w:vertAlign w:val="superscript"/>
        </w:rPr>
        <w:footnoteRef/>
      </w:r>
      <w:r w:rsidRPr="00246838">
        <w:rPr>
          <w:rFonts w:ascii="Times New Roman" w:hAnsi="Times New Roman"/>
        </w:rPr>
        <w:t xml:space="preserve"> Capital Markets Technical Note, FSAP Bulgaria, September 2008.</w:t>
      </w:r>
    </w:p>
  </w:footnote>
  <w:footnote w:id="6">
    <w:p w:rsidR="001A4BD7" w:rsidRDefault="001A4BD7" w:rsidP="003107A8">
      <w:pPr>
        <w:pStyle w:val="FootnoteText"/>
      </w:pPr>
      <w:r w:rsidRPr="00F63487">
        <w:rPr>
          <w:rStyle w:val="FootnoteReference"/>
          <w:rFonts w:ascii="Times New Roman" w:hAnsi="Times New Roman"/>
        </w:rPr>
        <w:footnoteRef/>
      </w:r>
      <w:r w:rsidRPr="00F63487">
        <w:rPr>
          <w:rFonts w:ascii="Times New Roman" w:hAnsi="Times New Roman"/>
        </w:rPr>
        <w:t xml:space="preserve"> The chart provides only an indicative decomposition of the growth in market capitalization</w:t>
      </w:r>
      <w:r>
        <w:rPr>
          <w:rFonts w:ascii="Times New Roman" w:hAnsi="Times New Roman"/>
        </w:rPr>
        <w:t xml:space="preserve"> as the </w:t>
      </w:r>
      <w:r w:rsidRPr="00F63487">
        <w:rPr>
          <w:rFonts w:ascii="Times New Roman" w:hAnsi="Times New Roman"/>
        </w:rPr>
        <w:t>SOFIX provides only an indicate price of all the securities listed on the exchange</w:t>
      </w:r>
      <w:r>
        <w:rPr>
          <w:rFonts w:ascii="Times New Roman" w:hAnsi="Times New Roman"/>
        </w:rPr>
        <w:t>.</w:t>
      </w:r>
      <w:r w:rsidRPr="00F63487">
        <w:rPr>
          <w:rFonts w:ascii="Times New Roman" w:hAnsi="Times New Roman"/>
        </w:rPr>
        <w:t xml:space="preserve"> </w:t>
      </w:r>
    </w:p>
  </w:footnote>
  <w:footnote w:id="7">
    <w:p w:rsidR="001A4BD7" w:rsidRPr="00F63487" w:rsidRDefault="001A4BD7" w:rsidP="001B69BA">
      <w:pPr>
        <w:pStyle w:val="FootnoteText"/>
        <w:rPr>
          <w:rFonts w:ascii="Times New Roman" w:hAnsi="Times New Roman"/>
        </w:rPr>
      </w:pPr>
      <w:r>
        <w:rPr>
          <w:rStyle w:val="FootnoteReference"/>
        </w:rPr>
        <w:footnoteRef/>
      </w:r>
      <w:r>
        <w:t xml:space="preserve"> </w:t>
      </w:r>
      <w:r>
        <w:rPr>
          <w:rFonts w:ascii="Times New Roman" w:hAnsi="Times New Roman"/>
        </w:rPr>
        <w:t>2009 changes in investment rules allowed pension funds to increase their investment in equities to up to 30 percent of their total assets.</w:t>
      </w:r>
    </w:p>
  </w:footnote>
  <w:footnote w:id="8">
    <w:p w:rsidR="001A4BD7" w:rsidRDefault="001A4BD7">
      <w:pPr>
        <w:pStyle w:val="FootnoteText"/>
      </w:pPr>
      <w:r>
        <w:rPr>
          <w:rStyle w:val="FootnoteReference"/>
        </w:rPr>
        <w:footnoteRef/>
      </w:r>
      <w:r>
        <w:t xml:space="preserve"> </w:t>
      </w:r>
      <w:r w:rsidRPr="00246838">
        <w:rPr>
          <w:rFonts w:ascii="Times New Roman" w:hAnsi="Times New Roman"/>
        </w:rPr>
        <w:t>Capital Markets Technical Note, FSAP Bulgaria, September 2008.</w:t>
      </w:r>
    </w:p>
  </w:footnote>
  <w:footnote w:id="9">
    <w:p w:rsidR="001A4BD7" w:rsidRPr="00096F7E" w:rsidRDefault="001A4BD7" w:rsidP="00B17CD7">
      <w:pPr>
        <w:pStyle w:val="FootnoteText"/>
        <w:rPr>
          <w:rFonts w:ascii="Times New Roman" w:eastAsia="Calibri" w:hAnsi="Times New Roman"/>
          <w:sz w:val="24"/>
          <w:szCs w:val="24"/>
        </w:rPr>
      </w:pPr>
      <w:r>
        <w:rPr>
          <w:rStyle w:val="FootnoteReference"/>
        </w:rPr>
        <w:footnoteRef/>
      </w:r>
      <w:r>
        <w:t xml:space="preserve"> </w:t>
      </w:r>
      <w:r w:rsidRPr="00096F7E">
        <w:rPr>
          <w:rFonts w:ascii="Times New Roman" w:eastAsia="Calibri" w:hAnsi="Times New Roman"/>
        </w:rPr>
        <w:t xml:space="preserve">To list on official segment A, a company must have a prior trading history and have been listed on official segment B for at least 1 </w:t>
      </w:r>
      <w:proofErr w:type="gramStart"/>
      <w:r w:rsidRPr="00096F7E">
        <w:rPr>
          <w:rFonts w:ascii="Times New Roman" w:eastAsia="Calibri" w:hAnsi="Times New Roman"/>
        </w:rPr>
        <w:t>year,</w:t>
      </w:r>
      <w:proofErr w:type="gramEnd"/>
      <w:r w:rsidRPr="00096F7E">
        <w:rPr>
          <w:rFonts w:ascii="Times New Roman" w:eastAsia="Calibri" w:hAnsi="Times New Roman"/>
        </w:rPr>
        <w:t xml:space="preserve"> or on unofficial segments A or B for at least 2 years. Other criteria include 25 percent free float, which is lower for other segments.</w:t>
      </w:r>
    </w:p>
  </w:footnote>
  <w:footnote w:id="10">
    <w:p w:rsidR="001A4BD7" w:rsidRPr="008A7B6C" w:rsidRDefault="001A4BD7" w:rsidP="004E51F6">
      <w:pPr>
        <w:pStyle w:val="NormalWeb"/>
        <w:rPr>
          <w:sz w:val="20"/>
          <w:szCs w:val="20"/>
        </w:rPr>
      </w:pPr>
      <w:r w:rsidRPr="008A7B6C">
        <w:rPr>
          <w:rStyle w:val="FootnoteReference"/>
          <w:sz w:val="20"/>
          <w:szCs w:val="20"/>
        </w:rPr>
        <w:footnoteRef/>
      </w:r>
      <w:proofErr w:type="spellStart"/>
      <w:r>
        <w:rPr>
          <w:sz w:val="20"/>
          <w:szCs w:val="20"/>
        </w:rPr>
        <w:t>Rc</w:t>
      </w:r>
      <w:r w:rsidRPr="008A7B6C">
        <w:rPr>
          <w:sz w:val="20"/>
          <w:szCs w:val="20"/>
        </w:rPr>
        <w:t>t</w:t>
      </w:r>
      <w:proofErr w:type="spellEnd"/>
      <w:r w:rsidRPr="008A7B6C">
        <w:rPr>
          <w:sz w:val="20"/>
          <w:szCs w:val="20"/>
        </w:rPr>
        <w:t xml:space="preserve"> = </w:t>
      </w:r>
      <w:r w:rsidRPr="008A7B6C">
        <w:rPr>
          <w:rFonts w:cs="Calibri"/>
          <w:sz w:val="20"/>
          <w:szCs w:val="20"/>
        </w:rPr>
        <w:t>α</w:t>
      </w:r>
      <w:r w:rsidRPr="008A7B6C">
        <w:rPr>
          <w:sz w:val="20"/>
          <w:szCs w:val="20"/>
        </w:rPr>
        <w:t xml:space="preserve"> + </w:t>
      </w:r>
      <w:r w:rsidRPr="008A7B6C">
        <w:rPr>
          <w:rFonts w:cs="Calibri"/>
          <w:sz w:val="20"/>
          <w:szCs w:val="20"/>
        </w:rPr>
        <w:t>β</w:t>
      </w:r>
      <w:r w:rsidRPr="008A7B6C">
        <w:rPr>
          <w:sz w:val="20"/>
          <w:szCs w:val="20"/>
        </w:rPr>
        <w:t>*</w:t>
      </w:r>
      <w:proofErr w:type="spellStart"/>
      <w:r>
        <w:rPr>
          <w:sz w:val="20"/>
          <w:szCs w:val="20"/>
        </w:rPr>
        <w:t>Rm</w:t>
      </w:r>
      <w:r w:rsidRPr="008A7B6C">
        <w:rPr>
          <w:sz w:val="20"/>
          <w:szCs w:val="20"/>
        </w:rPr>
        <w:t>t</w:t>
      </w:r>
      <w:proofErr w:type="spellEnd"/>
      <w:r>
        <w:rPr>
          <w:sz w:val="20"/>
          <w:szCs w:val="20"/>
        </w:rPr>
        <w:t xml:space="preserve"> + </w:t>
      </w:r>
      <w:proofErr w:type="spellStart"/>
      <w:r>
        <w:t>ε</w:t>
      </w:r>
      <w:r w:rsidRPr="001C1E32">
        <w:rPr>
          <w:sz w:val="20"/>
          <w:szCs w:val="20"/>
        </w:rPr>
        <w:t>ct</w:t>
      </w:r>
      <w:proofErr w:type="spellEnd"/>
      <w:r w:rsidRPr="008A7B6C">
        <w:rPr>
          <w:sz w:val="20"/>
          <w:szCs w:val="20"/>
        </w:rPr>
        <w:t xml:space="preserve">, where </w:t>
      </w:r>
      <w:proofErr w:type="spellStart"/>
      <w:r>
        <w:rPr>
          <w:sz w:val="20"/>
          <w:szCs w:val="20"/>
        </w:rPr>
        <w:t>Rc</w:t>
      </w:r>
      <w:proofErr w:type="spellEnd"/>
      <w:r w:rsidRPr="008A7B6C">
        <w:rPr>
          <w:sz w:val="20"/>
          <w:szCs w:val="20"/>
        </w:rPr>
        <w:t xml:space="preserve"> is </w:t>
      </w:r>
      <w:r>
        <w:rPr>
          <w:sz w:val="20"/>
          <w:szCs w:val="20"/>
        </w:rPr>
        <w:t xml:space="preserve">a monthly </w:t>
      </w:r>
      <w:r w:rsidRPr="008A7B6C">
        <w:rPr>
          <w:sz w:val="20"/>
          <w:szCs w:val="20"/>
        </w:rPr>
        <w:t xml:space="preserve">return on a country index (SOFIX in case of </w:t>
      </w:r>
      <w:r>
        <w:rPr>
          <w:sz w:val="20"/>
          <w:szCs w:val="20"/>
        </w:rPr>
        <w:t>Bulgaria</w:t>
      </w:r>
      <w:r w:rsidRPr="008A7B6C">
        <w:rPr>
          <w:sz w:val="20"/>
          <w:szCs w:val="20"/>
        </w:rPr>
        <w:t xml:space="preserve">) and </w:t>
      </w:r>
      <w:proofErr w:type="spellStart"/>
      <w:r w:rsidRPr="008A7B6C">
        <w:rPr>
          <w:sz w:val="20"/>
          <w:szCs w:val="20"/>
        </w:rPr>
        <w:t>Rm</w:t>
      </w:r>
      <w:proofErr w:type="spellEnd"/>
      <w:r w:rsidRPr="008A7B6C">
        <w:rPr>
          <w:sz w:val="20"/>
          <w:szCs w:val="20"/>
        </w:rPr>
        <w:t xml:space="preserve"> is </w:t>
      </w:r>
      <w:r>
        <w:rPr>
          <w:sz w:val="20"/>
          <w:szCs w:val="20"/>
        </w:rPr>
        <w:t xml:space="preserve">a monthly </w:t>
      </w:r>
      <w:r w:rsidRPr="008A7B6C">
        <w:rPr>
          <w:sz w:val="20"/>
          <w:szCs w:val="20"/>
        </w:rPr>
        <w:t>return on FTSE Euro Top</w:t>
      </w:r>
      <w:r>
        <w:rPr>
          <w:sz w:val="20"/>
          <w:szCs w:val="20"/>
        </w:rPr>
        <w:t xml:space="preserve"> 100</w:t>
      </w:r>
      <w:r w:rsidRPr="008A7B6C">
        <w:rPr>
          <w:sz w:val="20"/>
          <w:szCs w:val="20"/>
        </w:rPr>
        <w:t xml:space="preserve">, selected benchmark for the European </w:t>
      </w:r>
      <w:r>
        <w:rPr>
          <w:sz w:val="20"/>
          <w:szCs w:val="20"/>
        </w:rPr>
        <w:t xml:space="preserve">equity </w:t>
      </w:r>
      <w:r w:rsidRPr="008A7B6C">
        <w:rPr>
          <w:sz w:val="20"/>
          <w:szCs w:val="20"/>
        </w:rPr>
        <w:t xml:space="preserve">market. Beta </w:t>
      </w:r>
      <w:r w:rsidRPr="00334B1F">
        <w:rPr>
          <w:sz w:val="20"/>
          <w:szCs w:val="20"/>
        </w:rPr>
        <w:t xml:space="preserve">measures how prices in </w:t>
      </w:r>
      <w:r>
        <w:rPr>
          <w:sz w:val="20"/>
          <w:szCs w:val="20"/>
        </w:rPr>
        <w:t>each country</w:t>
      </w:r>
      <w:r w:rsidRPr="00334B1F">
        <w:rPr>
          <w:sz w:val="20"/>
          <w:szCs w:val="20"/>
        </w:rPr>
        <w:t xml:space="preserve"> respond to movements in the European market</w:t>
      </w:r>
      <w:r>
        <w:rPr>
          <w:sz w:val="20"/>
          <w:szCs w:val="20"/>
        </w:rPr>
        <w:t xml:space="preserve"> as measured by the </w:t>
      </w:r>
      <w:r w:rsidRPr="008A7B6C">
        <w:rPr>
          <w:sz w:val="20"/>
          <w:szCs w:val="20"/>
        </w:rPr>
        <w:t>FTSE Euro Top</w:t>
      </w:r>
      <w:r>
        <w:rPr>
          <w:sz w:val="20"/>
          <w:szCs w:val="20"/>
        </w:rPr>
        <w:t xml:space="preserve"> 100</w:t>
      </w:r>
      <w:r w:rsidRPr="008A7B6C">
        <w:rPr>
          <w:sz w:val="20"/>
          <w:szCs w:val="20"/>
        </w:rPr>
        <w:t xml:space="preserve">. </w:t>
      </w:r>
    </w:p>
    <w:p w:rsidR="001A4BD7" w:rsidRPr="008A7B6C" w:rsidRDefault="001A4BD7" w:rsidP="004E51F6">
      <w:pPr>
        <w:pStyle w:val="FootnoteText"/>
      </w:pPr>
    </w:p>
  </w:footnote>
  <w:footnote w:id="11">
    <w:p w:rsidR="001A4BD7" w:rsidRPr="009C32DB" w:rsidRDefault="001A4BD7" w:rsidP="009C32DB">
      <w:pPr>
        <w:pStyle w:val="FootnoteText"/>
        <w:jc w:val="both"/>
        <w:rPr>
          <w:rFonts w:ascii="Times New Roman" w:hAnsi="Times New Roman"/>
        </w:rPr>
      </w:pPr>
      <w:r w:rsidRPr="009C32DB">
        <w:rPr>
          <w:rStyle w:val="FootnoteReference"/>
          <w:rFonts w:ascii="Times New Roman" w:hAnsi="Times New Roman"/>
        </w:rPr>
        <w:footnoteRef/>
      </w:r>
      <w:r w:rsidRPr="009C32DB">
        <w:rPr>
          <w:rFonts w:ascii="Times New Roman" w:hAnsi="Times New Roman"/>
        </w:rPr>
        <w:t xml:space="preserve"> </w:t>
      </w:r>
      <w:proofErr w:type="gramStart"/>
      <w:r w:rsidRPr="009C32DB">
        <w:rPr>
          <w:rFonts w:ascii="Times New Roman" w:hAnsi="Times New Roman"/>
          <w:color w:val="000000"/>
        </w:rPr>
        <w:t xml:space="preserve">An account in which the securities of multiple parties are </w:t>
      </w:r>
      <w:r>
        <w:rPr>
          <w:rFonts w:ascii="Times New Roman" w:hAnsi="Times New Roman"/>
          <w:color w:val="000000"/>
        </w:rPr>
        <w:t>recorded together.</w:t>
      </w:r>
      <w:proofErr w:type="gramEnd"/>
      <w:r>
        <w:rPr>
          <w:rFonts w:ascii="Times New Roman" w:hAnsi="Times New Roman"/>
          <w:color w:val="000000"/>
        </w:rPr>
        <w:t xml:space="preserve"> A</w:t>
      </w:r>
      <w:r w:rsidRPr="009C32DB">
        <w:rPr>
          <w:rFonts w:ascii="Times New Roman" w:hAnsi="Times New Roman"/>
          <w:color w:val="000000"/>
        </w:rPr>
        <w:t xml:space="preserve"> participant in a clearing or settlement system often maintains an omnibus account in the system for all its clients, but the identities of individual clients are not revealed.</w:t>
      </w:r>
    </w:p>
  </w:footnote>
  <w:footnote w:id="12">
    <w:p w:rsidR="001A4BD7" w:rsidRDefault="001A4BD7" w:rsidP="006C2705">
      <w:pPr>
        <w:pStyle w:val="FootnoteText"/>
        <w:jc w:val="both"/>
      </w:pPr>
      <w:r w:rsidRPr="001C1E32">
        <w:rPr>
          <w:rStyle w:val="FootnoteReference"/>
          <w:rFonts w:ascii="Times New Roman" w:hAnsi="Times New Roman"/>
        </w:rPr>
        <w:footnoteRef/>
      </w:r>
      <w:r>
        <w:t xml:space="preserve"> </w:t>
      </w:r>
      <w:r w:rsidRPr="0042708D">
        <w:rPr>
          <w:rFonts w:ascii="Times New Roman" w:hAnsi="Times New Roman"/>
        </w:rPr>
        <w:t>The current legal basis does not prevent the CD</w:t>
      </w:r>
      <w:r w:rsidR="00C60CE0">
        <w:rPr>
          <w:rFonts w:ascii="Times New Roman" w:hAnsi="Times New Roman"/>
        </w:rPr>
        <w:t>AD</w:t>
      </w:r>
      <w:r w:rsidRPr="0042708D">
        <w:rPr>
          <w:rFonts w:ascii="Times New Roman" w:hAnsi="Times New Roman"/>
        </w:rPr>
        <w:t xml:space="preserve"> to establish an omnibus system of accounts and use it for connections with other depositories.</w:t>
      </w:r>
    </w:p>
  </w:footnote>
  <w:footnote w:id="13">
    <w:p w:rsidR="001A4BD7" w:rsidRPr="005151D4" w:rsidRDefault="001A4BD7" w:rsidP="009E7E78">
      <w:pPr>
        <w:pStyle w:val="FootnoteText"/>
        <w:rPr>
          <w:rFonts w:ascii="Times New Roman" w:hAnsi="Times New Roman"/>
        </w:rPr>
      </w:pPr>
      <w:r w:rsidRPr="005151D4">
        <w:rPr>
          <w:rStyle w:val="FootnoteReference"/>
          <w:rFonts w:ascii="Times New Roman" w:hAnsi="Times New Roman"/>
        </w:rPr>
        <w:footnoteRef/>
      </w:r>
      <w:r w:rsidRPr="005151D4">
        <w:rPr>
          <w:rFonts w:ascii="Times New Roman" w:hAnsi="Times New Roman"/>
        </w:rPr>
        <w:t xml:space="preserve"> Most </w:t>
      </w:r>
      <w:r>
        <w:rPr>
          <w:rFonts w:ascii="Times New Roman" w:hAnsi="Times New Roman"/>
        </w:rPr>
        <w:t>notably the Investment Service D</w:t>
      </w:r>
      <w:r w:rsidRPr="005151D4">
        <w:rPr>
          <w:rFonts w:ascii="Times New Roman" w:hAnsi="Times New Roman"/>
        </w:rPr>
        <w:t>irective.</w:t>
      </w:r>
    </w:p>
  </w:footnote>
  <w:footnote w:id="14">
    <w:p w:rsidR="001A4BD7" w:rsidRPr="005B04E7" w:rsidRDefault="001A4BD7" w:rsidP="005B04E7">
      <w:pPr>
        <w:pStyle w:val="FootnoteText"/>
        <w:jc w:val="both"/>
        <w:rPr>
          <w:rFonts w:ascii="Times New Roman" w:hAnsi="Times New Roman"/>
        </w:rPr>
      </w:pPr>
      <w:r w:rsidRPr="005B04E7">
        <w:rPr>
          <w:rStyle w:val="FootnoteReference"/>
          <w:rFonts w:ascii="Times New Roman" w:hAnsi="Times New Roman"/>
        </w:rPr>
        <w:footnoteRef/>
      </w:r>
      <w:r w:rsidRPr="005B04E7">
        <w:rPr>
          <w:rFonts w:ascii="Times New Roman" w:hAnsi="Times New Roman"/>
        </w:rPr>
        <w:t xml:space="preserve"> </w:t>
      </w:r>
      <w:r w:rsidRPr="005B04E7">
        <w:rPr>
          <w:rFonts w:ascii="Times New Roman" w:hAnsi="Times New Roman"/>
          <w:lang w:val="en-GB"/>
        </w:rPr>
        <w:t>Securities negotiable on the capital markets, with the exception of instruments of payment such as shares in partnerships and depositary receipts, bonds and securitized debt, other securities giving rise to a cash settlement determined by reference to other transferable securities, currencies, interest rates, commodities.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B581B"/>
    <w:multiLevelType w:val="multilevel"/>
    <w:tmpl w:val="0D5E4B84"/>
    <w:lvl w:ilvl="0">
      <w:start w:val="1"/>
      <w:numFmt w:val="upperRoman"/>
      <w:pStyle w:val="Heading1"/>
      <w:suff w:val="nothing"/>
      <w:lvlText w:val="%1.   "/>
      <w:lvlJc w:val="left"/>
      <w:rPr>
        <w:rFonts w:ascii="Times New Roman" w:hAnsi="Times New Roman" w:cs="Times New Roman" w:hint="default"/>
        <w:b w:val="0"/>
      </w:rPr>
    </w:lvl>
    <w:lvl w:ilvl="1">
      <w:start w:val="1"/>
      <w:numFmt w:val="upperLetter"/>
      <w:pStyle w:val="Heading2"/>
      <w:suff w:val="nothing"/>
      <w:lvlText w:val="%2.   "/>
      <w:lvlJc w:val="left"/>
      <w:rPr>
        <w:rFonts w:cs="Times New Roman"/>
      </w:rPr>
    </w:lvl>
    <w:lvl w:ilvl="2">
      <w:start w:val="1"/>
      <w:numFmt w:val="decimal"/>
      <w:lvlText w:val="%3."/>
      <w:lvlJc w:val="left"/>
      <w:pPr>
        <w:tabs>
          <w:tab w:val="num" w:pos="8190"/>
        </w:tabs>
        <w:ind w:left="7830"/>
      </w:pPr>
      <w:rPr>
        <w:rFonts w:cs="Times New Roman"/>
      </w:rPr>
    </w:lvl>
    <w:lvl w:ilvl="3">
      <w:start w:val="1"/>
      <w:numFmt w:val="lowerLetter"/>
      <w:lvlText w:val="%4)"/>
      <w:lvlJc w:val="left"/>
      <w:pPr>
        <w:tabs>
          <w:tab w:val="num" w:pos="8910"/>
        </w:tabs>
        <w:ind w:left="8550"/>
      </w:pPr>
      <w:rPr>
        <w:rFonts w:cs="Times New Roman"/>
      </w:rPr>
    </w:lvl>
    <w:lvl w:ilvl="4">
      <w:start w:val="1"/>
      <w:numFmt w:val="decimal"/>
      <w:lvlText w:val="(%5)"/>
      <w:lvlJc w:val="left"/>
      <w:pPr>
        <w:tabs>
          <w:tab w:val="num" w:pos="9630"/>
        </w:tabs>
        <w:ind w:left="9270"/>
      </w:pPr>
      <w:rPr>
        <w:rFonts w:cs="Times New Roman"/>
      </w:rPr>
    </w:lvl>
    <w:lvl w:ilvl="5">
      <w:start w:val="1"/>
      <w:numFmt w:val="lowerLetter"/>
      <w:lvlText w:val="(%6)"/>
      <w:lvlJc w:val="left"/>
      <w:pPr>
        <w:tabs>
          <w:tab w:val="num" w:pos="10350"/>
        </w:tabs>
        <w:ind w:left="9990"/>
      </w:pPr>
      <w:rPr>
        <w:rFonts w:cs="Times New Roman"/>
      </w:rPr>
    </w:lvl>
    <w:lvl w:ilvl="6">
      <w:start w:val="1"/>
      <w:numFmt w:val="lowerRoman"/>
      <w:lvlText w:val="(%7)"/>
      <w:lvlJc w:val="left"/>
      <w:pPr>
        <w:tabs>
          <w:tab w:val="num" w:pos="11070"/>
        </w:tabs>
        <w:ind w:left="10710"/>
      </w:pPr>
      <w:rPr>
        <w:rFonts w:cs="Times New Roman"/>
      </w:rPr>
    </w:lvl>
    <w:lvl w:ilvl="7">
      <w:start w:val="1"/>
      <w:numFmt w:val="lowerLetter"/>
      <w:lvlText w:val="(%8)"/>
      <w:lvlJc w:val="left"/>
      <w:pPr>
        <w:tabs>
          <w:tab w:val="num" w:pos="11790"/>
        </w:tabs>
        <w:ind w:left="11430"/>
      </w:pPr>
      <w:rPr>
        <w:rFonts w:cs="Times New Roman"/>
      </w:rPr>
    </w:lvl>
    <w:lvl w:ilvl="8">
      <w:start w:val="1"/>
      <w:numFmt w:val="lowerRoman"/>
      <w:lvlText w:val="(%9)"/>
      <w:lvlJc w:val="left"/>
      <w:pPr>
        <w:tabs>
          <w:tab w:val="num" w:pos="12510"/>
        </w:tabs>
        <w:ind w:left="12150"/>
      </w:pPr>
      <w:rPr>
        <w:rFonts w:cs="Times New Roman"/>
      </w:rPr>
    </w:lvl>
  </w:abstractNum>
  <w:abstractNum w:abstractNumId="1">
    <w:nsid w:val="179D1137"/>
    <w:multiLevelType w:val="hybridMultilevel"/>
    <w:tmpl w:val="F2FAFC18"/>
    <w:lvl w:ilvl="0" w:tplc="B9A6BBD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5164F"/>
    <w:multiLevelType w:val="hybridMultilevel"/>
    <w:tmpl w:val="F2FAFC18"/>
    <w:lvl w:ilvl="0" w:tplc="B9A6BBD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F1099"/>
    <w:multiLevelType w:val="hybridMultilevel"/>
    <w:tmpl w:val="C7BC1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C16377"/>
    <w:multiLevelType w:val="hybridMultilevel"/>
    <w:tmpl w:val="D3A6114E"/>
    <w:lvl w:ilvl="0" w:tplc="47F8756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4A45B9B"/>
    <w:multiLevelType w:val="hybridMultilevel"/>
    <w:tmpl w:val="473C4B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41260F8"/>
    <w:multiLevelType w:val="hybridMultilevel"/>
    <w:tmpl w:val="EFE0FD12"/>
    <w:lvl w:ilvl="0" w:tplc="2FB20412">
      <w:start w:val="1"/>
      <w:numFmt w:val="decimal"/>
      <w:lvlText w:val="%1."/>
      <w:lvlJc w:val="left"/>
      <w:pPr>
        <w:ind w:left="36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607215"/>
    <w:multiLevelType w:val="hybridMultilevel"/>
    <w:tmpl w:val="647E8E60"/>
    <w:lvl w:ilvl="0" w:tplc="C75EE9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9B862F3"/>
    <w:multiLevelType w:val="hybridMultilevel"/>
    <w:tmpl w:val="FEB618A6"/>
    <w:lvl w:ilvl="0" w:tplc="614CFE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43044C"/>
    <w:multiLevelType w:val="hybridMultilevel"/>
    <w:tmpl w:val="83D4BD92"/>
    <w:lvl w:ilvl="0" w:tplc="1FE27B7E">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D660E0"/>
    <w:multiLevelType w:val="hybridMultilevel"/>
    <w:tmpl w:val="D3A6114E"/>
    <w:lvl w:ilvl="0" w:tplc="47F8756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07C3162"/>
    <w:multiLevelType w:val="hybridMultilevel"/>
    <w:tmpl w:val="1186907A"/>
    <w:lvl w:ilvl="0" w:tplc="FB2A3578">
      <w:start w:val="1"/>
      <w:numFmt w:val="decimal"/>
      <w:lvlText w:val="%1."/>
      <w:lvlJc w:val="left"/>
      <w:pPr>
        <w:ind w:left="54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3A6FEC"/>
    <w:multiLevelType w:val="hybridMultilevel"/>
    <w:tmpl w:val="26CA9E24"/>
    <w:lvl w:ilvl="0" w:tplc="045220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71406"/>
    <w:multiLevelType w:val="hybridMultilevel"/>
    <w:tmpl w:val="AD589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D0640D"/>
    <w:multiLevelType w:val="hybridMultilevel"/>
    <w:tmpl w:val="4C1AE854"/>
    <w:lvl w:ilvl="0" w:tplc="E8A46FF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505854"/>
    <w:multiLevelType w:val="multilevel"/>
    <w:tmpl w:val="D794FDBA"/>
    <w:lvl w:ilvl="0">
      <w:start w:val="1"/>
      <w:numFmt w:val="upperRoman"/>
      <w:pStyle w:val="mainnum"/>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51617C7"/>
    <w:multiLevelType w:val="hybridMultilevel"/>
    <w:tmpl w:val="B76C4C88"/>
    <w:lvl w:ilvl="0" w:tplc="96F477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262C60"/>
    <w:multiLevelType w:val="hybridMultilevel"/>
    <w:tmpl w:val="EB50EB2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6"/>
  </w:num>
  <w:num w:numId="4">
    <w:abstractNumId w:val="7"/>
  </w:num>
  <w:num w:numId="5">
    <w:abstractNumId w:val="2"/>
  </w:num>
  <w:num w:numId="6">
    <w:abstractNumId w:val="0"/>
  </w:num>
  <w:num w:numId="7">
    <w:abstractNumId w:val="4"/>
  </w:num>
  <w:num w:numId="8">
    <w:abstractNumId w:val="10"/>
  </w:num>
  <w:num w:numId="9">
    <w:abstractNumId w:val="17"/>
  </w:num>
  <w:num w:numId="10">
    <w:abstractNumId w:val="11"/>
  </w:num>
  <w:num w:numId="11">
    <w:abstractNumId w:val="16"/>
  </w:num>
  <w:num w:numId="12">
    <w:abstractNumId w:val="3"/>
  </w:num>
  <w:num w:numId="13">
    <w:abstractNumId w:val="13"/>
  </w:num>
  <w:num w:numId="14">
    <w:abstractNumId w:val="8"/>
  </w:num>
  <w:num w:numId="15">
    <w:abstractNumId w:val="15"/>
  </w:num>
  <w:num w:numId="16">
    <w:abstractNumId w:val="9"/>
  </w:num>
  <w:num w:numId="17">
    <w:abstractNumId w:val="12"/>
  </w:num>
  <w:num w:numId="18">
    <w:abstractNumId w:val="15"/>
  </w:num>
  <w:num w:numId="19">
    <w:abstractNumId w:val="15"/>
  </w:num>
  <w:num w:numId="20">
    <w:abstractNumId w:val="5"/>
  </w:num>
  <w:num w:numId="21">
    <w:abstractNumId w:val="15"/>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6145"/>
  </w:hdrShapeDefaults>
  <w:footnotePr>
    <w:footnote w:id="-1"/>
    <w:footnote w:id="0"/>
  </w:footnotePr>
  <w:endnotePr>
    <w:endnote w:id="-1"/>
    <w:endnote w:id="0"/>
  </w:endnotePr>
  <w:compat/>
  <w:rsids>
    <w:rsidRoot w:val="00DC1E6C"/>
    <w:rsid w:val="00000700"/>
    <w:rsid w:val="0000140D"/>
    <w:rsid w:val="00001D37"/>
    <w:rsid w:val="00002109"/>
    <w:rsid w:val="00006243"/>
    <w:rsid w:val="00013325"/>
    <w:rsid w:val="000134E6"/>
    <w:rsid w:val="00013C60"/>
    <w:rsid w:val="000149E4"/>
    <w:rsid w:val="0001603B"/>
    <w:rsid w:val="00016B52"/>
    <w:rsid w:val="00020314"/>
    <w:rsid w:val="00021539"/>
    <w:rsid w:val="00021B75"/>
    <w:rsid w:val="00022178"/>
    <w:rsid w:val="00022893"/>
    <w:rsid w:val="00022C45"/>
    <w:rsid w:val="00023359"/>
    <w:rsid w:val="00023D6F"/>
    <w:rsid w:val="00024AFB"/>
    <w:rsid w:val="00025280"/>
    <w:rsid w:val="0002566B"/>
    <w:rsid w:val="00027C93"/>
    <w:rsid w:val="00031D84"/>
    <w:rsid w:val="00032BC6"/>
    <w:rsid w:val="000352D0"/>
    <w:rsid w:val="000356B2"/>
    <w:rsid w:val="000379D8"/>
    <w:rsid w:val="00041CA7"/>
    <w:rsid w:val="00041F27"/>
    <w:rsid w:val="0004253D"/>
    <w:rsid w:val="00042883"/>
    <w:rsid w:val="00043568"/>
    <w:rsid w:val="000437D9"/>
    <w:rsid w:val="0004391F"/>
    <w:rsid w:val="00044193"/>
    <w:rsid w:val="00044A48"/>
    <w:rsid w:val="00045DC2"/>
    <w:rsid w:val="00046D83"/>
    <w:rsid w:val="00047247"/>
    <w:rsid w:val="00047722"/>
    <w:rsid w:val="00047896"/>
    <w:rsid w:val="00051D71"/>
    <w:rsid w:val="00052032"/>
    <w:rsid w:val="0005241A"/>
    <w:rsid w:val="00052472"/>
    <w:rsid w:val="00052F22"/>
    <w:rsid w:val="00053F70"/>
    <w:rsid w:val="00054ED8"/>
    <w:rsid w:val="0005652D"/>
    <w:rsid w:val="0006071D"/>
    <w:rsid w:val="000609DC"/>
    <w:rsid w:val="00062B4B"/>
    <w:rsid w:val="000651DF"/>
    <w:rsid w:val="00065C4D"/>
    <w:rsid w:val="000679CE"/>
    <w:rsid w:val="000701DE"/>
    <w:rsid w:val="00071EEA"/>
    <w:rsid w:val="0007365C"/>
    <w:rsid w:val="000736F4"/>
    <w:rsid w:val="0007378F"/>
    <w:rsid w:val="0007446A"/>
    <w:rsid w:val="000752D0"/>
    <w:rsid w:val="00077312"/>
    <w:rsid w:val="00080B16"/>
    <w:rsid w:val="00081456"/>
    <w:rsid w:val="00081848"/>
    <w:rsid w:val="00081D18"/>
    <w:rsid w:val="00082314"/>
    <w:rsid w:val="000836C3"/>
    <w:rsid w:val="00083D85"/>
    <w:rsid w:val="000843F9"/>
    <w:rsid w:val="000853A6"/>
    <w:rsid w:val="0008591E"/>
    <w:rsid w:val="0009022D"/>
    <w:rsid w:val="000905B4"/>
    <w:rsid w:val="000914B3"/>
    <w:rsid w:val="000917F8"/>
    <w:rsid w:val="00091D73"/>
    <w:rsid w:val="00092949"/>
    <w:rsid w:val="000929F8"/>
    <w:rsid w:val="000960CF"/>
    <w:rsid w:val="000962A6"/>
    <w:rsid w:val="0009724B"/>
    <w:rsid w:val="000974A0"/>
    <w:rsid w:val="00097976"/>
    <w:rsid w:val="000A0A3F"/>
    <w:rsid w:val="000A22F8"/>
    <w:rsid w:val="000A24F2"/>
    <w:rsid w:val="000A2627"/>
    <w:rsid w:val="000A2B98"/>
    <w:rsid w:val="000A3148"/>
    <w:rsid w:val="000A34BC"/>
    <w:rsid w:val="000A3768"/>
    <w:rsid w:val="000A37AD"/>
    <w:rsid w:val="000A39D0"/>
    <w:rsid w:val="000A3B15"/>
    <w:rsid w:val="000A4CE0"/>
    <w:rsid w:val="000A6037"/>
    <w:rsid w:val="000B0A50"/>
    <w:rsid w:val="000B0B2B"/>
    <w:rsid w:val="000B21E7"/>
    <w:rsid w:val="000B5F22"/>
    <w:rsid w:val="000B678E"/>
    <w:rsid w:val="000B684C"/>
    <w:rsid w:val="000B72F8"/>
    <w:rsid w:val="000B74E1"/>
    <w:rsid w:val="000C009F"/>
    <w:rsid w:val="000C0E4E"/>
    <w:rsid w:val="000C10BB"/>
    <w:rsid w:val="000C1D5A"/>
    <w:rsid w:val="000C2687"/>
    <w:rsid w:val="000C2EB7"/>
    <w:rsid w:val="000C4F18"/>
    <w:rsid w:val="000C4FA7"/>
    <w:rsid w:val="000C597F"/>
    <w:rsid w:val="000C7AF7"/>
    <w:rsid w:val="000D08B8"/>
    <w:rsid w:val="000D2083"/>
    <w:rsid w:val="000D22C5"/>
    <w:rsid w:val="000D2329"/>
    <w:rsid w:val="000D24B6"/>
    <w:rsid w:val="000D32CC"/>
    <w:rsid w:val="000D3B29"/>
    <w:rsid w:val="000D542E"/>
    <w:rsid w:val="000D5E4A"/>
    <w:rsid w:val="000D7266"/>
    <w:rsid w:val="000D737F"/>
    <w:rsid w:val="000E04D6"/>
    <w:rsid w:val="000E0501"/>
    <w:rsid w:val="000E057F"/>
    <w:rsid w:val="000E100B"/>
    <w:rsid w:val="000E1471"/>
    <w:rsid w:val="000E1A8D"/>
    <w:rsid w:val="000E228D"/>
    <w:rsid w:val="000E2E79"/>
    <w:rsid w:val="000E3AA5"/>
    <w:rsid w:val="000E6E65"/>
    <w:rsid w:val="000F120F"/>
    <w:rsid w:val="000F1888"/>
    <w:rsid w:val="000F24FA"/>
    <w:rsid w:val="000F27E4"/>
    <w:rsid w:val="000F29C9"/>
    <w:rsid w:val="000F38A5"/>
    <w:rsid w:val="000F3A6F"/>
    <w:rsid w:val="000F3AA4"/>
    <w:rsid w:val="000F4BF4"/>
    <w:rsid w:val="000F4D2E"/>
    <w:rsid w:val="000F580B"/>
    <w:rsid w:val="000F5CE4"/>
    <w:rsid w:val="000F6A1E"/>
    <w:rsid w:val="000F7351"/>
    <w:rsid w:val="001017BC"/>
    <w:rsid w:val="00102023"/>
    <w:rsid w:val="0010215E"/>
    <w:rsid w:val="00102F10"/>
    <w:rsid w:val="001045F4"/>
    <w:rsid w:val="0010656C"/>
    <w:rsid w:val="001071BE"/>
    <w:rsid w:val="001107B3"/>
    <w:rsid w:val="00111180"/>
    <w:rsid w:val="00111827"/>
    <w:rsid w:val="00111D23"/>
    <w:rsid w:val="00111E90"/>
    <w:rsid w:val="0011205B"/>
    <w:rsid w:val="00112336"/>
    <w:rsid w:val="0011265E"/>
    <w:rsid w:val="0011330B"/>
    <w:rsid w:val="0011390E"/>
    <w:rsid w:val="00114021"/>
    <w:rsid w:val="00120050"/>
    <w:rsid w:val="00120434"/>
    <w:rsid w:val="0012171D"/>
    <w:rsid w:val="001231A7"/>
    <w:rsid w:val="00124D02"/>
    <w:rsid w:val="0012522C"/>
    <w:rsid w:val="001254EE"/>
    <w:rsid w:val="0012596F"/>
    <w:rsid w:val="00125BAD"/>
    <w:rsid w:val="00126350"/>
    <w:rsid w:val="0012736F"/>
    <w:rsid w:val="00127E46"/>
    <w:rsid w:val="00131858"/>
    <w:rsid w:val="00131BBA"/>
    <w:rsid w:val="00131D19"/>
    <w:rsid w:val="0013359C"/>
    <w:rsid w:val="0013494B"/>
    <w:rsid w:val="001352EA"/>
    <w:rsid w:val="00135EEF"/>
    <w:rsid w:val="00137693"/>
    <w:rsid w:val="00141510"/>
    <w:rsid w:val="001418DF"/>
    <w:rsid w:val="00142D87"/>
    <w:rsid w:val="00143D5B"/>
    <w:rsid w:val="001440AD"/>
    <w:rsid w:val="00144537"/>
    <w:rsid w:val="00145EA6"/>
    <w:rsid w:val="00146A50"/>
    <w:rsid w:val="00150563"/>
    <w:rsid w:val="001507EF"/>
    <w:rsid w:val="001522A2"/>
    <w:rsid w:val="00152650"/>
    <w:rsid w:val="001531AD"/>
    <w:rsid w:val="001538B4"/>
    <w:rsid w:val="00155054"/>
    <w:rsid w:val="001559E7"/>
    <w:rsid w:val="00155B3E"/>
    <w:rsid w:val="00155B5F"/>
    <w:rsid w:val="00155CBE"/>
    <w:rsid w:val="00155ED5"/>
    <w:rsid w:val="00157456"/>
    <w:rsid w:val="00157AFA"/>
    <w:rsid w:val="00157F14"/>
    <w:rsid w:val="001601F8"/>
    <w:rsid w:val="00160258"/>
    <w:rsid w:val="001607BF"/>
    <w:rsid w:val="0016163A"/>
    <w:rsid w:val="00163D29"/>
    <w:rsid w:val="00163F01"/>
    <w:rsid w:val="00164019"/>
    <w:rsid w:val="00166828"/>
    <w:rsid w:val="00166A04"/>
    <w:rsid w:val="00167162"/>
    <w:rsid w:val="001706B8"/>
    <w:rsid w:val="00170B1C"/>
    <w:rsid w:val="00170EF9"/>
    <w:rsid w:val="0017117C"/>
    <w:rsid w:val="001738B8"/>
    <w:rsid w:val="00173A5C"/>
    <w:rsid w:val="001741AB"/>
    <w:rsid w:val="001748E6"/>
    <w:rsid w:val="0017557A"/>
    <w:rsid w:val="0017691A"/>
    <w:rsid w:val="00182C89"/>
    <w:rsid w:val="00184800"/>
    <w:rsid w:val="00185126"/>
    <w:rsid w:val="001852A8"/>
    <w:rsid w:val="001874D2"/>
    <w:rsid w:val="00190762"/>
    <w:rsid w:val="0019106A"/>
    <w:rsid w:val="00192181"/>
    <w:rsid w:val="0019307B"/>
    <w:rsid w:val="001936F6"/>
    <w:rsid w:val="00193A70"/>
    <w:rsid w:val="001948FD"/>
    <w:rsid w:val="00194BD9"/>
    <w:rsid w:val="00194F9C"/>
    <w:rsid w:val="0019543C"/>
    <w:rsid w:val="00196082"/>
    <w:rsid w:val="00197341"/>
    <w:rsid w:val="0019748C"/>
    <w:rsid w:val="001979DE"/>
    <w:rsid w:val="001A06C5"/>
    <w:rsid w:val="001A0DC7"/>
    <w:rsid w:val="001A28AE"/>
    <w:rsid w:val="001A3506"/>
    <w:rsid w:val="001A36D2"/>
    <w:rsid w:val="001A37C1"/>
    <w:rsid w:val="001A4BD7"/>
    <w:rsid w:val="001A5243"/>
    <w:rsid w:val="001A5300"/>
    <w:rsid w:val="001A55AE"/>
    <w:rsid w:val="001A65DF"/>
    <w:rsid w:val="001A6DCB"/>
    <w:rsid w:val="001B07A9"/>
    <w:rsid w:val="001B0C06"/>
    <w:rsid w:val="001B0F4F"/>
    <w:rsid w:val="001B12A6"/>
    <w:rsid w:val="001B262D"/>
    <w:rsid w:val="001B298D"/>
    <w:rsid w:val="001B447F"/>
    <w:rsid w:val="001B45E4"/>
    <w:rsid w:val="001B4B2C"/>
    <w:rsid w:val="001B51DE"/>
    <w:rsid w:val="001B5295"/>
    <w:rsid w:val="001B5411"/>
    <w:rsid w:val="001B69BA"/>
    <w:rsid w:val="001B6ACC"/>
    <w:rsid w:val="001B6E3C"/>
    <w:rsid w:val="001B730B"/>
    <w:rsid w:val="001B73DB"/>
    <w:rsid w:val="001B73EE"/>
    <w:rsid w:val="001C0255"/>
    <w:rsid w:val="001C1E32"/>
    <w:rsid w:val="001C1EA7"/>
    <w:rsid w:val="001C20C2"/>
    <w:rsid w:val="001C20DF"/>
    <w:rsid w:val="001C236C"/>
    <w:rsid w:val="001C2781"/>
    <w:rsid w:val="001C2B4D"/>
    <w:rsid w:val="001C3A6B"/>
    <w:rsid w:val="001C4B3F"/>
    <w:rsid w:val="001C6393"/>
    <w:rsid w:val="001C7EFF"/>
    <w:rsid w:val="001D0A3C"/>
    <w:rsid w:val="001D0CFD"/>
    <w:rsid w:val="001D109D"/>
    <w:rsid w:val="001D2527"/>
    <w:rsid w:val="001D2FBC"/>
    <w:rsid w:val="001D3720"/>
    <w:rsid w:val="001D465F"/>
    <w:rsid w:val="001D573C"/>
    <w:rsid w:val="001D64D9"/>
    <w:rsid w:val="001D6766"/>
    <w:rsid w:val="001D7BB8"/>
    <w:rsid w:val="001D7CC8"/>
    <w:rsid w:val="001E00F4"/>
    <w:rsid w:val="001E08AC"/>
    <w:rsid w:val="001E0CB9"/>
    <w:rsid w:val="001E0DFD"/>
    <w:rsid w:val="001E2C15"/>
    <w:rsid w:val="001E3C77"/>
    <w:rsid w:val="001E61CC"/>
    <w:rsid w:val="001E7746"/>
    <w:rsid w:val="001E7A1C"/>
    <w:rsid w:val="001F20F2"/>
    <w:rsid w:val="001F2993"/>
    <w:rsid w:val="001F2BBC"/>
    <w:rsid w:val="001F35C9"/>
    <w:rsid w:val="001F4153"/>
    <w:rsid w:val="001F4EF9"/>
    <w:rsid w:val="001F530D"/>
    <w:rsid w:val="001F7125"/>
    <w:rsid w:val="00200ABA"/>
    <w:rsid w:val="00201F61"/>
    <w:rsid w:val="00202459"/>
    <w:rsid w:val="00203447"/>
    <w:rsid w:val="0020399C"/>
    <w:rsid w:val="002040C3"/>
    <w:rsid w:val="00204805"/>
    <w:rsid w:val="00204DE8"/>
    <w:rsid w:val="00205180"/>
    <w:rsid w:val="002057B8"/>
    <w:rsid w:val="0020751A"/>
    <w:rsid w:val="002101CB"/>
    <w:rsid w:val="00211D42"/>
    <w:rsid w:val="00211E40"/>
    <w:rsid w:val="00212610"/>
    <w:rsid w:val="00212860"/>
    <w:rsid w:val="00213605"/>
    <w:rsid w:val="00213CFD"/>
    <w:rsid w:val="002145E5"/>
    <w:rsid w:val="00215A3A"/>
    <w:rsid w:val="00216DEE"/>
    <w:rsid w:val="00217560"/>
    <w:rsid w:val="002176ED"/>
    <w:rsid w:val="00217FCD"/>
    <w:rsid w:val="00221115"/>
    <w:rsid w:val="0022188D"/>
    <w:rsid w:val="00221897"/>
    <w:rsid w:val="002222FB"/>
    <w:rsid w:val="002224C4"/>
    <w:rsid w:val="002229CE"/>
    <w:rsid w:val="00224DD7"/>
    <w:rsid w:val="002261E4"/>
    <w:rsid w:val="0022662B"/>
    <w:rsid w:val="00227F7C"/>
    <w:rsid w:val="0023062F"/>
    <w:rsid w:val="00230957"/>
    <w:rsid w:val="0023104B"/>
    <w:rsid w:val="00232F26"/>
    <w:rsid w:val="0023301F"/>
    <w:rsid w:val="00236491"/>
    <w:rsid w:val="0023703F"/>
    <w:rsid w:val="002403EC"/>
    <w:rsid w:val="0024075F"/>
    <w:rsid w:val="00240A67"/>
    <w:rsid w:val="00240C80"/>
    <w:rsid w:val="00240DE7"/>
    <w:rsid w:val="00241676"/>
    <w:rsid w:val="002418F8"/>
    <w:rsid w:val="00243BCB"/>
    <w:rsid w:val="00245643"/>
    <w:rsid w:val="0024612B"/>
    <w:rsid w:val="00246838"/>
    <w:rsid w:val="00246C59"/>
    <w:rsid w:val="00250719"/>
    <w:rsid w:val="00251194"/>
    <w:rsid w:val="00252F3B"/>
    <w:rsid w:val="002561AC"/>
    <w:rsid w:val="0025726A"/>
    <w:rsid w:val="00257B4B"/>
    <w:rsid w:val="00257C30"/>
    <w:rsid w:val="00257DD6"/>
    <w:rsid w:val="002603B7"/>
    <w:rsid w:val="002607FA"/>
    <w:rsid w:val="002609A1"/>
    <w:rsid w:val="00261976"/>
    <w:rsid w:val="00261A78"/>
    <w:rsid w:val="00262139"/>
    <w:rsid w:val="00266BAD"/>
    <w:rsid w:val="00267913"/>
    <w:rsid w:val="00270943"/>
    <w:rsid w:val="00271715"/>
    <w:rsid w:val="00272D67"/>
    <w:rsid w:val="002738C6"/>
    <w:rsid w:val="00274181"/>
    <w:rsid w:val="002741E4"/>
    <w:rsid w:val="00275872"/>
    <w:rsid w:val="0027670C"/>
    <w:rsid w:val="0027722E"/>
    <w:rsid w:val="00280531"/>
    <w:rsid w:val="00280C3A"/>
    <w:rsid w:val="0028154A"/>
    <w:rsid w:val="00281C36"/>
    <w:rsid w:val="00282746"/>
    <w:rsid w:val="00282FBE"/>
    <w:rsid w:val="0028346F"/>
    <w:rsid w:val="00283B98"/>
    <w:rsid w:val="0028440F"/>
    <w:rsid w:val="0028493A"/>
    <w:rsid w:val="00284A33"/>
    <w:rsid w:val="0028538F"/>
    <w:rsid w:val="002900B2"/>
    <w:rsid w:val="002911A7"/>
    <w:rsid w:val="00291470"/>
    <w:rsid w:val="0029280E"/>
    <w:rsid w:val="00292887"/>
    <w:rsid w:val="002928D8"/>
    <w:rsid w:val="0029338B"/>
    <w:rsid w:val="002955DA"/>
    <w:rsid w:val="002956A1"/>
    <w:rsid w:val="00295B4E"/>
    <w:rsid w:val="00296B0D"/>
    <w:rsid w:val="00296FA2"/>
    <w:rsid w:val="002A08E6"/>
    <w:rsid w:val="002A0ED2"/>
    <w:rsid w:val="002A1356"/>
    <w:rsid w:val="002A17E4"/>
    <w:rsid w:val="002A35EC"/>
    <w:rsid w:val="002A4044"/>
    <w:rsid w:val="002A44F4"/>
    <w:rsid w:val="002A4CEB"/>
    <w:rsid w:val="002A5495"/>
    <w:rsid w:val="002A5FFA"/>
    <w:rsid w:val="002A6679"/>
    <w:rsid w:val="002A6EF1"/>
    <w:rsid w:val="002A70CC"/>
    <w:rsid w:val="002A7114"/>
    <w:rsid w:val="002A72D4"/>
    <w:rsid w:val="002A72DA"/>
    <w:rsid w:val="002B06CD"/>
    <w:rsid w:val="002B1F72"/>
    <w:rsid w:val="002B2014"/>
    <w:rsid w:val="002B32A0"/>
    <w:rsid w:val="002B342C"/>
    <w:rsid w:val="002B3C1C"/>
    <w:rsid w:val="002B4099"/>
    <w:rsid w:val="002B4C50"/>
    <w:rsid w:val="002B63C1"/>
    <w:rsid w:val="002B651E"/>
    <w:rsid w:val="002B6853"/>
    <w:rsid w:val="002B6A54"/>
    <w:rsid w:val="002B7593"/>
    <w:rsid w:val="002C07EC"/>
    <w:rsid w:val="002C2322"/>
    <w:rsid w:val="002C2D84"/>
    <w:rsid w:val="002C2E0B"/>
    <w:rsid w:val="002C6270"/>
    <w:rsid w:val="002C6FAF"/>
    <w:rsid w:val="002C798C"/>
    <w:rsid w:val="002D0B72"/>
    <w:rsid w:val="002D100A"/>
    <w:rsid w:val="002D10E8"/>
    <w:rsid w:val="002D1925"/>
    <w:rsid w:val="002D1C8E"/>
    <w:rsid w:val="002D3374"/>
    <w:rsid w:val="002D3894"/>
    <w:rsid w:val="002D5216"/>
    <w:rsid w:val="002D53B1"/>
    <w:rsid w:val="002D5772"/>
    <w:rsid w:val="002D6A05"/>
    <w:rsid w:val="002E3A28"/>
    <w:rsid w:val="002E42B2"/>
    <w:rsid w:val="002E4816"/>
    <w:rsid w:val="002E62B3"/>
    <w:rsid w:val="002F0194"/>
    <w:rsid w:val="002F01FA"/>
    <w:rsid w:val="002F1F44"/>
    <w:rsid w:val="002F219F"/>
    <w:rsid w:val="002F3B51"/>
    <w:rsid w:val="002F42AB"/>
    <w:rsid w:val="002F49F5"/>
    <w:rsid w:val="002F5B80"/>
    <w:rsid w:val="002F6E0D"/>
    <w:rsid w:val="002F79F7"/>
    <w:rsid w:val="00300965"/>
    <w:rsid w:val="003015F5"/>
    <w:rsid w:val="00302CF9"/>
    <w:rsid w:val="00302F04"/>
    <w:rsid w:val="003030D6"/>
    <w:rsid w:val="0030336C"/>
    <w:rsid w:val="00303BF5"/>
    <w:rsid w:val="00303C36"/>
    <w:rsid w:val="00303F0E"/>
    <w:rsid w:val="00304E0C"/>
    <w:rsid w:val="003051C4"/>
    <w:rsid w:val="00307337"/>
    <w:rsid w:val="0030751C"/>
    <w:rsid w:val="0031075E"/>
    <w:rsid w:val="003107A8"/>
    <w:rsid w:val="00311D86"/>
    <w:rsid w:val="00311EA9"/>
    <w:rsid w:val="00311F7D"/>
    <w:rsid w:val="00312213"/>
    <w:rsid w:val="003123F7"/>
    <w:rsid w:val="0031272E"/>
    <w:rsid w:val="0031572D"/>
    <w:rsid w:val="003162FD"/>
    <w:rsid w:val="003230F3"/>
    <w:rsid w:val="00323BA4"/>
    <w:rsid w:val="00323C95"/>
    <w:rsid w:val="0032671C"/>
    <w:rsid w:val="003300AE"/>
    <w:rsid w:val="0033036A"/>
    <w:rsid w:val="0033100B"/>
    <w:rsid w:val="00331B9F"/>
    <w:rsid w:val="00332EE1"/>
    <w:rsid w:val="003337D4"/>
    <w:rsid w:val="00333C78"/>
    <w:rsid w:val="00334B1F"/>
    <w:rsid w:val="00334D07"/>
    <w:rsid w:val="00335F23"/>
    <w:rsid w:val="00336515"/>
    <w:rsid w:val="00337809"/>
    <w:rsid w:val="00337AD6"/>
    <w:rsid w:val="00337F66"/>
    <w:rsid w:val="003412BC"/>
    <w:rsid w:val="003413AD"/>
    <w:rsid w:val="00341EA5"/>
    <w:rsid w:val="0034261D"/>
    <w:rsid w:val="003427E1"/>
    <w:rsid w:val="00344EFC"/>
    <w:rsid w:val="00344FD6"/>
    <w:rsid w:val="003453C5"/>
    <w:rsid w:val="00345816"/>
    <w:rsid w:val="00352513"/>
    <w:rsid w:val="0035266F"/>
    <w:rsid w:val="00352A07"/>
    <w:rsid w:val="00352B34"/>
    <w:rsid w:val="00352D03"/>
    <w:rsid w:val="00354F06"/>
    <w:rsid w:val="0035616B"/>
    <w:rsid w:val="00356DF1"/>
    <w:rsid w:val="00356F37"/>
    <w:rsid w:val="00357904"/>
    <w:rsid w:val="00360902"/>
    <w:rsid w:val="003625FF"/>
    <w:rsid w:val="00362951"/>
    <w:rsid w:val="00362A00"/>
    <w:rsid w:val="00363248"/>
    <w:rsid w:val="003634FF"/>
    <w:rsid w:val="003641FA"/>
    <w:rsid w:val="00364A20"/>
    <w:rsid w:val="0036559C"/>
    <w:rsid w:val="00365B27"/>
    <w:rsid w:val="003717C3"/>
    <w:rsid w:val="00373215"/>
    <w:rsid w:val="00373847"/>
    <w:rsid w:val="00374EFA"/>
    <w:rsid w:val="003752A5"/>
    <w:rsid w:val="00376EA7"/>
    <w:rsid w:val="00380316"/>
    <w:rsid w:val="003827DA"/>
    <w:rsid w:val="00382BDF"/>
    <w:rsid w:val="00382DFA"/>
    <w:rsid w:val="00383994"/>
    <w:rsid w:val="00384C9F"/>
    <w:rsid w:val="00385803"/>
    <w:rsid w:val="003868CB"/>
    <w:rsid w:val="0039042D"/>
    <w:rsid w:val="003904EF"/>
    <w:rsid w:val="00391FBF"/>
    <w:rsid w:val="00392F9C"/>
    <w:rsid w:val="0039356D"/>
    <w:rsid w:val="00396342"/>
    <w:rsid w:val="003978B7"/>
    <w:rsid w:val="003A0E05"/>
    <w:rsid w:val="003A12B1"/>
    <w:rsid w:val="003A1F36"/>
    <w:rsid w:val="003A277C"/>
    <w:rsid w:val="003A2F25"/>
    <w:rsid w:val="003A3420"/>
    <w:rsid w:val="003A3A72"/>
    <w:rsid w:val="003A4133"/>
    <w:rsid w:val="003A421D"/>
    <w:rsid w:val="003A52FE"/>
    <w:rsid w:val="003A579B"/>
    <w:rsid w:val="003A5EAA"/>
    <w:rsid w:val="003A7828"/>
    <w:rsid w:val="003B11B0"/>
    <w:rsid w:val="003B1F50"/>
    <w:rsid w:val="003B202B"/>
    <w:rsid w:val="003B207D"/>
    <w:rsid w:val="003B2B1A"/>
    <w:rsid w:val="003B4811"/>
    <w:rsid w:val="003B4FC2"/>
    <w:rsid w:val="003B78A9"/>
    <w:rsid w:val="003C054F"/>
    <w:rsid w:val="003C0662"/>
    <w:rsid w:val="003C292A"/>
    <w:rsid w:val="003C2D03"/>
    <w:rsid w:val="003C2E48"/>
    <w:rsid w:val="003C34E2"/>
    <w:rsid w:val="003C3852"/>
    <w:rsid w:val="003C41B7"/>
    <w:rsid w:val="003C5D99"/>
    <w:rsid w:val="003C60A8"/>
    <w:rsid w:val="003C6D01"/>
    <w:rsid w:val="003C7CB6"/>
    <w:rsid w:val="003D0001"/>
    <w:rsid w:val="003D049B"/>
    <w:rsid w:val="003D0DCD"/>
    <w:rsid w:val="003D101C"/>
    <w:rsid w:val="003D3E99"/>
    <w:rsid w:val="003D44CE"/>
    <w:rsid w:val="003D714F"/>
    <w:rsid w:val="003E0924"/>
    <w:rsid w:val="003E357B"/>
    <w:rsid w:val="003E377F"/>
    <w:rsid w:val="003E5B44"/>
    <w:rsid w:val="003E60BD"/>
    <w:rsid w:val="003E65FE"/>
    <w:rsid w:val="003E7F5A"/>
    <w:rsid w:val="003F0994"/>
    <w:rsid w:val="003F0B7A"/>
    <w:rsid w:val="003F24F4"/>
    <w:rsid w:val="003F2736"/>
    <w:rsid w:val="003F3DB7"/>
    <w:rsid w:val="003F4712"/>
    <w:rsid w:val="003F4C51"/>
    <w:rsid w:val="003F5A4C"/>
    <w:rsid w:val="003F5C2B"/>
    <w:rsid w:val="004038D8"/>
    <w:rsid w:val="00405052"/>
    <w:rsid w:val="0040666A"/>
    <w:rsid w:val="0040730B"/>
    <w:rsid w:val="00407781"/>
    <w:rsid w:val="00407CC2"/>
    <w:rsid w:val="00410768"/>
    <w:rsid w:val="00411335"/>
    <w:rsid w:val="004117DE"/>
    <w:rsid w:val="00411A14"/>
    <w:rsid w:val="00411FD9"/>
    <w:rsid w:val="00412424"/>
    <w:rsid w:val="00412A6E"/>
    <w:rsid w:val="004136F7"/>
    <w:rsid w:val="004167B6"/>
    <w:rsid w:val="00417324"/>
    <w:rsid w:val="004200FF"/>
    <w:rsid w:val="004202C2"/>
    <w:rsid w:val="00420B0E"/>
    <w:rsid w:val="00421C1B"/>
    <w:rsid w:val="00421E63"/>
    <w:rsid w:val="0042219C"/>
    <w:rsid w:val="00422587"/>
    <w:rsid w:val="00422A5C"/>
    <w:rsid w:val="0042429C"/>
    <w:rsid w:val="004247C2"/>
    <w:rsid w:val="00424F0E"/>
    <w:rsid w:val="004252FE"/>
    <w:rsid w:val="00425331"/>
    <w:rsid w:val="00427272"/>
    <w:rsid w:val="004274B0"/>
    <w:rsid w:val="00427965"/>
    <w:rsid w:val="00430AD5"/>
    <w:rsid w:val="00430CA4"/>
    <w:rsid w:val="00430E3F"/>
    <w:rsid w:val="00433238"/>
    <w:rsid w:val="00433975"/>
    <w:rsid w:val="00433A6A"/>
    <w:rsid w:val="004361AF"/>
    <w:rsid w:val="004375F8"/>
    <w:rsid w:val="0043782A"/>
    <w:rsid w:val="00437942"/>
    <w:rsid w:val="00437F72"/>
    <w:rsid w:val="00440BD0"/>
    <w:rsid w:val="00440D1A"/>
    <w:rsid w:val="00441562"/>
    <w:rsid w:val="00441758"/>
    <w:rsid w:val="00441A8A"/>
    <w:rsid w:val="00441EC5"/>
    <w:rsid w:val="00443263"/>
    <w:rsid w:val="004435C1"/>
    <w:rsid w:val="00445620"/>
    <w:rsid w:val="00446814"/>
    <w:rsid w:val="00446980"/>
    <w:rsid w:val="0044722A"/>
    <w:rsid w:val="00447B06"/>
    <w:rsid w:val="00451165"/>
    <w:rsid w:val="00451345"/>
    <w:rsid w:val="00451383"/>
    <w:rsid w:val="004514B9"/>
    <w:rsid w:val="00451B06"/>
    <w:rsid w:val="00452543"/>
    <w:rsid w:val="00454E41"/>
    <w:rsid w:val="00454F81"/>
    <w:rsid w:val="004555CB"/>
    <w:rsid w:val="00455604"/>
    <w:rsid w:val="00455A01"/>
    <w:rsid w:val="004569F6"/>
    <w:rsid w:val="00457255"/>
    <w:rsid w:val="00457534"/>
    <w:rsid w:val="00457773"/>
    <w:rsid w:val="00457925"/>
    <w:rsid w:val="00457F9A"/>
    <w:rsid w:val="00462B51"/>
    <w:rsid w:val="00462C3B"/>
    <w:rsid w:val="004641E4"/>
    <w:rsid w:val="00464706"/>
    <w:rsid w:val="00464951"/>
    <w:rsid w:val="00465769"/>
    <w:rsid w:val="00467D58"/>
    <w:rsid w:val="0047095A"/>
    <w:rsid w:val="00471362"/>
    <w:rsid w:val="00471741"/>
    <w:rsid w:val="004723C0"/>
    <w:rsid w:val="004731B9"/>
    <w:rsid w:val="004734BC"/>
    <w:rsid w:val="00473A75"/>
    <w:rsid w:val="00473E20"/>
    <w:rsid w:val="00475180"/>
    <w:rsid w:val="00475362"/>
    <w:rsid w:val="00475475"/>
    <w:rsid w:val="00476063"/>
    <w:rsid w:val="0047708F"/>
    <w:rsid w:val="00477D68"/>
    <w:rsid w:val="00477D83"/>
    <w:rsid w:val="0048111A"/>
    <w:rsid w:val="00482673"/>
    <w:rsid w:val="004830A5"/>
    <w:rsid w:val="00484332"/>
    <w:rsid w:val="004858D2"/>
    <w:rsid w:val="00486C61"/>
    <w:rsid w:val="00490420"/>
    <w:rsid w:val="004908ED"/>
    <w:rsid w:val="00493143"/>
    <w:rsid w:val="0049339C"/>
    <w:rsid w:val="004948FF"/>
    <w:rsid w:val="00494E25"/>
    <w:rsid w:val="00495FE9"/>
    <w:rsid w:val="004965F0"/>
    <w:rsid w:val="00496AC3"/>
    <w:rsid w:val="004975A2"/>
    <w:rsid w:val="00497705"/>
    <w:rsid w:val="004A0A05"/>
    <w:rsid w:val="004A254A"/>
    <w:rsid w:val="004A3515"/>
    <w:rsid w:val="004B00F8"/>
    <w:rsid w:val="004B02F6"/>
    <w:rsid w:val="004B038C"/>
    <w:rsid w:val="004B0532"/>
    <w:rsid w:val="004B0543"/>
    <w:rsid w:val="004B1001"/>
    <w:rsid w:val="004B1BB1"/>
    <w:rsid w:val="004B1D69"/>
    <w:rsid w:val="004B23BC"/>
    <w:rsid w:val="004B5F93"/>
    <w:rsid w:val="004C0124"/>
    <w:rsid w:val="004C032E"/>
    <w:rsid w:val="004C07EE"/>
    <w:rsid w:val="004C25F5"/>
    <w:rsid w:val="004C5446"/>
    <w:rsid w:val="004C5E5D"/>
    <w:rsid w:val="004C6550"/>
    <w:rsid w:val="004C7491"/>
    <w:rsid w:val="004D0932"/>
    <w:rsid w:val="004D1841"/>
    <w:rsid w:val="004D331C"/>
    <w:rsid w:val="004D449C"/>
    <w:rsid w:val="004D6B4D"/>
    <w:rsid w:val="004D7863"/>
    <w:rsid w:val="004E16C2"/>
    <w:rsid w:val="004E1B13"/>
    <w:rsid w:val="004E1D7B"/>
    <w:rsid w:val="004E35F9"/>
    <w:rsid w:val="004E3A75"/>
    <w:rsid w:val="004E3BD9"/>
    <w:rsid w:val="004E3C1B"/>
    <w:rsid w:val="004E51F6"/>
    <w:rsid w:val="004E54F6"/>
    <w:rsid w:val="004E6DCD"/>
    <w:rsid w:val="004F07AA"/>
    <w:rsid w:val="004F083E"/>
    <w:rsid w:val="004F12FD"/>
    <w:rsid w:val="004F16D4"/>
    <w:rsid w:val="004F2420"/>
    <w:rsid w:val="004F311F"/>
    <w:rsid w:val="004F38CB"/>
    <w:rsid w:val="004F4ECD"/>
    <w:rsid w:val="004F60A2"/>
    <w:rsid w:val="00501261"/>
    <w:rsid w:val="005017DD"/>
    <w:rsid w:val="0050238A"/>
    <w:rsid w:val="00503738"/>
    <w:rsid w:val="00503B6B"/>
    <w:rsid w:val="00504ACF"/>
    <w:rsid w:val="00504F91"/>
    <w:rsid w:val="005055AF"/>
    <w:rsid w:val="00506E36"/>
    <w:rsid w:val="005107E7"/>
    <w:rsid w:val="00510A45"/>
    <w:rsid w:val="0051126C"/>
    <w:rsid w:val="0051396A"/>
    <w:rsid w:val="00513BC4"/>
    <w:rsid w:val="00514DE5"/>
    <w:rsid w:val="0051601F"/>
    <w:rsid w:val="005167D8"/>
    <w:rsid w:val="00517C52"/>
    <w:rsid w:val="00520DA8"/>
    <w:rsid w:val="00522037"/>
    <w:rsid w:val="00523572"/>
    <w:rsid w:val="0052545D"/>
    <w:rsid w:val="00527368"/>
    <w:rsid w:val="00527429"/>
    <w:rsid w:val="005304C7"/>
    <w:rsid w:val="00531319"/>
    <w:rsid w:val="005319E9"/>
    <w:rsid w:val="00531DC7"/>
    <w:rsid w:val="00532E96"/>
    <w:rsid w:val="005339C7"/>
    <w:rsid w:val="00534749"/>
    <w:rsid w:val="005348D4"/>
    <w:rsid w:val="0053742D"/>
    <w:rsid w:val="00537C33"/>
    <w:rsid w:val="005405D6"/>
    <w:rsid w:val="005418C4"/>
    <w:rsid w:val="005418FD"/>
    <w:rsid w:val="005421EB"/>
    <w:rsid w:val="005422D0"/>
    <w:rsid w:val="00542AAE"/>
    <w:rsid w:val="0054490A"/>
    <w:rsid w:val="00544A20"/>
    <w:rsid w:val="0054520F"/>
    <w:rsid w:val="005455AA"/>
    <w:rsid w:val="00546EFD"/>
    <w:rsid w:val="00547FA2"/>
    <w:rsid w:val="00550555"/>
    <w:rsid w:val="00551375"/>
    <w:rsid w:val="00552AF2"/>
    <w:rsid w:val="00554A02"/>
    <w:rsid w:val="00555A4E"/>
    <w:rsid w:val="00555AFF"/>
    <w:rsid w:val="00555F11"/>
    <w:rsid w:val="00556A46"/>
    <w:rsid w:val="00556F0E"/>
    <w:rsid w:val="005573A5"/>
    <w:rsid w:val="00561E80"/>
    <w:rsid w:val="00563005"/>
    <w:rsid w:val="005646BB"/>
    <w:rsid w:val="00564D8C"/>
    <w:rsid w:val="00565887"/>
    <w:rsid w:val="00566B6A"/>
    <w:rsid w:val="005717F3"/>
    <w:rsid w:val="00571B2B"/>
    <w:rsid w:val="00572FD1"/>
    <w:rsid w:val="00574287"/>
    <w:rsid w:val="00576561"/>
    <w:rsid w:val="00582C74"/>
    <w:rsid w:val="00586756"/>
    <w:rsid w:val="005868CF"/>
    <w:rsid w:val="00587571"/>
    <w:rsid w:val="00590772"/>
    <w:rsid w:val="00590A6B"/>
    <w:rsid w:val="00590EAA"/>
    <w:rsid w:val="00591FCF"/>
    <w:rsid w:val="005922EB"/>
    <w:rsid w:val="00592333"/>
    <w:rsid w:val="00592D6E"/>
    <w:rsid w:val="0059312B"/>
    <w:rsid w:val="00595686"/>
    <w:rsid w:val="0059576F"/>
    <w:rsid w:val="00595C21"/>
    <w:rsid w:val="00595CDB"/>
    <w:rsid w:val="00595E76"/>
    <w:rsid w:val="00597F8C"/>
    <w:rsid w:val="005A033B"/>
    <w:rsid w:val="005A2595"/>
    <w:rsid w:val="005A36D8"/>
    <w:rsid w:val="005A3B78"/>
    <w:rsid w:val="005A3ED5"/>
    <w:rsid w:val="005A410A"/>
    <w:rsid w:val="005A41EA"/>
    <w:rsid w:val="005A6658"/>
    <w:rsid w:val="005A682B"/>
    <w:rsid w:val="005A7329"/>
    <w:rsid w:val="005B04E7"/>
    <w:rsid w:val="005B0526"/>
    <w:rsid w:val="005B0697"/>
    <w:rsid w:val="005B160A"/>
    <w:rsid w:val="005B28E5"/>
    <w:rsid w:val="005B2FFB"/>
    <w:rsid w:val="005B396B"/>
    <w:rsid w:val="005B3BD2"/>
    <w:rsid w:val="005B3E20"/>
    <w:rsid w:val="005B58F3"/>
    <w:rsid w:val="005B5F7A"/>
    <w:rsid w:val="005B642C"/>
    <w:rsid w:val="005B7490"/>
    <w:rsid w:val="005B7E41"/>
    <w:rsid w:val="005C0443"/>
    <w:rsid w:val="005C1038"/>
    <w:rsid w:val="005C1684"/>
    <w:rsid w:val="005C2817"/>
    <w:rsid w:val="005C4C5A"/>
    <w:rsid w:val="005C4FA1"/>
    <w:rsid w:val="005C61E2"/>
    <w:rsid w:val="005C6D7C"/>
    <w:rsid w:val="005C70FD"/>
    <w:rsid w:val="005C7C98"/>
    <w:rsid w:val="005D0928"/>
    <w:rsid w:val="005D0C72"/>
    <w:rsid w:val="005D32B8"/>
    <w:rsid w:val="005D659E"/>
    <w:rsid w:val="005D68F0"/>
    <w:rsid w:val="005D70A1"/>
    <w:rsid w:val="005D7A36"/>
    <w:rsid w:val="005E0DD4"/>
    <w:rsid w:val="005E1276"/>
    <w:rsid w:val="005E13ED"/>
    <w:rsid w:val="005E3899"/>
    <w:rsid w:val="005E7814"/>
    <w:rsid w:val="005E7F3E"/>
    <w:rsid w:val="005F06D8"/>
    <w:rsid w:val="005F0DBB"/>
    <w:rsid w:val="005F0FA9"/>
    <w:rsid w:val="005F1349"/>
    <w:rsid w:val="005F13D1"/>
    <w:rsid w:val="005F1E38"/>
    <w:rsid w:val="005F2F8C"/>
    <w:rsid w:val="005F35EA"/>
    <w:rsid w:val="005F586A"/>
    <w:rsid w:val="005F7266"/>
    <w:rsid w:val="005F7DC1"/>
    <w:rsid w:val="00600D1E"/>
    <w:rsid w:val="006013CC"/>
    <w:rsid w:val="00602C3C"/>
    <w:rsid w:val="006030F4"/>
    <w:rsid w:val="006035EB"/>
    <w:rsid w:val="0060379C"/>
    <w:rsid w:val="00603D69"/>
    <w:rsid w:val="006045DC"/>
    <w:rsid w:val="006063D0"/>
    <w:rsid w:val="00607B38"/>
    <w:rsid w:val="006102C0"/>
    <w:rsid w:val="0061125A"/>
    <w:rsid w:val="00611833"/>
    <w:rsid w:val="006118CD"/>
    <w:rsid w:val="00611A06"/>
    <w:rsid w:val="006121CC"/>
    <w:rsid w:val="0061256B"/>
    <w:rsid w:val="00612DE8"/>
    <w:rsid w:val="0061356E"/>
    <w:rsid w:val="006137AE"/>
    <w:rsid w:val="00615AA7"/>
    <w:rsid w:val="00616E6C"/>
    <w:rsid w:val="00621C6D"/>
    <w:rsid w:val="00622097"/>
    <w:rsid w:val="00622101"/>
    <w:rsid w:val="0062282F"/>
    <w:rsid w:val="00623757"/>
    <w:rsid w:val="00624B4D"/>
    <w:rsid w:val="00630638"/>
    <w:rsid w:val="00630FE2"/>
    <w:rsid w:val="00631614"/>
    <w:rsid w:val="00631D45"/>
    <w:rsid w:val="00632FE1"/>
    <w:rsid w:val="00633DD5"/>
    <w:rsid w:val="006360E9"/>
    <w:rsid w:val="0063696D"/>
    <w:rsid w:val="00636EB7"/>
    <w:rsid w:val="00636F20"/>
    <w:rsid w:val="006379FA"/>
    <w:rsid w:val="00643FE1"/>
    <w:rsid w:val="00645622"/>
    <w:rsid w:val="00645E1B"/>
    <w:rsid w:val="00646647"/>
    <w:rsid w:val="00646833"/>
    <w:rsid w:val="00647712"/>
    <w:rsid w:val="0065198C"/>
    <w:rsid w:val="00652AA4"/>
    <w:rsid w:val="00653489"/>
    <w:rsid w:val="006536E5"/>
    <w:rsid w:val="00654607"/>
    <w:rsid w:val="00654C52"/>
    <w:rsid w:val="0065528A"/>
    <w:rsid w:val="006557E3"/>
    <w:rsid w:val="00656D88"/>
    <w:rsid w:val="006578F9"/>
    <w:rsid w:val="00662721"/>
    <w:rsid w:val="006627F6"/>
    <w:rsid w:val="00662F0C"/>
    <w:rsid w:val="006630AE"/>
    <w:rsid w:val="00663C47"/>
    <w:rsid w:val="00665668"/>
    <w:rsid w:val="00667278"/>
    <w:rsid w:val="00667E8C"/>
    <w:rsid w:val="00667F30"/>
    <w:rsid w:val="0067016B"/>
    <w:rsid w:val="00671AE2"/>
    <w:rsid w:val="0067313C"/>
    <w:rsid w:val="00673362"/>
    <w:rsid w:val="00674268"/>
    <w:rsid w:val="0067458F"/>
    <w:rsid w:val="00674A65"/>
    <w:rsid w:val="00674EBD"/>
    <w:rsid w:val="0067570A"/>
    <w:rsid w:val="00675882"/>
    <w:rsid w:val="006758AB"/>
    <w:rsid w:val="00675D9B"/>
    <w:rsid w:val="00676F1D"/>
    <w:rsid w:val="0067788D"/>
    <w:rsid w:val="00680207"/>
    <w:rsid w:val="0068021B"/>
    <w:rsid w:val="00680678"/>
    <w:rsid w:val="00683113"/>
    <w:rsid w:val="006831EA"/>
    <w:rsid w:val="006840AD"/>
    <w:rsid w:val="00684CDD"/>
    <w:rsid w:val="00684D13"/>
    <w:rsid w:val="00685907"/>
    <w:rsid w:val="00685D9D"/>
    <w:rsid w:val="00685F77"/>
    <w:rsid w:val="00687038"/>
    <w:rsid w:val="0069161A"/>
    <w:rsid w:val="0069295F"/>
    <w:rsid w:val="00694156"/>
    <w:rsid w:val="0069511F"/>
    <w:rsid w:val="006978A0"/>
    <w:rsid w:val="006A06D9"/>
    <w:rsid w:val="006A0E08"/>
    <w:rsid w:val="006A2F19"/>
    <w:rsid w:val="006A3574"/>
    <w:rsid w:val="006A3F5D"/>
    <w:rsid w:val="006B0023"/>
    <w:rsid w:val="006B07F1"/>
    <w:rsid w:val="006B1CDE"/>
    <w:rsid w:val="006B209A"/>
    <w:rsid w:val="006B2D8D"/>
    <w:rsid w:val="006B3226"/>
    <w:rsid w:val="006B3957"/>
    <w:rsid w:val="006B5CDD"/>
    <w:rsid w:val="006B6094"/>
    <w:rsid w:val="006B76C7"/>
    <w:rsid w:val="006B7E62"/>
    <w:rsid w:val="006B7E6F"/>
    <w:rsid w:val="006C01B8"/>
    <w:rsid w:val="006C0743"/>
    <w:rsid w:val="006C1E27"/>
    <w:rsid w:val="006C2188"/>
    <w:rsid w:val="006C2375"/>
    <w:rsid w:val="006C2705"/>
    <w:rsid w:val="006C2D71"/>
    <w:rsid w:val="006C5442"/>
    <w:rsid w:val="006C5FC2"/>
    <w:rsid w:val="006C7B9C"/>
    <w:rsid w:val="006D0DB7"/>
    <w:rsid w:val="006D393A"/>
    <w:rsid w:val="006D5A01"/>
    <w:rsid w:val="006D6E72"/>
    <w:rsid w:val="006D74B9"/>
    <w:rsid w:val="006D7E1D"/>
    <w:rsid w:val="006E07B0"/>
    <w:rsid w:val="006E0948"/>
    <w:rsid w:val="006E0C92"/>
    <w:rsid w:val="006E25CB"/>
    <w:rsid w:val="006E37C2"/>
    <w:rsid w:val="006E38D0"/>
    <w:rsid w:val="006E5204"/>
    <w:rsid w:val="006E5A0A"/>
    <w:rsid w:val="006E5B42"/>
    <w:rsid w:val="006E6707"/>
    <w:rsid w:val="006E788D"/>
    <w:rsid w:val="006F2CEB"/>
    <w:rsid w:val="006F4767"/>
    <w:rsid w:val="006F4F5E"/>
    <w:rsid w:val="006F58DA"/>
    <w:rsid w:val="006F6550"/>
    <w:rsid w:val="006F6DAD"/>
    <w:rsid w:val="0070041A"/>
    <w:rsid w:val="007009D0"/>
    <w:rsid w:val="00700B1B"/>
    <w:rsid w:val="00700D9A"/>
    <w:rsid w:val="007026B1"/>
    <w:rsid w:val="00702F13"/>
    <w:rsid w:val="0070464E"/>
    <w:rsid w:val="007054F7"/>
    <w:rsid w:val="0070571E"/>
    <w:rsid w:val="00705B1D"/>
    <w:rsid w:val="00706446"/>
    <w:rsid w:val="00706EF8"/>
    <w:rsid w:val="007075E5"/>
    <w:rsid w:val="007078A7"/>
    <w:rsid w:val="0071052B"/>
    <w:rsid w:val="00711DAE"/>
    <w:rsid w:val="00712452"/>
    <w:rsid w:val="007142F8"/>
    <w:rsid w:val="007151D4"/>
    <w:rsid w:val="00715538"/>
    <w:rsid w:val="00715D05"/>
    <w:rsid w:val="0071684A"/>
    <w:rsid w:val="007175CA"/>
    <w:rsid w:val="00717C74"/>
    <w:rsid w:val="0072128F"/>
    <w:rsid w:val="007216C5"/>
    <w:rsid w:val="00724616"/>
    <w:rsid w:val="00724A6B"/>
    <w:rsid w:val="00724D69"/>
    <w:rsid w:val="00724E5A"/>
    <w:rsid w:val="007255DA"/>
    <w:rsid w:val="00725A35"/>
    <w:rsid w:val="00725B81"/>
    <w:rsid w:val="00725E47"/>
    <w:rsid w:val="00726C92"/>
    <w:rsid w:val="007272D5"/>
    <w:rsid w:val="00730B54"/>
    <w:rsid w:val="007312A5"/>
    <w:rsid w:val="007312DA"/>
    <w:rsid w:val="00731D08"/>
    <w:rsid w:val="00731D26"/>
    <w:rsid w:val="00732366"/>
    <w:rsid w:val="007333BB"/>
    <w:rsid w:val="00733522"/>
    <w:rsid w:val="00734305"/>
    <w:rsid w:val="0073431C"/>
    <w:rsid w:val="00735353"/>
    <w:rsid w:val="00735679"/>
    <w:rsid w:val="007362D4"/>
    <w:rsid w:val="0073720E"/>
    <w:rsid w:val="007400FA"/>
    <w:rsid w:val="007403E7"/>
    <w:rsid w:val="00742456"/>
    <w:rsid w:val="00742798"/>
    <w:rsid w:val="00742B78"/>
    <w:rsid w:val="007435BF"/>
    <w:rsid w:val="00743711"/>
    <w:rsid w:val="0074376C"/>
    <w:rsid w:val="00744025"/>
    <w:rsid w:val="007451CC"/>
    <w:rsid w:val="00745BBF"/>
    <w:rsid w:val="00745C18"/>
    <w:rsid w:val="00750918"/>
    <w:rsid w:val="00751572"/>
    <w:rsid w:val="00751DFD"/>
    <w:rsid w:val="007527CB"/>
    <w:rsid w:val="00753AD3"/>
    <w:rsid w:val="007542F7"/>
    <w:rsid w:val="0075478F"/>
    <w:rsid w:val="007547B9"/>
    <w:rsid w:val="0075564E"/>
    <w:rsid w:val="00755A47"/>
    <w:rsid w:val="00756330"/>
    <w:rsid w:val="00757893"/>
    <w:rsid w:val="007627A0"/>
    <w:rsid w:val="007627D3"/>
    <w:rsid w:val="00762A57"/>
    <w:rsid w:val="00762A80"/>
    <w:rsid w:val="00762D5A"/>
    <w:rsid w:val="0076315E"/>
    <w:rsid w:val="0076472C"/>
    <w:rsid w:val="0076656C"/>
    <w:rsid w:val="007675F2"/>
    <w:rsid w:val="0076775E"/>
    <w:rsid w:val="00767ACC"/>
    <w:rsid w:val="00767BED"/>
    <w:rsid w:val="00767D90"/>
    <w:rsid w:val="00771D82"/>
    <w:rsid w:val="00771E87"/>
    <w:rsid w:val="00771FA7"/>
    <w:rsid w:val="00772DAB"/>
    <w:rsid w:val="007734FC"/>
    <w:rsid w:val="007741F1"/>
    <w:rsid w:val="00775407"/>
    <w:rsid w:val="007769AC"/>
    <w:rsid w:val="00777710"/>
    <w:rsid w:val="00777FE7"/>
    <w:rsid w:val="007803B0"/>
    <w:rsid w:val="007823AB"/>
    <w:rsid w:val="0078258E"/>
    <w:rsid w:val="0078264B"/>
    <w:rsid w:val="007840F1"/>
    <w:rsid w:val="00784384"/>
    <w:rsid w:val="00785529"/>
    <w:rsid w:val="00785D98"/>
    <w:rsid w:val="00786009"/>
    <w:rsid w:val="00786B2D"/>
    <w:rsid w:val="00787D20"/>
    <w:rsid w:val="00787E33"/>
    <w:rsid w:val="00792883"/>
    <w:rsid w:val="007930A0"/>
    <w:rsid w:val="00793397"/>
    <w:rsid w:val="007936D4"/>
    <w:rsid w:val="00795B77"/>
    <w:rsid w:val="00796E3A"/>
    <w:rsid w:val="00797D84"/>
    <w:rsid w:val="00797DB6"/>
    <w:rsid w:val="007A1122"/>
    <w:rsid w:val="007A185B"/>
    <w:rsid w:val="007A2730"/>
    <w:rsid w:val="007A4382"/>
    <w:rsid w:val="007A4D18"/>
    <w:rsid w:val="007A4DDF"/>
    <w:rsid w:val="007A569D"/>
    <w:rsid w:val="007A5E9B"/>
    <w:rsid w:val="007A6D76"/>
    <w:rsid w:val="007A7DC5"/>
    <w:rsid w:val="007B0925"/>
    <w:rsid w:val="007B1443"/>
    <w:rsid w:val="007B2B91"/>
    <w:rsid w:val="007B2BC5"/>
    <w:rsid w:val="007B40B9"/>
    <w:rsid w:val="007B4991"/>
    <w:rsid w:val="007B4C71"/>
    <w:rsid w:val="007B5999"/>
    <w:rsid w:val="007B6356"/>
    <w:rsid w:val="007C0A2B"/>
    <w:rsid w:val="007C0BA5"/>
    <w:rsid w:val="007C1181"/>
    <w:rsid w:val="007C14DE"/>
    <w:rsid w:val="007C1C28"/>
    <w:rsid w:val="007C2201"/>
    <w:rsid w:val="007C3AB7"/>
    <w:rsid w:val="007C3B34"/>
    <w:rsid w:val="007C4607"/>
    <w:rsid w:val="007C54F8"/>
    <w:rsid w:val="007C5A29"/>
    <w:rsid w:val="007C6328"/>
    <w:rsid w:val="007C6428"/>
    <w:rsid w:val="007D06FD"/>
    <w:rsid w:val="007D1811"/>
    <w:rsid w:val="007D2131"/>
    <w:rsid w:val="007D2AD7"/>
    <w:rsid w:val="007D2B3D"/>
    <w:rsid w:val="007D2DBF"/>
    <w:rsid w:val="007D38CB"/>
    <w:rsid w:val="007D4821"/>
    <w:rsid w:val="007D7587"/>
    <w:rsid w:val="007D7975"/>
    <w:rsid w:val="007D7C2C"/>
    <w:rsid w:val="007D7CBB"/>
    <w:rsid w:val="007D7F5E"/>
    <w:rsid w:val="007E212B"/>
    <w:rsid w:val="007E281E"/>
    <w:rsid w:val="007E2A0E"/>
    <w:rsid w:val="007E5F36"/>
    <w:rsid w:val="007E64F3"/>
    <w:rsid w:val="007F3EAF"/>
    <w:rsid w:val="007F4554"/>
    <w:rsid w:val="007F4973"/>
    <w:rsid w:val="007F4BF6"/>
    <w:rsid w:val="007F509D"/>
    <w:rsid w:val="007F73ED"/>
    <w:rsid w:val="007F7D2A"/>
    <w:rsid w:val="00802F2B"/>
    <w:rsid w:val="00803FD9"/>
    <w:rsid w:val="00803FDB"/>
    <w:rsid w:val="00804175"/>
    <w:rsid w:val="00804CB6"/>
    <w:rsid w:val="00805CCF"/>
    <w:rsid w:val="00805D7B"/>
    <w:rsid w:val="00805EFC"/>
    <w:rsid w:val="00805F40"/>
    <w:rsid w:val="00806601"/>
    <w:rsid w:val="0080779C"/>
    <w:rsid w:val="00810C26"/>
    <w:rsid w:val="00810D1D"/>
    <w:rsid w:val="00811C70"/>
    <w:rsid w:val="0081344A"/>
    <w:rsid w:val="00814DFC"/>
    <w:rsid w:val="00817D03"/>
    <w:rsid w:val="0082038C"/>
    <w:rsid w:val="00820A15"/>
    <w:rsid w:val="008221C3"/>
    <w:rsid w:val="008235BD"/>
    <w:rsid w:val="0082472A"/>
    <w:rsid w:val="00824859"/>
    <w:rsid w:val="00825244"/>
    <w:rsid w:val="00825272"/>
    <w:rsid w:val="00825476"/>
    <w:rsid w:val="00825796"/>
    <w:rsid w:val="00825AF1"/>
    <w:rsid w:val="00826158"/>
    <w:rsid w:val="008262A2"/>
    <w:rsid w:val="0082760D"/>
    <w:rsid w:val="00831412"/>
    <w:rsid w:val="008315D5"/>
    <w:rsid w:val="00831B87"/>
    <w:rsid w:val="0083285E"/>
    <w:rsid w:val="00833744"/>
    <w:rsid w:val="00834744"/>
    <w:rsid w:val="00835957"/>
    <w:rsid w:val="0083669C"/>
    <w:rsid w:val="00840F7A"/>
    <w:rsid w:val="00841AF6"/>
    <w:rsid w:val="00841F01"/>
    <w:rsid w:val="00843307"/>
    <w:rsid w:val="0084338F"/>
    <w:rsid w:val="00843520"/>
    <w:rsid w:val="00843CAE"/>
    <w:rsid w:val="0084408F"/>
    <w:rsid w:val="00844100"/>
    <w:rsid w:val="008442F1"/>
    <w:rsid w:val="0084481A"/>
    <w:rsid w:val="00844E0B"/>
    <w:rsid w:val="00846152"/>
    <w:rsid w:val="00846FA9"/>
    <w:rsid w:val="008510F0"/>
    <w:rsid w:val="00851A2A"/>
    <w:rsid w:val="0085291B"/>
    <w:rsid w:val="00852CF2"/>
    <w:rsid w:val="00853046"/>
    <w:rsid w:val="0085634F"/>
    <w:rsid w:val="00860557"/>
    <w:rsid w:val="008617B7"/>
    <w:rsid w:val="00862572"/>
    <w:rsid w:val="00862BDE"/>
    <w:rsid w:val="0086405F"/>
    <w:rsid w:val="008646C0"/>
    <w:rsid w:val="00864D84"/>
    <w:rsid w:val="00864E29"/>
    <w:rsid w:val="00865428"/>
    <w:rsid w:val="00865E7C"/>
    <w:rsid w:val="00867562"/>
    <w:rsid w:val="008701AA"/>
    <w:rsid w:val="00870BB5"/>
    <w:rsid w:val="0087164F"/>
    <w:rsid w:val="0087269D"/>
    <w:rsid w:val="008732E0"/>
    <w:rsid w:val="0087425C"/>
    <w:rsid w:val="00874492"/>
    <w:rsid w:val="008755E7"/>
    <w:rsid w:val="00875D3F"/>
    <w:rsid w:val="008767F5"/>
    <w:rsid w:val="00876FE4"/>
    <w:rsid w:val="00880A49"/>
    <w:rsid w:val="00880CED"/>
    <w:rsid w:val="008810FF"/>
    <w:rsid w:val="00882199"/>
    <w:rsid w:val="00882521"/>
    <w:rsid w:val="008828B5"/>
    <w:rsid w:val="008841B9"/>
    <w:rsid w:val="00884431"/>
    <w:rsid w:val="00885903"/>
    <w:rsid w:val="0088666B"/>
    <w:rsid w:val="00887D68"/>
    <w:rsid w:val="008906E2"/>
    <w:rsid w:val="00890B09"/>
    <w:rsid w:val="0089192E"/>
    <w:rsid w:val="0089203D"/>
    <w:rsid w:val="00892A0E"/>
    <w:rsid w:val="008934BC"/>
    <w:rsid w:val="00893709"/>
    <w:rsid w:val="008949C4"/>
    <w:rsid w:val="00894D1C"/>
    <w:rsid w:val="0089633E"/>
    <w:rsid w:val="008965B1"/>
    <w:rsid w:val="00896BF9"/>
    <w:rsid w:val="008A0484"/>
    <w:rsid w:val="008A083C"/>
    <w:rsid w:val="008A0C26"/>
    <w:rsid w:val="008A0C95"/>
    <w:rsid w:val="008A0F4A"/>
    <w:rsid w:val="008A356B"/>
    <w:rsid w:val="008A4098"/>
    <w:rsid w:val="008A4846"/>
    <w:rsid w:val="008A4E20"/>
    <w:rsid w:val="008A5E36"/>
    <w:rsid w:val="008A60F8"/>
    <w:rsid w:val="008A66AD"/>
    <w:rsid w:val="008A69EC"/>
    <w:rsid w:val="008A70F3"/>
    <w:rsid w:val="008A747F"/>
    <w:rsid w:val="008A7FDF"/>
    <w:rsid w:val="008B0F0D"/>
    <w:rsid w:val="008B17D5"/>
    <w:rsid w:val="008B21F9"/>
    <w:rsid w:val="008B2A83"/>
    <w:rsid w:val="008B2B12"/>
    <w:rsid w:val="008B55CE"/>
    <w:rsid w:val="008B5D4F"/>
    <w:rsid w:val="008B6E83"/>
    <w:rsid w:val="008B7296"/>
    <w:rsid w:val="008B72DC"/>
    <w:rsid w:val="008B7C4D"/>
    <w:rsid w:val="008C06E7"/>
    <w:rsid w:val="008C37FC"/>
    <w:rsid w:val="008C4410"/>
    <w:rsid w:val="008C53CD"/>
    <w:rsid w:val="008C5573"/>
    <w:rsid w:val="008C5D9F"/>
    <w:rsid w:val="008C6BDC"/>
    <w:rsid w:val="008C7DBD"/>
    <w:rsid w:val="008D23AD"/>
    <w:rsid w:val="008D2A79"/>
    <w:rsid w:val="008D44A3"/>
    <w:rsid w:val="008D497A"/>
    <w:rsid w:val="008D49D4"/>
    <w:rsid w:val="008D4D16"/>
    <w:rsid w:val="008D4F58"/>
    <w:rsid w:val="008D55AE"/>
    <w:rsid w:val="008D7497"/>
    <w:rsid w:val="008E01D4"/>
    <w:rsid w:val="008E0A85"/>
    <w:rsid w:val="008E11A4"/>
    <w:rsid w:val="008E27FD"/>
    <w:rsid w:val="008E3B7C"/>
    <w:rsid w:val="008E4027"/>
    <w:rsid w:val="008E5D54"/>
    <w:rsid w:val="008E76E3"/>
    <w:rsid w:val="008E7A26"/>
    <w:rsid w:val="008F126A"/>
    <w:rsid w:val="008F2CBE"/>
    <w:rsid w:val="008F2EBA"/>
    <w:rsid w:val="008F3654"/>
    <w:rsid w:val="008F3DC0"/>
    <w:rsid w:val="008F4D0B"/>
    <w:rsid w:val="008F51F5"/>
    <w:rsid w:val="008F5662"/>
    <w:rsid w:val="008F58D8"/>
    <w:rsid w:val="008F6DAA"/>
    <w:rsid w:val="008F6EE9"/>
    <w:rsid w:val="00900503"/>
    <w:rsid w:val="00900867"/>
    <w:rsid w:val="0090126D"/>
    <w:rsid w:val="009021B3"/>
    <w:rsid w:val="0090267E"/>
    <w:rsid w:val="00902867"/>
    <w:rsid w:val="00902BD6"/>
    <w:rsid w:val="00903192"/>
    <w:rsid w:val="009031A8"/>
    <w:rsid w:val="00904B09"/>
    <w:rsid w:val="0090615F"/>
    <w:rsid w:val="00906670"/>
    <w:rsid w:val="00906B77"/>
    <w:rsid w:val="00907F9B"/>
    <w:rsid w:val="00910C78"/>
    <w:rsid w:val="009112A3"/>
    <w:rsid w:val="009116D9"/>
    <w:rsid w:val="009123C8"/>
    <w:rsid w:val="009123ED"/>
    <w:rsid w:val="009124DB"/>
    <w:rsid w:val="0091355D"/>
    <w:rsid w:val="00914728"/>
    <w:rsid w:val="0091714A"/>
    <w:rsid w:val="009209D8"/>
    <w:rsid w:val="00921681"/>
    <w:rsid w:val="00924890"/>
    <w:rsid w:val="0092506C"/>
    <w:rsid w:val="0092584D"/>
    <w:rsid w:val="00926A34"/>
    <w:rsid w:val="00926D64"/>
    <w:rsid w:val="009271D6"/>
    <w:rsid w:val="00927203"/>
    <w:rsid w:val="009274E0"/>
    <w:rsid w:val="00927E92"/>
    <w:rsid w:val="00930CBF"/>
    <w:rsid w:val="009316B2"/>
    <w:rsid w:val="009336FA"/>
    <w:rsid w:val="00935197"/>
    <w:rsid w:val="009362E9"/>
    <w:rsid w:val="00936C50"/>
    <w:rsid w:val="0093727C"/>
    <w:rsid w:val="00940945"/>
    <w:rsid w:val="00940D48"/>
    <w:rsid w:val="00940E42"/>
    <w:rsid w:val="00940E9B"/>
    <w:rsid w:val="009418A2"/>
    <w:rsid w:val="00942CEC"/>
    <w:rsid w:val="009430B3"/>
    <w:rsid w:val="0094343C"/>
    <w:rsid w:val="00943506"/>
    <w:rsid w:val="009439D1"/>
    <w:rsid w:val="009442DD"/>
    <w:rsid w:val="00944499"/>
    <w:rsid w:val="00946ACB"/>
    <w:rsid w:val="00946C84"/>
    <w:rsid w:val="009475E8"/>
    <w:rsid w:val="00947ADA"/>
    <w:rsid w:val="0095049D"/>
    <w:rsid w:val="00950FF3"/>
    <w:rsid w:val="009527AA"/>
    <w:rsid w:val="00952AD4"/>
    <w:rsid w:val="00952E62"/>
    <w:rsid w:val="00953F47"/>
    <w:rsid w:val="009544F1"/>
    <w:rsid w:val="00957683"/>
    <w:rsid w:val="00960301"/>
    <w:rsid w:val="009616B2"/>
    <w:rsid w:val="00963546"/>
    <w:rsid w:val="0096600E"/>
    <w:rsid w:val="00966517"/>
    <w:rsid w:val="00966D96"/>
    <w:rsid w:val="00967C05"/>
    <w:rsid w:val="00970791"/>
    <w:rsid w:val="00970FBD"/>
    <w:rsid w:val="00971943"/>
    <w:rsid w:val="00971E4E"/>
    <w:rsid w:val="009723B4"/>
    <w:rsid w:val="0097593F"/>
    <w:rsid w:val="009763E3"/>
    <w:rsid w:val="00976C1D"/>
    <w:rsid w:val="00982F49"/>
    <w:rsid w:val="00982FB9"/>
    <w:rsid w:val="009842AD"/>
    <w:rsid w:val="00985BB0"/>
    <w:rsid w:val="00987940"/>
    <w:rsid w:val="00990435"/>
    <w:rsid w:val="00990A55"/>
    <w:rsid w:val="00990D23"/>
    <w:rsid w:val="009926A4"/>
    <w:rsid w:val="0099298B"/>
    <w:rsid w:val="00993488"/>
    <w:rsid w:val="009935B1"/>
    <w:rsid w:val="0099392D"/>
    <w:rsid w:val="00993F63"/>
    <w:rsid w:val="009947E9"/>
    <w:rsid w:val="009954E8"/>
    <w:rsid w:val="00995D36"/>
    <w:rsid w:val="009A0A7C"/>
    <w:rsid w:val="009A0BCD"/>
    <w:rsid w:val="009A2C34"/>
    <w:rsid w:val="009A351D"/>
    <w:rsid w:val="009A367A"/>
    <w:rsid w:val="009A3919"/>
    <w:rsid w:val="009A5370"/>
    <w:rsid w:val="009A5BAA"/>
    <w:rsid w:val="009A775C"/>
    <w:rsid w:val="009A7B33"/>
    <w:rsid w:val="009B049B"/>
    <w:rsid w:val="009B3663"/>
    <w:rsid w:val="009B3D93"/>
    <w:rsid w:val="009B59DC"/>
    <w:rsid w:val="009B6522"/>
    <w:rsid w:val="009B6625"/>
    <w:rsid w:val="009B7551"/>
    <w:rsid w:val="009C07BA"/>
    <w:rsid w:val="009C0A8B"/>
    <w:rsid w:val="009C0B12"/>
    <w:rsid w:val="009C12E8"/>
    <w:rsid w:val="009C16C9"/>
    <w:rsid w:val="009C2B85"/>
    <w:rsid w:val="009C32DB"/>
    <w:rsid w:val="009C43FF"/>
    <w:rsid w:val="009C59B4"/>
    <w:rsid w:val="009C5D8C"/>
    <w:rsid w:val="009C76FA"/>
    <w:rsid w:val="009C7922"/>
    <w:rsid w:val="009D11EC"/>
    <w:rsid w:val="009D1563"/>
    <w:rsid w:val="009D2DE6"/>
    <w:rsid w:val="009D5C40"/>
    <w:rsid w:val="009D6D53"/>
    <w:rsid w:val="009D6F6C"/>
    <w:rsid w:val="009D767A"/>
    <w:rsid w:val="009D7C3F"/>
    <w:rsid w:val="009E0585"/>
    <w:rsid w:val="009E18B2"/>
    <w:rsid w:val="009E1CE3"/>
    <w:rsid w:val="009E2796"/>
    <w:rsid w:val="009E2BBC"/>
    <w:rsid w:val="009E2C2C"/>
    <w:rsid w:val="009E2CBF"/>
    <w:rsid w:val="009E352C"/>
    <w:rsid w:val="009E473F"/>
    <w:rsid w:val="009E4A2F"/>
    <w:rsid w:val="009E4A7F"/>
    <w:rsid w:val="009E4A83"/>
    <w:rsid w:val="009E4A96"/>
    <w:rsid w:val="009E5970"/>
    <w:rsid w:val="009E7E78"/>
    <w:rsid w:val="009F0F7C"/>
    <w:rsid w:val="009F13F4"/>
    <w:rsid w:val="009F17E0"/>
    <w:rsid w:val="009F371B"/>
    <w:rsid w:val="009F61D4"/>
    <w:rsid w:val="009F70FF"/>
    <w:rsid w:val="009F7956"/>
    <w:rsid w:val="00A001CC"/>
    <w:rsid w:val="00A00E37"/>
    <w:rsid w:val="00A01A7E"/>
    <w:rsid w:val="00A02FFE"/>
    <w:rsid w:val="00A05360"/>
    <w:rsid w:val="00A064B6"/>
    <w:rsid w:val="00A06577"/>
    <w:rsid w:val="00A07284"/>
    <w:rsid w:val="00A074F7"/>
    <w:rsid w:val="00A07734"/>
    <w:rsid w:val="00A10D7F"/>
    <w:rsid w:val="00A11001"/>
    <w:rsid w:val="00A13F49"/>
    <w:rsid w:val="00A161FF"/>
    <w:rsid w:val="00A163FD"/>
    <w:rsid w:val="00A17613"/>
    <w:rsid w:val="00A2007F"/>
    <w:rsid w:val="00A216CA"/>
    <w:rsid w:val="00A22983"/>
    <w:rsid w:val="00A234D5"/>
    <w:rsid w:val="00A248AC"/>
    <w:rsid w:val="00A25323"/>
    <w:rsid w:val="00A25682"/>
    <w:rsid w:val="00A26F31"/>
    <w:rsid w:val="00A2729B"/>
    <w:rsid w:val="00A3081F"/>
    <w:rsid w:val="00A31A34"/>
    <w:rsid w:val="00A32534"/>
    <w:rsid w:val="00A32E67"/>
    <w:rsid w:val="00A33FDC"/>
    <w:rsid w:val="00A34A3B"/>
    <w:rsid w:val="00A36545"/>
    <w:rsid w:val="00A36A53"/>
    <w:rsid w:val="00A402A6"/>
    <w:rsid w:val="00A40899"/>
    <w:rsid w:val="00A42081"/>
    <w:rsid w:val="00A422A2"/>
    <w:rsid w:val="00A43729"/>
    <w:rsid w:val="00A445BC"/>
    <w:rsid w:val="00A44881"/>
    <w:rsid w:val="00A45E6D"/>
    <w:rsid w:val="00A46586"/>
    <w:rsid w:val="00A47A63"/>
    <w:rsid w:val="00A501E1"/>
    <w:rsid w:val="00A5033C"/>
    <w:rsid w:val="00A50C34"/>
    <w:rsid w:val="00A52E7E"/>
    <w:rsid w:val="00A54903"/>
    <w:rsid w:val="00A56CAF"/>
    <w:rsid w:val="00A5744D"/>
    <w:rsid w:val="00A57F40"/>
    <w:rsid w:val="00A6044B"/>
    <w:rsid w:val="00A61B49"/>
    <w:rsid w:val="00A6277F"/>
    <w:rsid w:val="00A6328D"/>
    <w:rsid w:val="00A63692"/>
    <w:rsid w:val="00A638F9"/>
    <w:rsid w:val="00A63D05"/>
    <w:rsid w:val="00A640EB"/>
    <w:rsid w:val="00A6416E"/>
    <w:rsid w:val="00A651F3"/>
    <w:rsid w:val="00A65352"/>
    <w:rsid w:val="00A65540"/>
    <w:rsid w:val="00A6607E"/>
    <w:rsid w:val="00A666BA"/>
    <w:rsid w:val="00A675C3"/>
    <w:rsid w:val="00A67AEF"/>
    <w:rsid w:val="00A67C90"/>
    <w:rsid w:val="00A70167"/>
    <w:rsid w:val="00A70219"/>
    <w:rsid w:val="00A70496"/>
    <w:rsid w:val="00A70D3F"/>
    <w:rsid w:val="00A710AF"/>
    <w:rsid w:val="00A71668"/>
    <w:rsid w:val="00A71EC4"/>
    <w:rsid w:val="00A72B92"/>
    <w:rsid w:val="00A73797"/>
    <w:rsid w:val="00A73D42"/>
    <w:rsid w:val="00A74AB3"/>
    <w:rsid w:val="00A75460"/>
    <w:rsid w:val="00A75A46"/>
    <w:rsid w:val="00A764D2"/>
    <w:rsid w:val="00A772D4"/>
    <w:rsid w:val="00A7764E"/>
    <w:rsid w:val="00A8071E"/>
    <w:rsid w:val="00A80FEF"/>
    <w:rsid w:val="00A81B7C"/>
    <w:rsid w:val="00A82A74"/>
    <w:rsid w:val="00A832AF"/>
    <w:rsid w:val="00A83310"/>
    <w:rsid w:val="00A8360E"/>
    <w:rsid w:val="00A8488D"/>
    <w:rsid w:val="00A853E2"/>
    <w:rsid w:val="00A85484"/>
    <w:rsid w:val="00A8667D"/>
    <w:rsid w:val="00A872F5"/>
    <w:rsid w:val="00A87654"/>
    <w:rsid w:val="00A9026F"/>
    <w:rsid w:val="00A90B03"/>
    <w:rsid w:val="00A9146E"/>
    <w:rsid w:val="00A91DD8"/>
    <w:rsid w:val="00A939EA"/>
    <w:rsid w:val="00A94EE2"/>
    <w:rsid w:val="00A96402"/>
    <w:rsid w:val="00A97731"/>
    <w:rsid w:val="00A9773D"/>
    <w:rsid w:val="00AA12FF"/>
    <w:rsid w:val="00AA1710"/>
    <w:rsid w:val="00AA19AE"/>
    <w:rsid w:val="00AA1BB8"/>
    <w:rsid w:val="00AA2149"/>
    <w:rsid w:val="00AA3138"/>
    <w:rsid w:val="00AA4146"/>
    <w:rsid w:val="00AA47EF"/>
    <w:rsid w:val="00AA55A7"/>
    <w:rsid w:val="00AA5B4A"/>
    <w:rsid w:val="00AA5F17"/>
    <w:rsid w:val="00AA6309"/>
    <w:rsid w:val="00AA6D16"/>
    <w:rsid w:val="00AB0ADD"/>
    <w:rsid w:val="00AB1200"/>
    <w:rsid w:val="00AB1FB7"/>
    <w:rsid w:val="00AB21C0"/>
    <w:rsid w:val="00AB2859"/>
    <w:rsid w:val="00AB298E"/>
    <w:rsid w:val="00AB35FC"/>
    <w:rsid w:val="00AB4305"/>
    <w:rsid w:val="00AB4416"/>
    <w:rsid w:val="00AB6712"/>
    <w:rsid w:val="00AC05E4"/>
    <w:rsid w:val="00AC09C0"/>
    <w:rsid w:val="00AC0B9B"/>
    <w:rsid w:val="00AC1B67"/>
    <w:rsid w:val="00AC2227"/>
    <w:rsid w:val="00AC4FEA"/>
    <w:rsid w:val="00AC65DD"/>
    <w:rsid w:val="00AC7354"/>
    <w:rsid w:val="00AD0A3E"/>
    <w:rsid w:val="00AD167B"/>
    <w:rsid w:val="00AD16C3"/>
    <w:rsid w:val="00AD1CB9"/>
    <w:rsid w:val="00AD41EE"/>
    <w:rsid w:val="00AD4F37"/>
    <w:rsid w:val="00AD5751"/>
    <w:rsid w:val="00AD6254"/>
    <w:rsid w:val="00AD65F4"/>
    <w:rsid w:val="00AD7495"/>
    <w:rsid w:val="00AD7965"/>
    <w:rsid w:val="00AE04F2"/>
    <w:rsid w:val="00AE069C"/>
    <w:rsid w:val="00AE106C"/>
    <w:rsid w:val="00AE17ED"/>
    <w:rsid w:val="00AE1CD8"/>
    <w:rsid w:val="00AE2FF1"/>
    <w:rsid w:val="00AE3658"/>
    <w:rsid w:val="00AE3BF0"/>
    <w:rsid w:val="00AE5079"/>
    <w:rsid w:val="00AE5BBD"/>
    <w:rsid w:val="00AE6CBC"/>
    <w:rsid w:val="00AE752F"/>
    <w:rsid w:val="00AE7F52"/>
    <w:rsid w:val="00AF0955"/>
    <w:rsid w:val="00AF0D3F"/>
    <w:rsid w:val="00AF14AE"/>
    <w:rsid w:val="00AF177E"/>
    <w:rsid w:val="00AF1C12"/>
    <w:rsid w:val="00AF20BF"/>
    <w:rsid w:val="00AF21AC"/>
    <w:rsid w:val="00AF2C3E"/>
    <w:rsid w:val="00AF32D9"/>
    <w:rsid w:val="00AF33A7"/>
    <w:rsid w:val="00AF33E8"/>
    <w:rsid w:val="00AF469F"/>
    <w:rsid w:val="00AF507B"/>
    <w:rsid w:val="00AF57E1"/>
    <w:rsid w:val="00AF6EB2"/>
    <w:rsid w:val="00B0015B"/>
    <w:rsid w:val="00B00471"/>
    <w:rsid w:val="00B00640"/>
    <w:rsid w:val="00B0232B"/>
    <w:rsid w:val="00B042A4"/>
    <w:rsid w:val="00B047C7"/>
    <w:rsid w:val="00B05B42"/>
    <w:rsid w:val="00B0734D"/>
    <w:rsid w:val="00B07E2F"/>
    <w:rsid w:val="00B12A55"/>
    <w:rsid w:val="00B12D38"/>
    <w:rsid w:val="00B132D1"/>
    <w:rsid w:val="00B137FE"/>
    <w:rsid w:val="00B13AE0"/>
    <w:rsid w:val="00B14052"/>
    <w:rsid w:val="00B15025"/>
    <w:rsid w:val="00B159E0"/>
    <w:rsid w:val="00B1659E"/>
    <w:rsid w:val="00B16744"/>
    <w:rsid w:val="00B177F1"/>
    <w:rsid w:val="00B17CD7"/>
    <w:rsid w:val="00B17EEA"/>
    <w:rsid w:val="00B21F03"/>
    <w:rsid w:val="00B2398A"/>
    <w:rsid w:val="00B23A8B"/>
    <w:rsid w:val="00B23B05"/>
    <w:rsid w:val="00B25DAE"/>
    <w:rsid w:val="00B25DD0"/>
    <w:rsid w:val="00B2740E"/>
    <w:rsid w:val="00B2791F"/>
    <w:rsid w:val="00B27E30"/>
    <w:rsid w:val="00B30296"/>
    <w:rsid w:val="00B304A5"/>
    <w:rsid w:val="00B3178B"/>
    <w:rsid w:val="00B31EBA"/>
    <w:rsid w:val="00B328F6"/>
    <w:rsid w:val="00B3471F"/>
    <w:rsid w:val="00B367E1"/>
    <w:rsid w:val="00B403FA"/>
    <w:rsid w:val="00B40A90"/>
    <w:rsid w:val="00B4116F"/>
    <w:rsid w:val="00B41EF0"/>
    <w:rsid w:val="00B43146"/>
    <w:rsid w:val="00B44151"/>
    <w:rsid w:val="00B44158"/>
    <w:rsid w:val="00B44249"/>
    <w:rsid w:val="00B45189"/>
    <w:rsid w:val="00B45AB4"/>
    <w:rsid w:val="00B47C9A"/>
    <w:rsid w:val="00B47E75"/>
    <w:rsid w:val="00B51847"/>
    <w:rsid w:val="00B518EF"/>
    <w:rsid w:val="00B51B92"/>
    <w:rsid w:val="00B52FA3"/>
    <w:rsid w:val="00B531AC"/>
    <w:rsid w:val="00B531EC"/>
    <w:rsid w:val="00B548B9"/>
    <w:rsid w:val="00B54A00"/>
    <w:rsid w:val="00B55939"/>
    <w:rsid w:val="00B56022"/>
    <w:rsid w:val="00B60088"/>
    <w:rsid w:val="00B6050D"/>
    <w:rsid w:val="00B61435"/>
    <w:rsid w:val="00B6457C"/>
    <w:rsid w:val="00B64F01"/>
    <w:rsid w:val="00B650E1"/>
    <w:rsid w:val="00B653CA"/>
    <w:rsid w:val="00B6594D"/>
    <w:rsid w:val="00B65D63"/>
    <w:rsid w:val="00B65F75"/>
    <w:rsid w:val="00B664CE"/>
    <w:rsid w:val="00B6699C"/>
    <w:rsid w:val="00B70707"/>
    <w:rsid w:val="00B7076A"/>
    <w:rsid w:val="00B71D3E"/>
    <w:rsid w:val="00B73203"/>
    <w:rsid w:val="00B735E3"/>
    <w:rsid w:val="00B74E5F"/>
    <w:rsid w:val="00B7595A"/>
    <w:rsid w:val="00B779EE"/>
    <w:rsid w:val="00B77B7C"/>
    <w:rsid w:val="00B800D6"/>
    <w:rsid w:val="00B802DA"/>
    <w:rsid w:val="00B802EE"/>
    <w:rsid w:val="00B80BBF"/>
    <w:rsid w:val="00B8166B"/>
    <w:rsid w:val="00B81A1A"/>
    <w:rsid w:val="00B83479"/>
    <w:rsid w:val="00B83769"/>
    <w:rsid w:val="00B83869"/>
    <w:rsid w:val="00B85188"/>
    <w:rsid w:val="00B85EF1"/>
    <w:rsid w:val="00B8616D"/>
    <w:rsid w:val="00B873D7"/>
    <w:rsid w:val="00B875F4"/>
    <w:rsid w:val="00B87B09"/>
    <w:rsid w:val="00B90914"/>
    <w:rsid w:val="00B90D3F"/>
    <w:rsid w:val="00B9106C"/>
    <w:rsid w:val="00B931EA"/>
    <w:rsid w:val="00B934BF"/>
    <w:rsid w:val="00B93B88"/>
    <w:rsid w:val="00B94241"/>
    <w:rsid w:val="00B9449A"/>
    <w:rsid w:val="00B94D16"/>
    <w:rsid w:val="00B94E33"/>
    <w:rsid w:val="00B950B5"/>
    <w:rsid w:val="00B95D3A"/>
    <w:rsid w:val="00B96FC0"/>
    <w:rsid w:val="00B97444"/>
    <w:rsid w:val="00BA004A"/>
    <w:rsid w:val="00BA00C5"/>
    <w:rsid w:val="00BA063E"/>
    <w:rsid w:val="00BA1466"/>
    <w:rsid w:val="00BA1A6E"/>
    <w:rsid w:val="00BA212E"/>
    <w:rsid w:val="00BA2264"/>
    <w:rsid w:val="00BA266B"/>
    <w:rsid w:val="00BA2B09"/>
    <w:rsid w:val="00BA3D6C"/>
    <w:rsid w:val="00BA49CC"/>
    <w:rsid w:val="00BA5C2E"/>
    <w:rsid w:val="00BA5FA0"/>
    <w:rsid w:val="00BB1D6D"/>
    <w:rsid w:val="00BB218A"/>
    <w:rsid w:val="00BB22F9"/>
    <w:rsid w:val="00BB36D4"/>
    <w:rsid w:val="00BB3750"/>
    <w:rsid w:val="00BB403F"/>
    <w:rsid w:val="00BB4799"/>
    <w:rsid w:val="00BB570F"/>
    <w:rsid w:val="00BB69D9"/>
    <w:rsid w:val="00BC0730"/>
    <w:rsid w:val="00BC16A1"/>
    <w:rsid w:val="00BC2F46"/>
    <w:rsid w:val="00BC3DFC"/>
    <w:rsid w:val="00BC4115"/>
    <w:rsid w:val="00BC4E43"/>
    <w:rsid w:val="00BC5653"/>
    <w:rsid w:val="00BC59FB"/>
    <w:rsid w:val="00BC6507"/>
    <w:rsid w:val="00BC697C"/>
    <w:rsid w:val="00BC6A1F"/>
    <w:rsid w:val="00BC7C01"/>
    <w:rsid w:val="00BD115D"/>
    <w:rsid w:val="00BD125F"/>
    <w:rsid w:val="00BD2318"/>
    <w:rsid w:val="00BD277D"/>
    <w:rsid w:val="00BD2A05"/>
    <w:rsid w:val="00BD3FE9"/>
    <w:rsid w:val="00BD4EDB"/>
    <w:rsid w:val="00BD53CE"/>
    <w:rsid w:val="00BD5F53"/>
    <w:rsid w:val="00BD6002"/>
    <w:rsid w:val="00BD642A"/>
    <w:rsid w:val="00BE22EA"/>
    <w:rsid w:val="00BE3836"/>
    <w:rsid w:val="00BE5057"/>
    <w:rsid w:val="00BE6569"/>
    <w:rsid w:val="00BE688A"/>
    <w:rsid w:val="00BF0711"/>
    <w:rsid w:val="00BF1BBF"/>
    <w:rsid w:val="00BF1DCC"/>
    <w:rsid w:val="00BF2223"/>
    <w:rsid w:val="00BF289B"/>
    <w:rsid w:val="00BF47A3"/>
    <w:rsid w:val="00BF4D19"/>
    <w:rsid w:val="00BF6F30"/>
    <w:rsid w:val="00C0020D"/>
    <w:rsid w:val="00C00427"/>
    <w:rsid w:val="00C00485"/>
    <w:rsid w:val="00C00506"/>
    <w:rsid w:val="00C01EA4"/>
    <w:rsid w:val="00C02B63"/>
    <w:rsid w:val="00C02D6A"/>
    <w:rsid w:val="00C04DAC"/>
    <w:rsid w:val="00C064B4"/>
    <w:rsid w:val="00C0689F"/>
    <w:rsid w:val="00C1053A"/>
    <w:rsid w:val="00C10937"/>
    <w:rsid w:val="00C10C0B"/>
    <w:rsid w:val="00C12002"/>
    <w:rsid w:val="00C1261D"/>
    <w:rsid w:val="00C12CD9"/>
    <w:rsid w:val="00C13863"/>
    <w:rsid w:val="00C1495E"/>
    <w:rsid w:val="00C15C87"/>
    <w:rsid w:val="00C1647D"/>
    <w:rsid w:val="00C165C6"/>
    <w:rsid w:val="00C2021C"/>
    <w:rsid w:val="00C20ACC"/>
    <w:rsid w:val="00C220B4"/>
    <w:rsid w:val="00C22C4C"/>
    <w:rsid w:val="00C22D21"/>
    <w:rsid w:val="00C255E8"/>
    <w:rsid w:val="00C263B8"/>
    <w:rsid w:val="00C2700F"/>
    <w:rsid w:val="00C27415"/>
    <w:rsid w:val="00C277CA"/>
    <w:rsid w:val="00C27AAF"/>
    <w:rsid w:val="00C30983"/>
    <w:rsid w:val="00C31130"/>
    <w:rsid w:val="00C31EE7"/>
    <w:rsid w:val="00C32035"/>
    <w:rsid w:val="00C33D82"/>
    <w:rsid w:val="00C34554"/>
    <w:rsid w:val="00C355C0"/>
    <w:rsid w:val="00C355ED"/>
    <w:rsid w:val="00C362FF"/>
    <w:rsid w:val="00C36AFB"/>
    <w:rsid w:val="00C36B11"/>
    <w:rsid w:val="00C40251"/>
    <w:rsid w:val="00C40B11"/>
    <w:rsid w:val="00C40CC9"/>
    <w:rsid w:val="00C41451"/>
    <w:rsid w:val="00C42F62"/>
    <w:rsid w:val="00C431C6"/>
    <w:rsid w:val="00C440C1"/>
    <w:rsid w:val="00C44A31"/>
    <w:rsid w:val="00C457BC"/>
    <w:rsid w:val="00C45F31"/>
    <w:rsid w:val="00C466F3"/>
    <w:rsid w:val="00C471C0"/>
    <w:rsid w:val="00C47701"/>
    <w:rsid w:val="00C47F74"/>
    <w:rsid w:val="00C52E09"/>
    <w:rsid w:val="00C547D9"/>
    <w:rsid w:val="00C55C80"/>
    <w:rsid w:val="00C55FD3"/>
    <w:rsid w:val="00C56563"/>
    <w:rsid w:val="00C5672A"/>
    <w:rsid w:val="00C56DC5"/>
    <w:rsid w:val="00C56F20"/>
    <w:rsid w:val="00C57E55"/>
    <w:rsid w:val="00C60B8B"/>
    <w:rsid w:val="00C60CE0"/>
    <w:rsid w:val="00C60D57"/>
    <w:rsid w:val="00C61146"/>
    <w:rsid w:val="00C61BB0"/>
    <w:rsid w:val="00C61D1E"/>
    <w:rsid w:val="00C64A2F"/>
    <w:rsid w:val="00C64F06"/>
    <w:rsid w:val="00C64FA9"/>
    <w:rsid w:val="00C650FA"/>
    <w:rsid w:val="00C66A36"/>
    <w:rsid w:val="00C66DC1"/>
    <w:rsid w:val="00C678BF"/>
    <w:rsid w:val="00C71947"/>
    <w:rsid w:val="00C72822"/>
    <w:rsid w:val="00C73170"/>
    <w:rsid w:val="00C75D4C"/>
    <w:rsid w:val="00C761C2"/>
    <w:rsid w:val="00C767AF"/>
    <w:rsid w:val="00C769A7"/>
    <w:rsid w:val="00C774AC"/>
    <w:rsid w:val="00C77897"/>
    <w:rsid w:val="00C77B3E"/>
    <w:rsid w:val="00C81517"/>
    <w:rsid w:val="00C8607B"/>
    <w:rsid w:val="00C862F2"/>
    <w:rsid w:val="00C86B28"/>
    <w:rsid w:val="00C87291"/>
    <w:rsid w:val="00C9102A"/>
    <w:rsid w:val="00C93D88"/>
    <w:rsid w:val="00C9406F"/>
    <w:rsid w:val="00C94280"/>
    <w:rsid w:val="00C96047"/>
    <w:rsid w:val="00C966F4"/>
    <w:rsid w:val="00C973BA"/>
    <w:rsid w:val="00CA0392"/>
    <w:rsid w:val="00CA0D6C"/>
    <w:rsid w:val="00CA126F"/>
    <w:rsid w:val="00CA194A"/>
    <w:rsid w:val="00CA31E1"/>
    <w:rsid w:val="00CA3573"/>
    <w:rsid w:val="00CA3BCF"/>
    <w:rsid w:val="00CA5018"/>
    <w:rsid w:val="00CA6C46"/>
    <w:rsid w:val="00CA6ECF"/>
    <w:rsid w:val="00CA75B0"/>
    <w:rsid w:val="00CB01BE"/>
    <w:rsid w:val="00CB09D3"/>
    <w:rsid w:val="00CB177E"/>
    <w:rsid w:val="00CB2226"/>
    <w:rsid w:val="00CB3AE5"/>
    <w:rsid w:val="00CB5E11"/>
    <w:rsid w:val="00CB61CA"/>
    <w:rsid w:val="00CB6266"/>
    <w:rsid w:val="00CC0CD1"/>
    <w:rsid w:val="00CC0DBB"/>
    <w:rsid w:val="00CC1074"/>
    <w:rsid w:val="00CC1C94"/>
    <w:rsid w:val="00CC1D25"/>
    <w:rsid w:val="00CC2100"/>
    <w:rsid w:val="00CC2192"/>
    <w:rsid w:val="00CC280F"/>
    <w:rsid w:val="00CC36E6"/>
    <w:rsid w:val="00CC3AE0"/>
    <w:rsid w:val="00CC3D57"/>
    <w:rsid w:val="00CC5A17"/>
    <w:rsid w:val="00CC662C"/>
    <w:rsid w:val="00CC7E27"/>
    <w:rsid w:val="00CD2914"/>
    <w:rsid w:val="00CD48A2"/>
    <w:rsid w:val="00CD5BD8"/>
    <w:rsid w:val="00CD736D"/>
    <w:rsid w:val="00CD7D33"/>
    <w:rsid w:val="00CE1A8F"/>
    <w:rsid w:val="00CE380F"/>
    <w:rsid w:val="00CE45EF"/>
    <w:rsid w:val="00CE4A89"/>
    <w:rsid w:val="00CE7091"/>
    <w:rsid w:val="00CE7764"/>
    <w:rsid w:val="00CF1461"/>
    <w:rsid w:val="00CF1573"/>
    <w:rsid w:val="00CF1645"/>
    <w:rsid w:val="00CF1C2B"/>
    <w:rsid w:val="00CF1C72"/>
    <w:rsid w:val="00CF3A5B"/>
    <w:rsid w:val="00CF4299"/>
    <w:rsid w:val="00CF64B8"/>
    <w:rsid w:val="00CF6C2B"/>
    <w:rsid w:val="00CF7590"/>
    <w:rsid w:val="00CF7A42"/>
    <w:rsid w:val="00D01146"/>
    <w:rsid w:val="00D011EE"/>
    <w:rsid w:val="00D01301"/>
    <w:rsid w:val="00D019D0"/>
    <w:rsid w:val="00D01ECA"/>
    <w:rsid w:val="00D049D7"/>
    <w:rsid w:val="00D07C84"/>
    <w:rsid w:val="00D100CD"/>
    <w:rsid w:val="00D10319"/>
    <w:rsid w:val="00D10371"/>
    <w:rsid w:val="00D107B0"/>
    <w:rsid w:val="00D110D0"/>
    <w:rsid w:val="00D11B9D"/>
    <w:rsid w:val="00D11DD0"/>
    <w:rsid w:val="00D12938"/>
    <w:rsid w:val="00D12D46"/>
    <w:rsid w:val="00D16F70"/>
    <w:rsid w:val="00D20384"/>
    <w:rsid w:val="00D21F7F"/>
    <w:rsid w:val="00D22984"/>
    <w:rsid w:val="00D23835"/>
    <w:rsid w:val="00D2408A"/>
    <w:rsid w:val="00D24C60"/>
    <w:rsid w:val="00D255D2"/>
    <w:rsid w:val="00D27BF0"/>
    <w:rsid w:val="00D3173F"/>
    <w:rsid w:val="00D337CB"/>
    <w:rsid w:val="00D34145"/>
    <w:rsid w:val="00D355E6"/>
    <w:rsid w:val="00D35A3D"/>
    <w:rsid w:val="00D35D30"/>
    <w:rsid w:val="00D4134E"/>
    <w:rsid w:val="00D4335E"/>
    <w:rsid w:val="00D433CA"/>
    <w:rsid w:val="00D43B1B"/>
    <w:rsid w:val="00D44F24"/>
    <w:rsid w:val="00D45819"/>
    <w:rsid w:val="00D46D59"/>
    <w:rsid w:val="00D501C8"/>
    <w:rsid w:val="00D50C2D"/>
    <w:rsid w:val="00D50FFA"/>
    <w:rsid w:val="00D51B58"/>
    <w:rsid w:val="00D52134"/>
    <w:rsid w:val="00D521D7"/>
    <w:rsid w:val="00D53307"/>
    <w:rsid w:val="00D5599E"/>
    <w:rsid w:val="00D55C78"/>
    <w:rsid w:val="00D5635F"/>
    <w:rsid w:val="00D574CC"/>
    <w:rsid w:val="00D60DC0"/>
    <w:rsid w:val="00D6210A"/>
    <w:rsid w:val="00D6240F"/>
    <w:rsid w:val="00D62FB0"/>
    <w:rsid w:val="00D632DC"/>
    <w:rsid w:val="00D63703"/>
    <w:rsid w:val="00D63CCC"/>
    <w:rsid w:val="00D65DD0"/>
    <w:rsid w:val="00D65F66"/>
    <w:rsid w:val="00D66944"/>
    <w:rsid w:val="00D67929"/>
    <w:rsid w:val="00D70D12"/>
    <w:rsid w:val="00D725C9"/>
    <w:rsid w:val="00D7269F"/>
    <w:rsid w:val="00D72993"/>
    <w:rsid w:val="00D72DC2"/>
    <w:rsid w:val="00D74526"/>
    <w:rsid w:val="00D75C74"/>
    <w:rsid w:val="00D75C94"/>
    <w:rsid w:val="00D76C07"/>
    <w:rsid w:val="00D77084"/>
    <w:rsid w:val="00D806EE"/>
    <w:rsid w:val="00D830CF"/>
    <w:rsid w:val="00D83411"/>
    <w:rsid w:val="00D850B8"/>
    <w:rsid w:val="00D85237"/>
    <w:rsid w:val="00D85732"/>
    <w:rsid w:val="00D866AB"/>
    <w:rsid w:val="00D86936"/>
    <w:rsid w:val="00D86947"/>
    <w:rsid w:val="00D87035"/>
    <w:rsid w:val="00D87F6A"/>
    <w:rsid w:val="00D90A6B"/>
    <w:rsid w:val="00D91478"/>
    <w:rsid w:val="00D91C3F"/>
    <w:rsid w:val="00D92CF4"/>
    <w:rsid w:val="00D942F3"/>
    <w:rsid w:val="00D9487E"/>
    <w:rsid w:val="00D9587D"/>
    <w:rsid w:val="00D96FC5"/>
    <w:rsid w:val="00D97897"/>
    <w:rsid w:val="00DA19A7"/>
    <w:rsid w:val="00DA1CDD"/>
    <w:rsid w:val="00DA3410"/>
    <w:rsid w:val="00DA3553"/>
    <w:rsid w:val="00DA3972"/>
    <w:rsid w:val="00DA41E2"/>
    <w:rsid w:val="00DA4A97"/>
    <w:rsid w:val="00DA4B44"/>
    <w:rsid w:val="00DA5A81"/>
    <w:rsid w:val="00DA6A25"/>
    <w:rsid w:val="00DA7E1E"/>
    <w:rsid w:val="00DB0E31"/>
    <w:rsid w:val="00DB1021"/>
    <w:rsid w:val="00DB29CA"/>
    <w:rsid w:val="00DB370A"/>
    <w:rsid w:val="00DB444C"/>
    <w:rsid w:val="00DB49CF"/>
    <w:rsid w:val="00DB577F"/>
    <w:rsid w:val="00DB5B76"/>
    <w:rsid w:val="00DB7431"/>
    <w:rsid w:val="00DC0EBB"/>
    <w:rsid w:val="00DC1706"/>
    <w:rsid w:val="00DC1D6C"/>
    <w:rsid w:val="00DC1E6C"/>
    <w:rsid w:val="00DC1FB3"/>
    <w:rsid w:val="00DC221A"/>
    <w:rsid w:val="00DC2478"/>
    <w:rsid w:val="00DC36C3"/>
    <w:rsid w:val="00DC46C1"/>
    <w:rsid w:val="00DC5E34"/>
    <w:rsid w:val="00DC6ACB"/>
    <w:rsid w:val="00DC6B86"/>
    <w:rsid w:val="00DC7214"/>
    <w:rsid w:val="00DC7422"/>
    <w:rsid w:val="00DC7BB2"/>
    <w:rsid w:val="00DD0653"/>
    <w:rsid w:val="00DD0F50"/>
    <w:rsid w:val="00DD1203"/>
    <w:rsid w:val="00DD1DBA"/>
    <w:rsid w:val="00DD3A0B"/>
    <w:rsid w:val="00DD448C"/>
    <w:rsid w:val="00DD6CB0"/>
    <w:rsid w:val="00DE0CAB"/>
    <w:rsid w:val="00DE14A4"/>
    <w:rsid w:val="00DE1CB2"/>
    <w:rsid w:val="00DE20DF"/>
    <w:rsid w:val="00DE277E"/>
    <w:rsid w:val="00DE2B22"/>
    <w:rsid w:val="00DE2FF4"/>
    <w:rsid w:val="00DE3F47"/>
    <w:rsid w:val="00DE49D3"/>
    <w:rsid w:val="00DE4F3E"/>
    <w:rsid w:val="00DF1D7A"/>
    <w:rsid w:val="00DF2B07"/>
    <w:rsid w:val="00DF39DC"/>
    <w:rsid w:val="00DF3BE4"/>
    <w:rsid w:val="00DF479B"/>
    <w:rsid w:val="00DF5246"/>
    <w:rsid w:val="00DF678F"/>
    <w:rsid w:val="00DF7D27"/>
    <w:rsid w:val="00DF7D2F"/>
    <w:rsid w:val="00E01648"/>
    <w:rsid w:val="00E017EA"/>
    <w:rsid w:val="00E01FD9"/>
    <w:rsid w:val="00E02A9A"/>
    <w:rsid w:val="00E03780"/>
    <w:rsid w:val="00E04E2A"/>
    <w:rsid w:val="00E06BF7"/>
    <w:rsid w:val="00E07121"/>
    <w:rsid w:val="00E10130"/>
    <w:rsid w:val="00E104F6"/>
    <w:rsid w:val="00E10E61"/>
    <w:rsid w:val="00E117B8"/>
    <w:rsid w:val="00E125B0"/>
    <w:rsid w:val="00E12B7A"/>
    <w:rsid w:val="00E1334E"/>
    <w:rsid w:val="00E14909"/>
    <w:rsid w:val="00E1566C"/>
    <w:rsid w:val="00E157B1"/>
    <w:rsid w:val="00E1586B"/>
    <w:rsid w:val="00E16622"/>
    <w:rsid w:val="00E1758A"/>
    <w:rsid w:val="00E20FCE"/>
    <w:rsid w:val="00E22812"/>
    <w:rsid w:val="00E23799"/>
    <w:rsid w:val="00E23802"/>
    <w:rsid w:val="00E24FD2"/>
    <w:rsid w:val="00E26DE3"/>
    <w:rsid w:val="00E26DE9"/>
    <w:rsid w:val="00E277AB"/>
    <w:rsid w:val="00E27C89"/>
    <w:rsid w:val="00E30B0E"/>
    <w:rsid w:val="00E321BC"/>
    <w:rsid w:val="00E33788"/>
    <w:rsid w:val="00E33C07"/>
    <w:rsid w:val="00E34F99"/>
    <w:rsid w:val="00E35BA7"/>
    <w:rsid w:val="00E3698A"/>
    <w:rsid w:val="00E36FB4"/>
    <w:rsid w:val="00E409EE"/>
    <w:rsid w:val="00E40B00"/>
    <w:rsid w:val="00E40FE3"/>
    <w:rsid w:val="00E41019"/>
    <w:rsid w:val="00E413F6"/>
    <w:rsid w:val="00E41975"/>
    <w:rsid w:val="00E41BAE"/>
    <w:rsid w:val="00E4279D"/>
    <w:rsid w:val="00E476F2"/>
    <w:rsid w:val="00E477E2"/>
    <w:rsid w:val="00E47DDE"/>
    <w:rsid w:val="00E50337"/>
    <w:rsid w:val="00E51476"/>
    <w:rsid w:val="00E52321"/>
    <w:rsid w:val="00E52744"/>
    <w:rsid w:val="00E52AC2"/>
    <w:rsid w:val="00E55580"/>
    <w:rsid w:val="00E56667"/>
    <w:rsid w:val="00E578FF"/>
    <w:rsid w:val="00E6052E"/>
    <w:rsid w:val="00E6221C"/>
    <w:rsid w:val="00E62DEA"/>
    <w:rsid w:val="00E6423E"/>
    <w:rsid w:val="00E65B7B"/>
    <w:rsid w:val="00E65BA6"/>
    <w:rsid w:val="00E66B1C"/>
    <w:rsid w:val="00E676A3"/>
    <w:rsid w:val="00E70495"/>
    <w:rsid w:val="00E7144D"/>
    <w:rsid w:val="00E72CC5"/>
    <w:rsid w:val="00E74B4C"/>
    <w:rsid w:val="00E75A64"/>
    <w:rsid w:val="00E76008"/>
    <w:rsid w:val="00E77325"/>
    <w:rsid w:val="00E779E9"/>
    <w:rsid w:val="00E77FD1"/>
    <w:rsid w:val="00E800BC"/>
    <w:rsid w:val="00E835D9"/>
    <w:rsid w:val="00E8413D"/>
    <w:rsid w:val="00E852E0"/>
    <w:rsid w:val="00E86090"/>
    <w:rsid w:val="00E86607"/>
    <w:rsid w:val="00E867CC"/>
    <w:rsid w:val="00E87012"/>
    <w:rsid w:val="00E90125"/>
    <w:rsid w:val="00E90891"/>
    <w:rsid w:val="00E9116B"/>
    <w:rsid w:val="00E922BF"/>
    <w:rsid w:val="00E92BA2"/>
    <w:rsid w:val="00E92C6B"/>
    <w:rsid w:val="00E942AA"/>
    <w:rsid w:val="00E943FC"/>
    <w:rsid w:val="00E94A20"/>
    <w:rsid w:val="00E94F25"/>
    <w:rsid w:val="00E96112"/>
    <w:rsid w:val="00E96591"/>
    <w:rsid w:val="00EA09B4"/>
    <w:rsid w:val="00EA0AD3"/>
    <w:rsid w:val="00EA0C0C"/>
    <w:rsid w:val="00EA1B54"/>
    <w:rsid w:val="00EA1FE1"/>
    <w:rsid w:val="00EA2087"/>
    <w:rsid w:val="00EA3060"/>
    <w:rsid w:val="00EA34EC"/>
    <w:rsid w:val="00EA3748"/>
    <w:rsid w:val="00EA3ED8"/>
    <w:rsid w:val="00EA44AF"/>
    <w:rsid w:val="00EA4AF8"/>
    <w:rsid w:val="00EA4E77"/>
    <w:rsid w:val="00EA5E56"/>
    <w:rsid w:val="00EA6709"/>
    <w:rsid w:val="00EA6B00"/>
    <w:rsid w:val="00EA7D27"/>
    <w:rsid w:val="00EA7DBA"/>
    <w:rsid w:val="00EB149B"/>
    <w:rsid w:val="00EB1735"/>
    <w:rsid w:val="00EB2772"/>
    <w:rsid w:val="00EB2E7A"/>
    <w:rsid w:val="00EB3582"/>
    <w:rsid w:val="00EB397D"/>
    <w:rsid w:val="00EB3BF6"/>
    <w:rsid w:val="00EB503E"/>
    <w:rsid w:val="00EB5F3D"/>
    <w:rsid w:val="00EB6031"/>
    <w:rsid w:val="00EB7093"/>
    <w:rsid w:val="00EC0002"/>
    <w:rsid w:val="00EC069C"/>
    <w:rsid w:val="00EC06E6"/>
    <w:rsid w:val="00EC0BE4"/>
    <w:rsid w:val="00EC1211"/>
    <w:rsid w:val="00EC2BC2"/>
    <w:rsid w:val="00EC3AC4"/>
    <w:rsid w:val="00EC41DA"/>
    <w:rsid w:val="00EC4781"/>
    <w:rsid w:val="00EC7B11"/>
    <w:rsid w:val="00ED0257"/>
    <w:rsid w:val="00ED096D"/>
    <w:rsid w:val="00ED3CD8"/>
    <w:rsid w:val="00ED46F7"/>
    <w:rsid w:val="00ED563C"/>
    <w:rsid w:val="00ED5649"/>
    <w:rsid w:val="00ED6469"/>
    <w:rsid w:val="00ED6633"/>
    <w:rsid w:val="00ED7C9E"/>
    <w:rsid w:val="00EE04D8"/>
    <w:rsid w:val="00EE09CB"/>
    <w:rsid w:val="00EE1B99"/>
    <w:rsid w:val="00EE2A0F"/>
    <w:rsid w:val="00EE3415"/>
    <w:rsid w:val="00EE40EA"/>
    <w:rsid w:val="00EE48DB"/>
    <w:rsid w:val="00EE649B"/>
    <w:rsid w:val="00EE671D"/>
    <w:rsid w:val="00EE7AF6"/>
    <w:rsid w:val="00EF0E9A"/>
    <w:rsid w:val="00EF1A42"/>
    <w:rsid w:val="00EF32A9"/>
    <w:rsid w:val="00EF35FD"/>
    <w:rsid w:val="00EF5756"/>
    <w:rsid w:val="00EF67B4"/>
    <w:rsid w:val="00EF7A0E"/>
    <w:rsid w:val="00EF7EA8"/>
    <w:rsid w:val="00F00325"/>
    <w:rsid w:val="00F006DF"/>
    <w:rsid w:val="00F00C01"/>
    <w:rsid w:val="00F00FB2"/>
    <w:rsid w:val="00F0130D"/>
    <w:rsid w:val="00F016D6"/>
    <w:rsid w:val="00F01B10"/>
    <w:rsid w:val="00F0233B"/>
    <w:rsid w:val="00F0251A"/>
    <w:rsid w:val="00F02AAC"/>
    <w:rsid w:val="00F02C5E"/>
    <w:rsid w:val="00F04E6D"/>
    <w:rsid w:val="00F06DCE"/>
    <w:rsid w:val="00F07E44"/>
    <w:rsid w:val="00F10516"/>
    <w:rsid w:val="00F106E2"/>
    <w:rsid w:val="00F10E93"/>
    <w:rsid w:val="00F14ABE"/>
    <w:rsid w:val="00F14E72"/>
    <w:rsid w:val="00F15ECD"/>
    <w:rsid w:val="00F16B3E"/>
    <w:rsid w:val="00F1721D"/>
    <w:rsid w:val="00F17F96"/>
    <w:rsid w:val="00F22486"/>
    <w:rsid w:val="00F229C9"/>
    <w:rsid w:val="00F22E8E"/>
    <w:rsid w:val="00F24DE6"/>
    <w:rsid w:val="00F2510E"/>
    <w:rsid w:val="00F27E73"/>
    <w:rsid w:val="00F3022F"/>
    <w:rsid w:val="00F308C2"/>
    <w:rsid w:val="00F30B2A"/>
    <w:rsid w:val="00F31833"/>
    <w:rsid w:val="00F32FEB"/>
    <w:rsid w:val="00F34888"/>
    <w:rsid w:val="00F37098"/>
    <w:rsid w:val="00F37BC4"/>
    <w:rsid w:val="00F40082"/>
    <w:rsid w:val="00F402C2"/>
    <w:rsid w:val="00F4062B"/>
    <w:rsid w:val="00F415E8"/>
    <w:rsid w:val="00F41D37"/>
    <w:rsid w:val="00F41E29"/>
    <w:rsid w:val="00F42137"/>
    <w:rsid w:val="00F43047"/>
    <w:rsid w:val="00F43A7E"/>
    <w:rsid w:val="00F458B8"/>
    <w:rsid w:val="00F458C4"/>
    <w:rsid w:val="00F46ED9"/>
    <w:rsid w:val="00F47404"/>
    <w:rsid w:val="00F4741D"/>
    <w:rsid w:val="00F5036C"/>
    <w:rsid w:val="00F5097A"/>
    <w:rsid w:val="00F52189"/>
    <w:rsid w:val="00F531A2"/>
    <w:rsid w:val="00F53DEC"/>
    <w:rsid w:val="00F5411B"/>
    <w:rsid w:val="00F559DF"/>
    <w:rsid w:val="00F5614E"/>
    <w:rsid w:val="00F5642C"/>
    <w:rsid w:val="00F56FB9"/>
    <w:rsid w:val="00F60445"/>
    <w:rsid w:val="00F6114A"/>
    <w:rsid w:val="00F6138C"/>
    <w:rsid w:val="00F62639"/>
    <w:rsid w:val="00F626D0"/>
    <w:rsid w:val="00F62C63"/>
    <w:rsid w:val="00F62DCA"/>
    <w:rsid w:val="00F6333C"/>
    <w:rsid w:val="00F63487"/>
    <w:rsid w:val="00F63A66"/>
    <w:rsid w:val="00F655BE"/>
    <w:rsid w:val="00F65E59"/>
    <w:rsid w:val="00F670C5"/>
    <w:rsid w:val="00F670D3"/>
    <w:rsid w:val="00F67CB7"/>
    <w:rsid w:val="00F708B8"/>
    <w:rsid w:val="00F70A0A"/>
    <w:rsid w:val="00F72B35"/>
    <w:rsid w:val="00F7530A"/>
    <w:rsid w:val="00F761C6"/>
    <w:rsid w:val="00F761CC"/>
    <w:rsid w:val="00F776A3"/>
    <w:rsid w:val="00F77F03"/>
    <w:rsid w:val="00F8103B"/>
    <w:rsid w:val="00F8225E"/>
    <w:rsid w:val="00F826F6"/>
    <w:rsid w:val="00F82F99"/>
    <w:rsid w:val="00F83C64"/>
    <w:rsid w:val="00F844D1"/>
    <w:rsid w:val="00F851F5"/>
    <w:rsid w:val="00F852A3"/>
    <w:rsid w:val="00F861B0"/>
    <w:rsid w:val="00F8690E"/>
    <w:rsid w:val="00F87654"/>
    <w:rsid w:val="00F902EA"/>
    <w:rsid w:val="00F9145C"/>
    <w:rsid w:val="00F94B2C"/>
    <w:rsid w:val="00F95542"/>
    <w:rsid w:val="00F97671"/>
    <w:rsid w:val="00FA0F68"/>
    <w:rsid w:val="00FA1FCD"/>
    <w:rsid w:val="00FA2390"/>
    <w:rsid w:val="00FA2CF6"/>
    <w:rsid w:val="00FA3B2F"/>
    <w:rsid w:val="00FA4CB2"/>
    <w:rsid w:val="00FA5A96"/>
    <w:rsid w:val="00FA6AA0"/>
    <w:rsid w:val="00FA6B4C"/>
    <w:rsid w:val="00FA6C4F"/>
    <w:rsid w:val="00FA727A"/>
    <w:rsid w:val="00FB08F2"/>
    <w:rsid w:val="00FB0962"/>
    <w:rsid w:val="00FB0CF5"/>
    <w:rsid w:val="00FB1246"/>
    <w:rsid w:val="00FB14D9"/>
    <w:rsid w:val="00FB2152"/>
    <w:rsid w:val="00FB2378"/>
    <w:rsid w:val="00FB37E0"/>
    <w:rsid w:val="00FB3DC3"/>
    <w:rsid w:val="00FB4CC3"/>
    <w:rsid w:val="00FB689D"/>
    <w:rsid w:val="00FB6F8A"/>
    <w:rsid w:val="00FB7105"/>
    <w:rsid w:val="00FB75C3"/>
    <w:rsid w:val="00FC0BFD"/>
    <w:rsid w:val="00FC1485"/>
    <w:rsid w:val="00FC1B40"/>
    <w:rsid w:val="00FC21AC"/>
    <w:rsid w:val="00FC2377"/>
    <w:rsid w:val="00FC3185"/>
    <w:rsid w:val="00FC323D"/>
    <w:rsid w:val="00FC431B"/>
    <w:rsid w:val="00FC4783"/>
    <w:rsid w:val="00FC6FFC"/>
    <w:rsid w:val="00FD0B6E"/>
    <w:rsid w:val="00FD1B4E"/>
    <w:rsid w:val="00FD20AC"/>
    <w:rsid w:val="00FD3D93"/>
    <w:rsid w:val="00FD4D07"/>
    <w:rsid w:val="00FD54DD"/>
    <w:rsid w:val="00FD6864"/>
    <w:rsid w:val="00FD6B67"/>
    <w:rsid w:val="00FE042C"/>
    <w:rsid w:val="00FE0B0D"/>
    <w:rsid w:val="00FE154B"/>
    <w:rsid w:val="00FE2296"/>
    <w:rsid w:val="00FE2B5B"/>
    <w:rsid w:val="00FE365B"/>
    <w:rsid w:val="00FE3B03"/>
    <w:rsid w:val="00FE4720"/>
    <w:rsid w:val="00FF1419"/>
    <w:rsid w:val="00FF16E7"/>
    <w:rsid w:val="00FF1C97"/>
    <w:rsid w:val="00FF2C87"/>
    <w:rsid w:val="00FF78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1E6C"/>
    <w:pPr>
      <w:spacing w:after="200" w:line="276" w:lineRule="auto"/>
    </w:pPr>
    <w:rPr>
      <w:rFonts w:ascii="Calibri" w:eastAsia="Times New Roman" w:hAnsi="Calibri"/>
      <w:sz w:val="22"/>
      <w:szCs w:val="22"/>
      <w:lang w:eastAsia="en-US"/>
    </w:rPr>
  </w:style>
  <w:style w:type="paragraph" w:styleId="Heading1">
    <w:name w:val="heading 1"/>
    <w:aliases w:val="Main Section"/>
    <w:basedOn w:val="Normal"/>
    <w:next w:val="Normal"/>
    <w:link w:val="Heading1Char"/>
    <w:uiPriority w:val="99"/>
    <w:qFormat/>
    <w:rsid w:val="00FC21AC"/>
    <w:pPr>
      <w:keepNext/>
      <w:numPr>
        <w:numId w:val="6"/>
      </w:numPr>
      <w:spacing w:after="0" w:line="240" w:lineRule="auto"/>
      <w:jc w:val="center"/>
      <w:outlineLvl w:val="0"/>
    </w:pPr>
    <w:rPr>
      <w:rFonts w:ascii="Times New Roman" w:hAnsi="Times New Roman"/>
      <w:b/>
      <w:smallCaps/>
      <w:kern w:val="28"/>
      <w:sz w:val="24"/>
      <w:szCs w:val="20"/>
    </w:rPr>
  </w:style>
  <w:style w:type="paragraph" w:styleId="Heading2">
    <w:name w:val="heading 2"/>
    <w:basedOn w:val="Normal"/>
    <w:next w:val="Normal"/>
    <w:link w:val="Heading2Char"/>
    <w:uiPriority w:val="99"/>
    <w:qFormat/>
    <w:rsid w:val="00FC21AC"/>
    <w:pPr>
      <w:keepNext/>
      <w:numPr>
        <w:ilvl w:val="1"/>
        <w:numId w:val="6"/>
      </w:numPr>
      <w:spacing w:after="0" w:line="240" w:lineRule="auto"/>
      <w:jc w:val="center"/>
      <w:outlineLvl w:val="1"/>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E6C"/>
    <w:pPr>
      <w:ind w:left="720"/>
      <w:contextualSpacing/>
    </w:pPr>
  </w:style>
  <w:style w:type="paragraph" w:styleId="FootnoteText">
    <w:name w:val="footnote text"/>
    <w:aliases w:val="Footnote Text Char Char Char Char Char Char,fn,Footnote Text Char1,Footnote Text Char Char,Footnote,Fußnote,single space,FOOTNOTES,Testo_note,Testo_note1,Testo_note2,Footnote Text Char3 Char,FSR footnote"/>
    <w:basedOn w:val="Normal"/>
    <w:link w:val="FootnoteTextChar"/>
    <w:uiPriority w:val="99"/>
    <w:unhideWhenUsed/>
    <w:rsid w:val="00DC1E6C"/>
    <w:pPr>
      <w:spacing w:after="0" w:line="240" w:lineRule="auto"/>
    </w:pPr>
    <w:rPr>
      <w:sz w:val="20"/>
      <w:szCs w:val="20"/>
    </w:rPr>
  </w:style>
  <w:style w:type="character" w:customStyle="1" w:styleId="FootnoteTextChar">
    <w:name w:val="Footnote Text Char"/>
    <w:aliases w:val="Footnote Text Char Char Char Char Char Char Char,fn Char,Footnote Text Char1 Char,Footnote Text Char Char Char,Footnote Char,Fußnote Char,single space Char,FOOTNOTES Char,Testo_note Char,Testo_note1 Char,Testo_note2 Char"/>
    <w:link w:val="FootnoteText"/>
    <w:uiPriority w:val="99"/>
    <w:rsid w:val="00DC1E6C"/>
    <w:rPr>
      <w:rFonts w:ascii="Calibri" w:eastAsia="Times New Roman" w:hAnsi="Calibri"/>
    </w:rPr>
  </w:style>
  <w:style w:type="character" w:styleId="FootnoteReference">
    <w:name w:val="footnote reference"/>
    <w:aliases w:val="Footnote Reference Number,Footnote Reference_LVL6,Footnote Reference_LVL61,Footnote Reference_LVL62,Footnote Reference_LVL63,Footnote Reference_LVL64"/>
    <w:uiPriority w:val="99"/>
    <w:unhideWhenUsed/>
    <w:rsid w:val="00DC1E6C"/>
    <w:rPr>
      <w:vertAlign w:val="superscript"/>
    </w:rPr>
  </w:style>
  <w:style w:type="paragraph" w:customStyle="1" w:styleId="Default">
    <w:name w:val="Default"/>
    <w:rsid w:val="00DC1E6C"/>
    <w:pPr>
      <w:autoSpaceDE w:val="0"/>
      <w:autoSpaceDN w:val="0"/>
      <w:adjustRightInd w:val="0"/>
    </w:pPr>
    <w:rPr>
      <w:rFonts w:eastAsia="Times New Roman"/>
      <w:color w:val="000000"/>
      <w:sz w:val="24"/>
      <w:szCs w:val="24"/>
      <w:lang w:eastAsia="en-US"/>
    </w:rPr>
  </w:style>
  <w:style w:type="paragraph" w:styleId="Footer">
    <w:name w:val="footer"/>
    <w:basedOn w:val="Normal"/>
    <w:link w:val="FooterChar"/>
    <w:uiPriority w:val="99"/>
    <w:unhideWhenUsed/>
    <w:rsid w:val="00DC1E6C"/>
    <w:pPr>
      <w:tabs>
        <w:tab w:val="center" w:pos="4680"/>
        <w:tab w:val="right" w:pos="9360"/>
      </w:tabs>
      <w:spacing w:after="0" w:line="240" w:lineRule="auto"/>
    </w:pPr>
  </w:style>
  <w:style w:type="character" w:customStyle="1" w:styleId="FooterChar">
    <w:name w:val="Footer Char"/>
    <w:link w:val="Footer"/>
    <w:uiPriority w:val="99"/>
    <w:rsid w:val="00DC1E6C"/>
    <w:rPr>
      <w:rFonts w:ascii="Calibri" w:eastAsia="Times New Roman" w:hAnsi="Calibri"/>
      <w:sz w:val="22"/>
      <w:szCs w:val="22"/>
    </w:rPr>
  </w:style>
  <w:style w:type="character" w:styleId="CommentReference">
    <w:name w:val="annotation reference"/>
    <w:uiPriority w:val="99"/>
    <w:unhideWhenUsed/>
    <w:rsid w:val="00DC1E6C"/>
    <w:rPr>
      <w:sz w:val="16"/>
      <w:szCs w:val="16"/>
    </w:rPr>
  </w:style>
  <w:style w:type="paragraph" w:styleId="CommentText">
    <w:name w:val="annotation text"/>
    <w:basedOn w:val="Normal"/>
    <w:link w:val="CommentTextChar"/>
    <w:uiPriority w:val="99"/>
    <w:unhideWhenUsed/>
    <w:rsid w:val="00DC1E6C"/>
    <w:pPr>
      <w:spacing w:line="240" w:lineRule="auto"/>
    </w:pPr>
    <w:rPr>
      <w:sz w:val="20"/>
      <w:szCs w:val="20"/>
    </w:rPr>
  </w:style>
  <w:style w:type="character" w:customStyle="1" w:styleId="CommentTextChar">
    <w:name w:val="Comment Text Char"/>
    <w:link w:val="CommentText"/>
    <w:uiPriority w:val="99"/>
    <w:rsid w:val="00DC1E6C"/>
    <w:rPr>
      <w:rFonts w:ascii="Calibri" w:eastAsia="Times New Roman" w:hAnsi="Calibri"/>
    </w:rPr>
  </w:style>
  <w:style w:type="paragraph" w:styleId="BalloonText">
    <w:name w:val="Balloon Text"/>
    <w:basedOn w:val="Normal"/>
    <w:link w:val="BalloonTextChar"/>
    <w:rsid w:val="00DC1E6C"/>
    <w:pPr>
      <w:spacing w:after="0" w:line="240" w:lineRule="auto"/>
    </w:pPr>
    <w:rPr>
      <w:rFonts w:ascii="Tahoma" w:hAnsi="Tahoma"/>
      <w:sz w:val="16"/>
      <w:szCs w:val="16"/>
    </w:rPr>
  </w:style>
  <w:style w:type="character" w:customStyle="1" w:styleId="BalloonTextChar">
    <w:name w:val="Balloon Text Char"/>
    <w:link w:val="BalloonText"/>
    <w:rsid w:val="00DC1E6C"/>
    <w:rPr>
      <w:rFonts w:ascii="Tahoma" w:eastAsia="Times New Roman" w:hAnsi="Tahoma" w:cs="Tahoma"/>
      <w:sz w:val="16"/>
      <w:szCs w:val="16"/>
    </w:rPr>
  </w:style>
  <w:style w:type="paragraph" w:styleId="Header">
    <w:name w:val="header"/>
    <w:basedOn w:val="Normal"/>
    <w:link w:val="HeaderChar"/>
    <w:rsid w:val="00DC1E6C"/>
    <w:pPr>
      <w:tabs>
        <w:tab w:val="center" w:pos="4703"/>
        <w:tab w:val="right" w:pos="9406"/>
      </w:tabs>
      <w:spacing w:after="0" w:line="240" w:lineRule="auto"/>
    </w:pPr>
  </w:style>
  <w:style w:type="character" w:customStyle="1" w:styleId="HeaderChar">
    <w:name w:val="Header Char"/>
    <w:link w:val="Header"/>
    <w:rsid w:val="00DC1E6C"/>
    <w:rPr>
      <w:rFonts w:ascii="Calibri" w:eastAsia="Times New Roman" w:hAnsi="Calibri"/>
      <w:sz w:val="22"/>
      <w:szCs w:val="22"/>
    </w:rPr>
  </w:style>
  <w:style w:type="character" w:styleId="Hyperlink">
    <w:name w:val="Hyperlink"/>
    <w:uiPriority w:val="99"/>
    <w:unhideWhenUsed/>
    <w:rsid w:val="00555AFF"/>
    <w:rPr>
      <w:color w:val="0000FF"/>
      <w:u w:val="single"/>
    </w:rPr>
  </w:style>
  <w:style w:type="paragraph" w:styleId="CommentSubject">
    <w:name w:val="annotation subject"/>
    <w:basedOn w:val="CommentText"/>
    <w:next w:val="CommentText"/>
    <w:link w:val="CommentSubjectChar"/>
    <w:rsid w:val="00417324"/>
    <w:rPr>
      <w:b/>
      <w:bCs/>
    </w:rPr>
  </w:style>
  <w:style w:type="character" w:customStyle="1" w:styleId="CommentSubjectChar">
    <w:name w:val="Comment Subject Char"/>
    <w:link w:val="CommentSubject"/>
    <w:rsid w:val="00417324"/>
    <w:rPr>
      <w:rFonts w:ascii="Calibri" w:eastAsia="Times New Roman" w:hAnsi="Calibri"/>
      <w:b/>
      <w:bCs/>
    </w:rPr>
  </w:style>
  <w:style w:type="paragraph" w:styleId="Revision">
    <w:name w:val="Revision"/>
    <w:hidden/>
    <w:uiPriority w:val="99"/>
    <w:semiHidden/>
    <w:rsid w:val="00417324"/>
    <w:rPr>
      <w:rFonts w:ascii="Calibri" w:eastAsia="Times New Roman" w:hAnsi="Calibri"/>
      <w:sz w:val="22"/>
      <w:szCs w:val="22"/>
      <w:lang w:eastAsia="en-US"/>
    </w:rPr>
  </w:style>
  <w:style w:type="character" w:customStyle="1" w:styleId="Heading1Char">
    <w:name w:val="Heading 1 Char"/>
    <w:aliases w:val="Main Section Char"/>
    <w:link w:val="Heading1"/>
    <w:uiPriority w:val="99"/>
    <w:rsid w:val="00FC21AC"/>
    <w:rPr>
      <w:rFonts w:eastAsia="Times New Roman"/>
      <w:b/>
      <w:smallCaps/>
      <w:kern w:val="28"/>
      <w:sz w:val="24"/>
    </w:rPr>
  </w:style>
  <w:style w:type="character" w:customStyle="1" w:styleId="Heading2Char">
    <w:name w:val="Heading 2 Char"/>
    <w:link w:val="Heading2"/>
    <w:uiPriority w:val="99"/>
    <w:rsid w:val="00FC21AC"/>
    <w:rPr>
      <w:rFonts w:eastAsia="Times New Roman"/>
      <w:b/>
      <w:sz w:val="24"/>
    </w:rPr>
  </w:style>
  <w:style w:type="character" w:customStyle="1" w:styleId="FootnoteTextChar3">
    <w:name w:val="Footnote Text Char3"/>
    <w:aliases w:val="Footnote Text Char Char Char Char Char Char Char1,fn Char1,Footnote Text Char1 Char1,Footnote Text Char Char Char1,Footnote Char2,Fußnote Char2,single space Char1,FOOTNOTES Char1,Testo_note Char1,Testo_note1 Char1,Testo_note2 Char1"/>
    <w:uiPriority w:val="99"/>
    <w:locked/>
    <w:rsid w:val="003C292A"/>
    <w:rPr>
      <w:rFonts w:ascii="Times New Roman" w:hAnsi="Times New Roman" w:cs="Times New Roman"/>
      <w:sz w:val="20"/>
      <w:szCs w:val="20"/>
      <w:lang w:eastAsia="ar-SA" w:bidi="ar-SA"/>
    </w:rPr>
  </w:style>
  <w:style w:type="table" w:styleId="TableGrid">
    <w:name w:val="Table Grid"/>
    <w:basedOn w:val="TableNormal"/>
    <w:uiPriority w:val="59"/>
    <w:rsid w:val="00C55F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E413F6"/>
    <w:pPr>
      <w:spacing w:after="0" w:line="240" w:lineRule="auto"/>
    </w:pPr>
    <w:rPr>
      <w:sz w:val="20"/>
      <w:szCs w:val="20"/>
    </w:rPr>
  </w:style>
  <w:style w:type="character" w:customStyle="1" w:styleId="EndnoteTextChar">
    <w:name w:val="Endnote Text Char"/>
    <w:link w:val="EndnoteText"/>
    <w:rsid w:val="00E413F6"/>
    <w:rPr>
      <w:rFonts w:ascii="Calibri" w:eastAsia="Times New Roman" w:hAnsi="Calibri"/>
    </w:rPr>
  </w:style>
  <w:style w:type="character" w:styleId="EndnoteReference">
    <w:name w:val="endnote reference"/>
    <w:rsid w:val="00E413F6"/>
    <w:rPr>
      <w:vertAlign w:val="superscript"/>
    </w:rPr>
  </w:style>
  <w:style w:type="paragraph" w:styleId="NormalWeb">
    <w:name w:val="Normal (Web)"/>
    <w:basedOn w:val="Normal"/>
    <w:uiPriority w:val="99"/>
    <w:unhideWhenUsed/>
    <w:rsid w:val="004E51F6"/>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8E76E3"/>
    <w:rPr>
      <w:b/>
      <w:bCs/>
    </w:rPr>
  </w:style>
  <w:style w:type="paragraph" w:styleId="TOCHeading">
    <w:name w:val="TOC Heading"/>
    <w:basedOn w:val="Heading1"/>
    <w:next w:val="Normal"/>
    <w:uiPriority w:val="39"/>
    <w:semiHidden/>
    <w:unhideWhenUsed/>
    <w:qFormat/>
    <w:rsid w:val="00160258"/>
    <w:pPr>
      <w:keepLines/>
      <w:numPr>
        <w:numId w:val="0"/>
      </w:numPr>
      <w:spacing w:before="480" w:line="276" w:lineRule="auto"/>
      <w:jc w:val="left"/>
      <w:outlineLvl w:val="9"/>
    </w:pPr>
    <w:rPr>
      <w:rFonts w:ascii="Cambria" w:hAnsi="Cambria"/>
      <w:bCs/>
      <w:smallCaps w:val="0"/>
      <w:color w:val="365F91"/>
      <w:kern w:val="0"/>
      <w:sz w:val="28"/>
      <w:szCs w:val="28"/>
    </w:rPr>
  </w:style>
  <w:style w:type="paragraph" w:styleId="TOC1">
    <w:name w:val="toc 1"/>
    <w:basedOn w:val="Normal"/>
    <w:next w:val="Normal"/>
    <w:uiPriority w:val="39"/>
    <w:rsid w:val="00ED6633"/>
    <w:pPr>
      <w:tabs>
        <w:tab w:val="left" w:pos="720"/>
        <w:tab w:val="right" w:leader="dot" w:pos="9360"/>
      </w:tabs>
      <w:spacing w:after="100"/>
    </w:pPr>
    <w:rPr>
      <w:rFonts w:ascii="Times New Roman" w:hAnsi="Times New Roman"/>
      <w:sz w:val="24"/>
    </w:rPr>
  </w:style>
  <w:style w:type="paragraph" w:styleId="Caption">
    <w:name w:val="caption"/>
    <w:basedOn w:val="Normal"/>
    <w:next w:val="Normal"/>
    <w:unhideWhenUsed/>
    <w:qFormat/>
    <w:rsid w:val="00AD16C3"/>
    <w:pPr>
      <w:spacing w:line="240" w:lineRule="auto"/>
    </w:pPr>
    <w:rPr>
      <w:rFonts w:ascii="Times New Roman" w:hAnsi="Times New Roman"/>
      <w:b/>
      <w:bCs/>
      <w:sz w:val="24"/>
      <w:szCs w:val="18"/>
    </w:rPr>
  </w:style>
  <w:style w:type="paragraph" w:styleId="Subtitle">
    <w:name w:val="Subtitle"/>
    <w:basedOn w:val="Normal"/>
    <w:next w:val="Normal"/>
    <w:link w:val="SubtitleChar"/>
    <w:qFormat/>
    <w:rsid w:val="00B0734D"/>
    <w:pPr>
      <w:numPr>
        <w:ilvl w:val="1"/>
      </w:numPr>
      <w:jc w:val="center"/>
    </w:pPr>
    <w:rPr>
      <w:rFonts w:ascii="Times New Roman Bold" w:hAnsi="Times New Roman Bold"/>
      <w:b/>
      <w:iCs/>
      <w:smallCaps/>
      <w:color w:val="000000"/>
      <w:spacing w:val="15"/>
      <w:sz w:val="24"/>
      <w:szCs w:val="24"/>
    </w:rPr>
  </w:style>
  <w:style w:type="character" w:customStyle="1" w:styleId="SubtitleChar">
    <w:name w:val="Subtitle Char"/>
    <w:link w:val="Subtitle"/>
    <w:rsid w:val="00B0734D"/>
    <w:rPr>
      <w:rFonts w:ascii="Times New Roman Bold" w:eastAsia="Times New Roman" w:hAnsi="Times New Roman Bold" w:cs="Times New Roman"/>
      <w:b/>
      <w:iCs/>
      <w:smallCaps/>
      <w:color w:val="000000"/>
      <w:spacing w:val="15"/>
      <w:sz w:val="24"/>
      <w:szCs w:val="24"/>
    </w:rPr>
  </w:style>
  <w:style w:type="paragraph" w:customStyle="1" w:styleId="main">
    <w:name w:val="main"/>
    <w:basedOn w:val="Normal"/>
    <w:qFormat/>
    <w:rsid w:val="00ED6633"/>
    <w:pPr>
      <w:jc w:val="center"/>
    </w:pPr>
    <w:rPr>
      <w:rFonts w:ascii="Times New Roman" w:hAnsi="Times New Roman"/>
      <w:b/>
      <w:sz w:val="32"/>
    </w:rPr>
  </w:style>
  <w:style w:type="paragraph" w:customStyle="1" w:styleId="mainnum">
    <w:name w:val="main_num"/>
    <w:basedOn w:val="main"/>
    <w:qFormat/>
    <w:rsid w:val="00ED6633"/>
    <w:pPr>
      <w:numPr>
        <w:numId w:val="15"/>
      </w:numPr>
    </w:pPr>
    <w:rPr>
      <w:rFonts w:ascii="Times New Roman Bold" w:hAnsi="Times New Roman Bold"/>
      <w:smallCaps/>
    </w:rPr>
  </w:style>
  <w:style w:type="paragraph" w:styleId="TableofFigures">
    <w:name w:val="table of figures"/>
    <w:basedOn w:val="Normal"/>
    <w:next w:val="Normal"/>
    <w:uiPriority w:val="99"/>
    <w:rsid w:val="00AD16C3"/>
    <w:pPr>
      <w:spacing w:after="0"/>
    </w:pPr>
    <w:rPr>
      <w:rFonts w:ascii="Times New Roman" w:hAnsi="Times New Roman"/>
      <w:sz w:val="24"/>
    </w:rPr>
  </w:style>
  <w:style w:type="character" w:styleId="HTMLCite">
    <w:name w:val="HTML Cite"/>
    <w:uiPriority w:val="99"/>
    <w:unhideWhenUsed/>
    <w:rsid w:val="00882199"/>
    <w:rPr>
      <w:i/>
      <w:iCs/>
    </w:rPr>
  </w:style>
</w:styles>
</file>

<file path=word/webSettings.xml><?xml version="1.0" encoding="utf-8"?>
<w:webSettings xmlns:r="http://schemas.openxmlformats.org/officeDocument/2006/relationships" xmlns:w="http://schemas.openxmlformats.org/wordprocessingml/2006/main">
  <w:divs>
    <w:div w:id="116803661">
      <w:bodyDiv w:val="1"/>
      <w:marLeft w:val="0"/>
      <w:marRight w:val="0"/>
      <w:marTop w:val="0"/>
      <w:marBottom w:val="0"/>
      <w:divBdr>
        <w:top w:val="none" w:sz="0" w:space="0" w:color="auto"/>
        <w:left w:val="none" w:sz="0" w:space="0" w:color="auto"/>
        <w:bottom w:val="none" w:sz="0" w:space="0" w:color="auto"/>
        <w:right w:val="none" w:sz="0" w:space="0" w:color="auto"/>
      </w:divBdr>
    </w:div>
    <w:div w:id="212237308">
      <w:bodyDiv w:val="1"/>
      <w:marLeft w:val="0"/>
      <w:marRight w:val="0"/>
      <w:marTop w:val="0"/>
      <w:marBottom w:val="0"/>
      <w:divBdr>
        <w:top w:val="none" w:sz="0" w:space="0" w:color="auto"/>
        <w:left w:val="none" w:sz="0" w:space="0" w:color="auto"/>
        <w:bottom w:val="none" w:sz="0" w:space="0" w:color="auto"/>
        <w:right w:val="none" w:sz="0" w:space="0" w:color="auto"/>
      </w:divBdr>
    </w:div>
    <w:div w:id="254675023">
      <w:bodyDiv w:val="1"/>
      <w:marLeft w:val="0"/>
      <w:marRight w:val="0"/>
      <w:marTop w:val="0"/>
      <w:marBottom w:val="0"/>
      <w:divBdr>
        <w:top w:val="none" w:sz="0" w:space="0" w:color="auto"/>
        <w:left w:val="none" w:sz="0" w:space="0" w:color="auto"/>
        <w:bottom w:val="none" w:sz="0" w:space="0" w:color="auto"/>
        <w:right w:val="none" w:sz="0" w:space="0" w:color="auto"/>
      </w:divBdr>
    </w:div>
    <w:div w:id="331371466">
      <w:bodyDiv w:val="1"/>
      <w:marLeft w:val="0"/>
      <w:marRight w:val="0"/>
      <w:marTop w:val="0"/>
      <w:marBottom w:val="0"/>
      <w:divBdr>
        <w:top w:val="none" w:sz="0" w:space="0" w:color="auto"/>
        <w:left w:val="none" w:sz="0" w:space="0" w:color="auto"/>
        <w:bottom w:val="none" w:sz="0" w:space="0" w:color="auto"/>
        <w:right w:val="none" w:sz="0" w:space="0" w:color="auto"/>
      </w:divBdr>
    </w:div>
    <w:div w:id="720132731">
      <w:bodyDiv w:val="1"/>
      <w:marLeft w:val="0"/>
      <w:marRight w:val="0"/>
      <w:marTop w:val="0"/>
      <w:marBottom w:val="0"/>
      <w:divBdr>
        <w:top w:val="none" w:sz="0" w:space="0" w:color="auto"/>
        <w:left w:val="none" w:sz="0" w:space="0" w:color="auto"/>
        <w:bottom w:val="none" w:sz="0" w:space="0" w:color="auto"/>
        <w:right w:val="none" w:sz="0" w:space="0" w:color="auto"/>
      </w:divBdr>
    </w:div>
    <w:div w:id="742020901">
      <w:bodyDiv w:val="1"/>
      <w:marLeft w:val="0"/>
      <w:marRight w:val="0"/>
      <w:marTop w:val="0"/>
      <w:marBottom w:val="0"/>
      <w:divBdr>
        <w:top w:val="none" w:sz="0" w:space="0" w:color="auto"/>
        <w:left w:val="none" w:sz="0" w:space="0" w:color="auto"/>
        <w:bottom w:val="none" w:sz="0" w:space="0" w:color="auto"/>
        <w:right w:val="none" w:sz="0" w:space="0" w:color="auto"/>
      </w:divBdr>
    </w:div>
    <w:div w:id="807627217">
      <w:bodyDiv w:val="1"/>
      <w:marLeft w:val="0"/>
      <w:marRight w:val="0"/>
      <w:marTop w:val="0"/>
      <w:marBottom w:val="0"/>
      <w:divBdr>
        <w:top w:val="none" w:sz="0" w:space="0" w:color="auto"/>
        <w:left w:val="none" w:sz="0" w:space="0" w:color="auto"/>
        <w:bottom w:val="none" w:sz="0" w:space="0" w:color="auto"/>
        <w:right w:val="none" w:sz="0" w:space="0" w:color="auto"/>
      </w:divBdr>
    </w:div>
    <w:div w:id="817574031">
      <w:bodyDiv w:val="1"/>
      <w:marLeft w:val="0"/>
      <w:marRight w:val="0"/>
      <w:marTop w:val="0"/>
      <w:marBottom w:val="0"/>
      <w:divBdr>
        <w:top w:val="none" w:sz="0" w:space="0" w:color="auto"/>
        <w:left w:val="none" w:sz="0" w:space="0" w:color="auto"/>
        <w:bottom w:val="none" w:sz="0" w:space="0" w:color="auto"/>
        <w:right w:val="none" w:sz="0" w:space="0" w:color="auto"/>
      </w:divBdr>
    </w:div>
    <w:div w:id="827209019">
      <w:bodyDiv w:val="1"/>
      <w:marLeft w:val="0"/>
      <w:marRight w:val="0"/>
      <w:marTop w:val="0"/>
      <w:marBottom w:val="0"/>
      <w:divBdr>
        <w:top w:val="none" w:sz="0" w:space="0" w:color="auto"/>
        <w:left w:val="none" w:sz="0" w:space="0" w:color="auto"/>
        <w:bottom w:val="none" w:sz="0" w:space="0" w:color="auto"/>
        <w:right w:val="none" w:sz="0" w:space="0" w:color="auto"/>
      </w:divBdr>
    </w:div>
    <w:div w:id="1141075759">
      <w:bodyDiv w:val="1"/>
      <w:marLeft w:val="0"/>
      <w:marRight w:val="0"/>
      <w:marTop w:val="0"/>
      <w:marBottom w:val="0"/>
      <w:divBdr>
        <w:top w:val="none" w:sz="0" w:space="0" w:color="auto"/>
        <w:left w:val="none" w:sz="0" w:space="0" w:color="auto"/>
        <w:bottom w:val="none" w:sz="0" w:space="0" w:color="auto"/>
        <w:right w:val="none" w:sz="0" w:space="0" w:color="auto"/>
      </w:divBdr>
    </w:div>
    <w:div w:id="1258706823">
      <w:bodyDiv w:val="1"/>
      <w:marLeft w:val="0"/>
      <w:marRight w:val="0"/>
      <w:marTop w:val="0"/>
      <w:marBottom w:val="0"/>
      <w:divBdr>
        <w:top w:val="none" w:sz="0" w:space="0" w:color="auto"/>
        <w:left w:val="none" w:sz="0" w:space="0" w:color="auto"/>
        <w:bottom w:val="none" w:sz="0" w:space="0" w:color="auto"/>
        <w:right w:val="none" w:sz="0" w:space="0" w:color="auto"/>
      </w:divBdr>
    </w:div>
    <w:div w:id="1441991923">
      <w:bodyDiv w:val="1"/>
      <w:marLeft w:val="0"/>
      <w:marRight w:val="0"/>
      <w:marTop w:val="0"/>
      <w:marBottom w:val="0"/>
      <w:divBdr>
        <w:top w:val="none" w:sz="0" w:space="0" w:color="auto"/>
        <w:left w:val="none" w:sz="0" w:space="0" w:color="auto"/>
        <w:bottom w:val="none" w:sz="0" w:space="0" w:color="auto"/>
        <w:right w:val="none" w:sz="0" w:space="0" w:color="auto"/>
      </w:divBdr>
    </w:div>
    <w:div w:id="1548563291">
      <w:bodyDiv w:val="1"/>
      <w:marLeft w:val="0"/>
      <w:marRight w:val="0"/>
      <w:marTop w:val="0"/>
      <w:marBottom w:val="0"/>
      <w:divBdr>
        <w:top w:val="none" w:sz="0" w:space="0" w:color="auto"/>
        <w:left w:val="none" w:sz="0" w:space="0" w:color="auto"/>
        <w:bottom w:val="none" w:sz="0" w:space="0" w:color="auto"/>
        <w:right w:val="none" w:sz="0" w:space="0" w:color="auto"/>
      </w:divBdr>
    </w:div>
    <w:div w:id="1625311572">
      <w:bodyDiv w:val="1"/>
      <w:marLeft w:val="0"/>
      <w:marRight w:val="0"/>
      <w:marTop w:val="0"/>
      <w:marBottom w:val="0"/>
      <w:divBdr>
        <w:top w:val="none" w:sz="0" w:space="0" w:color="auto"/>
        <w:left w:val="none" w:sz="0" w:space="0" w:color="auto"/>
        <w:bottom w:val="none" w:sz="0" w:space="0" w:color="auto"/>
        <w:right w:val="none" w:sz="0" w:space="0" w:color="auto"/>
      </w:divBdr>
    </w:div>
    <w:div w:id="1882084441">
      <w:bodyDiv w:val="1"/>
      <w:marLeft w:val="0"/>
      <w:marRight w:val="0"/>
      <w:marTop w:val="0"/>
      <w:marBottom w:val="0"/>
      <w:divBdr>
        <w:top w:val="none" w:sz="0" w:space="0" w:color="auto"/>
        <w:left w:val="none" w:sz="0" w:space="0" w:color="auto"/>
        <w:bottom w:val="none" w:sz="0" w:space="0" w:color="auto"/>
        <w:right w:val="none" w:sz="0" w:space="0" w:color="auto"/>
      </w:divBdr>
      <w:divsChild>
        <w:div w:id="1964464023">
          <w:marLeft w:val="0"/>
          <w:marRight w:val="0"/>
          <w:marTop w:val="0"/>
          <w:marBottom w:val="0"/>
          <w:divBdr>
            <w:top w:val="none" w:sz="0" w:space="0" w:color="auto"/>
            <w:left w:val="none" w:sz="0" w:space="0" w:color="auto"/>
            <w:bottom w:val="none" w:sz="0" w:space="0" w:color="auto"/>
            <w:right w:val="none" w:sz="0" w:space="0" w:color="auto"/>
          </w:divBdr>
        </w:div>
      </w:divsChild>
    </w:div>
    <w:div w:id="1885019150">
      <w:bodyDiv w:val="1"/>
      <w:marLeft w:val="0"/>
      <w:marRight w:val="0"/>
      <w:marTop w:val="0"/>
      <w:marBottom w:val="0"/>
      <w:divBdr>
        <w:top w:val="none" w:sz="0" w:space="0" w:color="auto"/>
        <w:left w:val="none" w:sz="0" w:space="0" w:color="auto"/>
        <w:bottom w:val="none" w:sz="0" w:space="0" w:color="auto"/>
        <w:right w:val="none" w:sz="0" w:space="0" w:color="auto"/>
      </w:divBdr>
    </w:div>
    <w:div w:id="193065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6.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fsc.bg/go.idecs?m=library&amp;f=download&amp;id=18190"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en.wikipedia.org/wiki/European_Central_B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fsc.bg/go.idecs?m=library&amp;f=download&amp;id=18855" TargetMode="Externa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yperlink" Target="http://www.fsc.bg/go.idecs?m=library&amp;f=download&amp;id=18991" TargetMode="External"/><Relationship Id="rId10" Type="http://schemas.openxmlformats.org/officeDocument/2006/relationships/image" Target="media/image1.png"/><Relationship Id="rId19" Type="http://schemas.openxmlformats.org/officeDocument/2006/relationships/hyperlink" Target="http://en.wikipedia.org/wiki/Settlement_(finance)"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hyperlink" Target="http://www.fsc.bg/go.idecs?m=library&amp;f=download&amp;id=15461"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Corporation"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wb266054\Documents\Tanja\MiFID%20doc\Equity%20Market%20Data%20Final.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wb266054\Documents\Tanja\MiFID%20doc\Europe%20Outstanding%20Debt.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wb266054\Documents\Tanja\MiFID%20doc\Europe%20Outstanding%20Debt.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wb266054\Documents\Tanja\MiFID%20doc\IIP%20Bulgaria%20and%20ECA%20+%20EU-15%20equity%20securities%20(liab).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wb266054\Documents\Tanja\MiFID%20doc\CAPM%20Regression%20Results.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wb266054\Documents\Tanja\MiFID%20doc\CAPM%20Regression%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612407093973052"/>
          <c:y val="9.8905385904252907E-2"/>
          <c:w val="0.8551843402752225"/>
          <c:h val="0.61346466378049602"/>
        </c:manualLayout>
      </c:layout>
      <c:barChart>
        <c:barDir val="col"/>
        <c:grouping val="clustered"/>
        <c:ser>
          <c:idx val="0"/>
          <c:order val="0"/>
          <c:spPr>
            <a:solidFill>
              <a:srgbClr val="0070C0"/>
            </a:solidFill>
          </c:spPr>
          <c:cat>
            <c:strRef>
              <c:f>'Turnover Ratio1'!$M$34:$M$49</c:f>
              <c:strCache>
                <c:ptCount val="16"/>
                <c:pt idx="0">
                  <c:v>Slovakia</c:v>
                </c:pt>
                <c:pt idx="1">
                  <c:v>Bulgaria</c:v>
                </c:pt>
                <c:pt idx="2">
                  <c:v>Romania</c:v>
                </c:pt>
                <c:pt idx="3">
                  <c:v>Slovenia</c:v>
                </c:pt>
                <c:pt idx="4">
                  <c:v>Estonia</c:v>
                </c:pt>
                <c:pt idx="5">
                  <c:v>Austria</c:v>
                </c:pt>
                <c:pt idx="6">
                  <c:v>Czech Rep.</c:v>
                </c:pt>
                <c:pt idx="7">
                  <c:v>Poland</c:v>
                </c:pt>
                <c:pt idx="8">
                  <c:v>Greece</c:v>
                </c:pt>
                <c:pt idx="9">
                  <c:v>Germany</c:v>
                </c:pt>
                <c:pt idx="10">
                  <c:v>Italy</c:v>
                </c:pt>
                <c:pt idx="11">
                  <c:v>Hungary</c:v>
                </c:pt>
                <c:pt idx="12">
                  <c:v>Sweden</c:v>
                </c:pt>
                <c:pt idx="13">
                  <c:v>Turkey</c:v>
                </c:pt>
                <c:pt idx="14">
                  <c:v>Spain</c:v>
                </c:pt>
                <c:pt idx="15">
                  <c:v>UK</c:v>
                </c:pt>
              </c:strCache>
            </c:strRef>
          </c:cat>
          <c:val>
            <c:numRef>
              <c:f>'Turnover Ratio1'!$N$34:$N$49</c:f>
              <c:numCache>
                <c:formatCode>0.0</c:formatCode>
                <c:ptCount val="16"/>
                <c:pt idx="0">
                  <c:v>3.5915302507657008</c:v>
                </c:pt>
                <c:pt idx="1">
                  <c:v>5.0197241755022404</c:v>
                </c:pt>
                <c:pt idx="2">
                  <c:v>7.5012489807599625</c:v>
                </c:pt>
                <c:pt idx="3">
                  <c:v>8.6720953374196945</c:v>
                </c:pt>
                <c:pt idx="4">
                  <c:v>16.247251845455001</c:v>
                </c:pt>
                <c:pt idx="5">
                  <c:v>40.570348825460812</c:v>
                </c:pt>
                <c:pt idx="6">
                  <c:v>40.587940727337184</c:v>
                </c:pt>
                <c:pt idx="7">
                  <c:v>49.468598431723599</c:v>
                </c:pt>
                <c:pt idx="8">
                  <c:v>71.276846345917804</c:v>
                </c:pt>
                <c:pt idx="9">
                  <c:v>107.158913443182</c:v>
                </c:pt>
                <c:pt idx="10">
                  <c:v>109.69782624934706</c:v>
                </c:pt>
                <c:pt idx="11">
                  <c:v>110.693854670926</c:v>
                </c:pt>
                <c:pt idx="12">
                  <c:v>113.99007348548902</c:v>
                </c:pt>
                <c:pt idx="13">
                  <c:v>141.72235745799807</c:v>
                </c:pt>
                <c:pt idx="14">
                  <c:v>142.578618566611</c:v>
                </c:pt>
                <c:pt idx="15">
                  <c:v>146.4</c:v>
                </c:pt>
              </c:numCache>
            </c:numRef>
          </c:val>
        </c:ser>
        <c:axId val="42932096"/>
        <c:axId val="42933632"/>
      </c:barChart>
      <c:catAx>
        <c:axId val="42932096"/>
        <c:scaling>
          <c:orientation val="minMax"/>
        </c:scaling>
        <c:axPos val="b"/>
        <c:numFmt formatCode="General" sourceLinked="1"/>
        <c:tickLblPos val="nextTo"/>
        <c:txPr>
          <a:bodyPr/>
          <a:lstStyle/>
          <a:p>
            <a:pPr>
              <a:defRPr sz="900"/>
            </a:pPr>
            <a:endParaRPr lang="en-US"/>
          </a:p>
        </c:txPr>
        <c:crossAx val="42933632"/>
        <c:crosses val="autoZero"/>
        <c:auto val="1"/>
        <c:lblAlgn val="ctr"/>
        <c:lblOffset val="100"/>
      </c:catAx>
      <c:valAx>
        <c:axId val="42933632"/>
        <c:scaling>
          <c:orientation val="minMax"/>
        </c:scaling>
        <c:axPos val="l"/>
        <c:numFmt formatCode="0" sourceLinked="0"/>
        <c:tickLblPos val="nextTo"/>
        <c:txPr>
          <a:bodyPr/>
          <a:lstStyle/>
          <a:p>
            <a:pPr>
              <a:defRPr sz="900"/>
            </a:pPr>
            <a:endParaRPr lang="en-US"/>
          </a:p>
        </c:txPr>
        <c:crossAx val="42932096"/>
        <c:crosses val="autoZero"/>
        <c:crossBetween val="between"/>
      </c:valAx>
      <c:spPr>
        <a:noFill/>
        <a:ln w="25400">
          <a:noFill/>
        </a:ln>
      </c:spPr>
    </c:plotArea>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373541220103984"/>
          <c:y val="0.1156938102885245"/>
          <c:w val="0.82006844695391545"/>
          <c:h val="0.56722176695349324"/>
        </c:manualLayout>
      </c:layout>
      <c:barChart>
        <c:barDir val="col"/>
        <c:grouping val="clustered"/>
        <c:ser>
          <c:idx val="0"/>
          <c:order val="0"/>
          <c:tx>
            <c:strRef>
              <c:f>'Selection for Graphs'!$C$20</c:f>
              <c:strCache>
                <c:ptCount val="1"/>
                <c:pt idx="0">
                  <c:v>2010</c:v>
                </c:pt>
              </c:strCache>
            </c:strRef>
          </c:tx>
          <c:spPr>
            <a:solidFill>
              <a:srgbClr val="0070C0"/>
            </a:solidFill>
          </c:spPr>
          <c:cat>
            <c:strRef>
              <c:f>'Selection for Graphs'!$B$21:$B$35</c:f>
              <c:strCache>
                <c:ptCount val="15"/>
                <c:pt idx="0">
                  <c:v>Bulgaria</c:v>
                </c:pt>
                <c:pt idx="1">
                  <c:v>Slovenia</c:v>
                </c:pt>
                <c:pt idx="2">
                  <c:v>Croatia</c:v>
                </c:pt>
                <c:pt idx="3">
                  <c:v>Slovakia</c:v>
                </c:pt>
                <c:pt idx="4">
                  <c:v>Czech Rep.</c:v>
                </c:pt>
                <c:pt idx="5">
                  <c:v>Poland</c:v>
                </c:pt>
                <c:pt idx="6">
                  <c:v>Switzerland</c:v>
                </c:pt>
                <c:pt idx="7">
                  <c:v>Hungary</c:v>
                </c:pt>
                <c:pt idx="8">
                  <c:v>Germany</c:v>
                </c:pt>
                <c:pt idx="9">
                  <c:v>Sweden</c:v>
                </c:pt>
                <c:pt idx="10">
                  <c:v>Austria</c:v>
                </c:pt>
                <c:pt idx="11">
                  <c:v>Spain</c:v>
                </c:pt>
                <c:pt idx="12">
                  <c:v>Belgium</c:v>
                </c:pt>
                <c:pt idx="13">
                  <c:v>France</c:v>
                </c:pt>
                <c:pt idx="14">
                  <c:v>Denmark</c:v>
                </c:pt>
              </c:strCache>
            </c:strRef>
          </c:cat>
          <c:val>
            <c:numRef>
              <c:f>'Selection for Graphs'!$C$21:$C$35</c:f>
              <c:numCache>
                <c:formatCode>0.0</c:formatCode>
                <c:ptCount val="15"/>
                <c:pt idx="0">
                  <c:v>6.4735231227202252</c:v>
                </c:pt>
                <c:pt idx="1">
                  <c:v>17.96066793454408</c:v>
                </c:pt>
                <c:pt idx="2">
                  <c:v>21.061578834441889</c:v>
                </c:pt>
                <c:pt idx="3">
                  <c:v>33.316180674671244</c:v>
                </c:pt>
                <c:pt idx="4">
                  <c:v>40.833819059910894</c:v>
                </c:pt>
                <c:pt idx="5">
                  <c:v>42.664751493472252</c:v>
                </c:pt>
                <c:pt idx="6">
                  <c:v>52.607432241509663</c:v>
                </c:pt>
                <c:pt idx="7">
                  <c:v>61.975806451612875</c:v>
                </c:pt>
                <c:pt idx="8">
                  <c:v>81.107857510594414</c:v>
                </c:pt>
                <c:pt idx="9">
                  <c:v>90.267369825029391</c:v>
                </c:pt>
                <c:pt idx="10">
                  <c:v>95.161619887432622</c:v>
                </c:pt>
                <c:pt idx="11">
                  <c:v>103.98532993462159</c:v>
                </c:pt>
                <c:pt idx="12">
                  <c:v>119.81248765235912</c:v>
                </c:pt>
                <c:pt idx="13">
                  <c:v>123.85256765950558</c:v>
                </c:pt>
                <c:pt idx="14">
                  <c:v>196.12015703436731</c:v>
                </c:pt>
              </c:numCache>
            </c:numRef>
          </c:val>
        </c:ser>
        <c:axId val="57047680"/>
        <c:axId val="57061760"/>
      </c:barChart>
      <c:catAx>
        <c:axId val="57047680"/>
        <c:scaling>
          <c:orientation val="minMax"/>
        </c:scaling>
        <c:axPos val="b"/>
        <c:numFmt formatCode="General" sourceLinked="1"/>
        <c:tickLblPos val="nextTo"/>
        <c:txPr>
          <a:bodyPr/>
          <a:lstStyle/>
          <a:p>
            <a:pPr>
              <a:defRPr sz="900"/>
            </a:pPr>
            <a:endParaRPr lang="en-US"/>
          </a:p>
        </c:txPr>
        <c:crossAx val="57061760"/>
        <c:crosses val="autoZero"/>
        <c:auto val="1"/>
        <c:lblAlgn val="ctr"/>
        <c:lblOffset val="100"/>
      </c:catAx>
      <c:valAx>
        <c:axId val="57061760"/>
        <c:scaling>
          <c:orientation val="minMax"/>
          <c:max val="200"/>
        </c:scaling>
        <c:axPos val="l"/>
        <c:numFmt formatCode="0" sourceLinked="0"/>
        <c:tickLblPos val="nextTo"/>
        <c:txPr>
          <a:bodyPr/>
          <a:lstStyle/>
          <a:p>
            <a:pPr>
              <a:defRPr sz="900"/>
            </a:pPr>
            <a:endParaRPr lang="en-US"/>
          </a:p>
        </c:txPr>
        <c:crossAx val="57047680"/>
        <c:crosses val="autoZero"/>
        <c:crossBetween val="between"/>
        <c:majorUnit val="20"/>
      </c:valAx>
      <c:spPr>
        <a:noFill/>
        <a:ln w="25400">
          <a:noFill/>
        </a:ln>
      </c:spPr>
    </c:plotArea>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1215391179550831"/>
          <c:y val="0.11169764323417126"/>
          <c:w val="0.85729051109990562"/>
          <c:h val="0.7185820737924995"/>
        </c:manualLayout>
      </c:layout>
      <c:barChart>
        <c:barDir val="col"/>
        <c:grouping val="clustered"/>
        <c:ser>
          <c:idx val="0"/>
          <c:order val="0"/>
          <c:tx>
            <c:strRef>
              <c:f>'Selection for Graphs'!$B$5</c:f>
              <c:strCache>
                <c:ptCount val="1"/>
                <c:pt idx="0">
                  <c:v>Bulgaria</c:v>
                </c:pt>
              </c:strCache>
            </c:strRef>
          </c:tx>
          <c:spPr>
            <a:solidFill>
              <a:srgbClr val="0070C0"/>
            </a:solidFill>
          </c:spPr>
          <c:cat>
            <c:numRef>
              <c:f>'Selection for Graphs'!$F$2:$M$2</c:f>
              <c:numCache>
                <c:formatCode>General</c:formatCode>
                <c:ptCount val="8"/>
                <c:pt idx="0">
                  <c:v>2003</c:v>
                </c:pt>
                <c:pt idx="1">
                  <c:v>2004</c:v>
                </c:pt>
                <c:pt idx="2">
                  <c:v>2005</c:v>
                </c:pt>
                <c:pt idx="3">
                  <c:v>2006</c:v>
                </c:pt>
                <c:pt idx="4">
                  <c:v>2007</c:v>
                </c:pt>
                <c:pt idx="5">
                  <c:v>2008</c:v>
                </c:pt>
                <c:pt idx="6">
                  <c:v>2009</c:v>
                </c:pt>
                <c:pt idx="7">
                  <c:v>2010</c:v>
                </c:pt>
              </c:numCache>
            </c:numRef>
          </c:cat>
          <c:val>
            <c:numRef>
              <c:f>'Selection for Graphs'!$F$21:$M$21</c:f>
              <c:numCache>
                <c:formatCode>0.0</c:formatCode>
                <c:ptCount val="8"/>
                <c:pt idx="0">
                  <c:v>11.239752174729334</c:v>
                </c:pt>
                <c:pt idx="1">
                  <c:v>11.994387458873621</c:v>
                </c:pt>
                <c:pt idx="2">
                  <c:v>11.932919352924889</c:v>
                </c:pt>
                <c:pt idx="3">
                  <c:v>9.9570845158164385</c:v>
                </c:pt>
                <c:pt idx="4">
                  <c:v>9.2171032821439312</c:v>
                </c:pt>
                <c:pt idx="5">
                  <c:v>8.141992164311997</c:v>
                </c:pt>
                <c:pt idx="6">
                  <c:v>5.3334362457548634</c:v>
                </c:pt>
                <c:pt idx="7">
                  <c:v>6.3991434865860937</c:v>
                </c:pt>
              </c:numCache>
            </c:numRef>
          </c:val>
        </c:ser>
        <c:axId val="57072640"/>
        <c:axId val="43209472"/>
      </c:barChart>
      <c:catAx>
        <c:axId val="57072640"/>
        <c:scaling>
          <c:orientation val="minMax"/>
        </c:scaling>
        <c:axPos val="b"/>
        <c:numFmt formatCode="General" sourceLinked="1"/>
        <c:tickLblPos val="nextTo"/>
        <c:txPr>
          <a:bodyPr/>
          <a:lstStyle/>
          <a:p>
            <a:pPr>
              <a:defRPr sz="900"/>
            </a:pPr>
            <a:endParaRPr lang="en-US"/>
          </a:p>
        </c:txPr>
        <c:crossAx val="43209472"/>
        <c:crosses val="autoZero"/>
        <c:auto val="1"/>
        <c:lblAlgn val="ctr"/>
        <c:lblOffset val="100"/>
      </c:catAx>
      <c:valAx>
        <c:axId val="43209472"/>
        <c:scaling>
          <c:orientation val="minMax"/>
        </c:scaling>
        <c:axPos val="l"/>
        <c:numFmt formatCode="0" sourceLinked="0"/>
        <c:tickLblPos val="nextTo"/>
        <c:txPr>
          <a:bodyPr/>
          <a:lstStyle/>
          <a:p>
            <a:pPr>
              <a:defRPr sz="900"/>
            </a:pPr>
            <a:endParaRPr lang="en-US"/>
          </a:p>
        </c:txPr>
        <c:crossAx val="57072640"/>
        <c:crosses val="autoZero"/>
        <c:crossBetween val="between"/>
      </c:valAx>
    </c:plotArea>
    <c:plotVisOnly val="1"/>
    <c:dispBlanksAs val="gap"/>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607883153870756"/>
          <c:y val="0.125"/>
          <c:w val="0.58857815887133935"/>
          <c:h val="0.67982348417591665"/>
        </c:manualLayout>
      </c:layout>
      <c:barChart>
        <c:barDir val="col"/>
        <c:grouping val="stacked"/>
        <c:ser>
          <c:idx val="0"/>
          <c:order val="0"/>
          <c:tx>
            <c:strRef>
              <c:f>'IIP Bulgaria'!$L$59</c:f>
              <c:strCache>
                <c:ptCount val="1"/>
                <c:pt idx="0">
                  <c:v>FDIs</c:v>
                </c:pt>
              </c:strCache>
            </c:strRef>
          </c:tx>
          <c:dLbls>
            <c:dLbl>
              <c:idx val="0"/>
              <c:layout>
                <c:manualLayout>
                  <c:x val="9.4228504122497156E-2"/>
                  <c:y val="-2.4067388688327356E-2"/>
                </c:manualLayout>
              </c:layout>
              <c:showVal val="1"/>
            </c:dLbl>
            <c:dLbl>
              <c:idx val="1"/>
              <c:layout>
                <c:manualLayout>
                  <c:x val="0.11288111070921789"/>
                  <c:y val="-9.6269554753309269E-3"/>
                </c:manualLayout>
              </c:layout>
              <c:showVal val="1"/>
            </c:dLbl>
            <c:txPr>
              <a:bodyPr/>
              <a:lstStyle/>
              <a:p>
                <a:pPr>
                  <a:defRPr b="1"/>
                </a:pPr>
                <a:endParaRPr lang="en-US"/>
              </a:p>
            </c:txPr>
            <c:showVal val="1"/>
          </c:dLbls>
          <c:cat>
            <c:numRef>
              <c:f>'IIP Bulgaria'!$M$58:$N$58</c:f>
              <c:numCache>
                <c:formatCode>General</c:formatCode>
                <c:ptCount val="2"/>
                <c:pt idx="0">
                  <c:v>2007</c:v>
                </c:pt>
                <c:pt idx="1">
                  <c:v>2010</c:v>
                </c:pt>
              </c:numCache>
            </c:numRef>
          </c:cat>
          <c:val>
            <c:numRef>
              <c:f>'IIP Bulgaria'!$M$59:$N$59</c:f>
              <c:numCache>
                <c:formatCode>0.0</c:formatCode>
                <c:ptCount val="2"/>
                <c:pt idx="0">
                  <c:v>89.901717773895982</c:v>
                </c:pt>
                <c:pt idx="1">
                  <c:v>99.946962391513992</c:v>
                </c:pt>
              </c:numCache>
            </c:numRef>
          </c:val>
        </c:ser>
        <c:ser>
          <c:idx val="1"/>
          <c:order val="1"/>
          <c:tx>
            <c:strRef>
              <c:f>'IIP Bulgaria'!$L$60</c:f>
              <c:strCache>
                <c:ptCount val="1"/>
                <c:pt idx="0">
                  <c:v>Portfolio Invest. (Equity)</c:v>
                </c:pt>
              </c:strCache>
            </c:strRef>
          </c:tx>
          <c:dLbls>
            <c:dLbl>
              <c:idx val="0"/>
              <c:layout>
                <c:manualLayout>
                  <c:x val="9.1889856524118199E-2"/>
                  <c:y val="3.3694344163658241E-2"/>
                </c:manualLayout>
              </c:layout>
              <c:showVal val="1"/>
            </c:dLbl>
            <c:dLbl>
              <c:idx val="1"/>
              <c:layout>
                <c:manualLayout>
                  <c:x val="0.10474128896432119"/>
                  <c:y val="4.3321299638989168E-2"/>
                </c:manualLayout>
              </c:layout>
              <c:showVal val="1"/>
            </c:dLbl>
            <c:txPr>
              <a:bodyPr/>
              <a:lstStyle/>
              <a:p>
                <a:pPr>
                  <a:defRPr b="1">
                    <a:solidFill>
                      <a:srgbClr val="C00000"/>
                    </a:solidFill>
                  </a:defRPr>
                </a:pPr>
                <a:endParaRPr lang="en-US"/>
              </a:p>
            </c:txPr>
            <c:showVal val="1"/>
          </c:dLbls>
          <c:cat>
            <c:numRef>
              <c:f>'IIP Bulgaria'!$M$58:$N$58</c:f>
              <c:numCache>
                <c:formatCode>General</c:formatCode>
                <c:ptCount val="2"/>
                <c:pt idx="0">
                  <c:v>2007</c:v>
                </c:pt>
                <c:pt idx="1">
                  <c:v>2010</c:v>
                </c:pt>
              </c:numCache>
            </c:numRef>
          </c:cat>
          <c:val>
            <c:numRef>
              <c:f>'IIP Bulgaria'!$M$60:$N$60</c:f>
              <c:numCache>
                <c:formatCode>0.0</c:formatCode>
                <c:ptCount val="2"/>
                <c:pt idx="0">
                  <c:v>1.5870410368765377</c:v>
                </c:pt>
                <c:pt idx="1">
                  <c:v>1.1487547691920679</c:v>
                </c:pt>
              </c:numCache>
            </c:numRef>
          </c:val>
        </c:ser>
        <c:ser>
          <c:idx val="2"/>
          <c:order val="2"/>
          <c:tx>
            <c:strRef>
              <c:f>'IIP Bulgaria'!$L$61</c:f>
              <c:strCache>
                <c:ptCount val="1"/>
                <c:pt idx="0">
                  <c:v>Portfolio Invest. (Debt)</c:v>
                </c:pt>
              </c:strCache>
            </c:strRef>
          </c:tx>
          <c:spPr>
            <a:solidFill>
              <a:schemeClr val="accent3">
                <a:lumMod val="50000"/>
              </a:schemeClr>
            </a:solidFill>
          </c:spPr>
          <c:dLbls>
            <c:dLbl>
              <c:idx val="0"/>
              <c:layout>
                <c:manualLayout>
                  <c:x val="8.2659729371284532E-2"/>
                  <c:y val="-2.8880866425992802E-2"/>
                </c:manualLayout>
              </c:layout>
              <c:showVal val="1"/>
            </c:dLbl>
            <c:dLbl>
              <c:idx val="1"/>
              <c:layout>
                <c:manualLayout>
                  <c:x val="0.10088700926518461"/>
                  <c:y val="-2.8880866425992802E-2"/>
                </c:manualLayout>
              </c:layout>
              <c:showVal val="1"/>
            </c:dLbl>
            <c:txPr>
              <a:bodyPr/>
              <a:lstStyle/>
              <a:p>
                <a:pPr>
                  <a:defRPr b="1">
                    <a:solidFill>
                      <a:schemeClr val="tx2">
                        <a:lumMod val="75000"/>
                      </a:schemeClr>
                    </a:solidFill>
                  </a:defRPr>
                </a:pPr>
                <a:endParaRPr lang="en-US"/>
              </a:p>
            </c:txPr>
            <c:showVal val="1"/>
          </c:dLbls>
          <c:cat>
            <c:numRef>
              <c:f>'IIP Bulgaria'!$M$58:$N$58</c:f>
              <c:numCache>
                <c:formatCode>General</c:formatCode>
                <c:ptCount val="2"/>
                <c:pt idx="0">
                  <c:v>2007</c:v>
                </c:pt>
                <c:pt idx="1">
                  <c:v>2010</c:v>
                </c:pt>
              </c:numCache>
            </c:numRef>
          </c:cat>
          <c:val>
            <c:numRef>
              <c:f>'IIP Bulgaria'!$M$61:$N$61</c:f>
              <c:numCache>
                <c:formatCode>0.0</c:formatCode>
                <c:ptCount val="2"/>
                <c:pt idx="0">
                  <c:v>1.5389544967615598</c:v>
                </c:pt>
                <c:pt idx="1">
                  <c:v>0.66462894637541448</c:v>
                </c:pt>
              </c:numCache>
            </c:numRef>
          </c:val>
        </c:ser>
        <c:ser>
          <c:idx val="3"/>
          <c:order val="3"/>
          <c:tx>
            <c:strRef>
              <c:f>'IIP Bulgaria'!$L$62</c:f>
              <c:strCache>
                <c:ptCount val="1"/>
                <c:pt idx="0">
                  <c:v>Loans</c:v>
                </c:pt>
              </c:strCache>
            </c:strRef>
          </c:tx>
          <c:dLbls>
            <c:dLbl>
              <c:idx val="0"/>
              <c:layout>
                <c:manualLayout>
                  <c:x val="8.8614406758149591E-2"/>
                  <c:y val="-4.3321299638989168E-2"/>
                </c:manualLayout>
              </c:layout>
              <c:showVal val="1"/>
            </c:dLbl>
            <c:dLbl>
              <c:idx val="1"/>
              <c:layout>
                <c:manualLayout>
                  <c:x val="0.10405980171206505"/>
                  <c:y val="-3.3694344163658241E-2"/>
                </c:manualLayout>
              </c:layout>
              <c:tx>
                <c:rich>
                  <a:bodyPr/>
                  <a:lstStyle/>
                  <a:p>
                    <a:r>
                      <a:rPr lang="en-US" b="1">
                        <a:solidFill>
                          <a:schemeClr val="accent4">
                            <a:lumMod val="50000"/>
                          </a:schemeClr>
                        </a:solidFill>
                      </a:rPr>
                      <a:t>39</a:t>
                    </a:r>
                  </a:p>
                </c:rich>
              </c:tx>
              <c:showVal val="1"/>
            </c:dLbl>
            <c:txPr>
              <a:bodyPr/>
              <a:lstStyle/>
              <a:p>
                <a:pPr>
                  <a:defRPr b="1">
                    <a:solidFill>
                      <a:schemeClr val="accent4">
                        <a:lumMod val="50000"/>
                      </a:schemeClr>
                    </a:solidFill>
                  </a:defRPr>
                </a:pPr>
                <a:endParaRPr lang="en-US"/>
              </a:p>
            </c:txPr>
            <c:showVal val="1"/>
          </c:dLbls>
          <c:cat>
            <c:numRef>
              <c:f>'IIP Bulgaria'!$M$58:$N$58</c:f>
              <c:numCache>
                <c:formatCode>General</c:formatCode>
                <c:ptCount val="2"/>
                <c:pt idx="0">
                  <c:v>2007</c:v>
                </c:pt>
                <c:pt idx="1">
                  <c:v>2010</c:v>
                </c:pt>
              </c:numCache>
            </c:numRef>
          </c:cat>
          <c:val>
            <c:numRef>
              <c:f>'IIP Bulgaria'!$M$62:$N$62</c:f>
              <c:numCache>
                <c:formatCode>0.0</c:formatCode>
                <c:ptCount val="2"/>
                <c:pt idx="0">
                  <c:v>37.262663842087342</c:v>
                </c:pt>
                <c:pt idx="1">
                  <c:v>35.193954131902231</c:v>
                </c:pt>
              </c:numCache>
            </c:numRef>
          </c:val>
        </c:ser>
        <c:overlap val="100"/>
        <c:axId val="43244928"/>
        <c:axId val="43132032"/>
      </c:barChart>
      <c:catAx>
        <c:axId val="43244928"/>
        <c:scaling>
          <c:orientation val="minMax"/>
        </c:scaling>
        <c:axPos val="b"/>
        <c:numFmt formatCode="General" sourceLinked="1"/>
        <c:tickLblPos val="nextTo"/>
        <c:txPr>
          <a:bodyPr/>
          <a:lstStyle/>
          <a:p>
            <a:pPr>
              <a:defRPr sz="900"/>
            </a:pPr>
            <a:endParaRPr lang="en-US"/>
          </a:p>
        </c:txPr>
        <c:crossAx val="43132032"/>
        <c:crosses val="autoZero"/>
        <c:auto val="1"/>
        <c:lblAlgn val="ctr"/>
        <c:lblOffset val="100"/>
      </c:catAx>
      <c:valAx>
        <c:axId val="43132032"/>
        <c:scaling>
          <c:orientation val="minMax"/>
        </c:scaling>
        <c:axPos val="l"/>
        <c:numFmt formatCode="0" sourceLinked="0"/>
        <c:tickLblPos val="nextTo"/>
        <c:txPr>
          <a:bodyPr/>
          <a:lstStyle/>
          <a:p>
            <a:pPr>
              <a:defRPr sz="900"/>
            </a:pPr>
            <a:endParaRPr lang="en-US"/>
          </a:p>
        </c:txPr>
        <c:crossAx val="43244928"/>
        <c:crosses val="autoZero"/>
        <c:crossBetween val="between"/>
        <c:majorUnit val="20"/>
      </c:valAx>
    </c:plotArea>
    <c:legend>
      <c:legendPos val="r"/>
      <c:layout>
        <c:manualLayout>
          <c:xMode val="edge"/>
          <c:yMode val="edge"/>
          <c:x val="0.79968605471704768"/>
          <c:y val="9.4869477055440354E-2"/>
          <c:w val="0.1626226412220716"/>
          <c:h val="0.75731241176080422"/>
        </c:manualLayout>
      </c:layout>
    </c:legend>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219207768520467"/>
          <c:y val="4.8038158675090745E-2"/>
          <c:w val="0.82116693040488653"/>
          <c:h val="0.59879954954182868"/>
        </c:manualLayout>
      </c:layout>
      <c:barChart>
        <c:barDir val="col"/>
        <c:grouping val="clustered"/>
        <c:ser>
          <c:idx val="0"/>
          <c:order val="0"/>
          <c:tx>
            <c:strRef>
              <c:f>Sheet1!$C$24</c:f>
              <c:strCache>
                <c:ptCount val="1"/>
                <c:pt idx="0">
                  <c:v>Apr 03 - Jun 05</c:v>
                </c:pt>
              </c:strCache>
            </c:strRef>
          </c:tx>
          <c:cat>
            <c:strRef>
              <c:f>Sheet1!$B$25:$B$36</c:f>
              <c:strCache>
                <c:ptCount val="12"/>
                <c:pt idx="0">
                  <c:v>Slovakia</c:v>
                </c:pt>
                <c:pt idx="1">
                  <c:v>Lithuania</c:v>
                </c:pt>
                <c:pt idx="2">
                  <c:v>Slovenia</c:v>
                </c:pt>
                <c:pt idx="3">
                  <c:v>Latvia</c:v>
                </c:pt>
                <c:pt idx="4">
                  <c:v>Estonia</c:v>
                </c:pt>
                <c:pt idx="5">
                  <c:v>Croatia</c:v>
                </c:pt>
                <c:pt idx="6">
                  <c:v>Bulgaria </c:v>
                </c:pt>
                <c:pt idx="7">
                  <c:v>Romania</c:v>
                </c:pt>
                <c:pt idx="8">
                  <c:v>Russia</c:v>
                </c:pt>
                <c:pt idx="9">
                  <c:v>Turkey</c:v>
                </c:pt>
                <c:pt idx="10">
                  <c:v>Czech Rep.</c:v>
                </c:pt>
                <c:pt idx="11">
                  <c:v>Poland</c:v>
                </c:pt>
              </c:strCache>
            </c:strRef>
          </c:cat>
          <c:val>
            <c:numRef>
              <c:f>Sheet1!$C$25:$C$36</c:f>
              <c:numCache>
                <c:formatCode>General</c:formatCode>
                <c:ptCount val="12"/>
                <c:pt idx="0">
                  <c:v>2.0000000000000007E-2</c:v>
                </c:pt>
                <c:pt idx="1">
                  <c:v>0.1</c:v>
                </c:pt>
                <c:pt idx="2">
                  <c:v>4.4400000000000004</c:v>
                </c:pt>
                <c:pt idx="3">
                  <c:v>1.0000000000000004E-2</c:v>
                </c:pt>
                <c:pt idx="4">
                  <c:v>3.46</c:v>
                </c:pt>
                <c:pt idx="5">
                  <c:v>7.9300000000000015</c:v>
                </c:pt>
                <c:pt idx="6">
                  <c:v>4.5</c:v>
                </c:pt>
                <c:pt idx="7">
                  <c:v>0.5</c:v>
                </c:pt>
                <c:pt idx="8">
                  <c:v>0.9700000000000002</c:v>
                </c:pt>
                <c:pt idx="9">
                  <c:v>17.349999999999991</c:v>
                </c:pt>
                <c:pt idx="10">
                  <c:v>13.020000000000001</c:v>
                </c:pt>
                <c:pt idx="11">
                  <c:v>20</c:v>
                </c:pt>
              </c:numCache>
            </c:numRef>
          </c:val>
        </c:ser>
        <c:ser>
          <c:idx val="1"/>
          <c:order val="1"/>
          <c:tx>
            <c:strRef>
              <c:f>Sheet1!$D$24</c:f>
              <c:strCache>
                <c:ptCount val="1"/>
                <c:pt idx="0">
                  <c:v>Jul 05 - Aug 07</c:v>
                </c:pt>
              </c:strCache>
            </c:strRef>
          </c:tx>
          <c:cat>
            <c:strRef>
              <c:f>Sheet1!$B$25:$B$36</c:f>
              <c:strCache>
                <c:ptCount val="12"/>
                <c:pt idx="0">
                  <c:v>Slovakia</c:v>
                </c:pt>
                <c:pt idx="1">
                  <c:v>Lithuania</c:v>
                </c:pt>
                <c:pt idx="2">
                  <c:v>Slovenia</c:v>
                </c:pt>
                <c:pt idx="3">
                  <c:v>Latvia</c:v>
                </c:pt>
                <c:pt idx="4">
                  <c:v>Estonia</c:v>
                </c:pt>
                <c:pt idx="5">
                  <c:v>Croatia</c:v>
                </c:pt>
                <c:pt idx="6">
                  <c:v>Bulgaria </c:v>
                </c:pt>
                <c:pt idx="7">
                  <c:v>Romania</c:v>
                </c:pt>
                <c:pt idx="8">
                  <c:v>Russia</c:v>
                </c:pt>
                <c:pt idx="9">
                  <c:v>Turkey</c:v>
                </c:pt>
                <c:pt idx="10">
                  <c:v>Czech Rep.</c:v>
                </c:pt>
                <c:pt idx="11">
                  <c:v>Poland</c:v>
                </c:pt>
              </c:strCache>
            </c:strRef>
          </c:cat>
          <c:val>
            <c:numRef>
              <c:f>Sheet1!$D$25:$D$36</c:f>
              <c:numCache>
                <c:formatCode>General</c:formatCode>
                <c:ptCount val="12"/>
                <c:pt idx="0">
                  <c:v>0.35000000000000014</c:v>
                </c:pt>
                <c:pt idx="1">
                  <c:v>5.9700000000000024</c:v>
                </c:pt>
                <c:pt idx="2">
                  <c:v>1.9300000000000006</c:v>
                </c:pt>
                <c:pt idx="3">
                  <c:v>12.6</c:v>
                </c:pt>
                <c:pt idx="4">
                  <c:v>21.52</c:v>
                </c:pt>
                <c:pt idx="5">
                  <c:v>9.84</c:v>
                </c:pt>
                <c:pt idx="6">
                  <c:v>8.3800000000000008</c:v>
                </c:pt>
                <c:pt idx="7">
                  <c:v>18.350000000000001</c:v>
                </c:pt>
                <c:pt idx="8">
                  <c:v>15.93</c:v>
                </c:pt>
                <c:pt idx="9">
                  <c:v>26.169999999999991</c:v>
                </c:pt>
                <c:pt idx="10">
                  <c:v>58.91</c:v>
                </c:pt>
                <c:pt idx="11">
                  <c:v>45.910000000000004</c:v>
                </c:pt>
              </c:numCache>
            </c:numRef>
          </c:val>
        </c:ser>
        <c:ser>
          <c:idx val="2"/>
          <c:order val="2"/>
          <c:tx>
            <c:strRef>
              <c:f>Sheet1!$E$24</c:f>
              <c:strCache>
                <c:ptCount val="1"/>
                <c:pt idx="0">
                  <c:v>Sep 07 - Sep 09</c:v>
                </c:pt>
              </c:strCache>
            </c:strRef>
          </c:tx>
          <c:cat>
            <c:strRef>
              <c:f>Sheet1!$B$25:$B$36</c:f>
              <c:strCache>
                <c:ptCount val="12"/>
                <c:pt idx="0">
                  <c:v>Slovakia</c:v>
                </c:pt>
                <c:pt idx="1">
                  <c:v>Lithuania</c:v>
                </c:pt>
                <c:pt idx="2">
                  <c:v>Slovenia</c:v>
                </c:pt>
                <c:pt idx="3">
                  <c:v>Latvia</c:v>
                </c:pt>
                <c:pt idx="4">
                  <c:v>Estonia</c:v>
                </c:pt>
                <c:pt idx="5">
                  <c:v>Croatia</c:v>
                </c:pt>
                <c:pt idx="6">
                  <c:v>Bulgaria </c:v>
                </c:pt>
                <c:pt idx="7">
                  <c:v>Romania</c:v>
                </c:pt>
                <c:pt idx="8">
                  <c:v>Russia</c:v>
                </c:pt>
                <c:pt idx="9">
                  <c:v>Turkey</c:v>
                </c:pt>
                <c:pt idx="10">
                  <c:v>Czech Rep.</c:v>
                </c:pt>
                <c:pt idx="11">
                  <c:v>Poland</c:v>
                </c:pt>
              </c:strCache>
            </c:strRef>
          </c:cat>
          <c:val>
            <c:numRef>
              <c:f>Sheet1!$E$25:$E$36</c:f>
              <c:numCache>
                <c:formatCode>General</c:formatCode>
                <c:ptCount val="12"/>
                <c:pt idx="0">
                  <c:v>4.7</c:v>
                </c:pt>
                <c:pt idx="1">
                  <c:v>38.36</c:v>
                </c:pt>
                <c:pt idx="2">
                  <c:v>42.09</c:v>
                </c:pt>
                <c:pt idx="3">
                  <c:v>39</c:v>
                </c:pt>
                <c:pt idx="4">
                  <c:v>31.650000000000006</c:v>
                </c:pt>
                <c:pt idx="5">
                  <c:v>46.9</c:v>
                </c:pt>
                <c:pt idx="6">
                  <c:v>58.220000000000013</c:v>
                </c:pt>
                <c:pt idx="7">
                  <c:v>66.039999999999992</c:v>
                </c:pt>
                <c:pt idx="8">
                  <c:v>46.21</c:v>
                </c:pt>
                <c:pt idx="9">
                  <c:v>73.460000000000022</c:v>
                </c:pt>
                <c:pt idx="10">
                  <c:v>77.05</c:v>
                </c:pt>
                <c:pt idx="11">
                  <c:v>72.84</c:v>
                </c:pt>
              </c:numCache>
            </c:numRef>
          </c:val>
        </c:ser>
        <c:ser>
          <c:idx val="3"/>
          <c:order val="3"/>
          <c:tx>
            <c:strRef>
              <c:f>Sheet1!$F$24</c:f>
              <c:strCache>
                <c:ptCount val="1"/>
                <c:pt idx="0">
                  <c:v>Oct 09 - Mar 11</c:v>
                </c:pt>
              </c:strCache>
            </c:strRef>
          </c:tx>
          <c:cat>
            <c:strRef>
              <c:f>Sheet1!$B$25:$B$36</c:f>
              <c:strCache>
                <c:ptCount val="12"/>
                <c:pt idx="0">
                  <c:v>Slovakia</c:v>
                </c:pt>
                <c:pt idx="1">
                  <c:v>Lithuania</c:v>
                </c:pt>
                <c:pt idx="2">
                  <c:v>Slovenia</c:v>
                </c:pt>
                <c:pt idx="3">
                  <c:v>Latvia</c:v>
                </c:pt>
                <c:pt idx="4">
                  <c:v>Estonia</c:v>
                </c:pt>
                <c:pt idx="5">
                  <c:v>Croatia</c:v>
                </c:pt>
                <c:pt idx="6">
                  <c:v>Bulgaria </c:v>
                </c:pt>
                <c:pt idx="7">
                  <c:v>Romania</c:v>
                </c:pt>
                <c:pt idx="8">
                  <c:v>Russia</c:v>
                </c:pt>
                <c:pt idx="9">
                  <c:v>Turkey</c:v>
                </c:pt>
                <c:pt idx="10">
                  <c:v>Czech Rep.</c:v>
                </c:pt>
                <c:pt idx="11">
                  <c:v>Poland</c:v>
                </c:pt>
              </c:strCache>
            </c:strRef>
          </c:cat>
          <c:val>
            <c:numRef>
              <c:f>Sheet1!$F$25:$F$36</c:f>
              <c:numCache>
                <c:formatCode>General</c:formatCode>
                <c:ptCount val="12"/>
                <c:pt idx="0">
                  <c:v>6.6000000000000005</c:v>
                </c:pt>
                <c:pt idx="1">
                  <c:v>0</c:v>
                </c:pt>
                <c:pt idx="2">
                  <c:v>0.26</c:v>
                </c:pt>
                <c:pt idx="3">
                  <c:v>0.27</c:v>
                </c:pt>
                <c:pt idx="4">
                  <c:v>3.0000000000000002E-2</c:v>
                </c:pt>
                <c:pt idx="5">
                  <c:v>6.49</c:v>
                </c:pt>
                <c:pt idx="6">
                  <c:v>1.9100000000000001</c:v>
                </c:pt>
                <c:pt idx="7">
                  <c:v>25.5</c:v>
                </c:pt>
                <c:pt idx="8">
                  <c:v>52.790000000000013</c:v>
                </c:pt>
                <c:pt idx="9">
                  <c:v>33.71</c:v>
                </c:pt>
                <c:pt idx="10">
                  <c:v>22.720000000000002</c:v>
                </c:pt>
                <c:pt idx="11">
                  <c:v>39.25</c:v>
                </c:pt>
              </c:numCache>
            </c:numRef>
          </c:val>
        </c:ser>
        <c:axId val="43162240"/>
        <c:axId val="43176320"/>
      </c:barChart>
      <c:catAx>
        <c:axId val="43162240"/>
        <c:scaling>
          <c:orientation val="minMax"/>
        </c:scaling>
        <c:axPos val="b"/>
        <c:tickLblPos val="nextTo"/>
        <c:txPr>
          <a:bodyPr rot="-5400000" vert="horz"/>
          <a:lstStyle/>
          <a:p>
            <a:pPr>
              <a:defRPr sz="900"/>
            </a:pPr>
            <a:endParaRPr lang="en-US"/>
          </a:p>
        </c:txPr>
        <c:crossAx val="43176320"/>
        <c:crosses val="autoZero"/>
        <c:auto val="1"/>
        <c:lblAlgn val="ctr"/>
        <c:lblOffset val="100"/>
      </c:catAx>
      <c:valAx>
        <c:axId val="43176320"/>
        <c:scaling>
          <c:orientation val="minMax"/>
          <c:max val="80"/>
        </c:scaling>
        <c:axPos val="l"/>
        <c:title>
          <c:tx>
            <c:rich>
              <a:bodyPr rot="-5400000" vert="horz"/>
              <a:lstStyle/>
              <a:p>
                <a:pPr>
                  <a:defRPr sz="900" b="0"/>
                </a:pPr>
                <a:r>
                  <a:rPr lang="en-US" sz="900" b="0"/>
                  <a:t>Percent</a:t>
                </a:r>
              </a:p>
            </c:rich>
          </c:tx>
          <c:layout>
            <c:manualLayout>
              <c:xMode val="edge"/>
              <c:yMode val="edge"/>
              <c:x val="3.2284100080710301E-3"/>
              <c:y val="0.1833560162219792"/>
            </c:manualLayout>
          </c:layout>
        </c:title>
        <c:numFmt formatCode="General" sourceLinked="1"/>
        <c:tickLblPos val="nextTo"/>
        <c:crossAx val="43162240"/>
        <c:crosses val="autoZero"/>
        <c:crossBetween val="between"/>
        <c:majorUnit val="20"/>
      </c:valAx>
    </c:plotArea>
    <c:legend>
      <c:legendPos val="r"/>
      <c:layout>
        <c:manualLayout>
          <c:xMode val="edge"/>
          <c:yMode val="edge"/>
          <c:x val="0"/>
          <c:y val="0.85448770958424658"/>
          <c:w val="0.99922090988626266"/>
          <c:h val="0.14042432195975502"/>
        </c:manualLayout>
      </c:layout>
      <c:txPr>
        <a:bodyPr/>
        <a:lstStyle/>
        <a:p>
          <a:pPr>
            <a:defRPr sz="900"/>
          </a:pPr>
          <a:endParaRPr lang="en-US"/>
        </a:p>
      </c:txPr>
    </c:legend>
    <c:plotVisOnly val="1"/>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8996581409265215E-2"/>
          <c:y val="6.7905319174552725E-2"/>
          <c:w val="0.81699673545321505"/>
          <c:h val="0.55312109693184963"/>
        </c:manualLayout>
      </c:layout>
      <c:barChart>
        <c:barDir val="col"/>
        <c:grouping val="clustered"/>
        <c:ser>
          <c:idx val="0"/>
          <c:order val="0"/>
          <c:tx>
            <c:strRef>
              <c:f>Sheet1!$C$39</c:f>
              <c:strCache>
                <c:ptCount val="1"/>
                <c:pt idx="0">
                  <c:v>Apr 03 - Jun 05</c:v>
                </c:pt>
              </c:strCache>
            </c:strRef>
          </c:tx>
          <c:cat>
            <c:strRef>
              <c:f>Sheet1!$B$40:$B$51</c:f>
              <c:strCache>
                <c:ptCount val="12"/>
                <c:pt idx="0">
                  <c:v>Slovakia</c:v>
                </c:pt>
                <c:pt idx="1">
                  <c:v>Lithuania</c:v>
                </c:pt>
                <c:pt idx="2">
                  <c:v>Slovenia</c:v>
                </c:pt>
                <c:pt idx="3">
                  <c:v>Latvia</c:v>
                </c:pt>
                <c:pt idx="4">
                  <c:v>Estonia</c:v>
                </c:pt>
                <c:pt idx="5">
                  <c:v>Croatia</c:v>
                </c:pt>
                <c:pt idx="6">
                  <c:v>Bulgaria </c:v>
                </c:pt>
                <c:pt idx="7">
                  <c:v>Romania</c:v>
                </c:pt>
                <c:pt idx="8">
                  <c:v>Russia</c:v>
                </c:pt>
                <c:pt idx="9">
                  <c:v>Turkey</c:v>
                </c:pt>
                <c:pt idx="10">
                  <c:v>Czech Rep.</c:v>
                </c:pt>
                <c:pt idx="11">
                  <c:v>Poland</c:v>
                </c:pt>
              </c:strCache>
            </c:strRef>
          </c:cat>
          <c:val>
            <c:numRef>
              <c:f>Sheet1!$C$40:$C$51</c:f>
              <c:numCache>
                <c:formatCode>General</c:formatCode>
                <c:ptCount val="12"/>
                <c:pt idx="0">
                  <c:v>-4.5000000000000012E-2</c:v>
                </c:pt>
                <c:pt idx="1">
                  <c:v>6.0679999999999984E-2</c:v>
                </c:pt>
                <c:pt idx="2">
                  <c:v>-0.32100000000000012</c:v>
                </c:pt>
                <c:pt idx="3">
                  <c:v>1.5800000000000008E-2</c:v>
                </c:pt>
                <c:pt idx="4">
                  <c:v>0.30650000000000016</c:v>
                </c:pt>
                <c:pt idx="5">
                  <c:v>0.62500000000000022</c:v>
                </c:pt>
                <c:pt idx="6">
                  <c:v>0.59</c:v>
                </c:pt>
                <c:pt idx="7">
                  <c:v>4.0519999999999996</c:v>
                </c:pt>
                <c:pt idx="8">
                  <c:v>0.28800000000000009</c:v>
                </c:pt>
                <c:pt idx="9">
                  <c:v>1.381</c:v>
                </c:pt>
                <c:pt idx="10">
                  <c:v>0.56480000000000019</c:v>
                </c:pt>
                <c:pt idx="11">
                  <c:v>0.91</c:v>
                </c:pt>
              </c:numCache>
            </c:numRef>
          </c:val>
        </c:ser>
        <c:ser>
          <c:idx val="1"/>
          <c:order val="1"/>
          <c:tx>
            <c:strRef>
              <c:f>Sheet1!$D$39</c:f>
              <c:strCache>
                <c:ptCount val="1"/>
                <c:pt idx="0">
                  <c:v>Jul 05 - Aug 07</c:v>
                </c:pt>
              </c:strCache>
            </c:strRef>
          </c:tx>
          <c:cat>
            <c:strRef>
              <c:f>Sheet1!$B$40:$B$51</c:f>
              <c:strCache>
                <c:ptCount val="12"/>
                <c:pt idx="0">
                  <c:v>Slovakia</c:v>
                </c:pt>
                <c:pt idx="1">
                  <c:v>Lithuania</c:v>
                </c:pt>
                <c:pt idx="2">
                  <c:v>Slovenia</c:v>
                </c:pt>
                <c:pt idx="3">
                  <c:v>Latvia</c:v>
                </c:pt>
                <c:pt idx="4">
                  <c:v>Estonia</c:v>
                </c:pt>
                <c:pt idx="5">
                  <c:v>Croatia</c:v>
                </c:pt>
                <c:pt idx="6">
                  <c:v>Bulgaria </c:v>
                </c:pt>
                <c:pt idx="7">
                  <c:v>Romania</c:v>
                </c:pt>
                <c:pt idx="8">
                  <c:v>Russia</c:v>
                </c:pt>
                <c:pt idx="9">
                  <c:v>Turkey</c:v>
                </c:pt>
                <c:pt idx="10">
                  <c:v>Czech Rep.</c:v>
                </c:pt>
                <c:pt idx="11">
                  <c:v>Poland</c:v>
                </c:pt>
              </c:strCache>
            </c:strRef>
          </c:cat>
          <c:val>
            <c:numRef>
              <c:f>Sheet1!$D$40:$D$51</c:f>
              <c:numCache>
                <c:formatCode>General</c:formatCode>
                <c:ptCount val="12"/>
                <c:pt idx="0">
                  <c:v>9.7000000000000003E-2</c:v>
                </c:pt>
                <c:pt idx="1">
                  <c:v>0.61700000000000021</c:v>
                </c:pt>
                <c:pt idx="2">
                  <c:v>0.28100000000000008</c:v>
                </c:pt>
                <c:pt idx="3">
                  <c:v>0.75600000000000023</c:v>
                </c:pt>
                <c:pt idx="4">
                  <c:v>1.21</c:v>
                </c:pt>
                <c:pt idx="5">
                  <c:v>0.70400000000000018</c:v>
                </c:pt>
                <c:pt idx="6">
                  <c:v>0.58079999999999998</c:v>
                </c:pt>
                <c:pt idx="7">
                  <c:v>1.2729999999999995</c:v>
                </c:pt>
                <c:pt idx="8">
                  <c:v>1.3</c:v>
                </c:pt>
                <c:pt idx="9">
                  <c:v>1.5629999999999995</c:v>
                </c:pt>
                <c:pt idx="10">
                  <c:v>1.3580000000000001</c:v>
                </c:pt>
                <c:pt idx="11">
                  <c:v>1.649</c:v>
                </c:pt>
              </c:numCache>
            </c:numRef>
          </c:val>
        </c:ser>
        <c:ser>
          <c:idx val="2"/>
          <c:order val="2"/>
          <c:tx>
            <c:strRef>
              <c:f>Sheet1!$E$39</c:f>
              <c:strCache>
                <c:ptCount val="1"/>
                <c:pt idx="0">
                  <c:v>Sep 07 - Sep 09</c:v>
                </c:pt>
              </c:strCache>
            </c:strRef>
          </c:tx>
          <c:cat>
            <c:strRef>
              <c:f>Sheet1!$B$40:$B$51</c:f>
              <c:strCache>
                <c:ptCount val="12"/>
                <c:pt idx="0">
                  <c:v>Slovakia</c:v>
                </c:pt>
                <c:pt idx="1">
                  <c:v>Lithuania</c:v>
                </c:pt>
                <c:pt idx="2">
                  <c:v>Slovenia</c:v>
                </c:pt>
                <c:pt idx="3">
                  <c:v>Latvia</c:v>
                </c:pt>
                <c:pt idx="4">
                  <c:v>Estonia</c:v>
                </c:pt>
                <c:pt idx="5">
                  <c:v>Croatia</c:v>
                </c:pt>
                <c:pt idx="6">
                  <c:v>Bulgaria </c:v>
                </c:pt>
                <c:pt idx="7">
                  <c:v>Romania</c:v>
                </c:pt>
                <c:pt idx="8">
                  <c:v>Russia</c:v>
                </c:pt>
                <c:pt idx="9">
                  <c:v>Turkey</c:v>
                </c:pt>
                <c:pt idx="10">
                  <c:v>Czech Rep.</c:v>
                </c:pt>
                <c:pt idx="11">
                  <c:v>Poland</c:v>
                </c:pt>
              </c:strCache>
            </c:strRef>
          </c:cat>
          <c:val>
            <c:numRef>
              <c:f>Sheet1!$E$40:$E$51</c:f>
              <c:numCache>
                <c:formatCode>General</c:formatCode>
                <c:ptCount val="12"/>
                <c:pt idx="0">
                  <c:v>0.17340000000000005</c:v>
                </c:pt>
                <c:pt idx="1">
                  <c:v>1.3680000000000001</c:v>
                </c:pt>
                <c:pt idx="2">
                  <c:v>1.6317999999999995</c:v>
                </c:pt>
                <c:pt idx="3">
                  <c:v>0.91700000000000004</c:v>
                </c:pt>
                <c:pt idx="4">
                  <c:v>1.1107</c:v>
                </c:pt>
                <c:pt idx="5">
                  <c:v>1.4359999999999991</c:v>
                </c:pt>
                <c:pt idx="6">
                  <c:v>1.885</c:v>
                </c:pt>
                <c:pt idx="7">
                  <c:v>1.9359999999999995</c:v>
                </c:pt>
                <c:pt idx="8">
                  <c:v>1.7349999999999997</c:v>
                </c:pt>
                <c:pt idx="9">
                  <c:v>1.6259999999999994</c:v>
                </c:pt>
                <c:pt idx="10">
                  <c:v>1.5718999999999996</c:v>
                </c:pt>
                <c:pt idx="11">
                  <c:v>1.2989999999999995</c:v>
                </c:pt>
              </c:numCache>
            </c:numRef>
          </c:val>
        </c:ser>
        <c:ser>
          <c:idx val="3"/>
          <c:order val="3"/>
          <c:tx>
            <c:strRef>
              <c:f>Sheet1!$F$39</c:f>
              <c:strCache>
                <c:ptCount val="1"/>
                <c:pt idx="0">
                  <c:v>Oct 09 - Mar 11</c:v>
                </c:pt>
              </c:strCache>
            </c:strRef>
          </c:tx>
          <c:cat>
            <c:strRef>
              <c:f>Sheet1!$B$40:$B$51</c:f>
              <c:strCache>
                <c:ptCount val="12"/>
                <c:pt idx="0">
                  <c:v>Slovakia</c:v>
                </c:pt>
                <c:pt idx="1">
                  <c:v>Lithuania</c:v>
                </c:pt>
                <c:pt idx="2">
                  <c:v>Slovenia</c:v>
                </c:pt>
                <c:pt idx="3">
                  <c:v>Latvia</c:v>
                </c:pt>
                <c:pt idx="4">
                  <c:v>Estonia</c:v>
                </c:pt>
                <c:pt idx="5">
                  <c:v>Croatia</c:v>
                </c:pt>
                <c:pt idx="6">
                  <c:v>Bulgaria </c:v>
                </c:pt>
                <c:pt idx="7">
                  <c:v>Romania</c:v>
                </c:pt>
                <c:pt idx="8">
                  <c:v>Russia</c:v>
                </c:pt>
                <c:pt idx="9">
                  <c:v>Turkey</c:v>
                </c:pt>
                <c:pt idx="10">
                  <c:v>Czech Rep.</c:v>
                </c:pt>
                <c:pt idx="11">
                  <c:v>Poland</c:v>
                </c:pt>
              </c:strCache>
            </c:strRef>
          </c:cat>
          <c:val>
            <c:numRef>
              <c:f>Sheet1!$F$40:$F$51</c:f>
              <c:numCache>
                <c:formatCode>General</c:formatCode>
                <c:ptCount val="12"/>
                <c:pt idx="0">
                  <c:v>0.39410000000000012</c:v>
                </c:pt>
                <c:pt idx="1">
                  <c:v>-7.0000000000000019E-3</c:v>
                </c:pt>
                <c:pt idx="2">
                  <c:v>4.4299999999999999E-2</c:v>
                </c:pt>
                <c:pt idx="3">
                  <c:v>9.8800000000000068E-2</c:v>
                </c:pt>
                <c:pt idx="4">
                  <c:v>-5.4600000000000003E-2</c:v>
                </c:pt>
                <c:pt idx="5">
                  <c:v>0.44390000000000002</c:v>
                </c:pt>
                <c:pt idx="6">
                  <c:v>0.20600000000000004</c:v>
                </c:pt>
                <c:pt idx="7">
                  <c:v>0.85050000000000003</c:v>
                </c:pt>
                <c:pt idx="8">
                  <c:v>1.2485999999999995</c:v>
                </c:pt>
                <c:pt idx="9">
                  <c:v>1.129</c:v>
                </c:pt>
                <c:pt idx="10">
                  <c:v>0.62700000000000022</c:v>
                </c:pt>
                <c:pt idx="11">
                  <c:v>0.6875</c:v>
                </c:pt>
              </c:numCache>
            </c:numRef>
          </c:val>
        </c:ser>
        <c:axId val="57121024"/>
        <c:axId val="57143296"/>
      </c:barChart>
      <c:catAx>
        <c:axId val="57121024"/>
        <c:scaling>
          <c:orientation val="minMax"/>
        </c:scaling>
        <c:axPos val="b"/>
        <c:tickLblPos val="nextTo"/>
        <c:txPr>
          <a:bodyPr rot="-5400000" vert="horz"/>
          <a:lstStyle/>
          <a:p>
            <a:pPr>
              <a:defRPr sz="900"/>
            </a:pPr>
            <a:endParaRPr lang="en-US"/>
          </a:p>
        </c:txPr>
        <c:crossAx val="57143296"/>
        <c:crosses val="autoZero"/>
        <c:auto val="1"/>
        <c:lblAlgn val="ctr"/>
        <c:lblOffset val="100"/>
      </c:catAx>
      <c:valAx>
        <c:axId val="57143296"/>
        <c:scaling>
          <c:orientation val="minMax"/>
          <c:max val="2"/>
          <c:min val="0"/>
        </c:scaling>
        <c:axPos val="l"/>
        <c:numFmt formatCode="General" sourceLinked="1"/>
        <c:tickLblPos val="nextTo"/>
        <c:txPr>
          <a:bodyPr/>
          <a:lstStyle/>
          <a:p>
            <a:pPr>
              <a:defRPr sz="900"/>
            </a:pPr>
            <a:endParaRPr lang="en-US"/>
          </a:p>
        </c:txPr>
        <c:crossAx val="57121024"/>
        <c:crosses val="autoZero"/>
        <c:crossBetween val="between"/>
      </c:valAx>
    </c:plotArea>
    <c:legend>
      <c:legendPos val="r"/>
      <c:layout>
        <c:manualLayout>
          <c:xMode val="edge"/>
          <c:yMode val="edge"/>
          <c:x val="0"/>
          <c:y val="0.88430686989814267"/>
          <c:w val="1"/>
          <c:h val="0.1121202051578415"/>
        </c:manualLayout>
      </c:layout>
      <c:txPr>
        <a:bodyPr/>
        <a:lstStyle/>
        <a:p>
          <a:pPr>
            <a:defRPr sz="900"/>
          </a:pPr>
          <a:endParaRPr lang="en-US"/>
        </a:p>
      </c:txP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cdr:x>
      <cdr:y>0.08856</cdr:y>
    </cdr:from>
    <cdr:to>
      <cdr:x>0.04907</cdr:x>
      <cdr:y>0.37269</cdr:y>
    </cdr:to>
    <cdr:sp macro="" textlink="">
      <cdr:nvSpPr>
        <cdr:cNvPr id="2" name="TextBox 1"/>
        <cdr:cNvSpPr txBox="1"/>
      </cdr:nvSpPr>
      <cdr:spPr>
        <a:xfrm xmlns:a="http://schemas.openxmlformats.org/drawingml/2006/main">
          <a:off x="0" y="228600"/>
          <a:ext cx="200025" cy="733425"/>
        </a:xfrm>
        <a:prstGeom xmlns:a="http://schemas.openxmlformats.org/drawingml/2006/main" prst="rect">
          <a:avLst/>
        </a:prstGeom>
      </cdr:spPr>
      <cdr:txBody>
        <a:bodyPr xmlns:a="http://schemas.openxmlformats.org/drawingml/2006/main" vertOverflow="clip" vert="vert270" wrap="none" rtlCol="0"/>
        <a:lstStyle xmlns:a="http://schemas.openxmlformats.org/drawingml/2006/main"/>
        <a:p xmlns:a="http://schemas.openxmlformats.org/drawingml/2006/main">
          <a:r>
            <a:rPr lang="en-US" sz="900" b="0"/>
            <a:t>percent</a:t>
          </a:r>
        </a:p>
      </cdr:txBody>
    </cdr:sp>
  </cdr:relSizeAnchor>
  <cdr:relSizeAnchor xmlns:cdr="http://schemas.openxmlformats.org/drawingml/2006/chartDrawing">
    <cdr:from>
      <cdr:x>0.07637</cdr:x>
      <cdr:y>0.81465</cdr:y>
    </cdr:from>
    <cdr:to>
      <cdr:x>0.24558</cdr:x>
      <cdr:y>0.88544</cdr:y>
    </cdr:to>
    <cdr:sp macro="" textlink="">
      <cdr:nvSpPr>
        <cdr:cNvPr id="3" name="Oval 2"/>
        <cdr:cNvSpPr/>
      </cdr:nvSpPr>
      <cdr:spPr>
        <a:xfrm xmlns:a="http://schemas.openxmlformats.org/drawingml/2006/main" rot="2909491">
          <a:off x="564860" y="1849293"/>
          <a:ext cx="182744" cy="689816"/>
        </a:xfrm>
        <a:prstGeom xmlns:a="http://schemas.openxmlformats.org/drawingml/2006/main" prst="ellipse">
          <a:avLst/>
        </a:prstGeom>
        <a:noFill xmlns:a="http://schemas.openxmlformats.org/drawingml/2006/main"/>
        <a:ln xmlns:a="http://schemas.openxmlformats.org/drawingml/2006/main">
          <a:solidFill>
            <a:schemeClr val="tx2">
              <a:lumMod val="7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2.70585E-7</cdr:x>
      <cdr:y>0</cdr:y>
    </cdr:from>
    <cdr:to>
      <cdr:x>0.04124</cdr:x>
      <cdr:y>0.36364</cdr:y>
    </cdr:to>
    <cdr:sp macro="" textlink="">
      <cdr:nvSpPr>
        <cdr:cNvPr id="2" name="TextBox 1"/>
        <cdr:cNvSpPr txBox="1"/>
      </cdr:nvSpPr>
      <cdr:spPr>
        <a:xfrm xmlns:a="http://schemas.openxmlformats.org/drawingml/2006/main">
          <a:off x="1" y="0"/>
          <a:ext cx="152400" cy="914400"/>
        </a:xfrm>
        <a:prstGeom xmlns:a="http://schemas.openxmlformats.org/drawingml/2006/main" prst="rect">
          <a:avLst/>
        </a:prstGeom>
      </cdr:spPr>
      <cdr:txBody>
        <a:bodyPr xmlns:a="http://schemas.openxmlformats.org/drawingml/2006/main" vertOverflow="clip" vert="vert270" wrap="none" rtlCol="0"/>
        <a:lstStyle xmlns:a="http://schemas.openxmlformats.org/drawingml/2006/main"/>
        <a:p xmlns:a="http://schemas.openxmlformats.org/drawingml/2006/main">
          <a:r>
            <a:rPr lang="en-US" sz="900" b="0"/>
            <a:t>percent of GDP</a:t>
          </a:r>
        </a:p>
      </cdr:txBody>
    </cdr:sp>
  </cdr:relSizeAnchor>
  <cdr:relSizeAnchor xmlns:cdr="http://schemas.openxmlformats.org/drawingml/2006/chartDrawing">
    <cdr:from>
      <cdr:x>0.08842</cdr:x>
      <cdr:y>0.68343</cdr:y>
    </cdr:from>
    <cdr:to>
      <cdr:x>0.14432</cdr:x>
      <cdr:y>0.95203</cdr:y>
    </cdr:to>
    <cdr:sp macro="" textlink="">
      <cdr:nvSpPr>
        <cdr:cNvPr id="3" name="Oval 2"/>
        <cdr:cNvSpPr/>
      </cdr:nvSpPr>
      <cdr:spPr>
        <a:xfrm xmlns:a="http://schemas.openxmlformats.org/drawingml/2006/main" rot="2331403">
          <a:off x="326784" y="1718562"/>
          <a:ext cx="206579" cy="675417"/>
        </a:xfrm>
        <a:prstGeom xmlns:a="http://schemas.openxmlformats.org/drawingml/2006/main" prst="ellipse">
          <a:avLst/>
        </a:prstGeom>
        <a:noFill xmlns:a="http://schemas.openxmlformats.org/drawingml/2006/main"/>
        <a:ln xmlns:a="http://schemas.openxmlformats.org/drawingml/2006/main">
          <a:solidFill>
            <a:schemeClr val="tx2">
              <a:lumMod val="7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0.00525</cdr:x>
      <cdr:y>0</cdr:y>
    </cdr:from>
    <cdr:to>
      <cdr:x>0.02709</cdr:x>
      <cdr:y>0.39847</cdr:y>
    </cdr:to>
    <cdr:sp macro="" textlink="">
      <cdr:nvSpPr>
        <cdr:cNvPr id="2" name="TextBox 1"/>
        <cdr:cNvSpPr txBox="1"/>
      </cdr:nvSpPr>
      <cdr:spPr>
        <a:xfrm xmlns:a="http://schemas.openxmlformats.org/drawingml/2006/main">
          <a:off x="20304" y="0"/>
          <a:ext cx="84472" cy="990600"/>
        </a:xfrm>
        <a:prstGeom xmlns:a="http://schemas.openxmlformats.org/drawingml/2006/main" prst="rect">
          <a:avLst/>
        </a:prstGeom>
      </cdr:spPr>
      <cdr:txBody>
        <a:bodyPr xmlns:a="http://schemas.openxmlformats.org/drawingml/2006/main" vertOverflow="clip" vert="vert270" wrap="none" rtlCol="0"/>
        <a:lstStyle xmlns:a="http://schemas.openxmlformats.org/drawingml/2006/main"/>
        <a:p xmlns:a="http://schemas.openxmlformats.org/drawingml/2006/main">
          <a:r>
            <a:rPr lang="en-US" sz="900" b="0"/>
            <a:t>percent of GDP</a:t>
          </a:r>
        </a:p>
      </cdr:txBody>
    </cdr:sp>
  </cdr:relSizeAnchor>
</c:userShapes>
</file>

<file path=word/drawings/drawing4.xml><?xml version="1.0" encoding="utf-8"?>
<c:userShapes xmlns:c="http://schemas.openxmlformats.org/drawingml/2006/chart">
  <cdr:relSizeAnchor xmlns:cdr="http://schemas.openxmlformats.org/drawingml/2006/chartDrawing">
    <cdr:from>
      <cdr:x>0.00387</cdr:x>
      <cdr:y>3.79014E-7</cdr:y>
    </cdr:from>
    <cdr:to>
      <cdr:x>0.0677</cdr:x>
      <cdr:y>0.42238</cdr:y>
    </cdr:to>
    <cdr:sp macro="" textlink="">
      <cdr:nvSpPr>
        <cdr:cNvPr id="2" name="TextBox 1"/>
        <cdr:cNvSpPr txBox="1"/>
      </cdr:nvSpPr>
      <cdr:spPr>
        <a:xfrm xmlns:a="http://schemas.openxmlformats.org/drawingml/2006/main">
          <a:off x="19050" y="1"/>
          <a:ext cx="314325" cy="1114425"/>
        </a:xfrm>
        <a:prstGeom xmlns:a="http://schemas.openxmlformats.org/drawingml/2006/main" prst="rect">
          <a:avLst/>
        </a:prstGeom>
      </cdr:spPr>
      <cdr:txBody>
        <a:bodyPr xmlns:a="http://schemas.openxmlformats.org/drawingml/2006/main" vertOverflow="clip" vert="vert270" wrap="none" rtlCol="0"/>
        <a:lstStyle xmlns:a="http://schemas.openxmlformats.org/drawingml/2006/main"/>
        <a:p xmlns:a="http://schemas.openxmlformats.org/drawingml/2006/main">
          <a:r>
            <a:rPr lang="en-US" sz="1000" b="0"/>
            <a:t>percent of GDP</a:t>
          </a:r>
        </a:p>
      </cdr:txBody>
    </cdr:sp>
  </cdr:relSizeAnchor>
</c:userShapes>
</file>

<file path=word/drawings/drawing5.xml><?xml version="1.0" encoding="utf-8"?>
<c:userShapes xmlns:c="http://schemas.openxmlformats.org/drawingml/2006/chart">
  <cdr:relSizeAnchor xmlns:cdr="http://schemas.openxmlformats.org/drawingml/2006/chartDrawing">
    <cdr:from>
      <cdr:x>0.52058</cdr:x>
      <cdr:y>0.64898</cdr:y>
    </cdr:from>
    <cdr:to>
      <cdr:x>0.5908</cdr:x>
      <cdr:y>0.89388</cdr:y>
    </cdr:to>
    <cdr:sp macro="" textlink="">
      <cdr:nvSpPr>
        <cdr:cNvPr id="2" name="Oval 1"/>
        <cdr:cNvSpPr/>
      </cdr:nvSpPr>
      <cdr:spPr>
        <a:xfrm xmlns:a="http://schemas.openxmlformats.org/drawingml/2006/main">
          <a:off x="2047874" y="1514474"/>
          <a:ext cx="276225" cy="571500"/>
        </a:xfrm>
        <a:prstGeom xmlns:a="http://schemas.openxmlformats.org/drawingml/2006/main" prst="ellipse">
          <a:avLst/>
        </a:prstGeom>
        <a:noFill xmlns:a="http://schemas.openxmlformats.org/drawingml/2006/main"/>
        <a:ln xmlns:a="http://schemas.openxmlformats.org/drawingml/2006/main" w="25400" cap="flat" cmpd="sng" algn="ctr">
          <a:solidFill>
            <a:schemeClr val="accent1">
              <a:lumMod val="75000"/>
            </a:scheme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userShapes>
</file>

<file path=word/drawings/drawing6.xml><?xml version="1.0" encoding="utf-8"?>
<c:userShapes xmlns:c="http://schemas.openxmlformats.org/drawingml/2006/chart">
  <cdr:relSizeAnchor xmlns:cdr="http://schemas.openxmlformats.org/drawingml/2006/chartDrawing">
    <cdr:from>
      <cdr:x>0.48758</cdr:x>
      <cdr:y>0.64224</cdr:y>
    </cdr:from>
    <cdr:to>
      <cdr:x>0.56127</cdr:x>
      <cdr:y>0.87931</cdr:y>
    </cdr:to>
    <cdr:sp macro="" textlink="">
      <cdr:nvSpPr>
        <cdr:cNvPr id="2" name="Oval 1"/>
        <cdr:cNvSpPr/>
      </cdr:nvSpPr>
      <cdr:spPr>
        <a:xfrm xmlns:a="http://schemas.openxmlformats.org/drawingml/2006/main">
          <a:off x="1894852" y="1419224"/>
          <a:ext cx="286373" cy="523875"/>
        </a:xfrm>
        <a:prstGeom xmlns:a="http://schemas.openxmlformats.org/drawingml/2006/main" prst="ellipse">
          <a:avLst/>
        </a:prstGeom>
        <a:noFill xmlns:a="http://schemas.openxmlformats.org/drawingml/2006/main"/>
        <a:ln xmlns:a="http://schemas.openxmlformats.org/drawingml/2006/main">
          <a:solidFill>
            <a:schemeClr val="accent1">
              <a:lumMod val="7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7173F-4E79-43A9-A6A0-5405EA1E0B96}">
  <ds:schemaRefs>
    <ds:schemaRef ds:uri="http://schemas.openxmlformats.org/officeDocument/2006/bibliography"/>
  </ds:schemaRefs>
</ds:datastoreItem>
</file>

<file path=customXml/itemProps2.xml><?xml version="1.0" encoding="utf-8"?>
<ds:datastoreItem xmlns:ds="http://schemas.openxmlformats.org/officeDocument/2006/customXml" ds:itemID="{A56B8AE2-71B2-4801-820F-2AE3BFC9E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10661</Words>
  <Characters>61215</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71733</CharactersWithSpaces>
  <SharedDoc>false</SharedDoc>
  <HLinks>
    <vt:vector size="156" baseType="variant">
      <vt:variant>
        <vt:i4>917511</vt:i4>
      </vt:variant>
      <vt:variant>
        <vt:i4>162</vt:i4>
      </vt:variant>
      <vt:variant>
        <vt:i4>0</vt:i4>
      </vt:variant>
      <vt:variant>
        <vt:i4>5</vt:i4>
      </vt:variant>
      <vt:variant>
        <vt:lpwstr>http://www.fsc.bg/go.idecs?m=library&amp;f=download&amp;id=18855</vt:lpwstr>
      </vt:variant>
      <vt:variant>
        <vt:lpwstr/>
      </vt:variant>
      <vt:variant>
        <vt:i4>720907</vt:i4>
      </vt:variant>
      <vt:variant>
        <vt:i4>159</vt:i4>
      </vt:variant>
      <vt:variant>
        <vt:i4>0</vt:i4>
      </vt:variant>
      <vt:variant>
        <vt:i4>5</vt:i4>
      </vt:variant>
      <vt:variant>
        <vt:lpwstr>http://www.fsc.bg/go.idecs?m=library&amp;f=download&amp;id=18991</vt:lpwstr>
      </vt:variant>
      <vt:variant>
        <vt:lpwstr/>
      </vt:variant>
      <vt:variant>
        <vt:i4>393225</vt:i4>
      </vt:variant>
      <vt:variant>
        <vt:i4>156</vt:i4>
      </vt:variant>
      <vt:variant>
        <vt:i4>0</vt:i4>
      </vt:variant>
      <vt:variant>
        <vt:i4>5</vt:i4>
      </vt:variant>
      <vt:variant>
        <vt:lpwstr>http://www.fsc.bg/go.idecs?m=library&amp;f=download&amp;id=15461</vt:lpwstr>
      </vt:variant>
      <vt:variant>
        <vt:lpwstr/>
      </vt:variant>
      <vt:variant>
        <vt:i4>131083</vt:i4>
      </vt:variant>
      <vt:variant>
        <vt:i4>153</vt:i4>
      </vt:variant>
      <vt:variant>
        <vt:i4>0</vt:i4>
      </vt:variant>
      <vt:variant>
        <vt:i4>5</vt:i4>
      </vt:variant>
      <vt:variant>
        <vt:lpwstr>http://www.fsc.bg/go.idecs?m=library&amp;f=download&amp;id=18190</vt:lpwstr>
      </vt:variant>
      <vt:variant>
        <vt:lpwstr/>
      </vt:variant>
      <vt:variant>
        <vt:i4>1966130</vt:i4>
      </vt:variant>
      <vt:variant>
        <vt:i4>116</vt:i4>
      </vt:variant>
      <vt:variant>
        <vt:i4>0</vt:i4>
      </vt:variant>
      <vt:variant>
        <vt:i4>5</vt:i4>
      </vt:variant>
      <vt:variant>
        <vt:lpwstr/>
      </vt:variant>
      <vt:variant>
        <vt:lpwstr>_Toc297111603</vt:lpwstr>
      </vt:variant>
      <vt:variant>
        <vt:i4>1966130</vt:i4>
      </vt:variant>
      <vt:variant>
        <vt:i4>110</vt:i4>
      </vt:variant>
      <vt:variant>
        <vt:i4>0</vt:i4>
      </vt:variant>
      <vt:variant>
        <vt:i4>5</vt:i4>
      </vt:variant>
      <vt:variant>
        <vt:lpwstr/>
      </vt:variant>
      <vt:variant>
        <vt:lpwstr>_Toc297111602</vt:lpwstr>
      </vt:variant>
      <vt:variant>
        <vt:i4>1966130</vt:i4>
      </vt:variant>
      <vt:variant>
        <vt:i4>104</vt:i4>
      </vt:variant>
      <vt:variant>
        <vt:i4>0</vt:i4>
      </vt:variant>
      <vt:variant>
        <vt:i4>5</vt:i4>
      </vt:variant>
      <vt:variant>
        <vt:lpwstr/>
      </vt:variant>
      <vt:variant>
        <vt:lpwstr>_Toc297111601</vt:lpwstr>
      </vt:variant>
      <vt:variant>
        <vt:i4>1966130</vt:i4>
      </vt:variant>
      <vt:variant>
        <vt:i4>98</vt:i4>
      </vt:variant>
      <vt:variant>
        <vt:i4>0</vt:i4>
      </vt:variant>
      <vt:variant>
        <vt:i4>5</vt:i4>
      </vt:variant>
      <vt:variant>
        <vt:lpwstr/>
      </vt:variant>
      <vt:variant>
        <vt:lpwstr>_Toc297111600</vt:lpwstr>
      </vt:variant>
      <vt:variant>
        <vt:i4>1507377</vt:i4>
      </vt:variant>
      <vt:variant>
        <vt:i4>92</vt:i4>
      </vt:variant>
      <vt:variant>
        <vt:i4>0</vt:i4>
      </vt:variant>
      <vt:variant>
        <vt:i4>5</vt:i4>
      </vt:variant>
      <vt:variant>
        <vt:lpwstr/>
      </vt:variant>
      <vt:variant>
        <vt:lpwstr>_Toc297111599</vt:lpwstr>
      </vt:variant>
      <vt:variant>
        <vt:i4>1507377</vt:i4>
      </vt:variant>
      <vt:variant>
        <vt:i4>86</vt:i4>
      </vt:variant>
      <vt:variant>
        <vt:i4>0</vt:i4>
      </vt:variant>
      <vt:variant>
        <vt:i4>5</vt:i4>
      </vt:variant>
      <vt:variant>
        <vt:lpwstr/>
      </vt:variant>
      <vt:variant>
        <vt:lpwstr>_Toc297111598</vt:lpwstr>
      </vt:variant>
      <vt:variant>
        <vt:i4>1507377</vt:i4>
      </vt:variant>
      <vt:variant>
        <vt:i4>80</vt:i4>
      </vt:variant>
      <vt:variant>
        <vt:i4>0</vt:i4>
      </vt:variant>
      <vt:variant>
        <vt:i4>5</vt:i4>
      </vt:variant>
      <vt:variant>
        <vt:lpwstr/>
      </vt:variant>
      <vt:variant>
        <vt:lpwstr>_Toc297111597</vt:lpwstr>
      </vt:variant>
      <vt:variant>
        <vt:i4>1507377</vt:i4>
      </vt:variant>
      <vt:variant>
        <vt:i4>71</vt:i4>
      </vt:variant>
      <vt:variant>
        <vt:i4>0</vt:i4>
      </vt:variant>
      <vt:variant>
        <vt:i4>5</vt:i4>
      </vt:variant>
      <vt:variant>
        <vt:lpwstr/>
      </vt:variant>
      <vt:variant>
        <vt:lpwstr>_Toc297111596</vt:lpwstr>
      </vt:variant>
      <vt:variant>
        <vt:i4>1507377</vt:i4>
      </vt:variant>
      <vt:variant>
        <vt:i4>65</vt:i4>
      </vt:variant>
      <vt:variant>
        <vt:i4>0</vt:i4>
      </vt:variant>
      <vt:variant>
        <vt:i4>5</vt:i4>
      </vt:variant>
      <vt:variant>
        <vt:lpwstr/>
      </vt:variant>
      <vt:variant>
        <vt:lpwstr>_Toc297111595</vt:lpwstr>
      </vt:variant>
      <vt:variant>
        <vt:i4>1507377</vt:i4>
      </vt:variant>
      <vt:variant>
        <vt:i4>59</vt:i4>
      </vt:variant>
      <vt:variant>
        <vt:i4>0</vt:i4>
      </vt:variant>
      <vt:variant>
        <vt:i4>5</vt:i4>
      </vt:variant>
      <vt:variant>
        <vt:lpwstr/>
      </vt:variant>
      <vt:variant>
        <vt:lpwstr>_Toc297111594</vt:lpwstr>
      </vt:variant>
      <vt:variant>
        <vt:i4>1507377</vt:i4>
      </vt:variant>
      <vt:variant>
        <vt:i4>53</vt:i4>
      </vt:variant>
      <vt:variant>
        <vt:i4>0</vt:i4>
      </vt:variant>
      <vt:variant>
        <vt:i4>5</vt:i4>
      </vt:variant>
      <vt:variant>
        <vt:lpwstr/>
      </vt:variant>
      <vt:variant>
        <vt:lpwstr>_Toc297111593</vt:lpwstr>
      </vt:variant>
      <vt:variant>
        <vt:i4>1507377</vt:i4>
      </vt:variant>
      <vt:variant>
        <vt:i4>44</vt:i4>
      </vt:variant>
      <vt:variant>
        <vt:i4>0</vt:i4>
      </vt:variant>
      <vt:variant>
        <vt:i4>5</vt:i4>
      </vt:variant>
      <vt:variant>
        <vt:lpwstr/>
      </vt:variant>
      <vt:variant>
        <vt:lpwstr>_Toc297111592</vt:lpwstr>
      </vt:variant>
      <vt:variant>
        <vt:i4>1507377</vt:i4>
      </vt:variant>
      <vt:variant>
        <vt:i4>38</vt:i4>
      </vt:variant>
      <vt:variant>
        <vt:i4>0</vt:i4>
      </vt:variant>
      <vt:variant>
        <vt:i4>5</vt:i4>
      </vt:variant>
      <vt:variant>
        <vt:lpwstr/>
      </vt:variant>
      <vt:variant>
        <vt:lpwstr>_Toc297111591</vt:lpwstr>
      </vt:variant>
      <vt:variant>
        <vt:i4>1507377</vt:i4>
      </vt:variant>
      <vt:variant>
        <vt:i4>32</vt:i4>
      </vt:variant>
      <vt:variant>
        <vt:i4>0</vt:i4>
      </vt:variant>
      <vt:variant>
        <vt:i4>5</vt:i4>
      </vt:variant>
      <vt:variant>
        <vt:lpwstr/>
      </vt:variant>
      <vt:variant>
        <vt:lpwstr>_Toc297111590</vt:lpwstr>
      </vt:variant>
      <vt:variant>
        <vt:i4>1441841</vt:i4>
      </vt:variant>
      <vt:variant>
        <vt:i4>26</vt:i4>
      </vt:variant>
      <vt:variant>
        <vt:i4>0</vt:i4>
      </vt:variant>
      <vt:variant>
        <vt:i4>5</vt:i4>
      </vt:variant>
      <vt:variant>
        <vt:lpwstr/>
      </vt:variant>
      <vt:variant>
        <vt:lpwstr>_Toc297111589</vt:lpwstr>
      </vt:variant>
      <vt:variant>
        <vt:i4>1441841</vt:i4>
      </vt:variant>
      <vt:variant>
        <vt:i4>20</vt:i4>
      </vt:variant>
      <vt:variant>
        <vt:i4>0</vt:i4>
      </vt:variant>
      <vt:variant>
        <vt:i4>5</vt:i4>
      </vt:variant>
      <vt:variant>
        <vt:lpwstr/>
      </vt:variant>
      <vt:variant>
        <vt:lpwstr>_Toc297111588</vt:lpwstr>
      </vt:variant>
      <vt:variant>
        <vt:i4>1441841</vt:i4>
      </vt:variant>
      <vt:variant>
        <vt:i4>14</vt:i4>
      </vt:variant>
      <vt:variant>
        <vt:i4>0</vt:i4>
      </vt:variant>
      <vt:variant>
        <vt:i4>5</vt:i4>
      </vt:variant>
      <vt:variant>
        <vt:lpwstr/>
      </vt:variant>
      <vt:variant>
        <vt:lpwstr>_Toc297111587</vt:lpwstr>
      </vt:variant>
      <vt:variant>
        <vt:i4>1441841</vt:i4>
      </vt:variant>
      <vt:variant>
        <vt:i4>8</vt:i4>
      </vt:variant>
      <vt:variant>
        <vt:i4>0</vt:i4>
      </vt:variant>
      <vt:variant>
        <vt:i4>5</vt:i4>
      </vt:variant>
      <vt:variant>
        <vt:lpwstr/>
      </vt:variant>
      <vt:variant>
        <vt:lpwstr>_Toc297111586</vt:lpwstr>
      </vt:variant>
      <vt:variant>
        <vt:i4>1441841</vt:i4>
      </vt:variant>
      <vt:variant>
        <vt:i4>2</vt:i4>
      </vt:variant>
      <vt:variant>
        <vt:i4>0</vt:i4>
      </vt:variant>
      <vt:variant>
        <vt:i4>5</vt:i4>
      </vt:variant>
      <vt:variant>
        <vt:lpwstr/>
      </vt:variant>
      <vt:variant>
        <vt:lpwstr>_Toc297111585</vt:lpwstr>
      </vt:variant>
      <vt:variant>
        <vt:i4>458819</vt:i4>
      </vt:variant>
      <vt:variant>
        <vt:i4>0</vt:i4>
      </vt:variant>
      <vt:variant>
        <vt:i4>0</vt:i4>
      </vt:variant>
      <vt:variant>
        <vt:i4>5</vt:i4>
      </vt:variant>
      <vt:variant>
        <vt:lpwstr>http://en.wikipedia.org/wiki/Corporation</vt:lpwstr>
      </vt:variant>
      <vt:variant>
        <vt:lpwstr/>
      </vt:variant>
      <vt:variant>
        <vt:i4>6488123</vt:i4>
      </vt:variant>
      <vt:variant>
        <vt:i4>3</vt:i4>
      </vt:variant>
      <vt:variant>
        <vt:i4>0</vt:i4>
      </vt:variant>
      <vt:variant>
        <vt:i4>5</vt:i4>
      </vt:variant>
      <vt:variant>
        <vt:lpwstr>http://en.wikipedia.org/wiki/European_Central_Bank</vt:lpwstr>
      </vt:variant>
      <vt:variant>
        <vt:lpwstr/>
      </vt:variant>
      <vt:variant>
        <vt:i4>2818067</vt:i4>
      </vt:variant>
      <vt:variant>
        <vt:i4>0</vt:i4>
      </vt:variant>
      <vt:variant>
        <vt:i4>0</vt:i4>
      </vt:variant>
      <vt:variant>
        <vt:i4>5</vt:i4>
      </vt:variant>
      <vt:variant>
        <vt:lpwstr>http://en.wikipedia.org/wiki/Settlement_(finance)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wb318875</dc:creator>
  <cp:lastModifiedBy>wb350881</cp:lastModifiedBy>
  <cp:revision>3</cp:revision>
  <cp:lastPrinted>2011-06-28T18:25:00Z</cp:lastPrinted>
  <dcterms:created xsi:type="dcterms:W3CDTF">2012-06-07T17:31:00Z</dcterms:created>
  <dcterms:modified xsi:type="dcterms:W3CDTF">2012-06-19T17:16:00Z</dcterms:modified>
</cp:coreProperties>
</file>