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6FA" w:rsidRDefault="00A706FA">
      <w:pPr>
        <w:jc w:val="center"/>
        <w:rPr>
          <w:b/>
          <w:bCs/>
        </w:rPr>
      </w:pPr>
      <w:r>
        <w:rPr>
          <w:b/>
          <w:bCs/>
        </w:rPr>
        <w:t>PROJECT INFORMATION DOCUMENT (PID)</w:t>
      </w:r>
    </w:p>
    <w:p w:rsidR="00A706FA" w:rsidRDefault="00A706FA">
      <w:pPr>
        <w:jc w:val="center"/>
        <w:rPr>
          <w:b/>
          <w:bCs/>
        </w:rPr>
      </w:pPr>
      <w:r>
        <w:rPr>
          <w:b/>
          <w:bCs/>
        </w:rPr>
        <w:t>APPRAISAL STAGE</w:t>
      </w:r>
    </w:p>
    <w:p w:rsidR="00C82216" w:rsidRDefault="00A706FA">
      <w:pPr>
        <w:jc w:val="right"/>
      </w:pPr>
      <w:r w:rsidRPr="00C82216">
        <w:t>Report No.:</w:t>
      </w:r>
      <w:r w:rsidR="00711AFF">
        <w:t>AB</w:t>
      </w:r>
      <w:r w:rsidR="00B337D7">
        <w:t>7</w:t>
      </w:r>
      <w:r w:rsidR="00D32794">
        <w:t>479</w:t>
      </w:r>
    </w:p>
    <w:p w:rsidR="00C82216" w:rsidRDefault="00C82216">
      <w:pPr>
        <w:jc w:val="right"/>
      </w:pPr>
      <w:r>
        <w:rPr>
          <w:sz w:val="16"/>
          <w:szCs w:val="16"/>
        </w:rPr>
        <w:t>(</w:t>
      </w:r>
      <w:r w:rsidRPr="00C82216">
        <w:rPr>
          <w:sz w:val="16"/>
          <w:szCs w:val="16"/>
        </w:rPr>
        <w:t xml:space="preserve">The report </w:t>
      </w:r>
      <w:r>
        <w:rPr>
          <w:sz w:val="16"/>
          <w:szCs w:val="16"/>
        </w:rPr>
        <w:t># is automatically generated by IDU and should not be changed)</w:t>
      </w:r>
    </w:p>
    <w:p w:rsidR="00A706FA" w:rsidRPr="00C82216" w:rsidRDefault="00A706FA">
      <w:pPr>
        <w:jc w:val="right"/>
      </w:pPr>
      <w:r w:rsidRPr="00C82216">
        <w:t xml:space="preserve">  </w:t>
      </w:r>
      <w:bookmarkStart w:id="0" w:name="ReportNo"/>
      <w:bookmarkEnd w:id="0"/>
    </w:p>
    <w:tbl>
      <w:tblPr>
        <w:tblW w:w="95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90"/>
        <w:gridCol w:w="5850"/>
      </w:tblGrid>
      <w:tr w:rsidR="00D84FCA" w:rsidRPr="00C82216" w:rsidTr="00BB1BF3">
        <w:tc>
          <w:tcPr>
            <w:tcW w:w="3690" w:type="dxa"/>
            <w:tcBorders>
              <w:top w:val="single" w:sz="4" w:space="0" w:color="auto"/>
              <w:left w:val="single" w:sz="4" w:space="0" w:color="auto"/>
              <w:bottom w:val="single" w:sz="4" w:space="0" w:color="auto"/>
              <w:right w:val="single" w:sz="4" w:space="0" w:color="auto"/>
            </w:tcBorders>
          </w:tcPr>
          <w:p w:rsidR="00D84FCA" w:rsidRPr="00C82216" w:rsidRDefault="00D84FCA">
            <w:pPr>
              <w:pStyle w:val="Heading1"/>
              <w:rPr>
                <w:rFonts w:eastAsia="Arial Unicode MS"/>
              </w:rPr>
            </w:pPr>
            <w:r w:rsidRPr="00C82216">
              <w:t>Project Name</w:t>
            </w:r>
          </w:p>
        </w:tc>
        <w:tc>
          <w:tcPr>
            <w:tcW w:w="5850" w:type="dxa"/>
            <w:tcBorders>
              <w:top w:val="single" w:sz="4" w:space="0" w:color="auto"/>
              <w:left w:val="single" w:sz="4" w:space="0" w:color="auto"/>
              <w:bottom w:val="single" w:sz="4" w:space="0" w:color="auto"/>
              <w:right w:val="single" w:sz="4" w:space="0" w:color="auto"/>
            </w:tcBorders>
          </w:tcPr>
          <w:p w:rsidR="00D84FCA" w:rsidRPr="00EF6AAB" w:rsidRDefault="00B337D7" w:rsidP="00F863AD">
            <w:bookmarkStart w:id="1" w:name="PROJECTNAME"/>
            <w:bookmarkEnd w:id="1"/>
            <w:r>
              <w:t xml:space="preserve">Banda Gas-to-Power </w:t>
            </w:r>
          </w:p>
        </w:tc>
      </w:tr>
      <w:tr w:rsidR="00D84FCA" w:rsidRPr="00C82216" w:rsidTr="00BB1BF3">
        <w:tc>
          <w:tcPr>
            <w:tcW w:w="3690" w:type="dxa"/>
            <w:tcBorders>
              <w:top w:val="single" w:sz="4" w:space="0" w:color="auto"/>
              <w:left w:val="single" w:sz="4" w:space="0" w:color="auto"/>
              <w:bottom w:val="single" w:sz="4" w:space="0" w:color="auto"/>
              <w:right w:val="single" w:sz="4" w:space="0" w:color="auto"/>
            </w:tcBorders>
          </w:tcPr>
          <w:p w:rsidR="00D84FCA" w:rsidRPr="00C82216" w:rsidRDefault="00D84FCA">
            <w:pPr>
              <w:rPr>
                <w:b/>
                <w:bCs/>
              </w:rPr>
            </w:pPr>
            <w:r w:rsidRPr="00C82216">
              <w:rPr>
                <w:b/>
                <w:bCs/>
              </w:rPr>
              <w:t>Region</w:t>
            </w:r>
          </w:p>
        </w:tc>
        <w:tc>
          <w:tcPr>
            <w:tcW w:w="5850" w:type="dxa"/>
            <w:tcBorders>
              <w:top w:val="single" w:sz="4" w:space="0" w:color="auto"/>
              <w:left w:val="single" w:sz="4" w:space="0" w:color="auto"/>
              <w:bottom w:val="single" w:sz="4" w:space="0" w:color="auto"/>
              <w:right w:val="single" w:sz="4" w:space="0" w:color="auto"/>
            </w:tcBorders>
          </w:tcPr>
          <w:p w:rsidR="00D84FCA" w:rsidRPr="007F2272" w:rsidRDefault="00F863AD" w:rsidP="00F863AD">
            <w:bookmarkStart w:id="2" w:name="REGION"/>
            <w:bookmarkEnd w:id="2"/>
            <w:r w:rsidRPr="007F2272">
              <w:t>Africa</w:t>
            </w:r>
          </w:p>
        </w:tc>
      </w:tr>
      <w:tr w:rsidR="00D84FCA" w:rsidRPr="00EF6AAB" w:rsidTr="00BB1BF3">
        <w:tc>
          <w:tcPr>
            <w:tcW w:w="3690" w:type="dxa"/>
            <w:tcBorders>
              <w:top w:val="single" w:sz="4" w:space="0" w:color="auto"/>
              <w:left w:val="single" w:sz="4" w:space="0" w:color="auto"/>
              <w:bottom w:val="single" w:sz="4" w:space="0" w:color="auto"/>
              <w:right w:val="single" w:sz="4" w:space="0" w:color="auto"/>
            </w:tcBorders>
          </w:tcPr>
          <w:p w:rsidR="00D84FCA" w:rsidRPr="00EF6AAB" w:rsidRDefault="00D84FCA">
            <w:pPr>
              <w:rPr>
                <w:b/>
                <w:bCs/>
              </w:rPr>
            </w:pPr>
            <w:r w:rsidRPr="00EF6AAB">
              <w:rPr>
                <w:b/>
                <w:bCs/>
              </w:rPr>
              <w:t>Country</w:t>
            </w:r>
          </w:p>
        </w:tc>
        <w:tc>
          <w:tcPr>
            <w:tcW w:w="5850" w:type="dxa"/>
            <w:tcBorders>
              <w:top w:val="single" w:sz="4" w:space="0" w:color="auto"/>
              <w:left w:val="single" w:sz="4" w:space="0" w:color="auto"/>
              <w:bottom w:val="single" w:sz="4" w:space="0" w:color="auto"/>
              <w:right w:val="single" w:sz="4" w:space="0" w:color="auto"/>
            </w:tcBorders>
          </w:tcPr>
          <w:p w:rsidR="00D84FCA" w:rsidRPr="00EF6AAB" w:rsidRDefault="00D32794" w:rsidP="00B337D7">
            <w:r>
              <w:t xml:space="preserve">Senegal </w:t>
            </w:r>
          </w:p>
        </w:tc>
      </w:tr>
      <w:tr w:rsidR="00D84FCA" w:rsidRPr="00EF6AAB" w:rsidTr="00BB1BF3">
        <w:tc>
          <w:tcPr>
            <w:tcW w:w="3690" w:type="dxa"/>
            <w:tcBorders>
              <w:top w:val="single" w:sz="4" w:space="0" w:color="auto"/>
              <w:left w:val="single" w:sz="4" w:space="0" w:color="auto"/>
              <w:bottom w:val="single" w:sz="4" w:space="0" w:color="auto"/>
              <w:right w:val="single" w:sz="4" w:space="0" w:color="auto"/>
            </w:tcBorders>
          </w:tcPr>
          <w:p w:rsidR="00D84FCA" w:rsidRPr="00EF6AAB" w:rsidRDefault="00D84FCA">
            <w:pPr>
              <w:rPr>
                <w:b/>
                <w:bCs/>
              </w:rPr>
            </w:pPr>
            <w:r w:rsidRPr="00EF6AAB">
              <w:rPr>
                <w:b/>
                <w:bCs/>
              </w:rPr>
              <w:t>Sector</w:t>
            </w:r>
          </w:p>
        </w:tc>
        <w:tc>
          <w:tcPr>
            <w:tcW w:w="5850" w:type="dxa"/>
            <w:tcBorders>
              <w:top w:val="single" w:sz="4" w:space="0" w:color="auto"/>
              <w:left w:val="single" w:sz="4" w:space="0" w:color="auto"/>
              <w:bottom w:val="single" w:sz="4" w:space="0" w:color="auto"/>
              <w:right w:val="single" w:sz="4" w:space="0" w:color="auto"/>
            </w:tcBorders>
          </w:tcPr>
          <w:p w:rsidR="00D84FCA" w:rsidRPr="00EF6AAB" w:rsidRDefault="003E4CCE" w:rsidP="00F863AD">
            <w:bookmarkStart w:id="3" w:name="SECTOR"/>
            <w:bookmarkEnd w:id="3"/>
            <w:r>
              <w:t>Energy and Mining</w:t>
            </w:r>
          </w:p>
        </w:tc>
      </w:tr>
      <w:tr w:rsidR="00DE4D49" w:rsidRPr="00EF6AAB" w:rsidTr="004A72C5">
        <w:tc>
          <w:tcPr>
            <w:tcW w:w="3690" w:type="dxa"/>
            <w:tcBorders>
              <w:top w:val="single" w:sz="4" w:space="0" w:color="auto"/>
              <w:left w:val="single" w:sz="4" w:space="0" w:color="auto"/>
              <w:bottom w:val="single" w:sz="4" w:space="0" w:color="auto"/>
              <w:right w:val="single" w:sz="4" w:space="0" w:color="auto"/>
            </w:tcBorders>
          </w:tcPr>
          <w:p w:rsidR="00DE4D49" w:rsidRPr="00EF6AAB" w:rsidRDefault="00DE4D49" w:rsidP="004A72C5">
            <w:pPr>
              <w:rPr>
                <w:b/>
                <w:bCs/>
              </w:rPr>
            </w:pPr>
            <w:r w:rsidRPr="00EF6AAB">
              <w:rPr>
                <w:b/>
                <w:bCs/>
              </w:rPr>
              <w:t>Lending Instr</w:t>
            </w:r>
            <w:r w:rsidR="00563BF5" w:rsidRPr="00EF6AAB">
              <w:rPr>
                <w:b/>
                <w:bCs/>
              </w:rPr>
              <w:t>u</w:t>
            </w:r>
            <w:r w:rsidRPr="00EF6AAB">
              <w:rPr>
                <w:b/>
                <w:bCs/>
              </w:rPr>
              <w:t>ment</w:t>
            </w:r>
          </w:p>
        </w:tc>
        <w:tc>
          <w:tcPr>
            <w:tcW w:w="5850" w:type="dxa"/>
            <w:tcBorders>
              <w:top w:val="single" w:sz="4" w:space="0" w:color="auto"/>
              <w:left w:val="single" w:sz="4" w:space="0" w:color="auto"/>
              <w:bottom w:val="single" w:sz="4" w:space="0" w:color="auto"/>
              <w:right w:val="single" w:sz="4" w:space="0" w:color="auto"/>
            </w:tcBorders>
          </w:tcPr>
          <w:p w:rsidR="00DE4D49" w:rsidRPr="00EF6AAB" w:rsidRDefault="00F863AD" w:rsidP="00F863AD">
            <w:r w:rsidRPr="00EF6AAB">
              <w:t>Partial Risk Guarantee</w:t>
            </w:r>
          </w:p>
        </w:tc>
      </w:tr>
      <w:tr w:rsidR="00D84FCA" w:rsidRPr="00EF6AAB" w:rsidTr="00BB1BF3">
        <w:tc>
          <w:tcPr>
            <w:tcW w:w="3690" w:type="dxa"/>
            <w:tcBorders>
              <w:top w:val="single" w:sz="4" w:space="0" w:color="auto"/>
              <w:left w:val="single" w:sz="4" w:space="0" w:color="auto"/>
              <w:bottom w:val="single" w:sz="4" w:space="0" w:color="auto"/>
              <w:right w:val="single" w:sz="4" w:space="0" w:color="auto"/>
            </w:tcBorders>
          </w:tcPr>
          <w:p w:rsidR="00D84FCA" w:rsidRPr="00EF6AAB" w:rsidRDefault="00D84FCA">
            <w:pPr>
              <w:rPr>
                <w:b/>
                <w:bCs/>
              </w:rPr>
            </w:pPr>
            <w:r w:rsidRPr="00EF6AAB">
              <w:rPr>
                <w:b/>
                <w:bCs/>
              </w:rPr>
              <w:t>Project ID</w:t>
            </w:r>
          </w:p>
        </w:tc>
        <w:tc>
          <w:tcPr>
            <w:tcW w:w="5850" w:type="dxa"/>
            <w:tcBorders>
              <w:top w:val="single" w:sz="4" w:space="0" w:color="auto"/>
              <w:left w:val="single" w:sz="4" w:space="0" w:color="auto"/>
              <w:bottom w:val="single" w:sz="4" w:space="0" w:color="auto"/>
              <w:right w:val="single" w:sz="4" w:space="0" w:color="auto"/>
            </w:tcBorders>
          </w:tcPr>
          <w:p w:rsidR="00D84FCA" w:rsidRPr="00EF6AAB" w:rsidRDefault="003E4CCE" w:rsidP="00D32794">
            <w:bookmarkStart w:id="4" w:name="PROJECTCODE"/>
            <w:bookmarkEnd w:id="4"/>
            <w:r w:rsidRPr="00C75557">
              <w:t xml:space="preserve">P145657 </w:t>
            </w:r>
          </w:p>
        </w:tc>
      </w:tr>
      <w:tr w:rsidR="002B7383" w:rsidRPr="00EF6AAB" w:rsidTr="009308BE">
        <w:tblPrEx>
          <w:tblBorders>
            <w:insideH w:val="single" w:sz="4" w:space="0" w:color="auto"/>
            <w:insideV w:val="single" w:sz="4" w:space="0" w:color="auto"/>
          </w:tblBorders>
        </w:tblPrEx>
        <w:tc>
          <w:tcPr>
            <w:tcW w:w="3690" w:type="dxa"/>
          </w:tcPr>
          <w:p w:rsidR="002B7383" w:rsidRPr="00EF6AAB" w:rsidRDefault="002B7383" w:rsidP="009308BE">
            <w:pPr>
              <w:rPr>
                <w:b/>
                <w:bCs/>
              </w:rPr>
            </w:pPr>
            <w:r w:rsidRPr="00EF6AAB">
              <w:rPr>
                <w:b/>
                <w:bCs/>
              </w:rPr>
              <w:t>Parent Project ID</w:t>
            </w:r>
          </w:p>
        </w:tc>
        <w:tc>
          <w:tcPr>
            <w:tcW w:w="5850" w:type="dxa"/>
          </w:tcPr>
          <w:p w:rsidR="002B7383" w:rsidRPr="00EF6AAB" w:rsidRDefault="00F863AD" w:rsidP="00F863AD">
            <w:r w:rsidRPr="00EF6AAB">
              <w:t>N/A</w:t>
            </w:r>
          </w:p>
        </w:tc>
      </w:tr>
      <w:tr w:rsidR="00D84FCA" w:rsidRPr="00EF6AAB" w:rsidTr="00BB1BF3">
        <w:tc>
          <w:tcPr>
            <w:tcW w:w="3690" w:type="dxa"/>
            <w:tcBorders>
              <w:top w:val="single" w:sz="4" w:space="0" w:color="auto"/>
              <w:left w:val="single" w:sz="4" w:space="0" w:color="auto"/>
              <w:bottom w:val="single" w:sz="4" w:space="0" w:color="auto"/>
              <w:right w:val="single" w:sz="4" w:space="0" w:color="auto"/>
            </w:tcBorders>
          </w:tcPr>
          <w:p w:rsidR="00D84FCA" w:rsidRPr="00EF6AAB" w:rsidRDefault="00D84FCA">
            <w:pPr>
              <w:rPr>
                <w:b/>
                <w:bCs/>
              </w:rPr>
            </w:pPr>
            <w:r w:rsidRPr="00EF6AAB">
              <w:rPr>
                <w:b/>
                <w:bCs/>
              </w:rPr>
              <w:t>Borrower(s)</w:t>
            </w:r>
          </w:p>
        </w:tc>
        <w:tc>
          <w:tcPr>
            <w:tcW w:w="5850" w:type="dxa"/>
            <w:tcBorders>
              <w:top w:val="single" w:sz="4" w:space="0" w:color="auto"/>
              <w:left w:val="single" w:sz="4" w:space="0" w:color="auto"/>
              <w:bottom w:val="single" w:sz="4" w:space="0" w:color="auto"/>
              <w:right w:val="single" w:sz="4" w:space="0" w:color="auto"/>
            </w:tcBorders>
          </w:tcPr>
          <w:p w:rsidR="00D84FCA" w:rsidRPr="00EF6AAB" w:rsidRDefault="003E4CCE" w:rsidP="00A3270C">
            <w:bookmarkStart w:id="5" w:name="BORROWERNAME"/>
            <w:bookmarkEnd w:id="5"/>
            <w:r>
              <w:t>Republic of Senegal</w:t>
            </w:r>
            <w:bookmarkStart w:id="6" w:name="_GoBack"/>
            <w:bookmarkEnd w:id="6"/>
          </w:p>
        </w:tc>
      </w:tr>
      <w:tr w:rsidR="00D84FCA" w:rsidRPr="00EF6AAB" w:rsidTr="00BB1BF3">
        <w:trPr>
          <w:trHeight w:val="140"/>
        </w:trPr>
        <w:tc>
          <w:tcPr>
            <w:tcW w:w="3690" w:type="dxa"/>
            <w:tcBorders>
              <w:top w:val="single" w:sz="4" w:space="0" w:color="auto"/>
              <w:left w:val="single" w:sz="4" w:space="0" w:color="auto"/>
              <w:bottom w:val="nil"/>
              <w:right w:val="single" w:sz="4" w:space="0" w:color="auto"/>
            </w:tcBorders>
          </w:tcPr>
          <w:p w:rsidR="00D84FCA" w:rsidRPr="00EF6AAB" w:rsidRDefault="00F863AD">
            <w:pPr>
              <w:rPr>
                <w:b/>
                <w:bCs/>
              </w:rPr>
            </w:pPr>
            <w:r w:rsidRPr="00EF6AAB">
              <w:rPr>
                <w:b/>
                <w:bCs/>
              </w:rPr>
              <w:t>Guarantor</w:t>
            </w:r>
          </w:p>
        </w:tc>
        <w:tc>
          <w:tcPr>
            <w:tcW w:w="5850" w:type="dxa"/>
            <w:tcBorders>
              <w:top w:val="single" w:sz="4" w:space="0" w:color="auto"/>
              <w:left w:val="single" w:sz="4" w:space="0" w:color="auto"/>
              <w:bottom w:val="nil"/>
              <w:right w:val="single" w:sz="4" w:space="0" w:color="auto"/>
            </w:tcBorders>
          </w:tcPr>
          <w:p w:rsidR="00D84FCA" w:rsidRPr="00EF6AAB" w:rsidRDefault="00F863AD" w:rsidP="00F863AD">
            <w:bookmarkStart w:id="7" w:name="IMPLEMENTINGAGENCY"/>
            <w:bookmarkEnd w:id="7"/>
            <w:r w:rsidRPr="00EF6AAB">
              <w:rPr>
                <w:bCs/>
              </w:rPr>
              <w:t>IDA</w:t>
            </w:r>
            <w:r w:rsidR="00B337D7">
              <w:rPr>
                <w:bCs/>
              </w:rPr>
              <w:t>/MIGA</w:t>
            </w:r>
          </w:p>
        </w:tc>
      </w:tr>
      <w:tr w:rsidR="00F863AD" w:rsidRPr="00EF6AAB" w:rsidTr="00BB1BF3">
        <w:trPr>
          <w:trHeight w:val="140"/>
        </w:trPr>
        <w:tc>
          <w:tcPr>
            <w:tcW w:w="3690" w:type="dxa"/>
            <w:tcBorders>
              <w:top w:val="single" w:sz="4" w:space="0" w:color="auto"/>
              <w:left w:val="single" w:sz="4" w:space="0" w:color="auto"/>
              <w:bottom w:val="nil"/>
              <w:right w:val="single" w:sz="4" w:space="0" w:color="auto"/>
            </w:tcBorders>
          </w:tcPr>
          <w:p w:rsidR="00F863AD" w:rsidRPr="00EF6AAB" w:rsidRDefault="00F863AD" w:rsidP="00F863AD">
            <w:pPr>
              <w:rPr>
                <w:b/>
                <w:bCs/>
              </w:rPr>
            </w:pPr>
            <w:r w:rsidRPr="00EF6AAB">
              <w:rPr>
                <w:b/>
                <w:bCs/>
              </w:rPr>
              <w:t>Project Sponsor</w:t>
            </w:r>
          </w:p>
        </w:tc>
        <w:tc>
          <w:tcPr>
            <w:tcW w:w="5850" w:type="dxa"/>
            <w:tcBorders>
              <w:top w:val="single" w:sz="4" w:space="0" w:color="auto"/>
              <w:left w:val="single" w:sz="4" w:space="0" w:color="auto"/>
              <w:bottom w:val="nil"/>
              <w:right w:val="single" w:sz="4" w:space="0" w:color="auto"/>
            </w:tcBorders>
          </w:tcPr>
          <w:p w:rsidR="00F863AD" w:rsidRPr="00B337D7" w:rsidRDefault="00B337D7" w:rsidP="00B337D7">
            <w:r>
              <w:t>Band</w:t>
            </w:r>
            <w:r w:rsidR="00D5275D">
              <w:t>a Gas Joint Venture Partners,</w:t>
            </w:r>
            <w:r>
              <w:t xml:space="preserve"> SPEG</w:t>
            </w:r>
            <w:r w:rsidR="00D5275D">
              <w:t xml:space="preserve"> and SOMELEC</w:t>
            </w:r>
          </w:p>
        </w:tc>
      </w:tr>
      <w:tr w:rsidR="00F863AD" w:rsidRPr="00EF6AAB" w:rsidTr="00223651">
        <w:trPr>
          <w:trHeight w:val="140"/>
        </w:trPr>
        <w:tc>
          <w:tcPr>
            <w:tcW w:w="3690" w:type="dxa"/>
            <w:tcBorders>
              <w:top w:val="single" w:sz="4" w:space="0" w:color="auto"/>
              <w:left w:val="single" w:sz="4" w:space="0" w:color="auto"/>
              <w:bottom w:val="nil"/>
              <w:right w:val="single" w:sz="4" w:space="0" w:color="auto"/>
            </w:tcBorders>
          </w:tcPr>
          <w:p w:rsidR="00F863AD" w:rsidRPr="00EF6AAB" w:rsidRDefault="00F863AD">
            <w:pPr>
              <w:rPr>
                <w:b/>
                <w:bCs/>
                <w:lang w:val="fr-FR"/>
              </w:rPr>
            </w:pPr>
            <w:r w:rsidRPr="00EF6AAB">
              <w:rPr>
                <w:b/>
                <w:bCs/>
              </w:rPr>
              <w:t>Beneficiaries of the PRG </w:t>
            </w:r>
          </w:p>
        </w:tc>
        <w:tc>
          <w:tcPr>
            <w:tcW w:w="5850" w:type="dxa"/>
            <w:tcBorders>
              <w:top w:val="single" w:sz="4" w:space="0" w:color="auto"/>
              <w:left w:val="single" w:sz="4" w:space="0" w:color="auto"/>
              <w:bottom w:val="nil"/>
              <w:right w:val="single" w:sz="4" w:space="0" w:color="auto"/>
            </w:tcBorders>
            <w:shd w:val="clear" w:color="auto" w:fill="auto"/>
          </w:tcPr>
          <w:p w:rsidR="00F863AD" w:rsidRPr="00B337D7" w:rsidRDefault="00B337D7" w:rsidP="00B337D7">
            <w:r>
              <w:t>Banda Gas</w:t>
            </w:r>
            <w:r w:rsidR="00D5275D">
              <w:t xml:space="preserve"> Joint Venture Partners and SOMELEC</w:t>
            </w:r>
            <w:r>
              <w:t xml:space="preserve">  </w:t>
            </w:r>
          </w:p>
        </w:tc>
      </w:tr>
      <w:tr w:rsidR="00D84FCA" w:rsidRPr="00EF6AAB" w:rsidTr="00BB1BF3">
        <w:trPr>
          <w:trHeight w:val="285"/>
        </w:trPr>
        <w:tc>
          <w:tcPr>
            <w:tcW w:w="3690" w:type="dxa"/>
            <w:tcBorders>
              <w:top w:val="single" w:sz="4" w:space="0" w:color="auto"/>
              <w:left w:val="single" w:sz="4" w:space="0" w:color="auto"/>
              <w:bottom w:val="single" w:sz="4" w:space="0" w:color="auto"/>
              <w:right w:val="single" w:sz="4" w:space="0" w:color="auto"/>
            </w:tcBorders>
          </w:tcPr>
          <w:p w:rsidR="00D84FCA" w:rsidRPr="00EF6AAB" w:rsidRDefault="00D84FCA" w:rsidP="00ED496E">
            <w:pPr>
              <w:rPr>
                <w:b/>
                <w:bCs/>
              </w:rPr>
            </w:pPr>
            <w:r w:rsidRPr="00EF6AAB">
              <w:rPr>
                <w:b/>
                <w:bCs/>
              </w:rPr>
              <w:t>Environmental Screening Category</w:t>
            </w:r>
          </w:p>
        </w:tc>
        <w:tc>
          <w:tcPr>
            <w:tcW w:w="5850" w:type="dxa"/>
            <w:tcBorders>
              <w:top w:val="single" w:sz="4" w:space="0" w:color="auto"/>
              <w:left w:val="single" w:sz="4" w:space="0" w:color="auto"/>
              <w:bottom w:val="single" w:sz="4" w:space="0" w:color="auto"/>
              <w:right w:val="single" w:sz="4" w:space="0" w:color="auto"/>
            </w:tcBorders>
          </w:tcPr>
          <w:p w:rsidR="00D84FCA" w:rsidRPr="00EF6AAB" w:rsidRDefault="00BB1BF3" w:rsidP="00EF6AAB">
            <w:r w:rsidRPr="00EF6AAB">
              <w:t>{</w:t>
            </w:r>
            <w:r w:rsidR="00EF6AAB">
              <w:t>X</w:t>
            </w:r>
            <w:r w:rsidRPr="00EF6AAB">
              <w:t>}</w:t>
            </w:r>
            <w:r w:rsidR="00D84FCA" w:rsidRPr="00EF6AAB">
              <w:t xml:space="preserve">A   </w:t>
            </w:r>
            <w:r w:rsidRPr="00EF6AAB">
              <w:t>{</w:t>
            </w:r>
            <w:bookmarkStart w:id="8" w:name="ENVCAT_B"/>
            <w:r w:rsidR="00D84FCA" w:rsidRPr="00EF6AAB">
              <w:t xml:space="preserve"> </w:t>
            </w:r>
            <w:bookmarkEnd w:id="8"/>
            <w:r w:rsidR="00D84FCA" w:rsidRPr="00EF6AAB">
              <w:t xml:space="preserve"> </w:t>
            </w:r>
            <w:r w:rsidRPr="00EF6AAB">
              <w:t>}</w:t>
            </w:r>
            <w:r w:rsidR="00D84FCA" w:rsidRPr="00EF6AAB">
              <w:t xml:space="preserve">B   </w:t>
            </w:r>
            <w:r w:rsidRPr="00EF6AAB">
              <w:t>{</w:t>
            </w:r>
            <w:bookmarkStart w:id="9" w:name="ENVCAT_C"/>
            <w:r w:rsidR="00D84FCA" w:rsidRPr="00EF6AAB">
              <w:t xml:space="preserve"> </w:t>
            </w:r>
            <w:bookmarkEnd w:id="9"/>
            <w:r w:rsidR="00D84FCA" w:rsidRPr="00EF6AAB">
              <w:t xml:space="preserve"> </w:t>
            </w:r>
            <w:r w:rsidRPr="00EF6AAB">
              <w:t>}</w:t>
            </w:r>
            <w:r w:rsidR="00D84FCA" w:rsidRPr="00EF6AAB">
              <w:t xml:space="preserve">C   </w:t>
            </w:r>
            <w:r w:rsidRPr="00EF6AAB">
              <w:t>{</w:t>
            </w:r>
            <w:bookmarkStart w:id="10" w:name="ENVCAT_FI"/>
            <w:r w:rsidR="00D84FCA" w:rsidRPr="00EF6AAB">
              <w:t xml:space="preserve"> </w:t>
            </w:r>
            <w:bookmarkEnd w:id="10"/>
            <w:r w:rsidR="00D84FCA" w:rsidRPr="00EF6AAB">
              <w:t xml:space="preserve"> </w:t>
            </w:r>
            <w:r w:rsidRPr="00EF6AAB">
              <w:t>}</w:t>
            </w:r>
            <w:r w:rsidR="00D84FCA" w:rsidRPr="00EF6AAB">
              <w:t>FI</w:t>
            </w:r>
          </w:p>
        </w:tc>
      </w:tr>
      <w:tr w:rsidR="00D84FCA" w:rsidRPr="00EF6AAB" w:rsidTr="00BB1BF3">
        <w:tc>
          <w:tcPr>
            <w:tcW w:w="3690" w:type="dxa"/>
            <w:tcBorders>
              <w:top w:val="single" w:sz="4" w:space="0" w:color="auto"/>
              <w:left w:val="single" w:sz="4" w:space="0" w:color="auto"/>
              <w:bottom w:val="single" w:sz="4" w:space="0" w:color="auto"/>
              <w:right w:val="single" w:sz="4" w:space="0" w:color="auto"/>
            </w:tcBorders>
          </w:tcPr>
          <w:p w:rsidR="00D84FCA" w:rsidRPr="00EF6AAB" w:rsidRDefault="00D84FCA">
            <w:pPr>
              <w:rPr>
                <w:b/>
                <w:bCs/>
              </w:rPr>
            </w:pPr>
            <w:r w:rsidRPr="00EF6AAB">
              <w:rPr>
                <w:b/>
                <w:bCs/>
              </w:rPr>
              <w:t>Date PID Prepared</w:t>
            </w:r>
          </w:p>
        </w:tc>
        <w:tc>
          <w:tcPr>
            <w:tcW w:w="5850" w:type="dxa"/>
            <w:tcBorders>
              <w:top w:val="single" w:sz="4" w:space="0" w:color="auto"/>
              <w:left w:val="single" w:sz="4" w:space="0" w:color="auto"/>
              <w:bottom w:val="single" w:sz="4" w:space="0" w:color="auto"/>
              <w:right w:val="single" w:sz="4" w:space="0" w:color="auto"/>
            </w:tcBorders>
          </w:tcPr>
          <w:p w:rsidR="00D84FCA" w:rsidRPr="00EF6AAB" w:rsidRDefault="00EC6DB9" w:rsidP="00D76FA2">
            <w:bookmarkStart w:id="11" w:name="DATEPREPARED"/>
            <w:bookmarkEnd w:id="11"/>
            <w:r>
              <w:t xml:space="preserve">April </w:t>
            </w:r>
            <w:r w:rsidR="00557DB9">
              <w:t>22</w:t>
            </w:r>
            <w:r w:rsidR="00BC3D2E">
              <w:t>, 2014</w:t>
            </w:r>
          </w:p>
        </w:tc>
      </w:tr>
      <w:tr w:rsidR="00772D88" w:rsidRPr="00EF6AAB" w:rsidTr="00BB1BF3">
        <w:tc>
          <w:tcPr>
            <w:tcW w:w="3690" w:type="dxa"/>
            <w:tcBorders>
              <w:top w:val="single" w:sz="4" w:space="0" w:color="auto"/>
              <w:left w:val="single" w:sz="4" w:space="0" w:color="auto"/>
              <w:bottom w:val="single" w:sz="4" w:space="0" w:color="auto"/>
              <w:right w:val="single" w:sz="4" w:space="0" w:color="auto"/>
            </w:tcBorders>
          </w:tcPr>
          <w:p w:rsidR="00772D88" w:rsidRPr="00EF6AAB" w:rsidRDefault="00D77A5D" w:rsidP="00772D88">
            <w:pPr>
              <w:rPr>
                <w:b/>
                <w:bCs/>
              </w:rPr>
            </w:pPr>
            <w:r w:rsidRPr="00EF6AAB">
              <w:rPr>
                <w:b/>
                <w:bCs/>
              </w:rPr>
              <w:t xml:space="preserve">Estimated </w:t>
            </w:r>
            <w:r w:rsidR="00772D88" w:rsidRPr="00EF6AAB">
              <w:rPr>
                <w:b/>
                <w:bCs/>
              </w:rPr>
              <w:t>Date of Appraisal Completion</w:t>
            </w:r>
          </w:p>
        </w:tc>
        <w:tc>
          <w:tcPr>
            <w:tcW w:w="5850" w:type="dxa"/>
            <w:tcBorders>
              <w:top w:val="single" w:sz="4" w:space="0" w:color="auto"/>
              <w:left w:val="single" w:sz="4" w:space="0" w:color="auto"/>
              <w:bottom w:val="single" w:sz="4" w:space="0" w:color="auto"/>
              <w:right w:val="single" w:sz="4" w:space="0" w:color="auto"/>
            </w:tcBorders>
          </w:tcPr>
          <w:p w:rsidR="00772D88" w:rsidRPr="00EF6AAB" w:rsidRDefault="00772D88" w:rsidP="006423CF"/>
        </w:tc>
      </w:tr>
      <w:tr w:rsidR="00772D88" w:rsidRPr="00EF6AAB" w:rsidTr="00BB1BF3">
        <w:tc>
          <w:tcPr>
            <w:tcW w:w="3690" w:type="dxa"/>
            <w:tcBorders>
              <w:top w:val="single" w:sz="4" w:space="0" w:color="auto"/>
              <w:left w:val="single" w:sz="4" w:space="0" w:color="auto"/>
              <w:bottom w:val="single" w:sz="4" w:space="0" w:color="auto"/>
              <w:right w:val="single" w:sz="4" w:space="0" w:color="auto"/>
            </w:tcBorders>
          </w:tcPr>
          <w:p w:rsidR="00772D88" w:rsidRPr="00EF6AAB" w:rsidRDefault="00D77A5D">
            <w:pPr>
              <w:rPr>
                <w:b/>
                <w:bCs/>
              </w:rPr>
            </w:pPr>
            <w:r w:rsidRPr="00EF6AAB">
              <w:rPr>
                <w:b/>
                <w:bCs/>
              </w:rPr>
              <w:t xml:space="preserve">Estimated </w:t>
            </w:r>
            <w:r w:rsidR="00772D88" w:rsidRPr="00EF6AAB">
              <w:rPr>
                <w:b/>
                <w:bCs/>
              </w:rPr>
              <w:t>Date of Board Approval</w:t>
            </w:r>
          </w:p>
        </w:tc>
        <w:tc>
          <w:tcPr>
            <w:tcW w:w="5850" w:type="dxa"/>
            <w:tcBorders>
              <w:top w:val="single" w:sz="4" w:space="0" w:color="auto"/>
              <w:left w:val="single" w:sz="4" w:space="0" w:color="auto"/>
              <w:bottom w:val="single" w:sz="4" w:space="0" w:color="auto"/>
              <w:right w:val="single" w:sz="4" w:space="0" w:color="auto"/>
            </w:tcBorders>
          </w:tcPr>
          <w:p w:rsidR="00772D88" w:rsidRPr="00EF6AAB" w:rsidRDefault="00BD42B8" w:rsidP="006423CF">
            <w:bookmarkStart w:id="12" w:name="BOARDAPPROVALDATE"/>
            <w:bookmarkEnd w:id="12"/>
            <w:r w:rsidRPr="00BD42B8">
              <w:t>May</w:t>
            </w:r>
            <w:r w:rsidR="00865424" w:rsidRPr="00BD42B8">
              <w:t xml:space="preserve"> 2</w:t>
            </w:r>
            <w:r w:rsidR="00D5275D">
              <w:t>2</w:t>
            </w:r>
            <w:r w:rsidR="003E4CCE" w:rsidRPr="00BD42B8">
              <w:t>, 2014</w:t>
            </w:r>
            <w:r w:rsidR="003E4CCE">
              <w:t xml:space="preserve"> </w:t>
            </w:r>
          </w:p>
        </w:tc>
      </w:tr>
      <w:tr w:rsidR="00772D88" w:rsidRPr="00EF6AAB" w:rsidTr="00BB1BF3">
        <w:tc>
          <w:tcPr>
            <w:tcW w:w="3690" w:type="dxa"/>
            <w:tcBorders>
              <w:top w:val="single" w:sz="4" w:space="0" w:color="auto"/>
              <w:left w:val="single" w:sz="4" w:space="0" w:color="auto"/>
              <w:bottom w:val="single" w:sz="4" w:space="0" w:color="auto"/>
              <w:right w:val="single" w:sz="4" w:space="0" w:color="auto"/>
            </w:tcBorders>
          </w:tcPr>
          <w:p w:rsidR="00772D88" w:rsidRPr="00EF6AAB" w:rsidRDefault="00225112" w:rsidP="00772D88">
            <w:pPr>
              <w:rPr>
                <w:b/>
                <w:bCs/>
              </w:rPr>
            </w:pPr>
            <w:r w:rsidRPr="00EF6AAB">
              <w:rPr>
                <w:b/>
                <w:bCs/>
              </w:rPr>
              <w:t>Decision</w:t>
            </w:r>
          </w:p>
        </w:tc>
        <w:tc>
          <w:tcPr>
            <w:tcW w:w="5850" w:type="dxa"/>
            <w:tcBorders>
              <w:top w:val="single" w:sz="4" w:space="0" w:color="auto"/>
              <w:left w:val="single" w:sz="4" w:space="0" w:color="auto"/>
              <w:bottom w:val="single" w:sz="4" w:space="0" w:color="auto"/>
              <w:right w:val="single" w:sz="4" w:space="0" w:color="auto"/>
            </w:tcBorders>
          </w:tcPr>
          <w:p w:rsidR="00772D88" w:rsidRPr="00EF6AAB" w:rsidRDefault="00772D88" w:rsidP="0083370D">
            <w:pPr>
              <w:rPr>
                <w:i/>
                <w:u w:val="single"/>
              </w:rPr>
            </w:pPr>
          </w:p>
        </w:tc>
      </w:tr>
    </w:tbl>
    <w:p w:rsidR="00FD3A2E" w:rsidRPr="00EF6AAB" w:rsidRDefault="00FD3A2E"/>
    <w:p w:rsidR="00A706FA" w:rsidRPr="00D84FCA" w:rsidRDefault="0076098F" w:rsidP="00D84FCA">
      <w:pPr>
        <w:numPr>
          <w:ilvl w:val="0"/>
          <w:numId w:val="7"/>
        </w:numPr>
        <w:tabs>
          <w:tab w:val="clear" w:pos="360"/>
        </w:tabs>
        <w:rPr>
          <w:b/>
        </w:rPr>
      </w:pPr>
      <w:bookmarkStart w:id="13" w:name="CountrySectorBackground"/>
      <w:r w:rsidRPr="00D84FCA">
        <w:rPr>
          <w:b/>
        </w:rPr>
        <w:t xml:space="preserve">Country </w:t>
      </w:r>
      <w:r w:rsidR="006A375B" w:rsidRPr="00D84FCA">
        <w:rPr>
          <w:b/>
        </w:rPr>
        <w:t>Context</w:t>
      </w:r>
    </w:p>
    <w:p w:rsidR="00BF6F45" w:rsidRDefault="00BF6F45" w:rsidP="00BF6F45"/>
    <w:p w:rsidR="00BC3D2E" w:rsidRPr="00BC3D2E" w:rsidRDefault="00232915" w:rsidP="00BC3D2E">
      <w:pPr>
        <w:numPr>
          <w:ilvl w:val="0"/>
          <w:numId w:val="8"/>
        </w:numPr>
        <w:tabs>
          <w:tab w:val="clear" w:pos="450"/>
          <w:tab w:val="num" w:pos="540"/>
          <w:tab w:val="left" w:pos="720"/>
          <w:tab w:val="num" w:pos="810"/>
        </w:tabs>
        <w:spacing w:after="240"/>
        <w:jc w:val="both"/>
      </w:pPr>
      <w:r w:rsidRPr="00BC3D2E">
        <w:t xml:space="preserve">While Senegal </w:t>
      </w:r>
      <w:r w:rsidR="00BC3D2E" w:rsidRPr="00BC3D2E">
        <w:t xml:space="preserve">and Mali have respective population of 13.7 million and 14.8 million, Mauritania is less populated with 3.8 million people only. In terms of GDP per capita, Mauritania and Senegal are close first with US$1,106 and US$1,032 per capita respectively, while Mali is at a significantly lower level of US$694 per capita (2012 figures).  </w:t>
      </w:r>
    </w:p>
    <w:p w:rsidR="00BC3D2E" w:rsidRPr="00BC3D2E" w:rsidRDefault="00BC3D2E" w:rsidP="00BC3D2E">
      <w:pPr>
        <w:numPr>
          <w:ilvl w:val="0"/>
          <w:numId w:val="8"/>
        </w:numPr>
        <w:tabs>
          <w:tab w:val="clear" w:pos="450"/>
          <w:tab w:val="num" w:pos="540"/>
          <w:tab w:val="left" w:pos="720"/>
          <w:tab w:val="num" w:pos="810"/>
        </w:tabs>
        <w:spacing w:after="240"/>
        <w:jc w:val="both"/>
      </w:pPr>
      <w:r w:rsidRPr="00BC3D2E">
        <w:t>Mauritania’s economy is sharply divided between traditional sectors and a</w:t>
      </w:r>
      <w:r w:rsidRPr="00BC3D2E">
        <w:rPr>
          <w:color w:val="000000"/>
        </w:rPr>
        <w:t xml:space="preserve"> modern extractive industry.</w:t>
      </w:r>
      <w:r w:rsidRPr="00BC3D2E">
        <w:t xml:space="preserve"> Crops and livestock provide for the livelihood of about half of the population. Poor infrastructure and low access to energy hinders efficiency and in times of drought, food production levels can drop dangerously low.  Export revenue from fishing licenses and fish processing rank second after iron (44% of total exports). But competitiveness of the port based processing facilities is hampered by poor services, and the high cost of electrical power for processing and cold storage.  This is particularly true for fishing grounds along the Senegal River.  Extractive industries are by far the largest contributor to Mauritania’s economy.  The country is endowed with abundant mineral deposits of iron, copper, gold, gypsum and salt (resources also include cobalt, diamond, phosphate rock, sulfur and uranium).  Since 2006, Mauritania has been a small oil producer. </w:t>
      </w:r>
    </w:p>
    <w:p w:rsidR="00BC3D2E" w:rsidRPr="00BC3D2E" w:rsidRDefault="00BC3D2E" w:rsidP="00BC3D2E">
      <w:pPr>
        <w:numPr>
          <w:ilvl w:val="0"/>
          <w:numId w:val="8"/>
        </w:numPr>
        <w:tabs>
          <w:tab w:val="clear" w:pos="450"/>
          <w:tab w:val="num" w:pos="540"/>
          <w:tab w:val="left" w:pos="720"/>
          <w:tab w:val="num" w:pos="810"/>
        </w:tabs>
        <w:spacing w:after="240"/>
        <w:jc w:val="both"/>
      </w:pPr>
      <w:r w:rsidRPr="00BC3D2E">
        <w:t xml:space="preserve">Mauritania’s GDP growth is strongly correlated to mining revenues.  Real GDP registered a 5.1% growth in 2010 and 4% in 2011; the latest figures estimate a GDP growth over 6% in </w:t>
      </w:r>
      <w:r w:rsidRPr="00BC3D2E">
        <w:lastRenderedPageBreak/>
        <w:t xml:space="preserve">2012, and a further acceleration in 2013 up to 7%. The improvements of the macro-economic situation are in large part attributable to higher iron ore sales by the national iron ore company, </w:t>
      </w:r>
      <w:r w:rsidRPr="00BC3D2E">
        <w:rPr>
          <w:i/>
        </w:rPr>
        <w:t>Société Nationale Industrielle et Minière</w:t>
      </w:r>
      <w:r w:rsidRPr="00BC3D2E">
        <w:t xml:space="preserve"> (SNIM), to large foreign investments in the mining industry (both for iron and gold), and to increased fish exports.  The mining sector’s contribution to the country’s economy has been steadily increasing over the past 10 years, and so has energy consumption. In order to diversify the economy, Mauritania needs to increase its energy supply and reliability, and lower its cost. </w:t>
      </w:r>
    </w:p>
    <w:p w:rsidR="00BC3D2E" w:rsidRPr="00BC3D2E" w:rsidRDefault="00BC3D2E" w:rsidP="00BC3D2E">
      <w:pPr>
        <w:numPr>
          <w:ilvl w:val="0"/>
          <w:numId w:val="8"/>
        </w:numPr>
        <w:tabs>
          <w:tab w:val="clear" w:pos="450"/>
          <w:tab w:val="num" w:pos="540"/>
          <w:tab w:val="left" w:pos="720"/>
          <w:tab w:val="num" w:pos="810"/>
        </w:tabs>
        <w:spacing w:after="240"/>
        <w:jc w:val="both"/>
      </w:pPr>
      <w:r w:rsidRPr="00BC3D2E">
        <w:t>About 42% of the population lives in urban areas in Mauritania.  The two major cities Nouakchott and Nouadhibou account for about 800,000 people and 100,000 people respectively.  About 46.7% of the people were estimated to live below the poverty line in 2004.  By 2008 this percentage decreased to about 42%.</w:t>
      </w:r>
    </w:p>
    <w:p w:rsidR="00BC3D2E" w:rsidRPr="00BC3D2E" w:rsidRDefault="00BC3D2E" w:rsidP="00BC3D2E">
      <w:pPr>
        <w:numPr>
          <w:ilvl w:val="0"/>
          <w:numId w:val="8"/>
        </w:numPr>
        <w:tabs>
          <w:tab w:val="clear" w:pos="450"/>
          <w:tab w:val="num" w:pos="540"/>
          <w:tab w:val="left" w:pos="720"/>
          <w:tab w:val="num" w:pos="810"/>
        </w:tabs>
        <w:spacing w:after="240"/>
        <w:jc w:val="both"/>
      </w:pPr>
      <w:r w:rsidRPr="00BC3D2E">
        <w:t>Senegal’s economy is dominated by a few strategic sectors, including groundnuts, fisheries and services.  The role of the agricultural sector, and especially of groundnuts, has declined over time, as Senegal’s position bordering the Sahel has led to frequent droughts.  High rural poverty and limited access to rural infrastructure and basic services have fuelled migration to urban areas.</w:t>
      </w:r>
    </w:p>
    <w:p w:rsidR="00BC3D2E" w:rsidRPr="00BC3D2E" w:rsidRDefault="00BC3D2E" w:rsidP="00BC3D2E">
      <w:pPr>
        <w:numPr>
          <w:ilvl w:val="0"/>
          <w:numId w:val="8"/>
        </w:numPr>
        <w:tabs>
          <w:tab w:val="clear" w:pos="450"/>
          <w:tab w:val="num" w:pos="540"/>
          <w:tab w:val="left" w:pos="720"/>
          <w:tab w:val="num" w:pos="810"/>
        </w:tabs>
        <w:spacing w:after="240"/>
        <w:jc w:val="both"/>
      </w:pPr>
      <w:r w:rsidRPr="00BC3D2E">
        <w:t>After a slowdown due to lack of electricity supply and the poor performance of the services sector, Senegal’s economic growth rebounded in 2012 to an estimated 3.3%, primarily due to a recovery in agricultural output.  Growth should continue to accelerate, driven by government investment in agriculture and infrastructure.  Industrial production should also rise as power reliability improves and cement and phosphates output continues to recover.  Services growth will be led by banking and telecommunications, as well as by the expanded air and sea logistics capacity of the capital, Dakar, all helping to improve net exports.  Private consumption, restrained by higher consumer prices in 2012, will pick up, contributing to an acceleration of real GDP growth from an estimated 3.3% in 2012 to 5% in 2017.</w:t>
      </w:r>
      <w:r w:rsidRPr="00BC3D2E">
        <w:rPr>
          <w:sz w:val="20"/>
          <w:szCs w:val="20"/>
        </w:rPr>
        <w:t xml:space="preserve">  </w:t>
      </w:r>
      <w:r w:rsidRPr="00BC3D2E">
        <w:t>Poor physical and human infrastructure and weak institutions continue to weigh on Senegal’s business environment, which is also hindered by one of the highest average electricity generation costs in Africa.</w:t>
      </w:r>
    </w:p>
    <w:p w:rsidR="00BC3D2E" w:rsidRPr="00BC3D2E" w:rsidRDefault="00BC3D2E" w:rsidP="00BC3D2E">
      <w:pPr>
        <w:numPr>
          <w:ilvl w:val="0"/>
          <w:numId w:val="8"/>
        </w:numPr>
        <w:tabs>
          <w:tab w:val="clear" w:pos="450"/>
          <w:tab w:val="num" w:pos="540"/>
          <w:tab w:val="left" w:pos="720"/>
          <w:tab w:val="num" w:pos="810"/>
        </w:tabs>
        <w:spacing w:after="240"/>
        <w:jc w:val="both"/>
      </w:pPr>
      <w:r w:rsidRPr="00BC3D2E">
        <w:t xml:space="preserve">About 43% of the population lives in urban areas in Senegal.  </w:t>
      </w:r>
      <w:r w:rsidRPr="00BC3D2E">
        <w:rPr>
          <w:bCs/>
        </w:rPr>
        <w:t>The capital</w:t>
      </w:r>
      <w:r w:rsidRPr="00BC3D2E">
        <w:t xml:space="preserve"> </w:t>
      </w:r>
      <w:r w:rsidRPr="00BC3D2E">
        <w:rPr>
          <w:bCs/>
        </w:rPr>
        <w:t xml:space="preserve">Dakar accounts for about 1.1 million people. </w:t>
      </w:r>
      <w:r w:rsidRPr="00BC3D2E">
        <w:t xml:space="preserve">About 48.3% of the people were estimated to live below the poverty line in 2005.  By 2011 this percentage decreased to about 46.7%. </w:t>
      </w:r>
    </w:p>
    <w:p w:rsidR="00BC3D2E" w:rsidRPr="00BC3D2E" w:rsidRDefault="00BC3D2E" w:rsidP="00BC3D2E">
      <w:pPr>
        <w:numPr>
          <w:ilvl w:val="0"/>
          <w:numId w:val="8"/>
        </w:numPr>
        <w:tabs>
          <w:tab w:val="clear" w:pos="450"/>
          <w:tab w:val="num" w:pos="540"/>
          <w:tab w:val="left" w:pos="720"/>
          <w:tab w:val="num" w:pos="810"/>
        </w:tabs>
        <w:spacing w:after="240"/>
        <w:jc w:val="both"/>
      </w:pPr>
      <w:r w:rsidRPr="00BC3D2E">
        <w:t xml:space="preserve">Mali is a vast landlocked country with a relatively limited natural resource and human capital base, and a highly dispersed population.  It is located in the heart of Sahel, a region threatened by drought and desertification.  The vast majority of the people are directly dependent on their environment for their livelihoods (herding, farming or fishing).  It is the largest among the Economic Community of West African States (ECOWAS) countries by land area, with a population of approximately 14.8 million. </w:t>
      </w:r>
    </w:p>
    <w:p w:rsidR="00BC3D2E" w:rsidRPr="00BC3D2E" w:rsidRDefault="00BC3D2E" w:rsidP="00BC3D2E">
      <w:pPr>
        <w:numPr>
          <w:ilvl w:val="0"/>
          <w:numId w:val="8"/>
        </w:numPr>
        <w:tabs>
          <w:tab w:val="clear" w:pos="450"/>
          <w:tab w:val="num" w:pos="540"/>
          <w:tab w:val="left" w:pos="720"/>
          <w:tab w:val="num" w:pos="810"/>
        </w:tabs>
        <w:spacing w:after="240"/>
        <w:jc w:val="both"/>
      </w:pPr>
      <w:r w:rsidRPr="00BC3D2E">
        <w:t xml:space="preserve">Mali’s real GDP contracted by an estimated 3% in 2012 because of the political upheaval in the country, which devastated the tourism industry and caused public spending to be slashed.  The vastly improved security situation is expected to encourage a rebound in economic activity, even if tourism and foreign investment are slow to return.  Public spending is expected to recover </w:t>
      </w:r>
      <w:r w:rsidRPr="00BC3D2E">
        <w:lastRenderedPageBreak/>
        <w:t>and other drivers of the economy will improve, given that they are largely located in the secure south.</w:t>
      </w:r>
    </w:p>
    <w:p w:rsidR="00BC3D2E" w:rsidRPr="00BC3D2E" w:rsidRDefault="00BC3D2E" w:rsidP="00BC3D2E">
      <w:pPr>
        <w:numPr>
          <w:ilvl w:val="0"/>
          <w:numId w:val="8"/>
        </w:numPr>
        <w:tabs>
          <w:tab w:val="clear" w:pos="450"/>
          <w:tab w:val="num" w:pos="540"/>
          <w:tab w:val="left" w:pos="720"/>
          <w:tab w:val="num" w:pos="810"/>
        </w:tabs>
        <w:spacing w:after="240"/>
        <w:jc w:val="both"/>
      </w:pPr>
      <w:r w:rsidRPr="00BC3D2E">
        <w:t xml:space="preserve">The IMF’s growth expectations for Mali for 2013 and 2014 are 4.8% and 6.3% respectively, on the assumption that both the security situation and agricultural output will improve.  The agricultural sector (accounting for more than one-third of GDP), which pulled growth down in 2012 due to failed rains in 2011, is expected to improve in 2013 provided there are more favorable weather conditions and the security situation improves.  Construction, one of the main drivers of growth as increased donor funds help the government to step up public infrastructure investment, may also recover with government spending to support growth and recovery. </w:t>
      </w:r>
    </w:p>
    <w:p w:rsidR="00232915" w:rsidRPr="00BC3D2E" w:rsidRDefault="00BC3D2E" w:rsidP="00BC3D2E">
      <w:pPr>
        <w:numPr>
          <w:ilvl w:val="0"/>
          <w:numId w:val="8"/>
        </w:numPr>
        <w:tabs>
          <w:tab w:val="clear" w:pos="450"/>
          <w:tab w:val="num" w:pos="540"/>
          <w:tab w:val="left" w:pos="720"/>
          <w:tab w:val="num" w:pos="810"/>
        </w:tabs>
        <w:spacing w:after="240"/>
        <w:jc w:val="both"/>
      </w:pPr>
      <w:r w:rsidRPr="00BC3D2E">
        <w:t xml:space="preserve">About 36% of the population lives in urban areas in Mali. </w:t>
      </w:r>
      <w:r w:rsidRPr="00BC3D2E">
        <w:rPr>
          <w:bCs/>
        </w:rPr>
        <w:t xml:space="preserve">Bamako is the capital and largest city with 1.9 million people.  </w:t>
      </w:r>
      <w:r w:rsidRPr="00BC3D2E">
        <w:t>About 47.4% of the people were estimated to live below the poverty line in 2006. By 2010 this percentage decreased to about 43.6%.</w:t>
      </w:r>
    </w:p>
    <w:p w:rsidR="006A375B" w:rsidRPr="00D84FCA" w:rsidRDefault="006A375B" w:rsidP="00097E55">
      <w:pPr>
        <w:numPr>
          <w:ilvl w:val="0"/>
          <w:numId w:val="7"/>
        </w:numPr>
        <w:rPr>
          <w:b/>
        </w:rPr>
      </w:pPr>
      <w:r w:rsidRPr="00D84FCA">
        <w:rPr>
          <w:b/>
        </w:rPr>
        <w:t>Sectoral and Institutional Context</w:t>
      </w:r>
    </w:p>
    <w:p w:rsidR="00E3611A" w:rsidRDefault="00E3611A" w:rsidP="00E3611A">
      <w:pPr>
        <w:jc w:val="both"/>
        <w:rPr>
          <w:szCs w:val="20"/>
        </w:rPr>
      </w:pPr>
    </w:p>
    <w:p w:rsidR="00BC3D2E" w:rsidRPr="00BC3D2E" w:rsidRDefault="00BC3D2E" w:rsidP="00BC3D2E">
      <w:pPr>
        <w:numPr>
          <w:ilvl w:val="0"/>
          <w:numId w:val="8"/>
        </w:numPr>
        <w:tabs>
          <w:tab w:val="clear" w:pos="450"/>
          <w:tab w:val="num" w:pos="540"/>
          <w:tab w:val="left" w:pos="720"/>
          <w:tab w:val="num" w:pos="810"/>
        </w:tabs>
        <w:spacing w:after="240"/>
        <w:jc w:val="both"/>
      </w:pPr>
      <w:r w:rsidRPr="00BC3D2E">
        <w:t xml:space="preserve">Mali, Mauritania and Senegal all face daunting energy challenges. Poor infrastructure and low access to energy have constrained GDP growth in all three countries. With a growing population, energy demand is expected to grow requiring additional generation capacity for the region. Mali, Mauritania and Senegal currently rely on hydropower and oil-based power generation to meet their base-load electricity needs. As a result of this generation mix, coupled with high technical and commercial losses, the national power utilities of all three countries have been incurring financial deficits and increasingly relying on government support to cover operating costs and finance required investments. The power grids of the three countries are interconnected and countries trade power through a central dispatching center. </w:t>
      </w:r>
    </w:p>
    <w:p w:rsidR="00232915" w:rsidRDefault="00232915" w:rsidP="00D5275D">
      <w:pPr>
        <w:numPr>
          <w:ilvl w:val="0"/>
          <w:numId w:val="8"/>
        </w:numPr>
        <w:tabs>
          <w:tab w:val="clear" w:pos="450"/>
          <w:tab w:val="num" w:pos="540"/>
          <w:tab w:val="left" w:pos="720"/>
        </w:tabs>
        <w:spacing w:after="240"/>
        <w:jc w:val="both"/>
      </w:pPr>
      <w:r w:rsidRPr="00CC649B">
        <w:t xml:space="preserve">The power </w:t>
      </w:r>
      <w:r w:rsidR="00BC3D2E" w:rsidRPr="00CC649B">
        <w:t>sectors in all three countries suffer to various degrees from similar issues</w:t>
      </w:r>
      <w:r w:rsidR="00BC3D2E">
        <w:t>, including low access rates to electricity, relatively high technical and commercial losses, and high generation costs due to a dependence on oil-based thermal generation capacity. Tariffs are high but still insufficient to cover costs, resulting in reliance on government subsidies</w:t>
      </w:r>
      <w:r w:rsidR="00BC3D2E" w:rsidRPr="00CC649B">
        <w:t xml:space="preserve">. </w:t>
      </w:r>
      <w:r w:rsidR="00BC3D2E">
        <w:t xml:space="preserve"> </w:t>
      </w:r>
    </w:p>
    <w:p w:rsidR="008F2B5A" w:rsidRPr="00BC3D2E" w:rsidRDefault="00BC3D2E" w:rsidP="00BC3D2E">
      <w:pPr>
        <w:numPr>
          <w:ilvl w:val="0"/>
          <w:numId w:val="8"/>
        </w:numPr>
        <w:tabs>
          <w:tab w:val="clear" w:pos="450"/>
          <w:tab w:val="num" w:pos="540"/>
          <w:tab w:val="left" w:pos="720"/>
          <w:tab w:val="num" w:pos="810"/>
        </w:tabs>
        <w:spacing w:after="240"/>
        <w:jc w:val="both"/>
      </w:pPr>
      <w:r w:rsidRPr="00BC3D2E">
        <w:t xml:space="preserve">New gas finds in Mauritania are a potential game changer for the sub-region as they can be used to generate affordable and cleaner power compared to other thermal alternatives.  However, private investors are loath to invest in gas development because of the lack of creditworthy off-takers in the region. The proposed operation consists of a series of credit enhancement mechanisms to mitigate credit risks in support of upstream gas production to provide gas for the generation of electricity for the benefit of all three countries. </w:t>
      </w:r>
    </w:p>
    <w:bookmarkEnd w:id="13"/>
    <w:p w:rsidR="00A706FA" w:rsidRPr="00D84FCA" w:rsidRDefault="00BB0EA7" w:rsidP="00D84FCA">
      <w:pPr>
        <w:numPr>
          <w:ilvl w:val="0"/>
          <w:numId w:val="7"/>
        </w:numPr>
        <w:rPr>
          <w:b/>
        </w:rPr>
      </w:pPr>
      <w:r w:rsidRPr="00D84FCA">
        <w:rPr>
          <w:b/>
        </w:rPr>
        <w:t xml:space="preserve">Project Development </w:t>
      </w:r>
      <w:r w:rsidR="00A706FA" w:rsidRPr="00D84FCA">
        <w:rPr>
          <w:b/>
        </w:rPr>
        <w:t>Objectives</w:t>
      </w:r>
      <w:bookmarkStart w:id="14" w:name="Objectives"/>
    </w:p>
    <w:p w:rsidR="00DE0837" w:rsidRDefault="00DE0837" w:rsidP="00DE0837">
      <w:pPr>
        <w:autoSpaceDE w:val="0"/>
        <w:autoSpaceDN w:val="0"/>
        <w:adjustRightInd w:val="0"/>
        <w:rPr>
          <w:b/>
          <w:bCs/>
        </w:rPr>
      </w:pPr>
    </w:p>
    <w:p w:rsidR="00C97881" w:rsidRPr="006542A7" w:rsidRDefault="00C97881" w:rsidP="00C97881">
      <w:pPr>
        <w:numPr>
          <w:ilvl w:val="0"/>
          <w:numId w:val="8"/>
        </w:numPr>
        <w:tabs>
          <w:tab w:val="clear" w:pos="450"/>
          <w:tab w:val="num" w:pos="540"/>
          <w:tab w:val="left" w:pos="720"/>
          <w:tab w:val="num" w:pos="810"/>
        </w:tabs>
        <w:spacing w:after="240"/>
        <w:jc w:val="both"/>
      </w:pPr>
      <w:r w:rsidRPr="00AD4468">
        <w:t xml:space="preserve">The Project’s Development Objective (PDO) is to enable production of natural gas </w:t>
      </w:r>
      <w:r>
        <w:t>for generation of electricity to reduce the cost and</w:t>
      </w:r>
      <w:r w:rsidRPr="00AD4468">
        <w:t xml:space="preserve"> </w:t>
      </w:r>
      <w:r>
        <w:t>increase</w:t>
      </w:r>
      <w:r w:rsidRPr="00AD4468">
        <w:t xml:space="preserve"> </w:t>
      </w:r>
      <w:r>
        <w:t xml:space="preserve">the </w:t>
      </w:r>
      <w:r w:rsidRPr="00AD4468">
        <w:t>supply for Mauritanian households and industry</w:t>
      </w:r>
      <w:r>
        <w:t>, and enable regional integration through exports of electric power from Mauritania to Senegal and Mali</w:t>
      </w:r>
      <w:r w:rsidRPr="00AD4468">
        <w:t>.</w:t>
      </w:r>
    </w:p>
    <w:p w:rsidR="00BC3D2E" w:rsidRPr="00BC3D2E" w:rsidRDefault="00BC3D2E" w:rsidP="00BC3D2E">
      <w:pPr>
        <w:jc w:val="both"/>
        <w:rPr>
          <w:szCs w:val="20"/>
        </w:rPr>
      </w:pPr>
    </w:p>
    <w:bookmarkEnd w:id="14"/>
    <w:p w:rsidR="00A706FA" w:rsidRPr="00D84FCA" w:rsidRDefault="00FD4234" w:rsidP="00D84FCA">
      <w:pPr>
        <w:numPr>
          <w:ilvl w:val="0"/>
          <w:numId w:val="7"/>
        </w:numPr>
        <w:rPr>
          <w:b/>
        </w:rPr>
      </w:pPr>
      <w:r w:rsidRPr="00D84FCA">
        <w:rPr>
          <w:b/>
        </w:rPr>
        <w:t xml:space="preserve">Project </w:t>
      </w:r>
      <w:r w:rsidR="00A706FA" w:rsidRPr="00D84FCA">
        <w:rPr>
          <w:b/>
        </w:rPr>
        <w:t>Description</w:t>
      </w:r>
      <w:bookmarkStart w:id="15" w:name="Description"/>
    </w:p>
    <w:p w:rsidR="00A706FA" w:rsidRDefault="00A706FA" w:rsidP="009F6EB9">
      <w:pPr>
        <w:ind w:firstLine="360"/>
        <w:rPr>
          <w:i/>
        </w:rPr>
      </w:pPr>
    </w:p>
    <w:p w:rsidR="00AF65C5" w:rsidRDefault="00AF65C5" w:rsidP="00AF65C5">
      <w:pPr>
        <w:pStyle w:val="MainParanoChapter"/>
        <w:numPr>
          <w:ilvl w:val="0"/>
          <w:numId w:val="8"/>
        </w:numPr>
        <w:jc w:val="both"/>
      </w:pPr>
      <w:r w:rsidRPr="00A24561">
        <w:rPr>
          <w:szCs w:val="20"/>
        </w:rPr>
        <w:t>The</w:t>
      </w:r>
      <w:r>
        <w:rPr>
          <w:szCs w:val="20"/>
        </w:rPr>
        <w:t xml:space="preserve"> Banda g</w:t>
      </w:r>
      <w:r w:rsidRPr="00A24561">
        <w:rPr>
          <w:szCs w:val="20"/>
        </w:rPr>
        <w:t>as-to-</w:t>
      </w:r>
      <w:r>
        <w:rPr>
          <w:szCs w:val="20"/>
        </w:rPr>
        <w:t>p</w:t>
      </w:r>
      <w:r w:rsidRPr="00A24561">
        <w:rPr>
          <w:szCs w:val="20"/>
        </w:rPr>
        <w:t xml:space="preserve">ower </w:t>
      </w:r>
      <w:r>
        <w:rPr>
          <w:szCs w:val="20"/>
        </w:rPr>
        <w:t>p</w:t>
      </w:r>
      <w:r w:rsidRPr="00A24561">
        <w:rPr>
          <w:szCs w:val="20"/>
        </w:rPr>
        <w:t xml:space="preserve">roject consists of the following </w:t>
      </w:r>
      <w:r w:rsidRPr="007D5ED3">
        <w:t>components</w:t>
      </w:r>
      <w:r w:rsidRPr="00A24561">
        <w:rPr>
          <w:szCs w:val="20"/>
        </w:rPr>
        <w:t>: (a) the Banda offshore gas field production, transmission</w:t>
      </w:r>
      <w:r>
        <w:rPr>
          <w:szCs w:val="20"/>
        </w:rPr>
        <w:t>,</w:t>
      </w:r>
      <w:r w:rsidRPr="00A24561">
        <w:rPr>
          <w:szCs w:val="20"/>
        </w:rPr>
        <w:t xml:space="preserve"> and processing infrastructure; (b) </w:t>
      </w:r>
      <w:r>
        <w:t>a 300</w:t>
      </w:r>
      <w:r w:rsidRPr="00D179C7">
        <w:t xml:space="preserve"> MW </w:t>
      </w:r>
      <w:r>
        <w:t xml:space="preserve">gas-to-power </w:t>
      </w:r>
      <w:r w:rsidRPr="00D179C7">
        <w:t>plant</w:t>
      </w:r>
      <w:r>
        <w:t xml:space="preserve"> </w:t>
      </w:r>
      <w:r w:rsidRPr="00D179C7">
        <w:t>located in the north of Nouakchott</w:t>
      </w:r>
      <w:r w:rsidRPr="00A24561">
        <w:rPr>
          <w:szCs w:val="20"/>
        </w:rPr>
        <w:t>; and (c) existing and new power transmission lines to evacuate power</w:t>
      </w:r>
      <w:r>
        <w:rPr>
          <w:szCs w:val="20"/>
        </w:rPr>
        <w:t xml:space="preserve">. </w:t>
      </w:r>
      <w:r w:rsidRPr="00A24561">
        <w:rPr>
          <w:szCs w:val="20"/>
        </w:rPr>
        <w:t>The</w:t>
      </w:r>
      <w:r>
        <w:rPr>
          <w:szCs w:val="20"/>
        </w:rPr>
        <w:t xml:space="preserve"> Banda g</w:t>
      </w:r>
      <w:r w:rsidRPr="00A24561">
        <w:rPr>
          <w:szCs w:val="20"/>
        </w:rPr>
        <w:t>as-to-</w:t>
      </w:r>
      <w:r>
        <w:rPr>
          <w:szCs w:val="20"/>
        </w:rPr>
        <w:t>p</w:t>
      </w:r>
      <w:r w:rsidRPr="00A24561">
        <w:rPr>
          <w:szCs w:val="20"/>
        </w:rPr>
        <w:t xml:space="preserve">ower </w:t>
      </w:r>
      <w:r>
        <w:rPr>
          <w:szCs w:val="20"/>
        </w:rPr>
        <w:t>p</w:t>
      </w:r>
      <w:r w:rsidRPr="00A24561">
        <w:rPr>
          <w:szCs w:val="20"/>
        </w:rPr>
        <w:t xml:space="preserve">roject </w:t>
      </w:r>
      <w:r>
        <w:rPr>
          <w:szCs w:val="20"/>
        </w:rPr>
        <w:t xml:space="preserve">builds on a long track record of regional integration between the three countries. </w:t>
      </w:r>
      <w:r>
        <w:t>125</w:t>
      </w:r>
      <w:r w:rsidR="00557DB9">
        <w:t xml:space="preserve"> </w:t>
      </w:r>
      <w:r>
        <w:t>MW of power will be sold in Mauritania</w:t>
      </w:r>
      <w:r w:rsidR="00557DB9">
        <w:t>:</w:t>
      </w:r>
      <w:r>
        <w:t xml:space="preserve"> to the mining sector (25</w:t>
      </w:r>
      <w:r w:rsidR="00557DB9">
        <w:t xml:space="preserve"> </w:t>
      </w:r>
      <w:r>
        <w:t>MW to</w:t>
      </w:r>
      <w:r w:rsidRPr="007E7370">
        <w:t xml:space="preserve"> Kinross</w:t>
      </w:r>
      <w:r>
        <w:t xml:space="preserve"> and 15 MW to the </w:t>
      </w:r>
      <w:r w:rsidRPr="007D5ED3">
        <w:t>National Company of Industries and Mines in Mauritania</w:t>
      </w:r>
      <w:r>
        <w:t xml:space="preserve"> – SNIM</w:t>
      </w:r>
      <w:r w:rsidRPr="007D5ED3">
        <w:t>)</w:t>
      </w:r>
      <w:r>
        <w:t xml:space="preserve"> and </w:t>
      </w:r>
      <w:r w:rsidR="00557DB9">
        <w:t xml:space="preserve">to </w:t>
      </w:r>
      <w:r>
        <w:t>households and other businesses (95</w:t>
      </w:r>
      <w:r w:rsidRPr="007E7370">
        <w:t xml:space="preserve"> MW </w:t>
      </w:r>
      <w:r>
        <w:t xml:space="preserve">through </w:t>
      </w:r>
      <w:proofErr w:type="gramStart"/>
      <w:r>
        <w:t xml:space="preserve">the  </w:t>
      </w:r>
      <w:r w:rsidRPr="007D5ED3">
        <w:t>National</w:t>
      </w:r>
      <w:proofErr w:type="gramEnd"/>
      <w:r w:rsidRPr="007D5ED3">
        <w:t xml:space="preserve"> Power Utility</w:t>
      </w:r>
      <w:r>
        <w:t xml:space="preserve"> - </w:t>
      </w:r>
      <w:r w:rsidRPr="007E7370">
        <w:t>SOMELEC</w:t>
      </w:r>
      <w:r>
        <w:t>).</w:t>
      </w:r>
      <w:r w:rsidRPr="007E7370">
        <w:t xml:space="preserve"> 1</w:t>
      </w:r>
      <w:r>
        <w:t>25</w:t>
      </w:r>
      <w:r w:rsidRPr="007E7370">
        <w:t xml:space="preserve"> MW </w:t>
      </w:r>
      <w:r>
        <w:t>of power will be exported to Senegal and 50MW to Mali.</w:t>
      </w:r>
      <w:r w:rsidRPr="007E7370">
        <w:t xml:space="preserve"> </w:t>
      </w:r>
    </w:p>
    <w:p w:rsidR="00557DB9" w:rsidRPr="00557DB9" w:rsidRDefault="00557DB9" w:rsidP="00557DB9">
      <w:pPr>
        <w:pStyle w:val="MainParanoChapter"/>
        <w:numPr>
          <w:ilvl w:val="0"/>
          <w:numId w:val="8"/>
        </w:numPr>
        <w:jc w:val="both"/>
      </w:pPr>
      <w:r w:rsidRPr="00557DB9">
        <w:t xml:space="preserve">The proposed IDA PRGs will backstop the creditworthiness of public utilities in Mauritania (for the payment of gas under the Gas Sales Agreement) and in Senegal and Mali (for the payment of electricity exports received under their respective Power Purchase Agreements). The  proposed MIGA guarantees will cover (a) termination payment under Breach of Contract (BoC) of the GSA backstopped by the Government of Mauritania (GoMR); (b) BoC of the Production Sharing Agreement; and (c) Transfer Restriction, Expropriation and War and Civil Disturbance. </w:t>
      </w:r>
    </w:p>
    <w:p w:rsidR="00187E04" w:rsidRPr="00187E04" w:rsidRDefault="00187E04" w:rsidP="00187E04">
      <w:pPr>
        <w:numPr>
          <w:ilvl w:val="0"/>
          <w:numId w:val="8"/>
        </w:numPr>
        <w:jc w:val="both"/>
        <w:rPr>
          <w:szCs w:val="20"/>
        </w:rPr>
      </w:pPr>
      <w:r w:rsidRPr="00187E04">
        <w:rPr>
          <w:szCs w:val="20"/>
        </w:rPr>
        <w:t xml:space="preserve">The Banda </w:t>
      </w:r>
      <w:r w:rsidR="00BC3D2E" w:rsidRPr="00030560">
        <w:t xml:space="preserve">gas field is located approximately </w:t>
      </w:r>
      <w:r w:rsidR="00BC3D2E">
        <w:t>55</w:t>
      </w:r>
      <w:r w:rsidR="00BC3D2E" w:rsidRPr="00030560">
        <w:t xml:space="preserve"> km offshore of Nouakchott.</w:t>
      </w:r>
      <w:r w:rsidR="00BC3D2E" w:rsidRPr="009B2827">
        <w:t xml:space="preserve"> </w:t>
      </w:r>
      <w:r w:rsidR="00BC3D2E">
        <w:t xml:space="preserve"> Banda field shareholders are Tullow Oil (67%), Petronas (15%), Kufpec (13%) and Premier Oil (5%). </w:t>
      </w:r>
      <w:r w:rsidR="00BC3D2E" w:rsidRPr="002649A7">
        <w:t xml:space="preserve">Tullow Oil has prepared a field development plan which provides for production of up to 65 mmscfd of gas </w:t>
      </w:r>
      <w:r w:rsidR="00BC3D2E" w:rsidRPr="00917EC8">
        <w:t xml:space="preserve">over 20 years.  The Banda Gas Project consists of two subsea wells tied back to an onshore gas </w:t>
      </w:r>
      <w:r w:rsidR="00BC3D2E" w:rsidRPr="00192C21">
        <w:t>processing plant</w:t>
      </w:r>
      <w:r w:rsidR="00BC3D2E" w:rsidRPr="007B0F4E">
        <w:t xml:space="preserve"> </w:t>
      </w:r>
      <w:r w:rsidR="00BC3D2E" w:rsidRPr="00A33B9D">
        <w:t xml:space="preserve">via a subsea production manifold and a 10-inch sub-sea pipeline. </w:t>
      </w:r>
      <w:r w:rsidR="00BC3D2E" w:rsidRPr="002649A7">
        <w:t xml:space="preserve">First gas can be delivered approximately 30 months from the </w:t>
      </w:r>
      <w:r w:rsidR="00BC3D2E" w:rsidRPr="00917EC8">
        <w:t>final investment decision</w:t>
      </w:r>
      <w:r w:rsidR="00BC3D2E">
        <w:t>,</w:t>
      </w:r>
      <w:r w:rsidR="00BC3D2E" w:rsidRPr="00917EC8">
        <w:t xml:space="preserve"> </w:t>
      </w:r>
      <w:r w:rsidR="00BC3D2E">
        <w:t xml:space="preserve">which is </w:t>
      </w:r>
      <w:r w:rsidR="00BC3D2E" w:rsidRPr="00917EC8">
        <w:t xml:space="preserve">expected to </w:t>
      </w:r>
      <w:r w:rsidR="00BC3D2E" w:rsidRPr="00192C21">
        <w:t xml:space="preserve">occur by end of </w:t>
      </w:r>
      <w:r w:rsidR="00EC6DB9">
        <w:t xml:space="preserve">April </w:t>
      </w:r>
      <w:r w:rsidR="00BC3D2E">
        <w:t>2014</w:t>
      </w:r>
      <w:r w:rsidR="00BC3D2E" w:rsidRPr="00576219">
        <w:t>.</w:t>
      </w:r>
      <w:r w:rsidR="00BC3D2E">
        <w:t xml:space="preserve"> The SPEG Take or Pay (TOP) obligations will include a 6-month ramp up period which will accommodate early low demand and testing of the various power units using the JV’s gas.</w:t>
      </w:r>
    </w:p>
    <w:p w:rsidR="004F0E94" w:rsidRPr="00BC3D2E" w:rsidRDefault="004F0E94" w:rsidP="00BC3D2E">
      <w:pPr>
        <w:rPr>
          <w:szCs w:val="20"/>
        </w:rPr>
      </w:pPr>
    </w:p>
    <w:p w:rsidR="004F0E94" w:rsidRDefault="004F0E94" w:rsidP="004F0E94">
      <w:pPr>
        <w:pStyle w:val="ListParagraph"/>
        <w:ind w:left="0"/>
        <w:rPr>
          <w:i/>
          <w:szCs w:val="20"/>
        </w:rPr>
      </w:pPr>
      <w:r w:rsidRPr="004F0E94">
        <w:rPr>
          <w:i/>
          <w:szCs w:val="20"/>
        </w:rPr>
        <w:t>The SPEG Power Project: downstream power generation and transmission</w:t>
      </w:r>
    </w:p>
    <w:p w:rsidR="004F0E94" w:rsidRPr="004F0E94" w:rsidRDefault="004F0E94" w:rsidP="004F0E94">
      <w:pPr>
        <w:pStyle w:val="ListParagraph"/>
        <w:ind w:left="0"/>
        <w:rPr>
          <w:i/>
          <w:szCs w:val="20"/>
        </w:rPr>
      </w:pPr>
    </w:p>
    <w:p w:rsidR="005D6B3D" w:rsidRDefault="005D6B3D" w:rsidP="005D6B3D">
      <w:pPr>
        <w:pStyle w:val="ListParagraph"/>
        <w:widowControl w:val="0"/>
        <w:numPr>
          <w:ilvl w:val="0"/>
          <w:numId w:val="8"/>
        </w:numPr>
        <w:tabs>
          <w:tab w:val="clear" w:pos="450"/>
          <w:tab w:val="num" w:pos="360"/>
        </w:tabs>
        <w:autoSpaceDE w:val="0"/>
        <w:autoSpaceDN w:val="0"/>
        <w:adjustRightInd w:val="0"/>
        <w:spacing w:before="240" w:after="240"/>
        <w:ind w:left="0"/>
        <w:jc w:val="both"/>
      </w:pPr>
      <w:r w:rsidRPr="000C0A69">
        <w:t>SPEG (</w:t>
      </w:r>
      <w:r w:rsidRPr="005F7118">
        <w:rPr>
          <w:i/>
        </w:rPr>
        <w:t>Société de Production d’Electricité à partir du Gaz</w:t>
      </w:r>
      <w:r w:rsidRPr="000C0A69">
        <w:t xml:space="preserve">) </w:t>
      </w:r>
      <w:r>
        <w:t xml:space="preserve">is a special purpose vehicle incorporated </w:t>
      </w:r>
      <w:r w:rsidRPr="000C0A69">
        <w:t xml:space="preserve">for the purpose of power generation, transmission and </w:t>
      </w:r>
      <w:r>
        <w:t>sales of power</w:t>
      </w:r>
      <w:r w:rsidRPr="000C0A69">
        <w:t xml:space="preserve"> using Banda gas. </w:t>
      </w:r>
      <w:r w:rsidRPr="00B45547">
        <w:t xml:space="preserve">SPEG’s shareholders </w:t>
      </w:r>
      <w:r>
        <w:t>are</w:t>
      </w:r>
      <w:r w:rsidRPr="00B45547">
        <w:t xml:space="preserve"> SOMELEC (40%), KG Power, subsidiary of Kinross, an international gold mining company (34%) and SNIM, the national iron ore mining company (26%). </w:t>
      </w:r>
    </w:p>
    <w:p w:rsidR="003B2644" w:rsidRDefault="003B2644" w:rsidP="003B2644">
      <w:pPr>
        <w:numPr>
          <w:ilvl w:val="0"/>
          <w:numId w:val="8"/>
        </w:numPr>
        <w:tabs>
          <w:tab w:val="clear" w:pos="450"/>
          <w:tab w:val="num" w:pos="0"/>
          <w:tab w:val="left" w:pos="720"/>
        </w:tabs>
        <w:spacing w:after="240"/>
        <w:jc w:val="both"/>
      </w:pPr>
      <w:r w:rsidRPr="00B45547">
        <w:t xml:space="preserve">The SPEG Power </w:t>
      </w:r>
      <w:r w:rsidRPr="00917EC8">
        <w:t xml:space="preserve">Project </w:t>
      </w:r>
      <w:r>
        <w:t xml:space="preserve">is designed to be implemented in two </w:t>
      </w:r>
      <w:r w:rsidRPr="00917EC8">
        <w:t>phase</w:t>
      </w:r>
      <w:r>
        <w:t>s</w:t>
      </w:r>
      <w:r w:rsidRPr="00917EC8">
        <w:t xml:space="preserve"> </w:t>
      </w:r>
      <w:r w:rsidRPr="00192C21">
        <w:t xml:space="preserve">to match the evolution of electricity demand </w:t>
      </w:r>
      <w:r>
        <w:t xml:space="preserve">in Mauritania (and the region) </w:t>
      </w:r>
      <w:r w:rsidRPr="00192C21">
        <w:t>and optimize capital allocation.</w:t>
      </w:r>
      <w:r>
        <w:t xml:space="preserve"> </w:t>
      </w:r>
      <w:r w:rsidRPr="00C007AC">
        <w:t>The proposed WBG intervention is focused on the first phase of SPEG Power Project, which</w:t>
      </w:r>
      <w:r>
        <w:rPr>
          <w:highlight w:val="yellow"/>
        </w:rPr>
        <w:t xml:space="preserve"> </w:t>
      </w:r>
      <w:r w:rsidRPr="00D179C7">
        <w:t xml:space="preserve">consists of </w:t>
      </w:r>
      <w:r>
        <w:t xml:space="preserve">construction of </w:t>
      </w:r>
      <w:r w:rsidRPr="00D179C7">
        <w:t>a 300 MW</w:t>
      </w:r>
      <w:r w:rsidR="0082762E">
        <w:rPr>
          <w:rStyle w:val="FootnoteReference"/>
        </w:rPr>
        <w:footnoteReference w:id="1"/>
      </w:r>
      <w:r w:rsidRPr="00D179C7">
        <w:t xml:space="preserve"> power plant located in the north of Nouakchott that will operate using Banda gas. </w:t>
      </w:r>
      <w:r w:rsidRPr="00917EC8">
        <w:t xml:space="preserve">The </w:t>
      </w:r>
      <w:r>
        <w:t xml:space="preserve">SPEG </w:t>
      </w:r>
      <w:r w:rsidRPr="00917EC8">
        <w:t>plant includes</w:t>
      </w:r>
      <w:r w:rsidRPr="00192C21">
        <w:t xml:space="preserve"> 180 MW </w:t>
      </w:r>
      <w:r w:rsidRPr="00D179C7">
        <w:t>dual fuel engines (HFO, natural gas) to be commissioned by March 2015</w:t>
      </w:r>
      <w:r>
        <w:t>,</w:t>
      </w:r>
      <w:r w:rsidRPr="00D179C7">
        <w:t xml:space="preserve"> and 120 MW combined cycle gas turbines (CCGT) to be commissioned by mid-2016. The </w:t>
      </w:r>
      <w:r>
        <w:t xml:space="preserve">300MW SPEG </w:t>
      </w:r>
      <w:r w:rsidRPr="00D179C7">
        <w:t xml:space="preserve">plant will sell </w:t>
      </w:r>
      <w:r>
        <w:t xml:space="preserve">all its generation to </w:t>
      </w:r>
      <w:r>
        <w:lastRenderedPageBreak/>
        <w:t xml:space="preserve">SOMELEC, who will, in turn, (a) sell power to Kinross, SNIM and its regular customers in Mauritania, and (b) </w:t>
      </w:r>
      <w:r w:rsidRPr="00D179C7">
        <w:t xml:space="preserve">export </w:t>
      </w:r>
      <w:r>
        <w:t xml:space="preserve">power </w:t>
      </w:r>
      <w:r w:rsidRPr="00D179C7">
        <w:t xml:space="preserve">to Senegal </w:t>
      </w:r>
      <w:r>
        <w:t>(SENELEC)</w:t>
      </w:r>
      <w:r w:rsidRPr="00D179C7">
        <w:t xml:space="preserve"> and Mali</w:t>
      </w:r>
      <w:r>
        <w:t xml:space="preserve"> (EDM)</w:t>
      </w:r>
      <w:r w:rsidRPr="00D179C7">
        <w:t xml:space="preserve">. </w:t>
      </w:r>
    </w:p>
    <w:bookmarkEnd w:id="15"/>
    <w:p w:rsidR="0082762E" w:rsidRDefault="0082762E" w:rsidP="0082762E">
      <w:pPr>
        <w:numPr>
          <w:ilvl w:val="0"/>
          <w:numId w:val="8"/>
        </w:numPr>
        <w:tabs>
          <w:tab w:val="clear" w:pos="450"/>
          <w:tab w:val="num" w:pos="0"/>
          <w:tab w:val="left" w:pos="720"/>
        </w:tabs>
        <w:spacing w:after="240"/>
        <w:jc w:val="both"/>
      </w:pPr>
      <w:r>
        <w:t>Power generated by SPEG to SOMELEC will be evacuated through several routes: (i) a greenfield</w:t>
      </w:r>
      <w:r w:rsidRPr="00836A64">
        <w:t xml:space="preserve"> </w:t>
      </w:r>
      <w:r>
        <w:t>high voltage</w:t>
      </w:r>
      <w:r w:rsidRPr="00836A64">
        <w:t xml:space="preserve"> transmission line to Nouadhibou with a spur to Tasiast</w:t>
      </w:r>
      <w:r>
        <w:t>,</w:t>
      </w:r>
      <w:r w:rsidRPr="00836A64">
        <w:t xml:space="preserve"> </w:t>
      </w:r>
      <w:r w:rsidRPr="00715845">
        <w:t xml:space="preserve">site of </w:t>
      </w:r>
      <w:r w:rsidRPr="00EE1104">
        <w:t>Kinross gold mine</w:t>
      </w:r>
      <w:r>
        <w:t xml:space="preserve"> (the North HV line) owned and operated by SOMELEC and financed by the Saudi Fund, (ii) the existing OMVS high voltage transmission line that will be connected to the power plant through a short extension (the OMVS HV line and the OMVS HV extension), funded by SOMELEC and (iii) a new high voltage transmission line between Mauritania and Senegal, to be financed by AFD and IsDB, with a wheeling capacity of 250 MW (the South HV line) to be built in one phase</w:t>
      </w:r>
      <w:r w:rsidRPr="00EE1104">
        <w:t>.</w:t>
      </w:r>
      <w:r>
        <w:t xml:space="preserve"> </w:t>
      </w:r>
    </w:p>
    <w:p w:rsidR="0082762E" w:rsidRDefault="0082762E" w:rsidP="0082762E">
      <w:pPr>
        <w:numPr>
          <w:ilvl w:val="0"/>
          <w:numId w:val="8"/>
        </w:numPr>
        <w:tabs>
          <w:tab w:val="clear" w:pos="450"/>
          <w:tab w:val="num" w:pos="0"/>
          <w:tab w:val="left" w:pos="720"/>
        </w:tabs>
        <w:spacing w:after="240"/>
        <w:jc w:val="both"/>
      </w:pPr>
      <w:r>
        <w:t>The South HV line will be built to accommodate future power exchanges between Mauritania and Senegal sourced from a number of projects and only approximately 30 MW from phase 1 of the SPEG Power Project are expected to transit through that line. Only the power plant will be owned by SPEG. The North HV line will be owned by SOMELEC, and the South HV line will be owned by SOMELEC and SENELEC on their respective national territories.</w:t>
      </w:r>
      <w:r w:rsidRPr="00B45547">
        <w:t xml:space="preserve"> </w:t>
      </w:r>
      <w:r>
        <w:t xml:space="preserve"> Exports to Senegal will occur through both the OMVS HV line and the South HV line.  Exports to Mali are expected to transit through the OMVS HV line and its extension and hence will not require additional transmission lines.</w:t>
      </w:r>
    </w:p>
    <w:p w:rsidR="00A706FA" w:rsidRDefault="00A706FA" w:rsidP="00D84FCA">
      <w:pPr>
        <w:numPr>
          <w:ilvl w:val="0"/>
          <w:numId w:val="7"/>
        </w:numPr>
        <w:rPr>
          <w:b/>
        </w:rPr>
      </w:pPr>
      <w:r w:rsidRPr="00D84FCA">
        <w:rPr>
          <w:b/>
        </w:rPr>
        <w:t>Financing</w:t>
      </w:r>
    </w:p>
    <w:p w:rsidR="00BF6F45" w:rsidRDefault="00BF6F45" w:rsidP="00BF6F45"/>
    <w:tbl>
      <w:tblPr>
        <w:tblW w:w="9362"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254"/>
        <w:gridCol w:w="7590"/>
        <w:gridCol w:w="1518"/>
      </w:tblGrid>
      <w:tr w:rsidR="00F15873" w:rsidRPr="00BB77C0" w:rsidTr="00BC3D2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F15873" w:rsidRPr="00BB77C0" w:rsidRDefault="00F15873" w:rsidP="00BC3D2E"/>
        </w:tc>
        <w:tc>
          <w:tcPr>
            <w:tcW w:w="5617" w:type="dxa"/>
            <w:tcBorders>
              <w:top w:val="nil"/>
              <w:left w:val="nil"/>
              <w:bottom w:val="nil"/>
              <w:right w:val="nil"/>
            </w:tcBorders>
            <w:shd w:val="clear" w:color="auto" w:fill="FFFFFF"/>
            <w:tcMar>
              <w:top w:w="50" w:type="dxa"/>
              <w:left w:w="50" w:type="dxa"/>
              <w:bottom w:w="50" w:type="dxa"/>
              <w:right w:w="50" w:type="dxa"/>
            </w:tcMar>
            <w:vAlign w:val="center"/>
          </w:tcPr>
          <w:p w:rsidR="00F15873" w:rsidRPr="00BB77C0" w:rsidRDefault="00F15873" w:rsidP="00BC3D2E">
            <w:pPr>
              <w:jc w:val="both"/>
            </w:pPr>
            <w:r w:rsidRPr="00BB77C0">
              <w:rPr>
                <w:b/>
                <w:bCs/>
              </w:rPr>
              <w:t>For Loans/Credits/Others</w:t>
            </w:r>
          </w:p>
        </w:tc>
        <w:tc>
          <w:tcPr>
            <w:tcW w:w="1123" w:type="dxa"/>
            <w:tcBorders>
              <w:top w:val="nil"/>
              <w:left w:val="nil"/>
              <w:bottom w:val="nil"/>
              <w:right w:val="nil"/>
            </w:tcBorders>
            <w:shd w:val="clear" w:color="auto" w:fill="FFFFFF"/>
            <w:tcMar>
              <w:top w:w="50" w:type="dxa"/>
              <w:left w:w="50" w:type="dxa"/>
              <w:bottom w:w="50" w:type="dxa"/>
              <w:right w:w="50" w:type="dxa"/>
            </w:tcMar>
            <w:vAlign w:val="center"/>
          </w:tcPr>
          <w:p w:rsidR="00F15873" w:rsidRPr="00BB77C0" w:rsidRDefault="00F15873" w:rsidP="00BC3D2E">
            <w:pPr>
              <w:jc w:val="both"/>
            </w:pPr>
            <w:r w:rsidRPr="00BB77C0">
              <w:rPr>
                <w:b/>
                <w:bCs/>
              </w:rPr>
              <w:t>Amount</w:t>
            </w:r>
          </w:p>
        </w:tc>
      </w:tr>
      <w:tr w:rsidR="00F15873" w:rsidRPr="00BB77C0" w:rsidTr="00BC3D2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F15873" w:rsidRPr="00BB77C0" w:rsidRDefault="00F15873" w:rsidP="00BC3D2E"/>
        </w:tc>
        <w:tc>
          <w:tcPr>
            <w:tcW w:w="5617" w:type="dxa"/>
            <w:tcBorders>
              <w:top w:val="nil"/>
              <w:left w:val="nil"/>
              <w:bottom w:val="nil"/>
              <w:right w:val="nil"/>
            </w:tcBorders>
            <w:shd w:val="clear" w:color="auto" w:fill="FFFFFF"/>
            <w:tcMar>
              <w:top w:w="50" w:type="dxa"/>
              <w:left w:w="50" w:type="dxa"/>
              <w:bottom w:w="50" w:type="dxa"/>
              <w:right w:w="50" w:type="dxa"/>
            </w:tcMar>
            <w:vAlign w:val="center"/>
          </w:tcPr>
          <w:p w:rsidR="00F15873" w:rsidRPr="00BB77C0" w:rsidRDefault="00F15873" w:rsidP="00BC3D2E">
            <w:pPr>
              <w:jc w:val="both"/>
            </w:pPr>
            <w:r w:rsidRPr="00BB77C0">
              <w:t>BORROWER/RECIPIENT</w:t>
            </w:r>
          </w:p>
        </w:tc>
        <w:tc>
          <w:tcPr>
            <w:tcW w:w="1123" w:type="dxa"/>
            <w:tcBorders>
              <w:top w:val="nil"/>
              <w:left w:val="nil"/>
              <w:bottom w:val="nil"/>
              <w:right w:val="nil"/>
            </w:tcBorders>
            <w:shd w:val="clear" w:color="auto" w:fill="FFFFFF"/>
            <w:tcMar>
              <w:top w:w="50" w:type="dxa"/>
              <w:left w:w="50" w:type="dxa"/>
              <w:bottom w:w="50" w:type="dxa"/>
              <w:right w:w="50" w:type="dxa"/>
            </w:tcMar>
            <w:vAlign w:val="center"/>
          </w:tcPr>
          <w:p w:rsidR="00F15873" w:rsidRPr="00BB77C0" w:rsidRDefault="00F15873" w:rsidP="00BC3D2E">
            <w:pPr>
              <w:jc w:val="both"/>
            </w:pPr>
            <w:r w:rsidRPr="00BB77C0">
              <w:t>0.00</w:t>
            </w:r>
          </w:p>
        </w:tc>
      </w:tr>
      <w:tr w:rsidR="00F15873" w:rsidRPr="00BB77C0" w:rsidTr="00BC3D2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F15873" w:rsidRPr="00BB77C0" w:rsidRDefault="00F15873" w:rsidP="00BC3D2E"/>
        </w:tc>
        <w:tc>
          <w:tcPr>
            <w:tcW w:w="5617" w:type="dxa"/>
            <w:tcBorders>
              <w:top w:val="nil"/>
              <w:left w:val="nil"/>
              <w:bottom w:val="nil"/>
              <w:right w:val="nil"/>
            </w:tcBorders>
            <w:shd w:val="clear" w:color="auto" w:fill="FFFFFF"/>
            <w:tcMar>
              <w:top w:w="50" w:type="dxa"/>
              <w:left w:w="50" w:type="dxa"/>
              <w:bottom w:w="50" w:type="dxa"/>
              <w:right w:w="50" w:type="dxa"/>
            </w:tcMar>
            <w:vAlign w:val="center"/>
          </w:tcPr>
          <w:p w:rsidR="00F15873" w:rsidRPr="00BB77C0" w:rsidRDefault="00F15873" w:rsidP="00F15873">
            <w:pPr>
              <w:jc w:val="both"/>
            </w:pPr>
            <w:r>
              <w:t>IDA</w:t>
            </w:r>
            <w:r w:rsidRPr="00BB77C0">
              <w:t xml:space="preserve"> Guarantees (up to)</w:t>
            </w:r>
          </w:p>
        </w:tc>
        <w:tc>
          <w:tcPr>
            <w:tcW w:w="1123" w:type="dxa"/>
            <w:tcBorders>
              <w:top w:val="nil"/>
              <w:left w:val="nil"/>
              <w:bottom w:val="nil"/>
              <w:right w:val="nil"/>
            </w:tcBorders>
            <w:shd w:val="clear" w:color="auto" w:fill="FFFFFF"/>
            <w:tcMar>
              <w:top w:w="50" w:type="dxa"/>
              <w:left w:w="50" w:type="dxa"/>
              <w:bottom w:w="50" w:type="dxa"/>
              <w:right w:w="50" w:type="dxa"/>
            </w:tcMar>
            <w:vAlign w:val="center"/>
          </w:tcPr>
          <w:p w:rsidR="00F15873" w:rsidRPr="00BB77C0" w:rsidRDefault="00F15873" w:rsidP="00BC3D2E">
            <w:pPr>
              <w:jc w:val="both"/>
            </w:pPr>
            <w:r>
              <w:t>261</w:t>
            </w:r>
            <w:r w:rsidRPr="00BB77C0">
              <w:t>.00</w:t>
            </w:r>
          </w:p>
        </w:tc>
      </w:tr>
      <w:tr w:rsidR="00F15873" w:rsidRPr="00BB77C0" w:rsidTr="00BC3D2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F15873" w:rsidRPr="00BB77C0" w:rsidRDefault="00F15873" w:rsidP="00BC3D2E"/>
        </w:tc>
        <w:tc>
          <w:tcPr>
            <w:tcW w:w="5617" w:type="dxa"/>
            <w:tcBorders>
              <w:top w:val="nil"/>
              <w:left w:val="nil"/>
              <w:bottom w:val="nil"/>
              <w:right w:val="nil"/>
            </w:tcBorders>
            <w:shd w:val="clear" w:color="auto" w:fill="FFFFFF"/>
            <w:tcMar>
              <w:top w:w="50" w:type="dxa"/>
              <w:left w:w="50" w:type="dxa"/>
              <w:bottom w:w="50" w:type="dxa"/>
              <w:right w:w="50" w:type="dxa"/>
            </w:tcMar>
            <w:vAlign w:val="center"/>
          </w:tcPr>
          <w:p w:rsidR="00F15873" w:rsidRPr="00BB77C0" w:rsidRDefault="00F15873" w:rsidP="00BC3D2E">
            <w:pPr>
              <w:jc w:val="both"/>
            </w:pPr>
            <w:r w:rsidRPr="00BB77C0">
              <w:t>IFC Loan (up to)</w:t>
            </w:r>
          </w:p>
        </w:tc>
        <w:tc>
          <w:tcPr>
            <w:tcW w:w="1123" w:type="dxa"/>
            <w:tcBorders>
              <w:top w:val="nil"/>
              <w:left w:val="nil"/>
              <w:bottom w:val="nil"/>
              <w:right w:val="nil"/>
            </w:tcBorders>
            <w:shd w:val="clear" w:color="auto" w:fill="FFFFFF"/>
            <w:tcMar>
              <w:top w:w="50" w:type="dxa"/>
              <w:left w:w="50" w:type="dxa"/>
              <w:bottom w:w="50" w:type="dxa"/>
              <w:right w:w="50" w:type="dxa"/>
            </w:tcMar>
            <w:vAlign w:val="center"/>
          </w:tcPr>
          <w:p w:rsidR="00F15873" w:rsidRPr="00BB77C0" w:rsidRDefault="00F15873" w:rsidP="00F15873">
            <w:pPr>
              <w:jc w:val="both"/>
            </w:pPr>
            <w:r>
              <w:t>0.00</w:t>
            </w:r>
          </w:p>
        </w:tc>
      </w:tr>
      <w:tr w:rsidR="00F15873" w:rsidRPr="00BB77C0" w:rsidTr="00BC3D2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F15873" w:rsidRPr="00BB77C0" w:rsidRDefault="00F15873" w:rsidP="00BC3D2E"/>
        </w:tc>
        <w:tc>
          <w:tcPr>
            <w:tcW w:w="5617" w:type="dxa"/>
            <w:tcBorders>
              <w:top w:val="nil"/>
              <w:left w:val="nil"/>
              <w:bottom w:val="nil"/>
              <w:right w:val="nil"/>
            </w:tcBorders>
            <w:shd w:val="clear" w:color="auto" w:fill="FFFFFF"/>
            <w:tcMar>
              <w:top w:w="50" w:type="dxa"/>
              <w:left w:w="50" w:type="dxa"/>
              <w:bottom w:w="50" w:type="dxa"/>
              <w:right w:w="50" w:type="dxa"/>
            </w:tcMar>
            <w:vAlign w:val="center"/>
          </w:tcPr>
          <w:p w:rsidR="00F15873" w:rsidRPr="00BB77C0" w:rsidRDefault="00F15873" w:rsidP="00BC3D2E">
            <w:pPr>
              <w:jc w:val="both"/>
            </w:pPr>
            <w:r w:rsidRPr="00BB77C0">
              <w:t>MIGA Termination Cover (up to)</w:t>
            </w:r>
          </w:p>
        </w:tc>
        <w:tc>
          <w:tcPr>
            <w:tcW w:w="1123" w:type="dxa"/>
            <w:tcBorders>
              <w:top w:val="nil"/>
              <w:left w:val="nil"/>
              <w:bottom w:val="nil"/>
              <w:right w:val="nil"/>
            </w:tcBorders>
            <w:shd w:val="clear" w:color="auto" w:fill="FFFFFF"/>
            <w:tcMar>
              <w:top w:w="50" w:type="dxa"/>
              <w:left w:w="50" w:type="dxa"/>
              <w:bottom w:w="50" w:type="dxa"/>
              <w:right w:w="50" w:type="dxa"/>
            </w:tcMar>
            <w:vAlign w:val="center"/>
          </w:tcPr>
          <w:p w:rsidR="00F15873" w:rsidRPr="00BB77C0" w:rsidRDefault="00F15873" w:rsidP="00F15873">
            <w:pPr>
              <w:jc w:val="both"/>
            </w:pPr>
            <w:r>
              <w:t>585</w:t>
            </w:r>
            <w:r w:rsidRPr="00BB77C0">
              <w:t>.00</w:t>
            </w:r>
          </w:p>
        </w:tc>
      </w:tr>
      <w:tr w:rsidR="00F15873" w:rsidRPr="00BB77C0" w:rsidTr="00BC3D2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F15873" w:rsidRPr="00BB77C0" w:rsidRDefault="00F15873" w:rsidP="00BC3D2E"/>
        </w:tc>
        <w:tc>
          <w:tcPr>
            <w:tcW w:w="5617" w:type="dxa"/>
            <w:tcBorders>
              <w:top w:val="nil"/>
              <w:left w:val="nil"/>
              <w:bottom w:val="nil"/>
              <w:right w:val="nil"/>
            </w:tcBorders>
            <w:shd w:val="clear" w:color="auto" w:fill="FFFFFF"/>
            <w:tcMar>
              <w:top w:w="50" w:type="dxa"/>
              <w:left w:w="50" w:type="dxa"/>
              <w:bottom w:w="50" w:type="dxa"/>
              <w:right w:w="50" w:type="dxa"/>
            </w:tcMar>
            <w:vAlign w:val="center"/>
          </w:tcPr>
          <w:p w:rsidR="00F15873" w:rsidRPr="00BB77C0" w:rsidRDefault="00F15873" w:rsidP="00BC3D2E">
            <w:pPr>
              <w:jc w:val="both"/>
            </w:pPr>
            <w:r w:rsidRPr="00BB77C0">
              <w:t>Total</w:t>
            </w:r>
          </w:p>
        </w:tc>
        <w:tc>
          <w:tcPr>
            <w:tcW w:w="1123" w:type="dxa"/>
            <w:tcBorders>
              <w:top w:val="nil"/>
              <w:left w:val="nil"/>
              <w:bottom w:val="nil"/>
              <w:right w:val="nil"/>
            </w:tcBorders>
            <w:shd w:val="clear" w:color="auto" w:fill="FFFFFF"/>
            <w:tcMar>
              <w:top w:w="50" w:type="dxa"/>
              <w:left w:w="50" w:type="dxa"/>
              <w:bottom w:w="50" w:type="dxa"/>
              <w:right w:w="50" w:type="dxa"/>
            </w:tcMar>
            <w:vAlign w:val="center"/>
          </w:tcPr>
          <w:p w:rsidR="00F15873" w:rsidRPr="00BB77C0" w:rsidRDefault="00F15873" w:rsidP="00BC3D2E">
            <w:pPr>
              <w:jc w:val="both"/>
            </w:pPr>
            <w:r>
              <w:t>846</w:t>
            </w:r>
            <w:r w:rsidRPr="00BB77C0">
              <w:t>.00</w:t>
            </w:r>
          </w:p>
        </w:tc>
      </w:tr>
    </w:tbl>
    <w:p w:rsidR="0082762E" w:rsidRDefault="0082762E" w:rsidP="0082762E">
      <w:pPr>
        <w:rPr>
          <w:b/>
        </w:rPr>
      </w:pPr>
    </w:p>
    <w:p w:rsidR="00A706FA" w:rsidRPr="00D84FCA" w:rsidRDefault="00A706FA" w:rsidP="00D84FCA">
      <w:pPr>
        <w:numPr>
          <w:ilvl w:val="0"/>
          <w:numId w:val="7"/>
        </w:numPr>
        <w:rPr>
          <w:b/>
        </w:rPr>
      </w:pPr>
      <w:r w:rsidRPr="00D84FCA">
        <w:rPr>
          <w:b/>
        </w:rPr>
        <w:t>Implementation</w:t>
      </w:r>
      <w:bookmarkStart w:id="16" w:name="Implementation"/>
    </w:p>
    <w:p w:rsidR="00704918" w:rsidRDefault="00704918">
      <w:bookmarkStart w:id="17" w:name="LessonsLearned"/>
      <w:bookmarkEnd w:id="16"/>
    </w:p>
    <w:p w:rsidR="00B30CA7" w:rsidRDefault="00B30CA7" w:rsidP="00B30CA7">
      <w:pPr>
        <w:rPr>
          <w:i/>
        </w:rPr>
      </w:pPr>
      <w:r w:rsidRPr="005B7F1C">
        <w:rPr>
          <w:i/>
        </w:rPr>
        <w:t>Banda Field JV</w:t>
      </w:r>
      <w:r>
        <w:rPr>
          <w:i/>
        </w:rPr>
        <w:t xml:space="preserve"> </w:t>
      </w:r>
    </w:p>
    <w:p w:rsidR="00B30CA7" w:rsidRDefault="00B30CA7" w:rsidP="00B30CA7">
      <w:pPr>
        <w:rPr>
          <w:i/>
        </w:rPr>
      </w:pPr>
    </w:p>
    <w:p w:rsidR="00B30CA7" w:rsidRDefault="00B30CA7" w:rsidP="00B30CA7">
      <w:pPr>
        <w:numPr>
          <w:ilvl w:val="0"/>
          <w:numId w:val="8"/>
        </w:numPr>
        <w:tabs>
          <w:tab w:val="clear" w:pos="450"/>
          <w:tab w:val="num" w:pos="360"/>
        </w:tabs>
        <w:jc w:val="both"/>
        <w:rPr>
          <w:bCs/>
        </w:rPr>
      </w:pPr>
      <w:r>
        <w:rPr>
          <w:bCs/>
        </w:rPr>
        <w:t xml:space="preserve">The </w:t>
      </w:r>
      <w:r w:rsidRPr="00DB600A">
        <w:rPr>
          <w:bCs/>
        </w:rPr>
        <w:t>Banda field shareholders are Tullow Oil, Petronas, Kufpec</w:t>
      </w:r>
      <w:r>
        <w:rPr>
          <w:bCs/>
        </w:rPr>
        <w:t>,</w:t>
      </w:r>
      <w:r w:rsidRPr="00DB600A">
        <w:rPr>
          <w:bCs/>
        </w:rPr>
        <w:t xml:space="preserve"> </w:t>
      </w:r>
      <w:r>
        <w:rPr>
          <w:bCs/>
        </w:rPr>
        <w:t xml:space="preserve">and </w:t>
      </w:r>
      <w:r w:rsidRPr="00DB600A">
        <w:rPr>
          <w:bCs/>
        </w:rPr>
        <w:t>Premier Oil</w:t>
      </w:r>
      <w:r>
        <w:rPr>
          <w:bCs/>
        </w:rPr>
        <w:t>. As is normal practice in the oil and gas industry, the investor group operates as a non-incorporated joint venture wherein income and costs are directly apportioned pro-rata to the partners. Tullow carries out the petroleum operations on behalf of the partners under the terms of a joint operating agreement.</w:t>
      </w:r>
    </w:p>
    <w:p w:rsidR="00B30CA7" w:rsidRDefault="00B30CA7" w:rsidP="00B30CA7">
      <w:pPr>
        <w:pStyle w:val="ListParagraph"/>
        <w:rPr>
          <w:bCs/>
        </w:rPr>
      </w:pPr>
    </w:p>
    <w:p w:rsidR="00B30CA7" w:rsidRPr="00161D5F" w:rsidRDefault="00B30CA7" w:rsidP="00B30CA7">
      <w:pPr>
        <w:jc w:val="both"/>
        <w:rPr>
          <w:i/>
        </w:rPr>
      </w:pPr>
      <w:r w:rsidRPr="00161D5F">
        <w:rPr>
          <w:i/>
        </w:rPr>
        <w:t>Gas Supply Agreement</w:t>
      </w:r>
    </w:p>
    <w:p w:rsidR="00B30CA7" w:rsidRDefault="00B30CA7" w:rsidP="00B30CA7">
      <w:pPr>
        <w:jc w:val="both"/>
      </w:pPr>
    </w:p>
    <w:p w:rsidR="00B30CA7" w:rsidRDefault="00B30CA7" w:rsidP="00B30CA7">
      <w:pPr>
        <w:numPr>
          <w:ilvl w:val="0"/>
          <w:numId w:val="8"/>
        </w:numPr>
        <w:tabs>
          <w:tab w:val="clear" w:pos="450"/>
          <w:tab w:val="num" w:pos="360"/>
        </w:tabs>
        <w:jc w:val="both"/>
      </w:pPr>
      <w:r w:rsidRPr="00B55322">
        <w:t>Following negotiations on the price and volume of gas under the GSA</w:t>
      </w:r>
      <w:r w:rsidR="00C97881">
        <w:t>, SPEG agreed with Tullow Oil on a</w:t>
      </w:r>
      <w:r w:rsidRPr="003106F3">
        <w:t xml:space="preserve"> gas price for a daily consumption up to 60 </w:t>
      </w:r>
      <w:r w:rsidR="003B2644">
        <w:t>billion Btu</w:t>
      </w:r>
      <w:r w:rsidRPr="003106F3">
        <w:t xml:space="preserve"> and an annual load factor of 70% on a take-or-pay basis, which a</w:t>
      </w:r>
      <w:r>
        <w:t xml:space="preserve">mounts on average to 42 </w:t>
      </w:r>
      <w:r w:rsidR="003B2644">
        <w:t>billion Btu per day</w:t>
      </w:r>
      <w:r>
        <w:t>.</w:t>
      </w:r>
      <w:r w:rsidRPr="003106F3">
        <w:t xml:space="preserve"> These gas </w:t>
      </w:r>
      <w:r w:rsidRPr="003106F3">
        <w:lastRenderedPageBreak/>
        <w:t xml:space="preserve">volumes are sufficient to power </w:t>
      </w:r>
      <w:r w:rsidR="0082762E">
        <w:t>up to</w:t>
      </w:r>
      <w:r w:rsidRPr="003106F3">
        <w:t xml:space="preserve"> 3</w:t>
      </w:r>
      <w:r w:rsidR="0082762E">
        <w:t>1</w:t>
      </w:r>
      <w:r w:rsidRPr="003106F3">
        <w:t>0 MW of generation capacity forese</w:t>
      </w:r>
      <w:r w:rsidR="006423CF">
        <w:t>en under the SPEG Power Project</w:t>
      </w:r>
      <w:r>
        <w:t>.</w:t>
      </w:r>
      <w:r w:rsidRPr="009826C4">
        <w:t xml:space="preserve"> </w:t>
      </w:r>
      <w:r w:rsidRPr="003106F3">
        <w:t>Key provisions, including the final price of gas as well as provisions for ramp up and termination are still being negotiated between Tullow Oil and SPEG.</w:t>
      </w:r>
      <w:r>
        <w:t xml:space="preserve">  </w:t>
      </w:r>
    </w:p>
    <w:p w:rsidR="00B30CA7" w:rsidRDefault="00B30CA7" w:rsidP="00B30CA7">
      <w:pPr>
        <w:jc w:val="both"/>
      </w:pPr>
    </w:p>
    <w:p w:rsidR="00B30CA7" w:rsidRPr="00DB600A" w:rsidRDefault="00B30CA7" w:rsidP="00B30CA7">
      <w:pPr>
        <w:rPr>
          <w:i/>
        </w:rPr>
      </w:pPr>
      <w:r w:rsidRPr="00DB600A">
        <w:rPr>
          <w:i/>
        </w:rPr>
        <w:t>SPEG Structure</w:t>
      </w:r>
    </w:p>
    <w:p w:rsidR="00B30CA7" w:rsidRDefault="00B30CA7" w:rsidP="00B30CA7"/>
    <w:p w:rsidR="00B30CA7" w:rsidRPr="00D56004" w:rsidRDefault="00B30CA7" w:rsidP="00B30CA7">
      <w:pPr>
        <w:numPr>
          <w:ilvl w:val="0"/>
          <w:numId w:val="8"/>
        </w:numPr>
        <w:tabs>
          <w:tab w:val="clear" w:pos="450"/>
          <w:tab w:val="num" w:pos="360"/>
        </w:tabs>
        <w:jc w:val="both"/>
      </w:pPr>
      <w:r w:rsidRPr="00DB7ABC">
        <w:t>SPEG was formed with the agreement of the GoM</w:t>
      </w:r>
      <w:r>
        <w:t>R</w:t>
      </w:r>
      <w:r w:rsidRPr="00DB7ABC">
        <w:t xml:space="preserve"> as a joint venture between </w:t>
      </w:r>
      <w:r>
        <w:t>SOMELEC</w:t>
      </w:r>
      <w:r w:rsidRPr="00DB7ABC">
        <w:t xml:space="preserve"> (40%), KG Power</w:t>
      </w:r>
      <w:r>
        <w:rPr>
          <w:rStyle w:val="FootnoteReference"/>
        </w:rPr>
        <w:t xml:space="preserve"> </w:t>
      </w:r>
      <w:r w:rsidRPr="00DB7ABC">
        <w:t xml:space="preserve"> (3</w:t>
      </w:r>
      <w:r>
        <w:t>4%) and SNIM (26%). The</w:t>
      </w:r>
      <w:r w:rsidRPr="00DB7ABC">
        <w:t xml:space="preserve"> Investment Convention which regulates the relationship between the State and </w:t>
      </w:r>
      <w:proofErr w:type="gramStart"/>
      <w:r w:rsidRPr="00DB7ABC">
        <w:t>SPEG,</w:t>
      </w:r>
      <w:proofErr w:type="gramEnd"/>
      <w:r w:rsidRPr="00DB7ABC">
        <w:t xml:space="preserve"> </w:t>
      </w:r>
      <w:r>
        <w:t>was signed and ratified</w:t>
      </w:r>
      <w:r w:rsidRPr="00DB7ABC">
        <w:t xml:space="preserve"> by parliament </w:t>
      </w:r>
      <w:r>
        <w:t xml:space="preserve">and the senate.  </w:t>
      </w:r>
      <w:r w:rsidRPr="00EA3F8D">
        <w:rPr>
          <w:bCs/>
        </w:rPr>
        <w:t xml:space="preserve">The Shareholders’ agreement between SOMELEC, KG Power and SNIM, establishes the project company SPEG and governs the relationship between parties in relation to the SPEG Power Project. </w:t>
      </w:r>
      <w:r w:rsidRPr="00D56004">
        <w:t>The SPEG structure is sound and has the explicit support of GoMR</w:t>
      </w:r>
      <w:r>
        <w:t xml:space="preserve"> and SPEG’s shareholders</w:t>
      </w:r>
      <w:r w:rsidRPr="00D56004">
        <w:t xml:space="preserve">. </w:t>
      </w:r>
      <w:r>
        <w:t xml:space="preserve"> </w:t>
      </w:r>
      <w:r w:rsidR="00B14C0F">
        <w:t>Time has been too short for</w:t>
      </w:r>
      <w:r w:rsidR="00B14C0F" w:rsidRPr="00D56004">
        <w:t xml:space="preserve"> SPEG to establish a successful track record of credible commercial dealing, upon w</w:t>
      </w:r>
      <w:r w:rsidR="00B14C0F">
        <w:t>hich private investors can confidently rely, resulting in a need for World Bank’s credit risk mitigation support.</w:t>
      </w:r>
    </w:p>
    <w:p w:rsidR="00B36EEC" w:rsidRDefault="00B36EEC" w:rsidP="00B30CA7">
      <w:pPr>
        <w:rPr>
          <w:i/>
        </w:rPr>
      </w:pPr>
    </w:p>
    <w:p w:rsidR="00B30CA7" w:rsidRDefault="00B30CA7" w:rsidP="00B30CA7">
      <w:pPr>
        <w:rPr>
          <w:i/>
        </w:rPr>
      </w:pPr>
      <w:r w:rsidRPr="0010030F">
        <w:rPr>
          <w:i/>
        </w:rPr>
        <w:t>Power Purchase Agreements</w:t>
      </w:r>
    </w:p>
    <w:p w:rsidR="00B30CA7" w:rsidRDefault="00B30CA7" w:rsidP="00B30CA7"/>
    <w:p w:rsidR="00AF65C5" w:rsidRDefault="0082762E" w:rsidP="0082762E">
      <w:pPr>
        <w:numPr>
          <w:ilvl w:val="0"/>
          <w:numId w:val="8"/>
        </w:numPr>
        <w:tabs>
          <w:tab w:val="clear" w:pos="450"/>
          <w:tab w:val="num" w:pos="0"/>
          <w:tab w:val="left" w:pos="720"/>
        </w:tabs>
        <w:spacing w:after="240"/>
        <w:jc w:val="both"/>
      </w:pPr>
      <w:r w:rsidRPr="00461E96">
        <w:t xml:space="preserve">The </w:t>
      </w:r>
      <w:r>
        <w:t xml:space="preserve">direct </w:t>
      </w:r>
      <w:r w:rsidRPr="00461E96">
        <w:t>off</w:t>
      </w:r>
      <w:r>
        <w:t>-</w:t>
      </w:r>
      <w:r w:rsidRPr="00461E96">
        <w:t xml:space="preserve">taker </w:t>
      </w:r>
      <w:r>
        <w:t>of electricity generated by the SPEG Power Project is SOMELEC which has agreed on an umbrella PPA with SPEG that</w:t>
      </w:r>
      <w:r w:rsidRPr="00461E96">
        <w:t xml:space="preserve"> set</w:t>
      </w:r>
      <w:r>
        <w:t>s forth</w:t>
      </w:r>
      <w:r w:rsidRPr="00461E96">
        <w:t xml:space="preserve"> </w:t>
      </w:r>
      <w:r>
        <w:t xml:space="preserve">the </w:t>
      </w:r>
      <w:r w:rsidRPr="00461E96">
        <w:t>terms and conditions for power purchase and supply</w:t>
      </w:r>
      <w:r>
        <w:t>.</w:t>
      </w:r>
      <w:r w:rsidRPr="00461E96">
        <w:t xml:space="preserve"> </w:t>
      </w:r>
      <w:r w:rsidRPr="00E7302B">
        <w:t>SOMELEC</w:t>
      </w:r>
      <w:r>
        <w:t xml:space="preserve"> will</w:t>
      </w:r>
      <w:r w:rsidRPr="00E7302B">
        <w:t xml:space="preserve"> in turn </w:t>
      </w:r>
      <w:r>
        <w:t xml:space="preserve">enter into secondary PPAs to sell power to SNIM and Kinross, and </w:t>
      </w:r>
      <w:r w:rsidRPr="00E7302B">
        <w:t xml:space="preserve">export a portion of its </w:t>
      </w:r>
      <w:r>
        <w:t xml:space="preserve">SPEG </w:t>
      </w:r>
      <w:r w:rsidRPr="00E7302B">
        <w:t>off-take to</w:t>
      </w:r>
      <w:r>
        <w:t xml:space="preserve"> </w:t>
      </w:r>
      <w:r w:rsidRPr="00E7302B">
        <w:t xml:space="preserve">SENELEC and EDM. </w:t>
      </w:r>
      <w:r>
        <w:t xml:space="preserve">In April 2014, </w:t>
      </w:r>
      <w:r w:rsidRPr="00E7302B">
        <w:t xml:space="preserve">SENELEC </w:t>
      </w:r>
      <w:r>
        <w:t xml:space="preserve">and EDM agreed with SOMELEC to purchase </w:t>
      </w:r>
      <w:r w:rsidR="00C904A7">
        <w:t>125</w:t>
      </w:r>
      <w:r w:rsidRPr="00E7302B">
        <w:t xml:space="preserve"> MW </w:t>
      </w:r>
      <w:r>
        <w:t xml:space="preserve">and 50 MW </w:t>
      </w:r>
      <w:r w:rsidRPr="00E7302B">
        <w:t xml:space="preserve">of power </w:t>
      </w:r>
      <w:r>
        <w:t>respectively.</w:t>
      </w:r>
      <w:r w:rsidRPr="00E7302B">
        <w:t xml:space="preserve"> </w:t>
      </w:r>
      <w:r>
        <w:t xml:space="preserve">Key provisions of the two export PPAs have been agreed by the parties, who still need to agree on final PPAs.  </w:t>
      </w:r>
    </w:p>
    <w:p w:rsidR="00AF65C5" w:rsidRDefault="00AF65C5">
      <w:r>
        <w:br w:type="page"/>
      </w:r>
    </w:p>
    <w:p w:rsidR="00BF7BCF" w:rsidRDefault="00D55C14" w:rsidP="00BF7BCF">
      <w:pPr>
        <w:numPr>
          <w:ilvl w:val="0"/>
          <w:numId w:val="7"/>
        </w:numPr>
        <w:rPr>
          <w:b/>
        </w:rPr>
      </w:pPr>
      <w:bookmarkStart w:id="18" w:name="SafeguardPolicies"/>
      <w:bookmarkEnd w:id="17"/>
      <w:r w:rsidRPr="00BF7BCF">
        <w:rPr>
          <w:b/>
        </w:rPr>
        <w:lastRenderedPageBreak/>
        <w:t>Applicable Performance Standards</w:t>
      </w:r>
    </w:p>
    <w:p w:rsidR="00B14C0F" w:rsidRPr="00BF7BCF" w:rsidRDefault="00B14C0F" w:rsidP="00B14C0F">
      <w:pPr>
        <w:ind w:left="360"/>
        <w:rPr>
          <w:b/>
        </w:rPr>
      </w:pPr>
    </w:p>
    <w:tbl>
      <w:tblPr>
        <w:tblW w:w="9362"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7860"/>
        <w:gridCol w:w="1502"/>
      </w:tblGrid>
      <w:tr w:rsidR="0055723A" w:rsidRPr="0055723A" w:rsidTr="00B14C0F">
        <w:tc>
          <w:tcPr>
            <w:tcW w:w="786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5723A" w:rsidRPr="0055723A" w:rsidRDefault="0055723A" w:rsidP="00BC3D2E">
            <w:pPr>
              <w:keepNext/>
              <w:rPr>
                <w:sz w:val="20"/>
              </w:rPr>
            </w:pPr>
            <w:r w:rsidRPr="0055723A">
              <w:rPr>
                <w:b/>
                <w:bCs/>
                <w:sz w:val="20"/>
              </w:rPr>
              <w:t xml:space="preserve">Performance Standards (PS) </w:t>
            </w:r>
          </w:p>
        </w:tc>
        <w:tc>
          <w:tcPr>
            <w:tcW w:w="150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5723A" w:rsidRPr="0055723A" w:rsidRDefault="0055723A" w:rsidP="00BC3D2E">
            <w:pPr>
              <w:jc w:val="center"/>
              <w:rPr>
                <w:sz w:val="20"/>
              </w:rPr>
            </w:pPr>
            <w:r w:rsidRPr="0055723A">
              <w:rPr>
                <w:b/>
                <w:bCs/>
                <w:sz w:val="20"/>
              </w:rPr>
              <w:t>Triggered</w:t>
            </w:r>
          </w:p>
        </w:tc>
      </w:tr>
      <w:tr w:rsidR="0055723A" w:rsidRPr="0055723A" w:rsidTr="00B14C0F">
        <w:tc>
          <w:tcPr>
            <w:tcW w:w="786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5723A" w:rsidRPr="0055723A" w:rsidRDefault="0055723A" w:rsidP="00BC3D2E">
            <w:pPr>
              <w:keepNext/>
              <w:rPr>
                <w:b/>
                <w:bCs/>
                <w:sz w:val="20"/>
              </w:rPr>
            </w:pPr>
            <w:r w:rsidRPr="0055723A">
              <w:rPr>
                <w:b/>
                <w:bCs/>
                <w:sz w:val="20"/>
              </w:rPr>
              <w:t xml:space="preserve">PS 1. </w:t>
            </w:r>
            <w:r w:rsidRPr="0055723A">
              <w:rPr>
                <w:bCs/>
                <w:sz w:val="20"/>
              </w:rPr>
              <w:t>Assessment and Management of Environmental and Social Risks and Impacts</w:t>
            </w:r>
            <w:r w:rsidRPr="0055723A">
              <w:rPr>
                <w:b/>
                <w:bCs/>
                <w:sz w:val="20"/>
              </w:rPr>
              <w:t xml:space="preserve"> </w:t>
            </w:r>
          </w:p>
        </w:tc>
        <w:tc>
          <w:tcPr>
            <w:tcW w:w="150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5723A" w:rsidRPr="0055723A" w:rsidRDefault="0055723A" w:rsidP="00BC3D2E">
            <w:pPr>
              <w:jc w:val="center"/>
              <w:rPr>
                <w:sz w:val="20"/>
              </w:rPr>
            </w:pPr>
            <w:r w:rsidRPr="0055723A">
              <w:rPr>
                <w:b/>
                <w:bCs/>
                <w:sz w:val="20"/>
              </w:rPr>
              <w:t>YES</w:t>
            </w:r>
          </w:p>
        </w:tc>
      </w:tr>
      <w:tr w:rsidR="0055723A" w:rsidRPr="0055723A" w:rsidTr="00B14C0F">
        <w:tc>
          <w:tcPr>
            <w:tcW w:w="786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5723A" w:rsidRPr="0055723A" w:rsidRDefault="0055723A" w:rsidP="00BC3D2E">
            <w:pPr>
              <w:keepNext/>
              <w:rPr>
                <w:b/>
                <w:bCs/>
                <w:sz w:val="20"/>
              </w:rPr>
            </w:pPr>
            <w:r w:rsidRPr="0055723A">
              <w:rPr>
                <w:b/>
                <w:bCs/>
                <w:sz w:val="20"/>
              </w:rPr>
              <w:t xml:space="preserve">PS 2. </w:t>
            </w:r>
            <w:r w:rsidRPr="0055723A">
              <w:rPr>
                <w:bCs/>
                <w:sz w:val="20"/>
              </w:rPr>
              <w:t>Labor and Working Conditions</w:t>
            </w:r>
            <w:r w:rsidRPr="0055723A">
              <w:rPr>
                <w:b/>
                <w:bCs/>
                <w:sz w:val="20"/>
              </w:rPr>
              <w:t xml:space="preserve"> </w:t>
            </w:r>
          </w:p>
        </w:tc>
        <w:tc>
          <w:tcPr>
            <w:tcW w:w="150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5723A" w:rsidRPr="0055723A" w:rsidRDefault="0055723A" w:rsidP="00BC3D2E">
            <w:pPr>
              <w:jc w:val="center"/>
              <w:rPr>
                <w:sz w:val="20"/>
              </w:rPr>
            </w:pPr>
            <w:r w:rsidRPr="0055723A">
              <w:rPr>
                <w:b/>
                <w:bCs/>
                <w:sz w:val="20"/>
              </w:rPr>
              <w:t>YES</w:t>
            </w:r>
          </w:p>
        </w:tc>
      </w:tr>
      <w:tr w:rsidR="0055723A" w:rsidRPr="0055723A" w:rsidTr="00B14C0F">
        <w:tc>
          <w:tcPr>
            <w:tcW w:w="786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5723A" w:rsidRPr="0055723A" w:rsidRDefault="0055723A" w:rsidP="00BC3D2E">
            <w:pPr>
              <w:keepNext/>
              <w:rPr>
                <w:b/>
                <w:bCs/>
                <w:sz w:val="20"/>
              </w:rPr>
            </w:pPr>
            <w:r w:rsidRPr="0055723A">
              <w:rPr>
                <w:b/>
                <w:bCs/>
                <w:sz w:val="20"/>
              </w:rPr>
              <w:t xml:space="preserve">PS 3. </w:t>
            </w:r>
            <w:r w:rsidRPr="0055723A">
              <w:rPr>
                <w:bCs/>
                <w:sz w:val="20"/>
              </w:rPr>
              <w:t>Resource Efficiency and Pollution Prevention</w:t>
            </w:r>
          </w:p>
        </w:tc>
        <w:tc>
          <w:tcPr>
            <w:tcW w:w="150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5723A" w:rsidRPr="0055723A" w:rsidRDefault="0055723A" w:rsidP="00BC3D2E">
            <w:pPr>
              <w:jc w:val="center"/>
              <w:rPr>
                <w:sz w:val="20"/>
              </w:rPr>
            </w:pPr>
            <w:r w:rsidRPr="0055723A">
              <w:rPr>
                <w:b/>
                <w:bCs/>
                <w:sz w:val="20"/>
              </w:rPr>
              <w:t>YES</w:t>
            </w:r>
          </w:p>
        </w:tc>
      </w:tr>
      <w:tr w:rsidR="0055723A" w:rsidRPr="0055723A" w:rsidTr="00B14C0F">
        <w:tc>
          <w:tcPr>
            <w:tcW w:w="786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5723A" w:rsidRPr="0055723A" w:rsidRDefault="0055723A" w:rsidP="00BC3D2E">
            <w:pPr>
              <w:keepNext/>
              <w:rPr>
                <w:b/>
                <w:bCs/>
                <w:sz w:val="20"/>
              </w:rPr>
            </w:pPr>
            <w:r w:rsidRPr="0055723A">
              <w:rPr>
                <w:b/>
                <w:bCs/>
                <w:sz w:val="20"/>
              </w:rPr>
              <w:t xml:space="preserve">PS 4. </w:t>
            </w:r>
            <w:r w:rsidRPr="0055723A">
              <w:rPr>
                <w:bCs/>
                <w:sz w:val="20"/>
              </w:rPr>
              <w:t>Community Health, Safety and Security</w:t>
            </w:r>
            <w:r w:rsidRPr="0055723A">
              <w:rPr>
                <w:b/>
                <w:bCs/>
                <w:sz w:val="20"/>
              </w:rPr>
              <w:t xml:space="preserve"> </w:t>
            </w:r>
          </w:p>
        </w:tc>
        <w:tc>
          <w:tcPr>
            <w:tcW w:w="150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5723A" w:rsidRPr="0055723A" w:rsidRDefault="0055723A" w:rsidP="00BC3D2E">
            <w:pPr>
              <w:jc w:val="center"/>
              <w:rPr>
                <w:sz w:val="20"/>
              </w:rPr>
            </w:pPr>
            <w:r w:rsidRPr="0055723A">
              <w:rPr>
                <w:b/>
                <w:bCs/>
                <w:sz w:val="20"/>
              </w:rPr>
              <w:t>YES</w:t>
            </w:r>
          </w:p>
        </w:tc>
      </w:tr>
      <w:tr w:rsidR="0055723A" w:rsidRPr="0055723A" w:rsidTr="00B14C0F">
        <w:tc>
          <w:tcPr>
            <w:tcW w:w="786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5723A" w:rsidRPr="0055723A" w:rsidRDefault="0055723A" w:rsidP="00BC3D2E">
            <w:pPr>
              <w:keepNext/>
              <w:rPr>
                <w:b/>
                <w:bCs/>
                <w:sz w:val="20"/>
              </w:rPr>
            </w:pPr>
            <w:r w:rsidRPr="0055723A">
              <w:rPr>
                <w:b/>
                <w:bCs/>
                <w:sz w:val="20"/>
              </w:rPr>
              <w:t xml:space="preserve">PS 5. </w:t>
            </w:r>
            <w:r w:rsidRPr="0055723A">
              <w:rPr>
                <w:bCs/>
                <w:sz w:val="20"/>
              </w:rPr>
              <w:t>Land Acquisition and Involuntary Resettlement</w:t>
            </w:r>
          </w:p>
        </w:tc>
        <w:tc>
          <w:tcPr>
            <w:tcW w:w="150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5723A" w:rsidRPr="0055723A" w:rsidRDefault="0055723A" w:rsidP="00BC3D2E">
            <w:pPr>
              <w:jc w:val="center"/>
              <w:rPr>
                <w:sz w:val="20"/>
              </w:rPr>
            </w:pPr>
            <w:r w:rsidRPr="0055723A">
              <w:rPr>
                <w:b/>
                <w:bCs/>
                <w:sz w:val="20"/>
              </w:rPr>
              <w:t>YES</w:t>
            </w:r>
          </w:p>
        </w:tc>
      </w:tr>
      <w:tr w:rsidR="0055723A" w:rsidRPr="0055723A" w:rsidTr="00B14C0F">
        <w:tc>
          <w:tcPr>
            <w:tcW w:w="786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5723A" w:rsidRPr="0055723A" w:rsidRDefault="0055723A" w:rsidP="00BC3D2E">
            <w:pPr>
              <w:keepNext/>
              <w:rPr>
                <w:b/>
                <w:bCs/>
                <w:sz w:val="20"/>
              </w:rPr>
            </w:pPr>
            <w:r w:rsidRPr="0055723A">
              <w:rPr>
                <w:b/>
                <w:bCs/>
                <w:sz w:val="20"/>
              </w:rPr>
              <w:t xml:space="preserve">PS 6. </w:t>
            </w:r>
            <w:r w:rsidRPr="0055723A">
              <w:rPr>
                <w:bCs/>
                <w:sz w:val="20"/>
              </w:rPr>
              <w:t>Biodiversity Conservation and Sustainable Management of Living Natural Resources</w:t>
            </w:r>
          </w:p>
        </w:tc>
        <w:tc>
          <w:tcPr>
            <w:tcW w:w="150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5723A" w:rsidRPr="0055723A" w:rsidRDefault="0055723A" w:rsidP="00BC3D2E">
            <w:pPr>
              <w:jc w:val="center"/>
              <w:rPr>
                <w:sz w:val="20"/>
              </w:rPr>
            </w:pPr>
            <w:r w:rsidRPr="0055723A">
              <w:rPr>
                <w:b/>
                <w:bCs/>
                <w:sz w:val="20"/>
              </w:rPr>
              <w:t>YES</w:t>
            </w:r>
          </w:p>
        </w:tc>
      </w:tr>
      <w:tr w:rsidR="0055723A" w:rsidRPr="0055723A" w:rsidTr="00B14C0F">
        <w:tc>
          <w:tcPr>
            <w:tcW w:w="786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5723A" w:rsidRPr="0055723A" w:rsidRDefault="0055723A" w:rsidP="00BC3D2E">
            <w:pPr>
              <w:keepNext/>
              <w:rPr>
                <w:b/>
                <w:bCs/>
                <w:sz w:val="20"/>
              </w:rPr>
            </w:pPr>
            <w:r w:rsidRPr="0055723A">
              <w:rPr>
                <w:b/>
                <w:bCs/>
                <w:sz w:val="20"/>
              </w:rPr>
              <w:t xml:space="preserve">PS 7. </w:t>
            </w:r>
            <w:r w:rsidRPr="0055723A">
              <w:rPr>
                <w:bCs/>
                <w:sz w:val="20"/>
              </w:rPr>
              <w:t>Indigenous People</w:t>
            </w:r>
          </w:p>
        </w:tc>
        <w:tc>
          <w:tcPr>
            <w:tcW w:w="150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5723A" w:rsidRPr="0055723A" w:rsidRDefault="0055723A" w:rsidP="00BC3D2E">
            <w:pPr>
              <w:jc w:val="center"/>
              <w:rPr>
                <w:sz w:val="20"/>
              </w:rPr>
            </w:pPr>
            <w:r w:rsidRPr="0055723A">
              <w:rPr>
                <w:b/>
                <w:bCs/>
                <w:sz w:val="20"/>
              </w:rPr>
              <w:t>NO</w:t>
            </w:r>
          </w:p>
        </w:tc>
      </w:tr>
      <w:tr w:rsidR="0055723A" w:rsidRPr="0055723A" w:rsidTr="00B14C0F">
        <w:tc>
          <w:tcPr>
            <w:tcW w:w="786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5723A" w:rsidRPr="0055723A" w:rsidRDefault="0055723A" w:rsidP="00BC3D2E">
            <w:pPr>
              <w:keepNext/>
              <w:rPr>
                <w:b/>
                <w:bCs/>
                <w:sz w:val="20"/>
              </w:rPr>
            </w:pPr>
            <w:r w:rsidRPr="0055723A">
              <w:rPr>
                <w:b/>
                <w:bCs/>
                <w:sz w:val="20"/>
              </w:rPr>
              <w:t>PS 8.</w:t>
            </w:r>
            <w:r w:rsidRPr="0055723A">
              <w:rPr>
                <w:bCs/>
                <w:sz w:val="20"/>
              </w:rPr>
              <w:t xml:space="preserve"> Cultural Heritage</w:t>
            </w:r>
          </w:p>
        </w:tc>
        <w:tc>
          <w:tcPr>
            <w:tcW w:w="150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5723A" w:rsidRPr="0055723A" w:rsidRDefault="0055723A" w:rsidP="00BC3D2E">
            <w:pPr>
              <w:jc w:val="center"/>
              <w:rPr>
                <w:sz w:val="20"/>
              </w:rPr>
            </w:pPr>
            <w:r w:rsidRPr="0055723A">
              <w:rPr>
                <w:b/>
                <w:bCs/>
                <w:sz w:val="20"/>
              </w:rPr>
              <w:t>YES</w:t>
            </w:r>
          </w:p>
        </w:tc>
      </w:tr>
    </w:tbl>
    <w:p w:rsidR="0055723A" w:rsidRDefault="0055723A" w:rsidP="00BF7BCF">
      <w:pPr>
        <w:rPr>
          <w:b/>
        </w:rPr>
      </w:pPr>
    </w:p>
    <w:bookmarkEnd w:id="18"/>
    <w:p w:rsidR="00A706FA" w:rsidRDefault="00A706FA" w:rsidP="00D84FCA">
      <w:pPr>
        <w:numPr>
          <w:ilvl w:val="0"/>
          <w:numId w:val="7"/>
        </w:numPr>
        <w:rPr>
          <w:b/>
        </w:rPr>
      </w:pPr>
      <w:r w:rsidRPr="00D84FCA">
        <w:rPr>
          <w:b/>
        </w:rPr>
        <w:t>Contact poi</w:t>
      </w:r>
      <w:bookmarkStart w:id="19" w:name="ContactInfo"/>
      <w:bookmarkEnd w:id="19"/>
      <w:r w:rsidR="00BF6F45">
        <w:rPr>
          <w:b/>
        </w:rPr>
        <w:t>nt</w:t>
      </w:r>
      <w:r w:rsidR="00D3482D">
        <w:rPr>
          <w:b/>
        </w:rPr>
        <w:t>s</w:t>
      </w:r>
    </w:p>
    <w:p w:rsidR="009A7D1D" w:rsidRDefault="009A7D1D" w:rsidP="009A7D1D">
      <w:pPr>
        <w:pStyle w:val="ListParagraph"/>
        <w:ind w:left="0"/>
        <w:rPr>
          <w:b/>
        </w:rPr>
      </w:pPr>
    </w:p>
    <w:p w:rsidR="00BF6F45" w:rsidRDefault="00BF6F45" w:rsidP="00BF6F45">
      <w:pPr>
        <w:pStyle w:val="ListParagraph"/>
        <w:ind w:left="0"/>
      </w:pPr>
      <w:r w:rsidRPr="00225112">
        <w:rPr>
          <w:b/>
        </w:rPr>
        <w:t>World Bank</w:t>
      </w:r>
      <w:r>
        <w:rPr>
          <w:b/>
        </w:rPr>
        <w:t xml:space="preserve"> </w:t>
      </w:r>
    </w:p>
    <w:p w:rsidR="00B337D7" w:rsidRDefault="00BF6F45" w:rsidP="00B337D7">
      <w:r w:rsidRPr="00A30F2B">
        <w:t>Contact</w:t>
      </w:r>
      <w:r>
        <w:t>:</w:t>
      </w:r>
      <w:r w:rsidR="00EC7427">
        <w:t xml:space="preserve"> Moez Cherif</w:t>
      </w:r>
    </w:p>
    <w:p w:rsidR="00EC7427" w:rsidRDefault="00EC7427" w:rsidP="00BF6F45">
      <w:r>
        <w:t>Title: Task Team Leader</w:t>
      </w:r>
    </w:p>
    <w:p w:rsidR="00EC7427" w:rsidRDefault="00EC7427" w:rsidP="00BF6F45">
      <w:r>
        <w:t xml:space="preserve">Email: </w:t>
      </w:r>
      <w:hyperlink r:id="rId9" w:history="1">
        <w:r w:rsidRPr="00996AD6">
          <w:rPr>
            <w:rStyle w:val="Hyperlink"/>
          </w:rPr>
          <w:t>mcherif@worldbank.org</w:t>
        </w:r>
      </w:hyperlink>
    </w:p>
    <w:p w:rsidR="00B14C0F" w:rsidRDefault="00B14C0F" w:rsidP="00225112">
      <w:pPr>
        <w:rPr>
          <w:b/>
        </w:rPr>
      </w:pPr>
    </w:p>
    <w:p w:rsidR="00DE4D49" w:rsidRPr="00486B7A" w:rsidRDefault="00486B7A" w:rsidP="00225112">
      <w:pPr>
        <w:rPr>
          <w:b/>
        </w:rPr>
      </w:pPr>
      <w:r w:rsidRPr="00486B7A">
        <w:rPr>
          <w:b/>
        </w:rPr>
        <w:t>Borrower</w:t>
      </w:r>
      <w:r w:rsidR="00B04051">
        <w:rPr>
          <w:b/>
        </w:rPr>
        <w:t xml:space="preserve"> </w:t>
      </w:r>
    </w:p>
    <w:p w:rsidR="002C324C" w:rsidRPr="00B04051" w:rsidRDefault="00486B7A" w:rsidP="00795977">
      <w:r w:rsidRPr="00B04051">
        <w:t xml:space="preserve">Contact: </w:t>
      </w:r>
      <w:r w:rsidR="0055723A">
        <w:t>Mamadou Amadou Kane</w:t>
      </w:r>
    </w:p>
    <w:p w:rsidR="00B337D7" w:rsidRDefault="00486B7A" w:rsidP="00795977">
      <w:r w:rsidRPr="00B04051">
        <w:t>Title:</w:t>
      </w:r>
      <w:r w:rsidR="0055723A">
        <w:t xml:space="preserve"> SPEG General Manager</w:t>
      </w:r>
      <w:r w:rsidRPr="00B04051">
        <w:t xml:space="preserve"> </w:t>
      </w:r>
    </w:p>
    <w:p w:rsidR="00486B7A" w:rsidRPr="00C82216" w:rsidRDefault="00486B7A" w:rsidP="00795977">
      <w:r w:rsidRPr="00B04051">
        <w:t>Email:</w:t>
      </w:r>
      <w:r w:rsidR="00F06771" w:rsidRPr="00B04051">
        <w:t xml:space="preserve"> </w:t>
      </w:r>
      <w:hyperlink r:id="rId10" w:history="1">
        <w:r w:rsidR="00D5275D" w:rsidRPr="00DF158D">
          <w:rPr>
            <w:rStyle w:val="Hyperlink"/>
          </w:rPr>
          <w:t>pakpus@hotmail.com</w:t>
        </w:r>
      </w:hyperlink>
      <w:r w:rsidR="00D5275D">
        <w:t xml:space="preserve"> </w:t>
      </w:r>
    </w:p>
    <w:p w:rsidR="00DE4D49" w:rsidRDefault="00DE4D49" w:rsidP="00DE4D49">
      <w:pPr>
        <w:rPr>
          <w:b/>
        </w:rPr>
      </w:pPr>
    </w:p>
    <w:p w:rsidR="00A706FA" w:rsidRPr="00D84FCA" w:rsidRDefault="00A706FA" w:rsidP="00D84FCA">
      <w:pPr>
        <w:numPr>
          <w:ilvl w:val="0"/>
          <w:numId w:val="7"/>
        </w:numPr>
        <w:rPr>
          <w:b/>
        </w:rPr>
      </w:pPr>
      <w:r w:rsidRPr="00D84FCA">
        <w:rPr>
          <w:b/>
        </w:rPr>
        <w:t>For more information contact:</w:t>
      </w:r>
    </w:p>
    <w:p w:rsidR="00A706FA" w:rsidRPr="00C82216" w:rsidRDefault="00A706FA" w:rsidP="009A7D1D">
      <w:r w:rsidRPr="00C82216">
        <w:t>The InfoShop</w:t>
      </w:r>
    </w:p>
    <w:p w:rsidR="00A706FA" w:rsidRPr="00C82216" w:rsidRDefault="00A706FA" w:rsidP="009A7D1D">
      <w:r w:rsidRPr="00C82216">
        <w:t>The World Bank</w:t>
      </w:r>
    </w:p>
    <w:p w:rsidR="00A706FA" w:rsidRPr="00C82216" w:rsidRDefault="00A706FA" w:rsidP="009A7D1D">
      <w:r w:rsidRPr="00C82216">
        <w:t>1818 H Street, NW</w:t>
      </w:r>
    </w:p>
    <w:p w:rsidR="00A706FA" w:rsidRPr="00C82216" w:rsidRDefault="00A706FA" w:rsidP="009A7D1D">
      <w:r w:rsidRPr="00C82216">
        <w:t>Washington, D.C. 20433</w:t>
      </w:r>
    </w:p>
    <w:p w:rsidR="00A706FA" w:rsidRPr="00C82216" w:rsidRDefault="00A706FA" w:rsidP="009A7D1D">
      <w:r w:rsidRPr="00C82216">
        <w:t>Telephone:  (202) 458-45</w:t>
      </w:r>
      <w:r w:rsidR="00662310">
        <w:t>00</w:t>
      </w:r>
    </w:p>
    <w:p w:rsidR="00A706FA" w:rsidRPr="00C82216" w:rsidRDefault="00A706FA" w:rsidP="009A7D1D">
      <w:r w:rsidRPr="00C82216">
        <w:t>Fax:  (202) 522-1500</w:t>
      </w:r>
    </w:p>
    <w:p w:rsidR="00A706FA" w:rsidRPr="00C82216" w:rsidRDefault="00A706FA">
      <w:r w:rsidRPr="00C82216">
        <w:t>Web: http://www.worldbank.org/infoshop</w:t>
      </w:r>
    </w:p>
    <w:sectPr w:rsidR="00A706FA" w:rsidRPr="00C82216" w:rsidSect="001278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440" w:rsidRDefault="00D05440">
      <w:r>
        <w:separator/>
      </w:r>
    </w:p>
  </w:endnote>
  <w:endnote w:type="continuationSeparator" w:id="0">
    <w:p w:rsidR="00D05440" w:rsidRDefault="00D05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440" w:rsidRDefault="00D05440">
      <w:r>
        <w:separator/>
      </w:r>
    </w:p>
  </w:footnote>
  <w:footnote w:type="continuationSeparator" w:id="0">
    <w:p w:rsidR="00D05440" w:rsidRDefault="00D05440">
      <w:r>
        <w:continuationSeparator/>
      </w:r>
    </w:p>
  </w:footnote>
  <w:footnote w:id="1">
    <w:p w:rsidR="0082762E" w:rsidRDefault="0082762E">
      <w:pPr>
        <w:pStyle w:val="FootnoteText"/>
      </w:pPr>
      <w:r>
        <w:rPr>
          <w:rStyle w:val="FootnoteReference"/>
        </w:rPr>
        <w:footnoteRef/>
      </w:r>
      <w:r>
        <w:t xml:space="preserve"> Installed capacity might be increased up to 310 MW.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240"/>
    <w:multiLevelType w:val="hybridMultilevel"/>
    <w:tmpl w:val="D01EC9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A5593A"/>
    <w:multiLevelType w:val="hybridMultilevel"/>
    <w:tmpl w:val="4C2E1508"/>
    <w:lvl w:ilvl="0" w:tplc="491C4C1C">
      <w:start w:val="1"/>
      <w:numFmt w:val="decimal"/>
      <w:lvlText w:val="%1."/>
      <w:lvlJc w:val="left"/>
      <w:pPr>
        <w:tabs>
          <w:tab w:val="num" w:pos="450"/>
        </w:tabs>
      </w:pPr>
      <w:rPr>
        <w:rFonts w:cs="Times New Roman" w:hint="default"/>
        <w:b w:val="0"/>
        <w:i w:val="0"/>
        <w:sz w:val="24"/>
        <w:szCs w:val="24"/>
      </w:rPr>
    </w:lvl>
    <w:lvl w:ilvl="1" w:tplc="E4B21D22">
      <w:start w:val="1"/>
      <w:numFmt w:val="lowerLetter"/>
      <w:lvlText w:val="(%2)"/>
      <w:lvlJc w:val="left"/>
      <w:pPr>
        <w:tabs>
          <w:tab w:val="num" w:pos="720"/>
        </w:tabs>
        <w:ind w:left="1080"/>
      </w:pPr>
      <w:rPr>
        <w:rFonts w:cs="Times New Roman" w:hint="default"/>
      </w:rPr>
    </w:lvl>
    <w:lvl w:ilvl="2" w:tplc="5B32E65E">
      <w:start w:val="1"/>
      <w:numFmt w:val="lowerRoman"/>
      <w:lvlText w:val="(%3)"/>
      <w:lvlJc w:val="left"/>
      <w:pPr>
        <w:tabs>
          <w:tab w:val="num" w:pos="1260"/>
        </w:tabs>
        <w:ind w:left="1260" w:hanging="360"/>
      </w:pPr>
      <w:rPr>
        <w:rFonts w:hint="default"/>
      </w:rPr>
    </w:lvl>
    <w:lvl w:ilvl="3" w:tplc="0409000F">
      <w:start w:val="1"/>
      <w:numFmt w:val="decimal"/>
      <w:lvlText w:val="%4."/>
      <w:lvlJc w:val="left"/>
      <w:pPr>
        <w:tabs>
          <w:tab w:val="num" w:pos="2880"/>
        </w:tabs>
        <w:ind w:left="2880" w:hanging="360"/>
      </w:pPr>
      <w:rPr>
        <w:rFonts w:cs="Times New Roman"/>
      </w:rPr>
    </w:lvl>
    <w:lvl w:ilvl="4" w:tplc="E4BA68B2">
      <w:start w:val="1"/>
      <w:numFmt w:val="lowerLetter"/>
      <w:lvlText w:val="%5."/>
      <w:lvlJc w:val="left"/>
      <w:pPr>
        <w:ind w:left="3600" w:hanging="360"/>
      </w:pPr>
      <w:rPr>
        <w:rFonts w:hint="default"/>
      </w:rPr>
    </w:lvl>
    <w:lvl w:ilvl="5" w:tplc="0C80E9FE">
      <w:numFmt w:val="bullet"/>
      <w:lvlText w:val="•"/>
      <w:lvlJc w:val="left"/>
      <w:pPr>
        <w:ind w:left="4860" w:hanging="720"/>
      </w:pPr>
      <w:rPr>
        <w:rFonts w:ascii="Times New Roman" w:eastAsia="Times New Roman" w:hAnsi="Times New Roman" w:cs="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18F6F2D"/>
    <w:multiLevelType w:val="multilevel"/>
    <w:tmpl w:val="7C368C9A"/>
    <w:lvl w:ilvl="0">
      <w:start w:val="1"/>
      <w:numFmt w:val="upperRoman"/>
      <w:pStyle w:val="PDSHeading1"/>
      <w:lvlText w:val="%1."/>
      <w:lvlJc w:val="center"/>
      <w:pPr>
        <w:tabs>
          <w:tab w:val="num" w:pos="0"/>
        </w:tabs>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PDSHeading2"/>
      <w:lvlText w:val="%2."/>
      <w:lvlJc w:val="left"/>
      <w:pPr>
        <w:tabs>
          <w:tab w:val="num" w:pos="360"/>
        </w:tabs>
        <w:ind w:left="0" w:firstLine="0"/>
      </w:pPr>
      <w:rPr>
        <w:rFonts w:hint="default"/>
      </w:rPr>
    </w:lvl>
    <w:lvl w:ilvl="2">
      <w:start w:val="1"/>
      <w:numFmt w:val="decimal"/>
      <w:lvlText w:val="%3."/>
      <w:lvlJc w:val="left"/>
      <w:pPr>
        <w:tabs>
          <w:tab w:val="num" w:pos="720"/>
        </w:tabs>
        <w:ind w:left="72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30C0A08"/>
    <w:multiLevelType w:val="hybridMultilevel"/>
    <w:tmpl w:val="F04ADF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DEC5416"/>
    <w:multiLevelType w:val="hybridMultilevel"/>
    <w:tmpl w:val="11E85B56"/>
    <w:lvl w:ilvl="0" w:tplc="2AE893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6275AC"/>
    <w:multiLevelType w:val="hybridMultilevel"/>
    <w:tmpl w:val="549668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816959"/>
    <w:multiLevelType w:val="hybridMultilevel"/>
    <w:tmpl w:val="C70EF95C"/>
    <w:lvl w:ilvl="0" w:tplc="F23C7120">
      <w:start w:val="1"/>
      <w:numFmt w:val="decimal"/>
      <w:lvlText w:val="%1."/>
      <w:lvlJc w:val="left"/>
      <w:pPr>
        <w:ind w:left="720" w:hanging="360"/>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560ABB"/>
    <w:multiLevelType w:val="hybridMultilevel"/>
    <w:tmpl w:val="91503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ADD4246"/>
    <w:multiLevelType w:val="hybridMultilevel"/>
    <w:tmpl w:val="C368F86A"/>
    <w:lvl w:ilvl="0" w:tplc="E290552A">
      <w:start w:val="1"/>
      <w:numFmt w:val="decimal"/>
      <w:lvlText w:val="%1."/>
      <w:lvlJc w:val="left"/>
      <w:pPr>
        <w:ind w:left="360" w:hanging="360"/>
      </w:pPr>
      <w:rPr>
        <w:rFonts w:ascii="Times New Roman" w:hAnsi="Times New Roman" w:cs="Times New Roman" w:hint="default"/>
        <w:b w:val="0"/>
        <w:i w:val="0"/>
        <w:color w:val="auto"/>
        <w:sz w:val="24"/>
        <w:szCs w:val="24"/>
      </w:r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C27168"/>
    <w:multiLevelType w:val="hybridMultilevel"/>
    <w:tmpl w:val="DCF2AB0A"/>
    <w:lvl w:ilvl="0" w:tplc="04090013">
      <w:start w:val="1"/>
      <w:numFmt w:val="upperRoman"/>
      <w:lvlText w:val="%1."/>
      <w:lvlJc w:val="righ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AD1EC3"/>
    <w:multiLevelType w:val="hybridMultilevel"/>
    <w:tmpl w:val="9D38E54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9723C2B"/>
    <w:multiLevelType w:val="hybridMultilevel"/>
    <w:tmpl w:val="B5447F6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9439E6"/>
    <w:multiLevelType w:val="multilevel"/>
    <w:tmpl w:val="A5EE0890"/>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7156FA8"/>
    <w:multiLevelType w:val="hybridMultilevel"/>
    <w:tmpl w:val="B6F4579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86B288B"/>
    <w:multiLevelType w:val="hybridMultilevel"/>
    <w:tmpl w:val="5CBCFCD8"/>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7314D1"/>
    <w:multiLevelType w:val="hybridMultilevel"/>
    <w:tmpl w:val="A39660A8"/>
    <w:lvl w:ilvl="0" w:tplc="74AC854E">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D9C3FA1"/>
    <w:multiLevelType w:val="hybridMultilevel"/>
    <w:tmpl w:val="96A486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214D5B"/>
    <w:multiLevelType w:val="hybridMultilevel"/>
    <w:tmpl w:val="CB24C9EC"/>
    <w:lvl w:ilvl="0" w:tplc="FC9A40E2">
      <w:start w:val="1"/>
      <w:numFmt w:val="decimal"/>
      <w:lvlText w:val="%1."/>
      <w:lvlJc w:val="left"/>
      <w:pPr>
        <w:tabs>
          <w:tab w:val="num" w:pos="360"/>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3D2F0C"/>
    <w:multiLevelType w:val="hybridMultilevel"/>
    <w:tmpl w:val="74B021AC"/>
    <w:lvl w:ilvl="0" w:tplc="BD46BA2E">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54FCD87A">
      <w:start w:val="1"/>
      <w:numFmt w:val="lowerLetter"/>
      <w:lvlText w:val="%2."/>
      <w:lvlJc w:val="left"/>
      <w:pPr>
        <w:tabs>
          <w:tab w:val="num" w:pos="1440"/>
        </w:tabs>
        <w:ind w:left="1440" w:hanging="72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DF90795"/>
    <w:multiLevelType w:val="hybridMultilevel"/>
    <w:tmpl w:val="E45C3C22"/>
    <w:lvl w:ilvl="0" w:tplc="491C4C1C">
      <w:start w:val="1"/>
      <w:numFmt w:val="decimal"/>
      <w:lvlText w:val="%1."/>
      <w:lvlJc w:val="left"/>
      <w:pPr>
        <w:tabs>
          <w:tab w:val="num" w:pos="450"/>
        </w:tabs>
      </w:pPr>
      <w:rPr>
        <w:rFonts w:cs="Times New Roman" w:hint="default"/>
        <w:b w:val="0"/>
        <w:i w:val="0"/>
        <w:sz w:val="24"/>
        <w:szCs w:val="24"/>
      </w:rPr>
    </w:lvl>
    <w:lvl w:ilvl="1" w:tplc="E4B21D22">
      <w:start w:val="1"/>
      <w:numFmt w:val="lowerLetter"/>
      <w:lvlText w:val="(%2)"/>
      <w:lvlJc w:val="left"/>
      <w:pPr>
        <w:tabs>
          <w:tab w:val="num" w:pos="720"/>
        </w:tabs>
        <w:ind w:left="1080"/>
      </w:pPr>
      <w:rPr>
        <w:rFonts w:cs="Times New Roman" w:hint="default"/>
      </w:rPr>
    </w:lvl>
    <w:lvl w:ilvl="2" w:tplc="5B32E65E">
      <w:start w:val="1"/>
      <w:numFmt w:val="lowerRoman"/>
      <w:lvlText w:val="(%3)"/>
      <w:lvlJc w:val="left"/>
      <w:pPr>
        <w:tabs>
          <w:tab w:val="num" w:pos="1260"/>
        </w:tabs>
        <w:ind w:left="1260" w:hanging="360"/>
      </w:pPr>
      <w:rPr>
        <w:rFonts w:hint="default"/>
      </w:rPr>
    </w:lvl>
    <w:lvl w:ilvl="3" w:tplc="0409000F">
      <w:start w:val="1"/>
      <w:numFmt w:val="decimal"/>
      <w:lvlText w:val="%4."/>
      <w:lvlJc w:val="left"/>
      <w:pPr>
        <w:tabs>
          <w:tab w:val="num" w:pos="2880"/>
        </w:tabs>
        <w:ind w:left="2880" w:hanging="360"/>
      </w:pPr>
      <w:rPr>
        <w:rFonts w:cs="Times New Roman"/>
      </w:rPr>
    </w:lvl>
    <w:lvl w:ilvl="4" w:tplc="E4BA68B2">
      <w:start w:val="1"/>
      <w:numFmt w:val="lowerLetter"/>
      <w:lvlText w:val="%5."/>
      <w:lvlJc w:val="left"/>
      <w:pPr>
        <w:ind w:left="3600" w:hanging="360"/>
      </w:pPr>
      <w:rPr>
        <w:rFonts w:hint="default"/>
      </w:rPr>
    </w:lvl>
    <w:lvl w:ilvl="5" w:tplc="0C80E9FE">
      <w:numFmt w:val="bullet"/>
      <w:lvlText w:val="•"/>
      <w:lvlJc w:val="left"/>
      <w:pPr>
        <w:ind w:left="4860" w:hanging="720"/>
      </w:pPr>
      <w:rPr>
        <w:rFonts w:ascii="Times New Roman" w:eastAsia="Times New Roman" w:hAnsi="Times New Roman" w:cs="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ED6383F"/>
    <w:multiLevelType w:val="hybridMultilevel"/>
    <w:tmpl w:val="09E86072"/>
    <w:lvl w:ilvl="0" w:tplc="E94A50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FE30505"/>
    <w:multiLevelType w:val="hybridMultilevel"/>
    <w:tmpl w:val="25E07446"/>
    <w:lvl w:ilvl="0" w:tplc="FFFFFFFF">
      <w:start w:val="1"/>
      <w:numFmt w:val="bullet"/>
      <w:pStyle w:val="Bullet"/>
      <w:lvlText w:val=""/>
      <w:lvlJc w:val="left"/>
      <w:pPr>
        <w:tabs>
          <w:tab w:val="num" w:pos="1440"/>
        </w:tabs>
        <w:ind w:left="144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0"/>
  </w:num>
  <w:num w:numId="3">
    <w:abstractNumId w:val="20"/>
  </w:num>
  <w:num w:numId="4">
    <w:abstractNumId w:val="4"/>
  </w:num>
  <w:num w:numId="5">
    <w:abstractNumId w:val="15"/>
  </w:num>
  <w:num w:numId="6">
    <w:abstractNumId w:val="0"/>
  </w:num>
  <w:num w:numId="7">
    <w:abstractNumId w:val="9"/>
  </w:num>
  <w:num w:numId="8">
    <w:abstractNumId w:val="1"/>
  </w:num>
  <w:num w:numId="9">
    <w:abstractNumId w:val="7"/>
  </w:num>
  <w:num w:numId="10">
    <w:abstractNumId w:val="3"/>
  </w:num>
  <w:num w:numId="11">
    <w:abstractNumId w:val="18"/>
  </w:num>
  <w:num w:numId="12">
    <w:abstractNumId w:val="11"/>
  </w:num>
  <w:num w:numId="13">
    <w:abstractNumId w:val="8"/>
  </w:num>
  <w:num w:numId="14">
    <w:abstractNumId w:val="21"/>
  </w:num>
  <w:num w:numId="15">
    <w:abstractNumId w:val="14"/>
  </w:num>
  <w:num w:numId="16">
    <w:abstractNumId w:val="2"/>
  </w:num>
  <w:num w:numId="17">
    <w:abstractNumId w:val="16"/>
  </w:num>
  <w:num w:numId="18">
    <w:abstractNumId w:val="5"/>
  </w:num>
  <w:num w:numId="19">
    <w:abstractNumId w:val="19"/>
  </w:num>
  <w:num w:numId="20">
    <w:abstractNumId w:val="17"/>
  </w:num>
  <w:num w:numId="21">
    <w:abstractNumId w:val="12"/>
  </w:num>
  <w:num w:numId="22">
    <w:abstractNumId w:val="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1C9"/>
    <w:rsid w:val="00005B66"/>
    <w:rsid w:val="000072B7"/>
    <w:rsid w:val="00026B1B"/>
    <w:rsid w:val="0004025A"/>
    <w:rsid w:val="00050BF5"/>
    <w:rsid w:val="00060542"/>
    <w:rsid w:val="00097D82"/>
    <w:rsid w:val="00097E55"/>
    <w:rsid w:val="000B21EE"/>
    <w:rsid w:val="0010522A"/>
    <w:rsid w:val="001157F6"/>
    <w:rsid w:val="00120660"/>
    <w:rsid w:val="00122103"/>
    <w:rsid w:val="001278E8"/>
    <w:rsid w:val="00145ADF"/>
    <w:rsid w:val="00150F8F"/>
    <w:rsid w:val="00171DEB"/>
    <w:rsid w:val="00181A92"/>
    <w:rsid w:val="00187E04"/>
    <w:rsid w:val="001A09F5"/>
    <w:rsid w:val="00223651"/>
    <w:rsid w:val="00225112"/>
    <w:rsid w:val="00231EA0"/>
    <w:rsid w:val="00232915"/>
    <w:rsid w:val="00232973"/>
    <w:rsid w:val="002702C0"/>
    <w:rsid w:val="00274CD6"/>
    <w:rsid w:val="002922D3"/>
    <w:rsid w:val="002B14A0"/>
    <w:rsid w:val="002B7383"/>
    <w:rsid w:val="002C324C"/>
    <w:rsid w:val="002C41FF"/>
    <w:rsid w:val="002E57AF"/>
    <w:rsid w:val="00324A7F"/>
    <w:rsid w:val="00347D4C"/>
    <w:rsid w:val="0036097E"/>
    <w:rsid w:val="00373544"/>
    <w:rsid w:val="00381796"/>
    <w:rsid w:val="00397808"/>
    <w:rsid w:val="003B2644"/>
    <w:rsid w:val="003B5145"/>
    <w:rsid w:val="003E239A"/>
    <w:rsid w:val="003E4CCE"/>
    <w:rsid w:val="003F0C5D"/>
    <w:rsid w:val="004034A9"/>
    <w:rsid w:val="00411805"/>
    <w:rsid w:val="00423FFB"/>
    <w:rsid w:val="00430B03"/>
    <w:rsid w:val="00432F15"/>
    <w:rsid w:val="00486B7A"/>
    <w:rsid w:val="00486D34"/>
    <w:rsid w:val="004A0192"/>
    <w:rsid w:val="004A0B3C"/>
    <w:rsid w:val="004A37A8"/>
    <w:rsid w:val="004A72C5"/>
    <w:rsid w:val="004B2AEB"/>
    <w:rsid w:val="004B53CA"/>
    <w:rsid w:val="004C2E9C"/>
    <w:rsid w:val="004F0E94"/>
    <w:rsid w:val="004F2343"/>
    <w:rsid w:val="0051428A"/>
    <w:rsid w:val="00520689"/>
    <w:rsid w:val="005536B4"/>
    <w:rsid w:val="0055723A"/>
    <w:rsid w:val="00557DB9"/>
    <w:rsid w:val="005609B2"/>
    <w:rsid w:val="00563BF5"/>
    <w:rsid w:val="005815B0"/>
    <w:rsid w:val="005A1F50"/>
    <w:rsid w:val="005D6B3D"/>
    <w:rsid w:val="005E634C"/>
    <w:rsid w:val="005F63E3"/>
    <w:rsid w:val="006364D9"/>
    <w:rsid w:val="006423CF"/>
    <w:rsid w:val="006461C9"/>
    <w:rsid w:val="0066204B"/>
    <w:rsid w:val="00662310"/>
    <w:rsid w:val="00687A1D"/>
    <w:rsid w:val="006A375B"/>
    <w:rsid w:val="006A5481"/>
    <w:rsid w:val="006D1564"/>
    <w:rsid w:val="00704918"/>
    <w:rsid w:val="00711AFF"/>
    <w:rsid w:val="00745849"/>
    <w:rsid w:val="0076098F"/>
    <w:rsid w:val="00772D88"/>
    <w:rsid w:val="00795977"/>
    <w:rsid w:val="007C4833"/>
    <w:rsid w:val="007F2272"/>
    <w:rsid w:val="00805DF8"/>
    <w:rsid w:val="008159FA"/>
    <w:rsid w:val="00825158"/>
    <w:rsid w:val="0082762E"/>
    <w:rsid w:val="0083177F"/>
    <w:rsid w:val="008329F0"/>
    <w:rsid w:val="0083370D"/>
    <w:rsid w:val="008542E6"/>
    <w:rsid w:val="00863496"/>
    <w:rsid w:val="00863D01"/>
    <w:rsid w:val="00865424"/>
    <w:rsid w:val="00891C40"/>
    <w:rsid w:val="008F2B5A"/>
    <w:rsid w:val="00902D9C"/>
    <w:rsid w:val="009308BE"/>
    <w:rsid w:val="009456A5"/>
    <w:rsid w:val="00945B23"/>
    <w:rsid w:val="00952FC4"/>
    <w:rsid w:val="009A0453"/>
    <w:rsid w:val="009A38F5"/>
    <w:rsid w:val="009A4FE9"/>
    <w:rsid w:val="009A7D1D"/>
    <w:rsid w:val="009B2072"/>
    <w:rsid w:val="009C1F60"/>
    <w:rsid w:val="009D2230"/>
    <w:rsid w:val="009F6EB9"/>
    <w:rsid w:val="00A25FCF"/>
    <w:rsid w:val="00A3270C"/>
    <w:rsid w:val="00A35215"/>
    <w:rsid w:val="00A363FE"/>
    <w:rsid w:val="00A706FA"/>
    <w:rsid w:val="00A732FF"/>
    <w:rsid w:val="00AA75AD"/>
    <w:rsid w:val="00AB1BE1"/>
    <w:rsid w:val="00AB7A20"/>
    <w:rsid w:val="00AC5925"/>
    <w:rsid w:val="00AD4DAE"/>
    <w:rsid w:val="00AF3FDA"/>
    <w:rsid w:val="00AF65C5"/>
    <w:rsid w:val="00B0237B"/>
    <w:rsid w:val="00B04051"/>
    <w:rsid w:val="00B14C0F"/>
    <w:rsid w:val="00B30CA7"/>
    <w:rsid w:val="00B337D7"/>
    <w:rsid w:val="00B36EEC"/>
    <w:rsid w:val="00B50132"/>
    <w:rsid w:val="00B915E5"/>
    <w:rsid w:val="00BB0EA7"/>
    <w:rsid w:val="00BB1BF3"/>
    <w:rsid w:val="00BC3D2E"/>
    <w:rsid w:val="00BD42B8"/>
    <w:rsid w:val="00BE1B98"/>
    <w:rsid w:val="00BF56E7"/>
    <w:rsid w:val="00BF6F45"/>
    <w:rsid w:val="00BF7BCF"/>
    <w:rsid w:val="00C41DEB"/>
    <w:rsid w:val="00C44271"/>
    <w:rsid w:val="00C528E7"/>
    <w:rsid w:val="00C63847"/>
    <w:rsid w:val="00C64361"/>
    <w:rsid w:val="00C82216"/>
    <w:rsid w:val="00C904A7"/>
    <w:rsid w:val="00C92B97"/>
    <w:rsid w:val="00C97881"/>
    <w:rsid w:val="00CC10C2"/>
    <w:rsid w:val="00CF7322"/>
    <w:rsid w:val="00D02472"/>
    <w:rsid w:val="00D05440"/>
    <w:rsid w:val="00D06FBD"/>
    <w:rsid w:val="00D11356"/>
    <w:rsid w:val="00D2518A"/>
    <w:rsid w:val="00D2754B"/>
    <w:rsid w:val="00D32794"/>
    <w:rsid w:val="00D3482D"/>
    <w:rsid w:val="00D5275D"/>
    <w:rsid w:val="00D55C14"/>
    <w:rsid w:val="00D61F93"/>
    <w:rsid w:val="00D6298B"/>
    <w:rsid w:val="00D76FA2"/>
    <w:rsid w:val="00D77A5D"/>
    <w:rsid w:val="00D84FCA"/>
    <w:rsid w:val="00D95B83"/>
    <w:rsid w:val="00DB4C35"/>
    <w:rsid w:val="00DE0837"/>
    <w:rsid w:val="00DE3317"/>
    <w:rsid w:val="00DE4D49"/>
    <w:rsid w:val="00E23EC8"/>
    <w:rsid w:val="00E3611A"/>
    <w:rsid w:val="00E563AD"/>
    <w:rsid w:val="00E95528"/>
    <w:rsid w:val="00EC4352"/>
    <w:rsid w:val="00EC6DB9"/>
    <w:rsid w:val="00EC6FC7"/>
    <w:rsid w:val="00EC7427"/>
    <w:rsid w:val="00ED496E"/>
    <w:rsid w:val="00EE19EE"/>
    <w:rsid w:val="00EF6AAB"/>
    <w:rsid w:val="00F019DE"/>
    <w:rsid w:val="00F06771"/>
    <w:rsid w:val="00F15873"/>
    <w:rsid w:val="00F62379"/>
    <w:rsid w:val="00F64C6F"/>
    <w:rsid w:val="00F863AD"/>
    <w:rsid w:val="00FA77BB"/>
    <w:rsid w:val="00FB1306"/>
    <w:rsid w:val="00FB5265"/>
    <w:rsid w:val="00FB58EA"/>
    <w:rsid w:val="00FB6C3A"/>
    <w:rsid w:val="00FC3AF0"/>
    <w:rsid w:val="00FD3A2E"/>
    <w:rsid w:val="00FD4234"/>
    <w:rsid w:val="00FD69B4"/>
    <w:rsid w:val="00FE4E41"/>
    <w:rsid w:val="00FE7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iPriority="35" w:unhideWhenUsed="1" w:qFormat="1"/>
    <w:lsdException w:name="footnote reference"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8E8"/>
    <w:rPr>
      <w:sz w:val="24"/>
      <w:szCs w:val="24"/>
    </w:rPr>
  </w:style>
  <w:style w:type="paragraph" w:styleId="Heading1">
    <w:name w:val="heading 1"/>
    <w:basedOn w:val="Normal"/>
    <w:next w:val="Normal"/>
    <w:qFormat/>
    <w:rsid w:val="001278E8"/>
    <w:pPr>
      <w:keepNext/>
      <w:outlineLvl w:val="0"/>
    </w:pPr>
    <w:rPr>
      <w:b/>
      <w:bCs/>
    </w:rPr>
  </w:style>
  <w:style w:type="paragraph" w:styleId="Heading2">
    <w:name w:val="heading 2"/>
    <w:basedOn w:val="Normal"/>
    <w:next w:val="Normal"/>
    <w:qFormat/>
    <w:rsid w:val="001278E8"/>
    <w:pPr>
      <w:keepNext/>
      <w:jc w:val="center"/>
      <w:outlineLvl w:val="1"/>
    </w:pPr>
    <w:rPr>
      <w:b/>
      <w:bCs/>
    </w:rPr>
  </w:style>
  <w:style w:type="paragraph" w:styleId="Heading3">
    <w:name w:val="heading 3"/>
    <w:basedOn w:val="Normal"/>
    <w:next w:val="Normal"/>
    <w:link w:val="Heading3Char"/>
    <w:unhideWhenUsed/>
    <w:qFormat/>
    <w:rsid w:val="00187E0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278E8"/>
    <w:pPr>
      <w:ind w:left="-108"/>
      <w:jc w:val="both"/>
    </w:pPr>
  </w:style>
  <w:style w:type="paragraph" w:styleId="CommentText">
    <w:name w:val="annotation text"/>
    <w:basedOn w:val="Normal"/>
    <w:link w:val="CommentTextChar"/>
    <w:rsid w:val="001278E8"/>
    <w:rPr>
      <w:sz w:val="20"/>
      <w:szCs w:val="20"/>
    </w:rPr>
  </w:style>
  <w:style w:type="character" w:styleId="CommentReference">
    <w:name w:val="annotation reference"/>
    <w:basedOn w:val="DefaultParagraphFont"/>
    <w:rsid w:val="001278E8"/>
    <w:rPr>
      <w:sz w:val="16"/>
      <w:szCs w:val="16"/>
    </w:rPr>
  </w:style>
  <w:style w:type="paragraph" w:styleId="BalloonText">
    <w:name w:val="Balloon Text"/>
    <w:basedOn w:val="Normal"/>
    <w:semiHidden/>
    <w:rsid w:val="006461C9"/>
    <w:rPr>
      <w:rFonts w:ascii="Tahoma" w:hAnsi="Tahoma" w:cs="Tahoma"/>
      <w:sz w:val="16"/>
      <w:szCs w:val="16"/>
    </w:rPr>
  </w:style>
  <w:style w:type="character" w:styleId="Hyperlink">
    <w:name w:val="Hyperlink"/>
    <w:basedOn w:val="DefaultParagraphFont"/>
    <w:rsid w:val="00C528E7"/>
    <w:rPr>
      <w:color w:val="0000FF"/>
      <w:u w:val="single"/>
    </w:rPr>
  </w:style>
  <w:style w:type="paragraph" w:styleId="FootnoteText">
    <w:name w:val="footnote text"/>
    <w:aliases w:val="single space,footnote text,fn,FOOTNOTES,ALTS FOOTNOTE,Geneva 9,Font: Geneva 9,Boston 10,f,Footnote Text Char2 Char,Footnote Text Char1 Char Char,Footnote Text Char2 Char Char Char,Footnote Text Char1 Char Char Char Char,WB-Fußnotentext,ft"/>
    <w:basedOn w:val="Normal"/>
    <w:link w:val="FootnoteTextChar"/>
    <w:qFormat/>
    <w:rsid w:val="00C528E7"/>
    <w:rPr>
      <w:sz w:val="20"/>
      <w:szCs w:val="20"/>
    </w:rPr>
  </w:style>
  <w:style w:type="character" w:styleId="FootnoteReference">
    <w:name w:val="footnote reference"/>
    <w:aliases w:val="16 Point,Superscript 6 Point,ftref,BVI fnr, BVI fnr,fr,Footnote Reference Number, Car Car Char Car Char Car Car Char Car Char Char, Car Car Car Car Car Car Car Car Char Car Car Char Car Car Car Char Car Char Char Char,Ref,de nota al p"/>
    <w:basedOn w:val="DefaultParagraphFont"/>
    <w:qFormat/>
    <w:rsid w:val="00C528E7"/>
    <w:rPr>
      <w:vertAlign w:val="superscript"/>
    </w:rPr>
  </w:style>
  <w:style w:type="table" w:styleId="TableGrid">
    <w:name w:val="Table Grid"/>
    <w:basedOn w:val="TableNormal"/>
    <w:uiPriority w:val="59"/>
    <w:rsid w:val="008542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List Paragraph (numbered (a)),Bullets,References,Liste 1,Numbered List Paragraph,ReferencesCxSpLast,Medium Grid 1 - Accent 21,List Paragraph nowy"/>
    <w:basedOn w:val="Normal"/>
    <w:link w:val="ListParagraphChar"/>
    <w:qFormat/>
    <w:rsid w:val="0036097E"/>
    <w:pPr>
      <w:ind w:left="720"/>
      <w:contextualSpacing/>
    </w:pPr>
  </w:style>
  <w:style w:type="paragraph" w:styleId="CommentSubject">
    <w:name w:val="annotation subject"/>
    <w:basedOn w:val="CommentText"/>
    <w:next w:val="CommentText"/>
    <w:link w:val="CommentSubjectChar"/>
    <w:rsid w:val="006A5481"/>
    <w:rPr>
      <w:b/>
      <w:bCs/>
    </w:rPr>
  </w:style>
  <w:style w:type="character" w:customStyle="1" w:styleId="CommentTextChar">
    <w:name w:val="Comment Text Char"/>
    <w:basedOn w:val="DefaultParagraphFont"/>
    <w:link w:val="CommentText"/>
    <w:rsid w:val="006A5481"/>
  </w:style>
  <w:style w:type="character" w:customStyle="1" w:styleId="CommentSubjectChar">
    <w:name w:val="Comment Subject Char"/>
    <w:basedOn w:val="CommentTextChar"/>
    <w:link w:val="CommentSubject"/>
    <w:rsid w:val="006A5481"/>
  </w:style>
  <w:style w:type="paragraph" w:styleId="Header">
    <w:name w:val="header"/>
    <w:basedOn w:val="Normal"/>
    <w:link w:val="HeaderChar"/>
    <w:rsid w:val="009A0453"/>
    <w:pPr>
      <w:tabs>
        <w:tab w:val="center" w:pos="4680"/>
        <w:tab w:val="right" w:pos="9360"/>
      </w:tabs>
    </w:pPr>
  </w:style>
  <w:style w:type="character" w:customStyle="1" w:styleId="HeaderChar">
    <w:name w:val="Header Char"/>
    <w:basedOn w:val="DefaultParagraphFont"/>
    <w:link w:val="Header"/>
    <w:rsid w:val="009A0453"/>
    <w:rPr>
      <w:sz w:val="24"/>
      <w:szCs w:val="24"/>
    </w:rPr>
  </w:style>
  <w:style w:type="paragraph" w:styleId="Footer">
    <w:name w:val="footer"/>
    <w:basedOn w:val="Normal"/>
    <w:link w:val="FooterChar"/>
    <w:rsid w:val="009A0453"/>
    <w:pPr>
      <w:tabs>
        <w:tab w:val="center" w:pos="4680"/>
        <w:tab w:val="right" w:pos="9360"/>
      </w:tabs>
    </w:pPr>
  </w:style>
  <w:style w:type="character" w:customStyle="1" w:styleId="FooterChar">
    <w:name w:val="Footer Char"/>
    <w:basedOn w:val="DefaultParagraphFont"/>
    <w:link w:val="Footer"/>
    <w:rsid w:val="009A0453"/>
    <w:rPr>
      <w:sz w:val="24"/>
      <w:szCs w:val="24"/>
    </w:rPr>
  </w:style>
  <w:style w:type="paragraph" w:customStyle="1" w:styleId="Eskomparagraphnumbered">
    <w:name w:val="Eskom paragraph numbered"/>
    <w:basedOn w:val="Normal"/>
    <w:link w:val="EskomparagraphnumberedChar"/>
    <w:qFormat/>
    <w:rsid w:val="00BF6F45"/>
    <w:pPr>
      <w:spacing w:before="120" w:after="120"/>
      <w:jc w:val="both"/>
    </w:pPr>
    <w:rPr>
      <w:sz w:val="22"/>
      <w:szCs w:val="22"/>
    </w:rPr>
  </w:style>
  <w:style w:type="character" w:customStyle="1" w:styleId="EskomparagraphnumberedChar">
    <w:name w:val="Eskom paragraph numbered Char"/>
    <w:basedOn w:val="DefaultParagraphFont"/>
    <w:link w:val="Eskomparagraphnumbered"/>
    <w:rsid w:val="00BF6F45"/>
    <w:rPr>
      <w:sz w:val="22"/>
      <w:szCs w:val="22"/>
    </w:rPr>
  </w:style>
  <w:style w:type="character" w:customStyle="1" w:styleId="ListParagraphChar">
    <w:name w:val="List Paragraph Char"/>
    <w:aliases w:val="List Paragraph (numbered (a)) Char,Bullets Char,References Char,Liste 1 Char,Numbered List Paragraph Char,ReferencesCxSpLast Char,Medium Grid 1 - Accent 21 Char,List Paragraph nowy Char"/>
    <w:basedOn w:val="DefaultParagraphFont"/>
    <w:link w:val="ListParagraph"/>
    <w:rsid w:val="00BF6F45"/>
    <w:rPr>
      <w:sz w:val="24"/>
      <w:szCs w:val="24"/>
    </w:rPr>
  </w:style>
  <w:style w:type="paragraph" w:styleId="Revision">
    <w:name w:val="Revision"/>
    <w:hidden/>
    <w:uiPriority w:val="99"/>
    <w:semiHidden/>
    <w:rsid w:val="009308BE"/>
    <w:rPr>
      <w:sz w:val="24"/>
      <w:szCs w:val="24"/>
    </w:rPr>
  </w:style>
  <w:style w:type="paragraph" w:customStyle="1" w:styleId="Bullet">
    <w:name w:val="Bullet"/>
    <w:basedOn w:val="Normal"/>
    <w:rsid w:val="007F2272"/>
    <w:pPr>
      <w:numPr>
        <w:numId w:val="14"/>
      </w:numPr>
      <w:tabs>
        <w:tab w:val="clear" w:pos="1440"/>
      </w:tabs>
    </w:pPr>
  </w:style>
  <w:style w:type="character" w:customStyle="1" w:styleId="FootnoteTextChar">
    <w:name w:val="Footnote Text Char"/>
    <w:aliases w:val="single space Char,footnote text Char,fn Char,FOOTNOTES Char,ALTS FOOTNOTE Char,Geneva 9 Char,Font: Geneva 9 Char,Boston 10 Char,f Char,Footnote Text Char2 Char Char,Footnote Text Char1 Char Char Char,WB-Fußnotentext Char,ft Char"/>
    <w:basedOn w:val="DefaultParagraphFont"/>
    <w:link w:val="FootnoteText"/>
    <w:rsid w:val="007F2272"/>
  </w:style>
  <w:style w:type="paragraph" w:styleId="TOC8">
    <w:name w:val="toc 8"/>
    <w:basedOn w:val="Normal"/>
    <w:next w:val="Normal"/>
    <w:autoRedefine/>
    <w:rsid w:val="00223651"/>
    <w:pPr>
      <w:ind w:left="1680"/>
    </w:pPr>
  </w:style>
  <w:style w:type="paragraph" w:customStyle="1" w:styleId="PDSHeading2">
    <w:name w:val="PDS Heading 2"/>
    <w:next w:val="Normal"/>
    <w:rsid w:val="00DE0837"/>
    <w:pPr>
      <w:keepNext/>
      <w:numPr>
        <w:ilvl w:val="1"/>
        <w:numId w:val="16"/>
      </w:numPr>
    </w:pPr>
    <w:rPr>
      <w:b/>
      <w:sz w:val="24"/>
    </w:rPr>
  </w:style>
  <w:style w:type="paragraph" w:customStyle="1" w:styleId="PDSHeading1">
    <w:name w:val="PDS Heading 1"/>
    <w:next w:val="PDSHeading2"/>
    <w:rsid w:val="00DE0837"/>
    <w:pPr>
      <w:keepNext/>
      <w:numPr>
        <w:numId w:val="16"/>
      </w:numPr>
      <w:outlineLvl w:val="0"/>
    </w:pPr>
    <w:rPr>
      <w:b/>
      <w:caps/>
      <w:sz w:val="24"/>
    </w:rPr>
  </w:style>
  <w:style w:type="paragraph" w:styleId="Caption">
    <w:name w:val="caption"/>
    <w:basedOn w:val="Normal"/>
    <w:next w:val="Normal"/>
    <w:uiPriority w:val="35"/>
    <w:unhideWhenUsed/>
    <w:qFormat/>
    <w:rsid w:val="008F2B5A"/>
    <w:pPr>
      <w:widowControl w:val="0"/>
      <w:autoSpaceDE w:val="0"/>
      <w:autoSpaceDN w:val="0"/>
      <w:adjustRightInd w:val="0"/>
      <w:spacing w:after="200"/>
    </w:pPr>
    <w:rPr>
      <w:rFonts w:ascii="Arial" w:hAnsi="Arial" w:cs="Arial"/>
      <w:b/>
      <w:bCs/>
      <w:color w:val="4F81BD"/>
      <w:sz w:val="18"/>
      <w:szCs w:val="18"/>
    </w:rPr>
  </w:style>
  <w:style w:type="character" w:customStyle="1" w:styleId="Heading3Char">
    <w:name w:val="Heading 3 Char"/>
    <w:basedOn w:val="DefaultParagraphFont"/>
    <w:link w:val="Heading3"/>
    <w:rsid w:val="00187E04"/>
    <w:rPr>
      <w:rFonts w:asciiTheme="majorHAnsi" w:eastAsiaTheme="majorEastAsia" w:hAnsiTheme="majorHAnsi" w:cstheme="majorBidi"/>
      <w:b/>
      <w:bCs/>
      <w:color w:val="4F81BD" w:themeColor="accent1"/>
      <w:sz w:val="24"/>
      <w:szCs w:val="24"/>
    </w:rPr>
  </w:style>
  <w:style w:type="paragraph" w:customStyle="1" w:styleId="Heading1a">
    <w:name w:val="Heading 1a"/>
    <w:basedOn w:val="Normal"/>
    <w:next w:val="Normal"/>
    <w:rsid w:val="00AF65C5"/>
    <w:pPr>
      <w:keepNext/>
      <w:keepLines/>
      <w:numPr>
        <w:numId w:val="21"/>
      </w:numPr>
      <w:spacing w:before="1440" w:after="240"/>
      <w:jc w:val="center"/>
      <w:outlineLvl w:val="0"/>
    </w:pPr>
    <w:rPr>
      <w:b/>
      <w:caps/>
      <w:sz w:val="32"/>
    </w:rPr>
  </w:style>
  <w:style w:type="paragraph" w:customStyle="1" w:styleId="MainParanoChapter">
    <w:name w:val="Main Para no Chapter #"/>
    <w:basedOn w:val="Normal"/>
    <w:rsid w:val="00AF65C5"/>
    <w:pPr>
      <w:numPr>
        <w:ilvl w:val="1"/>
        <w:numId w:val="21"/>
      </w:numPr>
      <w:spacing w:after="240"/>
      <w:outlineLvl w:val="1"/>
    </w:pPr>
  </w:style>
  <w:style w:type="paragraph" w:customStyle="1" w:styleId="Sub-Para1underX">
    <w:name w:val="Sub-Para 1 under X."/>
    <w:basedOn w:val="Normal"/>
    <w:rsid w:val="00AF65C5"/>
    <w:pPr>
      <w:numPr>
        <w:ilvl w:val="2"/>
        <w:numId w:val="21"/>
      </w:numPr>
      <w:spacing w:after="240"/>
      <w:outlineLvl w:val="2"/>
    </w:pPr>
  </w:style>
  <w:style w:type="paragraph" w:customStyle="1" w:styleId="Sub-Para2underX">
    <w:name w:val="Sub-Para 2 under X."/>
    <w:basedOn w:val="Normal"/>
    <w:rsid w:val="00AF65C5"/>
    <w:pPr>
      <w:numPr>
        <w:ilvl w:val="3"/>
        <w:numId w:val="21"/>
      </w:numPr>
      <w:spacing w:after="240"/>
      <w:outlineLvl w:val="3"/>
    </w:pPr>
  </w:style>
  <w:style w:type="paragraph" w:customStyle="1" w:styleId="Sub-Para3underX">
    <w:name w:val="Sub-Para 3 under X."/>
    <w:basedOn w:val="Normal"/>
    <w:rsid w:val="00AF65C5"/>
    <w:pPr>
      <w:numPr>
        <w:ilvl w:val="4"/>
        <w:numId w:val="21"/>
      </w:numPr>
      <w:spacing w:after="240"/>
      <w:outlineLvl w:val="4"/>
    </w:pPr>
  </w:style>
  <w:style w:type="paragraph" w:customStyle="1" w:styleId="Sub-Para4underX">
    <w:name w:val="Sub-Para 4 under X."/>
    <w:basedOn w:val="Normal"/>
    <w:rsid w:val="00AF65C5"/>
    <w:pPr>
      <w:numPr>
        <w:ilvl w:val="5"/>
        <w:numId w:val="21"/>
      </w:numPr>
      <w:spacing w:after="240"/>
      <w:outlineLvl w:val="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iPriority="35" w:unhideWhenUsed="1" w:qFormat="1"/>
    <w:lsdException w:name="footnote reference"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8E8"/>
    <w:rPr>
      <w:sz w:val="24"/>
      <w:szCs w:val="24"/>
    </w:rPr>
  </w:style>
  <w:style w:type="paragraph" w:styleId="Heading1">
    <w:name w:val="heading 1"/>
    <w:basedOn w:val="Normal"/>
    <w:next w:val="Normal"/>
    <w:qFormat/>
    <w:rsid w:val="001278E8"/>
    <w:pPr>
      <w:keepNext/>
      <w:outlineLvl w:val="0"/>
    </w:pPr>
    <w:rPr>
      <w:b/>
      <w:bCs/>
    </w:rPr>
  </w:style>
  <w:style w:type="paragraph" w:styleId="Heading2">
    <w:name w:val="heading 2"/>
    <w:basedOn w:val="Normal"/>
    <w:next w:val="Normal"/>
    <w:qFormat/>
    <w:rsid w:val="001278E8"/>
    <w:pPr>
      <w:keepNext/>
      <w:jc w:val="center"/>
      <w:outlineLvl w:val="1"/>
    </w:pPr>
    <w:rPr>
      <w:b/>
      <w:bCs/>
    </w:rPr>
  </w:style>
  <w:style w:type="paragraph" w:styleId="Heading3">
    <w:name w:val="heading 3"/>
    <w:basedOn w:val="Normal"/>
    <w:next w:val="Normal"/>
    <w:link w:val="Heading3Char"/>
    <w:unhideWhenUsed/>
    <w:qFormat/>
    <w:rsid w:val="00187E0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278E8"/>
    <w:pPr>
      <w:ind w:left="-108"/>
      <w:jc w:val="both"/>
    </w:pPr>
  </w:style>
  <w:style w:type="paragraph" w:styleId="CommentText">
    <w:name w:val="annotation text"/>
    <w:basedOn w:val="Normal"/>
    <w:link w:val="CommentTextChar"/>
    <w:rsid w:val="001278E8"/>
    <w:rPr>
      <w:sz w:val="20"/>
      <w:szCs w:val="20"/>
    </w:rPr>
  </w:style>
  <w:style w:type="character" w:styleId="CommentReference">
    <w:name w:val="annotation reference"/>
    <w:basedOn w:val="DefaultParagraphFont"/>
    <w:rsid w:val="001278E8"/>
    <w:rPr>
      <w:sz w:val="16"/>
      <w:szCs w:val="16"/>
    </w:rPr>
  </w:style>
  <w:style w:type="paragraph" w:styleId="BalloonText">
    <w:name w:val="Balloon Text"/>
    <w:basedOn w:val="Normal"/>
    <w:semiHidden/>
    <w:rsid w:val="006461C9"/>
    <w:rPr>
      <w:rFonts w:ascii="Tahoma" w:hAnsi="Tahoma" w:cs="Tahoma"/>
      <w:sz w:val="16"/>
      <w:szCs w:val="16"/>
    </w:rPr>
  </w:style>
  <w:style w:type="character" w:styleId="Hyperlink">
    <w:name w:val="Hyperlink"/>
    <w:basedOn w:val="DefaultParagraphFont"/>
    <w:rsid w:val="00C528E7"/>
    <w:rPr>
      <w:color w:val="0000FF"/>
      <w:u w:val="single"/>
    </w:rPr>
  </w:style>
  <w:style w:type="paragraph" w:styleId="FootnoteText">
    <w:name w:val="footnote text"/>
    <w:aliases w:val="single space,footnote text,fn,FOOTNOTES,ALTS FOOTNOTE,Geneva 9,Font: Geneva 9,Boston 10,f,Footnote Text Char2 Char,Footnote Text Char1 Char Char,Footnote Text Char2 Char Char Char,Footnote Text Char1 Char Char Char Char,WB-Fußnotentext,ft"/>
    <w:basedOn w:val="Normal"/>
    <w:link w:val="FootnoteTextChar"/>
    <w:qFormat/>
    <w:rsid w:val="00C528E7"/>
    <w:rPr>
      <w:sz w:val="20"/>
      <w:szCs w:val="20"/>
    </w:rPr>
  </w:style>
  <w:style w:type="character" w:styleId="FootnoteReference">
    <w:name w:val="footnote reference"/>
    <w:aliases w:val="16 Point,Superscript 6 Point,ftref,BVI fnr, BVI fnr,fr,Footnote Reference Number, Car Car Char Car Char Car Car Char Car Char Char, Car Car Car Car Car Car Car Car Char Car Car Char Car Car Car Char Car Char Char Char,Ref,de nota al p"/>
    <w:basedOn w:val="DefaultParagraphFont"/>
    <w:qFormat/>
    <w:rsid w:val="00C528E7"/>
    <w:rPr>
      <w:vertAlign w:val="superscript"/>
    </w:rPr>
  </w:style>
  <w:style w:type="table" w:styleId="TableGrid">
    <w:name w:val="Table Grid"/>
    <w:basedOn w:val="TableNormal"/>
    <w:uiPriority w:val="59"/>
    <w:rsid w:val="008542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List Paragraph (numbered (a)),Bullets,References,Liste 1,Numbered List Paragraph,ReferencesCxSpLast,Medium Grid 1 - Accent 21,List Paragraph nowy"/>
    <w:basedOn w:val="Normal"/>
    <w:link w:val="ListParagraphChar"/>
    <w:qFormat/>
    <w:rsid w:val="0036097E"/>
    <w:pPr>
      <w:ind w:left="720"/>
      <w:contextualSpacing/>
    </w:pPr>
  </w:style>
  <w:style w:type="paragraph" w:styleId="CommentSubject">
    <w:name w:val="annotation subject"/>
    <w:basedOn w:val="CommentText"/>
    <w:next w:val="CommentText"/>
    <w:link w:val="CommentSubjectChar"/>
    <w:rsid w:val="006A5481"/>
    <w:rPr>
      <w:b/>
      <w:bCs/>
    </w:rPr>
  </w:style>
  <w:style w:type="character" w:customStyle="1" w:styleId="CommentTextChar">
    <w:name w:val="Comment Text Char"/>
    <w:basedOn w:val="DefaultParagraphFont"/>
    <w:link w:val="CommentText"/>
    <w:rsid w:val="006A5481"/>
  </w:style>
  <w:style w:type="character" w:customStyle="1" w:styleId="CommentSubjectChar">
    <w:name w:val="Comment Subject Char"/>
    <w:basedOn w:val="CommentTextChar"/>
    <w:link w:val="CommentSubject"/>
    <w:rsid w:val="006A5481"/>
  </w:style>
  <w:style w:type="paragraph" w:styleId="Header">
    <w:name w:val="header"/>
    <w:basedOn w:val="Normal"/>
    <w:link w:val="HeaderChar"/>
    <w:rsid w:val="009A0453"/>
    <w:pPr>
      <w:tabs>
        <w:tab w:val="center" w:pos="4680"/>
        <w:tab w:val="right" w:pos="9360"/>
      </w:tabs>
    </w:pPr>
  </w:style>
  <w:style w:type="character" w:customStyle="1" w:styleId="HeaderChar">
    <w:name w:val="Header Char"/>
    <w:basedOn w:val="DefaultParagraphFont"/>
    <w:link w:val="Header"/>
    <w:rsid w:val="009A0453"/>
    <w:rPr>
      <w:sz w:val="24"/>
      <w:szCs w:val="24"/>
    </w:rPr>
  </w:style>
  <w:style w:type="paragraph" w:styleId="Footer">
    <w:name w:val="footer"/>
    <w:basedOn w:val="Normal"/>
    <w:link w:val="FooterChar"/>
    <w:rsid w:val="009A0453"/>
    <w:pPr>
      <w:tabs>
        <w:tab w:val="center" w:pos="4680"/>
        <w:tab w:val="right" w:pos="9360"/>
      </w:tabs>
    </w:pPr>
  </w:style>
  <w:style w:type="character" w:customStyle="1" w:styleId="FooterChar">
    <w:name w:val="Footer Char"/>
    <w:basedOn w:val="DefaultParagraphFont"/>
    <w:link w:val="Footer"/>
    <w:rsid w:val="009A0453"/>
    <w:rPr>
      <w:sz w:val="24"/>
      <w:szCs w:val="24"/>
    </w:rPr>
  </w:style>
  <w:style w:type="paragraph" w:customStyle="1" w:styleId="Eskomparagraphnumbered">
    <w:name w:val="Eskom paragraph numbered"/>
    <w:basedOn w:val="Normal"/>
    <w:link w:val="EskomparagraphnumberedChar"/>
    <w:qFormat/>
    <w:rsid w:val="00BF6F45"/>
    <w:pPr>
      <w:spacing w:before="120" w:after="120"/>
      <w:jc w:val="both"/>
    </w:pPr>
    <w:rPr>
      <w:sz w:val="22"/>
      <w:szCs w:val="22"/>
    </w:rPr>
  </w:style>
  <w:style w:type="character" w:customStyle="1" w:styleId="EskomparagraphnumberedChar">
    <w:name w:val="Eskom paragraph numbered Char"/>
    <w:basedOn w:val="DefaultParagraphFont"/>
    <w:link w:val="Eskomparagraphnumbered"/>
    <w:rsid w:val="00BF6F45"/>
    <w:rPr>
      <w:sz w:val="22"/>
      <w:szCs w:val="22"/>
    </w:rPr>
  </w:style>
  <w:style w:type="character" w:customStyle="1" w:styleId="ListParagraphChar">
    <w:name w:val="List Paragraph Char"/>
    <w:aliases w:val="List Paragraph (numbered (a)) Char,Bullets Char,References Char,Liste 1 Char,Numbered List Paragraph Char,ReferencesCxSpLast Char,Medium Grid 1 - Accent 21 Char,List Paragraph nowy Char"/>
    <w:basedOn w:val="DefaultParagraphFont"/>
    <w:link w:val="ListParagraph"/>
    <w:rsid w:val="00BF6F45"/>
    <w:rPr>
      <w:sz w:val="24"/>
      <w:szCs w:val="24"/>
    </w:rPr>
  </w:style>
  <w:style w:type="paragraph" w:styleId="Revision">
    <w:name w:val="Revision"/>
    <w:hidden/>
    <w:uiPriority w:val="99"/>
    <w:semiHidden/>
    <w:rsid w:val="009308BE"/>
    <w:rPr>
      <w:sz w:val="24"/>
      <w:szCs w:val="24"/>
    </w:rPr>
  </w:style>
  <w:style w:type="paragraph" w:customStyle="1" w:styleId="Bullet">
    <w:name w:val="Bullet"/>
    <w:basedOn w:val="Normal"/>
    <w:rsid w:val="007F2272"/>
    <w:pPr>
      <w:numPr>
        <w:numId w:val="14"/>
      </w:numPr>
      <w:tabs>
        <w:tab w:val="clear" w:pos="1440"/>
      </w:tabs>
    </w:pPr>
  </w:style>
  <w:style w:type="character" w:customStyle="1" w:styleId="FootnoteTextChar">
    <w:name w:val="Footnote Text Char"/>
    <w:aliases w:val="single space Char,footnote text Char,fn Char,FOOTNOTES Char,ALTS FOOTNOTE Char,Geneva 9 Char,Font: Geneva 9 Char,Boston 10 Char,f Char,Footnote Text Char2 Char Char,Footnote Text Char1 Char Char Char,WB-Fußnotentext Char,ft Char"/>
    <w:basedOn w:val="DefaultParagraphFont"/>
    <w:link w:val="FootnoteText"/>
    <w:rsid w:val="007F2272"/>
  </w:style>
  <w:style w:type="paragraph" w:styleId="TOC8">
    <w:name w:val="toc 8"/>
    <w:basedOn w:val="Normal"/>
    <w:next w:val="Normal"/>
    <w:autoRedefine/>
    <w:rsid w:val="00223651"/>
    <w:pPr>
      <w:ind w:left="1680"/>
    </w:pPr>
  </w:style>
  <w:style w:type="paragraph" w:customStyle="1" w:styleId="PDSHeading2">
    <w:name w:val="PDS Heading 2"/>
    <w:next w:val="Normal"/>
    <w:rsid w:val="00DE0837"/>
    <w:pPr>
      <w:keepNext/>
      <w:numPr>
        <w:ilvl w:val="1"/>
        <w:numId w:val="16"/>
      </w:numPr>
    </w:pPr>
    <w:rPr>
      <w:b/>
      <w:sz w:val="24"/>
    </w:rPr>
  </w:style>
  <w:style w:type="paragraph" w:customStyle="1" w:styleId="PDSHeading1">
    <w:name w:val="PDS Heading 1"/>
    <w:next w:val="PDSHeading2"/>
    <w:rsid w:val="00DE0837"/>
    <w:pPr>
      <w:keepNext/>
      <w:numPr>
        <w:numId w:val="16"/>
      </w:numPr>
      <w:outlineLvl w:val="0"/>
    </w:pPr>
    <w:rPr>
      <w:b/>
      <w:caps/>
      <w:sz w:val="24"/>
    </w:rPr>
  </w:style>
  <w:style w:type="paragraph" w:styleId="Caption">
    <w:name w:val="caption"/>
    <w:basedOn w:val="Normal"/>
    <w:next w:val="Normal"/>
    <w:uiPriority w:val="35"/>
    <w:unhideWhenUsed/>
    <w:qFormat/>
    <w:rsid w:val="008F2B5A"/>
    <w:pPr>
      <w:widowControl w:val="0"/>
      <w:autoSpaceDE w:val="0"/>
      <w:autoSpaceDN w:val="0"/>
      <w:adjustRightInd w:val="0"/>
      <w:spacing w:after="200"/>
    </w:pPr>
    <w:rPr>
      <w:rFonts w:ascii="Arial" w:hAnsi="Arial" w:cs="Arial"/>
      <w:b/>
      <w:bCs/>
      <w:color w:val="4F81BD"/>
      <w:sz w:val="18"/>
      <w:szCs w:val="18"/>
    </w:rPr>
  </w:style>
  <w:style w:type="character" w:customStyle="1" w:styleId="Heading3Char">
    <w:name w:val="Heading 3 Char"/>
    <w:basedOn w:val="DefaultParagraphFont"/>
    <w:link w:val="Heading3"/>
    <w:rsid w:val="00187E04"/>
    <w:rPr>
      <w:rFonts w:asciiTheme="majorHAnsi" w:eastAsiaTheme="majorEastAsia" w:hAnsiTheme="majorHAnsi" w:cstheme="majorBidi"/>
      <w:b/>
      <w:bCs/>
      <w:color w:val="4F81BD" w:themeColor="accent1"/>
      <w:sz w:val="24"/>
      <w:szCs w:val="24"/>
    </w:rPr>
  </w:style>
  <w:style w:type="paragraph" w:customStyle="1" w:styleId="Heading1a">
    <w:name w:val="Heading 1a"/>
    <w:basedOn w:val="Normal"/>
    <w:next w:val="Normal"/>
    <w:rsid w:val="00AF65C5"/>
    <w:pPr>
      <w:keepNext/>
      <w:keepLines/>
      <w:numPr>
        <w:numId w:val="21"/>
      </w:numPr>
      <w:spacing w:before="1440" w:after="240"/>
      <w:jc w:val="center"/>
      <w:outlineLvl w:val="0"/>
    </w:pPr>
    <w:rPr>
      <w:b/>
      <w:caps/>
      <w:sz w:val="32"/>
    </w:rPr>
  </w:style>
  <w:style w:type="paragraph" w:customStyle="1" w:styleId="MainParanoChapter">
    <w:name w:val="Main Para no Chapter #"/>
    <w:basedOn w:val="Normal"/>
    <w:rsid w:val="00AF65C5"/>
    <w:pPr>
      <w:numPr>
        <w:ilvl w:val="1"/>
        <w:numId w:val="21"/>
      </w:numPr>
      <w:spacing w:after="240"/>
      <w:outlineLvl w:val="1"/>
    </w:pPr>
  </w:style>
  <w:style w:type="paragraph" w:customStyle="1" w:styleId="Sub-Para1underX">
    <w:name w:val="Sub-Para 1 under X."/>
    <w:basedOn w:val="Normal"/>
    <w:rsid w:val="00AF65C5"/>
    <w:pPr>
      <w:numPr>
        <w:ilvl w:val="2"/>
        <w:numId w:val="21"/>
      </w:numPr>
      <w:spacing w:after="240"/>
      <w:outlineLvl w:val="2"/>
    </w:pPr>
  </w:style>
  <w:style w:type="paragraph" w:customStyle="1" w:styleId="Sub-Para2underX">
    <w:name w:val="Sub-Para 2 under X."/>
    <w:basedOn w:val="Normal"/>
    <w:rsid w:val="00AF65C5"/>
    <w:pPr>
      <w:numPr>
        <w:ilvl w:val="3"/>
        <w:numId w:val="21"/>
      </w:numPr>
      <w:spacing w:after="240"/>
      <w:outlineLvl w:val="3"/>
    </w:pPr>
  </w:style>
  <w:style w:type="paragraph" w:customStyle="1" w:styleId="Sub-Para3underX">
    <w:name w:val="Sub-Para 3 under X."/>
    <w:basedOn w:val="Normal"/>
    <w:rsid w:val="00AF65C5"/>
    <w:pPr>
      <w:numPr>
        <w:ilvl w:val="4"/>
        <w:numId w:val="21"/>
      </w:numPr>
      <w:spacing w:after="240"/>
      <w:outlineLvl w:val="4"/>
    </w:pPr>
  </w:style>
  <w:style w:type="paragraph" w:customStyle="1" w:styleId="Sub-Para4underX">
    <w:name w:val="Sub-Para 4 under X."/>
    <w:basedOn w:val="Normal"/>
    <w:rsid w:val="00AF65C5"/>
    <w:pPr>
      <w:numPr>
        <w:ilvl w:val="5"/>
        <w:numId w:val="21"/>
      </w:numPr>
      <w:spacing w:after="240"/>
      <w:outlineLvl w:val="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akpus@hotmail.com" TargetMode="External"/><Relationship Id="rId4" Type="http://schemas.microsoft.com/office/2007/relationships/stylesWithEffects" Target="stylesWithEffects.xml"/><Relationship Id="rId9" Type="http://schemas.openxmlformats.org/officeDocument/2006/relationships/hyperlink" Target="mailto:mcherif@worl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AA14E-BCA5-4216-9333-4421F9ED6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2675</Words>
  <Characters>14232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PROJECT INFORMATION DOCUMENT (PID)</vt:lpstr>
    </vt:vector>
  </TitlesOfParts>
  <Company>World Bank Group</Company>
  <LinksUpToDate>false</LinksUpToDate>
  <CharactersWithSpaces>16874</CharactersWithSpaces>
  <SharedDoc>false</SharedDoc>
  <HLinks>
    <vt:vector size="108" baseType="variant">
      <vt:variant>
        <vt:i4>5636182</vt:i4>
      </vt:variant>
      <vt:variant>
        <vt:i4>54</vt:i4>
      </vt:variant>
      <vt:variant>
        <vt:i4>0</vt:i4>
      </vt:variant>
      <vt:variant>
        <vt:i4>5</vt:i4>
      </vt:variant>
      <vt:variant>
        <vt:lpwstr>http://intranet.worldbank.org/WBSITE/INTRANET/OPSMANUAL/0,,contentMDK:20064701~pagePK:60001255~piPK:60000911~theSitePK:210385,00.html</vt:lpwstr>
      </vt:variant>
      <vt:variant>
        <vt:lpwstr/>
      </vt:variant>
      <vt:variant>
        <vt:i4>5308496</vt:i4>
      </vt:variant>
      <vt:variant>
        <vt:i4>51</vt:i4>
      </vt:variant>
      <vt:variant>
        <vt:i4>0</vt:i4>
      </vt:variant>
      <vt:variant>
        <vt:i4>5</vt:i4>
      </vt:variant>
      <vt:variant>
        <vt:lpwstr>http://intranet.worldbank.org/WBSITE/INTRANET/OPSMANUAL/0,,contentMDK:20064667~pagePK:60001255~piPK:60000911~theSitePK:210385,00.html</vt:lpwstr>
      </vt:variant>
      <vt:variant>
        <vt:lpwstr/>
      </vt:variant>
      <vt:variant>
        <vt:i4>5636178</vt:i4>
      </vt:variant>
      <vt:variant>
        <vt:i4>48</vt:i4>
      </vt:variant>
      <vt:variant>
        <vt:i4>0</vt:i4>
      </vt:variant>
      <vt:variant>
        <vt:i4>5</vt:i4>
      </vt:variant>
      <vt:variant>
        <vt:lpwstr>http://intranet.worldbank.org/WBSITE/INTRANET/OPSMANUAL/0,,contentMDK:20064640~pagePK:60001255~piPK:60000911~theSitePK:210385,00.html</vt:lpwstr>
      </vt:variant>
      <vt:variant>
        <vt:lpwstr/>
      </vt:variant>
      <vt:variant>
        <vt:i4>5439575</vt:i4>
      </vt:variant>
      <vt:variant>
        <vt:i4>45</vt:i4>
      </vt:variant>
      <vt:variant>
        <vt:i4>0</vt:i4>
      </vt:variant>
      <vt:variant>
        <vt:i4>5</vt:i4>
      </vt:variant>
      <vt:variant>
        <vt:lpwstr>http://intranet.worldbank.org/WBSITE/INTRANET/OPSMANUAL/0,,contentMDK:20064615~pagePK:60001255~piPK:60000911~theSitePK:210385,00.html</vt:lpwstr>
      </vt:variant>
      <vt:variant>
        <vt:lpwstr/>
      </vt:variant>
      <vt:variant>
        <vt:i4>6029406</vt:i4>
      </vt:variant>
      <vt:variant>
        <vt:i4>42</vt:i4>
      </vt:variant>
      <vt:variant>
        <vt:i4>0</vt:i4>
      </vt:variant>
      <vt:variant>
        <vt:i4>5</vt:i4>
      </vt:variant>
      <vt:variant>
        <vt:lpwstr>http://intranet.worldbank.org/WBSITE/INTRANET/OPSMANUAL/0,,contentMDK:20064589~pagePK:60001255~piPK:60000911~theSitePK:210385,00.html</vt:lpwstr>
      </vt:variant>
      <vt:variant>
        <vt:lpwstr/>
      </vt:variant>
      <vt:variant>
        <vt:i4>5570643</vt:i4>
      </vt:variant>
      <vt:variant>
        <vt:i4>39</vt:i4>
      </vt:variant>
      <vt:variant>
        <vt:i4>0</vt:i4>
      </vt:variant>
      <vt:variant>
        <vt:i4>5</vt:i4>
      </vt:variant>
      <vt:variant>
        <vt:lpwstr>http://intranet.worldbank.org/WBSITE/INTRANET/OPSMANUAL/0,,contentMDK:20064653~pagePK:60001255~piPK:60000911~theSitePK:210385,00.html</vt:lpwstr>
      </vt:variant>
      <vt:variant>
        <vt:lpwstr/>
      </vt:variant>
      <vt:variant>
        <vt:i4>5374042</vt:i4>
      </vt:variant>
      <vt:variant>
        <vt:i4>36</vt:i4>
      </vt:variant>
      <vt:variant>
        <vt:i4>0</vt:i4>
      </vt:variant>
      <vt:variant>
        <vt:i4>5</vt:i4>
      </vt:variant>
      <vt:variant>
        <vt:lpwstr>http://intranet.worldbank.org/WBSITE/INTRANET/OPSMANUAL/0,,contentMDK:20141282~pagePK:60001255~piPK:60000911~theSitePK:210385,00.html</vt:lpwstr>
      </vt:variant>
      <vt:variant>
        <vt:lpwstr/>
      </vt:variant>
      <vt:variant>
        <vt:i4>6160464</vt:i4>
      </vt:variant>
      <vt:variant>
        <vt:i4>33</vt:i4>
      </vt:variant>
      <vt:variant>
        <vt:i4>0</vt:i4>
      </vt:variant>
      <vt:variant>
        <vt:i4>5</vt:i4>
      </vt:variant>
      <vt:variant>
        <vt:lpwstr>http://intranet.worldbank.org/WBSITE/INTRANET/OPSMANUAL/0,,contentMDK:20064668~pagePK:60001255~piPK:60000911~theSitePK:210385,00.html</vt:lpwstr>
      </vt:variant>
      <vt:variant>
        <vt:lpwstr/>
      </vt:variant>
      <vt:variant>
        <vt:i4>5701714</vt:i4>
      </vt:variant>
      <vt:variant>
        <vt:i4>30</vt:i4>
      </vt:variant>
      <vt:variant>
        <vt:i4>0</vt:i4>
      </vt:variant>
      <vt:variant>
        <vt:i4>5</vt:i4>
      </vt:variant>
      <vt:variant>
        <vt:lpwstr>http://intranet.worldbank.org/WBSITE/INTRANET/OPSMANUAL/0,,contentMDK:20567522~pagePK:60001255~piPK:60000911~theSitePK:210385,00.html</vt:lpwstr>
      </vt:variant>
      <vt:variant>
        <vt:lpwstr/>
      </vt:variant>
      <vt:variant>
        <vt:i4>5242960</vt:i4>
      </vt:variant>
      <vt:variant>
        <vt:i4>27</vt:i4>
      </vt:variant>
      <vt:variant>
        <vt:i4>0</vt:i4>
      </vt:variant>
      <vt:variant>
        <vt:i4>5</vt:i4>
      </vt:variant>
      <vt:variant>
        <vt:lpwstr>http://intranet.worldbank.org/WBSITE/INTRANET/OPSMANUAL/0,,contentMDK:20567505~pagePK:60001255~piPK:60000911~theSitePK:210385,00.html</vt:lpwstr>
      </vt:variant>
      <vt:variant>
        <vt:lpwstr/>
      </vt:variant>
      <vt:variant>
        <vt:i4>5439569</vt:i4>
      </vt:variant>
      <vt:variant>
        <vt:i4>24</vt:i4>
      </vt:variant>
      <vt:variant>
        <vt:i4>0</vt:i4>
      </vt:variant>
      <vt:variant>
        <vt:i4>5</vt:i4>
      </vt:variant>
      <vt:variant>
        <vt:lpwstr>http://intranet.worldbank.org/WBSITE/INTRANET/OPSMANUAL/0,,contentMDK:20064675~pagePK:60001255~piPK:60000911~theSitePK:210385,00.html</vt:lpwstr>
      </vt:variant>
      <vt:variant>
        <vt:lpwstr/>
      </vt:variant>
      <vt:variant>
        <vt:i4>5636183</vt:i4>
      </vt:variant>
      <vt:variant>
        <vt:i4>21</vt:i4>
      </vt:variant>
      <vt:variant>
        <vt:i4>0</vt:i4>
      </vt:variant>
      <vt:variant>
        <vt:i4>5</vt:i4>
      </vt:variant>
      <vt:variant>
        <vt:lpwstr>http://intranet.worldbank.org/WBSITE/INTRANET/OPSMANUAL/0,,contentMDK:20064610~pagePK:60001255~piPK:60000911~theSitePK:210385,00.html</vt:lpwstr>
      </vt:variant>
      <vt:variant>
        <vt:lpwstr/>
      </vt:variant>
      <vt:variant>
        <vt:i4>5701716</vt:i4>
      </vt:variant>
      <vt:variant>
        <vt:i4>18</vt:i4>
      </vt:variant>
      <vt:variant>
        <vt:i4>0</vt:i4>
      </vt:variant>
      <vt:variant>
        <vt:i4>5</vt:i4>
      </vt:variant>
      <vt:variant>
        <vt:lpwstr>http://intranet.worldbank.org/WBSITE/INTRANET/OPSMANUAL/0,,contentMDK:20064720~pagePK:60001255~piPK:60000911~theSitePK:210385,00.html</vt:lpwstr>
      </vt:variant>
      <vt:variant>
        <vt:lpwstr/>
      </vt:variant>
      <vt:variant>
        <vt:i4>5570640</vt:i4>
      </vt:variant>
      <vt:variant>
        <vt:i4>15</vt:i4>
      </vt:variant>
      <vt:variant>
        <vt:i4>0</vt:i4>
      </vt:variant>
      <vt:variant>
        <vt:i4>5</vt:i4>
      </vt:variant>
      <vt:variant>
        <vt:lpwstr>http://intranet.worldbank.org/WBSITE/INTRANET/OPSMANUAL/0,,contentMDK:20064560~pagePK:60001255~piPK:60000911~theSitePK:210385,00.html</vt:lpwstr>
      </vt:variant>
      <vt:variant>
        <vt:lpwstr/>
      </vt:variant>
      <vt:variant>
        <vt:i4>5242963</vt:i4>
      </vt:variant>
      <vt:variant>
        <vt:i4>12</vt:i4>
      </vt:variant>
      <vt:variant>
        <vt:i4>0</vt:i4>
      </vt:variant>
      <vt:variant>
        <vt:i4>5</vt:i4>
      </vt:variant>
      <vt:variant>
        <vt:lpwstr>http://intranet.worldbank.org/WBSITE/INTRANET/OPSMANUAL/0,,contentMDK:20064757~pagePK:60001255~piPK:60000911~theSitePK:210385,00.html</vt:lpwstr>
      </vt:variant>
      <vt:variant>
        <vt:lpwstr/>
      </vt:variant>
      <vt:variant>
        <vt:i4>5374039</vt:i4>
      </vt:variant>
      <vt:variant>
        <vt:i4>9</vt:i4>
      </vt:variant>
      <vt:variant>
        <vt:i4>0</vt:i4>
      </vt:variant>
      <vt:variant>
        <vt:i4>5</vt:i4>
      </vt:variant>
      <vt:variant>
        <vt:lpwstr>http://intranet.worldbank.org/WBSITE/INTRANET/OPSMANUAL/0,,contentMDK:20064614~pagePK:60001255~piPK:60000911~theSitePK:210385,00.html</vt:lpwstr>
      </vt:variant>
      <vt:variant>
        <vt:lpwstr/>
      </vt:variant>
      <vt:variant>
        <vt:i4>5439572</vt:i4>
      </vt:variant>
      <vt:variant>
        <vt:i4>6</vt:i4>
      </vt:variant>
      <vt:variant>
        <vt:i4>0</vt:i4>
      </vt:variant>
      <vt:variant>
        <vt:i4>5</vt:i4>
      </vt:variant>
      <vt:variant>
        <vt:lpwstr>http://intranet.worldbank.org/WBSITE/INTRANET/OPSMANUAL/0,,contentMDK:20064724~pagePK:60001255~piPK:60000911~theSitePK:210385,00.html</vt:lpwstr>
      </vt:variant>
      <vt:variant>
        <vt:lpwstr/>
      </vt:variant>
      <vt:variant>
        <vt:i4>5111876</vt:i4>
      </vt:variant>
      <vt:variant>
        <vt:i4>3</vt:i4>
      </vt:variant>
      <vt:variant>
        <vt:i4>0</vt:i4>
      </vt:variant>
      <vt:variant>
        <vt:i4>5</vt:i4>
      </vt:variant>
      <vt:variant>
        <vt:lpwstr>http://www.worldbank.org/environmentalassessment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 DOCUMENT (PID)</dc:title>
  <dc:creator>Alan Carroll</dc:creator>
  <cp:lastModifiedBy>Thanh Lu Ha</cp:lastModifiedBy>
  <cp:revision>3</cp:revision>
  <cp:lastPrinted>2013-10-17T12:35:00Z</cp:lastPrinted>
  <dcterms:created xsi:type="dcterms:W3CDTF">2014-04-28T13:30:00Z</dcterms:created>
  <dcterms:modified xsi:type="dcterms:W3CDTF">2014-04-28T13:51:00Z</dcterms:modified>
</cp:coreProperties>
</file>