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3F" w:rsidRDefault="009D322B" w:rsidP="000120C6">
      <w:pPr>
        <w:pStyle w:val="PDSAnnexHeading"/>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405.75pt;margin-top:-60pt;width:125.25pt;height:48.75pt;z-index:251658240" filled="f" stroked="f">
            <v:textbox>
              <w:txbxContent>
                <w:p w:rsidR="009D322B" w:rsidRPr="009D322B" w:rsidRDefault="009D322B">
                  <w:pPr>
                    <w:rPr>
                      <w:rFonts w:ascii="Arial" w:hAnsi="Arial" w:cs="Arial"/>
                      <w:sz w:val="44"/>
                      <w:szCs w:val="44"/>
                    </w:rPr>
                  </w:pPr>
                  <w:r>
                    <w:rPr>
                      <w:rFonts w:ascii="Arial" w:hAnsi="Arial" w:cs="Arial"/>
                      <w:sz w:val="44"/>
                      <w:szCs w:val="44"/>
                    </w:rPr>
                    <w:t>IPP592</w:t>
                  </w:r>
                </w:p>
              </w:txbxContent>
            </v:textbox>
          </v:shape>
        </w:pict>
      </w:r>
    </w:p>
    <w:p w:rsidR="000120C6" w:rsidRPr="00F4122C" w:rsidRDefault="000120C6" w:rsidP="000120C6">
      <w:pPr>
        <w:pStyle w:val="PDSAnnexHeading"/>
      </w:pPr>
      <w:r w:rsidRPr="00F4122C">
        <w:t xml:space="preserve">P128178 </w:t>
      </w:r>
      <w:r w:rsidR="00E34775" w:rsidRPr="00E34775">
        <w:rPr>
          <w:i/>
        </w:rPr>
        <w:t>Timor-Leste</w:t>
      </w:r>
      <w:r w:rsidRPr="00F4122C">
        <w:t xml:space="preserve"> Education Sector Support Project </w:t>
      </w:r>
    </w:p>
    <w:p w:rsidR="000120C6" w:rsidRPr="00F4122C" w:rsidRDefault="000120C6" w:rsidP="000120C6">
      <w:pPr>
        <w:pStyle w:val="PDSAnnexHeading"/>
      </w:pPr>
      <w:r w:rsidRPr="00F4122C">
        <w:t>Additional Financing 2012</w:t>
      </w:r>
    </w:p>
    <w:p w:rsidR="0073153F" w:rsidRPr="00F4122C" w:rsidRDefault="0073153F" w:rsidP="000120C6">
      <w:pPr>
        <w:pStyle w:val="PDSAnnexHeading"/>
      </w:pPr>
      <w:r w:rsidRPr="00F4122C">
        <w:t>Safeguard Policy Issues</w:t>
      </w:r>
    </w:p>
    <w:p w:rsidR="0073153F" w:rsidRDefault="0073153F" w:rsidP="000120C6">
      <w:pPr>
        <w:pStyle w:val="BankNormal"/>
        <w:rPr>
          <w:b/>
        </w:rPr>
      </w:pPr>
    </w:p>
    <w:p w:rsidR="00E34775" w:rsidRPr="00F4122C" w:rsidRDefault="00E34775" w:rsidP="000120C6">
      <w:pPr>
        <w:pStyle w:val="BankNormal"/>
        <w:rPr>
          <w:b/>
        </w:rPr>
      </w:pPr>
    </w:p>
    <w:p w:rsidR="0010571C" w:rsidRPr="00F4122C" w:rsidRDefault="0010571C" w:rsidP="000120C6">
      <w:pPr>
        <w:pStyle w:val="BankNormal"/>
      </w:pPr>
      <w:r w:rsidRPr="00F4122C">
        <w:rPr>
          <w:b/>
        </w:rPr>
        <w:t xml:space="preserve">Background and Rationale for Additional Financing </w:t>
      </w:r>
    </w:p>
    <w:p w:rsidR="0010571C" w:rsidRPr="00F4122C" w:rsidRDefault="0010571C" w:rsidP="000120C6">
      <w:pPr>
        <w:pStyle w:val="Header"/>
        <w:numPr>
          <w:ilvl w:val="0"/>
          <w:numId w:val="1"/>
        </w:numPr>
        <w:tabs>
          <w:tab w:val="clear" w:pos="4320"/>
          <w:tab w:val="clear" w:pos="8640"/>
        </w:tabs>
        <w:ind w:left="0" w:firstLine="0"/>
        <w:jc w:val="both"/>
      </w:pPr>
      <w:r w:rsidRPr="00F4122C">
        <w:rPr>
          <w:noProof/>
        </w:rPr>
        <w:t xml:space="preserve">The </w:t>
      </w:r>
      <w:r w:rsidRPr="00F4122C">
        <w:t>Education</w:t>
      </w:r>
      <w:r w:rsidRPr="00F4122C">
        <w:rPr>
          <w:noProof/>
        </w:rPr>
        <w:t xml:space="preserve"> Sector Support Project (ESSP), financed with a USD 6 million IDA grant and a USD 6 million grant from the Australian Agency for International Development (AusAID), was approved by the Board on June 19, 2007 and became effective on January 04, 2008.  The closing date is January 31, 2013.  The PDO is to “</w:t>
      </w:r>
      <w:r w:rsidRPr="00F4122C">
        <w:t>strengthen the capacity of the Ministry to develop and execute policy effectively, to manage resources, and to improve learning conditions</w:t>
      </w:r>
      <w:r w:rsidR="00C00626">
        <w:t>.</w:t>
      </w:r>
      <w:r w:rsidRPr="00F4122C">
        <w:t>”</w:t>
      </w:r>
    </w:p>
    <w:p w:rsidR="0010571C" w:rsidRPr="00F4122C" w:rsidRDefault="0010571C" w:rsidP="000120C6">
      <w:pPr>
        <w:pStyle w:val="Header"/>
        <w:tabs>
          <w:tab w:val="clear" w:pos="4320"/>
          <w:tab w:val="clear" w:pos="8640"/>
        </w:tabs>
        <w:jc w:val="both"/>
      </w:pPr>
    </w:p>
    <w:p w:rsidR="0010571C" w:rsidRPr="00F4122C" w:rsidRDefault="0010571C" w:rsidP="000120C6">
      <w:pPr>
        <w:pStyle w:val="Header"/>
        <w:numPr>
          <w:ilvl w:val="0"/>
          <w:numId w:val="1"/>
        </w:numPr>
        <w:tabs>
          <w:tab w:val="clear" w:pos="4320"/>
          <w:tab w:val="clear" w:pos="8640"/>
        </w:tabs>
        <w:ind w:left="0" w:firstLine="0"/>
        <w:jc w:val="both"/>
      </w:pPr>
      <w:r w:rsidRPr="00F4122C">
        <w:rPr>
          <w:noProof/>
        </w:rPr>
        <w:t xml:space="preserve">The project originally included four components: (i) Capacity building for Policy, Planning and Program Development, (ii) Learning materials, (iii) </w:t>
      </w:r>
      <w:r w:rsidRPr="00F4122C">
        <w:t xml:space="preserve">Construction/Rehabilitation Design and Quality Assurance; and (iv) Work Skills for Pre-Secondary students. </w:t>
      </w:r>
    </w:p>
    <w:p w:rsidR="0010571C" w:rsidRPr="00F4122C" w:rsidRDefault="0010571C" w:rsidP="000120C6">
      <w:pPr>
        <w:pStyle w:val="ListParagraph"/>
        <w:ind w:left="0"/>
      </w:pPr>
    </w:p>
    <w:p w:rsidR="0010571C" w:rsidRDefault="0010571C" w:rsidP="000120C6">
      <w:pPr>
        <w:pStyle w:val="Header"/>
        <w:numPr>
          <w:ilvl w:val="0"/>
          <w:numId w:val="1"/>
        </w:numPr>
        <w:tabs>
          <w:tab w:val="clear" w:pos="4320"/>
          <w:tab w:val="clear" w:pos="8640"/>
        </w:tabs>
        <w:ind w:left="0" w:firstLine="0"/>
        <w:jc w:val="both"/>
      </w:pPr>
      <w:r w:rsidRPr="00F4122C">
        <w:t>After a slow start, implementation of the ESSP has been continuously rated “satisfactory” since 2008 (see Table 1</w:t>
      </w:r>
      <w:r w:rsidR="00841D66">
        <w:t>).  IDA A</w:t>
      </w:r>
      <w:r w:rsidRPr="00F4122C">
        <w:rPr>
          <w:noProof/>
        </w:rPr>
        <w:t xml:space="preserve">dditional </w:t>
      </w:r>
      <w:r w:rsidR="00841D66">
        <w:rPr>
          <w:noProof/>
        </w:rPr>
        <w:t>F</w:t>
      </w:r>
      <w:r w:rsidRPr="00F4122C">
        <w:rPr>
          <w:noProof/>
        </w:rPr>
        <w:t xml:space="preserve">inancing </w:t>
      </w:r>
      <w:r w:rsidR="00841D66">
        <w:rPr>
          <w:noProof/>
        </w:rPr>
        <w:t xml:space="preserve">(AF) </w:t>
      </w:r>
      <w:r w:rsidRPr="00F4122C">
        <w:rPr>
          <w:noProof/>
        </w:rPr>
        <w:t xml:space="preserve">in 2010 sought to support the transition of focus in the Timorese Education sector from education access to education quality through support to </w:t>
      </w:r>
      <w:r w:rsidR="00E34775" w:rsidRPr="00E34775">
        <w:rPr>
          <w:i/>
          <w:noProof/>
        </w:rPr>
        <w:t xml:space="preserve">Escola Básica </w:t>
      </w:r>
      <w:r w:rsidRPr="00F4122C">
        <w:rPr>
          <w:noProof/>
        </w:rPr>
        <w:t xml:space="preserve"> management training and further early grade learning response interventions and measurement. Additional Financing of USD 5 million from IDA approved in June 2010 added activities under Components 1, 2 and 3, and added a Component 5, “Early Grade Learning.” </w:t>
      </w:r>
    </w:p>
    <w:p w:rsidR="008B564D" w:rsidRDefault="008B564D" w:rsidP="008B564D">
      <w:pPr>
        <w:pStyle w:val="ListParagraph"/>
      </w:pPr>
    </w:p>
    <w:p w:rsidR="008B564D" w:rsidRDefault="008B564D" w:rsidP="008B564D">
      <w:pPr>
        <w:pStyle w:val="Header"/>
        <w:tabs>
          <w:tab w:val="clear" w:pos="4320"/>
          <w:tab w:val="clear" w:pos="8640"/>
        </w:tabs>
        <w:ind w:firstLine="720"/>
        <w:jc w:val="both"/>
        <w:rPr>
          <w:b/>
          <w:bCs/>
          <w:sz w:val="20"/>
          <w:szCs w:val="20"/>
        </w:rPr>
      </w:pPr>
      <w:r w:rsidRPr="008B564D">
        <w:rPr>
          <w:b/>
          <w:bCs/>
          <w:sz w:val="20"/>
          <w:szCs w:val="20"/>
        </w:rPr>
        <w:t xml:space="preserve">Table 1: ISR Ratings for ESSP </w:t>
      </w:r>
    </w:p>
    <w:p w:rsidR="008B564D" w:rsidRPr="008B564D" w:rsidRDefault="008B564D" w:rsidP="008B564D">
      <w:pPr>
        <w:pStyle w:val="Header"/>
        <w:tabs>
          <w:tab w:val="clear" w:pos="4320"/>
          <w:tab w:val="clear" w:pos="8640"/>
        </w:tabs>
        <w:ind w:firstLine="720"/>
        <w:jc w:val="both"/>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131"/>
        <w:gridCol w:w="1131"/>
        <w:gridCol w:w="1132"/>
        <w:gridCol w:w="1131"/>
        <w:gridCol w:w="1132"/>
        <w:gridCol w:w="1131"/>
        <w:gridCol w:w="1132"/>
      </w:tblGrid>
      <w:tr w:rsidR="00467126" w:rsidRPr="00111DA1" w:rsidTr="00773FF5">
        <w:tc>
          <w:tcPr>
            <w:tcW w:w="1458" w:type="dxa"/>
            <w:shd w:val="clear" w:color="auto" w:fill="EEECE1" w:themeFill="background2"/>
          </w:tcPr>
          <w:p w:rsidR="00467126" w:rsidRPr="00B30F58" w:rsidRDefault="00467126" w:rsidP="00773FF5">
            <w:pPr>
              <w:rPr>
                <w:noProof/>
                <w:sz w:val="18"/>
                <w:szCs w:val="18"/>
              </w:rPr>
            </w:pPr>
            <w:r w:rsidRPr="00564603">
              <w:rPr>
                <w:noProof/>
                <w:sz w:val="18"/>
                <w:szCs w:val="18"/>
              </w:rPr>
              <w:t>ISR Sequence and Date</w:t>
            </w:r>
          </w:p>
        </w:tc>
        <w:tc>
          <w:tcPr>
            <w:tcW w:w="1131" w:type="dxa"/>
            <w:shd w:val="clear" w:color="auto" w:fill="EEECE1" w:themeFill="background2"/>
          </w:tcPr>
          <w:p w:rsidR="00467126" w:rsidRPr="00B30F58" w:rsidRDefault="00467126" w:rsidP="00773FF5">
            <w:pPr>
              <w:rPr>
                <w:noProof/>
                <w:sz w:val="18"/>
                <w:szCs w:val="18"/>
              </w:rPr>
            </w:pPr>
            <w:r w:rsidRPr="00564603">
              <w:rPr>
                <w:noProof/>
                <w:sz w:val="18"/>
                <w:szCs w:val="18"/>
              </w:rPr>
              <w:t>Develop</w:t>
            </w:r>
            <w:r>
              <w:rPr>
                <w:noProof/>
                <w:sz w:val="18"/>
                <w:szCs w:val="18"/>
              </w:rPr>
              <w:t>-</w:t>
            </w:r>
            <w:r w:rsidRPr="00564603">
              <w:rPr>
                <w:noProof/>
                <w:sz w:val="18"/>
                <w:szCs w:val="18"/>
              </w:rPr>
              <w:t>ment Objectives</w:t>
            </w:r>
          </w:p>
        </w:tc>
        <w:tc>
          <w:tcPr>
            <w:tcW w:w="1131" w:type="dxa"/>
            <w:shd w:val="clear" w:color="auto" w:fill="EEECE1" w:themeFill="background2"/>
          </w:tcPr>
          <w:p w:rsidR="00467126" w:rsidRPr="00B30F58" w:rsidRDefault="00467126" w:rsidP="00773FF5">
            <w:pPr>
              <w:rPr>
                <w:noProof/>
                <w:sz w:val="18"/>
                <w:szCs w:val="18"/>
              </w:rPr>
            </w:pPr>
            <w:r w:rsidRPr="00564603">
              <w:rPr>
                <w:noProof/>
                <w:sz w:val="18"/>
                <w:szCs w:val="18"/>
              </w:rPr>
              <w:t>Overall Implement</w:t>
            </w:r>
            <w:r>
              <w:rPr>
                <w:noProof/>
                <w:sz w:val="18"/>
                <w:szCs w:val="18"/>
              </w:rPr>
              <w:t>-</w:t>
            </w:r>
            <w:r w:rsidRPr="00564603">
              <w:rPr>
                <w:noProof/>
                <w:sz w:val="18"/>
                <w:szCs w:val="18"/>
              </w:rPr>
              <w:t>ation Progress</w:t>
            </w:r>
          </w:p>
        </w:tc>
        <w:tc>
          <w:tcPr>
            <w:tcW w:w="1132" w:type="dxa"/>
            <w:shd w:val="clear" w:color="auto" w:fill="EEECE1" w:themeFill="background2"/>
          </w:tcPr>
          <w:p w:rsidR="00467126" w:rsidRPr="00B30F58" w:rsidRDefault="00467126" w:rsidP="00773FF5">
            <w:pPr>
              <w:rPr>
                <w:noProof/>
                <w:sz w:val="18"/>
                <w:szCs w:val="18"/>
              </w:rPr>
            </w:pPr>
            <w:r w:rsidRPr="00564603">
              <w:rPr>
                <w:noProof/>
                <w:sz w:val="18"/>
                <w:szCs w:val="18"/>
              </w:rPr>
              <w:t>Project Manage</w:t>
            </w:r>
            <w:r>
              <w:rPr>
                <w:noProof/>
                <w:sz w:val="18"/>
                <w:szCs w:val="18"/>
              </w:rPr>
              <w:t>-</w:t>
            </w:r>
            <w:r w:rsidRPr="00564603">
              <w:rPr>
                <w:noProof/>
                <w:sz w:val="18"/>
                <w:szCs w:val="18"/>
              </w:rPr>
              <w:t>ment</w:t>
            </w:r>
          </w:p>
        </w:tc>
        <w:tc>
          <w:tcPr>
            <w:tcW w:w="1131" w:type="dxa"/>
            <w:shd w:val="clear" w:color="auto" w:fill="EEECE1" w:themeFill="background2"/>
          </w:tcPr>
          <w:p w:rsidR="00467126" w:rsidRPr="00B30F58" w:rsidRDefault="00467126" w:rsidP="00773FF5">
            <w:pPr>
              <w:rPr>
                <w:noProof/>
                <w:sz w:val="18"/>
                <w:szCs w:val="18"/>
              </w:rPr>
            </w:pPr>
            <w:r w:rsidRPr="00564603">
              <w:rPr>
                <w:noProof/>
                <w:sz w:val="18"/>
                <w:szCs w:val="18"/>
              </w:rPr>
              <w:t>Financial Manage</w:t>
            </w:r>
            <w:r>
              <w:rPr>
                <w:noProof/>
                <w:sz w:val="18"/>
                <w:szCs w:val="18"/>
              </w:rPr>
              <w:t>-</w:t>
            </w:r>
            <w:r w:rsidRPr="00564603">
              <w:rPr>
                <w:noProof/>
                <w:sz w:val="18"/>
                <w:szCs w:val="18"/>
              </w:rPr>
              <w:t>ment</w:t>
            </w:r>
          </w:p>
        </w:tc>
        <w:tc>
          <w:tcPr>
            <w:tcW w:w="1132" w:type="dxa"/>
            <w:shd w:val="clear" w:color="auto" w:fill="EEECE1" w:themeFill="background2"/>
          </w:tcPr>
          <w:p w:rsidR="00467126" w:rsidRDefault="00467126" w:rsidP="00773FF5">
            <w:pPr>
              <w:ind w:right="-108"/>
              <w:rPr>
                <w:noProof/>
                <w:sz w:val="18"/>
                <w:szCs w:val="18"/>
              </w:rPr>
            </w:pPr>
            <w:r w:rsidRPr="00564603">
              <w:rPr>
                <w:noProof/>
                <w:sz w:val="18"/>
                <w:szCs w:val="18"/>
              </w:rPr>
              <w:t>Counterpart Funding</w:t>
            </w:r>
          </w:p>
        </w:tc>
        <w:tc>
          <w:tcPr>
            <w:tcW w:w="1131" w:type="dxa"/>
            <w:shd w:val="clear" w:color="auto" w:fill="EEECE1" w:themeFill="background2"/>
          </w:tcPr>
          <w:p w:rsidR="00467126" w:rsidRPr="00B30F58" w:rsidRDefault="00467126" w:rsidP="00773FF5">
            <w:pPr>
              <w:rPr>
                <w:noProof/>
                <w:sz w:val="18"/>
                <w:szCs w:val="18"/>
              </w:rPr>
            </w:pPr>
            <w:r w:rsidRPr="00564603">
              <w:rPr>
                <w:noProof/>
                <w:sz w:val="18"/>
                <w:szCs w:val="18"/>
              </w:rPr>
              <w:t>Procure</w:t>
            </w:r>
            <w:r>
              <w:rPr>
                <w:noProof/>
                <w:sz w:val="18"/>
                <w:szCs w:val="18"/>
              </w:rPr>
              <w:t>-</w:t>
            </w:r>
            <w:r w:rsidRPr="00564603">
              <w:rPr>
                <w:noProof/>
                <w:sz w:val="18"/>
                <w:szCs w:val="18"/>
              </w:rPr>
              <w:t>ment</w:t>
            </w:r>
          </w:p>
        </w:tc>
        <w:tc>
          <w:tcPr>
            <w:tcW w:w="1132" w:type="dxa"/>
            <w:shd w:val="clear" w:color="auto" w:fill="EEECE1" w:themeFill="background2"/>
          </w:tcPr>
          <w:p w:rsidR="00467126" w:rsidRPr="00B30F58" w:rsidRDefault="00467126" w:rsidP="00773FF5">
            <w:pPr>
              <w:rPr>
                <w:noProof/>
                <w:sz w:val="18"/>
                <w:szCs w:val="18"/>
              </w:rPr>
            </w:pPr>
            <w:r w:rsidRPr="00564603">
              <w:rPr>
                <w:noProof/>
                <w:sz w:val="18"/>
                <w:szCs w:val="18"/>
              </w:rPr>
              <w:t>Monitoring &amp; Evaluation</w:t>
            </w:r>
          </w:p>
        </w:tc>
      </w:tr>
      <w:tr w:rsidR="00467126" w:rsidRPr="00111DA1" w:rsidTr="00773FF5">
        <w:tc>
          <w:tcPr>
            <w:tcW w:w="1458" w:type="dxa"/>
          </w:tcPr>
          <w:p w:rsidR="00467126" w:rsidRPr="00B30F58" w:rsidRDefault="00467126" w:rsidP="00773FF5">
            <w:pPr>
              <w:rPr>
                <w:noProof/>
                <w:sz w:val="18"/>
                <w:szCs w:val="18"/>
              </w:rPr>
            </w:pPr>
            <w:r>
              <w:rPr>
                <w:noProof/>
                <w:sz w:val="18"/>
                <w:szCs w:val="18"/>
              </w:rPr>
              <w:t>1.  Jul. 12, 2008</w:t>
            </w:r>
          </w:p>
        </w:tc>
        <w:tc>
          <w:tcPr>
            <w:tcW w:w="1131" w:type="dxa"/>
          </w:tcPr>
          <w:p w:rsidR="00467126" w:rsidRPr="00B30F58" w:rsidRDefault="00467126" w:rsidP="00773FF5">
            <w:pPr>
              <w:rPr>
                <w:noProof/>
                <w:sz w:val="18"/>
                <w:szCs w:val="18"/>
              </w:rPr>
            </w:pPr>
            <w:r>
              <w:rPr>
                <w:noProof/>
                <w:sz w:val="18"/>
                <w:szCs w:val="18"/>
              </w:rPr>
              <w:t>MU</w:t>
            </w:r>
          </w:p>
        </w:tc>
        <w:tc>
          <w:tcPr>
            <w:tcW w:w="1131" w:type="dxa"/>
          </w:tcPr>
          <w:p w:rsidR="00467126" w:rsidRPr="00B30F58" w:rsidRDefault="00467126" w:rsidP="00773FF5">
            <w:pPr>
              <w:rPr>
                <w:noProof/>
                <w:sz w:val="18"/>
                <w:szCs w:val="18"/>
              </w:rPr>
            </w:pPr>
            <w:r w:rsidRPr="00564603">
              <w:rPr>
                <w:noProof/>
                <w:sz w:val="18"/>
                <w:szCs w:val="18"/>
              </w:rPr>
              <w:t>U</w:t>
            </w:r>
          </w:p>
        </w:tc>
        <w:tc>
          <w:tcPr>
            <w:tcW w:w="1132" w:type="dxa"/>
          </w:tcPr>
          <w:p w:rsidR="00467126" w:rsidRPr="00B30F58" w:rsidRDefault="00467126" w:rsidP="00773FF5">
            <w:pPr>
              <w:rPr>
                <w:noProof/>
                <w:sz w:val="18"/>
                <w:szCs w:val="18"/>
              </w:rPr>
            </w:pPr>
            <w:r w:rsidRPr="00564603">
              <w:rPr>
                <w:noProof/>
                <w:sz w:val="18"/>
                <w:szCs w:val="18"/>
              </w:rPr>
              <w:t>MU</w:t>
            </w:r>
          </w:p>
        </w:tc>
        <w:tc>
          <w:tcPr>
            <w:tcW w:w="1131" w:type="dxa"/>
          </w:tcPr>
          <w:p w:rsidR="00467126" w:rsidRPr="00B30F58" w:rsidRDefault="00467126" w:rsidP="00773FF5">
            <w:pPr>
              <w:rPr>
                <w:noProof/>
                <w:sz w:val="18"/>
                <w:szCs w:val="18"/>
              </w:rPr>
            </w:pPr>
            <w:r w:rsidRPr="00564603">
              <w:rPr>
                <w:noProof/>
                <w:sz w:val="18"/>
                <w:szCs w:val="18"/>
              </w:rPr>
              <w:t>MU</w:t>
            </w:r>
          </w:p>
        </w:tc>
        <w:tc>
          <w:tcPr>
            <w:tcW w:w="1132" w:type="dxa"/>
          </w:tcPr>
          <w:p w:rsidR="00467126" w:rsidRPr="00B30F58" w:rsidRDefault="00467126" w:rsidP="00773FF5">
            <w:pPr>
              <w:rPr>
                <w:noProof/>
                <w:sz w:val="18"/>
                <w:szCs w:val="18"/>
              </w:rPr>
            </w:pPr>
            <w:r w:rsidRPr="00564603">
              <w:rPr>
                <w:noProof/>
                <w:sz w:val="18"/>
                <w:szCs w:val="18"/>
              </w:rPr>
              <w:t>MU</w:t>
            </w:r>
          </w:p>
        </w:tc>
        <w:tc>
          <w:tcPr>
            <w:tcW w:w="1131" w:type="dxa"/>
          </w:tcPr>
          <w:p w:rsidR="00467126" w:rsidRPr="00B30F58" w:rsidRDefault="00467126" w:rsidP="00773FF5">
            <w:pPr>
              <w:rPr>
                <w:noProof/>
                <w:sz w:val="18"/>
                <w:szCs w:val="18"/>
              </w:rPr>
            </w:pPr>
            <w:r w:rsidRPr="00564603">
              <w:rPr>
                <w:noProof/>
                <w:sz w:val="18"/>
                <w:szCs w:val="18"/>
              </w:rPr>
              <w:t>U</w:t>
            </w:r>
          </w:p>
        </w:tc>
        <w:tc>
          <w:tcPr>
            <w:tcW w:w="1132" w:type="dxa"/>
          </w:tcPr>
          <w:p w:rsidR="00467126" w:rsidRPr="00B30F58" w:rsidRDefault="00467126" w:rsidP="00773FF5">
            <w:pPr>
              <w:rPr>
                <w:noProof/>
                <w:sz w:val="18"/>
                <w:szCs w:val="18"/>
              </w:rPr>
            </w:pPr>
            <w:r w:rsidRPr="00564603">
              <w:rPr>
                <w:noProof/>
                <w:sz w:val="18"/>
                <w:szCs w:val="18"/>
              </w:rPr>
              <w:t>U</w:t>
            </w:r>
          </w:p>
        </w:tc>
      </w:tr>
      <w:tr w:rsidR="00467126" w:rsidRPr="00111DA1" w:rsidTr="00773FF5">
        <w:tc>
          <w:tcPr>
            <w:tcW w:w="1458" w:type="dxa"/>
          </w:tcPr>
          <w:p w:rsidR="00467126" w:rsidRPr="00B30F58" w:rsidRDefault="00467126" w:rsidP="00773FF5">
            <w:pPr>
              <w:rPr>
                <w:noProof/>
                <w:sz w:val="18"/>
                <w:szCs w:val="18"/>
              </w:rPr>
            </w:pPr>
            <w:r>
              <w:rPr>
                <w:noProof/>
                <w:sz w:val="18"/>
                <w:szCs w:val="18"/>
              </w:rPr>
              <w:t>2.  Dec. 22, 2008</w:t>
            </w:r>
          </w:p>
        </w:tc>
        <w:tc>
          <w:tcPr>
            <w:tcW w:w="1131" w:type="dxa"/>
          </w:tcPr>
          <w:p w:rsidR="00467126" w:rsidRPr="00B30F58" w:rsidRDefault="00467126" w:rsidP="00773FF5">
            <w:pPr>
              <w:rPr>
                <w:noProof/>
                <w:sz w:val="18"/>
                <w:szCs w:val="18"/>
              </w:rPr>
            </w:pPr>
            <w:r>
              <w:rPr>
                <w:noProof/>
                <w:sz w:val="18"/>
                <w:szCs w:val="18"/>
              </w:rPr>
              <w:t>MS</w:t>
            </w:r>
          </w:p>
        </w:tc>
        <w:tc>
          <w:tcPr>
            <w:tcW w:w="1131" w:type="dxa"/>
          </w:tcPr>
          <w:p w:rsidR="00467126" w:rsidRPr="00B30F58" w:rsidRDefault="00467126" w:rsidP="00773FF5">
            <w:pPr>
              <w:rPr>
                <w:noProof/>
                <w:sz w:val="18"/>
                <w:szCs w:val="18"/>
              </w:rPr>
            </w:pPr>
            <w:r w:rsidRPr="00564603">
              <w:rPr>
                <w:noProof/>
                <w:sz w:val="18"/>
                <w:szCs w:val="18"/>
              </w:rPr>
              <w:t>MS</w:t>
            </w:r>
          </w:p>
        </w:tc>
        <w:tc>
          <w:tcPr>
            <w:tcW w:w="1132" w:type="dxa"/>
          </w:tcPr>
          <w:p w:rsidR="00467126" w:rsidRPr="00B30F58" w:rsidRDefault="00467126" w:rsidP="00773FF5">
            <w:pPr>
              <w:rPr>
                <w:noProof/>
                <w:sz w:val="18"/>
                <w:szCs w:val="18"/>
              </w:rPr>
            </w:pPr>
            <w:r w:rsidRPr="00564603">
              <w:rPr>
                <w:noProof/>
                <w:sz w:val="18"/>
                <w:szCs w:val="18"/>
              </w:rPr>
              <w:t>MS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MS</w:t>
            </w:r>
          </w:p>
        </w:tc>
        <w:tc>
          <w:tcPr>
            <w:tcW w:w="1131" w:type="dxa"/>
          </w:tcPr>
          <w:p w:rsidR="00467126" w:rsidRPr="00B30F58" w:rsidRDefault="00467126" w:rsidP="00773FF5">
            <w:pPr>
              <w:rPr>
                <w:noProof/>
                <w:sz w:val="18"/>
                <w:szCs w:val="18"/>
              </w:rPr>
            </w:pPr>
            <w:r w:rsidRPr="00564603">
              <w:rPr>
                <w:noProof/>
                <w:sz w:val="18"/>
                <w:szCs w:val="18"/>
              </w:rPr>
              <w:t>MS</w:t>
            </w:r>
          </w:p>
        </w:tc>
        <w:tc>
          <w:tcPr>
            <w:tcW w:w="1132" w:type="dxa"/>
          </w:tcPr>
          <w:p w:rsidR="00467126" w:rsidRPr="00B30F58" w:rsidRDefault="00467126" w:rsidP="00773FF5">
            <w:pPr>
              <w:rPr>
                <w:noProof/>
                <w:sz w:val="18"/>
                <w:szCs w:val="18"/>
              </w:rPr>
            </w:pPr>
            <w:r w:rsidRPr="00564603">
              <w:rPr>
                <w:noProof/>
                <w:sz w:val="18"/>
                <w:szCs w:val="18"/>
              </w:rPr>
              <w:t>MS</w:t>
            </w:r>
          </w:p>
        </w:tc>
      </w:tr>
      <w:tr w:rsidR="00467126" w:rsidRPr="00111DA1" w:rsidTr="00773FF5">
        <w:tc>
          <w:tcPr>
            <w:tcW w:w="1458" w:type="dxa"/>
          </w:tcPr>
          <w:p w:rsidR="00467126" w:rsidRPr="00B30F58" w:rsidRDefault="00467126" w:rsidP="00773FF5">
            <w:pPr>
              <w:rPr>
                <w:noProof/>
                <w:sz w:val="18"/>
                <w:szCs w:val="18"/>
              </w:rPr>
            </w:pPr>
            <w:r>
              <w:rPr>
                <w:noProof/>
                <w:sz w:val="18"/>
                <w:szCs w:val="18"/>
              </w:rPr>
              <w:t>3.  May 12, 2009</w:t>
            </w:r>
          </w:p>
        </w:tc>
        <w:tc>
          <w:tcPr>
            <w:tcW w:w="1131" w:type="dxa"/>
          </w:tcPr>
          <w:p w:rsidR="00467126" w:rsidRPr="00B30F58" w:rsidRDefault="00467126" w:rsidP="00773FF5">
            <w:pPr>
              <w:rPr>
                <w:noProof/>
                <w:sz w:val="18"/>
                <w:szCs w:val="18"/>
              </w:rPr>
            </w:pPr>
            <w:r>
              <w:rPr>
                <w:noProof/>
                <w:sz w:val="18"/>
                <w:szCs w:val="18"/>
              </w:rPr>
              <w:t>S</w:t>
            </w:r>
          </w:p>
        </w:tc>
        <w:tc>
          <w:tcPr>
            <w:tcW w:w="1131" w:type="dxa"/>
          </w:tcPr>
          <w:p w:rsidR="00467126" w:rsidRPr="00B30F58" w:rsidRDefault="00467126" w:rsidP="00773FF5">
            <w:pPr>
              <w:rPr>
                <w:noProof/>
                <w:sz w:val="18"/>
                <w:szCs w:val="18"/>
              </w:rPr>
            </w:pPr>
            <w:r w:rsidRPr="00564603">
              <w:rPr>
                <w:noProof/>
                <w:sz w:val="18"/>
                <w:szCs w:val="18"/>
              </w:rPr>
              <w:t>MS</w:t>
            </w:r>
          </w:p>
        </w:tc>
        <w:tc>
          <w:tcPr>
            <w:tcW w:w="1132" w:type="dxa"/>
          </w:tcPr>
          <w:p w:rsidR="00467126" w:rsidRPr="00B30F58" w:rsidRDefault="00467126" w:rsidP="00773FF5">
            <w:pPr>
              <w:rPr>
                <w:noProof/>
                <w:sz w:val="18"/>
                <w:szCs w:val="18"/>
              </w:rPr>
            </w:pPr>
            <w:r w:rsidRPr="00564603">
              <w:rPr>
                <w:noProof/>
                <w:sz w:val="18"/>
                <w:szCs w:val="18"/>
              </w:rPr>
              <w:t>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MS</w:t>
            </w:r>
          </w:p>
        </w:tc>
        <w:tc>
          <w:tcPr>
            <w:tcW w:w="1131" w:type="dxa"/>
          </w:tcPr>
          <w:p w:rsidR="00467126" w:rsidRPr="00B30F58" w:rsidRDefault="00467126" w:rsidP="00773FF5">
            <w:pPr>
              <w:rPr>
                <w:noProof/>
                <w:sz w:val="18"/>
                <w:szCs w:val="18"/>
              </w:rPr>
            </w:pPr>
            <w:r w:rsidRPr="00564603">
              <w:rPr>
                <w:noProof/>
                <w:sz w:val="18"/>
                <w:szCs w:val="18"/>
              </w:rPr>
              <w:t>MU</w:t>
            </w:r>
          </w:p>
        </w:tc>
        <w:tc>
          <w:tcPr>
            <w:tcW w:w="1132" w:type="dxa"/>
          </w:tcPr>
          <w:p w:rsidR="00467126" w:rsidRPr="00B30F58" w:rsidRDefault="00467126" w:rsidP="00773FF5">
            <w:pPr>
              <w:rPr>
                <w:noProof/>
                <w:sz w:val="18"/>
                <w:szCs w:val="18"/>
              </w:rPr>
            </w:pPr>
            <w:r w:rsidRPr="00564603">
              <w:rPr>
                <w:noProof/>
                <w:sz w:val="18"/>
                <w:szCs w:val="18"/>
              </w:rPr>
              <w:t>MS</w:t>
            </w:r>
          </w:p>
        </w:tc>
      </w:tr>
      <w:tr w:rsidR="00467126" w:rsidRPr="00111DA1" w:rsidTr="00773FF5">
        <w:trPr>
          <w:trHeight w:val="197"/>
        </w:trPr>
        <w:tc>
          <w:tcPr>
            <w:tcW w:w="1458" w:type="dxa"/>
          </w:tcPr>
          <w:p w:rsidR="00467126" w:rsidRPr="00B30F58" w:rsidRDefault="00467126" w:rsidP="00773FF5">
            <w:pPr>
              <w:rPr>
                <w:noProof/>
                <w:sz w:val="18"/>
                <w:szCs w:val="18"/>
              </w:rPr>
            </w:pPr>
            <w:r>
              <w:rPr>
                <w:noProof/>
                <w:sz w:val="18"/>
                <w:szCs w:val="18"/>
              </w:rPr>
              <w:t>4.  Feb. 05, 2010</w:t>
            </w:r>
          </w:p>
        </w:tc>
        <w:tc>
          <w:tcPr>
            <w:tcW w:w="1131" w:type="dxa"/>
          </w:tcPr>
          <w:p w:rsidR="00467126" w:rsidRPr="00B30F58" w:rsidRDefault="00467126" w:rsidP="00773FF5">
            <w:pPr>
              <w:rPr>
                <w:noProof/>
                <w:sz w:val="18"/>
                <w:szCs w:val="18"/>
              </w:rPr>
            </w:pPr>
            <w:r w:rsidRPr="00564603">
              <w:rPr>
                <w:noProof/>
                <w:sz w:val="18"/>
                <w:szCs w:val="18"/>
              </w:rPr>
              <w:t>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MS</w:t>
            </w:r>
          </w:p>
        </w:tc>
      </w:tr>
      <w:tr w:rsidR="00467126" w:rsidRPr="00111DA1" w:rsidTr="00773FF5">
        <w:trPr>
          <w:trHeight w:val="197"/>
        </w:trPr>
        <w:tc>
          <w:tcPr>
            <w:tcW w:w="1458" w:type="dxa"/>
          </w:tcPr>
          <w:p w:rsidR="00467126" w:rsidRPr="00B30F58" w:rsidRDefault="00467126" w:rsidP="00773FF5">
            <w:pPr>
              <w:rPr>
                <w:noProof/>
                <w:sz w:val="18"/>
                <w:szCs w:val="18"/>
              </w:rPr>
            </w:pPr>
            <w:r>
              <w:rPr>
                <w:noProof/>
                <w:sz w:val="18"/>
                <w:szCs w:val="18"/>
              </w:rPr>
              <w:t>5</w:t>
            </w:r>
            <w:r w:rsidRPr="00564603">
              <w:rPr>
                <w:noProof/>
                <w:sz w:val="18"/>
                <w:szCs w:val="18"/>
              </w:rPr>
              <w:t>. Feb. 08</w:t>
            </w:r>
            <w:r>
              <w:rPr>
                <w:noProof/>
                <w:sz w:val="18"/>
                <w:szCs w:val="18"/>
              </w:rPr>
              <w:t>,</w:t>
            </w:r>
            <w:r w:rsidRPr="00564603">
              <w:rPr>
                <w:noProof/>
                <w:sz w:val="18"/>
                <w:szCs w:val="18"/>
              </w:rPr>
              <w:t xml:space="preserve"> 2011</w:t>
            </w:r>
          </w:p>
        </w:tc>
        <w:tc>
          <w:tcPr>
            <w:tcW w:w="1131" w:type="dxa"/>
          </w:tcPr>
          <w:p w:rsidR="00467126" w:rsidRPr="00B30F58" w:rsidRDefault="00467126" w:rsidP="00773FF5">
            <w:pPr>
              <w:rPr>
                <w:noProof/>
                <w:sz w:val="18"/>
                <w:szCs w:val="18"/>
              </w:rPr>
            </w:pPr>
            <w:r w:rsidRPr="00564603">
              <w:rPr>
                <w:noProof/>
                <w:sz w:val="18"/>
                <w:szCs w:val="18"/>
              </w:rPr>
              <w:t>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MS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S</w:t>
            </w:r>
          </w:p>
        </w:tc>
        <w:tc>
          <w:tcPr>
            <w:tcW w:w="1131" w:type="dxa"/>
          </w:tcPr>
          <w:p w:rsidR="00467126" w:rsidRPr="00B30F58" w:rsidRDefault="00467126" w:rsidP="00773FF5">
            <w:pPr>
              <w:rPr>
                <w:noProof/>
                <w:sz w:val="18"/>
                <w:szCs w:val="18"/>
              </w:rPr>
            </w:pPr>
            <w:r w:rsidRPr="00564603">
              <w:rPr>
                <w:noProof/>
                <w:sz w:val="18"/>
                <w:szCs w:val="18"/>
              </w:rPr>
              <w:t>S</w:t>
            </w:r>
          </w:p>
        </w:tc>
        <w:tc>
          <w:tcPr>
            <w:tcW w:w="1132" w:type="dxa"/>
          </w:tcPr>
          <w:p w:rsidR="00467126" w:rsidRPr="00B30F58" w:rsidRDefault="00467126" w:rsidP="00773FF5">
            <w:pPr>
              <w:rPr>
                <w:noProof/>
                <w:sz w:val="18"/>
                <w:szCs w:val="18"/>
              </w:rPr>
            </w:pPr>
            <w:r w:rsidRPr="00564603">
              <w:rPr>
                <w:noProof/>
                <w:sz w:val="18"/>
                <w:szCs w:val="18"/>
              </w:rPr>
              <w:t>S</w:t>
            </w:r>
          </w:p>
        </w:tc>
      </w:tr>
      <w:tr w:rsidR="00467126" w:rsidRPr="00111DA1" w:rsidTr="00773FF5">
        <w:trPr>
          <w:trHeight w:val="197"/>
        </w:trPr>
        <w:tc>
          <w:tcPr>
            <w:tcW w:w="1458" w:type="dxa"/>
          </w:tcPr>
          <w:p w:rsidR="00467126" w:rsidRDefault="00467126" w:rsidP="00773FF5">
            <w:pPr>
              <w:rPr>
                <w:noProof/>
                <w:sz w:val="18"/>
                <w:szCs w:val="18"/>
              </w:rPr>
            </w:pPr>
            <w:r>
              <w:rPr>
                <w:noProof/>
                <w:sz w:val="18"/>
                <w:szCs w:val="18"/>
              </w:rPr>
              <w:t xml:space="preserve">6. Mar </w:t>
            </w:r>
            <w:r w:rsidRPr="00124AAD">
              <w:rPr>
                <w:noProof/>
                <w:sz w:val="18"/>
                <w:szCs w:val="18"/>
                <w:highlight w:val="yellow"/>
              </w:rPr>
              <w:t>XX</w:t>
            </w:r>
            <w:r>
              <w:rPr>
                <w:noProof/>
                <w:sz w:val="18"/>
                <w:szCs w:val="18"/>
              </w:rPr>
              <w:t>, 2012</w:t>
            </w:r>
          </w:p>
        </w:tc>
        <w:tc>
          <w:tcPr>
            <w:tcW w:w="1131" w:type="dxa"/>
          </w:tcPr>
          <w:p w:rsidR="00467126" w:rsidRPr="00564603" w:rsidRDefault="00467126" w:rsidP="00773FF5">
            <w:pPr>
              <w:rPr>
                <w:noProof/>
                <w:sz w:val="18"/>
                <w:szCs w:val="18"/>
              </w:rPr>
            </w:pPr>
            <w:r>
              <w:rPr>
                <w:noProof/>
                <w:sz w:val="18"/>
                <w:szCs w:val="18"/>
              </w:rPr>
              <w:t>S</w:t>
            </w:r>
          </w:p>
        </w:tc>
        <w:tc>
          <w:tcPr>
            <w:tcW w:w="1131" w:type="dxa"/>
          </w:tcPr>
          <w:p w:rsidR="00467126" w:rsidRPr="00564603" w:rsidRDefault="00467126" w:rsidP="00773FF5">
            <w:pPr>
              <w:rPr>
                <w:noProof/>
                <w:sz w:val="18"/>
                <w:szCs w:val="18"/>
              </w:rPr>
            </w:pPr>
            <w:r>
              <w:rPr>
                <w:noProof/>
                <w:sz w:val="18"/>
                <w:szCs w:val="18"/>
              </w:rPr>
              <w:t>S</w:t>
            </w:r>
          </w:p>
        </w:tc>
        <w:tc>
          <w:tcPr>
            <w:tcW w:w="1132" w:type="dxa"/>
          </w:tcPr>
          <w:p w:rsidR="00467126" w:rsidRPr="00564603" w:rsidRDefault="00467126" w:rsidP="00773FF5">
            <w:pPr>
              <w:rPr>
                <w:noProof/>
                <w:sz w:val="18"/>
                <w:szCs w:val="18"/>
              </w:rPr>
            </w:pPr>
            <w:r>
              <w:rPr>
                <w:noProof/>
                <w:sz w:val="18"/>
                <w:szCs w:val="18"/>
              </w:rPr>
              <w:t>MS</w:t>
            </w:r>
          </w:p>
        </w:tc>
        <w:tc>
          <w:tcPr>
            <w:tcW w:w="1131" w:type="dxa"/>
          </w:tcPr>
          <w:p w:rsidR="00467126" w:rsidRPr="00564603" w:rsidRDefault="00467126" w:rsidP="00773FF5">
            <w:pPr>
              <w:rPr>
                <w:noProof/>
                <w:sz w:val="18"/>
                <w:szCs w:val="18"/>
              </w:rPr>
            </w:pPr>
            <w:r>
              <w:rPr>
                <w:noProof/>
                <w:sz w:val="18"/>
                <w:szCs w:val="18"/>
              </w:rPr>
              <w:t>S</w:t>
            </w:r>
          </w:p>
        </w:tc>
        <w:tc>
          <w:tcPr>
            <w:tcW w:w="1132" w:type="dxa"/>
          </w:tcPr>
          <w:p w:rsidR="00467126" w:rsidRPr="00564603" w:rsidRDefault="00467126" w:rsidP="00773FF5">
            <w:pPr>
              <w:rPr>
                <w:noProof/>
                <w:sz w:val="18"/>
                <w:szCs w:val="18"/>
              </w:rPr>
            </w:pPr>
            <w:r>
              <w:rPr>
                <w:noProof/>
                <w:sz w:val="18"/>
                <w:szCs w:val="18"/>
              </w:rPr>
              <w:t>S</w:t>
            </w:r>
          </w:p>
        </w:tc>
        <w:tc>
          <w:tcPr>
            <w:tcW w:w="1131" w:type="dxa"/>
          </w:tcPr>
          <w:p w:rsidR="00467126" w:rsidRPr="00564603" w:rsidRDefault="00467126" w:rsidP="00773FF5">
            <w:pPr>
              <w:rPr>
                <w:noProof/>
                <w:sz w:val="18"/>
                <w:szCs w:val="18"/>
              </w:rPr>
            </w:pPr>
            <w:r>
              <w:rPr>
                <w:noProof/>
                <w:sz w:val="18"/>
                <w:szCs w:val="18"/>
              </w:rPr>
              <w:t>MS</w:t>
            </w:r>
          </w:p>
        </w:tc>
        <w:tc>
          <w:tcPr>
            <w:tcW w:w="1132" w:type="dxa"/>
          </w:tcPr>
          <w:p w:rsidR="00467126" w:rsidRPr="00564603" w:rsidRDefault="00467126" w:rsidP="00773FF5">
            <w:pPr>
              <w:rPr>
                <w:noProof/>
                <w:sz w:val="18"/>
                <w:szCs w:val="18"/>
              </w:rPr>
            </w:pPr>
            <w:r>
              <w:rPr>
                <w:noProof/>
                <w:sz w:val="18"/>
                <w:szCs w:val="18"/>
              </w:rPr>
              <w:t>S</w:t>
            </w:r>
          </w:p>
        </w:tc>
      </w:tr>
    </w:tbl>
    <w:p w:rsidR="008B564D" w:rsidRPr="008B564D" w:rsidRDefault="008B564D" w:rsidP="008B564D">
      <w:pPr>
        <w:pStyle w:val="ListParagraph"/>
        <w:rPr>
          <w:color w:val="000000"/>
          <w:sz w:val="20"/>
        </w:rPr>
      </w:pPr>
    </w:p>
    <w:p w:rsidR="0073153F" w:rsidRPr="00F4122C" w:rsidRDefault="0010571C" w:rsidP="000120C6">
      <w:pPr>
        <w:pStyle w:val="Header"/>
        <w:tabs>
          <w:tab w:val="clear" w:pos="4320"/>
          <w:tab w:val="clear" w:pos="8640"/>
        </w:tabs>
        <w:jc w:val="both"/>
        <w:rPr>
          <w:b/>
          <w:noProof/>
        </w:rPr>
      </w:pPr>
      <w:r w:rsidRPr="00F4122C">
        <w:rPr>
          <w:b/>
          <w:noProof/>
        </w:rPr>
        <w:t xml:space="preserve">Development Objective </w:t>
      </w:r>
    </w:p>
    <w:p w:rsidR="000120C6" w:rsidRPr="00F4122C" w:rsidRDefault="000120C6" w:rsidP="000120C6">
      <w:pPr>
        <w:pStyle w:val="Header"/>
        <w:tabs>
          <w:tab w:val="clear" w:pos="4320"/>
          <w:tab w:val="clear" w:pos="8640"/>
        </w:tabs>
        <w:jc w:val="both"/>
        <w:rPr>
          <w:b/>
          <w:noProof/>
        </w:rPr>
      </w:pPr>
    </w:p>
    <w:p w:rsidR="0010571C" w:rsidRPr="00C00626" w:rsidRDefault="00C00626" w:rsidP="000120C6">
      <w:pPr>
        <w:pStyle w:val="Header"/>
        <w:numPr>
          <w:ilvl w:val="0"/>
          <w:numId w:val="1"/>
        </w:numPr>
        <w:tabs>
          <w:tab w:val="clear" w:pos="4320"/>
          <w:tab w:val="clear" w:pos="8640"/>
        </w:tabs>
        <w:ind w:left="0" w:firstLine="0"/>
        <w:jc w:val="both"/>
      </w:pPr>
      <w:r w:rsidRPr="00C00626">
        <w:rPr>
          <w:noProof/>
        </w:rPr>
        <w:t>The Project Development Objective</w:t>
      </w:r>
      <w:r w:rsidR="0073153F" w:rsidRPr="00C00626">
        <w:rPr>
          <w:noProof/>
        </w:rPr>
        <w:t xml:space="preserve"> </w:t>
      </w:r>
      <w:r w:rsidR="0010571C" w:rsidRPr="00C00626">
        <w:rPr>
          <w:noProof/>
        </w:rPr>
        <w:t>remains the same</w:t>
      </w:r>
      <w:r w:rsidR="00E34775">
        <w:rPr>
          <w:noProof/>
        </w:rPr>
        <w:t xml:space="preserve">: </w:t>
      </w:r>
      <w:r w:rsidRPr="00C00626">
        <w:rPr>
          <w:szCs w:val="20"/>
        </w:rPr>
        <w:t xml:space="preserve">Strengthening </w:t>
      </w:r>
      <w:r w:rsidR="0010571C" w:rsidRPr="00C00626">
        <w:rPr>
          <w:szCs w:val="20"/>
        </w:rPr>
        <w:t>the capacity of the Ministry</w:t>
      </w:r>
      <w:r>
        <w:rPr>
          <w:szCs w:val="20"/>
        </w:rPr>
        <w:t xml:space="preserve"> of Education (MoE)</w:t>
      </w:r>
      <w:r w:rsidR="0010571C" w:rsidRPr="00C00626">
        <w:rPr>
          <w:szCs w:val="20"/>
        </w:rPr>
        <w:t xml:space="preserve"> to develop and execute policy effectively, to manage resources, and to improve learning conditions.</w:t>
      </w:r>
    </w:p>
    <w:p w:rsidR="0010571C" w:rsidRPr="00F4122C" w:rsidRDefault="0010571C" w:rsidP="000120C6">
      <w:pPr>
        <w:pStyle w:val="ListParagraph"/>
        <w:ind w:left="0"/>
      </w:pPr>
    </w:p>
    <w:p w:rsidR="0010571C" w:rsidRPr="00F4122C" w:rsidRDefault="0010571C" w:rsidP="000120C6">
      <w:pPr>
        <w:pStyle w:val="Header"/>
        <w:tabs>
          <w:tab w:val="clear" w:pos="4320"/>
          <w:tab w:val="clear" w:pos="8640"/>
        </w:tabs>
        <w:jc w:val="both"/>
        <w:rPr>
          <w:b/>
          <w:bCs/>
        </w:rPr>
      </w:pPr>
      <w:r w:rsidRPr="00F4122C">
        <w:rPr>
          <w:b/>
          <w:bCs/>
        </w:rPr>
        <w:lastRenderedPageBreak/>
        <w:t>Project Components:</w:t>
      </w:r>
    </w:p>
    <w:p w:rsidR="000120C6" w:rsidRPr="00F4122C" w:rsidRDefault="000120C6" w:rsidP="000120C6">
      <w:pPr>
        <w:pStyle w:val="Header"/>
        <w:tabs>
          <w:tab w:val="clear" w:pos="4320"/>
          <w:tab w:val="clear" w:pos="8640"/>
        </w:tabs>
        <w:jc w:val="both"/>
        <w:rPr>
          <w:b/>
          <w:bCs/>
        </w:rPr>
      </w:pPr>
    </w:p>
    <w:p w:rsidR="0010571C" w:rsidRPr="00F4122C" w:rsidRDefault="0010571C" w:rsidP="000120C6">
      <w:pPr>
        <w:pStyle w:val="Header"/>
        <w:numPr>
          <w:ilvl w:val="0"/>
          <w:numId w:val="1"/>
        </w:numPr>
        <w:tabs>
          <w:tab w:val="clear" w:pos="4320"/>
          <w:tab w:val="clear" w:pos="8640"/>
        </w:tabs>
        <w:ind w:left="0" w:firstLine="0"/>
        <w:jc w:val="both"/>
      </w:pPr>
      <w:r w:rsidRPr="00F4122C">
        <w:rPr>
          <w:bCs/>
        </w:rPr>
        <w:t xml:space="preserve">Sub-component 3.1 renamed: Support for the </w:t>
      </w:r>
      <w:r w:rsidR="00915028" w:rsidRPr="00915028">
        <w:rPr>
          <w:bCs/>
        </w:rPr>
        <w:t xml:space="preserve">Infrastructure Facilities Unit </w:t>
      </w:r>
      <w:r w:rsidR="00915028">
        <w:rPr>
          <w:bCs/>
        </w:rPr>
        <w:t>(</w:t>
      </w:r>
      <w:r w:rsidRPr="00F4122C">
        <w:rPr>
          <w:bCs/>
        </w:rPr>
        <w:t>IFU</w:t>
      </w:r>
      <w:r w:rsidR="00915028">
        <w:rPr>
          <w:bCs/>
        </w:rPr>
        <w:t>)</w:t>
      </w:r>
      <w:r w:rsidRPr="00F4122C">
        <w:rPr>
          <w:bCs/>
        </w:rPr>
        <w:t xml:space="preserve">, </w:t>
      </w:r>
      <w:r w:rsidR="008B564D">
        <w:rPr>
          <w:bCs/>
        </w:rPr>
        <w:t>National Education Strategic Plan (</w:t>
      </w:r>
      <w:r w:rsidRPr="00F4122C">
        <w:rPr>
          <w:bCs/>
        </w:rPr>
        <w:t>NESP</w:t>
      </w:r>
      <w:r w:rsidR="008B564D">
        <w:rPr>
          <w:bCs/>
        </w:rPr>
        <w:t>)</w:t>
      </w:r>
      <w:r w:rsidRPr="00F4122C">
        <w:rPr>
          <w:bCs/>
        </w:rPr>
        <w:t xml:space="preserve"> infrastructure planning and community consultation.  The original result of sub-component 3.1 was to “ensure the quality and cost-effectiveness of the Recipient-financed construction or rehabilitation o</w:t>
      </w:r>
      <w:r w:rsidR="00C00626">
        <w:rPr>
          <w:bCs/>
        </w:rPr>
        <w:t>f an estimated 2,100 classrooms.”</w:t>
      </w:r>
      <w:r w:rsidRPr="00F4122C">
        <w:rPr>
          <w:bCs/>
        </w:rPr>
        <w:t xml:space="preserve">  </w:t>
      </w:r>
      <w:r w:rsidR="008B564D" w:rsidRPr="008B564D">
        <w:rPr>
          <w:bCs/>
        </w:rPr>
        <w:t xml:space="preserve">Additional Financing will build or rehabilitate an additional 142 </w:t>
      </w:r>
      <w:r w:rsidRPr="00F4122C">
        <w:rPr>
          <w:bCs/>
        </w:rPr>
        <w:t>classrooms.  Additional Financing will add the result of “IFU fully effective in achieving its identified tasks in NESP Priority Program 2 Basic Education Annual Action Plan for 2012.”</w:t>
      </w:r>
    </w:p>
    <w:p w:rsidR="0010571C" w:rsidRPr="00F4122C" w:rsidRDefault="0010571C" w:rsidP="000120C6">
      <w:pPr>
        <w:pStyle w:val="ListParagraph"/>
        <w:ind w:left="0"/>
        <w:rPr>
          <w:bCs/>
        </w:rPr>
      </w:pPr>
    </w:p>
    <w:p w:rsidR="0010571C" w:rsidRPr="00F4122C" w:rsidRDefault="0010571C" w:rsidP="000120C6">
      <w:pPr>
        <w:pStyle w:val="Header"/>
        <w:numPr>
          <w:ilvl w:val="0"/>
          <w:numId w:val="1"/>
        </w:numPr>
        <w:tabs>
          <w:tab w:val="clear" w:pos="4320"/>
          <w:tab w:val="clear" w:pos="8640"/>
        </w:tabs>
        <w:ind w:left="0" w:firstLine="0"/>
        <w:jc w:val="both"/>
      </w:pPr>
      <w:r w:rsidRPr="00F4122C">
        <w:rPr>
          <w:bCs/>
        </w:rPr>
        <w:t xml:space="preserve">Sub-Component 3.2: School Site Selection: Reviewing: (a) school site selection procedures and criteria; (b) locations that merit multi-grade schools; (c) existing primary school dormitories to assess the possibility of expanding these; and (d) kitchen needs at schools participating in the </w:t>
      </w:r>
      <w:r w:rsidR="00C00626">
        <w:rPr>
          <w:bCs/>
        </w:rPr>
        <w:t>Ministry of Education</w:t>
      </w:r>
      <w:r w:rsidRPr="00F4122C">
        <w:rPr>
          <w:bCs/>
        </w:rPr>
        <w:t xml:space="preserve">/World Food Program school feeding program.  The only change proposed in Additional Financing is removal of the paragraph proposing a </w:t>
      </w:r>
      <w:r w:rsidR="00C00626">
        <w:rPr>
          <w:bCs/>
        </w:rPr>
        <w:t>“</w:t>
      </w:r>
      <w:r w:rsidRPr="00F4122C">
        <w:rPr>
          <w:bCs/>
        </w:rPr>
        <w:t>single consultant contract</w:t>
      </w:r>
      <w:r w:rsidR="00C00626">
        <w:rPr>
          <w:bCs/>
        </w:rPr>
        <w:t>”</w:t>
      </w:r>
      <w:r w:rsidRPr="00F4122C">
        <w:rPr>
          <w:bCs/>
        </w:rPr>
        <w:t xml:space="preserve"> paragraph from the PAD.</w:t>
      </w:r>
    </w:p>
    <w:p w:rsidR="0010571C" w:rsidRPr="00F4122C" w:rsidRDefault="0010571C" w:rsidP="000120C6">
      <w:pPr>
        <w:pStyle w:val="ListParagraph"/>
        <w:ind w:left="0"/>
        <w:rPr>
          <w:bCs/>
        </w:rPr>
      </w:pPr>
    </w:p>
    <w:p w:rsidR="0010571C" w:rsidRPr="00F4122C" w:rsidRDefault="0010571C" w:rsidP="000120C6">
      <w:pPr>
        <w:pStyle w:val="Header"/>
        <w:numPr>
          <w:ilvl w:val="0"/>
          <w:numId w:val="1"/>
        </w:numPr>
        <w:tabs>
          <w:tab w:val="clear" w:pos="4320"/>
          <w:tab w:val="clear" w:pos="8640"/>
        </w:tabs>
        <w:ind w:left="0" w:firstLine="0"/>
        <w:jc w:val="both"/>
      </w:pPr>
      <w:r w:rsidRPr="00F4122C">
        <w:rPr>
          <w:bCs/>
        </w:rPr>
        <w:t>Sub-component 3.3: Additional Furniture:  Procurement of furniture for 30,000 children in primary schools and 24,000 children remote area schools.</w:t>
      </w:r>
    </w:p>
    <w:p w:rsidR="0010571C" w:rsidRPr="00F4122C" w:rsidRDefault="0010571C" w:rsidP="000120C6">
      <w:pPr>
        <w:pStyle w:val="ListParagraph"/>
        <w:ind w:left="0"/>
        <w:rPr>
          <w:bCs/>
        </w:rPr>
      </w:pPr>
    </w:p>
    <w:p w:rsidR="0010571C" w:rsidRPr="00F4122C" w:rsidRDefault="0010571C" w:rsidP="000120C6">
      <w:pPr>
        <w:pStyle w:val="Header"/>
        <w:numPr>
          <w:ilvl w:val="0"/>
          <w:numId w:val="1"/>
        </w:numPr>
        <w:tabs>
          <w:tab w:val="clear" w:pos="4320"/>
          <w:tab w:val="clear" w:pos="8640"/>
        </w:tabs>
        <w:ind w:left="0" w:firstLine="0"/>
        <w:jc w:val="both"/>
      </w:pPr>
      <w:r w:rsidRPr="00F4122C">
        <w:rPr>
          <w:bCs/>
        </w:rPr>
        <w:t xml:space="preserve">Sub-Component 3.4: </w:t>
      </w:r>
      <w:proofErr w:type="spellStart"/>
      <w:r w:rsidR="00E34775" w:rsidRPr="00E34775">
        <w:rPr>
          <w:bCs/>
          <w:i/>
        </w:rPr>
        <w:t>Escola</w:t>
      </w:r>
      <w:proofErr w:type="spellEnd"/>
      <w:r w:rsidR="00E34775" w:rsidRPr="00E34775">
        <w:rPr>
          <w:bCs/>
          <w:i/>
        </w:rPr>
        <w:t xml:space="preserve"> </w:t>
      </w:r>
      <w:proofErr w:type="spellStart"/>
      <w:proofErr w:type="gramStart"/>
      <w:r w:rsidR="00E34775" w:rsidRPr="00E34775">
        <w:rPr>
          <w:bCs/>
          <w:i/>
        </w:rPr>
        <w:t>Básica</w:t>
      </w:r>
      <w:proofErr w:type="spellEnd"/>
      <w:r w:rsidR="00E34775" w:rsidRPr="00E34775">
        <w:rPr>
          <w:bCs/>
          <w:i/>
        </w:rPr>
        <w:t xml:space="preserve"> </w:t>
      </w:r>
      <w:r w:rsidRPr="00F4122C">
        <w:rPr>
          <w:bCs/>
        </w:rPr>
        <w:t xml:space="preserve"> Classroom</w:t>
      </w:r>
      <w:proofErr w:type="gramEnd"/>
      <w:r w:rsidRPr="00F4122C">
        <w:rPr>
          <w:bCs/>
        </w:rPr>
        <w:t xml:space="preserve"> Construction.  Successful construction to agreed IFU standards of six packages upgrading existing schools to </w:t>
      </w:r>
      <w:proofErr w:type="spellStart"/>
      <w:r w:rsidR="00E34775" w:rsidRPr="00E34775">
        <w:rPr>
          <w:bCs/>
          <w:i/>
        </w:rPr>
        <w:t>Escola</w:t>
      </w:r>
      <w:proofErr w:type="spellEnd"/>
      <w:r w:rsidR="00E34775" w:rsidRPr="00E34775">
        <w:rPr>
          <w:bCs/>
          <w:i/>
        </w:rPr>
        <w:t xml:space="preserve"> </w:t>
      </w:r>
      <w:proofErr w:type="spellStart"/>
      <w:proofErr w:type="gramStart"/>
      <w:r w:rsidR="00E34775" w:rsidRPr="00E34775">
        <w:rPr>
          <w:bCs/>
          <w:i/>
        </w:rPr>
        <w:t>Básica</w:t>
      </w:r>
      <w:proofErr w:type="spellEnd"/>
      <w:r w:rsidR="00E34775" w:rsidRPr="00E34775">
        <w:rPr>
          <w:bCs/>
          <w:i/>
        </w:rPr>
        <w:t xml:space="preserve"> </w:t>
      </w:r>
      <w:r w:rsidRPr="00F4122C">
        <w:rPr>
          <w:bCs/>
        </w:rPr>
        <w:t xml:space="preserve"> service</w:t>
      </w:r>
      <w:proofErr w:type="gramEnd"/>
      <w:r w:rsidRPr="00F4122C">
        <w:rPr>
          <w:bCs/>
        </w:rPr>
        <w:t xml:space="preserve"> delivery level</w:t>
      </w:r>
      <w:r w:rsidR="00C00626">
        <w:rPr>
          <w:bCs/>
        </w:rPr>
        <w:t>.</w:t>
      </w:r>
    </w:p>
    <w:p w:rsidR="0010571C" w:rsidRPr="00F4122C" w:rsidRDefault="0010571C" w:rsidP="000120C6">
      <w:pPr>
        <w:pStyle w:val="ListParagraph"/>
        <w:ind w:left="0"/>
        <w:rPr>
          <w:bCs/>
        </w:rPr>
      </w:pPr>
    </w:p>
    <w:p w:rsidR="0010571C" w:rsidRPr="00F4122C" w:rsidRDefault="0010571C" w:rsidP="000120C6">
      <w:pPr>
        <w:pStyle w:val="Header"/>
        <w:numPr>
          <w:ilvl w:val="0"/>
          <w:numId w:val="1"/>
        </w:numPr>
        <w:tabs>
          <w:tab w:val="clear" w:pos="4320"/>
          <w:tab w:val="clear" w:pos="8640"/>
        </w:tabs>
        <w:ind w:left="0" w:firstLine="0"/>
        <w:jc w:val="both"/>
      </w:pPr>
      <w:r w:rsidRPr="00F4122C">
        <w:rPr>
          <w:bCs/>
        </w:rPr>
        <w:t>Sub-component 3.5: Community Maintenance: Minor maintenance works satisfactorily undertaken in 50 schools with satisfactory community participation</w:t>
      </w:r>
      <w:r w:rsidR="00C00626">
        <w:rPr>
          <w:bCs/>
        </w:rPr>
        <w:t>.</w:t>
      </w:r>
    </w:p>
    <w:p w:rsidR="0010571C" w:rsidRPr="00F4122C" w:rsidRDefault="0010571C" w:rsidP="000120C6">
      <w:pPr>
        <w:pStyle w:val="ListParagraph"/>
        <w:ind w:left="0"/>
        <w:rPr>
          <w:bCs/>
        </w:rPr>
      </w:pPr>
    </w:p>
    <w:p w:rsidR="009639EB" w:rsidRPr="00F4122C" w:rsidRDefault="0010571C" w:rsidP="000120C6">
      <w:pPr>
        <w:pStyle w:val="Header"/>
        <w:numPr>
          <w:ilvl w:val="0"/>
          <w:numId w:val="1"/>
        </w:numPr>
        <w:tabs>
          <w:tab w:val="clear" w:pos="4320"/>
          <w:tab w:val="clear" w:pos="8640"/>
        </w:tabs>
        <w:ind w:left="0" w:firstLine="0"/>
        <w:jc w:val="both"/>
        <w:rPr>
          <w:bCs/>
        </w:rPr>
      </w:pPr>
      <w:r w:rsidRPr="00F4122C">
        <w:rPr>
          <w:bCs/>
        </w:rPr>
        <w:t>Sub-compone</w:t>
      </w:r>
      <w:r w:rsidR="00C00626">
        <w:rPr>
          <w:bCs/>
        </w:rPr>
        <w:t>nt 3.6: Community Construction/</w:t>
      </w:r>
      <w:r w:rsidRPr="00F4122C">
        <w:rPr>
          <w:bCs/>
        </w:rPr>
        <w:t>Rehabilitation: 26 School Packages constructed to IFU standard with satisfactory community participation</w:t>
      </w:r>
      <w:r w:rsidR="00C00626">
        <w:rPr>
          <w:bCs/>
        </w:rPr>
        <w:t>.</w:t>
      </w:r>
    </w:p>
    <w:p w:rsidR="0010571C" w:rsidRPr="00F4122C" w:rsidRDefault="0010571C" w:rsidP="000120C6">
      <w:pPr>
        <w:pStyle w:val="Header"/>
        <w:tabs>
          <w:tab w:val="clear" w:pos="4320"/>
          <w:tab w:val="clear" w:pos="8640"/>
        </w:tabs>
        <w:jc w:val="both"/>
        <w:rPr>
          <w:bCs/>
        </w:rPr>
      </w:pPr>
    </w:p>
    <w:p w:rsidR="000120C6" w:rsidRPr="00F4122C" w:rsidRDefault="000120C6" w:rsidP="000120C6">
      <w:pPr>
        <w:pStyle w:val="Header"/>
        <w:jc w:val="both"/>
        <w:rPr>
          <w:b/>
          <w:bCs/>
        </w:rPr>
      </w:pPr>
      <w:r w:rsidRPr="00F4122C">
        <w:rPr>
          <w:b/>
          <w:bCs/>
        </w:rPr>
        <w:t>II</w:t>
      </w:r>
      <w:proofErr w:type="gramStart"/>
      <w:r w:rsidRPr="00F4122C">
        <w:rPr>
          <w:b/>
          <w:bCs/>
        </w:rPr>
        <w:t>.  Key</w:t>
      </w:r>
      <w:proofErr w:type="gramEnd"/>
      <w:r w:rsidRPr="00F4122C">
        <w:rPr>
          <w:b/>
          <w:bCs/>
        </w:rPr>
        <w:t xml:space="preserve"> Safeguard Policy Issues and Their Management</w:t>
      </w:r>
    </w:p>
    <w:p w:rsidR="000120C6" w:rsidRPr="00F4122C" w:rsidRDefault="000120C6" w:rsidP="000120C6">
      <w:pPr>
        <w:pStyle w:val="Header"/>
        <w:jc w:val="both"/>
        <w:rPr>
          <w:b/>
          <w:bCs/>
          <w:i/>
          <w:iCs/>
        </w:rPr>
      </w:pPr>
    </w:p>
    <w:p w:rsidR="000120C6" w:rsidRPr="00F4122C" w:rsidRDefault="000120C6" w:rsidP="000120C6">
      <w:pPr>
        <w:pStyle w:val="Header"/>
        <w:rPr>
          <w:b/>
          <w:bCs/>
          <w:i/>
          <w:iCs/>
        </w:rPr>
      </w:pPr>
      <w:r w:rsidRPr="00F4122C">
        <w:rPr>
          <w:b/>
          <w:bCs/>
          <w:i/>
          <w:iCs/>
        </w:rPr>
        <w:t>Environmental Assessment (OP/BP 4.01)</w:t>
      </w:r>
    </w:p>
    <w:p w:rsidR="000120C6" w:rsidRPr="00F4122C" w:rsidRDefault="000120C6" w:rsidP="000120C6">
      <w:pPr>
        <w:pStyle w:val="Header"/>
        <w:rPr>
          <w:bCs/>
        </w:rPr>
      </w:pPr>
    </w:p>
    <w:p w:rsidR="00E36378" w:rsidRPr="00F4122C" w:rsidRDefault="000120C6" w:rsidP="00E36378">
      <w:pPr>
        <w:pStyle w:val="Header"/>
        <w:numPr>
          <w:ilvl w:val="0"/>
          <w:numId w:val="1"/>
        </w:numPr>
        <w:tabs>
          <w:tab w:val="clear" w:pos="4320"/>
          <w:tab w:val="clear" w:pos="8640"/>
        </w:tabs>
        <w:ind w:left="0" w:firstLine="0"/>
        <w:jc w:val="both"/>
        <w:rPr>
          <w:bCs/>
        </w:rPr>
      </w:pPr>
      <w:r w:rsidRPr="00F4122C">
        <w:rPr>
          <w:bCs/>
        </w:rPr>
        <w:t>The proposed new activities do not pose a substantial change in the overall project risks or environmental categorization.  In the original</w:t>
      </w:r>
      <w:r w:rsidR="00C00626">
        <w:rPr>
          <w:bCs/>
        </w:rPr>
        <w:t xml:space="preserve"> ESSP, safeguards policy OP 4.0</w:t>
      </w:r>
      <w:r w:rsidRPr="00F4122C">
        <w:rPr>
          <w:bCs/>
        </w:rPr>
        <w:t>1 (Environmental Assessment) was triggered.  In respect to the MoE’s proposed school construction program, while no major safeguard issues exist, ESSP was to ensure that (</w:t>
      </w:r>
      <w:proofErr w:type="spellStart"/>
      <w:r w:rsidRPr="00F4122C">
        <w:rPr>
          <w:bCs/>
        </w:rPr>
        <w:t>i</w:t>
      </w:r>
      <w:proofErr w:type="spellEnd"/>
      <w:r w:rsidRPr="00F4122C">
        <w:rPr>
          <w:bCs/>
        </w:rPr>
        <w:t>) appropriate construction and maintenance techniques are used on all school sites; (ii) water supply and sanitation facilities would be properly placed; (iii) sewage is properly disposed of; (iv) building waste is properly disposed of; and (v) any impacts concerning asbestos material in existing construction would be dealt with properly. No land acquisition or resettlement concerns were identified as all civil works would be conducted on sites on which existing schools are being rehabilitated, expanded or replaced, or on sites that are on vacant government land that is free from all encumbrances, habitation, dispute, claim and controversy. The use of the land would neither require a resettlement plan nor a resettlement framework.</w:t>
      </w:r>
      <w:bookmarkStart w:id="0" w:name="ISDS_SG_IMP"/>
    </w:p>
    <w:p w:rsidR="00E36378" w:rsidRPr="00F4122C" w:rsidRDefault="00E36378" w:rsidP="00E36378">
      <w:pPr>
        <w:pStyle w:val="Header"/>
        <w:tabs>
          <w:tab w:val="clear" w:pos="4320"/>
          <w:tab w:val="clear" w:pos="8640"/>
        </w:tabs>
        <w:jc w:val="both"/>
        <w:rPr>
          <w:bCs/>
        </w:rPr>
      </w:pPr>
    </w:p>
    <w:p w:rsidR="00E36378" w:rsidRPr="00F4122C" w:rsidRDefault="000120C6" w:rsidP="00E36378">
      <w:pPr>
        <w:pStyle w:val="Header"/>
        <w:numPr>
          <w:ilvl w:val="0"/>
          <w:numId w:val="1"/>
        </w:numPr>
        <w:tabs>
          <w:tab w:val="clear" w:pos="4320"/>
          <w:tab w:val="clear" w:pos="8640"/>
        </w:tabs>
        <w:ind w:left="0" w:firstLine="0"/>
        <w:jc w:val="both"/>
        <w:rPr>
          <w:bCs/>
        </w:rPr>
      </w:pPr>
      <w:r w:rsidRPr="00F4122C">
        <w:rPr>
          <w:bCs/>
        </w:rPr>
        <w:t>Civil works undertaken are purely for development of the school and the school site</w:t>
      </w:r>
      <w:r w:rsidR="00C00626">
        <w:rPr>
          <w:bCs/>
        </w:rPr>
        <w:t>—</w:t>
      </w:r>
      <w:r w:rsidRPr="00F4122C">
        <w:rPr>
          <w:bCs/>
        </w:rPr>
        <w:t>for</w:t>
      </w:r>
      <w:r w:rsidR="00C00626">
        <w:rPr>
          <w:bCs/>
        </w:rPr>
        <w:t xml:space="preserve"> </w:t>
      </w:r>
      <w:r w:rsidRPr="00F4122C">
        <w:rPr>
          <w:bCs/>
        </w:rPr>
        <w:t>foundations, construction of buildings, and playground area for students.</w:t>
      </w:r>
      <w:r w:rsidRPr="00F4122C">
        <w:rPr>
          <w:b/>
          <w:bCs/>
        </w:rPr>
        <w:t xml:space="preserve"> </w:t>
      </w:r>
      <w:r w:rsidRPr="00F4122C">
        <w:rPr>
          <w:bCs/>
        </w:rPr>
        <w:t>To save money playgrounds were cut out, instead leaving level ground for the community to further develop.  Originally civil works included retaining walls on sloping sites, for example to develop volleyball courts, but to reallocate money to additional school construction this was also excluded.  Sites are not fenced but fencing is left to the community.  Generally the community fences the site after construction work.</w:t>
      </w:r>
    </w:p>
    <w:p w:rsidR="00E36378" w:rsidRPr="00F4122C" w:rsidRDefault="00E36378" w:rsidP="00E36378">
      <w:pPr>
        <w:pStyle w:val="ListParagraph"/>
        <w:rPr>
          <w:bCs/>
        </w:rPr>
      </w:pPr>
    </w:p>
    <w:p w:rsidR="00E36378" w:rsidRPr="00F4122C" w:rsidRDefault="00264FFA" w:rsidP="00E36378">
      <w:pPr>
        <w:pStyle w:val="Header"/>
        <w:numPr>
          <w:ilvl w:val="0"/>
          <w:numId w:val="1"/>
        </w:numPr>
        <w:tabs>
          <w:tab w:val="clear" w:pos="4320"/>
          <w:tab w:val="clear" w:pos="8640"/>
        </w:tabs>
        <w:ind w:left="0" w:firstLine="0"/>
        <w:jc w:val="both"/>
        <w:rPr>
          <w:bCs/>
        </w:rPr>
      </w:pPr>
      <w:r w:rsidRPr="00C00626">
        <w:rPr>
          <w:bCs/>
        </w:rPr>
        <w:t xml:space="preserve">The project will only work on existing school sites to rehabilitate and extend existing facilities.  </w:t>
      </w:r>
      <w:r w:rsidR="000120C6" w:rsidRPr="00C00626">
        <w:rPr>
          <w:bCs/>
        </w:rPr>
        <w:t>Only sites with clear land tenure by the government are developed.</w:t>
      </w:r>
      <w:r w:rsidR="000120C6" w:rsidRPr="00F4122C">
        <w:rPr>
          <w:bCs/>
        </w:rPr>
        <w:t xml:space="preserve">  Land tenure by the government has been required to be confirmed prior to site development</w:t>
      </w:r>
      <w:r w:rsidR="00966527">
        <w:rPr>
          <w:bCs/>
        </w:rPr>
        <w:t>.  A</w:t>
      </w:r>
      <w:r w:rsidR="000120C6" w:rsidRPr="00F4122C">
        <w:rPr>
          <w:bCs/>
        </w:rPr>
        <w:t xml:space="preserve"> number of sites have not been developed because of ongoing land ownership disputes.  </w:t>
      </w:r>
      <w:r>
        <w:rPr>
          <w:bCs/>
        </w:rPr>
        <w:t>The project will therefore also avoid any sites with land ownership disputes.</w:t>
      </w:r>
    </w:p>
    <w:p w:rsidR="00E36378" w:rsidRPr="00F4122C" w:rsidRDefault="00E36378" w:rsidP="00E36378">
      <w:pPr>
        <w:pStyle w:val="ListParagraph"/>
        <w:rPr>
          <w:bCs/>
        </w:rPr>
      </w:pPr>
    </w:p>
    <w:p w:rsidR="00E36378" w:rsidRPr="00F4122C" w:rsidRDefault="000120C6" w:rsidP="00E36378">
      <w:pPr>
        <w:pStyle w:val="Header"/>
        <w:numPr>
          <w:ilvl w:val="0"/>
          <w:numId w:val="1"/>
        </w:numPr>
        <w:tabs>
          <w:tab w:val="clear" w:pos="4320"/>
          <w:tab w:val="clear" w:pos="8640"/>
        </w:tabs>
        <w:ind w:left="0" w:firstLine="0"/>
        <w:jc w:val="both"/>
        <w:rPr>
          <w:bCs/>
        </w:rPr>
      </w:pPr>
      <w:r w:rsidRPr="00F4122C">
        <w:rPr>
          <w:bCs/>
        </w:rPr>
        <w:t>Selection of sites requires an assurance that water is or will be available for connection to toilets.  Construction does not involve any new digging of wells or development of water sources, but does include connection of water and installation of water tanks.  Runoff has always been through septic tanks.  Draining is part of s</w:t>
      </w:r>
      <w:r w:rsidR="00C00626">
        <w:rPr>
          <w:bCs/>
        </w:rPr>
        <w:t xml:space="preserve">ite establishment civil works—including </w:t>
      </w:r>
      <w:r w:rsidRPr="00F4122C">
        <w:rPr>
          <w:bCs/>
        </w:rPr>
        <w:t>the effluent disposal from septic tanks.  A leach trench adjacent to the septic tank, usually 40 meters long and of gravel/sand, is part of the installation for overflow effluent to be dispersed into the adjoining ground.</w:t>
      </w:r>
    </w:p>
    <w:p w:rsidR="00E36378" w:rsidRPr="00F4122C" w:rsidRDefault="00E36378" w:rsidP="00E36378">
      <w:pPr>
        <w:pStyle w:val="ListParagraph"/>
        <w:rPr>
          <w:bCs/>
        </w:rPr>
      </w:pPr>
    </w:p>
    <w:p w:rsidR="001754B8" w:rsidRDefault="000120C6" w:rsidP="001754B8">
      <w:pPr>
        <w:pStyle w:val="Header"/>
        <w:numPr>
          <w:ilvl w:val="0"/>
          <w:numId w:val="1"/>
        </w:numPr>
        <w:tabs>
          <w:tab w:val="clear" w:pos="4320"/>
          <w:tab w:val="clear" w:pos="8640"/>
        </w:tabs>
        <w:ind w:left="0" w:firstLine="0"/>
        <w:jc w:val="both"/>
        <w:rPr>
          <w:bCs/>
        </w:rPr>
      </w:pPr>
      <w:r w:rsidRPr="00F4122C">
        <w:rPr>
          <w:bCs/>
        </w:rPr>
        <w:t>Adequate government maintenance budget to ensure the regular (every 5 years) pumping out and reactivating of septic tanks is a concern.  The benefit of Additional Financing including community maintenance is that this need will be partly addressed for existing upgraded schools.</w:t>
      </w:r>
      <w:r w:rsidR="001754B8">
        <w:rPr>
          <w:bCs/>
        </w:rPr>
        <w:t xml:space="preserve"> </w:t>
      </w:r>
      <w:r w:rsidRPr="001754B8">
        <w:rPr>
          <w:bCs/>
        </w:rPr>
        <w:t>Topsoil of the area is always stockpiled for reuse in gardens and rehabilitation work.  This is done in consultation with the c</w:t>
      </w:r>
      <w:r w:rsidR="00C00626" w:rsidRPr="001754B8">
        <w:rPr>
          <w:bCs/>
        </w:rPr>
        <w:t xml:space="preserve">ommunity and the head teacher –this </w:t>
      </w:r>
      <w:r w:rsidRPr="001754B8">
        <w:rPr>
          <w:bCs/>
        </w:rPr>
        <w:t xml:space="preserve">is a </w:t>
      </w:r>
      <w:proofErr w:type="spellStart"/>
      <w:r w:rsidRPr="001754B8">
        <w:rPr>
          <w:bCs/>
        </w:rPr>
        <w:t>checklisted</w:t>
      </w:r>
      <w:proofErr w:type="spellEnd"/>
      <w:r w:rsidRPr="001754B8">
        <w:rPr>
          <w:bCs/>
        </w:rPr>
        <w:t xml:space="preserve"> item at contract completion</w:t>
      </w:r>
      <w:bookmarkEnd w:id="0"/>
      <w:r w:rsidR="001754B8" w:rsidRPr="001754B8">
        <w:rPr>
          <w:bCs/>
        </w:rPr>
        <w:t>.</w:t>
      </w:r>
    </w:p>
    <w:p w:rsidR="001754B8" w:rsidRDefault="001754B8" w:rsidP="001754B8">
      <w:pPr>
        <w:pStyle w:val="ListParagraph"/>
        <w:rPr>
          <w:bCs/>
        </w:rPr>
      </w:pPr>
    </w:p>
    <w:p w:rsidR="00980566" w:rsidRPr="001754B8" w:rsidRDefault="000120C6" w:rsidP="001754B8">
      <w:pPr>
        <w:pStyle w:val="Header"/>
        <w:numPr>
          <w:ilvl w:val="0"/>
          <w:numId w:val="1"/>
        </w:numPr>
        <w:tabs>
          <w:tab w:val="clear" w:pos="4320"/>
          <w:tab w:val="clear" w:pos="8640"/>
        </w:tabs>
        <w:ind w:left="0" w:firstLine="0"/>
        <w:jc w:val="both"/>
        <w:rPr>
          <w:bCs/>
        </w:rPr>
      </w:pPr>
      <w:r w:rsidRPr="001754B8">
        <w:rPr>
          <w:bCs/>
        </w:rPr>
        <w:t>Measures taken by the borrower to address safeguard policy issues since project effectiveness include upgrade</w:t>
      </w:r>
      <w:r w:rsidR="001754B8">
        <w:rPr>
          <w:bCs/>
        </w:rPr>
        <w:t>d school construction standards and</w:t>
      </w:r>
      <w:r w:rsidRPr="001754B8">
        <w:rPr>
          <w:bCs/>
        </w:rPr>
        <w:t xml:space="preserve"> the original ESSP Environmental Management Framework</w:t>
      </w:r>
      <w:r w:rsidR="001754B8">
        <w:rPr>
          <w:bCs/>
        </w:rPr>
        <w:t>.  S</w:t>
      </w:r>
      <w:r w:rsidRPr="001754B8">
        <w:rPr>
          <w:bCs/>
        </w:rPr>
        <w:t>afeguards approaches have all been satisfactorily implemented.  The recipient has adequate capacity to continue satisfactory implementation.</w:t>
      </w:r>
    </w:p>
    <w:p w:rsidR="000120C6" w:rsidRPr="00F4122C" w:rsidRDefault="000120C6" w:rsidP="000120C6">
      <w:pPr>
        <w:pStyle w:val="Header"/>
        <w:tabs>
          <w:tab w:val="clear" w:pos="4320"/>
          <w:tab w:val="clear" w:pos="8640"/>
        </w:tabs>
        <w:jc w:val="both"/>
        <w:rPr>
          <w:b/>
          <w:bCs/>
        </w:rPr>
      </w:pPr>
    </w:p>
    <w:p w:rsidR="0010571C" w:rsidRPr="00F4122C" w:rsidRDefault="000120C6" w:rsidP="006C73CE">
      <w:pPr>
        <w:pStyle w:val="Header"/>
        <w:tabs>
          <w:tab w:val="clear" w:pos="4320"/>
          <w:tab w:val="clear" w:pos="8640"/>
        </w:tabs>
        <w:jc w:val="both"/>
        <w:rPr>
          <w:b/>
        </w:rPr>
      </w:pPr>
      <w:r w:rsidRPr="00F4122C">
        <w:rPr>
          <w:b/>
          <w:bCs/>
        </w:rPr>
        <w:t>Indigenous Peoples (OP/BP 4.10)</w:t>
      </w:r>
      <w:r w:rsidR="006C73CE" w:rsidRPr="00F4122C">
        <w:rPr>
          <w:b/>
          <w:bCs/>
        </w:rPr>
        <w:t xml:space="preserve"> Approach/ Social Assessment </w:t>
      </w:r>
    </w:p>
    <w:p w:rsidR="002A2471" w:rsidRPr="00F4122C" w:rsidRDefault="002A2471" w:rsidP="000120C6">
      <w:pPr>
        <w:pStyle w:val="Header"/>
        <w:tabs>
          <w:tab w:val="clear" w:pos="4320"/>
          <w:tab w:val="clear" w:pos="8640"/>
        </w:tabs>
        <w:jc w:val="both"/>
        <w:rPr>
          <w:b/>
        </w:rPr>
      </w:pPr>
    </w:p>
    <w:p w:rsidR="006C73CE" w:rsidRPr="00F4122C" w:rsidRDefault="006C73CE" w:rsidP="000120C6">
      <w:pPr>
        <w:pStyle w:val="Header"/>
        <w:tabs>
          <w:tab w:val="clear" w:pos="4320"/>
          <w:tab w:val="clear" w:pos="8640"/>
        </w:tabs>
        <w:jc w:val="both"/>
        <w:rPr>
          <w:b/>
          <w:i/>
        </w:rPr>
      </w:pPr>
      <w:r w:rsidRPr="00F4122C">
        <w:rPr>
          <w:b/>
          <w:i/>
        </w:rPr>
        <w:t>Definition</w:t>
      </w:r>
      <w:r w:rsidR="00F4122C">
        <w:rPr>
          <w:b/>
          <w:i/>
        </w:rPr>
        <w:t xml:space="preserve"> and Social Assessment</w:t>
      </w:r>
    </w:p>
    <w:p w:rsidR="006C73CE" w:rsidRPr="00F4122C" w:rsidRDefault="006C73CE" w:rsidP="000120C6">
      <w:pPr>
        <w:pStyle w:val="Header"/>
        <w:tabs>
          <w:tab w:val="clear" w:pos="4320"/>
          <w:tab w:val="clear" w:pos="8640"/>
        </w:tabs>
        <w:jc w:val="both"/>
        <w:rPr>
          <w:b/>
        </w:rPr>
      </w:pPr>
    </w:p>
    <w:p w:rsidR="00E36378" w:rsidRPr="00F4122C" w:rsidRDefault="002A2471" w:rsidP="00E36378">
      <w:pPr>
        <w:pStyle w:val="ListParagraph"/>
        <w:numPr>
          <w:ilvl w:val="0"/>
          <w:numId w:val="1"/>
        </w:numPr>
        <w:ind w:left="0" w:firstLine="0"/>
        <w:jc w:val="both"/>
      </w:pPr>
      <w:r w:rsidRPr="00F4122C">
        <w:t>The pro</w:t>
      </w:r>
      <w:r w:rsidR="001754B8">
        <w:t>ject will be implemented nation</w:t>
      </w:r>
      <w:r w:rsidRPr="00F4122C">
        <w:t xml:space="preserve">wide. </w:t>
      </w:r>
      <w:r w:rsidR="001754B8">
        <w:t>T</w:t>
      </w:r>
      <w:r w:rsidR="000120C6" w:rsidRPr="00F4122C">
        <w:rPr>
          <w:bCs/>
        </w:rPr>
        <w:t xml:space="preserve">he </w:t>
      </w:r>
      <w:r w:rsidR="00E34775" w:rsidRPr="00E34775">
        <w:rPr>
          <w:bCs/>
          <w:i/>
        </w:rPr>
        <w:t>Timor-Leste</w:t>
      </w:r>
      <w:r w:rsidR="000120C6" w:rsidRPr="00F4122C">
        <w:rPr>
          <w:bCs/>
        </w:rPr>
        <w:t xml:space="preserve"> population is indigenous because it has: (</w:t>
      </w:r>
      <w:proofErr w:type="spellStart"/>
      <w:r w:rsidR="000120C6" w:rsidRPr="00F4122C">
        <w:rPr>
          <w:bCs/>
        </w:rPr>
        <w:t>i</w:t>
      </w:r>
      <w:proofErr w:type="spellEnd"/>
      <w:r w:rsidR="000120C6" w:rsidRPr="00F4122C">
        <w:rPr>
          <w:bCs/>
        </w:rPr>
        <w:t>) collective attachment to geographically distinct territories; and, (ii) descend</w:t>
      </w:r>
      <w:r w:rsidR="006C73CE" w:rsidRPr="00F4122C">
        <w:rPr>
          <w:bCs/>
        </w:rPr>
        <w:t>s</w:t>
      </w:r>
      <w:r w:rsidR="000120C6" w:rsidRPr="00F4122C">
        <w:rPr>
          <w:bCs/>
        </w:rPr>
        <w:t xml:space="preserve"> from groups present in specific areas prior to the establishment of modern states and relative borders, due largely in respect of </w:t>
      </w:r>
      <w:r w:rsidR="00E34775" w:rsidRPr="00E34775">
        <w:rPr>
          <w:bCs/>
          <w:i/>
        </w:rPr>
        <w:t>Timor-Leste</w:t>
      </w:r>
      <w:r w:rsidR="000120C6" w:rsidRPr="00F4122C">
        <w:rPr>
          <w:bCs/>
        </w:rPr>
        <w:t xml:space="preserve"> being established as a sovereign nation in 2002. </w:t>
      </w:r>
    </w:p>
    <w:p w:rsidR="00E36378" w:rsidRPr="00F4122C" w:rsidRDefault="00E36378" w:rsidP="00E36378">
      <w:pPr>
        <w:pStyle w:val="ListParagraph"/>
        <w:ind w:left="0"/>
        <w:jc w:val="both"/>
      </w:pPr>
    </w:p>
    <w:p w:rsidR="00E36378" w:rsidRPr="001754B8" w:rsidRDefault="000120C6" w:rsidP="001754B8">
      <w:pPr>
        <w:pStyle w:val="Header"/>
        <w:numPr>
          <w:ilvl w:val="0"/>
          <w:numId w:val="1"/>
        </w:numPr>
        <w:tabs>
          <w:tab w:val="clear" w:pos="4320"/>
          <w:tab w:val="left" w:pos="630"/>
          <w:tab w:val="left" w:pos="720"/>
        </w:tabs>
        <w:ind w:left="0" w:firstLine="0"/>
        <w:jc w:val="both"/>
        <w:rPr>
          <w:bCs/>
        </w:rPr>
      </w:pPr>
      <w:r w:rsidRPr="00F4122C">
        <w:rPr>
          <w:bCs/>
        </w:rPr>
        <w:t xml:space="preserve">Previously, consideration of essentially everyone in </w:t>
      </w:r>
      <w:r w:rsidR="00E34775" w:rsidRPr="00E34775">
        <w:rPr>
          <w:bCs/>
          <w:i/>
        </w:rPr>
        <w:t>Timor-Leste</w:t>
      </w:r>
      <w:r w:rsidRPr="00F4122C">
        <w:rPr>
          <w:bCs/>
        </w:rPr>
        <w:t xml:space="preserve"> as indigenous was interpreted by the World Bank to mean that </w:t>
      </w:r>
      <w:r w:rsidR="001754B8">
        <w:rPr>
          <w:bCs/>
        </w:rPr>
        <w:t xml:space="preserve">the </w:t>
      </w:r>
      <w:r w:rsidRPr="00F4122C">
        <w:rPr>
          <w:bCs/>
        </w:rPr>
        <w:t>Indigenous Peoples policy (OP/BP</w:t>
      </w:r>
      <w:r w:rsidR="001754B8">
        <w:rPr>
          <w:bCs/>
        </w:rPr>
        <w:t xml:space="preserve"> </w:t>
      </w:r>
      <w:r w:rsidRPr="00F4122C">
        <w:rPr>
          <w:bCs/>
        </w:rPr>
        <w:t xml:space="preserve">4.10) was not triggered and an Indigenous People’s Plan (IPP) was not proposed for such activities, </w:t>
      </w:r>
      <w:proofErr w:type="gramStart"/>
      <w:r w:rsidRPr="00F4122C">
        <w:rPr>
          <w:bCs/>
        </w:rPr>
        <w:t>nor</w:t>
      </w:r>
      <w:proofErr w:type="gramEnd"/>
      <w:r w:rsidRPr="00F4122C">
        <w:rPr>
          <w:bCs/>
        </w:rPr>
        <w:t xml:space="preserve"> specific approaches in relation to ethnic minorities.  However, during consideration of the </w:t>
      </w:r>
      <w:r w:rsidR="001754B8">
        <w:rPr>
          <w:bCs/>
        </w:rPr>
        <w:t xml:space="preserve">transfer </w:t>
      </w:r>
      <w:r w:rsidRPr="00F4122C">
        <w:rPr>
          <w:bCs/>
        </w:rPr>
        <w:t xml:space="preserve">decision to </w:t>
      </w:r>
      <w:r w:rsidR="001754B8">
        <w:rPr>
          <w:bCs/>
        </w:rPr>
        <w:t xml:space="preserve">the EASHE </w:t>
      </w:r>
      <w:r w:rsidRPr="00F4122C">
        <w:rPr>
          <w:bCs/>
        </w:rPr>
        <w:t xml:space="preserve">Sector Manager on the Integrated Safeguards Datasheet for this activity, advice was provided by the EAP Regional Safeguards team in December </w:t>
      </w:r>
      <w:proofErr w:type="gramStart"/>
      <w:r w:rsidRPr="00F4122C">
        <w:rPr>
          <w:bCs/>
        </w:rPr>
        <w:t>2011  requiring</w:t>
      </w:r>
      <w:proofErr w:type="gramEnd"/>
      <w:r w:rsidRPr="00F4122C">
        <w:rPr>
          <w:bCs/>
        </w:rPr>
        <w:t xml:space="preserve"> an Indigenous People’s approach on the basis that </w:t>
      </w:r>
      <w:r w:rsidR="001754B8">
        <w:rPr>
          <w:bCs/>
        </w:rPr>
        <w:t>all</w:t>
      </w:r>
      <w:r w:rsidRPr="00F4122C">
        <w:rPr>
          <w:bCs/>
        </w:rPr>
        <w:t xml:space="preserve"> recipients were indigenous.</w:t>
      </w:r>
      <w:r w:rsidR="008E0CF1" w:rsidRPr="00F4122C">
        <w:rPr>
          <w:bCs/>
        </w:rPr>
        <w:t xml:space="preserve">  According to this definition therefore, a further World Bank Safeguard Policy is triggered by this project, i.e., Indigenous Peoples (</w:t>
      </w:r>
      <w:r w:rsidR="001754B8">
        <w:rPr>
          <w:bCs/>
        </w:rPr>
        <w:t xml:space="preserve">OP/BP </w:t>
      </w:r>
      <w:r w:rsidR="008E0CF1" w:rsidRPr="001754B8">
        <w:rPr>
          <w:bCs/>
        </w:rPr>
        <w:t>4.10).</w:t>
      </w:r>
    </w:p>
    <w:p w:rsidR="00E36378" w:rsidRPr="00F4122C" w:rsidRDefault="00E36378" w:rsidP="00E36378"/>
    <w:p w:rsidR="00105B00" w:rsidRPr="00F4122C" w:rsidRDefault="004F4913" w:rsidP="000120C6">
      <w:pPr>
        <w:pStyle w:val="ListParagraph"/>
        <w:numPr>
          <w:ilvl w:val="0"/>
          <w:numId w:val="1"/>
        </w:numPr>
        <w:ind w:left="0" w:firstLine="0"/>
        <w:jc w:val="both"/>
      </w:pPr>
      <w:r w:rsidRPr="00F4122C">
        <w:t xml:space="preserve">In the context of this project, </w:t>
      </w:r>
      <w:r w:rsidR="000120C6" w:rsidRPr="00F4122C">
        <w:t xml:space="preserve">the project target population </w:t>
      </w:r>
      <w:r w:rsidR="001754B8">
        <w:t>is</w:t>
      </w:r>
      <w:r w:rsidR="000120C6" w:rsidRPr="00F4122C">
        <w:t xml:space="preserve"> defined as </w:t>
      </w:r>
      <w:r w:rsidR="001754B8">
        <w:t>“isolated vulnerable peoples” (IVP)</w:t>
      </w:r>
      <w:r w:rsidR="00E34775">
        <w:t xml:space="preserve">: </w:t>
      </w:r>
      <w:r w:rsidR="001754B8">
        <w:t xml:space="preserve">groups </w:t>
      </w:r>
      <w:r w:rsidRPr="00F4122C">
        <w:t xml:space="preserve">that have the </w:t>
      </w:r>
      <w:r w:rsidR="000120C6" w:rsidRPr="00F4122C">
        <w:t>specific</w:t>
      </w:r>
      <w:r w:rsidR="001754B8">
        <w:t xml:space="preserve"> </w:t>
      </w:r>
      <w:r w:rsidR="000120C6" w:rsidRPr="00F4122C">
        <w:t xml:space="preserve">vulnerable </w:t>
      </w:r>
      <w:r w:rsidRPr="00F4122C">
        <w:t xml:space="preserve">characteristics of “indigenous peoples” as used in OP 4.10. </w:t>
      </w:r>
      <w:r w:rsidR="00105B00" w:rsidRPr="00F4122C">
        <w:t>The definition of IVP used in this framework in a generic sense refers to a distinct, vulnerable group (poor, remote, etc.) w</w:t>
      </w:r>
      <w:r w:rsidR="001754B8">
        <w:t>ith specials needs in education.</w:t>
      </w:r>
    </w:p>
    <w:p w:rsidR="00F4122C" w:rsidRDefault="00F4122C" w:rsidP="00F4122C">
      <w:pPr>
        <w:autoSpaceDE w:val="0"/>
        <w:autoSpaceDN w:val="0"/>
        <w:adjustRightInd w:val="0"/>
        <w:rPr>
          <w:b/>
        </w:rPr>
      </w:pPr>
    </w:p>
    <w:p w:rsidR="00F4122C" w:rsidRDefault="001754B8" w:rsidP="00F4122C">
      <w:pPr>
        <w:pStyle w:val="ListParagraph"/>
        <w:numPr>
          <w:ilvl w:val="0"/>
          <w:numId w:val="1"/>
        </w:numPr>
        <w:ind w:left="0" w:firstLine="0"/>
        <w:jc w:val="both"/>
      </w:pPr>
      <w:r>
        <w:t>T</w:t>
      </w:r>
      <w:r w:rsidR="00F4122C" w:rsidRPr="00F4122C">
        <w:t xml:space="preserve">he population of </w:t>
      </w:r>
      <w:r w:rsidR="00E34775" w:rsidRPr="00E34775">
        <w:rPr>
          <w:i/>
        </w:rPr>
        <w:t>Timor-Leste</w:t>
      </w:r>
      <w:r w:rsidR="00F4122C" w:rsidRPr="00F4122C">
        <w:t xml:space="preserve"> is </w:t>
      </w:r>
      <w:r w:rsidR="009D3562">
        <w:t xml:space="preserve">significantly </w:t>
      </w:r>
      <w:r w:rsidR="00F4122C" w:rsidRPr="00F4122C">
        <w:t>poor and rural.  The poverty rate in 2007 was 49</w:t>
      </w:r>
      <w:r>
        <w:t xml:space="preserve"> percent</w:t>
      </w:r>
      <w:r w:rsidR="00F4122C" w:rsidRPr="00F4122C">
        <w:t xml:space="preserve">.  Human Development outcomes are </w:t>
      </w:r>
      <w:r w:rsidR="00915028">
        <w:t>weak</w:t>
      </w:r>
      <w:r w:rsidR="00F4122C" w:rsidRPr="00F4122C">
        <w:t xml:space="preserve"> but improving.  </w:t>
      </w:r>
      <w:r w:rsidR="00F4122C">
        <w:t xml:space="preserve">There are 32 language groups in </w:t>
      </w:r>
      <w:r w:rsidR="00E34775" w:rsidRPr="00E34775">
        <w:rPr>
          <w:i/>
        </w:rPr>
        <w:t>Timor-Leste</w:t>
      </w:r>
      <w:r w:rsidR="009D3562">
        <w:t>, indicating a significant diversity of social gro</w:t>
      </w:r>
      <w:r w:rsidR="00915028">
        <w:t>upings.  Divisions along ethno-</w:t>
      </w:r>
      <w:r w:rsidR="009D3562">
        <w:t xml:space="preserve">political lines marked unrest in 2006 which affected service delivery.  </w:t>
      </w:r>
      <w:r w:rsidR="0034118C">
        <w:t>O</w:t>
      </w:r>
      <w:r w:rsidR="009D3562">
        <w:t>f service delivery concerns raised with government, civ</w:t>
      </w:r>
      <w:r w:rsidR="00915028">
        <w:t xml:space="preserve">il society and donor partners—commonly </w:t>
      </w:r>
      <w:r w:rsidR="009D3562">
        <w:t>including teacher absenteeism, school feeding programs, and ac</w:t>
      </w:r>
      <w:r w:rsidR="00915028">
        <w:t xml:space="preserve">cess to tertiary scholarships—none </w:t>
      </w:r>
      <w:r w:rsidR="009D3562">
        <w:t>have been raised along ethnic lines.</w:t>
      </w:r>
      <w:r w:rsidR="0034118C">
        <w:rPr>
          <w:rStyle w:val="FootnoteReference"/>
        </w:rPr>
        <w:footnoteReference w:id="1"/>
      </w:r>
      <w:r w:rsidR="0034118C">
        <w:t xml:space="preserve"> However, there is a perception of systemic bias to Dili-based elites regarding the awarding of tertiary scholarships.  Due to low levels of Portuguese fluency which vary across the country, language of instruction is a source of frustration, with teachers poorly trained in the skills needed to teach languages including the most common language of </w:t>
      </w:r>
      <w:proofErr w:type="spellStart"/>
      <w:r w:rsidR="0034118C">
        <w:t>Tetum</w:t>
      </w:r>
      <w:proofErr w:type="spellEnd"/>
      <w:r w:rsidR="0034118C">
        <w:t>.</w:t>
      </w:r>
    </w:p>
    <w:p w:rsidR="0034118C" w:rsidRDefault="0034118C" w:rsidP="0034118C">
      <w:pPr>
        <w:pStyle w:val="ListParagraph"/>
      </w:pPr>
    </w:p>
    <w:p w:rsidR="0034118C" w:rsidRPr="00F4122C" w:rsidRDefault="00D5338C" w:rsidP="00F4122C">
      <w:pPr>
        <w:pStyle w:val="ListParagraph"/>
        <w:numPr>
          <w:ilvl w:val="0"/>
          <w:numId w:val="1"/>
        </w:numPr>
        <w:ind w:left="0" w:firstLine="0"/>
        <w:jc w:val="both"/>
      </w:pPr>
      <w:r>
        <w:t xml:space="preserve">Indigenous Policy is triggered because the Indigenous Population is present in the project area and not because the project has any negative or positive impacts.  </w:t>
      </w:r>
      <w:r w:rsidR="0034118C">
        <w:t xml:space="preserve">The proposed Additional Financing is not expected to have negative impacts on these social factors.  Rather, the prioritization of disadvantaged rural communities currently practices by the Ministry’s selection of school sites for community rehabilitation and maintenance activities suggests that more vulnerable communities perceived as disadvantaged in current education service delivery will receive greater benefit from the project through improvement to conditions for learning.  </w:t>
      </w:r>
    </w:p>
    <w:p w:rsidR="00F4122C" w:rsidRDefault="00F4122C" w:rsidP="000120C6">
      <w:pPr>
        <w:rPr>
          <w:b/>
        </w:rPr>
      </w:pPr>
    </w:p>
    <w:p w:rsidR="00D5338C" w:rsidRDefault="00D5338C" w:rsidP="000120C6">
      <w:pPr>
        <w:rPr>
          <w:b/>
        </w:rPr>
      </w:pPr>
      <w:r>
        <w:rPr>
          <w:b/>
        </w:rPr>
        <w:t>Summary of how elements of Indigenous Peoples policy have been integrated in the project design</w:t>
      </w:r>
    </w:p>
    <w:p w:rsidR="00D5338C" w:rsidRDefault="00D5338C" w:rsidP="000120C6">
      <w:pPr>
        <w:rPr>
          <w:b/>
        </w:rPr>
      </w:pPr>
    </w:p>
    <w:p w:rsidR="00D5338C" w:rsidRPr="00D5338C" w:rsidRDefault="003326AA" w:rsidP="00C24D98">
      <w:pPr>
        <w:pStyle w:val="ListParagraph"/>
        <w:numPr>
          <w:ilvl w:val="0"/>
          <w:numId w:val="1"/>
        </w:numPr>
        <w:ind w:left="0" w:firstLine="0"/>
        <w:jc w:val="both"/>
      </w:pPr>
      <w:r w:rsidRPr="003326AA">
        <w:t xml:space="preserve">Several steps have been taken to integrate Indigenous </w:t>
      </w:r>
      <w:proofErr w:type="spellStart"/>
      <w:r w:rsidRPr="003326AA">
        <w:t>Peopls</w:t>
      </w:r>
      <w:proofErr w:type="spellEnd"/>
      <w:r w:rsidRPr="003326AA">
        <w:t xml:space="preserve"> Policy in the project design.  A Safeguards Policy Note incorporates a brief social assessment to identify the presence or collective attachment of Indigenous Peoples to the project area.  Ongoing processes of free, prior, and informed consultation with the affected Indigenous Peoples’ communities have been identified, have contributed to site selection by the implementing agency, and will take place during implementation, with further support through engagement of a Community Development Specialist supporting community participatory approaches.  The Safeguards Policy Note proposes a brief Indigenous Peoples Approach incorporating Indigenous Peoples Policy actions.  The note will be disclosed locally and through the World Bank InfoShop.  Finally, the level of detail necessary to meet the requirements specified in paragraph 6 (b), (c), and (d) is proportional to the complexity of the proposed project and commensurate with the nature and scale of the proposed project’s potential effects on the Indigenous Peoples, whether adverse or positive.</w:t>
      </w:r>
      <w:r w:rsidR="00D5338C">
        <w:t xml:space="preserve">  Particular additional elements include that only existing school sites will be included in school infrastructure </w:t>
      </w:r>
      <w:proofErr w:type="gramStart"/>
      <w:r w:rsidR="00D5338C">
        <w:t>support,</w:t>
      </w:r>
      <w:proofErr w:type="gramEnd"/>
      <w:r w:rsidR="00D5338C">
        <w:t xml:space="preserve"> and only land with clear government ownership and not subject to land ownership dispute will be included in infrastructure activities.  There is no resettlement as a result of the project.  </w:t>
      </w:r>
      <w:r w:rsidR="00D5338C" w:rsidRPr="00D5338C">
        <w:t>To implement and monitor the</w:t>
      </w:r>
      <w:r w:rsidR="00D5338C">
        <w:t xml:space="preserve"> indigenous peoples</w:t>
      </w:r>
      <w:r w:rsidR="00D5338C" w:rsidRPr="00D5338C">
        <w:t xml:space="preserve"> framework, the PIU will hire a community development/ indigenous peoples specialist under terms of reference agreed by the Bank. The specialist will be located in the PIU and report to the project coordinator as the responsible individual identified in the updated management structure of the project on matters of policy and strategic planning</w:t>
      </w:r>
    </w:p>
    <w:p w:rsidR="00D5338C" w:rsidRDefault="00D5338C" w:rsidP="000120C6">
      <w:pPr>
        <w:rPr>
          <w:b/>
        </w:rPr>
      </w:pPr>
    </w:p>
    <w:p w:rsidR="00D5338C" w:rsidRDefault="00D5338C" w:rsidP="000120C6">
      <w:pPr>
        <w:rPr>
          <w:b/>
        </w:rPr>
      </w:pPr>
    </w:p>
    <w:p w:rsidR="00583BCD" w:rsidRPr="00F4122C" w:rsidRDefault="000120C6" w:rsidP="000120C6">
      <w:pPr>
        <w:rPr>
          <w:b/>
        </w:rPr>
      </w:pPr>
      <w:r w:rsidRPr="00F4122C">
        <w:rPr>
          <w:b/>
        </w:rPr>
        <w:t xml:space="preserve">Treatment of Safeguards risk/ Proposed </w:t>
      </w:r>
      <w:r w:rsidR="00583BCD" w:rsidRPr="00F4122C">
        <w:rPr>
          <w:b/>
        </w:rPr>
        <w:t>Framework</w:t>
      </w:r>
    </w:p>
    <w:p w:rsidR="00583BCD" w:rsidRPr="00F4122C" w:rsidRDefault="00583BCD" w:rsidP="000120C6">
      <w:pPr>
        <w:rPr>
          <w:b/>
        </w:rPr>
      </w:pPr>
    </w:p>
    <w:p w:rsidR="000120C6" w:rsidRPr="00F4122C" w:rsidRDefault="000120C6" w:rsidP="000120C6">
      <w:pPr>
        <w:pStyle w:val="ListParagraph"/>
        <w:numPr>
          <w:ilvl w:val="0"/>
          <w:numId w:val="1"/>
        </w:numPr>
        <w:ind w:left="0" w:firstLine="0"/>
        <w:jc w:val="both"/>
      </w:pPr>
      <w:r w:rsidRPr="00F4122C">
        <w:t xml:space="preserve">Based on the type of activities ESSP AF is expected to have some moderate social impacts in indigenous people, </w:t>
      </w:r>
      <w:r w:rsidR="008E0CF1" w:rsidRPr="00F4122C">
        <w:t xml:space="preserve">including </w:t>
      </w:r>
      <w:r w:rsidRPr="00F4122C">
        <w:t xml:space="preserve">on </w:t>
      </w:r>
      <w:r w:rsidR="00915028">
        <w:t>IVP</w:t>
      </w:r>
      <w:r w:rsidRPr="00F4122C">
        <w:t>.  T</w:t>
      </w:r>
      <w:r w:rsidR="008E0CF1" w:rsidRPr="00F4122C">
        <w:t xml:space="preserve">he activities under ESSP AF </w:t>
      </w:r>
      <w:r w:rsidRPr="00F4122C">
        <w:t>are likely to affect IVP in a positive way</w:t>
      </w:r>
      <w:r w:rsidR="005911D1">
        <w:t xml:space="preserve"> as described above</w:t>
      </w:r>
      <w:r w:rsidR="008E0CF1" w:rsidRPr="00F4122C">
        <w:t>.</w:t>
      </w:r>
    </w:p>
    <w:p w:rsidR="000120C6" w:rsidRPr="00F4122C" w:rsidRDefault="000120C6" w:rsidP="000120C6">
      <w:pPr>
        <w:rPr>
          <w:b/>
        </w:rPr>
      </w:pPr>
    </w:p>
    <w:p w:rsidR="00583BCD" w:rsidRPr="00F4122C" w:rsidRDefault="00583BCD" w:rsidP="00F4122C">
      <w:pPr>
        <w:pStyle w:val="ListParagraph"/>
        <w:numPr>
          <w:ilvl w:val="0"/>
          <w:numId w:val="1"/>
        </w:numPr>
        <w:ind w:left="0" w:firstLine="0"/>
        <w:jc w:val="both"/>
        <w:rPr>
          <w:color w:val="06082C"/>
        </w:rPr>
      </w:pPr>
      <w:r w:rsidRPr="00F4122C">
        <w:t>This framework has been designed to guide the implementation of ESSP AF in issues related to IVP. The framework will be an integra</w:t>
      </w:r>
      <w:r w:rsidR="000120C6" w:rsidRPr="00F4122C">
        <w:t>ted</w:t>
      </w:r>
      <w:r w:rsidRPr="00F4122C">
        <w:t xml:space="preserve"> part of the Project Operation Manual (</w:t>
      </w:r>
      <w:smartTag w:uri="urn:schemas-microsoft-com:office:smarttags" w:element="stockticker">
        <w:r w:rsidRPr="00F4122C">
          <w:t>POM</w:t>
        </w:r>
      </w:smartTag>
      <w:r w:rsidRPr="00F4122C">
        <w:t xml:space="preserve">). The framework aims to enable IVP to benefit equally from the project. </w:t>
      </w:r>
    </w:p>
    <w:p w:rsidR="00F818A9" w:rsidRPr="00F4122C" w:rsidRDefault="00F818A9" w:rsidP="000120C6">
      <w:pPr>
        <w:pStyle w:val="maintext"/>
        <w:numPr>
          <w:ilvl w:val="0"/>
          <w:numId w:val="0"/>
        </w:numPr>
        <w:spacing w:after="0"/>
        <w:jc w:val="both"/>
        <w:rPr>
          <w:b/>
        </w:rPr>
      </w:pPr>
      <w:r w:rsidRPr="00F4122C">
        <w:rPr>
          <w:b/>
        </w:rPr>
        <w:tab/>
      </w:r>
    </w:p>
    <w:p w:rsidR="001D630E" w:rsidRPr="00F4122C" w:rsidRDefault="00F818A9" w:rsidP="000120C6">
      <w:pPr>
        <w:pStyle w:val="maintext"/>
        <w:numPr>
          <w:ilvl w:val="0"/>
          <w:numId w:val="1"/>
        </w:numPr>
        <w:spacing w:after="0"/>
        <w:ind w:left="0" w:firstLine="0"/>
        <w:jc w:val="both"/>
        <w:rPr>
          <w:b/>
        </w:rPr>
      </w:pPr>
      <w:r w:rsidRPr="00F4122C">
        <w:t>The overall framework within which ESSP AF TL will address IVP issues operat</w:t>
      </w:r>
      <w:r w:rsidR="00915028">
        <w:t>ing</w:t>
      </w:r>
      <w:r w:rsidRPr="00F4122C">
        <w:t xml:space="preserve"> at </w:t>
      </w:r>
      <w:r w:rsidR="00F4122C">
        <w:t>four</w:t>
      </w:r>
      <w:r w:rsidR="00F4122C" w:rsidRPr="00F4122C">
        <w:t xml:space="preserve"> </w:t>
      </w:r>
      <w:r w:rsidRPr="00F4122C">
        <w:t xml:space="preserve">levels: </w:t>
      </w:r>
    </w:p>
    <w:p w:rsidR="005215CF" w:rsidRPr="00F4122C" w:rsidRDefault="005215CF" w:rsidP="000120C6">
      <w:pPr>
        <w:pStyle w:val="ListParagraph"/>
        <w:tabs>
          <w:tab w:val="left" w:pos="1440"/>
        </w:tabs>
        <w:ind w:left="0"/>
        <w:jc w:val="both"/>
      </w:pPr>
    </w:p>
    <w:p w:rsidR="005215CF" w:rsidRPr="00F4122C" w:rsidRDefault="00E36378" w:rsidP="000120C6">
      <w:pPr>
        <w:pStyle w:val="ListParagraph"/>
        <w:numPr>
          <w:ilvl w:val="1"/>
          <w:numId w:val="1"/>
        </w:numPr>
        <w:ind w:left="0" w:firstLine="0"/>
        <w:jc w:val="both"/>
        <w:rPr>
          <w:b/>
          <w:i/>
        </w:rPr>
      </w:pPr>
      <w:r w:rsidRPr="00F4122C">
        <w:rPr>
          <w:b/>
          <w:i/>
        </w:rPr>
        <w:t>Consultation and Participation</w:t>
      </w:r>
    </w:p>
    <w:p w:rsidR="00980566" w:rsidRPr="00F4122C" w:rsidRDefault="00980566">
      <w:pPr>
        <w:pStyle w:val="ListParagraph"/>
        <w:ind w:left="0"/>
        <w:jc w:val="both"/>
        <w:rPr>
          <w:b/>
        </w:rPr>
      </w:pPr>
    </w:p>
    <w:p w:rsidR="00E36378" w:rsidRPr="00F4122C" w:rsidRDefault="006C73CE" w:rsidP="00E36378">
      <w:pPr>
        <w:pStyle w:val="maintext"/>
        <w:numPr>
          <w:ilvl w:val="0"/>
          <w:numId w:val="1"/>
        </w:numPr>
        <w:spacing w:before="120" w:after="120"/>
        <w:ind w:left="0" w:firstLine="0"/>
        <w:jc w:val="both"/>
      </w:pPr>
      <w:r w:rsidRPr="00F4122C">
        <w:t>Bank Indigenous People’s Policy for consultative approaches provides guidance that t</w:t>
      </w:r>
      <w:r w:rsidR="005F10F5" w:rsidRPr="00F4122C">
        <w:t xml:space="preserve">he </w:t>
      </w:r>
      <w:r w:rsidR="00915028">
        <w:t>Project Implementation Unit (PIU)</w:t>
      </w:r>
      <w:r w:rsidR="005215CF" w:rsidRPr="00F4122C">
        <w:t xml:space="preserve"> has to ensure that where the proposed project affects </w:t>
      </w:r>
      <w:r w:rsidR="00915028">
        <w:t>IVP</w:t>
      </w:r>
      <w:r w:rsidR="005215CF" w:rsidRPr="00F4122C">
        <w:t xml:space="preserve">, it engages in free, prior, and informed consultation with them. To </w:t>
      </w:r>
      <w:r w:rsidR="005F10F5" w:rsidRPr="00F4122C">
        <w:t>ensure such consultation, the PI</w:t>
      </w:r>
      <w:r w:rsidR="005215CF" w:rsidRPr="00F4122C">
        <w:t>U:</w:t>
      </w:r>
    </w:p>
    <w:p w:rsidR="00980566" w:rsidRPr="00F4122C" w:rsidRDefault="005215CF">
      <w:pPr>
        <w:numPr>
          <w:ilvl w:val="2"/>
          <w:numId w:val="3"/>
        </w:numPr>
        <w:tabs>
          <w:tab w:val="clear" w:pos="1080"/>
          <w:tab w:val="num" w:pos="630"/>
        </w:tabs>
        <w:autoSpaceDE w:val="0"/>
        <w:autoSpaceDN w:val="0"/>
        <w:adjustRightInd w:val="0"/>
        <w:spacing w:before="120" w:after="120"/>
        <w:ind w:left="0" w:firstLine="0"/>
        <w:jc w:val="both"/>
      </w:pPr>
      <w:r w:rsidRPr="00F4122C">
        <w:t xml:space="preserve">Establishes an appropriate gender and inter-generationally inclusive framework that provides opportunities for consultation </w:t>
      </w:r>
      <w:r w:rsidR="005F10F5" w:rsidRPr="00F4122C">
        <w:t xml:space="preserve">with </w:t>
      </w:r>
      <w:r w:rsidRPr="00F4122C">
        <w:t>the affected I</w:t>
      </w:r>
      <w:r w:rsidR="005F10F5" w:rsidRPr="00F4122C">
        <w:t>V</w:t>
      </w:r>
      <w:r w:rsidRPr="00F4122C">
        <w:t>P communities</w:t>
      </w:r>
      <w:r w:rsidR="00915028">
        <w:t>.</w:t>
      </w:r>
    </w:p>
    <w:p w:rsidR="00980566" w:rsidRPr="00F4122C" w:rsidRDefault="005215CF">
      <w:pPr>
        <w:numPr>
          <w:ilvl w:val="2"/>
          <w:numId w:val="3"/>
        </w:numPr>
        <w:tabs>
          <w:tab w:val="clear" w:pos="1080"/>
          <w:tab w:val="num" w:pos="630"/>
        </w:tabs>
        <w:autoSpaceDE w:val="0"/>
        <w:autoSpaceDN w:val="0"/>
        <w:adjustRightInd w:val="0"/>
        <w:spacing w:before="120" w:after="120"/>
        <w:ind w:left="0" w:firstLine="0"/>
        <w:jc w:val="both"/>
      </w:pPr>
      <w:r w:rsidRPr="00F4122C">
        <w:t xml:space="preserve">Uses consultation methods to the social and cultural values of the affected </w:t>
      </w:r>
      <w:r w:rsidR="00915028">
        <w:t>IVP</w:t>
      </w:r>
      <w:r w:rsidRPr="00F4122C">
        <w:t xml:space="preserve"> communities and their local conditions and, in designing these methods, gives special attention to the concerns of </w:t>
      </w:r>
      <w:r w:rsidR="001D630E" w:rsidRPr="00F4122C">
        <w:t>gender disparity in</w:t>
      </w:r>
      <w:r w:rsidRPr="00F4122C">
        <w:t xml:space="preserve"> access to opportunities and benefits under </w:t>
      </w:r>
      <w:r w:rsidR="00F12E63" w:rsidRPr="00F4122C">
        <w:t xml:space="preserve">ESSP AF </w:t>
      </w:r>
      <w:proofErr w:type="gramStart"/>
      <w:r w:rsidR="00F12E63" w:rsidRPr="00F4122C">
        <w:t xml:space="preserve">TL </w:t>
      </w:r>
      <w:r w:rsidRPr="00F4122C">
        <w:t>.</w:t>
      </w:r>
      <w:proofErr w:type="gramEnd"/>
    </w:p>
    <w:p w:rsidR="00980566" w:rsidRPr="00F4122C" w:rsidRDefault="005215CF">
      <w:pPr>
        <w:numPr>
          <w:ilvl w:val="2"/>
          <w:numId w:val="3"/>
        </w:numPr>
        <w:tabs>
          <w:tab w:val="clear" w:pos="1080"/>
          <w:tab w:val="num" w:pos="630"/>
        </w:tabs>
        <w:autoSpaceDE w:val="0"/>
        <w:autoSpaceDN w:val="0"/>
        <w:adjustRightInd w:val="0"/>
        <w:spacing w:before="120" w:after="120"/>
        <w:ind w:left="0" w:firstLine="0"/>
        <w:jc w:val="both"/>
      </w:pPr>
      <w:r w:rsidRPr="00F4122C">
        <w:t>Provides the affected I</w:t>
      </w:r>
      <w:r w:rsidR="001D630E" w:rsidRPr="00F4122C">
        <w:t>V</w:t>
      </w:r>
      <w:r w:rsidRPr="00F4122C">
        <w:t>P communities with all relevant information about the project, including the potential adverse impacts, if any, in a culturally appropriate manner at each stage of subproject preparation and implementation.</w:t>
      </w:r>
    </w:p>
    <w:p w:rsidR="005215CF" w:rsidRPr="00F4122C" w:rsidRDefault="005215CF" w:rsidP="000120C6">
      <w:pPr>
        <w:pStyle w:val="ListParagraph"/>
        <w:ind w:left="0"/>
        <w:jc w:val="both"/>
        <w:rPr>
          <w:b/>
        </w:rPr>
      </w:pPr>
    </w:p>
    <w:p w:rsidR="00E36378" w:rsidRPr="00F4122C" w:rsidRDefault="00E36378" w:rsidP="00E36378">
      <w:pPr>
        <w:pStyle w:val="maintext"/>
        <w:numPr>
          <w:ilvl w:val="0"/>
          <w:numId w:val="1"/>
        </w:numPr>
        <w:spacing w:after="0"/>
        <w:ind w:left="0" w:firstLine="0"/>
        <w:jc w:val="both"/>
      </w:pPr>
      <w:r w:rsidRPr="00F4122C">
        <w:t xml:space="preserve">The IFU has existing and demonstrated experience in facilitating consultations with community members prior to and during construction activities. </w:t>
      </w:r>
      <w:r w:rsidR="00194958" w:rsidRPr="00F4122C">
        <w:t xml:space="preserve"> The status of the entire population of </w:t>
      </w:r>
      <w:r w:rsidR="00E34775" w:rsidRPr="00E34775">
        <w:rPr>
          <w:i/>
        </w:rPr>
        <w:t>Timor-Leste</w:t>
      </w:r>
      <w:r w:rsidR="00194958" w:rsidRPr="00F4122C">
        <w:t xml:space="preserve"> as indigenous, and the fully Timorese staffing of the unit, contributes to a greater likelihood of culturally appropriate practices in community consultation. </w:t>
      </w:r>
      <w:r w:rsidR="005911D1">
        <w:t xml:space="preserve">A key element of strengthening community participatory approaches and the focus on isolated and vulnerable communities will include engagement of a community development specialist. </w:t>
      </w:r>
    </w:p>
    <w:p w:rsidR="00E36378" w:rsidRPr="00F4122C" w:rsidRDefault="00E36378" w:rsidP="00E36378">
      <w:pPr>
        <w:pStyle w:val="maintext"/>
        <w:numPr>
          <w:ilvl w:val="0"/>
          <w:numId w:val="0"/>
        </w:numPr>
        <w:spacing w:after="0"/>
        <w:jc w:val="both"/>
      </w:pPr>
    </w:p>
    <w:p w:rsidR="00980566" w:rsidRPr="00F4122C" w:rsidRDefault="00E36378">
      <w:pPr>
        <w:pStyle w:val="maintext"/>
        <w:numPr>
          <w:ilvl w:val="0"/>
          <w:numId w:val="1"/>
        </w:numPr>
        <w:spacing w:after="0"/>
        <w:ind w:left="0" w:firstLine="0"/>
        <w:jc w:val="both"/>
      </w:pPr>
      <w:r w:rsidRPr="00F4122C">
        <w:t xml:space="preserve">During the project and including through engagement of international </w:t>
      </w:r>
      <w:r w:rsidR="00915028">
        <w:t>technical assistance</w:t>
      </w:r>
      <w:r w:rsidRPr="00F4122C">
        <w:t xml:space="preserve"> in subcomponent 3.1</w:t>
      </w:r>
      <w:r w:rsidR="005911D1">
        <w:t xml:space="preserve"> and a community development specialist</w:t>
      </w:r>
      <w:r w:rsidRPr="00F4122C">
        <w:t>, the IFU will fur</w:t>
      </w:r>
      <w:r w:rsidR="006C73CE" w:rsidRPr="00F4122C">
        <w:t>t</w:t>
      </w:r>
      <w:r w:rsidRPr="00F4122C">
        <w:t xml:space="preserve">her strengthen </w:t>
      </w:r>
      <w:r w:rsidR="00194958" w:rsidRPr="00F4122C">
        <w:t xml:space="preserve">community </w:t>
      </w:r>
      <w:r w:rsidRPr="00F4122C">
        <w:t xml:space="preserve">participatory consultative planning processes, benefiting from training in new methods of autonomy and school-based management through </w:t>
      </w:r>
      <w:proofErr w:type="spellStart"/>
      <w:r w:rsidR="00E34775" w:rsidRPr="00E34775">
        <w:rPr>
          <w:i/>
        </w:rPr>
        <w:t>Escola</w:t>
      </w:r>
      <w:proofErr w:type="spellEnd"/>
      <w:r w:rsidR="00E34775" w:rsidRPr="00E34775">
        <w:rPr>
          <w:i/>
        </w:rPr>
        <w:t xml:space="preserve"> </w:t>
      </w:r>
      <w:proofErr w:type="spellStart"/>
      <w:proofErr w:type="gramStart"/>
      <w:r w:rsidR="00E34775" w:rsidRPr="00E34775">
        <w:rPr>
          <w:i/>
        </w:rPr>
        <w:t>Básica</w:t>
      </w:r>
      <w:proofErr w:type="spellEnd"/>
      <w:r w:rsidR="00E34775" w:rsidRPr="00E34775">
        <w:rPr>
          <w:i/>
        </w:rPr>
        <w:t xml:space="preserve"> </w:t>
      </w:r>
      <w:r w:rsidRPr="00F4122C">
        <w:t xml:space="preserve"> reform</w:t>
      </w:r>
      <w:proofErr w:type="gramEnd"/>
      <w:r w:rsidRPr="00F4122C">
        <w:t xml:space="preserve"> support training to school directors.  </w:t>
      </w:r>
      <w:r w:rsidR="00915028">
        <w:t>ESSP</w:t>
      </w:r>
      <w:r w:rsidR="00194958" w:rsidRPr="00F4122C">
        <w:t xml:space="preserve"> will support further inputs to develop modules and training in this area.</w:t>
      </w:r>
    </w:p>
    <w:p w:rsidR="00980566" w:rsidRPr="00F4122C" w:rsidRDefault="00980566">
      <w:pPr>
        <w:pStyle w:val="ListParagraph"/>
      </w:pPr>
    </w:p>
    <w:p w:rsidR="00402D7D" w:rsidRPr="00F4122C" w:rsidRDefault="005911D1">
      <w:pPr>
        <w:pStyle w:val="maintext"/>
        <w:numPr>
          <w:ilvl w:val="0"/>
          <w:numId w:val="1"/>
        </w:numPr>
        <w:spacing w:after="0"/>
        <w:ind w:left="0" w:firstLine="0"/>
        <w:jc w:val="both"/>
      </w:pPr>
      <w:r>
        <w:t>As already strengthened in ESSP sub-component 3.2 of School Site Selection and Mapping, e</w:t>
      </w:r>
      <w:r w:rsidR="00402D7D" w:rsidRPr="00F4122C">
        <w:t xml:space="preserve">xisting government process through the IFU for selecting schools for community rehabilitation and maintenance activities involves regular field visits to Districts and discussion between the Infrastructure Facilities Unit engineers, District Education Officials, and School Principals and </w:t>
      </w:r>
      <w:proofErr w:type="spellStart"/>
      <w:r w:rsidR="00402D7D" w:rsidRPr="00C85490">
        <w:rPr>
          <w:i/>
        </w:rPr>
        <w:t>Suco</w:t>
      </w:r>
      <w:proofErr w:type="spellEnd"/>
      <w:r w:rsidR="00402D7D" w:rsidRPr="00F4122C">
        <w:t xml:space="preserve"> (commune) chiefs to identify priorities based on the condition of school infrastructure as the primary priority.</w:t>
      </w:r>
      <w:r w:rsidR="00FE3253" w:rsidRPr="00F4122C">
        <w:t xml:space="preserve"> The IFU prioritizes activities in economically disadvantaged communes.</w:t>
      </w:r>
      <w:r>
        <w:t xml:space="preserve">  Site selection procedures include </w:t>
      </w:r>
      <w:r w:rsidR="005C551C">
        <w:t xml:space="preserve">evidence-based decision-making </w:t>
      </w:r>
      <w:r w:rsidR="00915028">
        <w:t>such as</w:t>
      </w:r>
      <w:r w:rsidR="005C551C">
        <w:t xml:space="preserve"> </w:t>
      </w:r>
      <w:r>
        <w:t>reference to the Education Management Information System (EMIS) and the Building Management Information System (BMIS)</w:t>
      </w:r>
      <w:r w:rsidR="00915028">
        <w:t xml:space="preserve"> </w:t>
      </w:r>
      <w:r w:rsidR="00915028" w:rsidRPr="00915028">
        <w:t>of the IFU</w:t>
      </w:r>
      <w:r>
        <w:t xml:space="preserve">. Further strengthening of a community participatory approach to site identification will be a key task of a </w:t>
      </w:r>
      <w:r w:rsidRPr="005911D1">
        <w:t>community development specialist</w:t>
      </w:r>
      <w:r>
        <w:t>, including adequate consultation and socialization among communities.</w:t>
      </w:r>
    </w:p>
    <w:p w:rsidR="00402D7D" w:rsidRPr="00F4122C" w:rsidRDefault="00402D7D" w:rsidP="00402D7D">
      <w:pPr>
        <w:pStyle w:val="ListParagraph"/>
      </w:pPr>
    </w:p>
    <w:p w:rsidR="00980566" w:rsidRPr="00F4122C" w:rsidRDefault="006C73CE">
      <w:pPr>
        <w:pStyle w:val="maintext"/>
        <w:numPr>
          <w:ilvl w:val="0"/>
          <w:numId w:val="1"/>
        </w:numPr>
        <w:spacing w:after="0"/>
        <w:ind w:left="0" w:firstLine="0"/>
        <w:jc w:val="both"/>
      </w:pPr>
      <w:r w:rsidRPr="00F4122C">
        <w:t xml:space="preserve">Selection of community leaders is </w:t>
      </w:r>
      <w:r w:rsidR="00194958" w:rsidRPr="00F4122C">
        <w:t xml:space="preserve">a key element of the community rehabilitation and maintenance approach.  The selection is </w:t>
      </w:r>
      <w:r w:rsidR="005C551C">
        <w:t xml:space="preserve">currently </w:t>
      </w:r>
      <w:r w:rsidR="00194958" w:rsidRPr="00F4122C">
        <w:t xml:space="preserve">undertaken </w:t>
      </w:r>
      <w:r w:rsidRPr="00F4122C">
        <w:t xml:space="preserve">in coordination with Schools </w:t>
      </w:r>
      <w:r w:rsidR="00194958" w:rsidRPr="00F4122C">
        <w:t>Parent Teacher Associations</w:t>
      </w:r>
      <w:r w:rsidRPr="00F4122C">
        <w:t xml:space="preserve">, including </w:t>
      </w:r>
      <w:proofErr w:type="spellStart"/>
      <w:r w:rsidRPr="00915028">
        <w:rPr>
          <w:i/>
        </w:rPr>
        <w:t>Suco</w:t>
      </w:r>
      <w:proofErr w:type="spellEnd"/>
      <w:r w:rsidRPr="00F4122C">
        <w:t xml:space="preserve"> </w:t>
      </w:r>
      <w:r w:rsidR="00194958" w:rsidRPr="00F4122C">
        <w:t xml:space="preserve">(commune) Chiefs and </w:t>
      </w:r>
      <w:proofErr w:type="spellStart"/>
      <w:r w:rsidR="00194958" w:rsidRPr="00915028">
        <w:rPr>
          <w:i/>
        </w:rPr>
        <w:t>Aldeia</w:t>
      </w:r>
      <w:proofErr w:type="spellEnd"/>
      <w:r w:rsidR="00194958" w:rsidRPr="00F4122C">
        <w:t xml:space="preserve"> (village) Chiefs.  Parent Teacher Associations themselves are formed based on voluntary participation with all parents of community children eligible to participate.  Engineers from the </w:t>
      </w:r>
      <w:r w:rsidRPr="00F4122C">
        <w:t xml:space="preserve">IFU </w:t>
      </w:r>
      <w:r w:rsidR="00194958" w:rsidRPr="00F4122C">
        <w:t xml:space="preserve">visit communities to </w:t>
      </w:r>
      <w:r w:rsidRPr="00F4122C">
        <w:t>explain the scope of work</w:t>
      </w:r>
      <w:r w:rsidR="00194958" w:rsidRPr="00F4122C">
        <w:t xml:space="preserve"> of potential work</w:t>
      </w:r>
      <w:r w:rsidRPr="00F4122C">
        <w:t xml:space="preserve">, </w:t>
      </w:r>
      <w:r w:rsidR="00194958" w:rsidRPr="00F4122C">
        <w:t xml:space="preserve">the role of the community in the contract agreements for work issued between the Ministry and the community, and following this discussion </w:t>
      </w:r>
      <w:r w:rsidRPr="00F4122C">
        <w:t xml:space="preserve">the </w:t>
      </w:r>
      <w:r w:rsidR="00194958" w:rsidRPr="00F4122C">
        <w:t xml:space="preserve">Parent Teacher Association, </w:t>
      </w:r>
      <w:proofErr w:type="spellStart"/>
      <w:r w:rsidR="00194958" w:rsidRPr="00C85490">
        <w:rPr>
          <w:i/>
        </w:rPr>
        <w:t>Suco</w:t>
      </w:r>
      <w:proofErr w:type="spellEnd"/>
      <w:r w:rsidR="00194958" w:rsidRPr="00F4122C">
        <w:t xml:space="preserve"> Chief and </w:t>
      </w:r>
      <w:proofErr w:type="spellStart"/>
      <w:r w:rsidR="00194958" w:rsidRPr="00C85490">
        <w:rPr>
          <w:i/>
        </w:rPr>
        <w:t>Aldeia</w:t>
      </w:r>
      <w:proofErr w:type="spellEnd"/>
      <w:r w:rsidR="00194958" w:rsidRPr="00F4122C">
        <w:t xml:space="preserve"> Chief </w:t>
      </w:r>
      <w:proofErr w:type="gramStart"/>
      <w:r w:rsidR="00194958" w:rsidRPr="00F4122C">
        <w:t>reach</w:t>
      </w:r>
      <w:proofErr w:type="gramEnd"/>
      <w:r w:rsidR="00194958" w:rsidRPr="00F4122C">
        <w:t xml:space="preserve"> </w:t>
      </w:r>
      <w:r w:rsidRPr="00F4122C">
        <w:t>agree</w:t>
      </w:r>
      <w:r w:rsidR="00194958" w:rsidRPr="00F4122C">
        <w:t>ment</w:t>
      </w:r>
      <w:r w:rsidRPr="00F4122C">
        <w:t xml:space="preserve"> to select the community leader</w:t>
      </w:r>
      <w:r w:rsidR="005C551C">
        <w:t xml:space="preserve">. </w:t>
      </w:r>
    </w:p>
    <w:p w:rsidR="00980566" w:rsidRPr="00F4122C" w:rsidRDefault="00980566">
      <w:pPr>
        <w:pStyle w:val="ListParagraph"/>
      </w:pPr>
    </w:p>
    <w:p w:rsidR="00980566" w:rsidRDefault="00194958" w:rsidP="00C85490">
      <w:pPr>
        <w:pStyle w:val="maintext"/>
        <w:numPr>
          <w:ilvl w:val="0"/>
          <w:numId w:val="1"/>
        </w:numPr>
        <w:spacing w:after="0"/>
        <w:ind w:left="0" w:firstLine="0"/>
        <w:jc w:val="both"/>
      </w:pPr>
      <w:r w:rsidRPr="00F4122C">
        <w:t>The community leader then becomes the community representative responsible for coordinating decision-making and project work between the community and the IFU.</w:t>
      </w:r>
      <w:r w:rsidR="006C73CE" w:rsidRPr="00F4122C">
        <w:t xml:space="preserve"> </w:t>
      </w:r>
      <w:r w:rsidRPr="00F4122C">
        <w:t xml:space="preserve"> </w:t>
      </w:r>
      <w:r w:rsidR="006C73CE" w:rsidRPr="00F4122C">
        <w:t xml:space="preserve">The role and the task of selected Community leader </w:t>
      </w:r>
      <w:proofErr w:type="gramStart"/>
      <w:r w:rsidR="006C73CE" w:rsidRPr="00F4122C">
        <w:t>is</w:t>
      </w:r>
      <w:proofErr w:type="gramEnd"/>
      <w:r w:rsidR="006C73CE" w:rsidRPr="00F4122C">
        <w:t xml:space="preserve"> to manage </w:t>
      </w:r>
      <w:r w:rsidRPr="00F4122C">
        <w:t xml:space="preserve">and coordinate </w:t>
      </w:r>
      <w:r w:rsidR="006C73CE" w:rsidRPr="00F4122C">
        <w:t xml:space="preserve">the implementation of construction work and workers involved in the </w:t>
      </w:r>
      <w:r w:rsidRPr="00F4122C">
        <w:t xml:space="preserve">agreed </w:t>
      </w:r>
      <w:r w:rsidR="006C73CE" w:rsidRPr="00F4122C">
        <w:t>projects</w:t>
      </w:r>
      <w:r w:rsidRPr="00F4122C">
        <w:t>, drawn from the local community</w:t>
      </w:r>
      <w:r w:rsidR="006C73CE" w:rsidRPr="00F4122C">
        <w:t>.</w:t>
      </w:r>
      <w:r w:rsidR="005C551C">
        <w:t xml:space="preserve">  </w:t>
      </w:r>
    </w:p>
    <w:p w:rsidR="00C85490" w:rsidRDefault="00C85490" w:rsidP="00C85490">
      <w:pPr>
        <w:pStyle w:val="ListParagraph"/>
      </w:pPr>
    </w:p>
    <w:p w:rsidR="00980566" w:rsidRPr="00F4122C" w:rsidRDefault="00F4122C" w:rsidP="00F4122C">
      <w:pPr>
        <w:pStyle w:val="ListParagraph"/>
        <w:ind w:left="0"/>
        <w:jc w:val="both"/>
        <w:rPr>
          <w:b/>
          <w:i/>
        </w:rPr>
      </w:pPr>
      <w:r>
        <w:rPr>
          <w:b/>
          <w:i/>
        </w:rPr>
        <w:t>b.</w:t>
      </w:r>
      <w:r>
        <w:rPr>
          <w:b/>
          <w:i/>
        </w:rPr>
        <w:tab/>
      </w:r>
      <w:r w:rsidR="00E36378" w:rsidRPr="00F4122C">
        <w:rPr>
          <w:b/>
          <w:i/>
        </w:rPr>
        <w:t xml:space="preserve">Land </w:t>
      </w:r>
      <w:r w:rsidR="005C551C">
        <w:rPr>
          <w:b/>
          <w:i/>
        </w:rPr>
        <w:t xml:space="preserve">Status and </w:t>
      </w:r>
      <w:r w:rsidR="00E36378" w:rsidRPr="00F4122C">
        <w:rPr>
          <w:b/>
          <w:i/>
        </w:rPr>
        <w:t>Ownership</w:t>
      </w:r>
    </w:p>
    <w:p w:rsidR="00980566" w:rsidRPr="00F4122C" w:rsidRDefault="00980566">
      <w:pPr>
        <w:pStyle w:val="maintext"/>
        <w:numPr>
          <w:ilvl w:val="0"/>
          <w:numId w:val="0"/>
        </w:numPr>
        <w:spacing w:after="0"/>
        <w:jc w:val="both"/>
      </w:pPr>
    </w:p>
    <w:p w:rsidR="00980566" w:rsidRPr="00F4122C" w:rsidRDefault="00194958">
      <w:pPr>
        <w:pStyle w:val="Header"/>
        <w:numPr>
          <w:ilvl w:val="0"/>
          <w:numId w:val="1"/>
        </w:numPr>
        <w:tabs>
          <w:tab w:val="clear" w:pos="4320"/>
          <w:tab w:val="clear" w:pos="8640"/>
        </w:tabs>
        <w:ind w:left="0" w:firstLine="0"/>
        <w:jc w:val="both"/>
        <w:rPr>
          <w:bCs/>
        </w:rPr>
      </w:pPr>
      <w:r w:rsidRPr="00F4122C">
        <w:rPr>
          <w:bCs/>
        </w:rPr>
        <w:t>Only sites with clear land tenure by the government are developed.  The Additional Financ</w:t>
      </w:r>
      <w:r w:rsidR="00F4122C">
        <w:rPr>
          <w:bCs/>
        </w:rPr>
        <w:t>i</w:t>
      </w:r>
      <w:r w:rsidRPr="00F4122C">
        <w:rPr>
          <w:bCs/>
        </w:rPr>
        <w:t>ng construction work will only be undertaken on existing school sites.  Land tenure by the government has been required to be confirmed prior to site development, and a number of sites have not been developed because of ongoing land ownership disputes.  There are therefore no resettlement issues triggered.</w:t>
      </w:r>
    </w:p>
    <w:p w:rsidR="006C73CE" w:rsidRPr="00F4122C" w:rsidRDefault="006C73CE" w:rsidP="000120C6">
      <w:pPr>
        <w:pStyle w:val="ListParagraph"/>
        <w:ind w:left="0"/>
        <w:jc w:val="both"/>
      </w:pPr>
    </w:p>
    <w:p w:rsidR="00980566" w:rsidRPr="00F4122C" w:rsidRDefault="00F4122C">
      <w:pPr>
        <w:pStyle w:val="ListParagraph"/>
        <w:ind w:left="0"/>
        <w:jc w:val="both"/>
        <w:rPr>
          <w:i/>
        </w:rPr>
      </w:pPr>
      <w:r>
        <w:rPr>
          <w:b/>
          <w:i/>
        </w:rPr>
        <w:t>c.</w:t>
      </w:r>
      <w:r>
        <w:rPr>
          <w:b/>
          <w:i/>
        </w:rPr>
        <w:tab/>
      </w:r>
      <w:r w:rsidR="00E36378" w:rsidRPr="00F4122C">
        <w:rPr>
          <w:b/>
          <w:i/>
        </w:rPr>
        <w:t>Implementation Arrangements</w:t>
      </w:r>
      <w:r w:rsidR="001D630E" w:rsidRPr="00F4122C">
        <w:rPr>
          <w:i/>
        </w:rPr>
        <w:t xml:space="preserve"> </w:t>
      </w:r>
    </w:p>
    <w:p w:rsidR="00E36378" w:rsidRPr="00F4122C" w:rsidRDefault="00E36378" w:rsidP="00E36378">
      <w:pPr>
        <w:pStyle w:val="maintext"/>
        <w:numPr>
          <w:ilvl w:val="0"/>
          <w:numId w:val="0"/>
        </w:numPr>
        <w:spacing w:after="0"/>
        <w:jc w:val="both"/>
      </w:pPr>
    </w:p>
    <w:p w:rsidR="00F4122C" w:rsidRPr="00F4122C" w:rsidRDefault="00EB487E" w:rsidP="00F4122C">
      <w:pPr>
        <w:pStyle w:val="Header"/>
        <w:numPr>
          <w:ilvl w:val="0"/>
          <w:numId w:val="1"/>
        </w:numPr>
        <w:tabs>
          <w:tab w:val="clear" w:pos="4320"/>
          <w:tab w:val="clear" w:pos="8640"/>
        </w:tabs>
        <w:ind w:left="0" w:firstLine="0"/>
        <w:jc w:val="both"/>
        <w:rPr>
          <w:i/>
        </w:rPr>
      </w:pPr>
      <w:r w:rsidRPr="00F4122C">
        <w:rPr>
          <w:bCs/>
        </w:rPr>
        <w:t>The</w:t>
      </w:r>
      <w:r w:rsidR="001D630E" w:rsidRPr="00F4122C">
        <w:t xml:space="preserve"> PIU will </w:t>
      </w:r>
      <w:r w:rsidR="00194958" w:rsidRPr="00F4122C">
        <w:t xml:space="preserve">integrate </w:t>
      </w:r>
      <w:r w:rsidR="001D630E" w:rsidRPr="00F4122C">
        <w:t>selection criteria and procedure</w:t>
      </w:r>
      <w:r w:rsidR="00C85490">
        <w:t>s</w:t>
      </w:r>
      <w:r w:rsidR="001D630E" w:rsidRPr="00F4122C">
        <w:t xml:space="preserve"> for </w:t>
      </w:r>
      <w:r w:rsidR="006F3F46" w:rsidRPr="00F4122C">
        <w:t xml:space="preserve">participating </w:t>
      </w:r>
      <w:r w:rsidR="001D630E" w:rsidRPr="00F4122C">
        <w:t xml:space="preserve">schools, </w:t>
      </w:r>
      <w:r w:rsidR="00194958" w:rsidRPr="00F4122C">
        <w:t>and procedure</w:t>
      </w:r>
      <w:r w:rsidR="00C85490">
        <w:t>s</w:t>
      </w:r>
      <w:r w:rsidR="00194958" w:rsidRPr="00F4122C">
        <w:t xml:space="preserve"> for community participation and monitoring in construction work, into the </w:t>
      </w:r>
      <w:r w:rsidR="001D630E" w:rsidRPr="00F4122C">
        <w:t>Project Operations Manual.</w:t>
      </w:r>
    </w:p>
    <w:p w:rsidR="00F4122C" w:rsidRDefault="00F4122C" w:rsidP="00F4122C">
      <w:pPr>
        <w:pStyle w:val="Header"/>
        <w:tabs>
          <w:tab w:val="clear" w:pos="4320"/>
          <w:tab w:val="clear" w:pos="8640"/>
        </w:tabs>
        <w:jc w:val="both"/>
        <w:rPr>
          <w:i/>
        </w:rPr>
      </w:pPr>
    </w:p>
    <w:p w:rsidR="00980566" w:rsidRPr="00F4122C" w:rsidRDefault="00F4122C" w:rsidP="00F4122C">
      <w:pPr>
        <w:pStyle w:val="Header"/>
        <w:tabs>
          <w:tab w:val="clear" w:pos="4320"/>
          <w:tab w:val="clear" w:pos="8640"/>
        </w:tabs>
        <w:jc w:val="both"/>
        <w:rPr>
          <w:i/>
        </w:rPr>
      </w:pPr>
      <w:r>
        <w:rPr>
          <w:b/>
          <w:i/>
        </w:rPr>
        <w:t>d.</w:t>
      </w:r>
      <w:r>
        <w:rPr>
          <w:b/>
          <w:i/>
        </w:rPr>
        <w:tab/>
      </w:r>
      <w:r w:rsidR="00E36378" w:rsidRPr="00F4122C">
        <w:rPr>
          <w:b/>
          <w:i/>
        </w:rPr>
        <w:t>Monitoring and Evaluation</w:t>
      </w:r>
    </w:p>
    <w:p w:rsidR="00980566" w:rsidRPr="00F4122C" w:rsidRDefault="00980566">
      <w:pPr>
        <w:pStyle w:val="ListParagraph"/>
        <w:rPr>
          <w:i/>
        </w:rPr>
      </w:pPr>
    </w:p>
    <w:p w:rsidR="00E36378" w:rsidRPr="00F4122C" w:rsidRDefault="00C85490" w:rsidP="00E36378">
      <w:pPr>
        <w:pStyle w:val="maintext"/>
        <w:numPr>
          <w:ilvl w:val="0"/>
          <w:numId w:val="1"/>
        </w:numPr>
        <w:spacing w:after="0"/>
        <w:ind w:left="0" w:firstLine="0"/>
        <w:jc w:val="both"/>
      </w:pPr>
      <w:r>
        <w:t>C</w:t>
      </w:r>
      <w:r w:rsidR="006F3F46" w:rsidRPr="00F4122C">
        <w:t xml:space="preserve">ontinuous, internal monitoring will be established along with information collection by </w:t>
      </w:r>
      <w:r w:rsidR="000120C6" w:rsidRPr="00F4122C">
        <w:t xml:space="preserve">the Infrastructure Facilities Unit and the Directorate of Policy, Planning, Information Technology and Statistics </w:t>
      </w:r>
      <w:r w:rsidR="006F3F46" w:rsidRPr="00F4122C">
        <w:rPr>
          <w:rFonts w:eastAsia="MS Mincho"/>
        </w:rPr>
        <w:t>to ensure that project interventions are being carried out in compliance with agreed procedures detailed in the Project Operations Manual (</w:t>
      </w:r>
      <w:smartTag w:uri="urn:schemas-microsoft-com:office:smarttags" w:element="stockticker">
        <w:r w:rsidR="006F3F46" w:rsidRPr="00F4122C">
          <w:rPr>
            <w:rFonts w:eastAsia="MS Mincho"/>
          </w:rPr>
          <w:t>POM</w:t>
        </w:r>
      </w:smartTag>
      <w:r w:rsidR="006F3F46" w:rsidRPr="00F4122C">
        <w:rPr>
          <w:rFonts w:eastAsia="MS Mincho"/>
        </w:rPr>
        <w:t xml:space="preserve">). </w:t>
      </w:r>
    </w:p>
    <w:p w:rsidR="000120C6" w:rsidRPr="00F4122C" w:rsidRDefault="000120C6" w:rsidP="000120C6">
      <w:pPr>
        <w:pStyle w:val="maintext"/>
        <w:numPr>
          <w:ilvl w:val="0"/>
          <w:numId w:val="0"/>
        </w:numPr>
        <w:tabs>
          <w:tab w:val="left" w:pos="6780"/>
        </w:tabs>
        <w:spacing w:after="0"/>
        <w:jc w:val="both"/>
      </w:pPr>
    </w:p>
    <w:p w:rsidR="00E36378" w:rsidRPr="00F4122C" w:rsidRDefault="001D630E" w:rsidP="00FE3253">
      <w:pPr>
        <w:pStyle w:val="maintext"/>
        <w:numPr>
          <w:ilvl w:val="0"/>
          <w:numId w:val="1"/>
        </w:numPr>
        <w:spacing w:after="0"/>
        <w:ind w:left="0" w:firstLine="0"/>
        <w:jc w:val="both"/>
      </w:pPr>
      <w:r w:rsidRPr="00F4122C">
        <w:t xml:space="preserve">To </w:t>
      </w:r>
      <w:r w:rsidR="006F3F46" w:rsidRPr="00F4122C">
        <w:t xml:space="preserve">implement </w:t>
      </w:r>
      <w:r w:rsidR="000120C6" w:rsidRPr="00F4122C">
        <w:t xml:space="preserve">and monitor </w:t>
      </w:r>
      <w:r w:rsidR="006F3F46" w:rsidRPr="00F4122C">
        <w:t xml:space="preserve">the framework, the </w:t>
      </w:r>
      <w:r w:rsidRPr="00F4122C">
        <w:t>PIU will hire a community</w:t>
      </w:r>
      <w:r w:rsidR="006F3F46" w:rsidRPr="00F4122C">
        <w:t xml:space="preserve"> de</w:t>
      </w:r>
      <w:r w:rsidR="000120C6" w:rsidRPr="00F4122C">
        <w:t>v</w:t>
      </w:r>
      <w:r w:rsidR="006F3F46" w:rsidRPr="00F4122C">
        <w:t>elopment</w:t>
      </w:r>
      <w:r w:rsidRPr="00F4122C">
        <w:t>/</w:t>
      </w:r>
      <w:r w:rsidR="00C85490">
        <w:t xml:space="preserve"> </w:t>
      </w:r>
      <w:r w:rsidRPr="00F4122C">
        <w:t xml:space="preserve">indigenous peoples specialist under terms of reference agreed by the Bank. The specialist will be located in the PIU and report to </w:t>
      </w:r>
      <w:r w:rsidR="00583D0A" w:rsidRPr="00F4122C">
        <w:t>the project coordinator as the responsible individual</w:t>
      </w:r>
      <w:r w:rsidR="000120C6" w:rsidRPr="00F4122C">
        <w:t xml:space="preserve"> identified in the updated management structure of the project </w:t>
      </w:r>
      <w:r w:rsidRPr="00F4122C">
        <w:t>on matters of policy and strategic planning. The duties of the specialist will include, but not be limited to:</w:t>
      </w:r>
    </w:p>
    <w:p w:rsidR="001D630E" w:rsidRPr="00F4122C" w:rsidRDefault="001D630E" w:rsidP="000120C6">
      <w:pPr>
        <w:tabs>
          <w:tab w:val="num" w:pos="600"/>
          <w:tab w:val="num" w:pos="2040"/>
        </w:tabs>
        <w:autoSpaceDE w:val="0"/>
        <w:autoSpaceDN w:val="0"/>
        <w:adjustRightInd w:val="0"/>
        <w:jc w:val="both"/>
      </w:pPr>
    </w:p>
    <w:p w:rsidR="00541188" w:rsidRPr="00F4122C" w:rsidRDefault="00541188" w:rsidP="00FE3253">
      <w:pPr>
        <w:numPr>
          <w:ilvl w:val="0"/>
          <w:numId w:val="12"/>
        </w:numPr>
        <w:tabs>
          <w:tab w:val="left" w:pos="720"/>
        </w:tabs>
        <w:spacing w:before="120" w:after="120"/>
        <w:ind w:left="446" w:hanging="446"/>
        <w:jc w:val="both"/>
      </w:pPr>
      <w:r w:rsidRPr="00F4122C">
        <w:t xml:space="preserve">Contribute </w:t>
      </w:r>
      <w:r w:rsidR="00402D7D" w:rsidRPr="00F4122C">
        <w:t>outputs to</w:t>
      </w:r>
      <w:r w:rsidRPr="00F4122C">
        <w:t xml:space="preserve"> training module development and training delivery for improved community part</w:t>
      </w:r>
      <w:r w:rsidR="00C85490">
        <w:t>icipatory management approaches.</w:t>
      </w:r>
    </w:p>
    <w:p w:rsidR="00E36378" w:rsidRPr="00F4122C" w:rsidRDefault="001D630E" w:rsidP="00FE3253">
      <w:pPr>
        <w:numPr>
          <w:ilvl w:val="0"/>
          <w:numId w:val="12"/>
        </w:numPr>
        <w:tabs>
          <w:tab w:val="left" w:pos="720"/>
        </w:tabs>
        <w:spacing w:before="120" w:after="120"/>
        <w:ind w:left="446" w:hanging="446"/>
        <w:jc w:val="both"/>
      </w:pPr>
      <w:r w:rsidRPr="00F4122C">
        <w:t xml:space="preserve">Design local community participation activities </w:t>
      </w:r>
      <w:r w:rsidR="00583D0A" w:rsidRPr="00F4122C">
        <w:t xml:space="preserve">and approaches </w:t>
      </w:r>
      <w:r w:rsidRPr="00F4122C">
        <w:t>in a manner to ensure that IVP receive social and economic benefits that are culturally appropriate and gender inclusive.</w:t>
      </w:r>
    </w:p>
    <w:p w:rsidR="00E36378" w:rsidRPr="00F4122C" w:rsidRDefault="00583D0A" w:rsidP="00FE3253">
      <w:pPr>
        <w:numPr>
          <w:ilvl w:val="0"/>
          <w:numId w:val="12"/>
        </w:numPr>
        <w:tabs>
          <w:tab w:val="left" w:pos="720"/>
        </w:tabs>
        <w:spacing w:before="120" w:after="120"/>
        <w:ind w:left="446" w:hanging="446"/>
        <w:jc w:val="both"/>
      </w:pPr>
      <w:r w:rsidRPr="00F4122C">
        <w:t xml:space="preserve">Support the Ministry’s </w:t>
      </w:r>
      <w:r w:rsidR="001D630E" w:rsidRPr="00F4122C">
        <w:t>process of free, prior, and informed consultation with affected IVP.</w:t>
      </w:r>
    </w:p>
    <w:p w:rsidR="00E36378" w:rsidRPr="00F4122C" w:rsidRDefault="00541188" w:rsidP="00FE3253">
      <w:pPr>
        <w:numPr>
          <w:ilvl w:val="0"/>
          <w:numId w:val="12"/>
        </w:numPr>
        <w:tabs>
          <w:tab w:val="left" w:pos="720"/>
        </w:tabs>
        <w:autoSpaceDE w:val="0"/>
        <w:autoSpaceDN w:val="0"/>
        <w:adjustRightInd w:val="0"/>
        <w:spacing w:before="120" w:after="120"/>
        <w:ind w:left="446" w:hanging="446"/>
        <w:jc w:val="both"/>
      </w:pPr>
      <w:r w:rsidRPr="00F4122C">
        <w:t xml:space="preserve">Develop IVP plans for affected </w:t>
      </w:r>
      <w:r w:rsidR="001D630E" w:rsidRPr="00F4122C">
        <w:t xml:space="preserve">communities and evaluate the project activities’ potential impacts on IVP.  </w:t>
      </w:r>
    </w:p>
    <w:p w:rsidR="00E36378" w:rsidRPr="00F4122C" w:rsidRDefault="001D630E" w:rsidP="00FE3253">
      <w:pPr>
        <w:numPr>
          <w:ilvl w:val="0"/>
          <w:numId w:val="12"/>
        </w:numPr>
        <w:tabs>
          <w:tab w:val="left" w:pos="720"/>
        </w:tabs>
        <w:autoSpaceDE w:val="0"/>
        <w:autoSpaceDN w:val="0"/>
        <w:adjustRightInd w:val="0"/>
        <w:spacing w:before="120" w:after="120"/>
        <w:ind w:left="446" w:hanging="446"/>
        <w:jc w:val="both"/>
      </w:pPr>
      <w:r w:rsidRPr="00F4122C">
        <w:t xml:space="preserve">Ensure that the details of the plan are disseminated in </w:t>
      </w:r>
      <w:r w:rsidR="00541188" w:rsidRPr="00F4122C">
        <w:t>affected</w:t>
      </w:r>
      <w:r w:rsidRPr="00F4122C">
        <w:t xml:space="preserve"> communit</w:t>
      </w:r>
      <w:r w:rsidR="00541188" w:rsidRPr="00F4122C">
        <w:t>ies and</w:t>
      </w:r>
      <w:r w:rsidRPr="00F4122C">
        <w:t xml:space="preserve"> surrounding communit</w:t>
      </w:r>
      <w:r w:rsidR="00541188" w:rsidRPr="00F4122C">
        <w:t>ies</w:t>
      </w:r>
      <w:r w:rsidRPr="00F4122C">
        <w:t xml:space="preserve"> and routinely updated on the project website.</w:t>
      </w:r>
    </w:p>
    <w:p w:rsidR="00E36378" w:rsidRPr="00F4122C" w:rsidRDefault="001D630E" w:rsidP="00FE3253">
      <w:pPr>
        <w:numPr>
          <w:ilvl w:val="0"/>
          <w:numId w:val="12"/>
        </w:numPr>
        <w:tabs>
          <w:tab w:val="left" w:pos="720"/>
        </w:tabs>
        <w:autoSpaceDE w:val="0"/>
        <w:autoSpaceDN w:val="0"/>
        <w:adjustRightInd w:val="0"/>
        <w:spacing w:before="120" w:after="120"/>
        <w:ind w:left="446" w:hanging="446"/>
        <w:jc w:val="both"/>
      </w:pPr>
      <w:r w:rsidRPr="00F4122C">
        <w:t xml:space="preserve">Ensure that the Project Operations Manual is updated as necessary to reflect standard operating procedures for dealing with </w:t>
      </w:r>
      <w:r w:rsidR="00C85490">
        <w:t>IVP</w:t>
      </w:r>
      <w:r w:rsidRPr="00F4122C">
        <w:t>.</w:t>
      </w:r>
    </w:p>
    <w:p w:rsidR="00E36378" w:rsidRPr="00F4122C" w:rsidRDefault="001D630E" w:rsidP="00FE3253">
      <w:pPr>
        <w:numPr>
          <w:ilvl w:val="0"/>
          <w:numId w:val="12"/>
        </w:numPr>
        <w:tabs>
          <w:tab w:val="left" w:pos="720"/>
        </w:tabs>
        <w:autoSpaceDE w:val="0"/>
        <w:autoSpaceDN w:val="0"/>
        <w:adjustRightInd w:val="0"/>
        <w:spacing w:before="120" w:after="120"/>
        <w:ind w:left="446" w:hanging="446"/>
        <w:jc w:val="both"/>
      </w:pPr>
      <w:r w:rsidRPr="00F4122C">
        <w:t xml:space="preserve">Conduct training for PIU and </w:t>
      </w:r>
      <w:r w:rsidR="00541188" w:rsidRPr="00F4122C">
        <w:t xml:space="preserve">MoE </w:t>
      </w:r>
      <w:r w:rsidRPr="00F4122C">
        <w:t>staff in matters related to the identification, communication and provision of services to IVP.</w:t>
      </w:r>
    </w:p>
    <w:p w:rsidR="00E36378" w:rsidRPr="00F4122C" w:rsidRDefault="001D630E" w:rsidP="00FE3253">
      <w:pPr>
        <w:numPr>
          <w:ilvl w:val="0"/>
          <w:numId w:val="12"/>
        </w:numPr>
        <w:tabs>
          <w:tab w:val="left" w:pos="720"/>
        </w:tabs>
        <w:autoSpaceDE w:val="0"/>
        <w:autoSpaceDN w:val="0"/>
        <w:adjustRightInd w:val="0"/>
        <w:spacing w:before="120" w:after="120"/>
        <w:ind w:left="446" w:hanging="446"/>
        <w:jc w:val="both"/>
      </w:pPr>
      <w:r w:rsidRPr="00F4122C">
        <w:t>Ensure that IVP communities are appropriately represented in discussions at an early stage in the project (for example by village council, or traditional community leaders).</w:t>
      </w:r>
    </w:p>
    <w:p w:rsidR="00E36378" w:rsidRPr="00F4122C" w:rsidRDefault="001D630E" w:rsidP="00FE3253">
      <w:pPr>
        <w:numPr>
          <w:ilvl w:val="0"/>
          <w:numId w:val="12"/>
        </w:numPr>
        <w:tabs>
          <w:tab w:val="left" w:pos="720"/>
        </w:tabs>
        <w:autoSpaceDE w:val="0"/>
        <w:autoSpaceDN w:val="0"/>
        <w:adjustRightInd w:val="0"/>
        <w:spacing w:before="120" w:after="120"/>
        <w:ind w:left="446" w:hanging="446"/>
        <w:jc w:val="both"/>
      </w:pPr>
      <w:r w:rsidRPr="00F4122C">
        <w:t>The specialist will also ensure that involvement of the indigenous community provides for the culturally appropriate inclusion of community members regardless of gender or age.</w:t>
      </w:r>
    </w:p>
    <w:sectPr w:rsidR="00E36378" w:rsidRPr="00F4122C" w:rsidSect="00F335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8B" w:rsidRDefault="0036458B" w:rsidP="0073153F">
      <w:r>
        <w:separator/>
      </w:r>
    </w:p>
  </w:endnote>
  <w:endnote w:type="continuationSeparator" w:id="0">
    <w:p w:rsidR="0036458B" w:rsidRDefault="0036458B" w:rsidP="0073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8B" w:rsidRDefault="0036458B" w:rsidP="0073153F">
      <w:r>
        <w:separator/>
      </w:r>
    </w:p>
  </w:footnote>
  <w:footnote w:type="continuationSeparator" w:id="0">
    <w:p w:rsidR="0036458B" w:rsidRDefault="0036458B" w:rsidP="0073153F">
      <w:r>
        <w:continuationSeparator/>
      </w:r>
    </w:p>
  </w:footnote>
  <w:footnote w:id="1">
    <w:p w:rsidR="0036458B" w:rsidRDefault="0036458B">
      <w:pPr>
        <w:pStyle w:val="FootnoteText"/>
      </w:pPr>
      <w:r>
        <w:rPr>
          <w:rStyle w:val="FootnoteReference"/>
        </w:rPr>
        <w:footnoteRef/>
      </w:r>
      <w:r>
        <w:t xml:space="preserve"> </w:t>
      </w:r>
      <w:r w:rsidRPr="00915028">
        <w:rPr>
          <w:i/>
        </w:rPr>
        <w:t>Early Warning and Early Response System: Policy Brief: Access and Opportunity in Education,</w:t>
      </w:r>
      <w:r>
        <w:t xml:space="preserve"> </w:t>
      </w:r>
      <w:proofErr w:type="spellStart"/>
      <w:r>
        <w:t>Belun</w:t>
      </w:r>
      <w:proofErr w:type="spellEnd"/>
      <w:r>
        <w:t xml:space="preserve"> EWER program, </w:t>
      </w:r>
      <w:proofErr w:type="spellStart"/>
      <w:r>
        <w:t>Dili</w:t>
      </w:r>
      <w:proofErr w:type="spellEnd"/>
      <w:r>
        <w:t xml:space="preserve">, </w:t>
      </w:r>
      <w:r w:rsidR="00E34775" w:rsidRPr="00E34775">
        <w:rPr>
          <w:i/>
        </w:rPr>
        <w:t>Timor-Leste</w:t>
      </w:r>
      <w:r>
        <w:t xml:space="preserve">, </w:t>
      </w:r>
      <w:proofErr w:type="gramStart"/>
      <w:r>
        <w:t>August</w:t>
      </w:r>
      <w:proofErr w:type="gramEnd"/>
      <w:r>
        <w:t xml:space="preserve">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11"/>
    <w:multiLevelType w:val="hybridMultilevel"/>
    <w:tmpl w:val="E1FE5506"/>
    <w:lvl w:ilvl="0" w:tplc="0066C7C0">
      <w:start w:val="1"/>
      <w:numFmt w:val="upperLetter"/>
      <w:lvlText w:val="%1."/>
      <w:lvlJc w:val="left"/>
      <w:pPr>
        <w:ind w:left="720" w:hanging="360"/>
      </w:pPr>
      <w:rPr>
        <w:rFonts w:hint="default"/>
      </w:rPr>
    </w:lvl>
    <w:lvl w:ilvl="1" w:tplc="5C92C54A">
      <w:start w:val="1"/>
      <w:numFmt w:val="lowerLetter"/>
      <w:lvlText w:val="%2."/>
      <w:lvlJc w:val="left"/>
      <w:pPr>
        <w:ind w:left="1440" w:hanging="360"/>
      </w:pPr>
    </w:lvl>
    <w:lvl w:ilvl="2" w:tplc="03F06D46">
      <w:start w:val="1"/>
      <w:numFmt w:val="decimal"/>
      <w:lvlText w:val="%3."/>
      <w:lvlJc w:val="left"/>
      <w:pPr>
        <w:ind w:left="2160" w:hanging="180"/>
      </w:pPr>
      <w:rPr>
        <w:rFonts w:hint="default"/>
        <w:b/>
        <w:i w:val="0"/>
        <w:color w:val="auto"/>
        <w:sz w:val="22"/>
        <w:szCs w:val="22"/>
      </w:rPr>
    </w:lvl>
    <w:lvl w:ilvl="3" w:tplc="9EB6376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B50BE"/>
    <w:multiLevelType w:val="hybridMultilevel"/>
    <w:tmpl w:val="87CAB13E"/>
    <w:lvl w:ilvl="0" w:tplc="0066C7C0">
      <w:numFmt w:val="bullet"/>
      <w:lvlText w:val=""/>
      <w:lvlJc w:val="left"/>
      <w:pPr>
        <w:ind w:left="720" w:hanging="360"/>
      </w:pPr>
      <w:rPr>
        <w:rFonts w:ascii="Symbol" w:eastAsia="Calibri" w:hAnsi="Symbol" w:cs="Times New Roman" w:hint="default"/>
      </w:rPr>
    </w:lvl>
    <w:lvl w:ilvl="1" w:tplc="5C92C54A" w:tentative="1">
      <w:start w:val="1"/>
      <w:numFmt w:val="bullet"/>
      <w:lvlText w:val="o"/>
      <w:lvlJc w:val="left"/>
      <w:pPr>
        <w:ind w:left="1440" w:hanging="360"/>
      </w:pPr>
      <w:rPr>
        <w:rFonts w:ascii="Courier New" w:hAnsi="Courier New" w:cs="Courier New" w:hint="default"/>
      </w:rPr>
    </w:lvl>
    <w:lvl w:ilvl="2" w:tplc="03F06D46" w:tentative="1">
      <w:start w:val="1"/>
      <w:numFmt w:val="bullet"/>
      <w:lvlText w:val=""/>
      <w:lvlJc w:val="left"/>
      <w:pPr>
        <w:ind w:left="2160" w:hanging="360"/>
      </w:pPr>
      <w:rPr>
        <w:rFonts w:ascii="Wingdings" w:hAnsi="Wingdings" w:hint="default"/>
      </w:rPr>
    </w:lvl>
    <w:lvl w:ilvl="3" w:tplc="9EB6376A"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
    <w:nsid w:val="16DD517B"/>
    <w:multiLevelType w:val="hybridMultilevel"/>
    <w:tmpl w:val="C400BDF0"/>
    <w:lvl w:ilvl="0" w:tplc="334EC2F2">
      <w:start w:val="1"/>
      <w:numFmt w:val="decimal"/>
      <w:lvlText w:val="%1."/>
      <w:lvlJc w:val="left"/>
      <w:pPr>
        <w:ind w:left="720" w:hanging="360"/>
      </w:pPr>
      <w:rPr>
        <w:rFonts w:hint="default"/>
        <w:b w:val="0"/>
        <w:i w:val="0"/>
      </w:rPr>
    </w:lvl>
    <w:lvl w:ilvl="1" w:tplc="5C92C54A">
      <w:start w:val="1"/>
      <w:numFmt w:val="lowerLetter"/>
      <w:lvlText w:val="%2."/>
      <w:lvlJc w:val="left"/>
      <w:pPr>
        <w:ind w:left="1440" w:hanging="360"/>
      </w:pPr>
    </w:lvl>
    <w:lvl w:ilvl="2" w:tplc="03F06D46" w:tentative="1">
      <w:start w:val="1"/>
      <w:numFmt w:val="lowerRoman"/>
      <w:lvlText w:val="%3."/>
      <w:lvlJc w:val="right"/>
      <w:pPr>
        <w:ind w:left="2160" w:hanging="180"/>
      </w:pPr>
    </w:lvl>
    <w:lvl w:ilvl="3" w:tplc="9EB6376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C0FDE"/>
    <w:multiLevelType w:val="hybridMultilevel"/>
    <w:tmpl w:val="DE702140"/>
    <w:lvl w:ilvl="0" w:tplc="04090015">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4B80F81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37DE0"/>
    <w:multiLevelType w:val="hybridMultilevel"/>
    <w:tmpl w:val="81D6780C"/>
    <w:lvl w:ilvl="0" w:tplc="5C92C54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2227"/>
    <w:multiLevelType w:val="hybridMultilevel"/>
    <w:tmpl w:val="08D670F2"/>
    <w:lvl w:ilvl="0" w:tplc="FED26E72">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left"/>
      <w:pPr>
        <w:ind w:left="2160" w:hanging="18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3D790EB2"/>
    <w:multiLevelType w:val="hybridMultilevel"/>
    <w:tmpl w:val="EAB48482"/>
    <w:lvl w:ilvl="0" w:tplc="57C6E10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C816B3"/>
    <w:multiLevelType w:val="hybridMultilevel"/>
    <w:tmpl w:val="0C5436CC"/>
    <w:lvl w:ilvl="0" w:tplc="FFFFFFFF">
      <w:start w:val="4"/>
      <w:numFmt w:val="lowerLetter"/>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B3C6812"/>
    <w:multiLevelType w:val="hybridMultilevel"/>
    <w:tmpl w:val="A8FC4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B3829"/>
    <w:multiLevelType w:val="hybridMultilevel"/>
    <w:tmpl w:val="FE546B4A"/>
    <w:lvl w:ilvl="0" w:tplc="7D186DD8">
      <w:start w:val="1"/>
      <w:numFmt w:val="decimal"/>
      <w:pStyle w:val="maintext"/>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73C4CA5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E26824"/>
    <w:multiLevelType w:val="hybridMultilevel"/>
    <w:tmpl w:val="EC88DC96"/>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B60E24"/>
    <w:multiLevelType w:val="hybridMultilevel"/>
    <w:tmpl w:val="0FA47DFC"/>
    <w:lvl w:ilvl="0" w:tplc="44748A00">
      <w:start w:val="1"/>
      <w:numFmt w:val="decimal"/>
      <w:lvlText w:val="%1"/>
      <w:lvlJc w:val="left"/>
      <w:pPr>
        <w:tabs>
          <w:tab w:val="num" w:pos="1080"/>
        </w:tabs>
        <w:ind w:left="1080" w:hanging="720"/>
      </w:pPr>
      <w:rPr>
        <w:rFonts w:hint="default"/>
        <w:b w:val="0"/>
      </w:rPr>
    </w:lvl>
    <w:lvl w:ilvl="1" w:tplc="04090019">
      <w:start w:val="1"/>
      <w:numFmt w:val="lowerRoman"/>
      <w:lvlText w:val="(%2)"/>
      <w:lvlJc w:val="left"/>
      <w:pPr>
        <w:tabs>
          <w:tab w:val="num" w:pos="1800"/>
        </w:tabs>
        <w:ind w:left="1800" w:hanging="720"/>
      </w:pPr>
      <w:rPr>
        <w:rFonts w:hint="default"/>
        <w:b w:val="0"/>
      </w:rPr>
    </w:lvl>
    <w:lvl w:ilvl="2" w:tplc="04090005"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8010E"/>
    <w:multiLevelType w:val="hybridMultilevel"/>
    <w:tmpl w:val="20024702"/>
    <w:lvl w:ilvl="0" w:tplc="FFFFFFFF">
      <w:start w:val="1"/>
      <w:numFmt w:val="bullet"/>
      <w:lvlText w:val=""/>
      <w:lvlJc w:val="left"/>
      <w:pPr>
        <w:tabs>
          <w:tab w:val="num" w:pos="1080"/>
        </w:tabs>
        <w:ind w:left="1080" w:hanging="360"/>
      </w:pPr>
      <w:rPr>
        <w:rFonts w:ascii="Wingdings" w:hAnsi="Wingdings" w:hint="default"/>
      </w:rPr>
    </w:lvl>
    <w:lvl w:ilvl="1" w:tplc="FFFFFFFF">
      <w:start w:val="3"/>
      <w:numFmt w:val="decimal"/>
      <w:lvlText w:val="%2."/>
      <w:lvlJc w:val="left"/>
      <w:pPr>
        <w:tabs>
          <w:tab w:val="num" w:pos="360"/>
        </w:tabs>
        <w:ind w:left="360" w:hanging="360"/>
      </w:pPr>
      <w:rPr>
        <w:rFont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080"/>
        </w:tabs>
        <w:ind w:left="1080" w:hanging="360"/>
      </w:pPr>
      <w:rPr>
        <w:rFonts w:ascii="Wingdings" w:hAnsi="Wingdings" w:hint="default"/>
      </w:rPr>
    </w:lvl>
    <w:lvl w:ilvl="4" w:tplc="FFFFFFFF">
      <w:start w:val="1"/>
      <w:numFmt w:val="bullet"/>
      <w:lvlText w:val=""/>
      <w:lvlJc w:val="left"/>
      <w:pPr>
        <w:tabs>
          <w:tab w:val="num" w:pos="1080"/>
        </w:tabs>
        <w:ind w:left="1080" w:hanging="360"/>
      </w:pPr>
      <w:rPr>
        <w:rFonts w:ascii="Wingdings" w:hAnsi="Wingdings" w:hint="default"/>
      </w:rPr>
    </w:lvl>
    <w:lvl w:ilvl="5" w:tplc="FFFFFFFF">
      <w:start w:val="1"/>
      <w:numFmt w:val="bullet"/>
      <w:lvlText w:val=""/>
      <w:lvlJc w:val="left"/>
      <w:pPr>
        <w:tabs>
          <w:tab w:val="num" w:pos="1080"/>
        </w:tabs>
        <w:ind w:left="1080" w:hanging="360"/>
      </w:pPr>
      <w:rPr>
        <w:rFonts w:ascii="Wingdings" w:hAnsi="Wingdings" w:hint="default"/>
      </w:rPr>
    </w:lvl>
    <w:lvl w:ilvl="6" w:tplc="FFFFFFFF">
      <w:start w:val="1"/>
      <w:numFmt w:val="bullet"/>
      <w:lvlText w:val=""/>
      <w:lvlJc w:val="left"/>
      <w:pPr>
        <w:tabs>
          <w:tab w:val="num" w:pos="1080"/>
        </w:tabs>
        <w:ind w:left="1080" w:hanging="360"/>
      </w:pPr>
      <w:rPr>
        <w:rFonts w:ascii="Wingdings" w:hAnsi="Wingdings"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5"/>
  </w:num>
  <w:num w:numId="3">
    <w:abstractNumId w:val="7"/>
  </w:num>
  <w:num w:numId="4">
    <w:abstractNumId w:val="12"/>
  </w:num>
  <w:num w:numId="5">
    <w:abstractNumId w:val="0"/>
  </w:num>
  <w:num w:numId="6">
    <w:abstractNumId w:val="10"/>
  </w:num>
  <w:num w:numId="7">
    <w:abstractNumId w:val="1"/>
  </w:num>
  <w:num w:numId="8">
    <w:abstractNumId w:val="9"/>
  </w:num>
  <w:num w:numId="9">
    <w:abstractNumId w:val="3"/>
  </w:num>
  <w:num w:numId="10">
    <w:abstractNumId w:val="11"/>
  </w:num>
  <w:num w:numId="11">
    <w:abstractNumId w:val="6"/>
  </w:num>
  <w:num w:numId="12">
    <w:abstractNumId w:val="4"/>
  </w:num>
  <w:num w:numId="13">
    <w:abstractNumId w:val="9"/>
  </w:num>
  <w:num w:numId="14">
    <w:abstractNumId w:val="9"/>
  </w:num>
  <w:num w:numId="15">
    <w:abstractNumId w:val="9"/>
  </w:num>
  <w:num w:numId="16">
    <w:abstractNumId w:val="9"/>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571C"/>
    <w:rsid w:val="000003AD"/>
    <w:rsid w:val="000019A9"/>
    <w:rsid w:val="00002093"/>
    <w:rsid w:val="000029F1"/>
    <w:rsid w:val="00002B29"/>
    <w:rsid w:val="00002CCF"/>
    <w:rsid w:val="00002F95"/>
    <w:rsid w:val="00005AF9"/>
    <w:rsid w:val="00005B92"/>
    <w:rsid w:val="00005EE8"/>
    <w:rsid w:val="000062BC"/>
    <w:rsid w:val="00006304"/>
    <w:rsid w:val="00006C79"/>
    <w:rsid w:val="00006F1A"/>
    <w:rsid w:val="00007826"/>
    <w:rsid w:val="00007FEF"/>
    <w:rsid w:val="000111B0"/>
    <w:rsid w:val="00011230"/>
    <w:rsid w:val="00012090"/>
    <w:rsid w:val="000120C6"/>
    <w:rsid w:val="00012B61"/>
    <w:rsid w:val="0001370D"/>
    <w:rsid w:val="00013A25"/>
    <w:rsid w:val="00015178"/>
    <w:rsid w:val="000165EE"/>
    <w:rsid w:val="00023BDE"/>
    <w:rsid w:val="000244F8"/>
    <w:rsid w:val="00027AC6"/>
    <w:rsid w:val="00031A77"/>
    <w:rsid w:val="00031BBB"/>
    <w:rsid w:val="00033F9D"/>
    <w:rsid w:val="000345B2"/>
    <w:rsid w:val="00037E24"/>
    <w:rsid w:val="00040BDB"/>
    <w:rsid w:val="000413F3"/>
    <w:rsid w:val="00041423"/>
    <w:rsid w:val="00041491"/>
    <w:rsid w:val="0004168A"/>
    <w:rsid w:val="00041E6F"/>
    <w:rsid w:val="00042396"/>
    <w:rsid w:val="000427EF"/>
    <w:rsid w:val="0004490A"/>
    <w:rsid w:val="000467F1"/>
    <w:rsid w:val="0004705F"/>
    <w:rsid w:val="0005085A"/>
    <w:rsid w:val="00050BCD"/>
    <w:rsid w:val="00051609"/>
    <w:rsid w:val="00051AA4"/>
    <w:rsid w:val="000523AB"/>
    <w:rsid w:val="000528F7"/>
    <w:rsid w:val="00052F5B"/>
    <w:rsid w:val="00055125"/>
    <w:rsid w:val="00055FB3"/>
    <w:rsid w:val="000568B6"/>
    <w:rsid w:val="00056E41"/>
    <w:rsid w:val="00056FEB"/>
    <w:rsid w:val="000571BF"/>
    <w:rsid w:val="00057AE1"/>
    <w:rsid w:val="00057F91"/>
    <w:rsid w:val="00061580"/>
    <w:rsid w:val="00062460"/>
    <w:rsid w:val="000634B8"/>
    <w:rsid w:val="000634C6"/>
    <w:rsid w:val="000677BC"/>
    <w:rsid w:val="000715BC"/>
    <w:rsid w:val="00071621"/>
    <w:rsid w:val="0007295E"/>
    <w:rsid w:val="00073944"/>
    <w:rsid w:val="00073F50"/>
    <w:rsid w:val="00074276"/>
    <w:rsid w:val="0007521E"/>
    <w:rsid w:val="00080001"/>
    <w:rsid w:val="0008014A"/>
    <w:rsid w:val="00080E79"/>
    <w:rsid w:val="0008146A"/>
    <w:rsid w:val="000822B3"/>
    <w:rsid w:val="0008251A"/>
    <w:rsid w:val="00082713"/>
    <w:rsid w:val="000844FC"/>
    <w:rsid w:val="000847A2"/>
    <w:rsid w:val="00085630"/>
    <w:rsid w:val="0008580E"/>
    <w:rsid w:val="00086B1F"/>
    <w:rsid w:val="000870F0"/>
    <w:rsid w:val="0008769B"/>
    <w:rsid w:val="000909A1"/>
    <w:rsid w:val="000926F1"/>
    <w:rsid w:val="0009298C"/>
    <w:rsid w:val="00093D70"/>
    <w:rsid w:val="0009409F"/>
    <w:rsid w:val="00094697"/>
    <w:rsid w:val="00095899"/>
    <w:rsid w:val="00095EC6"/>
    <w:rsid w:val="000964D7"/>
    <w:rsid w:val="000A19DE"/>
    <w:rsid w:val="000A34CA"/>
    <w:rsid w:val="000A4388"/>
    <w:rsid w:val="000A4E62"/>
    <w:rsid w:val="000A5EEB"/>
    <w:rsid w:val="000A7668"/>
    <w:rsid w:val="000B4A7E"/>
    <w:rsid w:val="000B52FD"/>
    <w:rsid w:val="000B5951"/>
    <w:rsid w:val="000B5BD0"/>
    <w:rsid w:val="000B7649"/>
    <w:rsid w:val="000B7BA0"/>
    <w:rsid w:val="000B7D19"/>
    <w:rsid w:val="000C0554"/>
    <w:rsid w:val="000C05E7"/>
    <w:rsid w:val="000C1C91"/>
    <w:rsid w:val="000C1E05"/>
    <w:rsid w:val="000C1E6D"/>
    <w:rsid w:val="000C5754"/>
    <w:rsid w:val="000C6923"/>
    <w:rsid w:val="000C7B56"/>
    <w:rsid w:val="000D1338"/>
    <w:rsid w:val="000D19A9"/>
    <w:rsid w:val="000D1F03"/>
    <w:rsid w:val="000D2CEF"/>
    <w:rsid w:val="000D566F"/>
    <w:rsid w:val="000D5D11"/>
    <w:rsid w:val="000D75F0"/>
    <w:rsid w:val="000E0B67"/>
    <w:rsid w:val="000E1790"/>
    <w:rsid w:val="000E2C43"/>
    <w:rsid w:val="000E2C4E"/>
    <w:rsid w:val="000E3E3D"/>
    <w:rsid w:val="000E4846"/>
    <w:rsid w:val="000E4FDC"/>
    <w:rsid w:val="000E50FB"/>
    <w:rsid w:val="000E60B0"/>
    <w:rsid w:val="000E67FB"/>
    <w:rsid w:val="000E6D21"/>
    <w:rsid w:val="000E715C"/>
    <w:rsid w:val="000E7BAD"/>
    <w:rsid w:val="000F0233"/>
    <w:rsid w:val="000F0D9B"/>
    <w:rsid w:val="000F1D65"/>
    <w:rsid w:val="000F33C2"/>
    <w:rsid w:val="000F497B"/>
    <w:rsid w:val="000F4B18"/>
    <w:rsid w:val="000F4CC5"/>
    <w:rsid w:val="000F55D9"/>
    <w:rsid w:val="000F6EF9"/>
    <w:rsid w:val="000F7AD0"/>
    <w:rsid w:val="001002AC"/>
    <w:rsid w:val="001005AB"/>
    <w:rsid w:val="00100ACF"/>
    <w:rsid w:val="00101772"/>
    <w:rsid w:val="00101ED8"/>
    <w:rsid w:val="001028C8"/>
    <w:rsid w:val="00102BFF"/>
    <w:rsid w:val="00102C59"/>
    <w:rsid w:val="0010571C"/>
    <w:rsid w:val="00105B00"/>
    <w:rsid w:val="001067CF"/>
    <w:rsid w:val="00107A57"/>
    <w:rsid w:val="00110041"/>
    <w:rsid w:val="00110186"/>
    <w:rsid w:val="00111149"/>
    <w:rsid w:val="00112177"/>
    <w:rsid w:val="00112252"/>
    <w:rsid w:val="0011239C"/>
    <w:rsid w:val="001132EF"/>
    <w:rsid w:val="00115ABB"/>
    <w:rsid w:val="00116027"/>
    <w:rsid w:val="00117E3C"/>
    <w:rsid w:val="0012004F"/>
    <w:rsid w:val="00120B6A"/>
    <w:rsid w:val="00121079"/>
    <w:rsid w:val="0012265E"/>
    <w:rsid w:val="00122C8D"/>
    <w:rsid w:val="00123928"/>
    <w:rsid w:val="00124561"/>
    <w:rsid w:val="00124D85"/>
    <w:rsid w:val="001302F1"/>
    <w:rsid w:val="001315F3"/>
    <w:rsid w:val="00131D6B"/>
    <w:rsid w:val="00132EAF"/>
    <w:rsid w:val="0013444F"/>
    <w:rsid w:val="001348A1"/>
    <w:rsid w:val="0013515B"/>
    <w:rsid w:val="001354E8"/>
    <w:rsid w:val="001366DD"/>
    <w:rsid w:val="00141DAB"/>
    <w:rsid w:val="00142103"/>
    <w:rsid w:val="00142987"/>
    <w:rsid w:val="00144818"/>
    <w:rsid w:val="00146C46"/>
    <w:rsid w:val="00146D9C"/>
    <w:rsid w:val="00147754"/>
    <w:rsid w:val="00147A69"/>
    <w:rsid w:val="001506B9"/>
    <w:rsid w:val="00150886"/>
    <w:rsid w:val="00150EDB"/>
    <w:rsid w:val="00151B8F"/>
    <w:rsid w:val="0015365A"/>
    <w:rsid w:val="0015476A"/>
    <w:rsid w:val="001564CD"/>
    <w:rsid w:val="00157958"/>
    <w:rsid w:val="00160872"/>
    <w:rsid w:val="00161F69"/>
    <w:rsid w:val="001630E2"/>
    <w:rsid w:val="001653C0"/>
    <w:rsid w:val="00165F88"/>
    <w:rsid w:val="00166BF9"/>
    <w:rsid w:val="001676F8"/>
    <w:rsid w:val="0017049F"/>
    <w:rsid w:val="00171269"/>
    <w:rsid w:val="00171664"/>
    <w:rsid w:val="00171C90"/>
    <w:rsid w:val="00172FAC"/>
    <w:rsid w:val="00174216"/>
    <w:rsid w:val="00174678"/>
    <w:rsid w:val="001754B8"/>
    <w:rsid w:val="00175AEF"/>
    <w:rsid w:val="001766A2"/>
    <w:rsid w:val="00176D41"/>
    <w:rsid w:val="00186DDD"/>
    <w:rsid w:val="00187344"/>
    <w:rsid w:val="001877F3"/>
    <w:rsid w:val="0019035C"/>
    <w:rsid w:val="0019164A"/>
    <w:rsid w:val="001924CF"/>
    <w:rsid w:val="00192902"/>
    <w:rsid w:val="00192936"/>
    <w:rsid w:val="0019397E"/>
    <w:rsid w:val="00193F6A"/>
    <w:rsid w:val="00194958"/>
    <w:rsid w:val="001951C2"/>
    <w:rsid w:val="00195975"/>
    <w:rsid w:val="00195CC3"/>
    <w:rsid w:val="001975CD"/>
    <w:rsid w:val="00197DBB"/>
    <w:rsid w:val="001A0167"/>
    <w:rsid w:val="001A17CF"/>
    <w:rsid w:val="001A1BE1"/>
    <w:rsid w:val="001A27BF"/>
    <w:rsid w:val="001A2A47"/>
    <w:rsid w:val="001A2B59"/>
    <w:rsid w:val="001A5809"/>
    <w:rsid w:val="001B036E"/>
    <w:rsid w:val="001B25C8"/>
    <w:rsid w:val="001B2681"/>
    <w:rsid w:val="001B270A"/>
    <w:rsid w:val="001B4B69"/>
    <w:rsid w:val="001B4F1E"/>
    <w:rsid w:val="001B6EE5"/>
    <w:rsid w:val="001B71C3"/>
    <w:rsid w:val="001B7A30"/>
    <w:rsid w:val="001B7F5B"/>
    <w:rsid w:val="001C2202"/>
    <w:rsid w:val="001C3EBF"/>
    <w:rsid w:val="001C5712"/>
    <w:rsid w:val="001C6FDF"/>
    <w:rsid w:val="001D21D8"/>
    <w:rsid w:val="001D630E"/>
    <w:rsid w:val="001D6DE6"/>
    <w:rsid w:val="001D6F30"/>
    <w:rsid w:val="001E1793"/>
    <w:rsid w:val="001E1EC1"/>
    <w:rsid w:val="001E2E54"/>
    <w:rsid w:val="001E30E1"/>
    <w:rsid w:val="001E4535"/>
    <w:rsid w:val="001E6872"/>
    <w:rsid w:val="001E6B03"/>
    <w:rsid w:val="001F028D"/>
    <w:rsid w:val="001F0C43"/>
    <w:rsid w:val="001F1D37"/>
    <w:rsid w:val="001F210F"/>
    <w:rsid w:val="001F2921"/>
    <w:rsid w:val="001F3D2B"/>
    <w:rsid w:val="001F4843"/>
    <w:rsid w:val="0020111B"/>
    <w:rsid w:val="00201613"/>
    <w:rsid w:val="00202141"/>
    <w:rsid w:val="0020257C"/>
    <w:rsid w:val="00202E83"/>
    <w:rsid w:val="002036E6"/>
    <w:rsid w:val="002037D2"/>
    <w:rsid w:val="002041B7"/>
    <w:rsid w:val="00204325"/>
    <w:rsid w:val="00204389"/>
    <w:rsid w:val="00204C64"/>
    <w:rsid w:val="00205265"/>
    <w:rsid w:val="00206EFF"/>
    <w:rsid w:val="002077A9"/>
    <w:rsid w:val="00207C2E"/>
    <w:rsid w:val="0021007E"/>
    <w:rsid w:val="00210D92"/>
    <w:rsid w:val="0021130D"/>
    <w:rsid w:val="00212392"/>
    <w:rsid w:val="00213EA3"/>
    <w:rsid w:val="00214D7E"/>
    <w:rsid w:val="00216893"/>
    <w:rsid w:val="00221222"/>
    <w:rsid w:val="002212FB"/>
    <w:rsid w:val="00221A30"/>
    <w:rsid w:val="002223F0"/>
    <w:rsid w:val="00223DB8"/>
    <w:rsid w:val="00223F22"/>
    <w:rsid w:val="00224AC9"/>
    <w:rsid w:val="00225312"/>
    <w:rsid w:val="0023269D"/>
    <w:rsid w:val="00232BED"/>
    <w:rsid w:val="00232CB6"/>
    <w:rsid w:val="002341C1"/>
    <w:rsid w:val="002347A4"/>
    <w:rsid w:val="00234A1C"/>
    <w:rsid w:val="00235EC5"/>
    <w:rsid w:val="00236438"/>
    <w:rsid w:val="00236EF0"/>
    <w:rsid w:val="0024182D"/>
    <w:rsid w:val="00242E8A"/>
    <w:rsid w:val="00243E1C"/>
    <w:rsid w:val="00244793"/>
    <w:rsid w:val="00245A24"/>
    <w:rsid w:val="00245A43"/>
    <w:rsid w:val="00246E4E"/>
    <w:rsid w:val="002473B0"/>
    <w:rsid w:val="002479E5"/>
    <w:rsid w:val="0025053E"/>
    <w:rsid w:val="0025280A"/>
    <w:rsid w:val="002534BD"/>
    <w:rsid w:val="00253738"/>
    <w:rsid w:val="0025433D"/>
    <w:rsid w:val="00254484"/>
    <w:rsid w:val="002558C3"/>
    <w:rsid w:val="00256BBA"/>
    <w:rsid w:val="00256D88"/>
    <w:rsid w:val="002601E5"/>
    <w:rsid w:val="002605A6"/>
    <w:rsid w:val="00260FC1"/>
    <w:rsid w:val="00261AB8"/>
    <w:rsid w:val="00262781"/>
    <w:rsid w:val="00262EA0"/>
    <w:rsid w:val="00264FFA"/>
    <w:rsid w:val="002659D9"/>
    <w:rsid w:val="002674FA"/>
    <w:rsid w:val="00267705"/>
    <w:rsid w:val="0027022A"/>
    <w:rsid w:val="00270D01"/>
    <w:rsid w:val="00271620"/>
    <w:rsid w:val="00272258"/>
    <w:rsid w:val="00274335"/>
    <w:rsid w:val="00275A2C"/>
    <w:rsid w:val="0027635F"/>
    <w:rsid w:val="00281137"/>
    <w:rsid w:val="002822FE"/>
    <w:rsid w:val="002823CB"/>
    <w:rsid w:val="0028288B"/>
    <w:rsid w:val="00282B9A"/>
    <w:rsid w:val="00283D13"/>
    <w:rsid w:val="002841AE"/>
    <w:rsid w:val="00285973"/>
    <w:rsid w:val="0028650D"/>
    <w:rsid w:val="002872D5"/>
    <w:rsid w:val="00290BE1"/>
    <w:rsid w:val="002913CD"/>
    <w:rsid w:val="00291DBD"/>
    <w:rsid w:val="0029255F"/>
    <w:rsid w:val="00292FBE"/>
    <w:rsid w:val="00293371"/>
    <w:rsid w:val="00293B36"/>
    <w:rsid w:val="00294E1E"/>
    <w:rsid w:val="0029589B"/>
    <w:rsid w:val="002959E3"/>
    <w:rsid w:val="00295A45"/>
    <w:rsid w:val="00295DA7"/>
    <w:rsid w:val="002A0092"/>
    <w:rsid w:val="002A02DF"/>
    <w:rsid w:val="002A0C92"/>
    <w:rsid w:val="002A1650"/>
    <w:rsid w:val="002A2471"/>
    <w:rsid w:val="002A47AA"/>
    <w:rsid w:val="002A4B44"/>
    <w:rsid w:val="002A4C0D"/>
    <w:rsid w:val="002A5362"/>
    <w:rsid w:val="002A5B6E"/>
    <w:rsid w:val="002A6EA8"/>
    <w:rsid w:val="002A6F2F"/>
    <w:rsid w:val="002A7A39"/>
    <w:rsid w:val="002B13EE"/>
    <w:rsid w:val="002B145D"/>
    <w:rsid w:val="002B193A"/>
    <w:rsid w:val="002B240D"/>
    <w:rsid w:val="002B2FB0"/>
    <w:rsid w:val="002B34CA"/>
    <w:rsid w:val="002B416B"/>
    <w:rsid w:val="002B53F8"/>
    <w:rsid w:val="002C0710"/>
    <w:rsid w:val="002C12D0"/>
    <w:rsid w:val="002C3234"/>
    <w:rsid w:val="002C365F"/>
    <w:rsid w:val="002C3B2A"/>
    <w:rsid w:val="002C3D79"/>
    <w:rsid w:val="002C54A5"/>
    <w:rsid w:val="002C54CC"/>
    <w:rsid w:val="002C5B17"/>
    <w:rsid w:val="002C68CA"/>
    <w:rsid w:val="002C7242"/>
    <w:rsid w:val="002D1D26"/>
    <w:rsid w:val="002D35C6"/>
    <w:rsid w:val="002D4885"/>
    <w:rsid w:val="002D543B"/>
    <w:rsid w:val="002D5D4B"/>
    <w:rsid w:val="002E05BD"/>
    <w:rsid w:val="002E05D9"/>
    <w:rsid w:val="002E1A7A"/>
    <w:rsid w:val="002E2AD7"/>
    <w:rsid w:val="002E3CB7"/>
    <w:rsid w:val="002E3E33"/>
    <w:rsid w:val="002E57B6"/>
    <w:rsid w:val="002E6D67"/>
    <w:rsid w:val="002E7F2E"/>
    <w:rsid w:val="002F2BAB"/>
    <w:rsid w:val="002F33EE"/>
    <w:rsid w:val="002F3BDD"/>
    <w:rsid w:val="002F3F8E"/>
    <w:rsid w:val="002F461B"/>
    <w:rsid w:val="002F468C"/>
    <w:rsid w:val="002F6EE3"/>
    <w:rsid w:val="0030125C"/>
    <w:rsid w:val="003017DD"/>
    <w:rsid w:val="00302074"/>
    <w:rsid w:val="003027BD"/>
    <w:rsid w:val="00303C97"/>
    <w:rsid w:val="0030492E"/>
    <w:rsid w:val="00304B43"/>
    <w:rsid w:val="003108DC"/>
    <w:rsid w:val="00312486"/>
    <w:rsid w:val="0031461E"/>
    <w:rsid w:val="0031463B"/>
    <w:rsid w:val="00314E92"/>
    <w:rsid w:val="00315BD1"/>
    <w:rsid w:val="00316127"/>
    <w:rsid w:val="003164D8"/>
    <w:rsid w:val="00317401"/>
    <w:rsid w:val="0032056F"/>
    <w:rsid w:val="00321139"/>
    <w:rsid w:val="00321685"/>
    <w:rsid w:val="00321A64"/>
    <w:rsid w:val="00324B81"/>
    <w:rsid w:val="00324D7A"/>
    <w:rsid w:val="00324DF8"/>
    <w:rsid w:val="00326B09"/>
    <w:rsid w:val="0032788F"/>
    <w:rsid w:val="00330A44"/>
    <w:rsid w:val="00330B7F"/>
    <w:rsid w:val="003314D2"/>
    <w:rsid w:val="003326AA"/>
    <w:rsid w:val="00333DE7"/>
    <w:rsid w:val="003347E8"/>
    <w:rsid w:val="0033635C"/>
    <w:rsid w:val="00336477"/>
    <w:rsid w:val="00336E38"/>
    <w:rsid w:val="00337B33"/>
    <w:rsid w:val="00341082"/>
    <w:rsid w:val="0034118C"/>
    <w:rsid w:val="00341DC6"/>
    <w:rsid w:val="00341EF4"/>
    <w:rsid w:val="00342166"/>
    <w:rsid w:val="00343A78"/>
    <w:rsid w:val="00343FA2"/>
    <w:rsid w:val="003444A8"/>
    <w:rsid w:val="0034691D"/>
    <w:rsid w:val="00346EBC"/>
    <w:rsid w:val="003505AD"/>
    <w:rsid w:val="0035125F"/>
    <w:rsid w:val="00351C92"/>
    <w:rsid w:val="00351ED4"/>
    <w:rsid w:val="00356931"/>
    <w:rsid w:val="003603A0"/>
    <w:rsid w:val="00360ACD"/>
    <w:rsid w:val="00361359"/>
    <w:rsid w:val="00361C77"/>
    <w:rsid w:val="00362BA5"/>
    <w:rsid w:val="00362D22"/>
    <w:rsid w:val="00363D14"/>
    <w:rsid w:val="0036458B"/>
    <w:rsid w:val="003671B1"/>
    <w:rsid w:val="0037110F"/>
    <w:rsid w:val="00371904"/>
    <w:rsid w:val="00372619"/>
    <w:rsid w:val="00372BD7"/>
    <w:rsid w:val="00374491"/>
    <w:rsid w:val="0037536C"/>
    <w:rsid w:val="003774E1"/>
    <w:rsid w:val="00377765"/>
    <w:rsid w:val="003805C2"/>
    <w:rsid w:val="0038071D"/>
    <w:rsid w:val="003817AE"/>
    <w:rsid w:val="00383226"/>
    <w:rsid w:val="003877D2"/>
    <w:rsid w:val="00387B67"/>
    <w:rsid w:val="00387C37"/>
    <w:rsid w:val="0039028D"/>
    <w:rsid w:val="003905C2"/>
    <w:rsid w:val="00391DAE"/>
    <w:rsid w:val="00391DDB"/>
    <w:rsid w:val="003920CE"/>
    <w:rsid w:val="00392339"/>
    <w:rsid w:val="00393576"/>
    <w:rsid w:val="00393EAD"/>
    <w:rsid w:val="0039632D"/>
    <w:rsid w:val="003A015C"/>
    <w:rsid w:val="003A0279"/>
    <w:rsid w:val="003A0AEB"/>
    <w:rsid w:val="003A2943"/>
    <w:rsid w:val="003A3E2A"/>
    <w:rsid w:val="003A4529"/>
    <w:rsid w:val="003A58C8"/>
    <w:rsid w:val="003A5AD7"/>
    <w:rsid w:val="003A5CF7"/>
    <w:rsid w:val="003A6B23"/>
    <w:rsid w:val="003B0038"/>
    <w:rsid w:val="003B04A6"/>
    <w:rsid w:val="003B2843"/>
    <w:rsid w:val="003B3C12"/>
    <w:rsid w:val="003B5160"/>
    <w:rsid w:val="003B5409"/>
    <w:rsid w:val="003B60BC"/>
    <w:rsid w:val="003B6982"/>
    <w:rsid w:val="003B71F7"/>
    <w:rsid w:val="003C0153"/>
    <w:rsid w:val="003C0DBC"/>
    <w:rsid w:val="003C434C"/>
    <w:rsid w:val="003C4DCA"/>
    <w:rsid w:val="003C5107"/>
    <w:rsid w:val="003C54C8"/>
    <w:rsid w:val="003C7B0C"/>
    <w:rsid w:val="003D0548"/>
    <w:rsid w:val="003D0C49"/>
    <w:rsid w:val="003D1128"/>
    <w:rsid w:val="003D12DF"/>
    <w:rsid w:val="003D1FF5"/>
    <w:rsid w:val="003D2517"/>
    <w:rsid w:val="003D2B44"/>
    <w:rsid w:val="003D3A48"/>
    <w:rsid w:val="003D48DB"/>
    <w:rsid w:val="003D4983"/>
    <w:rsid w:val="003D4D0F"/>
    <w:rsid w:val="003D6B98"/>
    <w:rsid w:val="003E06FB"/>
    <w:rsid w:val="003E112C"/>
    <w:rsid w:val="003E1A2B"/>
    <w:rsid w:val="003E1F30"/>
    <w:rsid w:val="003E229A"/>
    <w:rsid w:val="003E2ADE"/>
    <w:rsid w:val="003E33B5"/>
    <w:rsid w:val="003E3B32"/>
    <w:rsid w:val="003E3DB2"/>
    <w:rsid w:val="003E794B"/>
    <w:rsid w:val="003E7CFF"/>
    <w:rsid w:val="003E7D6D"/>
    <w:rsid w:val="003E7FB9"/>
    <w:rsid w:val="003F0C98"/>
    <w:rsid w:val="003F1BE0"/>
    <w:rsid w:val="003F2905"/>
    <w:rsid w:val="003F3317"/>
    <w:rsid w:val="003F371D"/>
    <w:rsid w:val="003F5088"/>
    <w:rsid w:val="003F7DDC"/>
    <w:rsid w:val="004006ED"/>
    <w:rsid w:val="004017FF"/>
    <w:rsid w:val="00402BC4"/>
    <w:rsid w:val="00402D7D"/>
    <w:rsid w:val="004036CA"/>
    <w:rsid w:val="00403AFC"/>
    <w:rsid w:val="00404B02"/>
    <w:rsid w:val="00407900"/>
    <w:rsid w:val="00412690"/>
    <w:rsid w:val="00413DC8"/>
    <w:rsid w:val="00414215"/>
    <w:rsid w:val="004157A4"/>
    <w:rsid w:val="00415D78"/>
    <w:rsid w:val="0041613A"/>
    <w:rsid w:val="004168D1"/>
    <w:rsid w:val="0042014D"/>
    <w:rsid w:val="00420254"/>
    <w:rsid w:val="00420548"/>
    <w:rsid w:val="004237A6"/>
    <w:rsid w:val="004256FE"/>
    <w:rsid w:val="004263C4"/>
    <w:rsid w:val="0042665A"/>
    <w:rsid w:val="004266C9"/>
    <w:rsid w:val="004270C9"/>
    <w:rsid w:val="00430502"/>
    <w:rsid w:val="00432BCC"/>
    <w:rsid w:val="00432C0A"/>
    <w:rsid w:val="00433961"/>
    <w:rsid w:val="00434134"/>
    <w:rsid w:val="00435247"/>
    <w:rsid w:val="00436067"/>
    <w:rsid w:val="004371C9"/>
    <w:rsid w:val="0043798D"/>
    <w:rsid w:val="004379FD"/>
    <w:rsid w:val="004412E7"/>
    <w:rsid w:val="00442481"/>
    <w:rsid w:val="00442C09"/>
    <w:rsid w:val="0044387F"/>
    <w:rsid w:val="00445398"/>
    <w:rsid w:val="00445C76"/>
    <w:rsid w:val="00447AFB"/>
    <w:rsid w:val="00450CE6"/>
    <w:rsid w:val="00452032"/>
    <w:rsid w:val="00454C9A"/>
    <w:rsid w:val="00456585"/>
    <w:rsid w:val="0046002F"/>
    <w:rsid w:val="00460A15"/>
    <w:rsid w:val="004614B0"/>
    <w:rsid w:val="00461E73"/>
    <w:rsid w:val="004620AF"/>
    <w:rsid w:val="0046352B"/>
    <w:rsid w:val="0046603C"/>
    <w:rsid w:val="00466552"/>
    <w:rsid w:val="0046662D"/>
    <w:rsid w:val="00467126"/>
    <w:rsid w:val="0047041D"/>
    <w:rsid w:val="0047095A"/>
    <w:rsid w:val="00471AFA"/>
    <w:rsid w:val="00471C90"/>
    <w:rsid w:val="004730E5"/>
    <w:rsid w:val="00475930"/>
    <w:rsid w:val="004766CB"/>
    <w:rsid w:val="00477737"/>
    <w:rsid w:val="00477A1B"/>
    <w:rsid w:val="00480432"/>
    <w:rsid w:val="00482E67"/>
    <w:rsid w:val="004832D4"/>
    <w:rsid w:val="0048495D"/>
    <w:rsid w:val="004861DD"/>
    <w:rsid w:val="00486DD1"/>
    <w:rsid w:val="00487984"/>
    <w:rsid w:val="00490ED6"/>
    <w:rsid w:val="00492D4F"/>
    <w:rsid w:val="004932A5"/>
    <w:rsid w:val="00493AE6"/>
    <w:rsid w:val="00493B1C"/>
    <w:rsid w:val="00494237"/>
    <w:rsid w:val="00496009"/>
    <w:rsid w:val="00497576"/>
    <w:rsid w:val="004977A6"/>
    <w:rsid w:val="00497D3D"/>
    <w:rsid w:val="004A1015"/>
    <w:rsid w:val="004A2DAF"/>
    <w:rsid w:val="004A3767"/>
    <w:rsid w:val="004A4CFD"/>
    <w:rsid w:val="004B2B50"/>
    <w:rsid w:val="004B2EB0"/>
    <w:rsid w:val="004B6984"/>
    <w:rsid w:val="004C0937"/>
    <w:rsid w:val="004C2A8E"/>
    <w:rsid w:val="004C3182"/>
    <w:rsid w:val="004C4423"/>
    <w:rsid w:val="004C7BED"/>
    <w:rsid w:val="004D084A"/>
    <w:rsid w:val="004D17A4"/>
    <w:rsid w:val="004D224C"/>
    <w:rsid w:val="004D5961"/>
    <w:rsid w:val="004D78B3"/>
    <w:rsid w:val="004E1081"/>
    <w:rsid w:val="004E1E86"/>
    <w:rsid w:val="004E53F4"/>
    <w:rsid w:val="004E792B"/>
    <w:rsid w:val="004F06C1"/>
    <w:rsid w:val="004F093A"/>
    <w:rsid w:val="004F0AD3"/>
    <w:rsid w:val="004F0B3F"/>
    <w:rsid w:val="004F2403"/>
    <w:rsid w:val="004F3B70"/>
    <w:rsid w:val="004F4913"/>
    <w:rsid w:val="004F5454"/>
    <w:rsid w:val="00501063"/>
    <w:rsid w:val="00501F8C"/>
    <w:rsid w:val="00502CA5"/>
    <w:rsid w:val="00506BD6"/>
    <w:rsid w:val="0051005D"/>
    <w:rsid w:val="00511159"/>
    <w:rsid w:val="00513108"/>
    <w:rsid w:val="00515620"/>
    <w:rsid w:val="00515F95"/>
    <w:rsid w:val="00517648"/>
    <w:rsid w:val="0052090A"/>
    <w:rsid w:val="005214AB"/>
    <w:rsid w:val="005215CF"/>
    <w:rsid w:val="005218C4"/>
    <w:rsid w:val="00522CFA"/>
    <w:rsid w:val="00522E7D"/>
    <w:rsid w:val="00523D25"/>
    <w:rsid w:val="00524131"/>
    <w:rsid w:val="00524CF4"/>
    <w:rsid w:val="00524E26"/>
    <w:rsid w:val="00526DA9"/>
    <w:rsid w:val="005275DB"/>
    <w:rsid w:val="005317A1"/>
    <w:rsid w:val="005329F1"/>
    <w:rsid w:val="00532DA8"/>
    <w:rsid w:val="0053441A"/>
    <w:rsid w:val="0053646E"/>
    <w:rsid w:val="00537DB3"/>
    <w:rsid w:val="005400CF"/>
    <w:rsid w:val="0054021F"/>
    <w:rsid w:val="00541188"/>
    <w:rsid w:val="005419D4"/>
    <w:rsid w:val="005434C1"/>
    <w:rsid w:val="005441CA"/>
    <w:rsid w:val="0054568D"/>
    <w:rsid w:val="00545C0F"/>
    <w:rsid w:val="005470F9"/>
    <w:rsid w:val="0055141B"/>
    <w:rsid w:val="00551D74"/>
    <w:rsid w:val="00552833"/>
    <w:rsid w:val="00553B29"/>
    <w:rsid w:val="005541AD"/>
    <w:rsid w:val="00555C4A"/>
    <w:rsid w:val="00557034"/>
    <w:rsid w:val="0056022C"/>
    <w:rsid w:val="00560D22"/>
    <w:rsid w:val="00560FF4"/>
    <w:rsid w:val="005612FB"/>
    <w:rsid w:val="00563911"/>
    <w:rsid w:val="005640FD"/>
    <w:rsid w:val="00564904"/>
    <w:rsid w:val="00564DED"/>
    <w:rsid w:val="00566E22"/>
    <w:rsid w:val="005671E4"/>
    <w:rsid w:val="0057096A"/>
    <w:rsid w:val="00571747"/>
    <w:rsid w:val="00572981"/>
    <w:rsid w:val="005730C7"/>
    <w:rsid w:val="00573A05"/>
    <w:rsid w:val="00573D89"/>
    <w:rsid w:val="005743F4"/>
    <w:rsid w:val="00574842"/>
    <w:rsid w:val="00577AF0"/>
    <w:rsid w:val="005809E9"/>
    <w:rsid w:val="00580E6E"/>
    <w:rsid w:val="00582144"/>
    <w:rsid w:val="00582349"/>
    <w:rsid w:val="00583850"/>
    <w:rsid w:val="00583BCD"/>
    <w:rsid w:val="00583D0A"/>
    <w:rsid w:val="00584290"/>
    <w:rsid w:val="00584806"/>
    <w:rsid w:val="00585565"/>
    <w:rsid w:val="00590371"/>
    <w:rsid w:val="005911D1"/>
    <w:rsid w:val="00591BF7"/>
    <w:rsid w:val="005938D8"/>
    <w:rsid w:val="0059467D"/>
    <w:rsid w:val="00594804"/>
    <w:rsid w:val="00594B63"/>
    <w:rsid w:val="005957DA"/>
    <w:rsid w:val="0059601C"/>
    <w:rsid w:val="00597F68"/>
    <w:rsid w:val="005A1741"/>
    <w:rsid w:val="005A2D3E"/>
    <w:rsid w:val="005A3508"/>
    <w:rsid w:val="005A397E"/>
    <w:rsid w:val="005A4798"/>
    <w:rsid w:val="005A7DA5"/>
    <w:rsid w:val="005B20E5"/>
    <w:rsid w:val="005B42A6"/>
    <w:rsid w:val="005B52C4"/>
    <w:rsid w:val="005B5A2E"/>
    <w:rsid w:val="005B5B62"/>
    <w:rsid w:val="005B5F43"/>
    <w:rsid w:val="005B6F04"/>
    <w:rsid w:val="005B7374"/>
    <w:rsid w:val="005B73D2"/>
    <w:rsid w:val="005C0468"/>
    <w:rsid w:val="005C2C13"/>
    <w:rsid w:val="005C2D4A"/>
    <w:rsid w:val="005C40BD"/>
    <w:rsid w:val="005C551C"/>
    <w:rsid w:val="005C6897"/>
    <w:rsid w:val="005C6AFA"/>
    <w:rsid w:val="005C6E99"/>
    <w:rsid w:val="005C73CB"/>
    <w:rsid w:val="005C7BDB"/>
    <w:rsid w:val="005D0864"/>
    <w:rsid w:val="005D0B3F"/>
    <w:rsid w:val="005D0CBC"/>
    <w:rsid w:val="005D12F8"/>
    <w:rsid w:val="005D18E4"/>
    <w:rsid w:val="005D50B7"/>
    <w:rsid w:val="005D757B"/>
    <w:rsid w:val="005D7B19"/>
    <w:rsid w:val="005E3FA9"/>
    <w:rsid w:val="005E501F"/>
    <w:rsid w:val="005E54BA"/>
    <w:rsid w:val="005E5A6E"/>
    <w:rsid w:val="005E65EC"/>
    <w:rsid w:val="005F1058"/>
    <w:rsid w:val="005F10F5"/>
    <w:rsid w:val="005F11A3"/>
    <w:rsid w:val="005F3098"/>
    <w:rsid w:val="005F3DF8"/>
    <w:rsid w:val="005F509A"/>
    <w:rsid w:val="005F55B3"/>
    <w:rsid w:val="005F5999"/>
    <w:rsid w:val="005F600B"/>
    <w:rsid w:val="005F6E77"/>
    <w:rsid w:val="005F7F2B"/>
    <w:rsid w:val="006000CE"/>
    <w:rsid w:val="00600CEA"/>
    <w:rsid w:val="00600E6A"/>
    <w:rsid w:val="00601B84"/>
    <w:rsid w:val="00602739"/>
    <w:rsid w:val="0060300C"/>
    <w:rsid w:val="00603BAE"/>
    <w:rsid w:val="0060453D"/>
    <w:rsid w:val="006048C6"/>
    <w:rsid w:val="006058DC"/>
    <w:rsid w:val="00605D65"/>
    <w:rsid w:val="00605EA8"/>
    <w:rsid w:val="00606012"/>
    <w:rsid w:val="00606539"/>
    <w:rsid w:val="006100F6"/>
    <w:rsid w:val="00611AD0"/>
    <w:rsid w:val="0061347E"/>
    <w:rsid w:val="00620A29"/>
    <w:rsid w:val="006215C3"/>
    <w:rsid w:val="00624168"/>
    <w:rsid w:val="00624366"/>
    <w:rsid w:val="006246FA"/>
    <w:rsid w:val="0062541B"/>
    <w:rsid w:val="00625A49"/>
    <w:rsid w:val="006276AD"/>
    <w:rsid w:val="00627B7D"/>
    <w:rsid w:val="00630826"/>
    <w:rsid w:val="00630DD7"/>
    <w:rsid w:val="00632A36"/>
    <w:rsid w:val="006334E4"/>
    <w:rsid w:val="00634203"/>
    <w:rsid w:val="0063621D"/>
    <w:rsid w:val="006362D3"/>
    <w:rsid w:val="006366F3"/>
    <w:rsid w:val="00640096"/>
    <w:rsid w:val="0064175E"/>
    <w:rsid w:val="006422FF"/>
    <w:rsid w:val="006426C8"/>
    <w:rsid w:val="00643A0F"/>
    <w:rsid w:val="0064539C"/>
    <w:rsid w:val="006455D6"/>
    <w:rsid w:val="00646636"/>
    <w:rsid w:val="00652770"/>
    <w:rsid w:val="00652C8A"/>
    <w:rsid w:val="006536D2"/>
    <w:rsid w:val="006544B4"/>
    <w:rsid w:val="006558D8"/>
    <w:rsid w:val="00656B94"/>
    <w:rsid w:val="00656D5C"/>
    <w:rsid w:val="00660558"/>
    <w:rsid w:val="00662940"/>
    <w:rsid w:val="00662A0D"/>
    <w:rsid w:val="00662A14"/>
    <w:rsid w:val="00663052"/>
    <w:rsid w:val="00663A6C"/>
    <w:rsid w:val="00664311"/>
    <w:rsid w:val="00664B01"/>
    <w:rsid w:val="0066617D"/>
    <w:rsid w:val="006667DA"/>
    <w:rsid w:val="00666ABA"/>
    <w:rsid w:val="00666B83"/>
    <w:rsid w:val="00667224"/>
    <w:rsid w:val="00671491"/>
    <w:rsid w:val="00671652"/>
    <w:rsid w:val="006743DD"/>
    <w:rsid w:val="006761CF"/>
    <w:rsid w:val="00677D11"/>
    <w:rsid w:val="0068135C"/>
    <w:rsid w:val="00681A27"/>
    <w:rsid w:val="00682687"/>
    <w:rsid w:val="0068365A"/>
    <w:rsid w:val="006841D8"/>
    <w:rsid w:val="0068603C"/>
    <w:rsid w:val="006861DD"/>
    <w:rsid w:val="00686397"/>
    <w:rsid w:val="00690A81"/>
    <w:rsid w:val="00691AF3"/>
    <w:rsid w:val="0069334D"/>
    <w:rsid w:val="00694ADF"/>
    <w:rsid w:val="00694ED4"/>
    <w:rsid w:val="00696DD3"/>
    <w:rsid w:val="006975D2"/>
    <w:rsid w:val="006A0990"/>
    <w:rsid w:val="006A0DBB"/>
    <w:rsid w:val="006A13D8"/>
    <w:rsid w:val="006A2B02"/>
    <w:rsid w:val="006A4077"/>
    <w:rsid w:val="006A488D"/>
    <w:rsid w:val="006A6FB7"/>
    <w:rsid w:val="006B040A"/>
    <w:rsid w:val="006B4284"/>
    <w:rsid w:val="006B4DB4"/>
    <w:rsid w:val="006B541C"/>
    <w:rsid w:val="006B6299"/>
    <w:rsid w:val="006C0C0E"/>
    <w:rsid w:val="006C1C6D"/>
    <w:rsid w:val="006C241F"/>
    <w:rsid w:val="006C263B"/>
    <w:rsid w:val="006C3E41"/>
    <w:rsid w:val="006C73CE"/>
    <w:rsid w:val="006D0D82"/>
    <w:rsid w:val="006D1706"/>
    <w:rsid w:val="006D6695"/>
    <w:rsid w:val="006E06E5"/>
    <w:rsid w:val="006E08EA"/>
    <w:rsid w:val="006E0F74"/>
    <w:rsid w:val="006E2307"/>
    <w:rsid w:val="006E3080"/>
    <w:rsid w:val="006E3E0F"/>
    <w:rsid w:val="006E4C53"/>
    <w:rsid w:val="006E4EAD"/>
    <w:rsid w:val="006E5C3C"/>
    <w:rsid w:val="006E7E11"/>
    <w:rsid w:val="006F3F46"/>
    <w:rsid w:val="006F5D70"/>
    <w:rsid w:val="006F677E"/>
    <w:rsid w:val="006F6D7C"/>
    <w:rsid w:val="006F765B"/>
    <w:rsid w:val="0070019E"/>
    <w:rsid w:val="00700374"/>
    <w:rsid w:val="007021D4"/>
    <w:rsid w:val="00702DA8"/>
    <w:rsid w:val="0070336C"/>
    <w:rsid w:val="00703DF9"/>
    <w:rsid w:val="00707C51"/>
    <w:rsid w:val="00710899"/>
    <w:rsid w:val="00711853"/>
    <w:rsid w:val="00711A4D"/>
    <w:rsid w:val="00712B1E"/>
    <w:rsid w:val="007142FF"/>
    <w:rsid w:val="007143EB"/>
    <w:rsid w:val="00714B05"/>
    <w:rsid w:val="00716547"/>
    <w:rsid w:val="0071662D"/>
    <w:rsid w:val="0071699F"/>
    <w:rsid w:val="00716E2F"/>
    <w:rsid w:val="00716F27"/>
    <w:rsid w:val="007178F0"/>
    <w:rsid w:val="00720101"/>
    <w:rsid w:val="0072184B"/>
    <w:rsid w:val="00724722"/>
    <w:rsid w:val="00725127"/>
    <w:rsid w:val="0072578C"/>
    <w:rsid w:val="00727515"/>
    <w:rsid w:val="00727EE7"/>
    <w:rsid w:val="0073080F"/>
    <w:rsid w:val="00730AEE"/>
    <w:rsid w:val="00730CA8"/>
    <w:rsid w:val="0073153F"/>
    <w:rsid w:val="007318FD"/>
    <w:rsid w:val="00731C84"/>
    <w:rsid w:val="0073472E"/>
    <w:rsid w:val="007351E0"/>
    <w:rsid w:val="00742DAD"/>
    <w:rsid w:val="00744276"/>
    <w:rsid w:val="007447A0"/>
    <w:rsid w:val="00744A25"/>
    <w:rsid w:val="0074505A"/>
    <w:rsid w:val="007458FC"/>
    <w:rsid w:val="00746C29"/>
    <w:rsid w:val="00746D77"/>
    <w:rsid w:val="00747409"/>
    <w:rsid w:val="00750015"/>
    <w:rsid w:val="007505EB"/>
    <w:rsid w:val="00751977"/>
    <w:rsid w:val="00753648"/>
    <w:rsid w:val="00754901"/>
    <w:rsid w:val="00754D29"/>
    <w:rsid w:val="00754F88"/>
    <w:rsid w:val="007552A3"/>
    <w:rsid w:val="0075567D"/>
    <w:rsid w:val="007567F9"/>
    <w:rsid w:val="00756BE7"/>
    <w:rsid w:val="00756E9B"/>
    <w:rsid w:val="00757D43"/>
    <w:rsid w:val="0076134A"/>
    <w:rsid w:val="007641A5"/>
    <w:rsid w:val="007645FD"/>
    <w:rsid w:val="00764DE1"/>
    <w:rsid w:val="007666E2"/>
    <w:rsid w:val="00766B6B"/>
    <w:rsid w:val="00767090"/>
    <w:rsid w:val="00767213"/>
    <w:rsid w:val="007676A1"/>
    <w:rsid w:val="00767C3F"/>
    <w:rsid w:val="0077070E"/>
    <w:rsid w:val="00770A14"/>
    <w:rsid w:val="00770BC5"/>
    <w:rsid w:val="007763E3"/>
    <w:rsid w:val="00777AA3"/>
    <w:rsid w:val="00777BC2"/>
    <w:rsid w:val="007828D5"/>
    <w:rsid w:val="007831DA"/>
    <w:rsid w:val="00783261"/>
    <w:rsid w:val="00784D3B"/>
    <w:rsid w:val="00786209"/>
    <w:rsid w:val="0078758F"/>
    <w:rsid w:val="007912FD"/>
    <w:rsid w:val="00791403"/>
    <w:rsid w:val="007916CE"/>
    <w:rsid w:val="007919C3"/>
    <w:rsid w:val="00791BD5"/>
    <w:rsid w:val="00791EFB"/>
    <w:rsid w:val="00796307"/>
    <w:rsid w:val="00796DDD"/>
    <w:rsid w:val="00796E1B"/>
    <w:rsid w:val="00796FC5"/>
    <w:rsid w:val="007979F8"/>
    <w:rsid w:val="00797BE8"/>
    <w:rsid w:val="007A15C5"/>
    <w:rsid w:val="007A1D8E"/>
    <w:rsid w:val="007A36FC"/>
    <w:rsid w:val="007A3BA8"/>
    <w:rsid w:val="007A4A21"/>
    <w:rsid w:val="007A6EC5"/>
    <w:rsid w:val="007B0313"/>
    <w:rsid w:val="007B117E"/>
    <w:rsid w:val="007B27C6"/>
    <w:rsid w:val="007B3274"/>
    <w:rsid w:val="007B3A9A"/>
    <w:rsid w:val="007B55E2"/>
    <w:rsid w:val="007B683D"/>
    <w:rsid w:val="007B755A"/>
    <w:rsid w:val="007B7D95"/>
    <w:rsid w:val="007B7F86"/>
    <w:rsid w:val="007C04C0"/>
    <w:rsid w:val="007C114E"/>
    <w:rsid w:val="007C1409"/>
    <w:rsid w:val="007C15A7"/>
    <w:rsid w:val="007C2E2F"/>
    <w:rsid w:val="007C583F"/>
    <w:rsid w:val="007C5B1C"/>
    <w:rsid w:val="007C5BB3"/>
    <w:rsid w:val="007C5C29"/>
    <w:rsid w:val="007C676F"/>
    <w:rsid w:val="007C6DA9"/>
    <w:rsid w:val="007D0288"/>
    <w:rsid w:val="007D0FCE"/>
    <w:rsid w:val="007D1DB0"/>
    <w:rsid w:val="007D2B81"/>
    <w:rsid w:val="007D4A92"/>
    <w:rsid w:val="007D5FA7"/>
    <w:rsid w:val="007D6D22"/>
    <w:rsid w:val="007E12A3"/>
    <w:rsid w:val="007E12FB"/>
    <w:rsid w:val="007E218A"/>
    <w:rsid w:val="007E2EBD"/>
    <w:rsid w:val="007E3B4B"/>
    <w:rsid w:val="007E3CCC"/>
    <w:rsid w:val="007E510B"/>
    <w:rsid w:val="007E5448"/>
    <w:rsid w:val="007E6029"/>
    <w:rsid w:val="007E60C1"/>
    <w:rsid w:val="007E69DE"/>
    <w:rsid w:val="007E7784"/>
    <w:rsid w:val="007F075D"/>
    <w:rsid w:val="007F082B"/>
    <w:rsid w:val="007F0989"/>
    <w:rsid w:val="007F28E8"/>
    <w:rsid w:val="007F4EC4"/>
    <w:rsid w:val="007F53D0"/>
    <w:rsid w:val="007F782B"/>
    <w:rsid w:val="007F7875"/>
    <w:rsid w:val="008023B5"/>
    <w:rsid w:val="00803FC1"/>
    <w:rsid w:val="00804B88"/>
    <w:rsid w:val="00804E3B"/>
    <w:rsid w:val="00810E97"/>
    <w:rsid w:val="008116CF"/>
    <w:rsid w:val="00811723"/>
    <w:rsid w:val="00811923"/>
    <w:rsid w:val="00813A2D"/>
    <w:rsid w:val="00815682"/>
    <w:rsid w:val="00821274"/>
    <w:rsid w:val="00822DDD"/>
    <w:rsid w:val="00823CE3"/>
    <w:rsid w:val="00823D35"/>
    <w:rsid w:val="00823DB0"/>
    <w:rsid w:val="00824844"/>
    <w:rsid w:val="00824D0E"/>
    <w:rsid w:val="0082521A"/>
    <w:rsid w:val="00825927"/>
    <w:rsid w:val="00825E7D"/>
    <w:rsid w:val="008264AA"/>
    <w:rsid w:val="00832647"/>
    <w:rsid w:val="008326C6"/>
    <w:rsid w:val="00832EEE"/>
    <w:rsid w:val="00833B46"/>
    <w:rsid w:val="00833CDD"/>
    <w:rsid w:val="00833E21"/>
    <w:rsid w:val="00834B4B"/>
    <w:rsid w:val="008355C8"/>
    <w:rsid w:val="008358A7"/>
    <w:rsid w:val="008400F2"/>
    <w:rsid w:val="008403B8"/>
    <w:rsid w:val="00841D66"/>
    <w:rsid w:val="00841E39"/>
    <w:rsid w:val="00842E1C"/>
    <w:rsid w:val="008441E3"/>
    <w:rsid w:val="00845EC4"/>
    <w:rsid w:val="00846B59"/>
    <w:rsid w:val="00846E56"/>
    <w:rsid w:val="0085158B"/>
    <w:rsid w:val="008571D1"/>
    <w:rsid w:val="008572D3"/>
    <w:rsid w:val="00857C65"/>
    <w:rsid w:val="0086080C"/>
    <w:rsid w:val="00860DD0"/>
    <w:rsid w:val="00860F2B"/>
    <w:rsid w:val="008633AB"/>
    <w:rsid w:val="008645FD"/>
    <w:rsid w:val="008652C5"/>
    <w:rsid w:val="00865D8B"/>
    <w:rsid w:val="0087043B"/>
    <w:rsid w:val="008719B5"/>
    <w:rsid w:val="00872A47"/>
    <w:rsid w:val="0087376B"/>
    <w:rsid w:val="00874F78"/>
    <w:rsid w:val="008751A2"/>
    <w:rsid w:val="008753C9"/>
    <w:rsid w:val="00875504"/>
    <w:rsid w:val="00875D50"/>
    <w:rsid w:val="0087661A"/>
    <w:rsid w:val="008771CB"/>
    <w:rsid w:val="008774D4"/>
    <w:rsid w:val="00877E7D"/>
    <w:rsid w:val="00880B60"/>
    <w:rsid w:val="0088280C"/>
    <w:rsid w:val="00883E92"/>
    <w:rsid w:val="00885288"/>
    <w:rsid w:val="008867EF"/>
    <w:rsid w:val="00886A9A"/>
    <w:rsid w:val="00886CB2"/>
    <w:rsid w:val="008872D0"/>
    <w:rsid w:val="008908B9"/>
    <w:rsid w:val="008933FB"/>
    <w:rsid w:val="00893B0A"/>
    <w:rsid w:val="008940B2"/>
    <w:rsid w:val="008961C5"/>
    <w:rsid w:val="00896314"/>
    <w:rsid w:val="00896C03"/>
    <w:rsid w:val="00897DA6"/>
    <w:rsid w:val="008A0428"/>
    <w:rsid w:val="008A0737"/>
    <w:rsid w:val="008A0F89"/>
    <w:rsid w:val="008A1446"/>
    <w:rsid w:val="008A1456"/>
    <w:rsid w:val="008A1A56"/>
    <w:rsid w:val="008A2005"/>
    <w:rsid w:val="008A2824"/>
    <w:rsid w:val="008A4AD2"/>
    <w:rsid w:val="008A4D1F"/>
    <w:rsid w:val="008A50BC"/>
    <w:rsid w:val="008A5690"/>
    <w:rsid w:val="008A68B5"/>
    <w:rsid w:val="008A6D69"/>
    <w:rsid w:val="008A727B"/>
    <w:rsid w:val="008A7A58"/>
    <w:rsid w:val="008B0AF0"/>
    <w:rsid w:val="008B226A"/>
    <w:rsid w:val="008B2783"/>
    <w:rsid w:val="008B2B91"/>
    <w:rsid w:val="008B3463"/>
    <w:rsid w:val="008B43C2"/>
    <w:rsid w:val="008B4CAB"/>
    <w:rsid w:val="008B564D"/>
    <w:rsid w:val="008B59BB"/>
    <w:rsid w:val="008B7223"/>
    <w:rsid w:val="008B79D6"/>
    <w:rsid w:val="008C18D8"/>
    <w:rsid w:val="008C2E7C"/>
    <w:rsid w:val="008C2F67"/>
    <w:rsid w:val="008C3DC1"/>
    <w:rsid w:val="008C474E"/>
    <w:rsid w:val="008D0FAC"/>
    <w:rsid w:val="008D137E"/>
    <w:rsid w:val="008D3F39"/>
    <w:rsid w:val="008D4DF8"/>
    <w:rsid w:val="008D6172"/>
    <w:rsid w:val="008D79D6"/>
    <w:rsid w:val="008D7C6A"/>
    <w:rsid w:val="008D7D81"/>
    <w:rsid w:val="008E025B"/>
    <w:rsid w:val="008E0CF1"/>
    <w:rsid w:val="008E17D7"/>
    <w:rsid w:val="008E2BEC"/>
    <w:rsid w:val="008E2FFD"/>
    <w:rsid w:val="008E35D7"/>
    <w:rsid w:val="008E3776"/>
    <w:rsid w:val="008E383C"/>
    <w:rsid w:val="008E4F82"/>
    <w:rsid w:val="008E7787"/>
    <w:rsid w:val="008F01E9"/>
    <w:rsid w:val="008F035A"/>
    <w:rsid w:val="008F05B3"/>
    <w:rsid w:val="008F162B"/>
    <w:rsid w:val="008F3A18"/>
    <w:rsid w:val="008F4794"/>
    <w:rsid w:val="008F5CDB"/>
    <w:rsid w:val="008F5ECC"/>
    <w:rsid w:val="008F6E6C"/>
    <w:rsid w:val="008F792F"/>
    <w:rsid w:val="008F7B91"/>
    <w:rsid w:val="00900DC6"/>
    <w:rsid w:val="00901620"/>
    <w:rsid w:val="009029C0"/>
    <w:rsid w:val="00903B76"/>
    <w:rsid w:val="00903DCD"/>
    <w:rsid w:val="009045CA"/>
    <w:rsid w:val="009048EA"/>
    <w:rsid w:val="00905764"/>
    <w:rsid w:val="00906775"/>
    <w:rsid w:val="009069D8"/>
    <w:rsid w:val="00906D6C"/>
    <w:rsid w:val="009072B5"/>
    <w:rsid w:val="00907A2B"/>
    <w:rsid w:val="009113D4"/>
    <w:rsid w:val="009125EC"/>
    <w:rsid w:val="00915028"/>
    <w:rsid w:val="009166A9"/>
    <w:rsid w:val="0091748A"/>
    <w:rsid w:val="00917755"/>
    <w:rsid w:val="00921575"/>
    <w:rsid w:val="00921C26"/>
    <w:rsid w:val="009244FC"/>
    <w:rsid w:val="009248D0"/>
    <w:rsid w:val="009256DE"/>
    <w:rsid w:val="009257AD"/>
    <w:rsid w:val="00925BEF"/>
    <w:rsid w:val="00925CDB"/>
    <w:rsid w:val="009277C0"/>
    <w:rsid w:val="009278BE"/>
    <w:rsid w:val="0093105E"/>
    <w:rsid w:val="009311D3"/>
    <w:rsid w:val="009326D7"/>
    <w:rsid w:val="00934B46"/>
    <w:rsid w:val="009363DC"/>
    <w:rsid w:val="00936915"/>
    <w:rsid w:val="009378CB"/>
    <w:rsid w:val="0094173F"/>
    <w:rsid w:val="009420F0"/>
    <w:rsid w:val="00942A6E"/>
    <w:rsid w:val="00943194"/>
    <w:rsid w:val="0094543D"/>
    <w:rsid w:val="00945F38"/>
    <w:rsid w:val="0094639F"/>
    <w:rsid w:val="009469CF"/>
    <w:rsid w:val="009502E1"/>
    <w:rsid w:val="00951FFF"/>
    <w:rsid w:val="009523D6"/>
    <w:rsid w:val="00952B79"/>
    <w:rsid w:val="00953F15"/>
    <w:rsid w:val="009557BD"/>
    <w:rsid w:val="00955D59"/>
    <w:rsid w:val="0095628B"/>
    <w:rsid w:val="00957A3A"/>
    <w:rsid w:val="00957D2F"/>
    <w:rsid w:val="009616A4"/>
    <w:rsid w:val="00961755"/>
    <w:rsid w:val="00961B75"/>
    <w:rsid w:val="009639EB"/>
    <w:rsid w:val="00963CCE"/>
    <w:rsid w:val="009640F0"/>
    <w:rsid w:val="00966527"/>
    <w:rsid w:val="009667B9"/>
    <w:rsid w:val="009668E1"/>
    <w:rsid w:val="009717BB"/>
    <w:rsid w:val="00974083"/>
    <w:rsid w:val="009745BB"/>
    <w:rsid w:val="00976239"/>
    <w:rsid w:val="0097715A"/>
    <w:rsid w:val="0097722D"/>
    <w:rsid w:val="00977432"/>
    <w:rsid w:val="00977B79"/>
    <w:rsid w:val="00977C3E"/>
    <w:rsid w:val="00980118"/>
    <w:rsid w:val="00980566"/>
    <w:rsid w:val="00981712"/>
    <w:rsid w:val="00982C00"/>
    <w:rsid w:val="00983460"/>
    <w:rsid w:val="00983C63"/>
    <w:rsid w:val="009851B1"/>
    <w:rsid w:val="00985889"/>
    <w:rsid w:val="00986747"/>
    <w:rsid w:val="009874CE"/>
    <w:rsid w:val="009878AB"/>
    <w:rsid w:val="00990737"/>
    <w:rsid w:val="00990D06"/>
    <w:rsid w:val="00991352"/>
    <w:rsid w:val="00992834"/>
    <w:rsid w:val="00994031"/>
    <w:rsid w:val="009A0EE7"/>
    <w:rsid w:val="009A10AF"/>
    <w:rsid w:val="009A142D"/>
    <w:rsid w:val="009A2711"/>
    <w:rsid w:val="009A47FF"/>
    <w:rsid w:val="009A4DA5"/>
    <w:rsid w:val="009A6D64"/>
    <w:rsid w:val="009B1D0B"/>
    <w:rsid w:val="009B21A6"/>
    <w:rsid w:val="009B3775"/>
    <w:rsid w:val="009B388B"/>
    <w:rsid w:val="009B5EE7"/>
    <w:rsid w:val="009B6737"/>
    <w:rsid w:val="009B6B4B"/>
    <w:rsid w:val="009B7E04"/>
    <w:rsid w:val="009C1A9B"/>
    <w:rsid w:val="009C23BD"/>
    <w:rsid w:val="009C2E86"/>
    <w:rsid w:val="009C358F"/>
    <w:rsid w:val="009C4703"/>
    <w:rsid w:val="009C6627"/>
    <w:rsid w:val="009C72F3"/>
    <w:rsid w:val="009D0E02"/>
    <w:rsid w:val="009D1524"/>
    <w:rsid w:val="009D1FE6"/>
    <w:rsid w:val="009D2448"/>
    <w:rsid w:val="009D322B"/>
    <w:rsid w:val="009D3562"/>
    <w:rsid w:val="009D58DA"/>
    <w:rsid w:val="009D595F"/>
    <w:rsid w:val="009D6E24"/>
    <w:rsid w:val="009D7546"/>
    <w:rsid w:val="009D75B9"/>
    <w:rsid w:val="009E0115"/>
    <w:rsid w:val="009E0370"/>
    <w:rsid w:val="009E7C2C"/>
    <w:rsid w:val="009F00A8"/>
    <w:rsid w:val="009F03C5"/>
    <w:rsid w:val="009F1973"/>
    <w:rsid w:val="009F373F"/>
    <w:rsid w:val="009F3C10"/>
    <w:rsid w:val="009F3D9F"/>
    <w:rsid w:val="009F47C1"/>
    <w:rsid w:val="009F553C"/>
    <w:rsid w:val="009F67E4"/>
    <w:rsid w:val="009F6ED9"/>
    <w:rsid w:val="00A02485"/>
    <w:rsid w:val="00A03BB6"/>
    <w:rsid w:val="00A03CB3"/>
    <w:rsid w:val="00A04DFB"/>
    <w:rsid w:val="00A04E38"/>
    <w:rsid w:val="00A05167"/>
    <w:rsid w:val="00A061A4"/>
    <w:rsid w:val="00A119CE"/>
    <w:rsid w:val="00A124AB"/>
    <w:rsid w:val="00A12D6E"/>
    <w:rsid w:val="00A142B1"/>
    <w:rsid w:val="00A149D4"/>
    <w:rsid w:val="00A15E76"/>
    <w:rsid w:val="00A16180"/>
    <w:rsid w:val="00A171EC"/>
    <w:rsid w:val="00A2137C"/>
    <w:rsid w:val="00A2210F"/>
    <w:rsid w:val="00A23939"/>
    <w:rsid w:val="00A23993"/>
    <w:rsid w:val="00A250AD"/>
    <w:rsid w:val="00A278A5"/>
    <w:rsid w:val="00A27E5C"/>
    <w:rsid w:val="00A34514"/>
    <w:rsid w:val="00A34BA4"/>
    <w:rsid w:val="00A34BF5"/>
    <w:rsid w:val="00A34C8E"/>
    <w:rsid w:val="00A34DCF"/>
    <w:rsid w:val="00A35458"/>
    <w:rsid w:val="00A36545"/>
    <w:rsid w:val="00A40B98"/>
    <w:rsid w:val="00A40DAD"/>
    <w:rsid w:val="00A41093"/>
    <w:rsid w:val="00A4130F"/>
    <w:rsid w:val="00A42556"/>
    <w:rsid w:val="00A4382A"/>
    <w:rsid w:val="00A438C6"/>
    <w:rsid w:val="00A43914"/>
    <w:rsid w:val="00A44981"/>
    <w:rsid w:val="00A46DB5"/>
    <w:rsid w:val="00A47AA5"/>
    <w:rsid w:val="00A5045C"/>
    <w:rsid w:val="00A50E77"/>
    <w:rsid w:val="00A52CA9"/>
    <w:rsid w:val="00A54241"/>
    <w:rsid w:val="00A5428E"/>
    <w:rsid w:val="00A547B3"/>
    <w:rsid w:val="00A54CEF"/>
    <w:rsid w:val="00A5637A"/>
    <w:rsid w:val="00A57330"/>
    <w:rsid w:val="00A577C6"/>
    <w:rsid w:val="00A57AB0"/>
    <w:rsid w:val="00A60142"/>
    <w:rsid w:val="00A602AB"/>
    <w:rsid w:val="00A61BD1"/>
    <w:rsid w:val="00A61F78"/>
    <w:rsid w:val="00A62B75"/>
    <w:rsid w:val="00A6495D"/>
    <w:rsid w:val="00A64A13"/>
    <w:rsid w:val="00A65C5C"/>
    <w:rsid w:val="00A65DFD"/>
    <w:rsid w:val="00A6684C"/>
    <w:rsid w:val="00A67967"/>
    <w:rsid w:val="00A7144D"/>
    <w:rsid w:val="00A71852"/>
    <w:rsid w:val="00A73136"/>
    <w:rsid w:val="00A74945"/>
    <w:rsid w:val="00A753CD"/>
    <w:rsid w:val="00A7751F"/>
    <w:rsid w:val="00A77F07"/>
    <w:rsid w:val="00A80040"/>
    <w:rsid w:val="00A814A3"/>
    <w:rsid w:val="00A81821"/>
    <w:rsid w:val="00A8197E"/>
    <w:rsid w:val="00A82D76"/>
    <w:rsid w:val="00A843B8"/>
    <w:rsid w:val="00A854C4"/>
    <w:rsid w:val="00A86EC6"/>
    <w:rsid w:val="00A87EA9"/>
    <w:rsid w:val="00A87FDF"/>
    <w:rsid w:val="00A910D0"/>
    <w:rsid w:val="00A91797"/>
    <w:rsid w:val="00A92819"/>
    <w:rsid w:val="00A930E9"/>
    <w:rsid w:val="00A9321A"/>
    <w:rsid w:val="00A9434C"/>
    <w:rsid w:val="00A94DAF"/>
    <w:rsid w:val="00A9709A"/>
    <w:rsid w:val="00A97A48"/>
    <w:rsid w:val="00A97C24"/>
    <w:rsid w:val="00AA19DE"/>
    <w:rsid w:val="00AA1D0C"/>
    <w:rsid w:val="00AA41DC"/>
    <w:rsid w:val="00AA4D8F"/>
    <w:rsid w:val="00AA5434"/>
    <w:rsid w:val="00AA5579"/>
    <w:rsid w:val="00AA59F9"/>
    <w:rsid w:val="00AB119F"/>
    <w:rsid w:val="00AB234C"/>
    <w:rsid w:val="00AB4AF9"/>
    <w:rsid w:val="00AB58A9"/>
    <w:rsid w:val="00AB5D4E"/>
    <w:rsid w:val="00AB7048"/>
    <w:rsid w:val="00AB70FC"/>
    <w:rsid w:val="00AB71F2"/>
    <w:rsid w:val="00AC00F5"/>
    <w:rsid w:val="00AC01DB"/>
    <w:rsid w:val="00AC0FF7"/>
    <w:rsid w:val="00AC1160"/>
    <w:rsid w:val="00AC1DCF"/>
    <w:rsid w:val="00AC42D2"/>
    <w:rsid w:val="00AC478E"/>
    <w:rsid w:val="00AC5B34"/>
    <w:rsid w:val="00AC7504"/>
    <w:rsid w:val="00AC7AB7"/>
    <w:rsid w:val="00AD046B"/>
    <w:rsid w:val="00AD38D0"/>
    <w:rsid w:val="00AD490A"/>
    <w:rsid w:val="00AE1FD5"/>
    <w:rsid w:val="00AE3EDB"/>
    <w:rsid w:val="00AE5EEC"/>
    <w:rsid w:val="00AE6C23"/>
    <w:rsid w:val="00AE6F17"/>
    <w:rsid w:val="00AF0F38"/>
    <w:rsid w:val="00AF2D94"/>
    <w:rsid w:val="00AF39EF"/>
    <w:rsid w:val="00AF5D23"/>
    <w:rsid w:val="00AF6855"/>
    <w:rsid w:val="00AF6CCF"/>
    <w:rsid w:val="00B0124C"/>
    <w:rsid w:val="00B01AEC"/>
    <w:rsid w:val="00B05E50"/>
    <w:rsid w:val="00B075E8"/>
    <w:rsid w:val="00B075F7"/>
    <w:rsid w:val="00B078B5"/>
    <w:rsid w:val="00B07DDF"/>
    <w:rsid w:val="00B107E3"/>
    <w:rsid w:val="00B10984"/>
    <w:rsid w:val="00B10E7B"/>
    <w:rsid w:val="00B111F0"/>
    <w:rsid w:val="00B11464"/>
    <w:rsid w:val="00B11B76"/>
    <w:rsid w:val="00B13699"/>
    <w:rsid w:val="00B14815"/>
    <w:rsid w:val="00B14ADC"/>
    <w:rsid w:val="00B15F00"/>
    <w:rsid w:val="00B16A5B"/>
    <w:rsid w:val="00B16DE8"/>
    <w:rsid w:val="00B177F0"/>
    <w:rsid w:val="00B17AE2"/>
    <w:rsid w:val="00B202D8"/>
    <w:rsid w:val="00B209CE"/>
    <w:rsid w:val="00B212BA"/>
    <w:rsid w:val="00B2385F"/>
    <w:rsid w:val="00B24142"/>
    <w:rsid w:val="00B260F7"/>
    <w:rsid w:val="00B308C3"/>
    <w:rsid w:val="00B30A29"/>
    <w:rsid w:val="00B30F57"/>
    <w:rsid w:val="00B322E4"/>
    <w:rsid w:val="00B32FBA"/>
    <w:rsid w:val="00B33527"/>
    <w:rsid w:val="00B347C2"/>
    <w:rsid w:val="00B37119"/>
    <w:rsid w:val="00B40D83"/>
    <w:rsid w:val="00B42A82"/>
    <w:rsid w:val="00B43E28"/>
    <w:rsid w:val="00B467D6"/>
    <w:rsid w:val="00B46EAB"/>
    <w:rsid w:val="00B5042B"/>
    <w:rsid w:val="00B515CA"/>
    <w:rsid w:val="00B51814"/>
    <w:rsid w:val="00B52325"/>
    <w:rsid w:val="00B52363"/>
    <w:rsid w:val="00B52A56"/>
    <w:rsid w:val="00B531B1"/>
    <w:rsid w:val="00B53981"/>
    <w:rsid w:val="00B6200B"/>
    <w:rsid w:val="00B62384"/>
    <w:rsid w:val="00B62410"/>
    <w:rsid w:val="00B63030"/>
    <w:rsid w:val="00B63DB6"/>
    <w:rsid w:val="00B66896"/>
    <w:rsid w:val="00B66AF9"/>
    <w:rsid w:val="00B70AF0"/>
    <w:rsid w:val="00B710DE"/>
    <w:rsid w:val="00B71753"/>
    <w:rsid w:val="00B71FD3"/>
    <w:rsid w:val="00B736C5"/>
    <w:rsid w:val="00B75690"/>
    <w:rsid w:val="00B75B67"/>
    <w:rsid w:val="00B7680E"/>
    <w:rsid w:val="00B768BB"/>
    <w:rsid w:val="00B82489"/>
    <w:rsid w:val="00B83340"/>
    <w:rsid w:val="00B850E9"/>
    <w:rsid w:val="00B86E29"/>
    <w:rsid w:val="00B875F2"/>
    <w:rsid w:val="00B87FC7"/>
    <w:rsid w:val="00B904C0"/>
    <w:rsid w:val="00B91414"/>
    <w:rsid w:val="00B91953"/>
    <w:rsid w:val="00B92600"/>
    <w:rsid w:val="00B935DE"/>
    <w:rsid w:val="00B941D6"/>
    <w:rsid w:val="00B94FB4"/>
    <w:rsid w:val="00B95F72"/>
    <w:rsid w:val="00B978AD"/>
    <w:rsid w:val="00BA0BE8"/>
    <w:rsid w:val="00BA12B9"/>
    <w:rsid w:val="00BA15C5"/>
    <w:rsid w:val="00BA1BE9"/>
    <w:rsid w:val="00BA1CFA"/>
    <w:rsid w:val="00BA3BB4"/>
    <w:rsid w:val="00BA4B1B"/>
    <w:rsid w:val="00BA4FCC"/>
    <w:rsid w:val="00BA61B8"/>
    <w:rsid w:val="00BA629A"/>
    <w:rsid w:val="00BA7605"/>
    <w:rsid w:val="00BB19BC"/>
    <w:rsid w:val="00BB1E9A"/>
    <w:rsid w:val="00BB3608"/>
    <w:rsid w:val="00BB3955"/>
    <w:rsid w:val="00BB4528"/>
    <w:rsid w:val="00BB4727"/>
    <w:rsid w:val="00BC0369"/>
    <w:rsid w:val="00BC0418"/>
    <w:rsid w:val="00BC3839"/>
    <w:rsid w:val="00BC3C48"/>
    <w:rsid w:val="00BC58B8"/>
    <w:rsid w:val="00BC6792"/>
    <w:rsid w:val="00BC7F2E"/>
    <w:rsid w:val="00BD37F8"/>
    <w:rsid w:val="00BD46BB"/>
    <w:rsid w:val="00BD49BA"/>
    <w:rsid w:val="00BD4E18"/>
    <w:rsid w:val="00BD5B54"/>
    <w:rsid w:val="00BD5C17"/>
    <w:rsid w:val="00BD681E"/>
    <w:rsid w:val="00BD68EE"/>
    <w:rsid w:val="00BD71B9"/>
    <w:rsid w:val="00BE1F44"/>
    <w:rsid w:val="00BE25A6"/>
    <w:rsid w:val="00BE2AAC"/>
    <w:rsid w:val="00BE2EFD"/>
    <w:rsid w:val="00BE417C"/>
    <w:rsid w:val="00BE61A1"/>
    <w:rsid w:val="00BE6969"/>
    <w:rsid w:val="00BE721A"/>
    <w:rsid w:val="00BE7E31"/>
    <w:rsid w:val="00BE7FFE"/>
    <w:rsid w:val="00BF05E9"/>
    <w:rsid w:val="00BF0D62"/>
    <w:rsid w:val="00BF0FD0"/>
    <w:rsid w:val="00BF15C0"/>
    <w:rsid w:val="00BF4848"/>
    <w:rsid w:val="00BF5187"/>
    <w:rsid w:val="00BF595D"/>
    <w:rsid w:val="00BF6577"/>
    <w:rsid w:val="00BF725A"/>
    <w:rsid w:val="00BF768C"/>
    <w:rsid w:val="00BF7FC5"/>
    <w:rsid w:val="00C00626"/>
    <w:rsid w:val="00C00B46"/>
    <w:rsid w:val="00C025B9"/>
    <w:rsid w:val="00C06399"/>
    <w:rsid w:val="00C075CD"/>
    <w:rsid w:val="00C07C73"/>
    <w:rsid w:val="00C105DF"/>
    <w:rsid w:val="00C10AB6"/>
    <w:rsid w:val="00C1243F"/>
    <w:rsid w:val="00C12B1B"/>
    <w:rsid w:val="00C12DC2"/>
    <w:rsid w:val="00C139E3"/>
    <w:rsid w:val="00C13C89"/>
    <w:rsid w:val="00C142CD"/>
    <w:rsid w:val="00C15EFB"/>
    <w:rsid w:val="00C16A01"/>
    <w:rsid w:val="00C20503"/>
    <w:rsid w:val="00C21BFF"/>
    <w:rsid w:val="00C23601"/>
    <w:rsid w:val="00C238D0"/>
    <w:rsid w:val="00C24090"/>
    <w:rsid w:val="00C24D98"/>
    <w:rsid w:val="00C26536"/>
    <w:rsid w:val="00C26663"/>
    <w:rsid w:val="00C26EBE"/>
    <w:rsid w:val="00C318AB"/>
    <w:rsid w:val="00C31CF8"/>
    <w:rsid w:val="00C32199"/>
    <w:rsid w:val="00C32483"/>
    <w:rsid w:val="00C32E18"/>
    <w:rsid w:val="00C32E60"/>
    <w:rsid w:val="00C33592"/>
    <w:rsid w:val="00C3391F"/>
    <w:rsid w:val="00C33D50"/>
    <w:rsid w:val="00C33D64"/>
    <w:rsid w:val="00C364C2"/>
    <w:rsid w:val="00C37E49"/>
    <w:rsid w:val="00C40A59"/>
    <w:rsid w:val="00C40DB2"/>
    <w:rsid w:val="00C40E10"/>
    <w:rsid w:val="00C42C4D"/>
    <w:rsid w:val="00C475EB"/>
    <w:rsid w:val="00C476C9"/>
    <w:rsid w:val="00C5240D"/>
    <w:rsid w:val="00C52F7F"/>
    <w:rsid w:val="00C52FB8"/>
    <w:rsid w:val="00C60506"/>
    <w:rsid w:val="00C60E3C"/>
    <w:rsid w:val="00C6123D"/>
    <w:rsid w:val="00C624F9"/>
    <w:rsid w:val="00C62A4E"/>
    <w:rsid w:val="00C62E9E"/>
    <w:rsid w:val="00C653D4"/>
    <w:rsid w:val="00C672D1"/>
    <w:rsid w:val="00C67345"/>
    <w:rsid w:val="00C71457"/>
    <w:rsid w:val="00C72EEB"/>
    <w:rsid w:val="00C72FE1"/>
    <w:rsid w:val="00C7493E"/>
    <w:rsid w:val="00C7705F"/>
    <w:rsid w:val="00C77E8F"/>
    <w:rsid w:val="00C801EF"/>
    <w:rsid w:val="00C80370"/>
    <w:rsid w:val="00C81E73"/>
    <w:rsid w:val="00C820DB"/>
    <w:rsid w:val="00C85449"/>
    <w:rsid w:val="00C85490"/>
    <w:rsid w:val="00C858B6"/>
    <w:rsid w:val="00C85BB1"/>
    <w:rsid w:val="00C85CEA"/>
    <w:rsid w:val="00C8602D"/>
    <w:rsid w:val="00C87D79"/>
    <w:rsid w:val="00C910C9"/>
    <w:rsid w:val="00C91674"/>
    <w:rsid w:val="00C91A72"/>
    <w:rsid w:val="00C91C6B"/>
    <w:rsid w:val="00C9207C"/>
    <w:rsid w:val="00C9385E"/>
    <w:rsid w:val="00C94CF7"/>
    <w:rsid w:val="00C96C38"/>
    <w:rsid w:val="00C979D3"/>
    <w:rsid w:val="00C97AAF"/>
    <w:rsid w:val="00CA0C1F"/>
    <w:rsid w:val="00CA4280"/>
    <w:rsid w:val="00CA4E55"/>
    <w:rsid w:val="00CA58D8"/>
    <w:rsid w:val="00CB0040"/>
    <w:rsid w:val="00CB01DA"/>
    <w:rsid w:val="00CB0593"/>
    <w:rsid w:val="00CB131D"/>
    <w:rsid w:val="00CB1A3E"/>
    <w:rsid w:val="00CB4F44"/>
    <w:rsid w:val="00CB6954"/>
    <w:rsid w:val="00CB770B"/>
    <w:rsid w:val="00CB7DB5"/>
    <w:rsid w:val="00CC0A96"/>
    <w:rsid w:val="00CC0C80"/>
    <w:rsid w:val="00CC13F3"/>
    <w:rsid w:val="00CC1E48"/>
    <w:rsid w:val="00CC27D9"/>
    <w:rsid w:val="00CC4407"/>
    <w:rsid w:val="00CC552F"/>
    <w:rsid w:val="00CC743B"/>
    <w:rsid w:val="00CD03F9"/>
    <w:rsid w:val="00CD0EC2"/>
    <w:rsid w:val="00CD1F77"/>
    <w:rsid w:val="00CD229E"/>
    <w:rsid w:val="00CD3FD1"/>
    <w:rsid w:val="00CD5A45"/>
    <w:rsid w:val="00CD639D"/>
    <w:rsid w:val="00CD6452"/>
    <w:rsid w:val="00CD7C58"/>
    <w:rsid w:val="00CE100F"/>
    <w:rsid w:val="00CE1C41"/>
    <w:rsid w:val="00CE1FD6"/>
    <w:rsid w:val="00CE2673"/>
    <w:rsid w:val="00CE2E85"/>
    <w:rsid w:val="00CE3790"/>
    <w:rsid w:val="00CE4087"/>
    <w:rsid w:val="00CE5DB1"/>
    <w:rsid w:val="00CE6048"/>
    <w:rsid w:val="00CE6126"/>
    <w:rsid w:val="00CE66DC"/>
    <w:rsid w:val="00CE76CC"/>
    <w:rsid w:val="00CE79AD"/>
    <w:rsid w:val="00CF0493"/>
    <w:rsid w:val="00CF3B79"/>
    <w:rsid w:val="00CF42E9"/>
    <w:rsid w:val="00CF4ED0"/>
    <w:rsid w:val="00CF5B49"/>
    <w:rsid w:val="00CF5C47"/>
    <w:rsid w:val="00CF73B6"/>
    <w:rsid w:val="00CF79A4"/>
    <w:rsid w:val="00D0035D"/>
    <w:rsid w:val="00D023D3"/>
    <w:rsid w:val="00D04A56"/>
    <w:rsid w:val="00D05161"/>
    <w:rsid w:val="00D06233"/>
    <w:rsid w:val="00D1102B"/>
    <w:rsid w:val="00D1183B"/>
    <w:rsid w:val="00D11BD3"/>
    <w:rsid w:val="00D13327"/>
    <w:rsid w:val="00D2061B"/>
    <w:rsid w:val="00D20715"/>
    <w:rsid w:val="00D209F7"/>
    <w:rsid w:val="00D21BCF"/>
    <w:rsid w:val="00D21DAD"/>
    <w:rsid w:val="00D228FD"/>
    <w:rsid w:val="00D2593E"/>
    <w:rsid w:val="00D2763B"/>
    <w:rsid w:val="00D304EF"/>
    <w:rsid w:val="00D3087B"/>
    <w:rsid w:val="00D3190E"/>
    <w:rsid w:val="00D31BE5"/>
    <w:rsid w:val="00D34A17"/>
    <w:rsid w:val="00D379E4"/>
    <w:rsid w:val="00D419CE"/>
    <w:rsid w:val="00D41C8C"/>
    <w:rsid w:val="00D42D69"/>
    <w:rsid w:val="00D43289"/>
    <w:rsid w:val="00D43CD6"/>
    <w:rsid w:val="00D43E96"/>
    <w:rsid w:val="00D468AF"/>
    <w:rsid w:val="00D46B3E"/>
    <w:rsid w:val="00D52648"/>
    <w:rsid w:val="00D5338C"/>
    <w:rsid w:val="00D53FC0"/>
    <w:rsid w:val="00D56216"/>
    <w:rsid w:val="00D56D05"/>
    <w:rsid w:val="00D5700B"/>
    <w:rsid w:val="00D57D35"/>
    <w:rsid w:val="00D603B8"/>
    <w:rsid w:val="00D6281E"/>
    <w:rsid w:val="00D634B9"/>
    <w:rsid w:val="00D637E3"/>
    <w:rsid w:val="00D664E4"/>
    <w:rsid w:val="00D678F3"/>
    <w:rsid w:val="00D706D3"/>
    <w:rsid w:val="00D7279C"/>
    <w:rsid w:val="00D72A98"/>
    <w:rsid w:val="00D72B2B"/>
    <w:rsid w:val="00D73A91"/>
    <w:rsid w:val="00D75B14"/>
    <w:rsid w:val="00D75FDD"/>
    <w:rsid w:val="00D77155"/>
    <w:rsid w:val="00D80257"/>
    <w:rsid w:val="00D80B27"/>
    <w:rsid w:val="00D82AC0"/>
    <w:rsid w:val="00D82FD0"/>
    <w:rsid w:val="00D83EE2"/>
    <w:rsid w:val="00D84E6D"/>
    <w:rsid w:val="00D84EBA"/>
    <w:rsid w:val="00D85C63"/>
    <w:rsid w:val="00D860BB"/>
    <w:rsid w:val="00D86638"/>
    <w:rsid w:val="00D86C6A"/>
    <w:rsid w:val="00D86F6C"/>
    <w:rsid w:val="00D870CE"/>
    <w:rsid w:val="00D87D0F"/>
    <w:rsid w:val="00D90D29"/>
    <w:rsid w:val="00D928A7"/>
    <w:rsid w:val="00D92922"/>
    <w:rsid w:val="00D94C72"/>
    <w:rsid w:val="00D94DB1"/>
    <w:rsid w:val="00DA13A5"/>
    <w:rsid w:val="00DA1B10"/>
    <w:rsid w:val="00DA1B96"/>
    <w:rsid w:val="00DA2923"/>
    <w:rsid w:val="00DA5B71"/>
    <w:rsid w:val="00DB0F90"/>
    <w:rsid w:val="00DB1471"/>
    <w:rsid w:val="00DB2456"/>
    <w:rsid w:val="00DB4CFE"/>
    <w:rsid w:val="00DB5080"/>
    <w:rsid w:val="00DB6082"/>
    <w:rsid w:val="00DB76B5"/>
    <w:rsid w:val="00DB7FAB"/>
    <w:rsid w:val="00DC107F"/>
    <w:rsid w:val="00DC2814"/>
    <w:rsid w:val="00DC63FE"/>
    <w:rsid w:val="00DC659F"/>
    <w:rsid w:val="00DC71E0"/>
    <w:rsid w:val="00DD250D"/>
    <w:rsid w:val="00DD4129"/>
    <w:rsid w:val="00DD4183"/>
    <w:rsid w:val="00DD460D"/>
    <w:rsid w:val="00DD47F9"/>
    <w:rsid w:val="00DD5CA2"/>
    <w:rsid w:val="00DE376B"/>
    <w:rsid w:val="00DE6339"/>
    <w:rsid w:val="00DE76E3"/>
    <w:rsid w:val="00DE7CDA"/>
    <w:rsid w:val="00DF1A3B"/>
    <w:rsid w:val="00DF1CFB"/>
    <w:rsid w:val="00DF230C"/>
    <w:rsid w:val="00DF2A64"/>
    <w:rsid w:val="00DF381E"/>
    <w:rsid w:val="00DF3EF1"/>
    <w:rsid w:val="00DF4050"/>
    <w:rsid w:val="00DF6386"/>
    <w:rsid w:val="00DF7B90"/>
    <w:rsid w:val="00E01FC1"/>
    <w:rsid w:val="00E02658"/>
    <w:rsid w:val="00E02711"/>
    <w:rsid w:val="00E03746"/>
    <w:rsid w:val="00E0456A"/>
    <w:rsid w:val="00E05918"/>
    <w:rsid w:val="00E074CB"/>
    <w:rsid w:val="00E12938"/>
    <w:rsid w:val="00E12EB5"/>
    <w:rsid w:val="00E1354C"/>
    <w:rsid w:val="00E1391B"/>
    <w:rsid w:val="00E14066"/>
    <w:rsid w:val="00E143CB"/>
    <w:rsid w:val="00E14EE7"/>
    <w:rsid w:val="00E15D3B"/>
    <w:rsid w:val="00E161BA"/>
    <w:rsid w:val="00E17DEB"/>
    <w:rsid w:val="00E21112"/>
    <w:rsid w:val="00E21B3C"/>
    <w:rsid w:val="00E21CA1"/>
    <w:rsid w:val="00E23233"/>
    <w:rsid w:val="00E232A0"/>
    <w:rsid w:val="00E23635"/>
    <w:rsid w:val="00E24C55"/>
    <w:rsid w:val="00E24D0E"/>
    <w:rsid w:val="00E26AC1"/>
    <w:rsid w:val="00E2761C"/>
    <w:rsid w:val="00E322B6"/>
    <w:rsid w:val="00E33959"/>
    <w:rsid w:val="00E3426C"/>
    <w:rsid w:val="00E34775"/>
    <w:rsid w:val="00E34E4B"/>
    <w:rsid w:val="00E35503"/>
    <w:rsid w:val="00E36378"/>
    <w:rsid w:val="00E36D11"/>
    <w:rsid w:val="00E374E5"/>
    <w:rsid w:val="00E400D4"/>
    <w:rsid w:val="00E40241"/>
    <w:rsid w:val="00E43721"/>
    <w:rsid w:val="00E446F3"/>
    <w:rsid w:val="00E4473F"/>
    <w:rsid w:val="00E466C3"/>
    <w:rsid w:val="00E4786C"/>
    <w:rsid w:val="00E533EE"/>
    <w:rsid w:val="00E5630E"/>
    <w:rsid w:val="00E57166"/>
    <w:rsid w:val="00E5733F"/>
    <w:rsid w:val="00E6082C"/>
    <w:rsid w:val="00E625EE"/>
    <w:rsid w:val="00E63E7F"/>
    <w:rsid w:val="00E63F40"/>
    <w:rsid w:val="00E648E2"/>
    <w:rsid w:val="00E64EB4"/>
    <w:rsid w:val="00E658AD"/>
    <w:rsid w:val="00E65B2F"/>
    <w:rsid w:val="00E66D5D"/>
    <w:rsid w:val="00E7063E"/>
    <w:rsid w:val="00E71EC2"/>
    <w:rsid w:val="00E72351"/>
    <w:rsid w:val="00E72690"/>
    <w:rsid w:val="00E73E78"/>
    <w:rsid w:val="00E747FD"/>
    <w:rsid w:val="00E80613"/>
    <w:rsid w:val="00E81532"/>
    <w:rsid w:val="00E81A0B"/>
    <w:rsid w:val="00E822BC"/>
    <w:rsid w:val="00E84190"/>
    <w:rsid w:val="00E84A77"/>
    <w:rsid w:val="00E84BDF"/>
    <w:rsid w:val="00E876D4"/>
    <w:rsid w:val="00E877C5"/>
    <w:rsid w:val="00E9041B"/>
    <w:rsid w:val="00E91E03"/>
    <w:rsid w:val="00E92AEA"/>
    <w:rsid w:val="00E9364B"/>
    <w:rsid w:val="00E93CBC"/>
    <w:rsid w:val="00E95B8D"/>
    <w:rsid w:val="00E965C0"/>
    <w:rsid w:val="00E973D1"/>
    <w:rsid w:val="00E97718"/>
    <w:rsid w:val="00E97E8F"/>
    <w:rsid w:val="00EA092E"/>
    <w:rsid w:val="00EA117E"/>
    <w:rsid w:val="00EA1A2B"/>
    <w:rsid w:val="00EA1C49"/>
    <w:rsid w:val="00EA2161"/>
    <w:rsid w:val="00EA29A3"/>
    <w:rsid w:val="00EA556F"/>
    <w:rsid w:val="00EA5ADA"/>
    <w:rsid w:val="00EA6AC4"/>
    <w:rsid w:val="00EA6E7D"/>
    <w:rsid w:val="00EB0AC1"/>
    <w:rsid w:val="00EB0BF8"/>
    <w:rsid w:val="00EB0D6C"/>
    <w:rsid w:val="00EB28B0"/>
    <w:rsid w:val="00EB487E"/>
    <w:rsid w:val="00EB4EC9"/>
    <w:rsid w:val="00EC01E1"/>
    <w:rsid w:val="00EC0B42"/>
    <w:rsid w:val="00EC20B7"/>
    <w:rsid w:val="00EC3B18"/>
    <w:rsid w:val="00EC3DD7"/>
    <w:rsid w:val="00EC5997"/>
    <w:rsid w:val="00EC75F4"/>
    <w:rsid w:val="00EC7A6A"/>
    <w:rsid w:val="00ED01F8"/>
    <w:rsid w:val="00ED2FD9"/>
    <w:rsid w:val="00ED3C38"/>
    <w:rsid w:val="00ED547E"/>
    <w:rsid w:val="00EE0285"/>
    <w:rsid w:val="00EE0E97"/>
    <w:rsid w:val="00EE1D8D"/>
    <w:rsid w:val="00EE29F6"/>
    <w:rsid w:val="00EE2E05"/>
    <w:rsid w:val="00EE30E0"/>
    <w:rsid w:val="00EE39B3"/>
    <w:rsid w:val="00EE3C55"/>
    <w:rsid w:val="00EE6DD6"/>
    <w:rsid w:val="00EE7883"/>
    <w:rsid w:val="00EF0D2B"/>
    <w:rsid w:val="00EF18F2"/>
    <w:rsid w:val="00EF1924"/>
    <w:rsid w:val="00EF302A"/>
    <w:rsid w:val="00EF4DA1"/>
    <w:rsid w:val="00EF5F1E"/>
    <w:rsid w:val="00EF64F5"/>
    <w:rsid w:val="00EF7013"/>
    <w:rsid w:val="00EF76B3"/>
    <w:rsid w:val="00EF7754"/>
    <w:rsid w:val="00F00BFA"/>
    <w:rsid w:val="00F014F3"/>
    <w:rsid w:val="00F01896"/>
    <w:rsid w:val="00F019A1"/>
    <w:rsid w:val="00F01D2B"/>
    <w:rsid w:val="00F02140"/>
    <w:rsid w:val="00F021F0"/>
    <w:rsid w:val="00F0286B"/>
    <w:rsid w:val="00F02AFD"/>
    <w:rsid w:val="00F034B2"/>
    <w:rsid w:val="00F044F3"/>
    <w:rsid w:val="00F04EBE"/>
    <w:rsid w:val="00F069FB"/>
    <w:rsid w:val="00F07082"/>
    <w:rsid w:val="00F102AB"/>
    <w:rsid w:val="00F10408"/>
    <w:rsid w:val="00F106A3"/>
    <w:rsid w:val="00F1091F"/>
    <w:rsid w:val="00F11220"/>
    <w:rsid w:val="00F11FDB"/>
    <w:rsid w:val="00F121A2"/>
    <w:rsid w:val="00F1289B"/>
    <w:rsid w:val="00F12BCB"/>
    <w:rsid w:val="00F12E63"/>
    <w:rsid w:val="00F12F4C"/>
    <w:rsid w:val="00F15BE5"/>
    <w:rsid w:val="00F17295"/>
    <w:rsid w:val="00F2011F"/>
    <w:rsid w:val="00F2396C"/>
    <w:rsid w:val="00F24FD7"/>
    <w:rsid w:val="00F25F15"/>
    <w:rsid w:val="00F276BE"/>
    <w:rsid w:val="00F30B76"/>
    <w:rsid w:val="00F30D64"/>
    <w:rsid w:val="00F30E66"/>
    <w:rsid w:val="00F32861"/>
    <w:rsid w:val="00F32A12"/>
    <w:rsid w:val="00F335E3"/>
    <w:rsid w:val="00F33B76"/>
    <w:rsid w:val="00F35159"/>
    <w:rsid w:val="00F365FB"/>
    <w:rsid w:val="00F366E8"/>
    <w:rsid w:val="00F373C8"/>
    <w:rsid w:val="00F37A18"/>
    <w:rsid w:val="00F40905"/>
    <w:rsid w:val="00F40A2F"/>
    <w:rsid w:val="00F4122C"/>
    <w:rsid w:val="00F41AD8"/>
    <w:rsid w:val="00F41BD2"/>
    <w:rsid w:val="00F41F15"/>
    <w:rsid w:val="00F42DA0"/>
    <w:rsid w:val="00F43B54"/>
    <w:rsid w:val="00F44B58"/>
    <w:rsid w:val="00F46744"/>
    <w:rsid w:val="00F467C3"/>
    <w:rsid w:val="00F46B6D"/>
    <w:rsid w:val="00F46FD3"/>
    <w:rsid w:val="00F508B5"/>
    <w:rsid w:val="00F51033"/>
    <w:rsid w:val="00F550E7"/>
    <w:rsid w:val="00F5563E"/>
    <w:rsid w:val="00F5572B"/>
    <w:rsid w:val="00F57202"/>
    <w:rsid w:val="00F57582"/>
    <w:rsid w:val="00F57A68"/>
    <w:rsid w:val="00F57AF9"/>
    <w:rsid w:val="00F57B3F"/>
    <w:rsid w:val="00F61F87"/>
    <w:rsid w:val="00F64BDB"/>
    <w:rsid w:val="00F65092"/>
    <w:rsid w:val="00F6631D"/>
    <w:rsid w:val="00F679BA"/>
    <w:rsid w:val="00F7078B"/>
    <w:rsid w:val="00F709B2"/>
    <w:rsid w:val="00F70E38"/>
    <w:rsid w:val="00F71F65"/>
    <w:rsid w:val="00F7255E"/>
    <w:rsid w:val="00F728B0"/>
    <w:rsid w:val="00F73769"/>
    <w:rsid w:val="00F74FDD"/>
    <w:rsid w:val="00F7515F"/>
    <w:rsid w:val="00F7585B"/>
    <w:rsid w:val="00F75B67"/>
    <w:rsid w:val="00F76408"/>
    <w:rsid w:val="00F76870"/>
    <w:rsid w:val="00F7714B"/>
    <w:rsid w:val="00F77DE6"/>
    <w:rsid w:val="00F818A9"/>
    <w:rsid w:val="00F823C1"/>
    <w:rsid w:val="00F8243E"/>
    <w:rsid w:val="00F82C68"/>
    <w:rsid w:val="00F83640"/>
    <w:rsid w:val="00F841A0"/>
    <w:rsid w:val="00F84510"/>
    <w:rsid w:val="00F85938"/>
    <w:rsid w:val="00F862B4"/>
    <w:rsid w:val="00F86420"/>
    <w:rsid w:val="00F871CF"/>
    <w:rsid w:val="00F917C6"/>
    <w:rsid w:val="00F91C8F"/>
    <w:rsid w:val="00F94642"/>
    <w:rsid w:val="00F9524E"/>
    <w:rsid w:val="00F973FA"/>
    <w:rsid w:val="00F9755B"/>
    <w:rsid w:val="00FA0BAD"/>
    <w:rsid w:val="00FA116D"/>
    <w:rsid w:val="00FA2635"/>
    <w:rsid w:val="00FA346B"/>
    <w:rsid w:val="00FA3CEE"/>
    <w:rsid w:val="00FA4395"/>
    <w:rsid w:val="00FA6417"/>
    <w:rsid w:val="00FA688D"/>
    <w:rsid w:val="00FA7E00"/>
    <w:rsid w:val="00FB0383"/>
    <w:rsid w:val="00FB167A"/>
    <w:rsid w:val="00FB193E"/>
    <w:rsid w:val="00FB25AD"/>
    <w:rsid w:val="00FB2C78"/>
    <w:rsid w:val="00FB2FAA"/>
    <w:rsid w:val="00FB3A70"/>
    <w:rsid w:val="00FB5615"/>
    <w:rsid w:val="00FB7FE8"/>
    <w:rsid w:val="00FC0BD1"/>
    <w:rsid w:val="00FC1D12"/>
    <w:rsid w:val="00FC2F83"/>
    <w:rsid w:val="00FC4B7D"/>
    <w:rsid w:val="00FC574D"/>
    <w:rsid w:val="00FC5FF5"/>
    <w:rsid w:val="00FC6169"/>
    <w:rsid w:val="00FC71E0"/>
    <w:rsid w:val="00FC7649"/>
    <w:rsid w:val="00FD21DB"/>
    <w:rsid w:val="00FD26B6"/>
    <w:rsid w:val="00FD2BBC"/>
    <w:rsid w:val="00FD3B2F"/>
    <w:rsid w:val="00FD5157"/>
    <w:rsid w:val="00FD677A"/>
    <w:rsid w:val="00FE0808"/>
    <w:rsid w:val="00FE0FFA"/>
    <w:rsid w:val="00FE18F7"/>
    <w:rsid w:val="00FE232C"/>
    <w:rsid w:val="00FE2B4A"/>
    <w:rsid w:val="00FE3253"/>
    <w:rsid w:val="00FE395F"/>
    <w:rsid w:val="00FE3C33"/>
    <w:rsid w:val="00FE617D"/>
    <w:rsid w:val="00FE6BB7"/>
    <w:rsid w:val="00FF1A65"/>
    <w:rsid w:val="00FF2D11"/>
    <w:rsid w:val="00FF2FF7"/>
    <w:rsid w:val="00FF3620"/>
    <w:rsid w:val="00FF3FF8"/>
    <w:rsid w:val="00FF6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1C"/>
    <w:pPr>
      <w:jc w:val="left"/>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5215CF"/>
    <w:pPr>
      <w:keepNext/>
      <w:keepLines/>
      <w:spacing w:before="200" w:line="276" w:lineRule="auto"/>
      <w:jc w:val="left"/>
      <w:outlineLvl w:val="1"/>
    </w:pPr>
    <w:rPr>
      <w:rFonts w:ascii="Times New Roman" w:eastAsia="Times New Roman" w:hAnsi="Times New Roman" w:cs="Times New Roman"/>
      <w:b/>
      <w:bCs/>
      <w:szCs w:val="26"/>
    </w:rPr>
  </w:style>
  <w:style w:type="paragraph" w:styleId="Heading3">
    <w:name w:val="heading 3"/>
    <w:basedOn w:val="Normal"/>
    <w:next w:val="Normal"/>
    <w:link w:val="Heading3Char"/>
    <w:uiPriority w:val="9"/>
    <w:unhideWhenUsed/>
    <w:qFormat/>
    <w:rsid w:val="005215CF"/>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71C"/>
    <w:pPr>
      <w:tabs>
        <w:tab w:val="center" w:pos="4320"/>
        <w:tab w:val="right" w:pos="8640"/>
      </w:tabs>
    </w:pPr>
  </w:style>
  <w:style w:type="character" w:customStyle="1" w:styleId="HeaderChar">
    <w:name w:val="Header Char"/>
    <w:basedOn w:val="DefaultParagraphFont"/>
    <w:link w:val="Header"/>
    <w:uiPriority w:val="99"/>
    <w:rsid w:val="0010571C"/>
    <w:rPr>
      <w:rFonts w:ascii="Times New Roman" w:eastAsia="Times New Roman" w:hAnsi="Times New Roman" w:cs="Times New Roman"/>
      <w:sz w:val="24"/>
      <w:szCs w:val="24"/>
    </w:rPr>
  </w:style>
  <w:style w:type="paragraph" w:customStyle="1" w:styleId="BankNormal">
    <w:name w:val="BankNormal"/>
    <w:basedOn w:val="Normal"/>
    <w:rsid w:val="0010571C"/>
    <w:pPr>
      <w:spacing w:after="240"/>
    </w:pPr>
    <w:rPr>
      <w:szCs w:val="20"/>
    </w:rPr>
  </w:style>
  <w:style w:type="paragraph" w:styleId="ListParagraph">
    <w:name w:val="List Paragraph"/>
    <w:basedOn w:val="Normal"/>
    <w:uiPriority w:val="99"/>
    <w:qFormat/>
    <w:rsid w:val="0010571C"/>
    <w:pPr>
      <w:ind w:left="720"/>
      <w:contextualSpacing/>
    </w:pPr>
  </w:style>
  <w:style w:type="character" w:customStyle="1" w:styleId="CommentTextChar">
    <w:name w:val="Comment Text Char"/>
    <w:basedOn w:val="DefaultParagraphFont"/>
    <w:link w:val="CommentText"/>
    <w:semiHidden/>
    <w:rsid w:val="0010571C"/>
    <w:rPr>
      <w:rFonts w:ascii="Times New Roman" w:eastAsia="Times New Roman" w:hAnsi="Times New Roman" w:cs="Times New Roman"/>
      <w:sz w:val="20"/>
      <w:szCs w:val="20"/>
    </w:rPr>
  </w:style>
  <w:style w:type="paragraph" w:styleId="CommentText">
    <w:name w:val="annotation text"/>
    <w:basedOn w:val="Normal"/>
    <w:link w:val="CommentTextChar"/>
    <w:semiHidden/>
    <w:rsid w:val="0010571C"/>
    <w:rPr>
      <w:sz w:val="20"/>
      <w:szCs w:val="20"/>
    </w:rPr>
  </w:style>
  <w:style w:type="character" w:customStyle="1" w:styleId="CommentTextChar1">
    <w:name w:val="Comment Text Char1"/>
    <w:basedOn w:val="DefaultParagraphFont"/>
    <w:link w:val="CommentText"/>
    <w:uiPriority w:val="99"/>
    <w:semiHidden/>
    <w:rsid w:val="0010571C"/>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10571C"/>
    <w:rPr>
      <w:sz w:val="16"/>
      <w:szCs w:val="16"/>
    </w:rPr>
  </w:style>
  <w:style w:type="paragraph" w:styleId="BalloonText">
    <w:name w:val="Balloon Text"/>
    <w:basedOn w:val="Normal"/>
    <w:link w:val="BalloonTextChar"/>
    <w:uiPriority w:val="99"/>
    <w:semiHidden/>
    <w:unhideWhenUsed/>
    <w:rsid w:val="0010571C"/>
    <w:rPr>
      <w:rFonts w:ascii="Tahoma" w:hAnsi="Tahoma" w:cs="Tahoma"/>
      <w:sz w:val="16"/>
      <w:szCs w:val="16"/>
    </w:rPr>
  </w:style>
  <w:style w:type="character" w:customStyle="1" w:styleId="BalloonTextChar">
    <w:name w:val="Balloon Text Char"/>
    <w:basedOn w:val="DefaultParagraphFont"/>
    <w:link w:val="BalloonText"/>
    <w:uiPriority w:val="99"/>
    <w:semiHidden/>
    <w:rsid w:val="0010571C"/>
    <w:rPr>
      <w:rFonts w:ascii="Tahoma" w:eastAsia="Times New Roman" w:hAnsi="Tahoma" w:cs="Tahoma"/>
      <w:sz w:val="16"/>
      <w:szCs w:val="16"/>
    </w:rPr>
  </w:style>
  <w:style w:type="character" w:customStyle="1" w:styleId="Heading2Char">
    <w:name w:val="Heading 2 Char"/>
    <w:basedOn w:val="DefaultParagraphFont"/>
    <w:link w:val="Heading2"/>
    <w:uiPriority w:val="9"/>
    <w:rsid w:val="005215CF"/>
    <w:rPr>
      <w:rFonts w:ascii="Times New Roman" w:eastAsia="Times New Roman" w:hAnsi="Times New Roman" w:cs="Times New Roman"/>
      <w:b/>
      <w:bCs/>
      <w:szCs w:val="26"/>
    </w:rPr>
  </w:style>
  <w:style w:type="character" w:customStyle="1" w:styleId="Heading3Char">
    <w:name w:val="Heading 3 Char"/>
    <w:basedOn w:val="DefaultParagraphFont"/>
    <w:link w:val="Heading3"/>
    <w:uiPriority w:val="9"/>
    <w:rsid w:val="005215CF"/>
    <w:rPr>
      <w:rFonts w:ascii="Cambria" w:eastAsia="Times New Roman" w:hAnsi="Cambria" w:cs="Times New Roman"/>
      <w:b/>
      <w:bCs/>
      <w:color w:val="4F81BD"/>
    </w:rPr>
  </w:style>
  <w:style w:type="paragraph" w:styleId="NoSpacing">
    <w:name w:val="No Spacing"/>
    <w:uiPriority w:val="1"/>
    <w:qFormat/>
    <w:rsid w:val="005215CF"/>
    <w:pPr>
      <w:jc w:val="left"/>
    </w:pPr>
    <w:rPr>
      <w:rFonts w:ascii="Calibri" w:eastAsia="Calibri" w:hAnsi="Calibri" w:cs="Times New Roman"/>
    </w:rPr>
  </w:style>
  <w:style w:type="paragraph" w:customStyle="1" w:styleId="maintext">
    <w:name w:val="maintext"/>
    <w:basedOn w:val="BodyText"/>
    <w:rsid w:val="004F4913"/>
    <w:pPr>
      <w:numPr>
        <w:numId w:val="8"/>
      </w:numPr>
      <w:spacing w:after="240"/>
    </w:pPr>
  </w:style>
  <w:style w:type="paragraph" w:styleId="BodyText">
    <w:name w:val="Body Text"/>
    <w:basedOn w:val="Normal"/>
    <w:link w:val="BodyTextChar"/>
    <w:uiPriority w:val="99"/>
    <w:semiHidden/>
    <w:unhideWhenUsed/>
    <w:rsid w:val="004F4913"/>
    <w:pPr>
      <w:spacing w:after="120"/>
    </w:pPr>
  </w:style>
  <w:style w:type="character" w:customStyle="1" w:styleId="BodyTextChar">
    <w:name w:val="Body Text Char"/>
    <w:basedOn w:val="DefaultParagraphFont"/>
    <w:link w:val="BodyText"/>
    <w:uiPriority w:val="99"/>
    <w:semiHidden/>
    <w:rsid w:val="004F4913"/>
    <w:rPr>
      <w:rFonts w:ascii="Times New Roman" w:eastAsia="Times New Roman" w:hAnsi="Times New Roman" w:cs="Times New Roman"/>
      <w:sz w:val="24"/>
      <w:szCs w:val="24"/>
    </w:rPr>
  </w:style>
  <w:style w:type="paragraph" w:customStyle="1" w:styleId="PDSAnnexHeading">
    <w:name w:val="PDS Annex Heading"/>
    <w:next w:val="Normal"/>
    <w:rsid w:val="0073153F"/>
    <w:pPr>
      <w:keepNext/>
      <w:spacing w:after="120"/>
      <w:jc w:val="center"/>
    </w:pPr>
    <w:rPr>
      <w:rFonts w:ascii="Times New Roman" w:eastAsia="Times New Roman" w:hAnsi="Times New Roman" w:cs="Times New Roman"/>
      <w:b/>
      <w:sz w:val="24"/>
      <w:szCs w:val="20"/>
    </w:rPr>
  </w:style>
  <w:style w:type="paragraph" w:styleId="Footer">
    <w:name w:val="footer"/>
    <w:basedOn w:val="Normal"/>
    <w:link w:val="FooterChar"/>
    <w:uiPriority w:val="99"/>
    <w:semiHidden/>
    <w:unhideWhenUsed/>
    <w:rsid w:val="0073153F"/>
    <w:pPr>
      <w:tabs>
        <w:tab w:val="center" w:pos="4680"/>
        <w:tab w:val="right" w:pos="9360"/>
      </w:tabs>
    </w:pPr>
  </w:style>
  <w:style w:type="character" w:customStyle="1" w:styleId="FooterChar">
    <w:name w:val="Footer Char"/>
    <w:basedOn w:val="DefaultParagraphFont"/>
    <w:link w:val="Footer"/>
    <w:uiPriority w:val="99"/>
    <w:semiHidden/>
    <w:rsid w:val="007315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CF1"/>
    <w:rPr>
      <w:color w:val="0000FF" w:themeColor="hyperlink"/>
      <w:u w:val="single"/>
    </w:rPr>
  </w:style>
  <w:style w:type="paragraph" w:styleId="FootnoteText">
    <w:name w:val="footnote text"/>
    <w:basedOn w:val="Normal"/>
    <w:link w:val="FootnoteTextChar"/>
    <w:uiPriority w:val="99"/>
    <w:semiHidden/>
    <w:unhideWhenUsed/>
    <w:rsid w:val="0034118C"/>
    <w:rPr>
      <w:sz w:val="20"/>
      <w:szCs w:val="20"/>
    </w:rPr>
  </w:style>
  <w:style w:type="character" w:customStyle="1" w:styleId="FootnoteTextChar">
    <w:name w:val="Footnote Text Char"/>
    <w:basedOn w:val="DefaultParagraphFont"/>
    <w:link w:val="FootnoteText"/>
    <w:uiPriority w:val="99"/>
    <w:semiHidden/>
    <w:rsid w:val="003411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4118C"/>
    <w:rPr>
      <w:vertAlign w:val="superscript"/>
    </w:rPr>
  </w:style>
  <w:style w:type="paragraph" w:styleId="CommentSubject">
    <w:name w:val="annotation subject"/>
    <w:basedOn w:val="CommentText"/>
    <w:next w:val="CommentText"/>
    <w:link w:val="CommentSubjectChar"/>
    <w:uiPriority w:val="99"/>
    <w:semiHidden/>
    <w:unhideWhenUsed/>
    <w:rsid w:val="00C00626"/>
    <w:rPr>
      <w:b/>
      <w:bCs/>
    </w:rPr>
  </w:style>
  <w:style w:type="character" w:customStyle="1" w:styleId="CommentSubjectChar">
    <w:name w:val="Comment Subject Char"/>
    <w:basedOn w:val="CommentTextChar"/>
    <w:link w:val="CommentSubject"/>
    <w:uiPriority w:val="99"/>
    <w:semiHidden/>
    <w:rsid w:val="00C00626"/>
    <w:rPr>
      <w:b/>
      <w:bCs/>
    </w:rPr>
  </w:style>
</w:styles>
</file>

<file path=word/webSettings.xml><?xml version="1.0" encoding="utf-8"?>
<w:webSettings xmlns:r="http://schemas.openxmlformats.org/officeDocument/2006/relationships" xmlns:w="http://schemas.openxmlformats.org/wordprocessingml/2006/main">
  <w:divs>
    <w:div w:id="376006270">
      <w:bodyDiv w:val="1"/>
      <w:marLeft w:val="0"/>
      <w:marRight w:val="0"/>
      <w:marTop w:val="0"/>
      <w:marBottom w:val="0"/>
      <w:divBdr>
        <w:top w:val="none" w:sz="0" w:space="0" w:color="auto"/>
        <w:left w:val="none" w:sz="0" w:space="0" w:color="auto"/>
        <w:bottom w:val="none" w:sz="0" w:space="0" w:color="auto"/>
        <w:right w:val="none" w:sz="0" w:space="0" w:color="auto"/>
      </w:divBdr>
      <w:divsChild>
        <w:div w:id="1622959525">
          <w:marLeft w:val="0"/>
          <w:marRight w:val="0"/>
          <w:marTop w:val="0"/>
          <w:marBottom w:val="0"/>
          <w:divBdr>
            <w:top w:val="none" w:sz="0" w:space="0" w:color="auto"/>
            <w:left w:val="none" w:sz="0" w:space="0" w:color="auto"/>
            <w:bottom w:val="none" w:sz="0" w:space="0" w:color="auto"/>
            <w:right w:val="none" w:sz="0" w:space="0" w:color="auto"/>
          </w:divBdr>
        </w:div>
      </w:divsChild>
    </w:div>
    <w:div w:id="917714128">
      <w:bodyDiv w:val="1"/>
      <w:marLeft w:val="0"/>
      <w:marRight w:val="0"/>
      <w:marTop w:val="0"/>
      <w:marBottom w:val="0"/>
      <w:divBdr>
        <w:top w:val="none" w:sz="0" w:space="0" w:color="auto"/>
        <w:left w:val="none" w:sz="0" w:space="0" w:color="auto"/>
        <w:bottom w:val="none" w:sz="0" w:space="0" w:color="auto"/>
        <w:right w:val="none" w:sz="0" w:space="0" w:color="auto"/>
      </w:divBdr>
      <w:divsChild>
        <w:div w:id="10436736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9962419">
      <w:bodyDiv w:val="1"/>
      <w:marLeft w:val="0"/>
      <w:marRight w:val="0"/>
      <w:marTop w:val="0"/>
      <w:marBottom w:val="0"/>
      <w:divBdr>
        <w:top w:val="none" w:sz="0" w:space="0" w:color="auto"/>
        <w:left w:val="none" w:sz="0" w:space="0" w:color="auto"/>
        <w:bottom w:val="none" w:sz="0" w:space="0" w:color="auto"/>
        <w:right w:val="none" w:sz="0" w:space="0" w:color="auto"/>
      </w:divBdr>
      <w:divsChild>
        <w:div w:id="1966543441">
          <w:marLeft w:val="0"/>
          <w:marRight w:val="0"/>
          <w:marTop w:val="0"/>
          <w:marBottom w:val="0"/>
          <w:divBdr>
            <w:top w:val="none" w:sz="0" w:space="0" w:color="auto"/>
            <w:left w:val="none" w:sz="0" w:space="0" w:color="auto"/>
            <w:bottom w:val="none" w:sz="0" w:space="0" w:color="auto"/>
            <w:right w:val="none" w:sz="0" w:space="0" w:color="auto"/>
          </w:divBdr>
        </w:div>
      </w:divsChild>
    </w:div>
    <w:div w:id="1356344445">
      <w:bodyDiv w:val="1"/>
      <w:marLeft w:val="0"/>
      <w:marRight w:val="0"/>
      <w:marTop w:val="0"/>
      <w:marBottom w:val="0"/>
      <w:divBdr>
        <w:top w:val="none" w:sz="0" w:space="0" w:color="auto"/>
        <w:left w:val="none" w:sz="0" w:space="0" w:color="auto"/>
        <w:bottom w:val="none" w:sz="0" w:space="0" w:color="auto"/>
        <w:right w:val="none" w:sz="0" w:space="0" w:color="auto"/>
      </w:divBdr>
      <w:divsChild>
        <w:div w:id="2643830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62241211">
      <w:bodyDiv w:val="1"/>
      <w:marLeft w:val="0"/>
      <w:marRight w:val="0"/>
      <w:marTop w:val="0"/>
      <w:marBottom w:val="0"/>
      <w:divBdr>
        <w:top w:val="none" w:sz="0" w:space="0" w:color="auto"/>
        <w:left w:val="none" w:sz="0" w:space="0" w:color="auto"/>
        <w:bottom w:val="none" w:sz="0" w:space="0" w:color="auto"/>
        <w:right w:val="none" w:sz="0" w:space="0" w:color="auto"/>
      </w:divBdr>
      <w:divsChild>
        <w:div w:id="131990537">
          <w:marLeft w:val="0"/>
          <w:marRight w:val="0"/>
          <w:marTop w:val="0"/>
          <w:marBottom w:val="0"/>
          <w:divBdr>
            <w:top w:val="none" w:sz="0" w:space="0" w:color="auto"/>
            <w:left w:val="none" w:sz="0" w:space="0" w:color="auto"/>
            <w:bottom w:val="none" w:sz="0" w:space="0" w:color="auto"/>
            <w:right w:val="none" w:sz="0" w:space="0" w:color="auto"/>
          </w:divBdr>
        </w:div>
      </w:divsChild>
    </w:div>
    <w:div w:id="1577860668">
      <w:bodyDiv w:val="1"/>
      <w:marLeft w:val="0"/>
      <w:marRight w:val="0"/>
      <w:marTop w:val="0"/>
      <w:marBottom w:val="0"/>
      <w:divBdr>
        <w:top w:val="none" w:sz="0" w:space="0" w:color="auto"/>
        <w:left w:val="none" w:sz="0" w:space="0" w:color="auto"/>
        <w:bottom w:val="none" w:sz="0" w:space="0" w:color="auto"/>
        <w:right w:val="none" w:sz="0" w:space="0" w:color="auto"/>
      </w:divBdr>
      <w:divsChild>
        <w:div w:id="960961470">
          <w:marLeft w:val="0"/>
          <w:marRight w:val="0"/>
          <w:marTop w:val="0"/>
          <w:marBottom w:val="0"/>
          <w:divBdr>
            <w:top w:val="none" w:sz="0" w:space="0" w:color="auto"/>
            <w:left w:val="none" w:sz="0" w:space="0" w:color="auto"/>
            <w:bottom w:val="none" w:sz="0" w:space="0" w:color="auto"/>
            <w:right w:val="none" w:sz="0" w:space="0" w:color="auto"/>
          </w:divBdr>
        </w:div>
      </w:divsChild>
    </w:div>
    <w:div w:id="2109738300">
      <w:bodyDiv w:val="1"/>
      <w:marLeft w:val="0"/>
      <w:marRight w:val="0"/>
      <w:marTop w:val="0"/>
      <w:marBottom w:val="0"/>
      <w:divBdr>
        <w:top w:val="none" w:sz="0" w:space="0" w:color="auto"/>
        <w:left w:val="none" w:sz="0" w:space="0" w:color="auto"/>
        <w:bottom w:val="none" w:sz="0" w:space="0" w:color="auto"/>
        <w:right w:val="none" w:sz="0" w:space="0" w:color="auto"/>
      </w:divBdr>
      <w:divsChild>
        <w:div w:id="158225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7D46-EECD-4DF8-9730-6794B177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1st draft</vt:lpstr>
    </vt:vector>
  </TitlesOfParts>
  <Company>The World Bank Group</Company>
  <LinksUpToDate>false</LinksUpToDate>
  <CharactersWithSpaces>20055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dc:title>
  <dc:creator>wb185161</dc:creator>
  <cp:lastModifiedBy>wb406484</cp:lastModifiedBy>
  <cp:revision>2</cp:revision>
  <cp:lastPrinted>2012-01-18T12:05:00Z</cp:lastPrinted>
  <dcterms:created xsi:type="dcterms:W3CDTF">2012-09-05T18:32:00Z</dcterms:created>
  <dcterms:modified xsi:type="dcterms:W3CDTF">2012-09-05T18:32:00Z</dcterms:modified>
</cp:coreProperties>
</file>